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7709B100" w:rsidR="009125CE" w:rsidRPr="00525FBB" w:rsidRDefault="00506A5D" w:rsidP="00F540ED">
      <w:pPr>
        <w:jc w:val="right"/>
        <w:rPr>
          <w:rFonts w:asciiTheme="majorBidi" w:hAnsiTheme="majorBidi" w:cstheme="majorBidi"/>
          <w:b/>
          <w:bCs/>
          <w:sz w:val="24"/>
          <w:szCs w:val="24"/>
          <w:lang w:bidi="ar-EG"/>
        </w:rPr>
      </w:pPr>
      <w:proofErr w:type="spellStart"/>
      <w:r w:rsidRPr="00525FBB">
        <w:rPr>
          <w:rFonts w:asciiTheme="majorBidi" w:hAnsiTheme="majorBidi" w:cstheme="majorBidi"/>
          <w:b/>
          <w:bCs/>
          <w:sz w:val="24"/>
          <w:szCs w:val="24"/>
          <w:lang w:bidi="ar-EG"/>
        </w:rPr>
        <w:t>Midocean</w:t>
      </w:r>
      <w:proofErr w:type="spellEnd"/>
      <w:r w:rsidRPr="00525FBB">
        <w:rPr>
          <w:rFonts w:asciiTheme="majorBidi" w:hAnsiTheme="majorBidi" w:cstheme="majorBidi"/>
          <w:b/>
          <w:bCs/>
          <w:sz w:val="24"/>
          <w:szCs w:val="24"/>
          <w:lang w:bidi="ar-EG"/>
        </w:rPr>
        <w:t xml:space="preserve"> University</w:t>
      </w:r>
    </w:p>
    <w:p w14:paraId="1E957002" w14:textId="28536B24" w:rsidR="00F546CE" w:rsidRPr="00525FBB" w:rsidRDefault="00506A5D" w:rsidP="00F540ED">
      <w:pPr>
        <w:jc w:val="right"/>
        <w:rPr>
          <w:rFonts w:asciiTheme="majorBidi" w:hAnsiTheme="majorBidi" w:cstheme="majorBidi"/>
          <w:b/>
          <w:bCs/>
          <w:sz w:val="24"/>
          <w:szCs w:val="24"/>
          <w:rtl/>
          <w:lang w:bidi="ar-EG"/>
        </w:rPr>
      </w:pPr>
      <w:r w:rsidRPr="00525FBB">
        <w:rPr>
          <w:rFonts w:asciiTheme="majorBidi" w:hAnsiTheme="majorBidi" w:cstheme="majorBidi"/>
          <w:b/>
          <w:bCs/>
          <w:sz w:val="24"/>
          <w:szCs w:val="24"/>
          <w:lang w:bidi="ar-EG"/>
        </w:rPr>
        <w:t>College Of Management</w:t>
      </w:r>
    </w:p>
    <w:p w14:paraId="0217C513" w14:textId="52D92E7C" w:rsidR="009125CE" w:rsidRPr="00525FBB" w:rsidRDefault="00F540ED" w:rsidP="00F540ED">
      <w:pPr>
        <w:jc w:val="right"/>
        <w:rPr>
          <w:rFonts w:asciiTheme="majorBidi" w:hAnsiTheme="majorBidi" w:cstheme="majorBidi"/>
          <w:sz w:val="24"/>
          <w:szCs w:val="24"/>
          <w:lang w:bidi="ar-EG"/>
        </w:rPr>
      </w:pPr>
      <w:r w:rsidRPr="00525FBB">
        <w:rPr>
          <w:rFonts w:asciiTheme="majorBidi" w:hAnsiTheme="majorBidi" w:cstheme="majorBidi"/>
          <w:b/>
          <w:bCs/>
          <w:sz w:val="24"/>
          <w:szCs w:val="24"/>
          <w:lang w:bidi="ar-EG"/>
        </w:rPr>
        <w:t>Department of Risk Management</w:t>
      </w:r>
    </w:p>
    <w:p w14:paraId="3A7BF367" w14:textId="0016176E" w:rsidR="009125CE" w:rsidRPr="00525FBB" w:rsidRDefault="00F540ED" w:rsidP="00F540ED">
      <w:pPr>
        <w:bidi w:val="0"/>
        <w:rPr>
          <w:rFonts w:asciiTheme="majorBidi" w:hAnsiTheme="majorBidi" w:cstheme="majorBidi"/>
          <w:b/>
          <w:bCs/>
          <w:sz w:val="24"/>
          <w:szCs w:val="24"/>
          <w:u w:val="single"/>
          <w:rtl/>
        </w:rPr>
      </w:pPr>
      <w:r w:rsidRPr="00525FBB">
        <w:rPr>
          <w:rFonts w:asciiTheme="majorBidi" w:hAnsiTheme="majorBidi" w:cstheme="majorBidi"/>
          <w:b/>
          <w:bCs/>
          <w:noProof/>
          <w:sz w:val="24"/>
          <w:szCs w:val="24"/>
        </w:rPr>
        <w:drawing>
          <wp:anchor distT="0" distB="0" distL="114300" distR="114300" simplePos="0" relativeHeight="251660288" behindDoc="0" locked="0" layoutInCell="1" allowOverlap="1" wp14:anchorId="676C7C7B" wp14:editId="47F055F2">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5F6542BF" w14:textId="77777777" w:rsidR="009125CE" w:rsidRPr="00525FBB" w:rsidRDefault="009125CE" w:rsidP="009125CE">
      <w:pPr>
        <w:rPr>
          <w:rFonts w:asciiTheme="majorBidi" w:hAnsiTheme="majorBidi" w:cstheme="majorBidi"/>
          <w:sz w:val="24"/>
          <w:szCs w:val="24"/>
          <w:rtl/>
        </w:rPr>
      </w:pPr>
    </w:p>
    <w:p w14:paraId="08401F45" w14:textId="4BFF7F98" w:rsidR="009125CE" w:rsidRPr="00525FBB" w:rsidRDefault="00506A5D" w:rsidP="00506A5D">
      <w:pPr>
        <w:spacing w:after="0" w:line="480" w:lineRule="auto"/>
        <w:jc w:val="center"/>
        <w:rPr>
          <w:rFonts w:asciiTheme="majorBidi" w:hAnsiTheme="majorBidi" w:cstheme="majorBidi"/>
          <w:b/>
          <w:bCs/>
          <w:sz w:val="24"/>
          <w:szCs w:val="24"/>
          <w:rtl/>
        </w:rPr>
      </w:pPr>
      <w:r w:rsidRPr="00525FBB">
        <w:rPr>
          <w:rFonts w:asciiTheme="majorBidi" w:hAnsiTheme="majorBidi" w:cstheme="majorBidi"/>
          <w:b/>
          <w:bCs/>
          <w:sz w:val="24"/>
          <w:szCs w:val="24"/>
        </w:rPr>
        <w:t>RISK ASSESSMENT TRANSFORMATION OF HEALTH PROGRAMS IN SAUDI ARABIA: CHALLENGES, OPPORTUNITIES AND MITIGATIVE STRATEGIES – A SYSTEMATIC REVIEW</w:t>
      </w:r>
      <w:r w:rsidR="009125CE" w:rsidRPr="00525FBB">
        <w:rPr>
          <w:rFonts w:asciiTheme="majorBidi" w:hAnsiTheme="majorBidi" w:cstheme="majorBidi"/>
          <w:b/>
          <w:bCs/>
          <w:sz w:val="24"/>
          <w:szCs w:val="24"/>
          <w:rtl/>
          <w:lang w:bidi="ar-EG"/>
        </w:rPr>
        <w:t xml:space="preserve"> </w:t>
      </w:r>
    </w:p>
    <w:p w14:paraId="15C28831" w14:textId="77777777" w:rsidR="009125CE" w:rsidRPr="00525FBB" w:rsidRDefault="009125CE" w:rsidP="009125CE">
      <w:pPr>
        <w:jc w:val="center"/>
        <w:rPr>
          <w:rFonts w:asciiTheme="majorBidi" w:hAnsiTheme="majorBidi" w:cstheme="majorBidi"/>
          <w:sz w:val="24"/>
          <w:szCs w:val="24"/>
          <w:rtl/>
          <w:lang w:bidi="ar-EG"/>
        </w:rPr>
      </w:pPr>
    </w:p>
    <w:p w14:paraId="3024630C" w14:textId="23CEB73F" w:rsidR="009125CE" w:rsidRPr="00525FBB" w:rsidRDefault="009125CE" w:rsidP="00506A5D">
      <w:pPr>
        <w:rPr>
          <w:rFonts w:asciiTheme="majorBidi" w:hAnsiTheme="majorBidi" w:cstheme="majorBidi"/>
          <w:sz w:val="24"/>
          <w:szCs w:val="24"/>
          <w:rtl/>
          <w:lang w:bidi="ar-EG"/>
        </w:rPr>
      </w:pPr>
    </w:p>
    <w:p w14:paraId="232F19A4" w14:textId="77777777" w:rsidR="009125CE" w:rsidRPr="00525FBB" w:rsidRDefault="009125CE" w:rsidP="009125CE">
      <w:pPr>
        <w:jc w:val="center"/>
        <w:rPr>
          <w:rFonts w:asciiTheme="majorBidi" w:hAnsiTheme="majorBidi" w:cstheme="majorBidi"/>
          <w:sz w:val="24"/>
          <w:szCs w:val="24"/>
          <w:rtl/>
          <w:lang w:bidi="ar-EG"/>
        </w:rPr>
      </w:pPr>
    </w:p>
    <w:p w14:paraId="0EB57E30" w14:textId="03BBFA3C" w:rsidR="009125CE" w:rsidRPr="00525FBB" w:rsidRDefault="00F540ED" w:rsidP="009125CE">
      <w:pPr>
        <w:jc w:val="center"/>
        <w:rPr>
          <w:rFonts w:asciiTheme="majorBidi" w:hAnsiTheme="majorBidi" w:cstheme="majorBidi"/>
          <w:b/>
          <w:bCs/>
          <w:sz w:val="24"/>
          <w:szCs w:val="24"/>
          <w:rtl/>
          <w:lang w:bidi="ar-EG"/>
        </w:rPr>
      </w:pPr>
      <w:r w:rsidRPr="00525FBB">
        <w:rPr>
          <w:rFonts w:asciiTheme="majorBidi" w:hAnsiTheme="majorBidi" w:cstheme="majorBidi"/>
          <w:b/>
          <w:bCs/>
          <w:sz w:val="24"/>
          <w:szCs w:val="24"/>
          <w:lang w:bidi="ar-EG"/>
        </w:rPr>
        <w:t>Prepared by</w:t>
      </w:r>
    </w:p>
    <w:p w14:paraId="751A7E65" w14:textId="5A3F27AF" w:rsidR="009125CE" w:rsidRPr="00525FBB" w:rsidRDefault="00506A5D" w:rsidP="009125CE">
      <w:pPr>
        <w:jc w:val="center"/>
        <w:rPr>
          <w:rFonts w:asciiTheme="majorBidi" w:hAnsiTheme="majorBidi" w:cstheme="majorBidi"/>
          <w:b/>
          <w:bCs/>
          <w:sz w:val="24"/>
          <w:szCs w:val="24"/>
          <w:lang w:bidi="ar-EG"/>
        </w:rPr>
      </w:pPr>
      <w:r w:rsidRPr="00525FBB">
        <w:rPr>
          <w:rFonts w:asciiTheme="majorBidi" w:hAnsiTheme="majorBidi" w:cstheme="majorBidi"/>
          <w:b/>
          <w:bCs/>
          <w:sz w:val="24"/>
          <w:szCs w:val="24"/>
          <w:lang w:bidi="ar-EG"/>
        </w:rPr>
        <w:t xml:space="preserve">Yousef </w:t>
      </w:r>
      <w:proofErr w:type="spellStart"/>
      <w:r w:rsidRPr="00525FBB">
        <w:rPr>
          <w:rFonts w:asciiTheme="majorBidi" w:hAnsiTheme="majorBidi" w:cstheme="majorBidi"/>
          <w:b/>
          <w:bCs/>
          <w:sz w:val="24"/>
          <w:szCs w:val="24"/>
          <w:lang w:bidi="ar-EG"/>
        </w:rPr>
        <w:t>Hejji</w:t>
      </w:r>
      <w:proofErr w:type="spellEnd"/>
      <w:r w:rsidRPr="00525FBB">
        <w:rPr>
          <w:rFonts w:asciiTheme="majorBidi" w:hAnsiTheme="majorBidi" w:cstheme="majorBidi"/>
          <w:b/>
          <w:bCs/>
          <w:sz w:val="24"/>
          <w:szCs w:val="24"/>
          <w:lang w:bidi="ar-EG"/>
        </w:rPr>
        <w:t xml:space="preserve"> </w:t>
      </w:r>
      <w:proofErr w:type="spellStart"/>
      <w:r w:rsidRPr="00525FBB">
        <w:rPr>
          <w:rFonts w:asciiTheme="majorBidi" w:hAnsiTheme="majorBidi" w:cstheme="majorBidi"/>
          <w:b/>
          <w:bCs/>
          <w:sz w:val="24"/>
          <w:szCs w:val="24"/>
          <w:lang w:bidi="ar-EG"/>
        </w:rPr>
        <w:t>Alhassan</w:t>
      </w:r>
      <w:proofErr w:type="spellEnd"/>
      <w:r w:rsidRPr="00525FBB">
        <w:rPr>
          <w:rFonts w:asciiTheme="majorBidi" w:hAnsiTheme="majorBidi" w:cstheme="majorBidi"/>
          <w:b/>
          <w:bCs/>
          <w:sz w:val="24"/>
          <w:szCs w:val="24"/>
          <w:lang w:bidi="ar-EG"/>
        </w:rPr>
        <w:t xml:space="preserve"> </w:t>
      </w:r>
    </w:p>
    <w:p w14:paraId="43E24AA0" w14:textId="3F39D58A" w:rsidR="00506A5D" w:rsidRPr="00525FBB" w:rsidRDefault="00506A5D" w:rsidP="009125CE">
      <w:pPr>
        <w:jc w:val="center"/>
        <w:rPr>
          <w:rFonts w:asciiTheme="majorBidi" w:hAnsiTheme="majorBidi" w:cstheme="majorBidi"/>
          <w:b/>
          <w:bCs/>
          <w:sz w:val="24"/>
          <w:szCs w:val="24"/>
          <w:rtl/>
          <w:lang w:bidi="ar-EG"/>
        </w:rPr>
      </w:pPr>
      <w:r w:rsidRPr="00525FBB">
        <w:rPr>
          <w:rFonts w:asciiTheme="majorBidi" w:hAnsiTheme="majorBidi" w:cstheme="majorBidi"/>
          <w:b/>
          <w:bCs/>
          <w:sz w:val="24"/>
          <w:szCs w:val="24"/>
          <w:lang w:bidi="ar-EG"/>
        </w:rPr>
        <w:t>Student ID 242001646</w:t>
      </w:r>
    </w:p>
    <w:p w14:paraId="76AA45C9" w14:textId="77777777" w:rsidR="009125CE" w:rsidRPr="00525FBB" w:rsidRDefault="009125CE" w:rsidP="009125CE">
      <w:pPr>
        <w:jc w:val="center"/>
        <w:rPr>
          <w:rFonts w:asciiTheme="majorBidi" w:hAnsiTheme="majorBidi" w:cstheme="majorBidi"/>
          <w:b/>
          <w:bCs/>
          <w:sz w:val="24"/>
          <w:szCs w:val="24"/>
          <w:rtl/>
          <w:lang w:bidi="ar-EG"/>
        </w:rPr>
      </w:pPr>
    </w:p>
    <w:p w14:paraId="3D3CBDF8" w14:textId="77777777" w:rsidR="009125CE" w:rsidRPr="00525FBB" w:rsidRDefault="009125CE" w:rsidP="009125CE">
      <w:pPr>
        <w:jc w:val="center"/>
        <w:rPr>
          <w:rFonts w:asciiTheme="majorBidi" w:hAnsiTheme="majorBidi" w:cstheme="majorBidi"/>
          <w:b/>
          <w:bCs/>
          <w:sz w:val="24"/>
          <w:szCs w:val="24"/>
          <w:rtl/>
          <w:lang w:bidi="ar-EG"/>
        </w:rPr>
      </w:pPr>
    </w:p>
    <w:p w14:paraId="58D6152F" w14:textId="77777777" w:rsidR="009125CE" w:rsidRPr="00525FBB" w:rsidRDefault="009125CE" w:rsidP="009125CE">
      <w:pPr>
        <w:jc w:val="center"/>
        <w:rPr>
          <w:rFonts w:asciiTheme="majorBidi" w:hAnsiTheme="majorBidi" w:cstheme="majorBidi"/>
          <w:b/>
          <w:bCs/>
          <w:sz w:val="24"/>
          <w:szCs w:val="24"/>
          <w:rtl/>
          <w:lang w:bidi="ar-EG"/>
        </w:rPr>
      </w:pPr>
    </w:p>
    <w:p w14:paraId="5F4EE2DE" w14:textId="473499F0" w:rsidR="009125CE" w:rsidRPr="00525FBB" w:rsidRDefault="00F540ED" w:rsidP="009125CE">
      <w:pPr>
        <w:jc w:val="center"/>
        <w:rPr>
          <w:rFonts w:asciiTheme="majorBidi" w:hAnsiTheme="majorBidi" w:cstheme="majorBidi"/>
          <w:b/>
          <w:bCs/>
          <w:sz w:val="24"/>
          <w:szCs w:val="24"/>
          <w:lang w:bidi="ar-EG"/>
        </w:rPr>
      </w:pPr>
      <w:r w:rsidRPr="00525FBB">
        <w:rPr>
          <w:rFonts w:asciiTheme="majorBidi" w:hAnsiTheme="majorBidi" w:cstheme="majorBidi"/>
          <w:b/>
          <w:bCs/>
          <w:sz w:val="24"/>
          <w:szCs w:val="24"/>
          <w:lang w:bidi="ar-EG"/>
        </w:rPr>
        <w:t>Supervised by</w:t>
      </w:r>
    </w:p>
    <w:p w14:paraId="4797944E" w14:textId="17143DE6" w:rsidR="00506A5D" w:rsidRPr="00525FBB" w:rsidRDefault="00506A5D" w:rsidP="009125CE">
      <w:pPr>
        <w:jc w:val="center"/>
        <w:rPr>
          <w:rFonts w:asciiTheme="majorBidi" w:hAnsiTheme="majorBidi" w:cstheme="majorBidi"/>
          <w:b/>
          <w:bCs/>
          <w:sz w:val="24"/>
          <w:szCs w:val="24"/>
          <w:lang w:bidi="ar-EG"/>
        </w:rPr>
      </w:pPr>
      <w:r w:rsidRPr="00525FBB">
        <w:rPr>
          <w:rFonts w:asciiTheme="majorBidi" w:hAnsiTheme="majorBidi" w:cstheme="majorBidi"/>
          <w:b/>
          <w:bCs/>
          <w:sz w:val="24"/>
          <w:szCs w:val="24"/>
          <w:lang w:bidi="ar-EG"/>
        </w:rPr>
        <w:t xml:space="preserve">Dr. </w:t>
      </w:r>
      <w:proofErr w:type="spellStart"/>
      <w:r w:rsidRPr="00525FBB">
        <w:rPr>
          <w:rFonts w:asciiTheme="majorBidi" w:hAnsiTheme="majorBidi" w:cstheme="majorBidi"/>
          <w:b/>
          <w:bCs/>
          <w:sz w:val="24"/>
          <w:szCs w:val="24"/>
          <w:lang w:bidi="ar-EG"/>
        </w:rPr>
        <w:t>Alfaisal</w:t>
      </w:r>
      <w:proofErr w:type="spellEnd"/>
      <w:r w:rsidRPr="00525FBB">
        <w:rPr>
          <w:rFonts w:asciiTheme="majorBidi" w:hAnsiTheme="majorBidi" w:cstheme="majorBidi"/>
          <w:b/>
          <w:bCs/>
          <w:sz w:val="24"/>
          <w:szCs w:val="24"/>
          <w:lang w:bidi="ar-EG"/>
        </w:rPr>
        <w:t xml:space="preserve"> </w:t>
      </w:r>
      <w:proofErr w:type="spellStart"/>
      <w:r w:rsidRPr="00525FBB">
        <w:rPr>
          <w:rFonts w:asciiTheme="majorBidi" w:hAnsiTheme="majorBidi" w:cstheme="majorBidi"/>
          <w:b/>
          <w:bCs/>
          <w:sz w:val="24"/>
          <w:szCs w:val="24"/>
          <w:lang w:bidi="ar-EG"/>
        </w:rPr>
        <w:t>Abdulhameed</w:t>
      </w:r>
      <w:proofErr w:type="spellEnd"/>
    </w:p>
    <w:p w14:paraId="16CF2D6A" w14:textId="4C64A65B" w:rsidR="009125CE" w:rsidRPr="00525FBB" w:rsidRDefault="00506A5D" w:rsidP="00506A5D">
      <w:pPr>
        <w:jc w:val="center"/>
        <w:rPr>
          <w:rFonts w:asciiTheme="majorBidi" w:hAnsiTheme="majorBidi" w:cstheme="majorBidi"/>
          <w:b/>
          <w:bCs/>
          <w:sz w:val="24"/>
          <w:szCs w:val="24"/>
          <w:rtl/>
        </w:rPr>
      </w:pPr>
      <w:r w:rsidRPr="00525FBB">
        <w:rPr>
          <w:rFonts w:asciiTheme="majorBidi" w:hAnsiTheme="majorBidi" w:cstheme="majorBidi"/>
          <w:b/>
          <w:bCs/>
          <w:sz w:val="24"/>
          <w:szCs w:val="24"/>
          <w:lang w:bidi="ar-EG"/>
        </w:rPr>
        <w:t xml:space="preserve">Dr. Fayez </w:t>
      </w:r>
      <w:proofErr w:type="spellStart"/>
      <w:r w:rsidRPr="00525FBB">
        <w:rPr>
          <w:rFonts w:asciiTheme="majorBidi" w:hAnsiTheme="majorBidi" w:cstheme="majorBidi"/>
          <w:b/>
          <w:bCs/>
          <w:sz w:val="24"/>
          <w:szCs w:val="24"/>
          <w:lang w:bidi="ar-EG"/>
        </w:rPr>
        <w:t>Jarad</w:t>
      </w:r>
      <w:proofErr w:type="spellEnd"/>
    </w:p>
    <w:p w14:paraId="22738CC6" w14:textId="77777777" w:rsidR="009125CE" w:rsidRPr="00525FBB" w:rsidRDefault="009125CE" w:rsidP="009125CE">
      <w:pPr>
        <w:jc w:val="center"/>
        <w:rPr>
          <w:rFonts w:asciiTheme="majorBidi" w:hAnsiTheme="majorBidi" w:cstheme="majorBidi"/>
          <w:b/>
          <w:bCs/>
          <w:sz w:val="24"/>
          <w:szCs w:val="24"/>
          <w:rtl/>
          <w:lang w:bidi="ar-EG"/>
        </w:rPr>
      </w:pPr>
    </w:p>
    <w:p w14:paraId="0ECF42F7" w14:textId="06F02FC8" w:rsidR="009125CE" w:rsidRPr="00525FBB" w:rsidRDefault="009125CE" w:rsidP="009125CE">
      <w:pPr>
        <w:jc w:val="center"/>
        <w:rPr>
          <w:rFonts w:asciiTheme="majorBidi" w:hAnsiTheme="majorBidi" w:cstheme="majorBidi"/>
          <w:b/>
          <w:bCs/>
          <w:sz w:val="24"/>
          <w:szCs w:val="24"/>
          <w:rtl/>
          <w:lang w:bidi="ar-EG"/>
        </w:rPr>
      </w:pPr>
      <w:r w:rsidRPr="00525FBB">
        <w:rPr>
          <w:rFonts w:asciiTheme="majorBidi" w:hAnsiTheme="majorBidi" w:cstheme="majorBidi"/>
          <w:b/>
          <w:bCs/>
          <w:sz w:val="24"/>
          <w:szCs w:val="24"/>
          <w:rtl/>
          <w:lang w:bidi="ar-EG"/>
        </w:rPr>
        <w:t>202</w:t>
      </w:r>
      <w:r w:rsidR="00D52480" w:rsidRPr="00525FBB">
        <w:rPr>
          <w:rFonts w:asciiTheme="majorBidi" w:hAnsiTheme="majorBidi" w:cstheme="majorBidi"/>
          <w:b/>
          <w:bCs/>
          <w:sz w:val="24"/>
          <w:szCs w:val="24"/>
          <w:rtl/>
          <w:lang w:bidi="ar-EG"/>
        </w:rPr>
        <w:t>4</w:t>
      </w:r>
      <w:r w:rsidR="00F540ED" w:rsidRPr="00525FBB">
        <w:rPr>
          <w:rFonts w:asciiTheme="majorBidi" w:hAnsiTheme="majorBidi" w:cstheme="majorBidi"/>
          <w:b/>
          <w:bCs/>
          <w:sz w:val="24"/>
          <w:szCs w:val="24"/>
          <w:lang w:bidi="ar-EG"/>
        </w:rPr>
        <w:t xml:space="preserve">Year: </w:t>
      </w:r>
    </w:p>
    <w:p w14:paraId="5DBA947E" w14:textId="77777777" w:rsidR="009125CE" w:rsidRPr="00525FBB" w:rsidRDefault="009125CE" w:rsidP="009125CE">
      <w:pPr>
        <w:jc w:val="center"/>
        <w:rPr>
          <w:rFonts w:asciiTheme="majorBidi" w:hAnsiTheme="majorBidi" w:cstheme="majorBidi"/>
          <w:b/>
          <w:bCs/>
          <w:sz w:val="24"/>
          <w:szCs w:val="24"/>
          <w:rtl/>
          <w:lang w:bidi="ar-EG"/>
        </w:rPr>
      </w:pPr>
    </w:p>
    <w:p w14:paraId="71099ADB" w14:textId="77777777" w:rsidR="009125CE" w:rsidRPr="00525FBB" w:rsidRDefault="009125CE" w:rsidP="009125CE">
      <w:pPr>
        <w:jc w:val="center"/>
        <w:rPr>
          <w:rFonts w:asciiTheme="majorBidi" w:hAnsiTheme="majorBidi" w:cstheme="majorBidi"/>
          <w:b/>
          <w:bCs/>
          <w:sz w:val="24"/>
          <w:szCs w:val="24"/>
          <w:rtl/>
          <w:lang w:bidi="ar-EG"/>
        </w:rPr>
      </w:pPr>
    </w:p>
    <w:p w14:paraId="7D0AC58A" w14:textId="1A1000F3" w:rsidR="00D34361" w:rsidRDefault="00D34361" w:rsidP="00D34361">
      <w:pPr>
        <w:spacing w:after="0" w:line="480" w:lineRule="auto"/>
        <w:jc w:val="right"/>
        <w:rPr>
          <w:rFonts w:asciiTheme="majorBidi" w:hAnsiTheme="majorBidi" w:cstheme="majorBidi"/>
          <w:b/>
          <w:bCs/>
          <w:sz w:val="24"/>
          <w:szCs w:val="24"/>
        </w:rPr>
      </w:pPr>
    </w:p>
    <w:p w14:paraId="730128D7" w14:textId="0E88B3A6" w:rsidR="00525FBB" w:rsidRDefault="00525FBB" w:rsidP="00D34361">
      <w:pPr>
        <w:spacing w:after="0" w:line="480" w:lineRule="auto"/>
        <w:jc w:val="right"/>
        <w:rPr>
          <w:rFonts w:asciiTheme="majorBidi" w:hAnsiTheme="majorBidi" w:cstheme="majorBidi"/>
          <w:b/>
          <w:bCs/>
          <w:sz w:val="24"/>
          <w:szCs w:val="24"/>
        </w:rPr>
      </w:pPr>
    </w:p>
    <w:p w14:paraId="2D609E61" w14:textId="6EA8B61E" w:rsidR="00525FBB" w:rsidRDefault="00525FBB" w:rsidP="00D34361">
      <w:pPr>
        <w:spacing w:after="0" w:line="480" w:lineRule="auto"/>
        <w:jc w:val="right"/>
        <w:rPr>
          <w:rFonts w:asciiTheme="majorBidi" w:hAnsiTheme="majorBidi" w:cstheme="majorBidi"/>
          <w:b/>
          <w:bCs/>
          <w:sz w:val="24"/>
          <w:szCs w:val="24"/>
        </w:rPr>
      </w:pPr>
    </w:p>
    <w:p w14:paraId="595F96A8" w14:textId="43238B50" w:rsidR="00525FBB" w:rsidRDefault="00525FBB" w:rsidP="00D34361">
      <w:pPr>
        <w:spacing w:after="0" w:line="480" w:lineRule="auto"/>
        <w:jc w:val="right"/>
        <w:rPr>
          <w:rFonts w:asciiTheme="majorBidi" w:hAnsiTheme="majorBidi" w:cstheme="majorBidi"/>
          <w:b/>
          <w:bCs/>
          <w:sz w:val="24"/>
          <w:szCs w:val="24"/>
        </w:rPr>
      </w:pPr>
    </w:p>
    <w:p w14:paraId="791CFD64" w14:textId="6831DB7D" w:rsidR="00525FBB" w:rsidRPr="00525FBB" w:rsidRDefault="00525FBB" w:rsidP="00D34361">
      <w:pPr>
        <w:spacing w:after="0" w:line="480" w:lineRule="auto"/>
        <w:jc w:val="right"/>
        <w:rPr>
          <w:rFonts w:asciiTheme="majorBidi" w:hAnsiTheme="majorBidi" w:cstheme="majorBidi"/>
          <w:sz w:val="24"/>
          <w:szCs w:val="24"/>
        </w:rPr>
      </w:pPr>
    </w:p>
    <w:p w14:paraId="21493D50" w14:textId="77777777" w:rsidR="00D34361" w:rsidRPr="00525FBB" w:rsidRDefault="00D34361" w:rsidP="00D34361">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lastRenderedPageBreak/>
        <w:t>Abstract</w:t>
      </w:r>
    </w:p>
    <w:p w14:paraId="11C1FB69" w14:textId="77777777" w:rsidR="00D34361" w:rsidRPr="00525FBB" w:rsidRDefault="00D34361" w:rsidP="00D34361">
      <w:pPr>
        <w:spacing w:after="0" w:line="480" w:lineRule="auto"/>
        <w:jc w:val="right"/>
        <w:rPr>
          <w:rFonts w:asciiTheme="majorBidi" w:hAnsiTheme="majorBidi" w:cstheme="majorBidi"/>
          <w:sz w:val="24"/>
          <w:szCs w:val="24"/>
        </w:rPr>
      </w:pPr>
      <w:r w:rsidRPr="00525FBB">
        <w:rPr>
          <w:rFonts w:asciiTheme="majorBidi" w:hAnsiTheme="majorBidi" w:cstheme="majorBidi"/>
          <w:b/>
          <w:bCs/>
          <w:sz w:val="24"/>
          <w:szCs w:val="24"/>
        </w:rPr>
        <w:t xml:space="preserve">Background: </w:t>
      </w:r>
      <w:r w:rsidRPr="00525FBB">
        <w:rPr>
          <w:rFonts w:asciiTheme="majorBidi" w:hAnsiTheme="majorBidi" w:cstheme="majorBidi"/>
          <w:sz w:val="24"/>
          <w:szCs w:val="24"/>
        </w:rPr>
        <w:t xml:space="preserve">Saudi Arabia’s healthcare system is undergoing a transformative shift under Vision 2030, aiming to enhance accessibility, quality, and sustainability. Despite substantial investments and policy changes, challenges such as workforce shortages, infrastructure limitations, and financial sustainability persist. This systematic review examines the key themes, challenges, opportunities, and </w:t>
      </w:r>
      <w:proofErr w:type="spellStart"/>
      <w:r w:rsidRPr="00525FBB">
        <w:rPr>
          <w:rFonts w:asciiTheme="majorBidi" w:hAnsiTheme="majorBidi" w:cstheme="majorBidi"/>
          <w:sz w:val="24"/>
          <w:szCs w:val="24"/>
        </w:rPr>
        <w:t>mitigative</w:t>
      </w:r>
      <w:proofErr w:type="spellEnd"/>
      <w:r w:rsidRPr="00525FBB">
        <w:rPr>
          <w:rFonts w:asciiTheme="majorBidi" w:hAnsiTheme="majorBidi" w:cstheme="majorBidi"/>
          <w:sz w:val="24"/>
          <w:szCs w:val="24"/>
        </w:rPr>
        <w:t xml:space="preserve"> strategies discussed in recent studies on Saudi healthcare transformation. The aim is to identify common patterns and provide recommendations for improving healthcare delivery in alignment with Vision 2030 goals.</w:t>
      </w:r>
    </w:p>
    <w:p w14:paraId="59D69A59" w14:textId="77777777" w:rsidR="00D34361" w:rsidRPr="00525FBB" w:rsidRDefault="00D34361" w:rsidP="00D34361">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t xml:space="preserve">Objectives: </w:t>
      </w:r>
      <w:r w:rsidRPr="00525FBB">
        <w:rPr>
          <w:rFonts w:asciiTheme="majorBidi" w:hAnsiTheme="majorBidi" w:cstheme="majorBidi"/>
          <w:sz w:val="24"/>
          <w:szCs w:val="24"/>
        </w:rPr>
        <w:t>The primary objective of this systematic review is to assess the ongoing healthcare transformation in Saudi Arabia, particularly focusing on the impact of Vision 2030 reforms. Specific objectives include identifying the key challenges faced by the healthcare sector, opportunities for improvement, and the strategies proposed to mitigate existing issues. The review also aims to compare the Saudi healthcare scenario with global trends in healthcare reform</w:t>
      </w:r>
    </w:p>
    <w:p w14:paraId="18EC32CF" w14:textId="77777777" w:rsidR="00D34361" w:rsidRPr="00525FBB" w:rsidRDefault="00D34361" w:rsidP="00D34361">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t xml:space="preserve">Methods: </w:t>
      </w:r>
      <w:r w:rsidRPr="00525FBB">
        <w:rPr>
          <w:rFonts w:asciiTheme="majorBidi" w:hAnsiTheme="majorBidi" w:cstheme="majorBidi"/>
          <w:sz w:val="24"/>
          <w:szCs w:val="24"/>
        </w:rPr>
        <w:t xml:space="preserve">A comprehensive literature search was conducted across several databases, including PubMed, </w:t>
      </w:r>
      <w:proofErr w:type="spellStart"/>
      <w:r w:rsidRPr="00525FBB">
        <w:rPr>
          <w:rFonts w:asciiTheme="majorBidi" w:hAnsiTheme="majorBidi" w:cstheme="majorBidi"/>
          <w:sz w:val="24"/>
          <w:szCs w:val="24"/>
        </w:rPr>
        <w:t>ScienceDirect</w:t>
      </w:r>
      <w:proofErr w:type="spellEnd"/>
      <w:r w:rsidRPr="00525FBB">
        <w:rPr>
          <w:rFonts w:asciiTheme="majorBidi" w:hAnsiTheme="majorBidi" w:cstheme="majorBidi"/>
          <w:sz w:val="24"/>
          <w:szCs w:val="24"/>
        </w:rPr>
        <w:t>, and Google Scholar, focusing on studies published between 2020 and 2025. The inclusion criteria were studies that examined the healthcare transformation efforts under Vision 2030, with a focus on workforce development, digital health integration, and public-private partnerships. A thematic analysis was performed to identify recurring patterns and extract key insights from the studies.</w:t>
      </w:r>
    </w:p>
    <w:p w14:paraId="3865E6F2" w14:textId="77777777" w:rsidR="00D34361" w:rsidRPr="00525FBB" w:rsidRDefault="00D34361" w:rsidP="00D34361">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t xml:space="preserve">Results: </w:t>
      </w:r>
      <w:r w:rsidRPr="00525FBB">
        <w:rPr>
          <w:rFonts w:asciiTheme="majorBidi" w:hAnsiTheme="majorBidi" w:cstheme="majorBidi"/>
          <w:sz w:val="24"/>
          <w:szCs w:val="24"/>
        </w:rPr>
        <w:t xml:space="preserve">The results revealed that the healthcare transformation in Saudi Arabia under Vision 2030 is making significant progress but is hindered by workforce shortages, regional healthcare disparities, and infrastructure limitations. Common opportunities identified include the integration of digital health technologies, the expansion of public-private partnerships (PPPs), and workforce development initiatives. </w:t>
      </w:r>
      <w:proofErr w:type="spellStart"/>
      <w:r w:rsidRPr="00525FBB">
        <w:rPr>
          <w:rFonts w:asciiTheme="majorBidi" w:hAnsiTheme="majorBidi" w:cstheme="majorBidi"/>
          <w:sz w:val="24"/>
          <w:szCs w:val="24"/>
        </w:rPr>
        <w:t>Mitigative</w:t>
      </w:r>
      <w:proofErr w:type="spellEnd"/>
      <w:r w:rsidRPr="00525FBB">
        <w:rPr>
          <w:rFonts w:asciiTheme="majorBidi" w:hAnsiTheme="majorBidi" w:cstheme="majorBidi"/>
          <w:sz w:val="24"/>
          <w:szCs w:val="24"/>
        </w:rPr>
        <w:t xml:space="preserve"> strategies </w:t>
      </w:r>
      <w:r w:rsidRPr="00525FBB">
        <w:rPr>
          <w:rFonts w:asciiTheme="majorBidi" w:hAnsiTheme="majorBidi" w:cstheme="majorBidi"/>
          <w:sz w:val="24"/>
          <w:szCs w:val="24"/>
        </w:rPr>
        <w:lastRenderedPageBreak/>
        <w:t>emphasize the need for robust training programs, private sector involvement, and policy reforms to ensure the sustainability and accessibility of healthcare services.</w:t>
      </w:r>
    </w:p>
    <w:p w14:paraId="3859B126" w14:textId="77777777" w:rsidR="00D34361" w:rsidRPr="00525FBB" w:rsidRDefault="00D34361" w:rsidP="00D34361">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t xml:space="preserve">Conclusion: </w:t>
      </w:r>
      <w:r w:rsidRPr="00525FBB">
        <w:rPr>
          <w:rFonts w:asciiTheme="majorBidi" w:hAnsiTheme="majorBidi" w:cstheme="majorBidi"/>
          <w:sz w:val="24"/>
          <w:szCs w:val="24"/>
        </w:rPr>
        <w:t>While Saudi Arabia’s healthcare system is moving in the right direction under Vision 2030, there are critical challenges that must be addressed. Strengthening workforce development, expanding digital health, and ensuring equitable resource distribution across regions are key to achieving the Vision’s healthcare objectives. This review provides actionable recommendations for policymakers to improve healthcare delivery and sustainability in Saudi Arabia.</w:t>
      </w:r>
    </w:p>
    <w:p w14:paraId="63EDD379" w14:textId="77777777" w:rsidR="00D34361" w:rsidRPr="00525FBB" w:rsidRDefault="00D34361" w:rsidP="00D34361">
      <w:pPr>
        <w:spacing w:after="0" w:line="480" w:lineRule="auto"/>
        <w:jc w:val="right"/>
        <w:rPr>
          <w:rFonts w:asciiTheme="majorBidi" w:hAnsiTheme="majorBidi" w:cstheme="majorBidi"/>
          <w:sz w:val="24"/>
          <w:szCs w:val="24"/>
        </w:rPr>
      </w:pPr>
      <w:r w:rsidRPr="00525FBB">
        <w:rPr>
          <w:rFonts w:asciiTheme="majorBidi" w:hAnsiTheme="majorBidi" w:cstheme="majorBidi"/>
          <w:b/>
          <w:bCs/>
          <w:sz w:val="24"/>
          <w:szCs w:val="24"/>
        </w:rPr>
        <w:t xml:space="preserve">Keywords: </w:t>
      </w:r>
      <w:r w:rsidRPr="00525FBB">
        <w:rPr>
          <w:rFonts w:asciiTheme="majorBidi" w:hAnsiTheme="majorBidi" w:cstheme="majorBidi"/>
          <w:sz w:val="24"/>
          <w:szCs w:val="24"/>
        </w:rPr>
        <w:t>Saudi Arabia, healthcare transformation, Vision 2030, workforce development, digital health, public-private partnerships, healthcare challenges, health system reform</w:t>
      </w:r>
    </w:p>
    <w:p w14:paraId="35D6AC8A" w14:textId="77777777" w:rsidR="00D34361" w:rsidRPr="00525FBB" w:rsidRDefault="00D34361" w:rsidP="00D34361">
      <w:pPr>
        <w:spacing w:after="0" w:line="480" w:lineRule="auto"/>
        <w:rPr>
          <w:rFonts w:asciiTheme="majorBidi" w:hAnsiTheme="majorBidi" w:cstheme="majorBidi"/>
          <w:sz w:val="24"/>
          <w:szCs w:val="24"/>
        </w:rPr>
      </w:pPr>
    </w:p>
    <w:p w14:paraId="07A5ECF9" w14:textId="77777777" w:rsidR="00D34361" w:rsidRPr="00525FBB" w:rsidRDefault="00D34361" w:rsidP="00D34361">
      <w:pPr>
        <w:spacing w:after="0" w:line="480" w:lineRule="auto"/>
        <w:rPr>
          <w:rFonts w:asciiTheme="majorBidi" w:hAnsiTheme="majorBidi" w:cstheme="majorBidi"/>
          <w:sz w:val="24"/>
          <w:szCs w:val="24"/>
        </w:rPr>
      </w:pPr>
    </w:p>
    <w:p w14:paraId="7E2E940E" w14:textId="5BF2EA79" w:rsidR="00D34361" w:rsidRPr="00525FBB" w:rsidRDefault="00D34361" w:rsidP="00D34361">
      <w:pPr>
        <w:tabs>
          <w:tab w:val="left" w:pos="5292"/>
        </w:tabs>
        <w:jc w:val="right"/>
        <w:rPr>
          <w:rFonts w:asciiTheme="majorBidi" w:hAnsiTheme="majorBidi" w:cstheme="majorBidi"/>
          <w:sz w:val="24"/>
          <w:szCs w:val="24"/>
        </w:rPr>
      </w:pPr>
    </w:p>
    <w:p w14:paraId="111A1ADF" w14:textId="31859A9B" w:rsidR="00D34361" w:rsidRPr="00525FBB" w:rsidRDefault="00D34361" w:rsidP="00F540ED">
      <w:pPr>
        <w:tabs>
          <w:tab w:val="left" w:pos="5292"/>
        </w:tabs>
        <w:rPr>
          <w:rFonts w:asciiTheme="majorBidi" w:hAnsiTheme="majorBidi" w:cstheme="majorBidi"/>
          <w:b/>
          <w:bCs/>
          <w:sz w:val="24"/>
          <w:szCs w:val="24"/>
        </w:rPr>
      </w:pPr>
    </w:p>
    <w:p w14:paraId="6D88EB9F" w14:textId="38C41F42" w:rsidR="00D34361" w:rsidRPr="00525FBB" w:rsidRDefault="00D34361" w:rsidP="00F540ED">
      <w:pPr>
        <w:tabs>
          <w:tab w:val="left" w:pos="5292"/>
        </w:tabs>
        <w:rPr>
          <w:rFonts w:asciiTheme="majorBidi" w:hAnsiTheme="majorBidi" w:cstheme="majorBidi"/>
          <w:b/>
          <w:bCs/>
          <w:sz w:val="24"/>
          <w:szCs w:val="24"/>
        </w:rPr>
      </w:pPr>
    </w:p>
    <w:p w14:paraId="56F0016A" w14:textId="50732290" w:rsidR="00D34361" w:rsidRPr="00525FBB" w:rsidRDefault="00D34361" w:rsidP="00F540ED">
      <w:pPr>
        <w:tabs>
          <w:tab w:val="left" w:pos="5292"/>
        </w:tabs>
        <w:rPr>
          <w:rFonts w:asciiTheme="majorBidi" w:hAnsiTheme="majorBidi" w:cstheme="majorBidi"/>
          <w:b/>
          <w:bCs/>
          <w:sz w:val="24"/>
          <w:szCs w:val="24"/>
        </w:rPr>
      </w:pPr>
    </w:p>
    <w:p w14:paraId="6C01CD18" w14:textId="1C26094F" w:rsidR="00D34361" w:rsidRPr="00525FBB" w:rsidRDefault="00D34361" w:rsidP="00F540ED">
      <w:pPr>
        <w:tabs>
          <w:tab w:val="left" w:pos="5292"/>
        </w:tabs>
        <w:rPr>
          <w:rFonts w:asciiTheme="majorBidi" w:hAnsiTheme="majorBidi" w:cstheme="majorBidi"/>
          <w:b/>
          <w:bCs/>
          <w:sz w:val="24"/>
          <w:szCs w:val="24"/>
        </w:rPr>
      </w:pPr>
    </w:p>
    <w:p w14:paraId="7A3FCB47" w14:textId="7C6649BE" w:rsidR="00D34361" w:rsidRPr="00525FBB" w:rsidRDefault="00D34361" w:rsidP="00F540ED">
      <w:pPr>
        <w:tabs>
          <w:tab w:val="left" w:pos="5292"/>
        </w:tabs>
        <w:rPr>
          <w:rFonts w:asciiTheme="majorBidi" w:hAnsiTheme="majorBidi" w:cstheme="majorBidi"/>
          <w:b/>
          <w:bCs/>
          <w:sz w:val="24"/>
          <w:szCs w:val="24"/>
        </w:rPr>
      </w:pPr>
    </w:p>
    <w:p w14:paraId="7B27EE0A" w14:textId="45E3E4C0" w:rsidR="00D34361" w:rsidRPr="00525FBB" w:rsidRDefault="00D34361" w:rsidP="00F540ED">
      <w:pPr>
        <w:tabs>
          <w:tab w:val="left" w:pos="5292"/>
        </w:tabs>
        <w:rPr>
          <w:rFonts w:asciiTheme="majorBidi" w:hAnsiTheme="majorBidi" w:cstheme="majorBidi"/>
          <w:b/>
          <w:bCs/>
          <w:sz w:val="24"/>
          <w:szCs w:val="24"/>
        </w:rPr>
      </w:pPr>
    </w:p>
    <w:p w14:paraId="52CB81F9" w14:textId="644620B2" w:rsidR="00D34361" w:rsidRPr="00525FBB" w:rsidRDefault="00D34361" w:rsidP="00F540ED">
      <w:pPr>
        <w:tabs>
          <w:tab w:val="left" w:pos="5292"/>
        </w:tabs>
        <w:rPr>
          <w:rFonts w:asciiTheme="majorBidi" w:hAnsiTheme="majorBidi" w:cstheme="majorBidi"/>
          <w:b/>
          <w:bCs/>
          <w:sz w:val="24"/>
          <w:szCs w:val="24"/>
        </w:rPr>
      </w:pPr>
    </w:p>
    <w:p w14:paraId="71613470" w14:textId="39259C7B" w:rsidR="00D34361" w:rsidRPr="00525FBB" w:rsidRDefault="00D34361" w:rsidP="00F540ED">
      <w:pPr>
        <w:tabs>
          <w:tab w:val="left" w:pos="5292"/>
        </w:tabs>
        <w:rPr>
          <w:rFonts w:asciiTheme="majorBidi" w:hAnsiTheme="majorBidi" w:cstheme="majorBidi"/>
          <w:b/>
          <w:bCs/>
          <w:sz w:val="24"/>
          <w:szCs w:val="24"/>
        </w:rPr>
      </w:pPr>
    </w:p>
    <w:p w14:paraId="72F0F4D2" w14:textId="20ED09D6" w:rsidR="00D34361" w:rsidRPr="00525FBB" w:rsidRDefault="00D34361" w:rsidP="00F540ED">
      <w:pPr>
        <w:tabs>
          <w:tab w:val="left" w:pos="5292"/>
        </w:tabs>
        <w:rPr>
          <w:rFonts w:asciiTheme="majorBidi" w:hAnsiTheme="majorBidi" w:cstheme="majorBidi"/>
          <w:b/>
          <w:bCs/>
          <w:sz w:val="24"/>
          <w:szCs w:val="24"/>
        </w:rPr>
      </w:pPr>
    </w:p>
    <w:p w14:paraId="409F1FCC" w14:textId="3393B2C5" w:rsidR="00D34361" w:rsidRPr="00525FBB" w:rsidRDefault="00D34361" w:rsidP="00F540ED">
      <w:pPr>
        <w:tabs>
          <w:tab w:val="left" w:pos="5292"/>
        </w:tabs>
        <w:rPr>
          <w:rFonts w:asciiTheme="majorBidi" w:hAnsiTheme="majorBidi" w:cstheme="majorBidi"/>
          <w:b/>
          <w:bCs/>
          <w:sz w:val="24"/>
          <w:szCs w:val="24"/>
        </w:rPr>
      </w:pPr>
    </w:p>
    <w:p w14:paraId="443E0B5B" w14:textId="5BBE357B" w:rsidR="00D34361" w:rsidRDefault="00D34361" w:rsidP="00F540ED">
      <w:pPr>
        <w:tabs>
          <w:tab w:val="left" w:pos="5292"/>
        </w:tabs>
        <w:rPr>
          <w:rFonts w:asciiTheme="majorBidi" w:hAnsiTheme="majorBidi" w:cstheme="majorBidi"/>
          <w:b/>
          <w:bCs/>
          <w:sz w:val="24"/>
          <w:szCs w:val="24"/>
        </w:rPr>
      </w:pPr>
    </w:p>
    <w:p w14:paraId="2B169F2E" w14:textId="1DE565FB" w:rsidR="00525FBB" w:rsidRDefault="00525FBB" w:rsidP="00F540ED">
      <w:pPr>
        <w:tabs>
          <w:tab w:val="left" w:pos="5292"/>
        </w:tabs>
        <w:rPr>
          <w:rFonts w:asciiTheme="majorBidi" w:hAnsiTheme="majorBidi" w:cstheme="majorBidi"/>
          <w:b/>
          <w:bCs/>
          <w:sz w:val="24"/>
          <w:szCs w:val="24"/>
        </w:rPr>
      </w:pPr>
    </w:p>
    <w:p w14:paraId="0485FF7E" w14:textId="77777777" w:rsidR="00525FBB" w:rsidRPr="00525FBB" w:rsidRDefault="00525FBB" w:rsidP="00F540ED">
      <w:pPr>
        <w:tabs>
          <w:tab w:val="left" w:pos="5292"/>
        </w:tabs>
        <w:rPr>
          <w:rFonts w:asciiTheme="majorBidi" w:hAnsiTheme="majorBidi" w:cstheme="majorBidi"/>
          <w:b/>
          <w:bCs/>
          <w:sz w:val="24"/>
          <w:szCs w:val="24"/>
        </w:rPr>
      </w:pPr>
    </w:p>
    <w:p w14:paraId="773A78AF" w14:textId="1934CFE8" w:rsidR="00D34361" w:rsidRPr="00525FBB" w:rsidRDefault="00D34361" w:rsidP="00F540ED">
      <w:pPr>
        <w:tabs>
          <w:tab w:val="left" w:pos="5292"/>
        </w:tabs>
        <w:rPr>
          <w:rFonts w:asciiTheme="majorBidi" w:hAnsiTheme="majorBidi" w:cstheme="majorBidi"/>
          <w:b/>
          <w:bCs/>
          <w:sz w:val="24"/>
          <w:szCs w:val="24"/>
        </w:rPr>
      </w:pPr>
    </w:p>
    <w:p w14:paraId="1A18B45A" w14:textId="40CB9598" w:rsidR="00D34361" w:rsidRPr="00525FBB" w:rsidRDefault="00D34361" w:rsidP="00F540ED">
      <w:pPr>
        <w:tabs>
          <w:tab w:val="left" w:pos="5292"/>
        </w:tabs>
        <w:rPr>
          <w:rFonts w:asciiTheme="majorBidi" w:hAnsiTheme="majorBidi" w:cstheme="majorBidi"/>
          <w:b/>
          <w:bCs/>
          <w:sz w:val="24"/>
          <w:szCs w:val="24"/>
        </w:rPr>
      </w:pPr>
    </w:p>
    <w:p w14:paraId="6A3E5826" w14:textId="77777777"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lastRenderedPageBreak/>
        <w:t>Introduction</w:t>
      </w:r>
    </w:p>
    <w:p w14:paraId="74C8A6DB"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The healthcare system in the Kingdom of Saudi Arabia previously focused primarily on treatment and crisis management. The current era has seen a comprehensive transformation in alignment with the ambitious Vision 2030 plan.</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{"citationItems":[{"id":"ITEM-1","itemData":{"DOI":"10.1080/20479700.2020.1788334","ISSN":"20479719","abstract":"Purpose: This article explores the role of Vision 2030 in strengthening the healthcare system in Saudi Arabia. Methods: Systematic review and document analysis. Thematic data analysis technique was used to analyse the data. Findings: Primarily, Vision 2030 may contribute to diversify the economy. It would bring in many changes in society and economy. Overall, Vision 2030 may have a limited impact on changing the graph of the health of the citizens of Saudi Arabia. Conclusion: The government highlighted Vision 2030 to gain popular support but actual action to improve population health remains limited. The government needs to develop a sustainable healthcare by strengthening human resources in healthcare, decentralization and efficient use of resources through stewardship, good governance, accountability and transparency.","author":[{"dropping-particle":"","family":"Rahman","given":"Redwanur","non-dropping-particle":"","parse-names":false,"suffix":""},{"dropping-particle":"","family":"Al-Borie","given":"Hussein M.","non-dropping-particle":"","parse-names":false,"suffix":""}],"container-title":"International Journal of Healthcare Management","id":"ITEM-1","issued":{"date-parts":[["2020"]]},"page":"1-9","publisher":"Taylor and Francis Ltd.","title":"Strengthening the Saudi Arabian healthcare system: Role of Vision 2030","type":"article"},"uris":["http://www.mendeley.com/documents/?uuid=804e1302-f748-3f30-bb0d-8140363449f9"]}],"mendeley":{"formattedCitation":"(Rahman &amp; Al-Borie, 2020)","plainTextFormattedCitation":"(Rahman &amp; Al-Borie, 2020)","previouslyFormattedCitation":"(Rahman &amp; Al-Borie, 2020)"},"properties":{"noteIndex":0},"schema":"https://github.com/citation-style-language/schema/raw/master/csl-citation.json"}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(Rahman &amp; Al-Borie, 2020)</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 xml:space="preserve"> This transformative effort is designed to address key challenges, such as an aging population, the rise in non-communicable diseases (NCDs), and a dependency on foreign healthcare workers. Effort has been made to improve accessibility, quality, and sustainability while reducing costs and dependency on oil revenues, which remain volatile.</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{"citationItems":[{"id":"ITEM-1","itemData":{"DOI":"10.25122/JML-2021-0070","ISSN":"18443117","PMID":"34377200","abstract":"The Kingdom of Saudi Arabia espoused “Vision 2030” as a strategy for economic development and national growth. The vision demonstrated the Kingdom’s objectives to become a pioneer nation globally by achieving three main goals: a vibrant society, a thriving economy, and an ambitious nation. To fulfill this, the Kingdom launched a national transformation program (NTP) as outlined in “vision 2030” in June 2016. The health care transformation is one of the eight themes of the NTP’s. The history of health care facilities in the Kingdom is almost a century. Although the Kingdom has made notable progress in improving its population’s health over recent decades, it needs to modernize the health care system to reach the “vision 2030” goal. This article aims to describe the new Model of Care (MOC) according to the recent Saudi health care transformation under the Kingdom’s vision 2030. The MOC concept started with understanding the current state and collecting learnings. It is based on the six systems of care (SOC)-keeping well, planned pro-cedure, women &amp; children, urgent problems, chronic conditions, and the last phase of life. The SOC is cut across different “service layers” to support people’s stay well and efficiently get them healthy again when they need care. The new MOC describes a total of forty-two interventions, of which twenty-seven split across the six SOC and the rest fifteen cut-across the multiple SOC. Implementation of all MOC interventions will streamline the Saudi health care system to embrace the Kingdom’s “vision 2030”.","author":[{"dropping-particle":"","family":"Chowdhury","given":"Sharfuddin","non-dropping-particle":"","parse-names":false,"suffix":""},{"dropping-particle":"","family":"Mok","given":"Dennis","non-dropping-particle":"","parse-names":false,"suffix":""},{"dropping-particle":"","family":"Leenen","given":"Luke","non-dropping-particle":"","parse-names":false,"suffix":""}],"container-title":"Journal of Medicine and Life","id":"ITEM-1","issue":"3","issued":{"date-parts":[["2021"]]},"page":"347-354","publisher":"Carol Davila University Press","title":"Transformation of health care and the new model of care in Saudi Arabia: Kingdom’s Vision 2030","type":"article-journal","volume":"2021"},"uris":["http://www.mendeley.com/documents/?uuid=ca904cc5-f7b1-3496-81f2-dbfe2a304562"]}],"mendeley":{"formattedCitation":"(Chowdhury et al., 2021)","plainTextFormattedCitation":"(Chowdhury et al., 2021)","previouslyFormattedCitation":"(Chowdhury et al., 2021)"},"properties":{"noteIndex":0},"schema":"https://github.com/citation-style-language/schema/raw/master/csl-citation.json"}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(Chowdhury et al., 2021)</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 xml:space="preserve"> Risk assessments play a vital role in understanding and mitigating potential challenges in the redesign and implementation of any healthcare system. </w:t>
      </w:r>
    </w:p>
    <w:p w14:paraId="50B625D4"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Saudi Arabia’s healthcare system has made significant progress in the last few decades, improving life expectancy and reducing child and maternal mortality. However, with an increasing urbanized population and a growing number of chronic diseases such as diabetes, heart disease, and obesity, the healthcare infrastructure is under strain.</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{"citationItems":[{"id":"ITEM-1","itemData":{"DOI":"10.7759/cureus.38806","abstract":"Saudi Arabia has made significant progress in its healthcare system through increased healthcare spending, improved healthcare infrastructure, and better quality of care. The government has introduced initiatives such as universal health coverage, accreditation programs, and healthcare technology adoption. As a result, there has been an increase in access to healthcare services and improvements in healthcare indicators. However, the system still faces challenges such as a shortage of healthcare workers, a lack of preventive care, and health disparities between urban and rural areas. Addressing these challenges is crucial for achieving a more equitable and sustainable healthcare system in Saudi Arabia.","author":[{"dropping-particle":"","family":"Gurajala","given":"Swathi","non-dropping-particle":"","parse-names":false,"suffix":""}],"container-title":"Cureus","id":"ITEM-1","issued":{"date-parts":[["2023"]]},"title":"Healthcare System in the Kingdom of Saudi Arabia: An Expat Doctor's Perspective","type":"article-journal"},"uris":["http://www.mendeley.com/documents/?uuid=8bb10d75-85b1-405c-9884-69ed088a0c00"]}],"mendeley":{"formattedCitation":"(Gurajala, 2023)","plainTextFormattedCitation":"(Gurajala, 2023)","previouslyFormattedCitation":"(Gurajala, 2023)"},"properties":{"noteIndex":0},"schema":"https://github.com/citation-style-language/schema/raw/master/csl-citation.json"}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w:t>
      </w:r>
      <w:proofErr w:type="spellStart"/>
      <w:r w:rsidRPr="00525FBB">
        <w:rPr>
          <w:rFonts w:asciiTheme="majorBidi" w:hAnsiTheme="majorBidi" w:cstheme="majorBidi"/>
          <w:noProof/>
          <w:sz w:val="24"/>
          <w:szCs w:val="24"/>
        </w:rPr>
        <w:t>Gurajala</w:t>
      </w:r>
      <w:proofErr w:type="spellEnd"/>
      <w:r w:rsidRPr="00525FBB">
        <w:rPr>
          <w:rFonts w:asciiTheme="majorBidi" w:hAnsiTheme="majorBidi" w:cstheme="majorBidi"/>
          <w:noProof/>
          <w:sz w:val="24"/>
          <w:szCs w:val="24"/>
        </w:rPr>
        <w:t>, 2023)</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 xml:space="preserve"> The Saudi population is projected to increase from 33.5 million in 2018 to 39.5 million by 2030, the elderly population is expected to grow significantly, which will add pressure to healthcare services already stretched thin re​</w:t>
      </w:r>
      <w:proofErr w:type="spellStart"/>
      <w:r w:rsidRPr="00525FBB">
        <w:rPr>
          <w:rFonts w:asciiTheme="majorBidi" w:hAnsiTheme="majorBidi" w:cstheme="majorBidi"/>
          <w:sz w:val="24"/>
          <w:szCs w:val="24"/>
        </w:rPr>
        <w:t>gions</w:t>
      </w:r>
      <w:proofErr w:type="spellEnd"/>
      <w:r w:rsidRPr="00525FBB">
        <w:rPr>
          <w:rFonts w:asciiTheme="majorBidi" w:hAnsiTheme="majorBidi" w:cstheme="majorBidi"/>
          <w:sz w:val="24"/>
          <w:szCs w:val="24"/>
        </w:rPr>
        <w:t>, especially rural areas, suffer from inadequate access to primary and specialized care, creating disparities in healthcare quality.</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{"citationItems":[{"id":"ITEM-1","itemData":{"DOI":"10.1186/S40985-019-0112-4","ISSN":"21076952","abstract":"Background: Saudi Arabia is currently passing through a transformational phase. There is a huge demand on the Saudi healthcare system to provide better healthcare facilities to the rapidly increasing Saudi population, as well as the growing elderly population. Lack of trained healthcare professionals and heavy reliance on foreign workers are significant aspects for policymakers to consider and deal with. It is also important to re-examine the healthcare Human Resource Development (HRD) initiatives so as to provide a huge reserve of healthcare professionals with appropriate learning and competence. Method: This paper is a critical review based on secondary data collected from various sources including databases, reports, articles, books, government documents and earlier research undertaken in this regard. The paper is an attempt to document and evaluate the various steps suggested and undertaken by the new strategic plan, Vision 2030, and consequently documented in the National Transformation Program (NTP) adopted in April 2016 in the healthcare HRD sphere in Saudi Arabia. Results: It has been shown that appropriate HRD capacity building needs to be adopted along with the aggressive policy regulation. It is also important to ensure that future health sector investment meets the needs of local healthcare HRD. Saudization and the adoption of the 'Nitaqat' program have played an effective role in pushing the Saudization targets in the private sector, and there is a huge scope for the absorption of young trained Saudi boys and girls in the healthcare sector. Conclusion: Vision 2030 adopted in 2016 is a testimony to a revolutionary step undertaken by the government and that the healthcare sector is also passing through a major shift in its approach and execution. Vision 2030 has come out with a very clear sense of direction to the healthcare sector, and the projected shift from the existing one-third to two-third Saudi-to-foreigner workforce ratio by the year 2030 needs to be adopted carefully to turn the healthcare HRD challenges into opportunities.","author":[{"dropping-particle":"","family":"Al-Hanawi","given":"Mohammed Khaled","non-dropping-particle":"","parse-names":false,"suffix":""},{"dropping-particle":"","family":"Khan","given":"Sami A.","non-dropping-particle":"","parse-names":false,"suffix":""},{"dropping-particle":"","family":"Al-Borie","given":"Hussein Mohammed","non-dropping-particle":"","parse-names":false,"suffix":""}],"container-title":"Public Health Reviews","id":"ITEM-1","issue":"1","issued":{"date-parts":[["2019","2","27"]]},"publisher":"BioMed Central Ltd.","title":"Healthcare human resource development in Saudi Arabia: Emerging challenges and opportunities - A critical review","type":"article-journal","volume":"40"},"uris":["http://www.mendeley.com/documents/?uuid=58a40dcc-9c11-39c2-b97e-85eb289e3612"]},{"id":"ITEM-2","itemData":{"DOI":"10.1177/11786329221121214/SUPPL_FILE/SJ-DOCX-1-HIS-10.1177_11786329221121214.DOCX","ISSN":"11786329","abstract":"Saudi Arabia’s Vision 2030 has taken a centre stage in the development of its healthcare sector through privatization adopting Public Private Partnerships (PPPs). The objective of this study is to provide an overview of healthcare transformation in Saudi Arabia since the launch of the ambitious Vision 2030, identifying issues those need to be addressed and steps taken towards provision of health systems transformation. Literature review was based on extensive review of published and unpublished articles, where different search engines and databases searched using the key words: ‘Saudi Healthcare’, ‘Healthcare transformation’, ‘Saudi vision: 2030’, ‘Public-Private Partnerships’ and ‘Privatization’, in addition to secondary data as published in government reports, policy, government strategy documents and pertinent press releases. The future of the healthcare like many other developing economies continues to weigh policies for universal coverage while containing costs and the national transformation programme driven by social and economic factors has implemented strategic steps to develop its private healthcare system that includes: establishing health clusters, National Centre for Privatization &amp; PPP – an official enabler for privatization of all government sectors and recently approved Private Sector Participation (PSP) Law involves several legislative enablers designed to enhance investor confidence in the privatization process. Although this study demonstrates systemic legislative progress to facilitate transformation process of healthcare sector, also endorses caution and research in identifying barriers to the implementation of PPPs, Saudi workforce development, implementing effective revenue cycle management function for healthcare reimbursement and ensuring vulnerable population access to good quality and tertiary healthcare. As healthcare of Saudi Arabia embarks on the transformation journey facing daunting challenges, but it appears that the government has laid out a roadmap with the legislative framework; however it is important that there is ongoing monitoring with adjustments as this complex and multifaceted process proceeds.","author":[{"dropping-particle":"","family":"Alasiri","given":"Ahmed Ali","non-dropping-particle":"","parse-names":false,"suffix":""},{"dropping-particle":"","family":"Mohammed","given":"Viqaruddin","non-dropping-particle":"","parse-names":false,"suffix":""}],"container-title":"Health Services Insights","id":"ITEM-2","issued":{"date-parts":[["2022"]]},"publisher":"SAGE Publications Ltd","title":"Healthcare Transformation in Saudi Arabia: An Overview Since the Launch of Vision 2030","type":"article-journal","volume":"15"},"uris":["http://www.mendeley.com/documents/?uuid=bfdff6b0-4172-35ba-9f3e-711d6b6e9aaa"]}],"mendeley":{"formattedCitation":"(Al-Hanawi et al., 2019; Alasiri &amp; Mohammed, 2022)","plainTextFormattedCitation":"(Al-Hanawi et al., 2019; Alasiri &amp; Mohammed, 2022)","previouslyFormattedCitation":"(Al-Hanawi et al., 2019; Alasiri &amp; Mohammed, 2022)"},"properties":{"noteIndex":0},"schema":"https://github.com/citation-style-language/schema/raw/master/csl-citation.json"}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(Al-</w:t>
      </w:r>
      <w:proofErr w:type="spellStart"/>
      <w:r w:rsidRPr="00525FBB">
        <w:rPr>
          <w:rFonts w:asciiTheme="majorBidi" w:hAnsiTheme="majorBidi" w:cstheme="majorBidi"/>
          <w:noProof/>
          <w:sz w:val="24"/>
          <w:szCs w:val="24"/>
        </w:rPr>
        <w:t>Hanawi</w:t>
      </w:r>
      <w:proofErr w:type="spellEnd"/>
      <w:r w:rsidRPr="00525FBB">
        <w:rPr>
          <w:rFonts w:asciiTheme="majorBidi" w:hAnsiTheme="majorBidi" w:cstheme="majorBidi"/>
          <w:noProof/>
          <w:sz w:val="24"/>
          <w:szCs w:val="24"/>
        </w:rPr>
        <w:t xml:space="preserve"> et al., 2019; Alasiri &amp; Mohammed, 2022)</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 xml:space="preserve"> These challenges are compounded by inefficiencies within the system, such as poorly standardized clinical pathways, lack of coordinated care, and inefficiencies in workforce productivity. </w:t>
      </w:r>
    </w:p>
    <w:p w14:paraId="76D62309"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To address the challenges posed by the healthcare policies and practices, the country requires systemic reforms, including the decentralization of healthcare services, improvements in the primary care infrastructure, and the integration of technological </w:t>
      </w:r>
      <w:r w:rsidRPr="00525FBB">
        <w:rPr>
          <w:rFonts w:asciiTheme="majorBidi" w:hAnsiTheme="majorBidi" w:cstheme="majorBidi"/>
          <w:sz w:val="24"/>
          <w:szCs w:val="24"/>
        </w:rPr>
        <w:lastRenderedPageBreak/>
        <w:t xml:space="preserve">advancements such as eHealth.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{"citationItems":[{"id":"ITEM-1","itemData":{"DOI":"10.1080/20523211.2024.2449051","ISSN":"20523211","PMID":"39845746","abstract":"Vision 2030 represents Saudi Arabia’s strategic socio-economic plan aimed at promoting economic diversification and enhancing living standards. Launched in April 2016, this vision describes an innovative healthcare plan to improve services and outcomes. The merits and drawbacks of public hospitals’ ‘Model of Care’ are examined in this study. This assessment summarises Vision 2030s healthcare revolution. This study explores the innovative ‘Model of Care’ and its potential to change Saudi healthcare. Prior to Vision 2030, Saudi Arabia's healthcare system grappled with escalating costs and a heavy reliance on foreign labour, signalling a need for transformative change. Vision 2030s patient-centric framework emphasises individualised treatment, and the National Guidelines Center's role in standardising healthcare processes is examined in this review. In addition, we also explored the new initiative of Electronic Health Records and telemedicine services. Additionally, we addressed the challenges associated with it, such as the imperative to address the digital divide and ensure data security. Vision 2030 in Saudi Arabia brought about a significant transformation in the provision of healthcare. Despite the presence of challenges, such as inadequate infrastructure, insufficient personnel, and resistance to change, this vision offers a robust foundation for effectively tackling these concerns. The implementation of these improvements is expected to enhance the calibre and accessibility of healthcare services. This transitional change ensures healthcare is both innovative and inclusive, particularly in socioeconomically disadvantaged regions. This measure is expected to enhance the general welfare and economic success of the population in Saudi Arabia. The future of healthcare in the Kingdom hinges on the effective implementation of evidence-based therapy, collaborative cooperation, and equitable practices. The healthcare sector possesses significant potential for substantial positive transformation, notwithstanding its continuous nature.","author":[{"dropping-particle":"","family":"Suleiman","given":"Amal K.","non-dropping-particle":"","parse-names":false,"suffix":""},{"dropping-particle":"","family":"Ming","given":"Long Chiau","non-dropping-particle":"","parse-names":false,"suffix":""}],"container-title":"Journal of Pharmaceutical Policy and Practice","id":"ITEM-1","issue":"1","issued":{"date-parts":[["2025"]]},"page":"2449051","publisher":"Taylor and Francis Ltd.","title":"Transforming healthcare: Saudi Arabia's vision 2030 healthcare model","type":"article","volume":"18"},"uris":["http://www.mendeley.com/documents/?uuid=6ed7b2a1-b9ee-34fb-841e-79b7e17687c0"]}],"mendeley":{"formattedCitation":"(Suleiman &amp; Ming, 2025)","plainTextFormattedCitation":"(Suleiman &amp; Ming, 2025)","previouslyFormattedCitation":"(Suleiman &amp; Ming, 2025)"},"properties":{"noteIndex":0},"schema":"https://github.com/citation-style-language/schema/raw/master/csl-citation.json"}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(Suleiman &amp; Ming, 2025)</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 xml:space="preserve"> The growing demand for healthcare services necessitates a shift from a hospital-centered approach to one that prioritizes primary and preventative care. The establishment of a patient-centered healthcare system is central to this transformation, aiming to not only treat illnesses but also prevent them by promoting healthier lifestyles, better management of chronic diseases, and early detection of health conditions.</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{"citationItems":[{"id":"ITEM-1","itemData":{"DOI":"10.1111/scs.12376","ISSN":"14716712","PMID":"27859459","abstract":"Background: To empower patients and improve the quality of care, policy-makers increasingly adopt systems to enhance person-centred care. Although models of person-centredness and patient-centredness vary, respecting the needs and preferences of individuals receiving care is paramount. In Sweden, as in other countries, healthcare providers seek to improve person-centred principles and address gaps in practice. Consequently, researchers at the University of Gothenburg Centre for Person-Centred Care are currently delivering person-centred interventions employing a framework that incorporates three routines. These include eliciting the patient's narrative, agreeing a partnership with shared goals between patient and professional, and safeguarding this through documentation. Aim: To explore the barriers and facilitators to the delivery of person-centred care interventions, in different contexts. Method: Qualitative interviews were conducted with a purposeful sample of 18 researchers from seven research studies across contrasting healthcare settings. Interviews were transcribed, translated and thematically analysed, adopting some basic features of grounded theory. Ethical issues: The ethical code of conduct was followed and conformed to the ethical guidelines adopted by the Swedish Research Council. Results: Barriers to the implementation of person-centred care covered three themes: traditional practices and structures; sceptical, stereotypical attitudes from professionals; and factors related to the development of person-centred interventions. Facilitators included organisational factors, leadership and training and an enabling attitude and approach by professionals. Trained project managers, patients taking an active role in research and adaptive strategies by researchers all helped person-centred care delivery. Conclusion: At the University of Gothenburg, a model of person-centred care is being initiated and integrated into practice through research. Knowledgeable, well-trained professionals facilitate the routines of narrative elicitation and partnership. Strong leadership and adaptive strategies are important for overcoming existing practices, routines and methods of documentation. This study provides guidance for practitioners when delivering and adapting person-centred care in different contexts.","author":[{"dropping-particle":"","family":"Moore","given":"Lucy","non-dropping-particle":"","parse-names":false,"suffix":""},{"dropping-particle":"","family":"Britten","given":"Nicky","non-dropping-particle":"","parse-names":false,"suffix":""},{"dropping-particle":"","family":"Lydahl","given":"Doris","non-dropping-particle":"","parse-names":false,"suffix":""},{"dropping-particle":"","family":"Naldemirci","given":"Öncel","non-dropping-particle":"","parse-names":false,"suffix":""},{"dropping-particle":"","family":"Elam","given":"Mark","non-dropping-particle":"","parse-names":false,"suffix":""},{"dropping-particle":"","family":"Wolf","given":"Axel","non-dropping-particle":"","parse-names":false,"suffix":""}],"container-title":"Scandinavian Journal of Caring Sciences","id":"ITEM-1","issued":{"date-parts":[["2017"]]},"title":"Barriers and facilitators to the implementation of person-centred care in different healthcare contexts","type":"article-journal"},"uris":["http://www.mendeley.com/documents/?uuid=9f920442-4451-4fe4-b251-f567c216961c"]},{"id":"ITEM-2","itemData":{"DOI":"10.5539/gjhs.v12n6p73","ISSN":"1916-9736","abstract":"BACKGROUND: A key dimension of a quality healthcare to patients is patient-centered care approach which is increasingly gaining recognition worldwide. However, this concept is not fully implemented in practice.\r \r AIM: The aim of this study is to provide outcomes from assessment of nurses&amp;rsquo; perceptions about patient-centered care and the current trends in Primary Health Care system in South West Nigeria.\r \r METHODS: This study employed a qualitative participatory action research study approach and conducted a semi-structured individual interview with thirty-five nurses and four focus group discussions in Osun State South West Nigeria Primary Health Care centres.\r \r RESULTS: Primary Health Care (PHC) nurses perceived and described patient-centered care (PCC) as a global approach to improve and enhance nursing care to foster patient participation. The narratives were categorised into two: positive and negative perception. Ten main themes emerged: (I) Attitude of the nurses (ii) Lack of enforcement and implementation, (iii) Experience of the nurses, (iv) Quality-Caring, (v) Effective communication with patient, (vi) Motivated and Proactive healthcare, (vii) Sharpen the form of care, (viii) Outcome and after-effect driven healthcare, (ix) Approved support, and (x) Guarantor of service and motivation.\r \r CONCLUSION: Our participatory action research study on the assessment of nurses&amp;rsquo; perception on the utilization of PCC at the PHC for effective and quality healthcare service revealed the importance of nurses&amp;rsquo; role, acceptability of PCC and current nursing care practice at the Primary Health Care (PHC) rural community setting. Nurses as healthcare providers expressed PCC as a common and global approach that would enhance patient experiences and improves the quality of nursing healthcare delivery through integration of PCC and healthcare service at the PHC healthcare system.","author":[{"dropping-particle":"","family":"Lateef","given":"Adepeju M.","non-dropping-particle":"","parse-names":false,"suffix":""},{"dropping-particle":"","family":"Mhlongo","given":"Euphemia M.","non-dropping-particle":"","parse-names":false,"suffix":""}],"container-title":"Global Journal of Health Science","id":"ITEM-2","issued":{"date-parts":[["2020"]]},"title":"Trends in Patient-Centered Care in South West Nigeria: A Holistic Assessment of the Nurses Perception of Primary Healthcare Practice","type":"article-journal"},"uris":["http://www.mendeley.com/documents/?uuid=b17f4b68-5b34-4a56-a338-d037ef95176b"]},{"id":"ITEM-3","itemData":{"DOI":"10.1186/s12909-021-02775-9","ISSN":"14726920","PMID":"34078360","abstract":"Background: Large scale implementation of new strategies and healthcare delivery standards in academic medical centers (AMCs) requires training of healthcare workforce at different stages of their medical career. The patient-centered medical home (PCMH) model for healthcare delivery involves adoption by all members of the healthcare workforce, including seasoned professionals and trainees. Though widely known, the PCMH model has been implemented sporadically at large AMCs and methods to implement the model across healthcare workforce have not been well-documented. Methods: To meet all PCMH standards and achieve sustainable level 3 recognition, the authors implemented in 2014–2015 a multi-pronged approach that capitalized on existing educational infrastructure among faculty, residents, and medical students. Within 18 months, the authors applied new interdisciplinary practices and policies, redesigned residency training in continuity practices and extensively modified medical school curricula. Results: These innovative transformational education efforts addressed the six PCMH standards for faculty, residents, and undergraduate medical students. Faculty played a major role as system change agents and facilitators of learning. Residents learned to better understand patients’ cultural needs, identify ‘at-risk’ patients, ensure continuity of care, and assess and improve quality of care. Medical students were exposed to PCMH core standards throughout their training via simulations, training in the community and with patients, and evaluation tasks. By implementing these changes across the healthcare workforce, the AMC achieved PCMH status in a short time, changed practice culture and improved care for patients and the community. Since then, the AMC has been able to maintain PCMH recognition annually with minimal effort. Conclusions: Successful strategies that capitalize on existing strengths in infrastructure complemented by innovative educational offerings and inter-professional partnerships can be adapted by other organizations pursuing similar transformation efforts. This widespread transformation across the healthcare workforce facilitate a deep-rooted change that enabled our academic medical center to sustain PCMH recognition.","author":[{"dropping-particle":"","family":"Gendelman","given":"Rebecca","non-dropping-particle":"","parse-names":false,"suffix":""},{"dropping-particle":"","family":"Preis","given":"Heidi","non-dropping-particle":"","parse-names":false,"suffix":""},{"dropping-particle":"","family":"Chandran","given":"Latha","non-dropping-particle":"","parse-names":false,"suffix":""},{"dropping-particle":"","family":"Blair","given":"Robyn J.","non-dropping-particle":"","parse-names":false,"suffix":""},{"dropping-particle":"","family":"Chitkara","given":"Maribeth","non-dropping-particle":"","parse-names":false,"suffix":""},{"dropping-particle":"","family":"Pati","given":"Susmita","non-dropping-particle":"","parse-names":false,"suffix":""}],"container-title":"BMC Medical Education","id":"ITEM-3","issued":{"date-parts":[["2021"]]},"title":"Healthcare workforce transformation: implementing patient-centered medical home standards in an academic medical center","type":"article-journal"},"uris":["http://www.mendeley.com/documents/?uuid=494c89ea-12b6-4039-abf5-6aef8426f6d0"]}],"mendeley":{"formattedCitation":"(Gendelman et al., 2021; Lateef &amp; Mhlongo, 2020; Moore et al., 2017)","plainTextFormattedCitation":"(Gendelman et al., 2021; Lateef &amp; Mhlongo, 2020; Moore et al., 2017)","previouslyFormattedCitation":"(Gendelman et al., 2021; Lateef &amp; Mhlongo, 2020; Moore et al., 2017)"},"properties":{"noteIndex":0},"schema":"https://github.com/citation-style-language/schema/raw/master/csl-citation.json"}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w:t>
      </w:r>
      <w:proofErr w:type="spellStart"/>
      <w:r w:rsidRPr="00525FBB">
        <w:rPr>
          <w:rFonts w:asciiTheme="majorBidi" w:hAnsiTheme="majorBidi" w:cstheme="majorBidi"/>
          <w:noProof/>
          <w:sz w:val="24"/>
          <w:szCs w:val="24"/>
        </w:rPr>
        <w:t>Gendelman</w:t>
      </w:r>
      <w:proofErr w:type="spellEnd"/>
      <w:r w:rsidRPr="00525FBB">
        <w:rPr>
          <w:rFonts w:asciiTheme="majorBidi" w:hAnsiTheme="majorBidi" w:cstheme="majorBidi"/>
          <w:noProof/>
          <w:sz w:val="24"/>
          <w:szCs w:val="24"/>
        </w:rPr>
        <w:t xml:space="preserve"> et al., 2021; Lateef &amp; Mhlongo, 2020; Moore et al., 2017)</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 xml:space="preserve"> This shift aligns with global healthcare trends, which emphasize the importance of health promotion, prevention, and integrated care systems that span the entire continuum of care, from primary prevention to advanced treatment.</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{"citationItems":[{"id":"ITEM-1","itemData":{"DOI":"10.2147/CIA.S177286","ISSN":"11781998","PMID":"30425463","abstract":"Current trends in health care delivery and management such as predictive and personalized health care incorporating information and communication technologies, home-based care, health prevention and promotion through patients’ empowerment, care coordination, community health networks and governance represent exciting possibilities to dramatically improve health care. However, as a whole, current health care trends involve a fragmented and scattered array of practices and uncoordinated pilot projects. The present paper describes an innovative and integrated model incorporating and “assembling” best practices and projects of new innovations into an overarching health care system that can effectively address the multidimensional health care challenges related to aging patient especially with chronic health issues. The main goal of the proposed model is to address the emerging health care challenges of an aging population and stimulate improved cost-efficiency, effectiveness, and patients’ well-being. The proposed home-based and community-centered Integrated Healthcare Management System may facilitate reaching the persons in their natural context, improving early detection, and preventing illnesses. The system allows simplifying the health care institutional structures through interorganizational coordination, increasing inclusiveness and extensiveness of health care delivery. As a consequence of such coordination and integration, future merging efforts of current health care approaches may provide feasible solutions that result in improved cost-efficiency of health care services and simultaneously increase the quality of life, in particular, by switching the center of gravity of health delivery to a close relationship of individuals in their communities, making best use of their personal and social resources, especially effective in health delivery for aging persons with complex chronic illnesses.","author":[{"dropping-particle":"","family":"Gandarillas","given":"Miguel Ángel","non-dropping-particle":"","parse-names":false,"suffix":""},{"dropping-particle":"","family":"Goswami","given":"Nandu","non-dropping-particle":"","parse-names":false,"suffix":""}],"container-title":"Clinical Interventions in Aging","id":"ITEM-1","issued":{"date-parts":[["2018"]]},"title":"Merging current health care trends: Innovative perspective in aging care","type":"article"},"uris":["http://www.mendeley.com/documents/?uuid=549cdd80-c225-44c8-a0a5-b94a5deb926c"]},{"id":"ITEM-2","itemData":{"DOI":"10.1111/1440-1630.12174","ISSN":"14401630","PMID":"25649035","abstract":"Background/aim: Increasingly, health-care systems should promote seniors' health and prevent disability. As they enable engagement in meaningful activities within the individuals' living environment, community occupational therapists have great potential to contribute to health promotion and prevention. Despite this potential, little is known about current health promotion and prevention activities in occupational therapy community practice. This study thus aimed to: (1) identify health promotion and prevention interventions used with seniors having disabilities, and (2) explore barriers to integrating such interventions into practice. Methods: Secondary data analysis of a qualitative study was carried out using thematic saliency analysis. Eleven community occupational therapists working with seniors having disabilities were recruited in six community health settings in Québec, Canada. Observations of 12 home visits, followed by 12 semi-structured interviews, were conducted with occupational therapists. Results: Most interventions involved optimising independence in personal care and mobility. Explicit health promotion interventions were limited and included enabling healthy lifestyles by increasing health literacy and empowerment. Meaningful activities (leisure, community participation) were not targeted. Barriers to integrating health promotion into practice were clients' complex health conditions and limited openness to change combined with organisational and professional obstacles, such as a misunderstanding of occupational therapists' role in health promotion. Conclusions: Health promotion and prevention interventions are not intentionally integrated into community occupational therapy practice with seniors having disabilities. As a result, seniors' needs to engage in meaningful activities might remain unmet. Overcoming barriers to integrating health promotion and prevention in practice could help improve population health and wellbeing.","author":[{"dropping-particle":"","family":"Turcotte","given":"Pier Luc","non-dropping-particle":"","parse-names":false,"suffix":""},{"dropping-particle":"","family":"Carrier","given":"Annie","non-dropping-particle":"","parse-names":false,"suffix":""},{"dropping-particle":"","family":"Desrosiers","given":"Johanne","non-dropping-particle":"","parse-names":false,"suffix":""},{"dropping-particle":"","family":"Levasseur","given":"Mélanie","non-dropping-particle":"","parse-names":false,"suffix":""}],"container-title":"Australian Occupational Therapy Journal","id":"ITEM-2","issued":{"date-parts":[["2015"]]},"title":"Are health promotion and prevention interventions integrated into occupational therapy practice with older adults having disabilities? Insights from six community health settings in Québec, Canada","type":"article-journal"},"uris":["http://www.mendeley.com/documents/?uuid=2eeef248-dca7-43a2-b557-351afe1e2bd4"]},{"id":"ITEM-3","itemData":{"DOI":"10.2196/mhealth.3216","ISSN":"22915222","abstract":"Background: A growing body of research has employed mobile technologies and geographic information systems (GIS) for enhancing health care and health information systems, but there is yet a lack of studies of how these two types of systems are integrated together into the information infrastructure of an organization so as to provide a basis for data analysis and decision support. Integration of data and technical systems across the organization is necessary for efficient large-scale implementation. Objective: The aim of this paper is to identify how mobile technologies and GIS applications have been used, independently as well as in combination, for improving health care. Methods: The electronic databases PubMed, BioMed Central, Wiley Online Library, Scopus, Science Direct, and Web of Science were searched to retrieve English language articles published in international academic journals after 2005. Only articles addressing the use of mobile or GIS technologies and that met a prespecified keyword strategy were selected for review. Results: A total of 271 articles were selected, among which 220 concerned mobile technologies and 51 GIS. Most articles concern developed countries (198/271, 73.1%), and in particular the United States (81/271, 29.9%), United Kingdom (31/271, 11.4%), and Canada (14/271, 5.2%). Applications of mobile technologies can be categorized by six themes: treatment and disease management, data collection and disease surveillance, health support systems, health promotion and disease prevention, communication between patients and health care providers or among providers, and medical education. GIS applications can be categorized by four themes: disease surveillance, health support systems, health promotion and disease prevention, and communication to or between health care providers. Mobile applications typically focus on using text messaging (short message service, SMS) for communication between patients and health care providers, most prominently reminders and advice to patients. These applications generally have modest benefits and may be appropriate for implementation. Integration of health data using GIS technology also exhibit modest benefits such as improved understanding of the interplay of psychological, social, environmental, area-level, and sociodemographic influences on physical activity. The studies evaluated showed promising results in helping patients treating different illnesses and managing their condition effectively. H…","author":[{"dropping-particle":"","family":"Nhavoto","given":"José António","non-dropping-particle":"","parse-names":false,"suffix":""},{"dropping-particle":"","family":"Grönlund","given":"Ake","non-dropping-particle":"","parse-names":false,"suffix":""}],"container-title":"JMIR mHealth and uHealth","id":"ITEM-3","issued":{"date-parts":[["2014"]]},"title":"Mobile technologies and geographic information systems to improve health care systems: A literature review","type":"article"},"uris":["http://www.mendeley.com/documents/?uuid=07f9661b-785f-4c1c-8b0b-38349a1fe86a"]}],"mendeley":{"formattedCitation":"(Gandarillas &amp; Goswami, 2018; Nhavoto &amp; Grönlund, 2014; Turcotte et al., 2015)","plainTextFormattedCitation":"(Gandarillas &amp; Goswami, 2018; Nhavoto &amp; Grönlund, 2014; Turcotte et al., 2015)","previouslyFormattedCitation":"(Gandarillas &amp; Goswami, 2018; Nhavoto &amp; Grönlund, 2014; Turcotte et al., 2015)"},"properties":{"noteIndex":0},"schema":"https://github.com/citation-style-language/schema/raw/master/csl-citation.json"}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w:t>
      </w:r>
      <w:proofErr w:type="spellStart"/>
      <w:r w:rsidRPr="00525FBB">
        <w:rPr>
          <w:rFonts w:asciiTheme="majorBidi" w:hAnsiTheme="majorBidi" w:cstheme="majorBidi"/>
          <w:noProof/>
          <w:sz w:val="24"/>
          <w:szCs w:val="24"/>
        </w:rPr>
        <w:t>Gandarillas</w:t>
      </w:r>
      <w:proofErr w:type="spellEnd"/>
      <w:r w:rsidRPr="00525FBB">
        <w:rPr>
          <w:rFonts w:asciiTheme="majorBidi" w:hAnsiTheme="majorBidi" w:cstheme="majorBidi"/>
          <w:noProof/>
          <w:sz w:val="24"/>
          <w:szCs w:val="24"/>
        </w:rPr>
        <w:t xml:space="preserve"> &amp; Goswami, 2018; Nhavoto &amp; Grönlund, 2014; Turcotte et al., 2015)</w:t>
      </w:r>
      <w:r w:rsidRPr="00525FBB">
        <w:rPr>
          <w:rFonts w:asciiTheme="majorBidi" w:hAnsiTheme="majorBidi" w:cstheme="majorBidi"/>
          <w:sz w:val="24"/>
          <w:szCs w:val="24"/>
        </w:rPr>
        <w:fldChar w:fldCharType="end"/>
      </w:r>
    </w:p>
    <w:p w14:paraId="100AF520"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This systematic study aims to explore the evolving healthcare system in Saudi Arabia under Vision 2030, focusing on risk assessment, the challenges involved, opportunities presented, and </w:t>
      </w:r>
      <w:proofErr w:type="spellStart"/>
      <w:r w:rsidRPr="00525FBB">
        <w:rPr>
          <w:rFonts w:asciiTheme="majorBidi" w:hAnsiTheme="majorBidi" w:cstheme="majorBidi"/>
          <w:sz w:val="24"/>
          <w:szCs w:val="24"/>
        </w:rPr>
        <w:t>mitigative</w:t>
      </w:r>
      <w:proofErr w:type="spellEnd"/>
      <w:r w:rsidRPr="00525FBB">
        <w:rPr>
          <w:rFonts w:asciiTheme="majorBidi" w:hAnsiTheme="majorBidi" w:cstheme="majorBidi"/>
          <w:sz w:val="24"/>
          <w:szCs w:val="24"/>
        </w:rPr>
        <w:t xml:space="preserve"> strategies to ensure successful transformation.</w:t>
      </w:r>
    </w:p>
    <w:p w14:paraId="2C9FF8E6" w14:textId="313DAF4B" w:rsidR="00525FBB" w:rsidRPr="00525FBB" w:rsidRDefault="00525FBB" w:rsidP="00525FBB">
      <w:pPr>
        <w:tabs>
          <w:tab w:val="left" w:pos="5292"/>
        </w:tabs>
        <w:jc w:val="right"/>
        <w:rPr>
          <w:rFonts w:asciiTheme="majorBidi" w:hAnsiTheme="majorBidi" w:cstheme="majorBidi"/>
          <w:b/>
          <w:bCs/>
          <w:sz w:val="24"/>
          <w:szCs w:val="24"/>
        </w:rPr>
      </w:pPr>
    </w:p>
    <w:p w14:paraId="1FF63A07" w14:textId="77777777"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t>Literature Review</w:t>
      </w:r>
    </w:p>
    <w:p w14:paraId="441CE580"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Saudi Arabia’s healthcare system, which has traditionally been government-driven, is at a pivotal point owing to demographic shifts, rising healthcare costs, and the increasing burden of chronic diseases such as diabetes, cardiovascular disease, and obesity. Notable strides such as improving life expectancy and reducing maternal and child mortality rates are widely challenged by the rapid increase in the population, aging demographics, increasing turnovers in the health professionals and many more. Significant strain on the healthcare infrastructure, particularly in rural and underserved areas can be seen, highlighting the urgent need for a restructured, more efficient, and sustainable healthcare system that can effectively meet the evolving needs of the population.</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{"citationItems":[{"id":"ITEM-1","itemData":{"DOI":"10.1136/leader-2023-000851","ISSN":"2398631X","PMID":"37798102","abstract":"The Kingdom of Saudi Arabia's (KSA) Ministry of Health's (MOH) healthcare transformation strategy aims to improve the quality of life of Saudi citizens in line with the 'Vision 2030' strategic objectives. The MOH is reforming the way healthcare will be managed in the future and is in the process of transferring healthcare service delivery responsibilities to clusters with ratified boards, while also moving the MOH from a provision of service model to a regulatory one. Several early pathfinding clusters were initiated in the eastern central and western regions. To ensure northern and southern regions were not left behind, the early innovation, while awaiting cluster nomination status, the northern and southern business units of Health Holding Company implemented the accelerated transformation programme (ATP). The ATP's remit was to develop capabilities and stimulate local engagement and ownership in the healthcare transformation process. This paper summarises the process of healthcare transformation undertaken in the northern and southern regions of KSA to date. It reviews the success in engaging with local healthcare professional communities in a standardised way and the learning from previous clusters, and elaborates on emerging implementation issues and how we may overcome them and introduce the lessons learnt from this journey.","author":[{"dropping-particle":"","family":"Riley","given":"Anthony J.","non-dropping-particle":"","parse-names":false,"suffix":""},{"dropping-particle":"","family":"Alshammary","given":"Sami A.","non-dropping-particle":"","parse-names":false,"suffix":""},{"dropping-particle":"","family":"Abuzied","given":"Yacoub","non-dropping-particle":"","parse-names":false,"suffix":""},{"dropping-particle":"","family":"Al-Amer","given":"Rasmieh","non-dropping-particle":"","parse-names":false,"suffix":""},{"dropping-particle":"","family":"Bin-Hussain","given":"Ibrahim","non-dropping-particle":"","parse-names":false,"suffix":""},{"dropping-particle":"","family":"Alwaalah","given":"Mesfer","non-dropping-particle":"","parse-names":false,"suffix":""},{"dropping-particle":"","family":"Alshammari","given":"Khalil","non-dropping-particle":"","parse-names":false,"suffix":""},{"dropping-particle":"","family":"Alqumaizi","given":"Khalid I.","non-dropping-particle":"","parse-names":false,"suffix":""}],"container-title":"BMJ Leader","id":"ITEM-1","issued":{"date-parts":[["2024"]]},"title":"Accelerated transformation programme for healthcare services: Structure, function and the lessons learnt","type":"article-journal"},"uris":["http://www.mendeley.com/documents/?uuid=2c7d0024-7080-43c5-8ecd-10ad878a3f57"]}],"mendeley":{"formattedCitation":"(Riley et al., 2024)","plainTextFormattedCitation":"(Riley et al., 2024)","previouslyFormattedCitation":"(Riley et al., 2024)"},"properties":{"noteIndex":0},"schema":"https://github.com/citation-style-language/schema/raw/master/csl-citation.json"}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(Riley et al., 2024)</w:t>
      </w:r>
      <w:r w:rsidRPr="00525FBB">
        <w:rPr>
          <w:rFonts w:asciiTheme="majorBidi" w:hAnsiTheme="majorBidi" w:cstheme="majorBidi"/>
          <w:sz w:val="24"/>
          <w:szCs w:val="24"/>
        </w:rPr>
        <w:fldChar w:fldCharType="end"/>
      </w:r>
    </w:p>
    <w:p w14:paraId="239D39DE"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lastRenderedPageBreak/>
        <w:t>Vision 2030 is a comprehensive blueprint for Saudi Arabia’s economic and social transformation, with significant implications for the healthcare sector. At its core, Vision 2030 seeks to reduce Saudi Arabia’s dependence on oil, diversify the economy, and improve the quality of life for all its citizens. Healthcare reform is a critical component of this vision, aiming to modernize the healthcare infrastructure, improve the quality of care, and enhance accessibility for all citizens, especially those in remote areas. As part of this transformation, Saudi Arabia has prioritized the adoption of digital health technologies, the integration of preventative care strategies, and the expansion of healthcare services through public-private partnerships.</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{"citationItems":[{"id":"ITEM-1","itemData":{"DOI":"10.1080/20479700.2020.1788334","ISSN":"20479719","abstract":"Purpose: This article explores the role of Vision 2030 in strengthening the healthcare system in Saudi Arabia. Methods: Systematic review and document analysis. Thematic data analysis technique was used to analyse the data. Findings: Primarily, Vision 2030 may contribute to diversify the economy. It would bring in many changes in society and economy. Overall, Vision 2030 may have a limited impact on changing the graph of the health of the citizens of Saudi Arabia. Conclusion: The government highlighted Vision 2030 to gain popular support but actual action to improve population health remains limited. The government needs to develop a sustainable healthcare by strengthening human resources in healthcare, decentralization and efficient use of resources through stewardship, good governance, accountability and transparency.","author":[{"dropping-particle":"","family":"Rahman","given":"Redwanur","non-dropping-particle":"","parse-names":false,"suffix":""},{"dropping-particle":"","family":"Al-Borie","given":"Hussein M.","non-dropping-particle":"","parse-names":false,"suffix":""}],"container-title":"International Journal of Healthcare Management","id":"ITEM-1","issued":{"date-parts":[["2020"]]},"page":"1-9","publisher":"Taylor and Francis Ltd.","title":"Strengthening the Saudi Arabian healthcare system: Role of Vision 2030","type":"article"},"uris":["http://www.mendeley.com/documents/?uuid=804e1302-f748-3f30-bb0d-8140363449f9"]},{"id":"ITEM-2","itemData":{"DOI":"10.1177/0046958020984682","ISSN":"19457243","PMID":"33567959","abstract":"Vision 2030 is a social and economic strategic program by the Kingdom of Saudi Arabia (KSA) aimed at diversifying the nation’s economy and stimulating numerous changes in its social and economic sectors, including in healthcare. Sustainable Development (SD) 2030 is a global consensual agreement among nation-states to build a sustainable, desirable and progressively interrelated world. The Saudi government highlighted Vision 2030 to improve population health and the world body reiterated that SD 2030 will contribute to “healthy lives and promote well-being for all at all ages.” This article analyzes the state capacity in revitalizing the healthcare system in Saudi Arabia with the context of Vision 2030 and SD 2030. Scoping reviews and thematic data analysis techniques were used as a method of this study. The realization of Vision 2030 is essential for the fulfilment of the SD Goals 2030. The government has realigned its national programs, plans and strategies with global development targets, indicators, and goals to achieve the SD Goals. Achieving SD 2030 is seen as the main component of development for health. Prudent reforms should be taken to accommodate the goals and objectives of Vision 2030 and SD 2030. These measures will help strengthen governance and state capacity so as to ultimately revitalize the Saudi healthcare system and improve population health. Saudi Arabia’s Vision 2030 encourages the state to play a renewed role in development in light of the UN’s declaration of the “right to development.” While pursuing SD Goals, the state must create the necessary environment for sustaining capacity, need to improve service delivery by building cooperation and coordination among providers and interactions among groups to realize constructive roles and functions in maintaining state affairs, which ultimately enhances state capacity to revitalize healthcare system of Saudi Arabia.","author":[{"dropping-particle":"","family":"Rahman","given":"Redwanur","non-dropping-particle":"","parse-names":false,"suffix":""},{"dropping-particle":"","family":"Qattan","given":"Ameerah","non-dropping-particle":"","parse-names":false,"suffix":""}],"container-title":"Inquiry (United States)","id":"ITEM-2","issued":{"date-parts":[["2021"]]},"publisher":"SAGE Publications Inc.","title":"Vision 2030 and Sustainable Development: State Capacity to Revitalize the Healthcare System in Saudi Arabia","type":"article-journal","volume":"58"},"uris":["http://www.mendeley.com/documents/?uuid=e234991c-03ea-3167-9326-0436e85475f8"]}],"mendeley":{"formattedCitation":"(Rahman &amp; Al-Borie, 2020; Rahman &amp; Qattan, 2021)","plainTextFormattedCitation":"(Rahman &amp; Al-Borie, 2020; Rahman &amp; Qattan, 2021)","previouslyFormattedCitation":"(Rahman &amp; Al-Borie, 2020; Rahman &amp; Qattan, 2021)"},"properties":{"noteIndex":0},"schema":"https://github.com/citation-style-language/schema/raw/master/csl-citation.json"}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(Rahman &amp; Al-Borie, 2020; Rahman &amp; Qattan, 2021)</w:t>
      </w:r>
      <w:r w:rsidRPr="00525FBB">
        <w:rPr>
          <w:rFonts w:asciiTheme="majorBidi" w:hAnsiTheme="majorBidi" w:cstheme="majorBidi"/>
          <w:sz w:val="24"/>
          <w:szCs w:val="24"/>
        </w:rPr>
        <w:fldChar w:fldCharType="end"/>
      </w:r>
    </w:p>
    <w:p w14:paraId="61C1AF5F"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A key element of Vision 2030’s healthcare strategy is the shift from a reactive healthcare model to a proactive and preventative one, which has been proven to be more efficient and effective.</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{"citationItems":[{"id":"ITEM-1","itemData":{"DOI":"10.3892/br.2017.922","ISSN":"20499442","abstract":"Personalized medicine (PM) is about tailoring a treatment as individualized as the disease. The approach relies on identifying genetic, epigenomic, and clinical information that allows the breakthroughs in our understanding of how a person’s unique genomic portfolio makes them vulnerable to certain diseases. PM approach is a complete extension of traditional approach (One-Size-Fits-All) to increasing our ability to predict which medical treatments will be safe and effective for individual patient, and which ones will not be, based on the patient’s unique genetic profile. Implementation of PM has the potential to reduce financial and time expenditure, and increase quality of life and life extension of patients. Knowledge of PM facilitates earlier disease detection via enhanced use of existing biomarkers and detection of early genomic and epigenomic events in disease development, particularly carcinogenesis. The PM approach predominantly focuses on preventative medicine and favours taking proactive actions rather than just reactive. This approach delays or prevents the need to apply more severe treatments which are usually less tolerated and with increased quality of life and financial considerations. Increasing healthcare costs have placed additional pressure on government funded healthcare systems globally, especially regarding end of life care. PM may increase the effectiveness of existing treatments and negate the inherent problems associated with non-PM approaches. PM is a young but rapidly expanding field of healthcare where a physician can select a treatment based on a patient’s genetic profile that may not only minimize harmful side effects and guarantee a more successful result, but can be less cost effective compared with a ‘trial-and-error’ approach to disease treatment. The less efficient non-PM (‘trial-and-error’) approach, which can lead to drug toxicity, severe side effects, reactive treatment and misdiagnosis continue to contribute to increasing healthcare costs. Increased patient stratification will allow for the enhanced application of PM and pro-active treatment regimens, resulting in reduced costs and quality of life enhancement.","author":[{"dropping-particle":"","family":"Mathur","given":"Sunil","non-dropping-particle":"","parse-names":false,"suffix":""},{"dropping-particle":"","family":"Sutton","given":"Joseph","non-dropping-particle":"","parse-names":false,"suffix":""}],"container-title":"Biomedical Reports","id":"ITEM-1","issued":{"date-parts":[["2017"]]},"title":"Personalized medicine could transform healthcare (Review)","type":"article"},"uris":["http://www.mendeley.com/documents/?uuid=0db116d1-14f3-4e49-9022-be158991ddec"]},{"id":"ITEM-2","itemData":{"abstract":"Mobile devices and sensors are profoundly changing the way we create, consume, and share information. Health aficionados and patients with chronic conditions are increasingly using sensors and mobile devices to track sleep, food, activity, and other physiological observations (e.g., weight, heart rate, blood pressure). This trend is leading to a paradigm shift from reactive medicine to predictive, preventative, personalized, and participatory medicine. This is also empowering an individual to more fully participate in health related decision making. To facilitate this transformation, there is a dearth of research in understanding the richness and nuances of health care data. There are many healthcare applications that utilize mobile devices and sensors to monitor the health of an individual. With increased instrumentation such as use of smart phones and social media provides a fine-grained access to the activities of a person and population in general. Majority of analytics is focused on finding discrepancies in a single stream of observations without much insight into the problem and actionable information. kHealth analyzes observations from passive (no human involvement in data collection) and active (human input involved in data collection) sensors to provide explanations that are intelligible to individuals and when needed their clinicians for well-informed decision making.","author":[{"dropping-particle":"","family":"Sheth","given":"Amit","non-dropping-particle":"","parse-names":false,"suffix":""}],"container-title":"Workshop on Personal Data Analytics in the Internet of Things (PDA@IOT 2014)","id":"ITEM-2","issued":{"date-parts":[["2014"]]},"title":"kHealth : Proactive Personalized Actionable Information for Better Healthcare","type":"paper-conference"},"uris":["http://www.mendeley.com/documents/?uuid=45fd9af7-2cf9-4688-a242-a9879af42079"]}],"mendeley":{"formattedCitation":"(Mathur &amp; Sutton, 2017; Sheth, 2014)","plainTextFormattedCitation":"(Mathur &amp; Sutton, 2017; Sheth, 2014)","previouslyFormattedCitation":"(Mathur &amp; Sutton, 2017; Sheth, 2014)"},"properties":{"noteIndex":0},"schema":"https://github.com/citation-style-language/schema/raw/master/csl-citation.json"}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w:t>
      </w:r>
      <w:proofErr w:type="spellStart"/>
      <w:r w:rsidRPr="00525FBB">
        <w:rPr>
          <w:rFonts w:asciiTheme="majorBidi" w:hAnsiTheme="majorBidi" w:cstheme="majorBidi"/>
          <w:noProof/>
          <w:sz w:val="24"/>
          <w:szCs w:val="24"/>
        </w:rPr>
        <w:t>Mathur</w:t>
      </w:r>
      <w:proofErr w:type="spellEnd"/>
      <w:r w:rsidRPr="00525FBB">
        <w:rPr>
          <w:rFonts w:asciiTheme="majorBidi" w:hAnsiTheme="majorBidi" w:cstheme="majorBidi"/>
          <w:noProof/>
          <w:sz w:val="24"/>
          <w:szCs w:val="24"/>
        </w:rPr>
        <w:t xml:space="preserve"> &amp; Sutton, 2017; Sheth, 2014)</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 xml:space="preserve"> This includes the implementation of new care models that emphasize early intervention, health promotion, and better management of chronic diseases. By integrating digital health technologies such as electronic health records (EHRs) and telemedicine, Saudi Arabia aims to enhance the efficiency and accessibility of healthcare services. This digitalization of healthcare is expected to facilitate better data management, improve decision-making, and ensure more personalized patient care. Furthermore, the involvement of the private sector in healthcare delivery is expected to increase competition, improve service quality, and reduce the financial burden on the public sector.</w:t>
      </w:r>
    </w:p>
    <w:p w14:paraId="5E71B26A"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Despite the significant progress made under Vision 2030, several challenges continue to hinder the transformation of Saudi Arabia's healthcare system. One of the most significant obstacles is the resistance to change from healthcare professionals and organizations. Many healthcare providers are accustomed to traditional methods and may be reluctant to adopt new technologies, care models, or organizational structures. </w:t>
      </w:r>
      <w:r w:rsidRPr="00525FBB">
        <w:rPr>
          <w:rFonts w:asciiTheme="majorBidi" w:hAnsiTheme="majorBidi" w:cstheme="majorBidi"/>
          <w:sz w:val="24"/>
          <w:szCs w:val="24"/>
        </w:rPr>
        <w:lastRenderedPageBreak/>
        <w:t xml:space="preserve">Overcoming this resistance requires comprehensive training programs, awareness campaigns, and clear communication strategies to demonstrate the benefits of the transformation for both healthcare workers and patients.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{"citationItems":[{"id":"ITEM-1","itemData":{"DOI":"10.7759/cureus.65047","abstract":"Saudi Arabia guarantees citizens the right to receive medical care and treatment during emergencies or sickness and aging. However, with the consistent increase in expenditure and inability to provide access, the transformation was an unavoidable action. Therefore, this paper aims to address the potential and risks behind the National Transformation Program (NTP) in Saudi Arabia through the lens of the Value Transformation Framework. Multiple research databases (PubMed, Web of Science, UpToDate, Google Scholar, and Summon) were searched between 2016 and 2024. Relevant articles were selected by scanning the title and abstract, yielding 34 references after the screening, exclusion, and inclusion criteria were met. Citation software was used to identify additional sources as analysis proceeded, in accordance with the hermeneutic approach in mapping and classification. The most cited concerns were the sustainability and workforce of the healthcare system. In terms of care delivery, the literature was extensive. In contrast, insufficient studies have been conducted on infrastructure and people. Furthermore, limited information is available on how to assess the transformation, which remains an unaddressed research question. NTP could meet several hurdles. However, through the measurement, assessment phases, and development tracking, success could be achieved.","author":[{"dropping-particle":"","family":"Alkhurayji","given":"Khalid","non-dropping-particle":"","parse-names":false,"suffix":""},{"dropping-particle":"","family":"Alzahrani","given":"Hazzam A","non-dropping-particle":"","parse-names":false,"suffix":""},{"dropping-particle":"","family":"Alotaibi","given":"Amal S","non-dropping-particle":"","parse-names":false,"suffix":""},{"dropping-particle":"","family":"Alharbi","given":"Abdulaziz G","non-dropping-particle":"","parse-names":false,"suffix":""},{"dropping-particle":"","family":"Zandan","given":"Abdullah A","non-dropping-particle":"","parse-names":false,"suffix":""},{"dropping-particle":"","family":"Alsheikhi","given":"Hussein","non-dropping-particle":"","parse-names":false,"suffix":""}],"id":"ITEM-1","issued":{"date-parts":[["2024"]]},"title":"Categories: Epidemiology/Public Health, Health Policy","type":"article-journal"},"uris":["http://www.mendeley.com/documents/?uuid=2ecba4e7-eede-36a7-9506-2aaf3882c8f1"]},{"id":"ITEM-2","itemData":{"DOI":"10.1136/leader-2023-000851","ISSN":"2398631X","PMID":"37798102","abstract":"The Kingdom of Saudi Arabia's (KSA) Ministry of Health's (MOH) healthcare transformation strategy aims to improve the quality of life of Saudi citizens in line with the 'Vision 2030' strategic objectives. The MOH is reforming the way healthcare will be managed in the future and is in the process of transferring healthcare service delivery responsibilities to clusters with ratified boards, while also moving the MOH from a provision of service model to a regulatory one. Several early pathfinding clusters were initiated in the eastern central and western regions. To ensure northern and southern regions were not left behind, the early innovation, while awaiting cluster nomination status, the northern and southern business units of Health Holding Company implemented the accelerated transformation programme (ATP). The ATP's remit was to develop capabilities and stimulate local engagement and ownership in the healthcare transformation process. This paper summarises the process of healthcare transformation undertaken in the northern and southern regions of KSA to date. It reviews the success in engaging with local healthcare professional communities in a standardised way and the learning from previous clusters, and elaborates on emerging implementation issues and how we may overcome them and introduce the lessons learnt from this journey.","author":[{"dropping-particle":"","family":"Riley","given":"Anthony J.","non-dropping-particle":"","parse-names":false,"suffix":""},{"dropping-particle":"","family":"Alshammary","given":"Sami A.","non-dropping-particle":"","parse-names":false,"suffix":""},{"dropping-particle":"","family":"Abuzied","given":"Yacoub","non-dropping-particle":"","parse-names":false,"suffix":""},{"dropping-particle":"","family":"Al-Amer","given":"Rasmieh","non-dropping-particle":"","parse-names":false,"suffix":""},{"dropping-particle":"","family":"Bin-Hussain","given":"Ibrahim","non-dropping-particle":"","parse-names":false,"suffix":""},{"dropping-particle":"","family":"Alwaalah","given":"Mesfer","non-dropping-particle":"","parse-names":false,"suffix":""},{"dropping-particle":"","family":"Alshammari","given":"Khalil","non-dropping-particle":"","parse-names":false,"suffix":""},{"dropping-particle":"","family":"Alqumaizi","given":"Khalid I.","non-dropping-particle":"","parse-names":false,"suffix":""}],"container-title":"BMJ Leader","id":"ITEM-2","issued":{"date-parts":[["2024"]]},"title":"Accelerated transformation programme for healthcare services: Structure, function and the lessons learnt","type":"article-journal"},"uris":["http://www.mendeley.com/documents/?uuid=2c7d0024-7080-43c5-8ecd-10ad878a3f57"]}],"mendeley":{"formattedCitation":"(Alkhurayji et al., 2024; Riley et al., 2024)","plainTextFormattedCitation":"(Alkhurayji et al., 2024; Riley et al., 2024)","previouslyFormattedCitation":"(Alkhurayji et al., 2024; Riley et al., 2024)"},"properties":{"noteIndex":0},"schema":"https://github.com/citation-style-language/schema/raw/master/csl-citation.json"}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(Alkhurayji et al., 2024; Riley et al., 2024)</w:t>
      </w:r>
      <w:r w:rsidRPr="00525FBB">
        <w:rPr>
          <w:rFonts w:asciiTheme="majorBidi" w:hAnsiTheme="majorBidi" w:cstheme="majorBidi"/>
          <w:sz w:val="24"/>
          <w:szCs w:val="24"/>
        </w:rPr>
        <w:fldChar w:fldCharType="end"/>
      </w:r>
    </w:p>
    <w:p w14:paraId="4AD683B8"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Another key challenge is the digital divide between urban and rural areas. While urban centers in Saudi Arabia have made significant strides in adopting digital health technologies, rural and underserved areas still lack the necessary infrastructure and connectivity to fully benefit from these innovations. The integration of digital systems, such as electronic health records (EHRs) and telemedicine, demands substantial investment in infrastructure, cybersecurity, and training to ensure the protection of sensitive health data.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{"citationItems":[{"id":"ITEM-1","itemData":{"ISSN":"1658-3639","PMID":"29896076","abstract":"Change management studies have emphasized the significance of an organization's readiness for change and transformation and have recommended strategies to affect change. Organizational readiness for change is a multi-faceted, multi-level, and multi-dimensional activity; its most important aspect is organizational members' willingness to accept and implement change because ignoring the human factors may result in resistance and failure. Through its National Transformation Program 2020, the Saudi Arabian government is attempting to effect radical changes in the structure and function of its health-care system to achieve quality care and effective service delivery. The aim of the present review is to discuss the Saudi health-care system's readiness to change that Saudi Arabia intends to implement by 2020, based on extensive review of different reports, documents, and empirical studies in the field of organizational readiness for change. The study concludes that if organizational readiness for change is high, resources are available, and situational factors are aligned, members of organizations will take the initiative to change, exert optimal effort, demonstrate greater determination, and engage in more cooperative behavior that may lead to efficient and effective implementation of the Saudi health-care transformational plan with fewer complications and less resistance.","author":[{"dropping-particle":"","family":"Alharbi","given":"Mohammad F","non-dropping-particle":"","parse-names":false,"suffix":""}],"container-title":"International Journal of Health Sciences","id":"ITEM-1","issue":"3","issued":{"date-parts":[["2018"]]},"page":"83","title":"An analysis of the Saudi health-care system’s readiness to change in the context of the Saudi National Health-care Plan in Vision 2030","type":"article-journal","volume":"12"},"uris":["http://www.mendeley.com/documents/?uuid=66244b2c-664e-3785-9597-a8bcdc6d525d"]}],"mendeley":{"formattedCitation":"(Alharbi, 2018)","plainTextFormattedCitation":"(Alharbi, 2018)","previouslyFormattedCitation":"(Alharbi, 2018)"},"properties":{"noteIndex":0},"schema":"https://github.com/citation-style-language/schema/raw/master/csl-citation.json"}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(Alharbi, 2018)</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 xml:space="preserve"> Studies show that addressing this divide is crucial to ensuring that all citizens benefit from the advancements in healthcare technology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{"citationItems":[{"id":"ITEM-1","itemData":{"DOI":"10.25122/jml-2023-0010","ISSN":"18443117","PMID":"37305832","abstract":"The Kingdom of Saudi Arabia has embarked on a transformation journey referred to as \"Vision 2030\", which com-menced in June 2016. The healthcare sector is currently going through a radical transformation under this Vision. The new Model of Care shifts the focus of the healthcare sector towards proactive care and wellness, aiming to achieve better health, better care, and better value. This paper aims to provide an overview of the Model of Care and review its achievements and progress in the Eastern Region. The paper will further discuss the challenges faced and lessons learned through the implementation process. Internal documents were reviewed, and a comprehensive liter-ature search was undertaken in relevant search engines and databases. Some of the successes of the Model of Care implementation include improved data management, collection and visualization, and better patient and community engagement. Nevertheless, there is a sense of urgency to face the many challenges identified in the Saudi Arabian health system over the coming decade. Although the Model of Care focuses on addressing these identified challenges and gaps, there are many difficulties facing its implementation in the country and several lessons learned during the first few years since its launch, which this paper mentions. Hence, there is a need to measure the successes of pathways and the overall impact of the Model of Care on both the healthcare provision as well as improved population health.","author":[{"dropping-particle":"","family":"Yousef","given":"Lamees","non-dropping-particle":"","parse-names":false,"suffix":""},{"dropping-particle":"","family":"Alangari","given":"Dannah","non-dropping-particle":"","parse-names":false,"suffix":""},{"dropping-particle":"","family":"Alshehri","given":"Rahaf","non-dropping-particle":"","parse-names":false,"suffix":""},{"dropping-particle":"","family":"Alsharif","given":"Bader","non-dropping-particle":"","parse-names":false,"suffix":""},{"dropping-particle":"","family":"Bayameen","given":"Omar","non-dropping-particle":"","parse-names":false,"suffix":""},{"dropping-particle":"","family":"Alnemer","given":"Zeinab","non-dropping-particle":"","parse-names":false,"suffix":""}],"container-title":"Journal of Medicine and Life","id":"ITEM-1","issued":{"date-parts":[["2023"]]},"title":"Healthcare transformation journey in the Eastern Region of Saudi Arabia: an overview, challenges and lessons learned","type":"article-journal"},"uris":["http://www.mendeley.com/documents/?uuid=be341b91-5b41-4155-a4f3-324c3335e535"]}],"mendeley":{"formattedCitation":"(Yousef et al., 2023)","plainTextFormattedCitation":"(Yousef et al., 2023)","previouslyFormattedCitation":"(Yousef et al., 2023)"},"properties":{"noteIndex":0},"schema":"https://github.com/citation-style-language/schema/raw/master/csl-citation.json"}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(Yousef et al., 2023)</w:t>
      </w:r>
      <w:r w:rsidRPr="00525FBB">
        <w:rPr>
          <w:rFonts w:asciiTheme="majorBidi" w:hAnsiTheme="majorBidi" w:cstheme="majorBidi"/>
          <w:sz w:val="24"/>
          <w:szCs w:val="24"/>
        </w:rPr>
        <w:fldChar w:fldCharType="end"/>
      </w:r>
    </w:p>
    <w:p w14:paraId="2288034F"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Workforce shortages, particularly in specialized healthcare fields, also remain a critical issue. Saudi Arabia’s healthcare system relies heavily on foreign workers, though efforts are underway to increase the employment of Saudi nationals in the sector. To effectively address this issue, a stronger focus on workforce development is required, with emphasis on training healthcare professionals in emerging technologies and modern care models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{"citationItems":[{"id":"ITEM-1","itemData":{"DOI":"10.3390/SU16083277","ISSN":"2071-1050","abstract":"This comprehensive rapid review meticulously evaluates the transformative influence of Vision 2030 on the healthcare sector in Saudi Arabia. Vision 2030, with its broad scope, targets an extensive overhaul of healthcare through infrastructure enhancement, digital health adoption, workforce empowerment, innovative public health initiatives, and advancements in quality of care and patient safety. By employing a rigorous analytical approach, this review synthesizes a broad spectrum of data highlighting Saudi Arabia’s significant progress toward establishing an accessible, efficient, and superior healthcare system. It delves into the kingdom’s alignment with global healthcare trends and its distinctive contributions, notably in digital health and public health, illustrating a proactive stance on future healthcare challenges. The analysis rigorously explores Vision 2030’s ambitious objectives and the concrete outcomes achieved, providing deep insights into the evolving healthcare landscape in Saudi Arabia. Furthermore, it assesses the global ramifications of these reformative efforts, emphasizing the pivotal themes of innovation, equity, and excellence as the foundation for future healthcare advancements. This review not only sheds light on Vision 2030’s extensive impact on Saudi healthcare but also positions the kingdom as an exemplar of healthcare innovation and reform on the global stage, offering valuable lessons for healthcare policy and practice around the world.","author":[{"dropping-particle":"","family":"Mani","given":"Zakaria A.","non-dropping-particle":"","parse-names":false,"suffix":""},{"dropping-particle":"","family":"Goniewicz","given":"Krzysztof","non-dropping-particle":"","parse-names":false,"suffix":""}],"container-title":"Sustainability 2024, Vol. 16, Page 3277","id":"ITEM-1","issue":"8","issued":{"date-parts":[["2024","4","15"]]},"page":"3277","publisher":"Multidisciplinary Digital Publishing Institute","title":"Transforming Healthcare in Saudi Arabia: A Comprehensive Evaluation of Vision 2030’s Impact","type":"article-journal","volume":"16"},"uris":["http://www.mendeley.com/documents/?uuid=784dd0a1-0922-3669-9901-724720b7d80a"]},{"id":"ITEM-2","itemData":{"DOI":"10.7759/cureus.65047","abstract":"Saudi Arabia guarantees citizens the right to receive medical care and treatment during emergencies or sickness and aging. However, with the consistent increase in expenditure and inability to provide access, the transformation was an unavoidable action. Therefore, this paper aims to address the potential and risks behind the National Transformation Program (NTP) in Saudi Arabia through the lens of the Value Transformation Framework. Multiple research databases (PubMed, Web of Science, UpToDate, Google Scholar, and Summon) were searched between 2016 and 2024. Relevant articles were selected by scanning the title and abstract, yielding 34 references after the screening, exclusion, and inclusion criteria were met. Citation software was used to identify additional sources as analysis proceeded, in accordance with the hermeneutic approach in mapping and classification. The most cited concerns were the sustainability and workforce of the healthcare system. In terms of care delivery, the literature was extensive. In contrast, insufficient studies have been conducted on infrastructure and people. Furthermore, limited information is available on how to assess the transformation, which remains an unaddressed research question. NTP could meet several hurdles. However, through the measurement, assessment phases, and development tracking, success could be achieved.","author":[{"dropping-particle":"","family":"Alkhurayji","given":"Khalid","non-dropping-particle":"","parse-names":false,"suffix":""},{"dropping-particle":"","family":"Alzahrani","given":"Hazzam A","non-dropping-particle":"","parse-names":false,"suffix":""},{"dropping-particle":"","family":"Alotaibi","given":"Amal S","non-dropping-particle":"","parse-names":false,"suffix":""},{"dropping-particle":"","family":"Alharbi","given":"Abdulaziz G","non-dropping-particle":"","parse-names":false,"suffix":""},{"dropping-particle":"","family":"Zandan","given":"Abdullah A","non-dropping-particle":"","parse-names":false,"suffix":""},{"dropping-particle":"","family":"Alsheikhi","given":"Hussein","non-dropping-particle":"","parse-names":false,"suffix":""}],"id":"ITEM-2","issued":{"date-parts":[["2024"]]},"title":"Categories: Epidemiology/Public Health, Health Policy","type":"article-journal"},"uris":["http://www.mendeley.com/documents/?uuid=2ecba4e7-eede-36a7-9506-2aaf3882c8f1"]}],"mendeley":{"formattedCitation":"(Alkhurayji et al., 2024; Mani &amp; Goniewicz, 2024)","plainTextFormattedCitation":"(Alkhurayji et al., 2024; Mani &amp; Goniewicz, 2024)","previouslyFormattedCitation":"(Alkhurayji et al., 2024; Mani &amp; Goniewicz, 2024)"},"properties":{"noteIndex":0},"schema":"https://github.com/citation-style-language/schema/raw/master/csl-citation.json"}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w:t>
      </w:r>
      <w:proofErr w:type="spellStart"/>
      <w:r w:rsidRPr="00525FBB">
        <w:rPr>
          <w:rFonts w:asciiTheme="majorBidi" w:hAnsiTheme="majorBidi" w:cstheme="majorBidi"/>
          <w:noProof/>
          <w:sz w:val="24"/>
          <w:szCs w:val="24"/>
        </w:rPr>
        <w:t>Alkhurayji</w:t>
      </w:r>
      <w:proofErr w:type="spellEnd"/>
      <w:r w:rsidRPr="00525FBB">
        <w:rPr>
          <w:rFonts w:asciiTheme="majorBidi" w:hAnsiTheme="majorBidi" w:cstheme="majorBidi"/>
          <w:noProof/>
          <w:sz w:val="24"/>
          <w:szCs w:val="24"/>
        </w:rPr>
        <w:t xml:space="preserve"> et al., 2024; Mani &amp; Goniewicz, 2024)</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 xml:space="preserve"> The rising demand for healthcare services, coupled with this shortage of skilled professionals, intensifies the pressure on healthcare providers to deliver high-quality care efficiently (Chowdhury et al., 2021). </w:t>
      </w:r>
    </w:p>
    <w:p w14:paraId="56F3C2E4"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Despite these challenges, there are several opportunities that can drive the transformation of healthcare in Saudi Arabia. One of the most promising areas is the adoption of digital health technologies, including EHRs, telemedicine, and artificial intelligence (AI). These technologies have the potential to streamline administrative </w:t>
      </w:r>
      <w:r w:rsidRPr="00525FBB">
        <w:rPr>
          <w:rFonts w:asciiTheme="majorBidi" w:hAnsiTheme="majorBidi" w:cstheme="majorBidi"/>
          <w:sz w:val="24"/>
          <w:szCs w:val="24"/>
        </w:rPr>
        <w:lastRenderedPageBreak/>
        <w:t xml:space="preserve">processes, improve diagnostic accuracy, reduce healthcare costs, and enable more personalized care by providing real-time patient data access. The use of telemedicine, in particular, can significantly improve healthcare delivery in rural and underserved regions.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{"citationItems":[{"id":"ITEM-1","itemData":{"DOI":"10.1080/20523211.2024.2449051","ISSN":"20523211","PMID":"39845746","abstract":"Vision 2030 represents Saudi Arabia’s strategic socio-economic plan aimed at promoting economic diversification and enhancing living standards. Launched in April 2016, this vision describes an innovative healthcare plan to improve services and outcomes. The merits and drawbacks of public hospitals’ ‘Model of Care’ are examined in this study. This assessment summarises Vision 2030s healthcare revolution. This study explores the innovative ‘Model of Care’ and its potential to change Saudi healthcare. Prior to Vision 2030, Saudi Arabia's healthcare system grappled with escalating costs and a heavy reliance on foreign labour, signalling a need for transformative change. Vision 2030s patient-centric framework emphasises individualised treatment, and the National Guidelines Center's role in standardising healthcare processes is examined in this review. In addition, we also explored the new initiative of Electronic Health Records and telemedicine services. Additionally, we addressed the challenges associated with it, such as the imperative to address the digital divide and ensure data security. Vision 2030 in Saudi Arabia brought about a significant transformation in the provision of healthcare. Despite the presence of challenges, such as inadequate infrastructure, insufficient personnel, and resistance to change, this vision offers a robust foundation for effectively tackling these concerns. The implementation of these improvements is expected to enhance the calibre and accessibility of healthcare services. This transitional change ensures healthcare is both innovative and inclusive, particularly in socioeconomically disadvantaged regions. This measure is expected to enhance the general welfare and economic success of the population in Saudi Arabia. The future of healthcare in the Kingdom hinges on the effective implementation of evidence-based therapy, collaborative cooperation, and equitable practices. The healthcare sector possesses significant potential for substantial positive transformation, notwithstanding its continuous nature.","author":[{"dropping-particle":"","family":"Suleiman","given":"Amal K.","non-dropping-particle":"","parse-names":false,"suffix":""},{"dropping-particle":"","family":"Ming","given":"Long Chiau","non-dropping-particle":"","parse-names":false,"suffix":""}],"container-title":"Journal of Pharmaceutical Policy and Practice","id":"ITEM-1","issue":"1","issued":{"date-parts":[["2025"]]},"page":"2449051","publisher":"Taylor and Francis Ltd.","title":"Transforming healthcare: Saudi Arabia's vision 2030 healthcare model","type":"article","volume":"18"},"uris":["http://www.mendeley.com/documents/?uuid=6ed7b2a1-b9ee-34fb-841e-79b7e17687c0"]},{"id":"ITEM-2","itemData":{"DOI":"10.63278/JICRCR.VI.1197","ISSN":"2576-0025","abstract":"Saudi Arabia's healthcare system faces several challenges that impact the effectiveness and accessibility of care. One major issue is the growing demand for healthcare services due to an aging population and rising prevalence of chronic diseases such as diabetes and cardiovascular issues. Limited resources, uneven distribution of healthcare professionals across urban and rural areas, and infrastructure weaknesses can further strain the system. Additionally, there are concerns regarding patient safety, quality of care, and the need for more robust regulatory frameworks to ensure healthcare standards are maintained. However, Saudi Arabia also has significant opportunities for improving healthcare delivery. The government's Vision 2030 initiative aims to transform the healthcare sector by increasing private sector participation, enhancing service quality, and integrating advanced technologies like telemedicine and electronic health records. Investments in health technology and a focus on preventive care can lead to more efficient service delivery. Furthermore, increasing public awareness and education about health issues can empower citizens to take charge of their health, ultimately leading to better health outcomes.","author":[{"dropping-particle":"","family":"Mohammed","given":"Saleh","non-dropping-particle":"","parse-names":false,"suffix":""},{"dropping-particle":"","family":"Yami","given":"Ali","non-dropping-particle":"Al","parse-names":false,"suffix":""},{"dropping-particle":"","family":"Hamad","given":"Ali","non-dropping-particle":"","parse-names":false,"suffix":""},{"dropping-particle":"","family":"Alyami","given":"Khujaymi","non-dropping-particle":"","parse-names":false,"suffix":""},{"dropping-particle":"","family":"Algobry","given":"Basma Yahya","non-dropping-particle":"","parse-names":false,"suffix":""},{"dropping-particle":"","family":"Shabeh","given":"Hashemah Ahmed","non-dropping-particle":"","parse-names":false,"suffix":""},{"dropping-particle":"","family":"Shaibah","given":"Reem Abdullah","non-dropping-particle":"","parse-names":false,"suffix":""},{"dropping-particle":"","family":"Ali","given":"Mohammed","non-dropping-particle":"","parse-names":false,"suffix":""},{"dropping-particle":"","family":"Hamaim","given":"Bani","non-dropping-particle":"","parse-names":false,"suffix":""},{"dropping-particle":"","family":"Saif","given":"Mohammad","non-dropping-particle":"","parse-names":false,"suffix":""},{"dropping-particle":"","family":"Alyami","given":"Hussain","non-dropping-particle":"","parse-names":false,"suffix":""},{"dropping-particle":"","family":"Ghaseb","given":"Hassan","non-dropping-particle":"","parse-names":false,"suffix":""},{"dropping-particle":"","family":"Mreah","given":"Manea","non-dropping-particle":"Al","parse-names":false,"suffix":""},{"dropping-particle":"","family":"Muhammad","given":"Hadi","non-dropping-particle":"","parse-names":false,"suffix":""},{"dropping-particle":"","family":"Hattab","given":"Hamad","non-dropping-particle":"Al","parse-names":false,"suffix":""},{"dropping-particle":"","family":"Mahdi","given":"Saleh","non-dropping-particle":"","parse-names":false,"suffix":""},{"dropping-particle":"","family":"Saleh","given":"Mohammad Ahmed","non-dropping-particle":"","parse-names":false,"suffix":""},{"dropping-particle":"","family":"Sinan","given":"Al","non-dropping-particle":"","parse-names":false,"suffix":""}],"container-title":"Journal of International Crisis and Risk Communication Research","id":"ITEM-2","issued":{"date-parts":[["2024","10","18"]]},"page":"1907-1925","title":"Challenges and Opportunities in Healthcare Delivery in Saudi Arabia","type":"article-journal"},"uris":["http://www.mendeley.com/documents/?uuid=7903057b-f85c-3c8a-8f6d-44c19d94a7ae"]}],"mendeley":{"formattedCitation":"(Mohammed et al., 2024; Suleiman &amp; Ming, 2025)","plainTextFormattedCitation":"(Mohammed et al., 2024; Suleiman &amp; Ming, 2025)","previouslyFormattedCitation":"(Mohammed et al., 2024; Suleiman &amp; Ming, 2025)"},"properties":{"noteIndex":0},"schema":"https://github.com/citation-style-language/schema/raw/master/csl-citation.json"}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(Mohammed et al., 2024; Suleiman &amp; Ming, 2025)</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 xml:space="preserve"> </w:t>
      </w:r>
    </w:p>
    <w:p w14:paraId="48F61585" w14:textId="7E657B2B" w:rsidR="00525FBB" w:rsidRPr="00525FBB" w:rsidRDefault="00525FBB" w:rsidP="00992C84">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The emphasis on preventive care and health promotion is another key opportunity within the healthcare transformation. By investing in early intervention, health education, and community-based health programs, Saudi Arabia can reduce the long-term burden of chronic diseases. Preventive care not only enhances health outcomes but also reduces the overall cost of healthcare by minimizing the need for expensive treatments and hospitalizations.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{"citationItems":[{"id":"ITEM-1","itemData":{"DOI":"10.26719/emhj.21.042","abstract":"Background: Saudi Arabia embarked on transforming its primary health care system in 2016 to meet international standards , gain the people's trust and respond to the growing burden of noncommunicable diseases, as proposed in the Saudi Vision 2030. Aims: This review aims to highlight the progress, identify challenges and prospects for Saudi Arabia's PHC reform process in order to make recommendations to facilitate strengthening of the PHC system. Methods: A review of previous studies and governmental reports was undertaken to extract, analyse, synthesize and report the findings. Results: The review has indicated that by mid-2019, the reform has contributed to an increase of 37.5% in the rate of PHC visits and 4.7% increase in patient satisfaction, enhanced coverage of rural communities (from 78% to 83%), and contributed to increasing the screening rate for prevalent chronic diseases. However, the country still faces gaps and challenges pertaining to human resources issues, cultural and lifestyle behaviour, geography, intersectoral collaboration and PHC infrastructure. Conclusion: PHC reform process in Saudi Arabia has demonstrated that positive change is achievable. This has been aided by building on previous accomplishments and the wealth of experience gained throughout the PHC journey in Saudi Arabia. However, despite improvement in the quality of services, continuous improvement is required to meet the rising expectations of the population.","author":[{"dropping-particle":"","family":"Khashan","given":"Hesham","non-dropping-particle":"Al","parse-names":false,"suffix":""},{"dropping-particle":"","family":"Abogazalah","given":"Fouad","non-dropping-particle":"","parse-names":false,"suffix":""},{"dropping-particle":"","family":"Alomary","given":"Shaker","non-dropping-particle":"","parse-names":false,"suffix":""},{"dropping-particle":"","family":"Nahhas","given":"Mahmoud","non-dropping-particle":"","parse-names":false,"suffix":""},{"dropping-particle":"","family":"Alwadey","given":"Ali","non-dropping-particle":"","parse-names":false,"suffix":""},{"dropping-particle":"","family":"Al-Khudhair","given":"Basema","non-dropping-particle":"","parse-names":false,"suffix":""},{"dropping-particle":"","family":"Alamri","given":"Fahad","non-dropping-particle":"","parse-names":false,"suffix":""},{"dropping-particle":"","family":"Aleisa","given":"Nouf","non-dropping-particle":"","parse-names":false,"suffix":""},{"dropping-particle":"","family":"Mahmoud","given":"Nagla","non-dropping-particle":"","parse-names":false,"suffix":""},{"dropping-particle":"","family":"Hassanein","given":"Mustafa","non-dropping-particle":"","parse-names":false,"suffix":""}],"container-title":"Review EMHJ","id":"ITEM-1","issued":{"date-parts":[["0"]]},"page":"10-2021","title":"Primary health care reform in Saudi Arabia: progress, challenges and prospects","type":"article-journal","volume":"27"},"uris":["http://www.mendeley.com/documents/?uuid=ef2f377b-539f-37cd-a36a-aa27bcc9fe02"]}],"mendeley":{"formattedCitation":"(Al Khashan et al., n.d.)","plainTextFormattedCitation":"(Al Khashan et al., n.d.)","previouslyFormattedCitation":"(Al Khashan et al., n.d.)"},"properties":{"noteIndex":0},"schema":"https://github.com/citation-style-language/schema/raw/master/csl-citation.json"}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(Al Khashan et al., n.d.)</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 xml:space="preserve"> To ensure the success of the transformation, Saudi Arabia must implement effective </w:t>
      </w:r>
      <w:proofErr w:type="spellStart"/>
      <w:r w:rsidRPr="00525FBB">
        <w:rPr>
          <w:rFonts w:asciiTheme="majorBidi" w:hAnsiTheme="majorBidi" w:cstheme="majorBidi"/>
          <w:sz w:val="24"/>
          <w:szCs w:val="24"/>
        </w:rPr>
        <w:t>mitigative</w:t>
      </w:r>
      <w:proofErr w:type="spellEnd"/>
      <w:r w:rsidRPr="00525FBB">
        <w:rPr>
          <w:rFonts w:asciiTheme="majorBidi" w:hAnsiTheme="majorBidi" w:cstheme="majorBidi"/>
          <w:sz w:val="24"/>
          <w:szCs w:val="24"/>
        </w:rPr>
        <w:t xml:space="preserve"> strategies to address the challenges outlined. A phased and coordinated approach to the implementation of new healthcare models is crucial. This should include the development of pilot programs that can be tested and refined before being scaled nationwide. Regular risk assessments will help identify potential barriers to success and allow for the creation of strategies to mitigate these risks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{"citationItems":[{"id":"ITEM-1","itemData":{"ISSN":"1658-3639","PMID":"29896076","abstract":"Change management studies have emphasized the significance of an organization's readiness for change and transformation and have recommended strategies to affect change. Organizational readiness for change is a multi-faceted, multi-level, and multi-dimensional activity; its most important aspect is organizational members' willingness to accept and implement change because ignoring the human factors may result in resistance and failure. Through its National Transformation Program 2020, the Saudi Arabian government is attempting to effect radical changes in the structure and function of its health-care system to achieve quality care and effective service delivery. The aim of the present review is to discuss the Saudi health-care system's readiness to change that Saudi Arabia intends to implement by 2020, based on extensive review of different reports, documents, and empirical studies in the field of organizational readiness for change. The study concludes that if organizational readiness for change is high, resources are available, and situational factors are aligned, members of organizations will take the initiative to change, exert optimal effort, demonstrate greater determination, and engage in more cooperative behavior that may lead to efficient and effective implementation of the Saudi health-care transformational plan with fewer complications and less resistance.","author":[{"dropping-particle":"","family":"Alharbi","given":"Mohammad F","non-dropping-particle":"","parse-names":false,"suffix":""}],"container-title":"International Journal of Health Sciences","id":"ITEM-1","issue":"3","issued":{"date-parts":[["2018"]]},"page":"83","title":"An analysis of the Saudi health-care system’s readiness to change in the context of the Saudi National Health-care Plan in Vision 2030","type":"article-journal","volume":"12"},"uris":["http://www.mendeley.com/documents/?uuid=66244b2c-664e-3785-9597-a8bcdc6d525d"]},{"id":"ITEM-2","itemData":{"DOI":"10.1080/20523211.2024.2449051","ISSN":"20523211","PMID":"39845746","abstract":"Vision 2030 represents Saudi Arabia’s strategic socio-economic plan aimed at promoting economic diversification and enhancing living standards. Launched in April 2016, this vision describes an innovative healthcare plan to improve services and outcomes. The merits and drawbacks of public hospitals’ ‘Model of Care’ are examined in this study. This assessment summarises Vision 2030s healthcare revolution. This study explores the innovative ‘Model of Care’ and its potential to change Saudi healthcare. Prior to Vision 2030, Saudi Arabia's healthcare system grappled with escalating costs and a heavy reliance on foreign labour, signalling a need for transformative change. Vision 2030s patient-centric framework emphasises individualised treatment, and the National Guidelines Center's role in standardising healthcare processes is examined in this review. In addition, we also explored the new initiative of Electronic Health Records and telemedicine services. Additionally, we addressed the challenges associated with it, such as the imperative to address the digital divide and ensure data security. Vision 2030 in Saudi Arabia brought about a significant transformation in the provision of healthcare. Despite the presence of challenges, such as inadequate infrastructure, insufficient personnel, and resistance to change, this vision offers a robust foundation for effectively tackling these concerns. The implementation of these improvements is expected to enhance the calibre and accessibility of healthcare services. This transitional change ensures healthcare is both innovative and inclusive, particularly in socioeconomically disadvantaged regions. This measure is expected to enhance the general welfare and economic success of the population in Saudi Arabia. The future of healthcare in the Kingdom hinges on the effective implementation of evidence-based therapy, collaborative cooperation, and equitable practices. The healthcare sector possesses significant potential for substantial positive transformation, notwithstanding its continuous nature.","author":[{"dropping-particle":"","family":"Suleiman","given":"Amal K.","non-dropping-particle":"","parse-names":false,"suffix":""},{"dropping-particle":"","family":"Ming","given":"Long Chiau","non-dropping-particle":"","parse-names":false,"suffix":""}],"container-title":"Journal of Pharmaceutical Policy and Practice","id":"ITEM-2","issue":"1","issued":{"date-parts":[["2025"]]},"page":"2449051","publisher":"Taylor and Francis Ltd.","title":"Transforming healthcare: Saudi Arabia's vision 2030 healthcare model","type":"article","volume":"18"},"uris":["http://www.mendeley.com/documents/?uuid=6ed7b2a1-b9ee-34fb-841e-79b7e17687c0"]}],"mendeley":{"formattedCitation":"(Alharbi, 2018; Suleiman &amp; Ming, 2025)","plainTextFormattedCitation":"(Alharbi, 2018; Suleiman &amp; Ming, 2025)","previouslyFormattedCitation":"(Alharbi, 2018; Suleiman &amp; Ming, 2025)"},"properties":{"noteIndex":0},"schema":"https://github.com/citation-style-language/schema/raw/master/csl-citation.json"}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(Alharbi, 2018; Suleiman &amp; Ming, 2025)</w:t>
      </w:r>
      <w:r w:rsidRPr="00525FBB">
        <w:rPr>
          <w:rFonts w:asciiTheme="majorBidi" w:hAnsiTheme="majorBidi" w:cstheme="majorBidi"/>
          <w:sz w:val="24"/>
          <w:szCs w:val="24"/>
        </w:rPr>
        <w:fldChar w:fldCharType="end"/>
      </w:r>
    </w:p>
    <w:p w14:paraId="6A39A489" w14:textId="737001E6" w:rsidR="00525FBB" w:rsidRPr="00525FBB" w:rsidRDefault="00525FBB" w:rsidP="00525FBB">
      <w:pPr>
        <w:spacing w:after="0" w:line="480" w:lineRule="auto"/>
        <w:rPr>
          <w:rFonts w:asciiTheme="majorBidi" w:hAnsiTheme="majorBidi" w:cstheme="majorBidi"/>
          <w:sz w:val="24"/>
          <w:szCs w:val="24"/>
        </w:rPr>
      </w:pPr>
    </w:p>
    <w:p w14:paraId="406A14B4" w14:textId="77777777"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t>Methodology</w:t>
      </w:r>
    </w:p>
    <w:p w14:paraId="40A91DAC"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A systematic search strategy to identify and retrieve the relevant literature was developed, with a specific focus on the transformation of healthcare programs in Saudi Arabia, including risk assessment, challenges, opportunities, and </w:t>
      </w:r>
      <w:proofErr w:type="spellStart"/>
      <w:r w:rsidRPr="00525FBB">
        <w:rPr>
          <w:rFonts w:asciiTheme="majorBidi" w:hAnsiTheme="majorBidi" w:cstheme="majorBidi"/>
          <w:sz w:val="24"/>
          <w:szCs w:val="24"/>
        </w:rPr>
        <w:t>mitigative</w:t>
      </w:r>
      <w:proofErr w:type="spellEnd"/>
      <w:r w:rsidRPr="00525FBB">
        <w:rPr>
          <w:rFonts w:asciiTheme="majorBidi" w:hAnsiTheme="majorBidi" w:cstheme="majorBidi"/>
          <w:sz w:val="24"/>
          <w:szCs w:val="24"/>
        </w:rPr>
        <w:t xml:space="preserve"> strategies. A comprehensive search strategy was employed across multiple databases to identify relevant studies examining the impact of healthcare reforms, particularly in the context of Vision 2030, on the healthcare system, workforce, and patient outcomes. The databases searched </w:t>
      </w:r>
      <w:r w:rsidRPr="00525FBB">
        <w:rPr>
          <w:rFonts w:asciiTheme="majorBidi" w:hAnsiTheme="majorBidi" w:cstheme="majorBidi"/>
          <w:sz w:val="24"/>
          <w:szCs w:val="24"/>
        </w:rPr>
        <w:lastRenderedPageBreak/>
        <w:t>included PubMed, Science Direct, Google Scholar, Semantic Scholar, and the Directory of Open Access Journals (DOAJ).</w:t>
      </w:r>
    </w:p>
    <w:p w14:paraId="32E438FC"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Using a series of progressively refined search terms and filters, based on relevant medical subject heading terms (</w:t>
      </w:r>
      <w:proofErr w:type="spellStart"/>
      <w:r w:rsidRPr="00525FBB">
        <w:rPr>
          <w:rFonts w:asciiTheme="majorBidi" w:hAnsiTheme="majorBidi" w:cstheme="majorBidi"/>
          <w:sz w:val="24"/>
          <w:szCs w:val="24"/>
        </w:rPr>
        <w:t>MeSH</w:t>
      </w:r>
      <w:proofErr w:type="spellEnd"/>
      <w:r w:rsidRPr="00525FBB">
        <w:rPr>
          <w:rFonts w:asciiTheme="majorBidi" w:hAnsiTheme="majorBidi" w:cstheme="majorBidi"/>
          <w:sz w:val="24"/>
          <w:szCs w:val="24"/>
        </w:rPr>
        <w:t>), the search was conducted using terms such as “Risk Assessment,” “Healthcare Transformation,” “Vision 2030,” and “Saudi Arabia Healthcare System.” These terms yielded a large volume of results, which were progressively narrowed down. An initial search using the term “Saudi Arabia Healthcare System” resulted in 707,860 articles. Terms like “Vision 2030 Healthcare Reform Saudi Arabia” and “Healthcare Transformation Saudi Arabia” yielded 177,674 articles. Further specifying with “</w:t>
      </w:r>
      <w:r w:rsidRPr="00525FBB">
        <w:rPr>
          <w:rFonts w:asciiTheme="majorBidi" w:hAnsiTheme="majorBidi" w:cstheme="majorBidi"/>
          <w:color w:val="000000"/>
          <w:sz w:val="24"/>
          <w:szCs w:val="24"/>
        </w:rPr>
        <w:t>Saudi Arabia Healthcare Transformation Risk Assessment</w:t>
      </w:r>
      <w:r w:rsidRPr="00525FBB">
        <w:rPr>
          <w:rFonts w:asciiTheme="majorBidi" w:hAnsiTheme="majorBidi" w:cstheme="majorBidi"/>
          <w:sz w:val="24"/>
          <w:szCs w:val="24"/>
        </w:rPr>
        <w:t xml:space="preserve">” brought the number down to 71,348 articles. Narrowing to the past decade reduced the results to 8773. </w:t>
      </w:r>
    </w:p>
    <w:p w14:paraId="39A15CC0" w14:textId="240729C3" w:rsidR="00525FBB" w:rsidRPr="00992C84" w:rsidRDefault="00525FBB" w:rsidP="00992C84">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Additional filters for peer-reviewed, human studies, and journal articles in English were applied to refine the total to 649 articles. Of these, 12 articles were deemed relevant to the study's focus on the challenges, opportunities, and risk in the transformation of healthcare programs in Saudi Arabia under Vision 2030. The selected studies were thoroughly analyzed using thematic analysis to identify key themes related to the study. Findings were synthesized to highlight recurring challenges, emerging opportunities, and recommended strategies for effective healthcare transformation. Quantitative data, where applicable, were assessed for trends, while qualitative data were used to identify key insights into healthcare</w:t>
      </w:r>
      <w:r w:rsidR="00992C84">
        <w:rPr>
          <w:rFonts w:asciiTheme="majorBidi" w:hAnsiTheme="majorBidi" w:cstheme="majorBidi"/>
          <w:sz w:val="24"/>
          <w:szCs w:val="24"/>
        </w:rPr>
        <w:t>.</w:t>
      </w:r>
    </w:p>
    <w:p w14:paraId="7E700451" w14:textId="77777777" w:rsidR="00525FBB" w:rsidRPr="00525FBB" w:rsidRDefault="00525FBB" w:rsidP="00525FBB">
      <w:pPr>
        <w:spacing w:line="276" w:lineRule="auto"/>
        <w:jc w:val="right"/>
        <w:rPr>
          <w:rFonts w:asciiTheme="majorBidi" w:hAnsiTheme="majorBidi" w:cstheme="majorBidi"/>
          <w:b/>
          <w:bCs/>
          <w:sz w:val="24"/>
          <w:szCs w:val="24"/>
          <w:u w:val="single"/>
        </w:rPr>
      </w:pPr>
    </w:p>
    <w:p w14:paraId="2A629E13" w14:textId="77777777" w:rsidR="00525FBB" w:rsidRPr="00525FBB" w:rsidRDefault="00525FBB" w:rsidP="00525FBB">
      <w:pPr>
        <w:spacing w:line="276" w:lineRule="auto"/>
        <w:jc w:val="right"/>
        <w:rPr>
          <w:rFonts w:asciiTheme="majorBidi" w:hAnsiTheme="majorBidi" w:cstheme="majorBidi"/>
          <w:b/>
          <w:bCs/>
          <w:sz w:val="24"/>
          <w:szCs w:val="24"/>
          <w:u w:val="single"/>
        </w:rPr>
      </w:pPr>
      <w:r w:rsidRPr="00525FBB">
        <w:rPr>
          <w:rFonts w:asciiTheme="majorBidi" w:hAnsiTheme="majorBidi" w:cstheme="majorBidi"/>
          <w:b/>
          <w:bCs/>
          <w:sz w:val="24"/>
          <w:szCs w:val="24"/>
          <w:u w:val="single"/>
        </w:rPr>
        <w:t>TABLE 1: RELEVANT SEARCH RESULTS</w:t>
      </w:r>
    </w:p>
    <w:tbl>
      <w:tblPr>
        <w:tblStyle w:val="TableGrid"/>
        <w:tblW w:w="5000" w:type="pct"/>
        <w:tblLayout w:type="fixed"/>
        <w:tblLook w:val="04A0" w:firstRow="1" w:lastRow="0" w:firstColumn="1" w:lastColumn="0" w:noHBand="0" w:noVBand="1"/>
      </w:tblPr>
      <w:tblGrid>
        <w:gridCol w:w="844"/>
        <w:gridCol w:w="2977"/>
        <w:gridCol w:w="833"/>
        <w:gridCol w:w="833"/>
        <w:gridCol w:w="870"/>
        <w:gridCol w:w="896"/>
        <w:gridCol w:w="734"/>
        <w:gridCol w:w="835"/>
      </w:tblGrid>
      <w:tr w:rsidR="00525FBB" w:rsidRPr="00525FBB" w14:paraId="4955D93E" w14:textId="77777777" w:rsidTr="006C25DC">
        <w:trPr>
          <w:trHeight w:val="576"/>
        </w:trPr>
        <w:tc>
          <w:tcPr>
            <w:tcW w:w="479" w:type="pct"/>
            <w:vAlign w:val="center"/>
          </w:tcPr>
          <w:p w14:paraId="2457021D" w14:textId="77777777" w:rsidR="00525FBB" w:rsidRPr="00525FBB" w:rsidRDefault="00525FBB" w:rsidP="00525FBB">
            <w:pPr>
              <w:spacing w:line="276" w:lineRule="auto"/>
              <w:jc w:val="right"/>
              <w:rPr>
                <w:rFonts w:asciiTheme="majorBidi" w:hAnsiTheme="majorBidi" w:cstheme="majorBidi"/>
                <w:b/>
                <w:bCs/>
                <w:sz w:val="24"/>
                <w:szCs w:val="24"/>
              </w:rPr>
            </w:pPr>
            <w:r w:rsidRPr="00525FBB">
              <w:rPr>
                <w:rFonts w:asciiTheme="majorBidi" w:hAnsiTheme="majorBidi" w:cstheme="majorBidi"/>
                <w:b/>
                <w:bCs/>
                <w:sz w:val="24"/>
                <w:szCs w:val="24"/>
              </w:rPr>
              <w:t xml:space="preserve">Search </w:t>
            </w:r>
          </w:p>
          <w:p w14:paraId="38F8E9C1" w14:textId="77777777" w:rsidR="00525FBB" w:rsidRPr="00525FBB" w:rsidRDefault="00525FBB" w:rsidP="00525FBB">
            <w:pPr>
              <w:spacing w:line="276" w:lineRule="auto"/>
              <w:jc w:val="right"/>
              <w:rPr>
                <w:rFonts w:asciiTheme="majorBidi" w:hAnsiTheme="majorBidi" w:cstheme="majorBidi"/>
                <w:b/>
                <w:bCs/>
                <w:sz w:val="24"/>
                <w:szCs w:val="24"/>
              </w:rPr>
            </w:pPr>
            <w:r w:rsidRPr="00525FBB">
              <w:rPr>
                <w:rFonts w:asciiTheme="majorBidi" w:hAnsiTheme="majorBidi" w:cstheme="majorBidi"/>
                <w:b/>
                <w:bCs/>
                <w:sz w:val="24"/>
                <w:szCs w:val="24"/>
              </w:rPr>
              <w:t>No.</w:t>
            </w:r>
          </w:p>
        </w:tc>
        <w:tc>
          <w:tcPr>
            <w:tcW w:w="1687" w:type="pct"/>
            <w:vAlign w:val="center"/>
          </w:tcPr>
          <w:p w14:paraId="402C5513" w14:textId="77777777" w:rsidR="00525FBB" w:rsidRPr="00525FBB" w:rsidRDefault="00525FBB" w:rsidP="00525FBB">
            <w:pPr>
              <w:spacing w:line="276" w:lineRule="auto"/>
              <w:jc w:val="right"/>
              <w:rPr>
                <w:rFonts w:asciiTheme="majorBidi" w:hAnsiTheme="majorBidi" w:cstheme="majorBidi"/>
                <w:b/>
                <w:bCs/>
                <w:sz w:val="24"/>
                <w:szCs w:val="24"/>
              </w:rPr>
            </w:pPr>
            <w:r w:rsidRPr="00525FBB">
              <w:rPr>
                <w:rFonts w:asciiTheme="majorBidi" w:hAnsiTheme="majorBidi" w:cstheme="majorBidi"/>
                <w:b/>
                <w:bCs/>
                <w:sz w:val="24"/>
                <w:szCs w:val="24"/>
              </w:rPr>
              <w:t>Search Term</w:t>
            </w:r>
          </w:p>
        </w:tc>
        <w:tc>
          <w:tcPr>
            <w:tcW w:w="472" w:type="pct"/>
            <w:vAlign w:val="center"/>
          </w:tcPr>
          <w:p w14:paraId="7FC88A12" w14:textId="77777777" w:rsidR="00525FBB" w:rsidRPr="00525FBB" w:rsidRDefault="00525FBB" w:rsidP="00525FBB">
            <w:pPr>
              <w:spacing w:line="276" w:lineRule="auto"/>
              <w:ind w:left="-44" w:right="-90"/>
              <w:jc w:val="right"/>
              <w:rPr>
                <w:rFonts w:asciiTheme="majorBidi" w:hAnsiTheme="majorBidi" w:cstheme="majorBidi"/>
                <w:b/>
                <w:bCs/>
                <w:sz w:val="24"/>
                <w:szCs w:val="24"/>
              </w:rPr>
            </w:pPr>
            <w:r w:rsidRPr="00525FBB">
              <w:rPr>
                <w:rFonts w:asciiTheme="majorBidi" w:hAnsiTheme="majorBidi" w:cstheme="majorBidi"/>
                <w:b/>
                <w:bCs/>
                <w:sz w:val="24"/>
                <w:szCs w:val="24"/>
              </w:rPr>
              <w:t>PubMed</w:t>
            </w:r>
          </w:p>
        </w:tc>
        <w:tc>
          <w:tcPr>
            <w:tcW w:w="472" w:type="pct"/>
            <w:vAlign w:val="center"/>
          </w:tcPr>
          <w:p w14:paraId="4B65E261" w14:textId="77777777" w:rsidR="00525FBB" w:rsidRPr="00525FBB" w:rsidRDefault="00525FBB" w:rsidP="00525FBB">
            <w:pPr>
              <w:spacing w:line="276" w:lineRule="auto"/>
              <w:ind w:left="-44" w:right="-90"/>
              <w:jc w:val="right"/>
              <w:rPr>
                <w:rFonts w:asciiTheme="majorBidi" w:hAnsiTheme="majorBidi" w:cstheme="majorBidi"/>
                <w:b/>
                <w:bCs/>
                <w:sz w:val="24"/>
                <w:szCs w:val="24"/>
              </w:rPr>
            </w:pPr>
            <w:r w:rsidRPr="00525FBB">
              <w:rPr>
                <w:rFonts w:asciiTheme="majorBidi" w:hAnsiTheme="majorBidi" w:cstheme="majorBidi"/>
                <w:b/>
                <w:bCs/>
                <w:sz w:val="24"/>
                <w:szCs w:val="24"/>
              </w:rPr>
              <w:t>Science Direct</w:t>
            </w:r>
          </w:p>
        </w:tc>
        <w:tc>
          <w:tcPr>
            <w:tcW w:w="493" w:type="pct"/>
            <w:vAlign w:val="center"/>
          </w:tcPr>
          <w:p w14:paraId="1EAA773C" w14:textId="77777777" w:rsidR="00525FBB" w:rsidRPr="00525FBB" w:rsidRDefault="00525FBB" w:rsidP="00525FBB">
            <w:pPr>
              <w:spacing w:line="276" w:lineRule="auto"/>
              <w:ind w:left="-44" w:right="-90"/>
              <w:jc w:val="right"/>
              <w:rPr>
                <w:rFonts w:asciiTheme="majorBidi" w:hAnsiTheme="majorBidi" w:cstheme="majorBidi"/>
                <w:b/>
                <w:bCs/>
                <w:sz w:val="24"/>
                <w:szCs w:val="24"/>
              </w:rPr>
            </w:pPr>
            <w:r w:rsidRPr="00525FBB">
              <w:rPr>
                <w:rFonts w:asciiTheme="majorBidi" w:hAnsiTheme="majorBidi" w:cstheme="majorBidi"/>
                <w:b/>
                <w:bCs/>
                <w:sz w:val="24"/>
                <w:szCs w:val="24"/>
              </w:rPr>
              <w:t>Google Scholar</w:t>
            </w:r>
          </w:p>
        </w:tc>
        <w:tc>
          <w:tcPr>
            <w:tcW w:w="508" w:type="pct"/>
            <w:vAlign w:val="center"/>
          </w:tcPr>
          <w:p w14:paraId="0CAD0407" w14:textId="77777777" w:rsidR="00525FBB" w:rsidRPr="00525FBB" w:rsidRDefault="00525FBB" w:rsidP="00525FBB">
            <w:pPr>
              <w:spacing w:line="276" w:lineRule="auto"/>
              <w:ind w:left="-44" w:right="-90"/>
              <w:jc w:val="right"/>
              <w:rPr>
                <w:rFonts w:asciiTheme="majorBidi" w:hAnsiTheme="majorBidi" w:cstheme="majorBidi"/>
                <w:b/>
                <w:bCs/>
                <w:sz w:val="24"/>
                <w:szCs w:val="24"/>
              </w:rPr>
            </w:pPr>
            <w:r w:rsidRPr="00525FBB">
              <w:rPr>
                <w:rFonts w:asciiTheme="majorBidi" w:hAnsiTheme="majorBidi" w:cstheme="majorBidi"/>
                <w:b/>
                <w:bCs/>
                <w:sz w:val="24"/>
                <w:szCs w:val="24"/>
              </w:rPr>
              <w:t>Semantic</w:t>
            </w:r>
            <w:r w:rsidRPr="00525FBB">
              <w:rPr>
                <w:rFonts w:asciiTheme="majorBidi" w:hAnsiTheme="majorBidi" w:cstheme="majorBidi"/>
                <w:b/>
                <w:bCs/>
                <w:sz w:val="24"/>
                <w:szCs w:val="24"/>
              </w:rPr>
              <w:br/>
              <w:t>Scholar</w:t>
            </w:r>
          </w:p>
        </w:tc>
        <w:tc>
          <w:tcPr>
            <w:tcW w:w="416" w:type="pct"/>
            <w:vAlign w:val="center"/>
          </w:tcPr>
          <w:p w14:paraId="6480421A" w14:textId="77777777" w:rsidR="00525FBB" w:rsidRPr="00525FBB" w:rsidRDefault="00525FBB" w:rsidP="00525FBB">
            <w:pPr>
              <w:spacing w:line="276" w:lineRule="auto"/>
              <w:ind w:left="-44" w:right="-90"/>
              <w:jc w:val="right"/>
              <w:rPr>
                <w:rFonts w:asciiTheme="majorBidi" w:hAnsiTheme="majorBidi" w:cstheme="majorBidi"/>
                <w:b/>
                <w:bCs/>
                <w:sz w:val="24"/>
                <w:szCs w:val="24"/>
              </w:rPr>
            </w:pPr>
            <w:r w:rsidRPr="00525FBB">
              <w:rPr>
                <w:rFonts w:asciiTheme="majorBidi" w:hAnsiTheme="majorBidi" w:cstheme="majorBidi"/>
                <w:b/>
                <w:bCs/>
                <w:sz w:val="24"/>
                <w:szCs w:val="24"/>
              </w:rPr>
              <w:t>DOAJ</w:t>
            </w:r>
          </w:p>
        </w:tc>
        <w:tc>
          <w:tcPr>
            <w:tcW w:w="473" w:type="pct"/>
            <w:vAlign w:val="center"/>
          </w:tcPr>
          <w:p w14:paraId="2774DD2D" w14:textId="77777777" w:rsidR="00525FBB" w:rsidRPr="00525FBB" w:rsidRDefault="00525FBB" w:rsidP="00525FBB">
            <w:pPr>
              <w:spacing w:line="276" w:lineRule="auto"/>
              <w:ind w:left="-44" w:right="-90"/>
              <w:jc w:val="right"/>
              <w:rPr>
                <w:rFonts w:asciiTheme="majorBidi" w:hAnsiTheme="majorBidi" w:cstheme="majorBidi"/>
                <w:b/>
                <w:bCs/>
                <w:sz w:val="24"/>
                <w:szCs w:val="24"/>
              </w:rPr>
            </w:pPr>
            <w:r w:rsidRPr="00525FBB">
              <w:rPr>
                <w:rFonts w:asciiTheme="majorBidi" w:hAnsiTheme="majorBidi" w:cstheme="majorBidi"/>
                <w:b/>
                <w:bCs/>
                <w:sz w:val="24"/>
                <w:szCs w:val="24"/>
              </w:rPr>
              <w:t xml:space="preserve">Total </w:t>
            </w:r>
          </w:p>
        </w:tc>
      </w:tr>
      <w:tr w:rsidR="00525FBB" w:rsidRPr="00525FBB" w14:paraId="5DE3DEDF" w14:textId="77777777" w:rsidTr="006C25DC">
        <w:trPr>
          <w:trHeight w:val="576"/>
        </w:trPr>
        <w:tc>
          <w:tcPr>
            <w:tcW w:w="479" w:type="pct"/>
            <w:vAlign w:val="center"/>
          </w:tcPr>
          <w:p w14:paraId="7D7C0DD1"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sz w:val="24"/>
                <w:szCs w:val="24"/>
              </w:rPr>
              <w:t>S1</w:t>
            </w:r>
          </w:p>
        </w:tc>
        <w:tc>
          <w:tcPr>
            <w:tcW w:w="1687" w:type="pct"/>
            <w:vAlign w:val="center"/>
          </w:tcPr>
          <w:p w14:paraId="1B2AF327"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Saudi Arabia Healthcare System</w:t>
            </w:r>
          </w:p>
        </w:tc>
        <w:tc>
          <w:tcPr>
            <w:tcW w:w="472" w:type="pct"/>
            <w:vAlign w:val="center"/>
          </w:tcPr>
          <w:p w14:paraId="59BEEC1E"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8,111</w:t>
            </w:r>
          </w:p>
        </w:tc>
        <w:tc>
          <w:tcPr>
            <w:tcW w:w="472" w:type="pct"/>
            <w:vAlign w:val="center"/>
          </w:tcPr>
          <w:p w14:paraId="0C7529A5"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17,349</w:t>
            </w:r>
          </w:p>
        </w:tc>
        <w:tc>
          <w:tcPr>
            <w:tcW w:w="493" w:type="pct"/>
            <w:vAlign w:val="center"/>
          </w:tcPr>
          <w:p w14:paraId="05CB6441"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661000</w:t>
            </w:r>
          </w:p>
        </w:tc>
        <w:tc>
          <w:tcPr>
            <w:tcW w:w="508" w:type="pct"/>
            <w:vAlign w:val="center"/>
          </w:tcPr>
          <w:p w14:paraId="66D1C5C3"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21,400</w:t>
            </w:r>
          </w:p>
        </w:tc>
        <w:tc>
          <w:tcPr>
            <w:tcW w:w="416" w:type="pct"/>
            <w:vAlign w:val="center"/>
          </w:tcPr>
          <w:p w14:paraId="189CB3DE"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0</w:t>
            </w:r>
          </w:p>
        </w:tc>
        <w:tc>
          <w:tcPr>
            <w:tcW w:w="473" w:type="pct"/>
            <w:vAlign w:val="center"/>
          </w:tcPr>
          <w:p w14:paraId="4EACFFF3"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707,860</w:t>
            </w:r>
          </w:p>
        </w:tc>
      </w:tr>
      <w:tr w:rsidR="00525FBB" w:rsidRPr="00525FBB" w14:paraId="72C4A7D7" w14:textId="77777777" w:rsidTr="006C25DC">
        <w:trPr>
          <w:trHeight w:val="576"/>
        </w:trPr>
        <w:tc>
          <w:tcPr>
            <w:tcW w:w="479" w:type="pct"/>
            <w:vAlign w:val="center"/>
          </w:tcPr>
          <w:p w14:paraId="09EA09CD"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sz w:val="24"/>
                <w:szCs w:val="24"/>
              </w:rPr>
              <w:lastRenderedPageBreak/>
              <w:t>S2</w:t>
            </w:r>
          </w:p>
        </w:tc>
        <w:tc>
          <w:tcPr>
            <w:tcW w:w="1687" w:type="pct"/>
            <w:vAlign w:val="center"/>
          </w:tcPr>
          <w:p w14:paraId="7286A974"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Vision 2030 Healthcare Reform Saudi Arabia</w:t>
            </w:r>
          </w:p>
        </w:tc>
        <w:tc>
          <w:tcPr>
            <w:tcW w:w="472" w:type="pct"/>
            <w:vAlign w:val="center"/>
          </w:tcPr>
          <w:p w14:paraId="331FB8E2"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14</w:t>
            </w:r>
          </w:p>
        </w:tc>
        <w:tc>
          <w:tcPr>
            <w:tcW w:w="472" w:type="pct"/>
            <w:vAlign w:val="center"/>
          </w:tcPr>
          <w:p w14:paraId="630485C0"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167</w:t>
            </w:r>
          </w:p>
        </w:tc>
        <w:tc>
          <w:tcPr>
            <w:tcW w:w="493" w:type="pct"/>
            <w:vAlign w:val="center"/>
          </w:tcPr>
          <w:p w14:paraId="3F8BF3D0"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23,200</w:t>
            </w:r>
          </w:p>
        </w:tc>
        <w:tc>
          <w:tcPr>
            <w:tcW w:w="508" w:type="pct"/>
            <w:vAlign w:val="center"/>
          </w:tcPr>
          <w:p w14:paraId="77153CF7"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24,800</w:t>
            </w:r>
          </w:p>
        </w:tc>
        <w:tc>
          <w:tcPr>
            <w:tcW w:w="416" w:type="pct"/>
            <w:vAlign w:val="center"/>
          </w:tcPr>
          <w:p w14:paraId="04D0B7BC"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0</w:t>
            </w:r>
          </w:p>
        </w:tc>
        <w:tc>
          <w:tcPr>
            <w:tcW w:w="473" w:type="pct"/>
            <w:vAlign w:val="center"/>
          </w:tcPr>
          <w:p w14:paraId="56255F44"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48,181</w:t>
            </w:r>
          </w:p>
        </w:tc>
      </w:tr>
      <w:tr w:rsidR="00525FBB" w:rsidRPr="00525FBB" w14:paraId="102911B3" w14:textId="77777777" w:rsidTr="006C25DC">
        <w:trPr>
          <w:trHeight w:val="576"/>
        </w:trPr>
        <w:tc>
          <w:tcPr>
            <w:tcW w:w="479" w:type="pct"/>
            <w:vAlign w:val="center"/>
          </w:tcPr>
          <w:p w14:paraId="7D67D1C5"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sz w:val="24"/>
                <w:szCs w:val="24"/>
              </w:rPr>
              <w:t>S3</w:t>
            </w:r>
          </w:p>
        </w:tc>
        <w:tc>
          <w:tcPr>
            <w:tcW w:w="1687" w:type="pct"/>
            <w:vAlign w:val="center"/>
          </w:tcPr>
          <w:p w14:paraId="12E77DB6"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Saudi Arabia Healthcare Transformation</w:t>
            </w:r>
          </w:p>
        </w:tc>
        <w:tc>
          <w:tcPr>
            <w:tcW w:w="472" w:type="pct"/>
            <w:vAlign w:val="center"/>
          </w:tcPr>
          <w:p w14:paraId="55CE6E6E"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188</w:t>
            </w:r>
          </w:p>
        </w:tc>
        <w:tc>
          <w:tcPr>
            <w:tcW w:w="472" w:type="pct"/>
            <w:vAlign w:val="center"/>
          </w:tcPr>
          <w:p w14:paraId="6B6F5E74"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3,865</w:t>
            </w:r>
          </w:p>
        </w:tc>
        <w:tc>
          <w:tcPr>
            <w:tcW w:w="493" w:type="pct"/>
            <w:vAlign w:val="center"/>
          </w:tcPr>
          <w:p w14:paraId="2A8788F2"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117000</w:t>
            </w:r>
          </w:p>
        </w:tc>
        <w:tc>
          <w:tcPr>
            <w:tcW w:w="508" w:type="pct"/>
            <w:vAlign w:val="center"/>
          </w:tcPr>
          <w:p w14:paraId="2C9D68AF"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8440</w:t>
            </w:r>
          </w:p>
        </w:tc>
        <w:tc>
          <w:tcPr>
            <w:tcW w:w="416" w:type="pct"/>
            <w:vAlign w:val="center"/>
          </w:tcPr>
          <w:p w14:paraId="2DC5C0F7"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0</w:t>
            </w:r>
          </w:p>
        </w:tc>
        <w:tc>
          <w:tcPr>
            <w:tcW w:w="473" w:type="pct"/>
            <w:vAlign w:val="center"/>
          </w:tcPr>
          <w:p w14:paraId="168890D6"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129,493</w:t>
            </w:r>
          </w:p>
        </w:tc>
      </w:tr>
      <w:tr w:rsidR="00525FBB" w:rsidRPr="00525FBB" w14:paraId="2CD466AD" w14:textId="77777777" w:rsidTr="006C25DC">
        <w:trPr>
          <w:trHeight w:val="576"/>
        </w:trPr>
        <w:tc>
          <w:tcPr>
            <w:tcW w:w="479" w:type="pct"/>
            <w:vAlign w:val="center"/>
          </w:tcPr>
          <w:p w14:paraId="1298BD19"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sz w:val="24"/>
                <w:szCs w:val="24"/>
              </w:rPr>
              <w:t>S4</w:t>
            </w:r>
          </w:p>
        </w:tc>
        <w:tc>
          <w:tcPr>
            <w:tcW w:w="1687" w:type="pct"/>
            <w:vAlign w:val="center"/>
          </w:tcPr>
          <w:p w14:paraId="089B1CFC" w14:textId="77777777" w:rsidR="00525FBB" w:rsidRPr="00525FBB" w:rsidRDefault="00525FBB" w:rsidP="00525FBB">
            <w:pPr>
              <w:spacing w:line="276" w:lineRule="auto"/>
              <w:jc w:val="right"/>
              <w:rPr>
                <w:rFonts w:asciiTheme="majorBidi" w:hAnsiTheme="majorBidi" w:cstheme="majorBidi"/>
                <w:color w:val="231F20"/>
                <w:w w:val="110"/>
                <w:sz w:val="24"/>
                <w:szCs w:val="24"/>
              </w:rPr>
            </w:pPr>
            <w:r w:rsidRPr="00525FBB">
              <w:rPr>
                <w:rFonts w:asciiTheme="majorBidi" w:hAnsiTheme="majorBidi" w:cstheme="majorBidi"/>
                <w:color w:val="000000"/>
                <w:sz w:val="24"/>
                <w:szCs w:val="24"/>
              </w:rPr>
              <w:t>Saudi Arabia Healthcare Transformation Risk Assessment</w:t>
            </w:r>
          </w:p>
        </w:tc>
        <w:tc>
          <w:tcPr>
            <w:tcW w:w="472" w:type="pct"/>
            <w:vAlign w:val="center"/>
          </w:tcPr>
          <w:p w14:paraId="41B3AC2A"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5</w:t>
            </w:r>
          </w:p>
        </w:tc>
        <w:tc>
          <w:tcPr>
            <w:tcW w:w="472" w:type="pct"/>
            <w:vAlign w:val="center"/>
          </w:tcPr>
          <w:p w14:paraId="24E09F13"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1,923</w:t>
            </w:r>
          </w:p>
        </w:tc>
        <w:tc>
          <w:tcPr>
            <w:tcW w:w="493" w:type="pct"/>
            <w:vAlign w:val="center"/>
          </w:tcPr>
          <w:p w14:paraId="5843713F"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65200</w:t>
            </w:r>
          </w:p>
        </w:tc>
        <w:tc>
          <w:tcPr>
            <w:tcW w:w="508" w:type="pct"/>
            <w:vAlign w:val="center"/>
          </w:tcPr>
          <w:p w14:paraId="2E5C5375"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4220</w:t>
            </w:r>
          </w:p>
        </w:tc>
        <w:tc>
          <w:tcPr>
            <w:tcW w:w="416" w:type="pct"/>
            <w:vAlign w:val="center"/>
          </w:tcPr>
          <w:p w14:paraId="26FA739E"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0</w:t>
            </w:r>
          </w:p>
        </w:tc>
        <w:tc>
          <w:tcPr>
            <w:tcW w:w="473" w:type="pct"/>
            <w:vAlign w:val="center"/>
          </w:tcPr>
          <w:p w14:paraId="71322C24"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71,348</w:t>
            </w:r>
          </w:p>
        </w:tc>
      </w:tr>
      <w:tr w:rsidR="00525FBB" w:rsidRPr="00525FBB" w14:paraId="7C075D09" w14:textId="77777777" w:rsidTr="006C25DC">
        <w:trPr>
          <w:trHeight w:val="576"/>
        </w:trPr>
        <w:tc>
          <w:tcPr>
            <w:tcW w:w="479" w:type="pct"/>
            <w:vAlign w:val="center"/>
          </w:tcPr>
          <w:p w14:paraId="6B73CF97"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sz w:val="24"/>
                <w:szCs w:val="24"/>
              </w:rPr>
              <w:t>S5</w:t>
            </w:r>
          </w:p>
        </w:tc>
        <w:tc>
          <w:tcPr>
            <w:tcW w:w="1687" w:type="pct"/>
            <w:vAlign w:val="center"/>
          </w:tcPr>
          <w:p w14:paraId="54EFBE67"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231F20"/>
                <w:sz w:val="24"/>
                <w:szCs w:val="24"/>
              </w:rPr>
              <w:t>S4 with limits: date (2015–2024)</w:t>
            </w:r>
          </w:p>
        </w:tc>
        <w:tc>
          <w:tcPr>
            <w:tcW w:w="472" w:type="pct"/>
            <w:vAlign w:val="center"/>
          </w:tcPr>
          <w:p w14:paraId="0C685AA6"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4</w:t>
            </w:r>
          </w:p>
        </w:tc>
        <w:tc>
          <w:tcPr>
            <w:tcW w:w="472" w:type="pct"/>
            <w:vAlign w:val="center"/>
          </w:tcPr>
          <w:p w14:paraId="1A6A54FE"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825</w:t>
            </w:r>
          </w:p>
        </w:tc>
        <w:tc>
          <w:tcPr>
            <w:tcW w:w="493" w:type="pct"/>
            <w:vAlign w:val="center"/>
          </w:tcPr>
          <w:p w14:paraId="7C4B6112"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7,346</w:t>
            </w:r>
          </w:p>
        </w:tc>
        <w:tc>
          <w:tcPr>
            <w:tcW w:w="508" w:type="pct"/>
            <w:vAlign w:val="center"/>
          </w:tcPr>
          <w:p w14:paraId="72D7F6B5"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598</w:t>
            </w:r>
          </w:p>
        </w:tc>
        <w:tc>
          <w:tcPr>
            <w:tcW w:w="416" w:type="pct"/>
            <w:vAlign w:val="center"/>
          </w:tcPr>
          <w:p w14:paraId="622071AB"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0</w:t>
            </w:r>
          </w:p>
        </w:tc>
        <w:tc>
          <w:tcPr>
            <w:tcW w:w="473" w:type="pct"/>
            <w:vAlign w:val="center"/>
          </w:tcPr>
          <w:p w14:paraId="11B586F7"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8,773</w:t>
            </w:r>
          </w:p>
        </w:tc>
      </w:tr>
      <w:tr w:rsidR="00525FBB" w:rsidRPr="00525FBB" w14:paraId="3652D4A9" w14:textId="77777777" w:rsidTr="006C25DC">
        <w:trPr>
          <w:trHeight w:val="576"/>
        </w:trPr>
        <w:tc>
          <w:tcPr>
            <w:tcW w:w="479" w:type="pct"/>
            <w:vAlign w:val="center"/>
          </w:tcPr>
          <w:p w14:paraId="41892206"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sz w:val="24"/>
                <w:szCs w:val="24"/>
              </w:rPr>
              <w:t>S6</w:t>
            </w:r>
          </w:p>
        </w:tc>
        <w:tc>
          <w:tcPr>
            <w:tcW w:w="1687" w:type="pct"/>
            <w:vAlign w:val="center"/>
          </w:tcPr>
          <w:p w14:paraId="44EB0E7B" w14:textId="77777777" w:rsidR="00525FBB" w:rsidRPr="00525FBB" w:rsidRDefault="00525FBB" w:rsidP="00525FBB">
            <w:pPr>
              <w:spacing w:line="276" w:lineRule="auto"/>
              <w:jc w:val="right"/>
              <w:rPr>
                <w:rFonts w:asciiTheme="majorBidi" w:hAnsiTheme="majorBidi" w:cstheme="majorBidi"/>
                <w:color w:val="231F20"/>
                <w:w w:val="110"/>
                <w:sz w:val="24"/>
                <w:szCs w:val="24"/>
              </w:rPr>
            </w:pPr>
            <w:r w:rsidRPr="00525FBB">
              <w:rPr>
                <w:rFonts w:asciiTheme="majorBidi" w:hAnsiTheme="majorBidi" w:cstheme="majorBidi"/>
                <w:color w:val="231F20"/>
                <w:sz w:val="24"/>
                <w:szCs w:val="24"/>
              </w:rPr>
              <w:t>S5 with peer reviewed, human, journal article and English language</w:t>
            </w:r>
          </w:p>
        </w:tc>
        <w:tc>
          <w:tcPr>
            <w:tcW w:w="472" w:type="pct"/>
            <w:vAlign w:val="center"/>
          </w:tcPr>
          <w:p w14:paraId="08975768"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4</w:t>
            </w:r>
          </w:p>
        </w:tc>
        <w:tc>
          <w:tcPr>
            <w:tcW w:w="472" w:type="pct"/>
            <w:vAlign w:val="center"/>
          </w:tcPr>
          <w:p w14:paraId="3100F8A4"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358</w:t>
            </w:r>
          </w:p>
        </w:tc>
        <w:tc>
          <w:tcPr>
            <w:tcW w:w="493" w:type="pct"/>
            <w:vAlign w:val="center"/>
          </w:tcPr>
          <w:p w14:paraId="0D4F667A"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234</w:t>
            </w:r>
          </w:p>
        </w:tc>
        <w:tc>
          <w:tcPr>
            <w:tcW w:w="508" w:type="pct"/>
            <w:vAlign w:val="center"/>
          </w:tcPr>
          <w:p w14:paraId="3A1B00F5"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53</w:t>
            </w:r>
          </w:p>
        </w:tc>
        <w:tc>
          <w:tcPr>
            <w:tcW w:w="416" w:type="pct"/>
            <w:vAlign w:val="center"/>
          </w:tcPr>
          <w:p w14:paraId="3900780B"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0</w:t>
            </w:r>
          </w:p>
        </w:tc>
        <w:tc>
          <w:tcPr>
            <w:tcW w:w="473" w:type="pct"/>
            <w:vAlign w:val="center"/>
          </w:tcPr>
          <w:p w14:paraId="620A0AF2"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color w:val="000000"/>
                <w:sz w:val="24"/>
                <w:szCs w:val="24"/>
              </w:rPr>
              <w:t>649</w:t>
            </w:r>
          </w:p>
        </w:tc>
      </w:tr>
    </w:tbl>
    <w:p w14:paraId="22B51CB5" w14:textId="4A9FB4F7" w:rsidR="00525FBB" w:rsidRDefault="00525FBB" w:rsidP="00525FBB">
      <w:pPr>
        <w:spacing w:line="276" w:lineRule="auto"/>
        <w:jc w:val="right"/>
        <w:rPr>
          <w:rFonts w:asciiTheme="majorBidi" w:hAnsiTheme="majorBidi" w:cstheme="majorBidi"/>
          <w:sz w:val="24"/>
          <w:szCs w:val="24"/>
        </w:rPr>
      </w:pPr>
    </w:p>
    <w:p w14:paraId="6BEE4AA2" w14:textId="2FB22010" w:rsidR="00A55D84" w:rsidRDefault="00A55D84" w:rsidP="00525FBB">
      <w:pPr>
        <w:spacing w:line="276" w:lineRule="auto"/>
        <w:jc w:val="right"/>
        <w:rPr>
          <w:rFonts w:asciiTheme="majorBidi" w:hAnsiTheme="majorBidi" w:cstheme="majorBidi"/>
          <w:sz w:val="24"/>
          <w:szCs w:val="24"/>
        </w:rPr>
      </w:pPr>
    </w:p>
    <w:p w14:paraId="5F84DF5A" w14:textId="77777777" w:rsidR="00A55D84" w:rsidRPr="00525FBB" w:rsidRDefault="00A55D84" w:rsidP="00525FBB">
      <w:pPr>
        <w:spacing w:line="276" w:lineRule="auto"/>
        <w:jc w:val="right"/>
        <w:rPr>
          <w:rFonts w:asciiTheme="majorBidi" w:hAnsiTheme="majorBidi" w:cstheme="majorBidi"/>
          <w:sz w:val="24"/>
          <w:szCs w:val="24"/>
        </w:rPr>
      </w:pPr>
    </w:p>
    <w:p w14:paraId="191AFFE8" w14:textId="7BAA36E1" w:rsidR="00525FBB" w:rsidRDefault="00525FBB" w:rsidP="00525FBB">
      <w:pPr>
        <w:spacing w:line="276" w:lineRule="auto"/>
        <w:jc w:val="right"/>
        <w:rPr>
          <w:rFonts w:asciiTheme="majorBidi" w:hAnsiTheme="majorBidi" w:cstheme="majorBidi"/>
          <w:b/>
          <w:bCs/>
          <w:sz w:val="24"/>
          <w:szCs w:val="24"/>
          <w:u w:val="single"/>
        </w:rPr>
      </w:pPr>
      <w:r w:rsidRPr="00525FBB">
        <w:rPr>
          <w:rFonts w:asciiTheme="majorBidi" w:hAnsiTheme="majorBidi" w:cstheme="majorBidi"/>
          <w:b/>
          <w:bCs/>
          <w:sz w:val="24"/>
          <w:szCs w:val="24"/>
          <w:u w:val="single"/>
        </w:rPr>
        <w:t>FIGURE 1: PRISMA REVIEW FLOW CHART</w:t>
      </w:r>
    </w:p>
    <w:p w14:paraId="4C08538B" w14:textId="77777777" w:rsidR="00992C84" w:rsidRPr="00525FBB" w:rsidRDefault="00992C84" w:rsidP="00525FBB">
      <w:pPr>
        <w:spacing w:line="276" w:lineRule="auto"/>
        <w:jc w:val="right"/>
        <w:rPr>
          <w:rFonts w:asciiTheme="majorBidi" w:hAnsiTheme="majorBidi" w:cstheme="majorBidi"/>
          <w:b/>
          <w:bCs/>
          <w:sz w:val="24"/>
          <w:szCs w:val="24"/>
          <w:u w:val="single"/>
        </w:rPr>
      </w:pPr>
    </w:p>
    <w:p w14:paraId="3BD82AF1"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noProof/>
          <w:sz w:val="24"/>
          <w:szCs w:val="24"/>
        </w:rPr>
        <mc:AlternateContent>
          <mc:Choice Requires="wps">
            <w:drawing>
              <wp:anchor distT="45720" distB="45720" distL="114300" distR="114300" simplePos="0" relativeHeight="251663360" behindDoc="0" locked="0" layoutInCell="1" allowOverlap="1" wp14:anchorId="2CA1EACC" wp14:editId="5AB9616F">
                <wp:simplePos x="0" y="0"/>
                <wp:positionH relativeFrom="column">
                  <wp:posOffset>1009650</wp:posOffset>
                </wp:positionH>
                <wp:positionV relativeFrom="paragraph">
                  <wp:posOffset>270348</wp:posOffset>
                </wp:positionV>
                <wp:extent cx="2360930" cy="89979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99795"/>
                        </a:xfrm>
                        <a:prstGeom prst="rect">
                          <a:avLst/>
                        </a:prstGeom>
                        <a:noFill/>
                        <a:ln w="9525">
                          <a:noFill/>
                          <a:miter lim="800000"/>
                          <a:headEnd/>
                          <a:tailEnd/>
                        </a:ln>
                      </wps:spPr>
                      <wps:txbx>
                        <w:txbxContent>
                          <w:p w14:paraId="4835BAC1" w14:textId="77777777" w:rsidR="00525FBB" w:rsidRPr="009E4D82" w:rsidRDefault="00525FBB" w:rsidP="00525FBB">
                            <w:pPr>
                              <w:rPr>
                                <w:b/>
                                <w:bCs/>
                                <w:sz w:val="16"/>
                                <w:szCs w:val="16"/>
                              </w:rPr>
                            </w:pPr>
                            <w:r w:rsidRPr="009E4D82">
                              <w:rPr>
                                <w:b/>
                                <w:bCs/>
                                <w:sz w:val="16"/>
                                <w:szCs w:val="16"/>
                              </w:rPr>
                              <w:t>IDENTIFICATION</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type w14:anchorId="2CA1EACC" id="_x0000_t202" coordsize="21600,21600" o:spt="202" path="m,l,21600r21600,l21600,xe">
                <v:stroke joinstyle="miter"/>
                <v:path gradientshapeok="t" o:connecttype="rect"/>
              </v:shapetype>
              <v:shape id="Text Box 2" o:spid="_x0000_s1026" type="#_x0000_t202" style="position:absolute;margin-left:79.5pt;margin-top:21.3pt;width:185.9pt;height:70.85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" filled="f" stroked="f">
                <v:textbox style="layout-flow:vertical;mso-layout-flow-alt:bottom-to-top;mso-fit-shape-to-text:t">
                  <w:txbxContent>
                    <w:p w14:paraId="4835BAC1" w14:textId="77777777" w:rsidR="00525FBB" w:rsidRPr="009E4D82" w:rsidRDefault="00525FBB" w:rsidP="00525FBB">
                      <w:pPr>
                        <w:rPr>
                          <w:b/>
                          <w:bCs/>
                          <w:sz w:val="16"/>
                          <w:szCs w:val="16"/>
                        </w:rPr>
                      </w:pPr>
                      <w:r w:rsidRPr="009E4D82">
                        <w:rPr>
                          <w:b/>
                          <w:bCs/>
                          <w:sz w:val="16"/>
                          <w:szCs w:val="16"/>
                        </w:rPr>
                        <w:t>IDENTIFICATION</w:t>
                      </w:r>
                    </w:p>
                  </w:txbxContent>
                </v:textbox>
                <w10:wrap type="square"/>
              </v:shape>
            </w:pict>
          </mc:Fallback>
        </mc:AlternateContent>
      </w:r>
      <w:r w:rsidRPr="00525FBB">
        <w:rPr>
          <w:rFonts w:asciiTheme="majorBidi" w:hAnsiTheme="majorBidi" w:cstheme="majorBidi"/>
          <w:noProof/>
          <w:sz w:val="24"/>
          <w:szCs w:val="24"/>
        </w:rPr>
        <mc:AlternateContent>
          <mc:Choice Requires="wpg">
            <w:drawing>
              <wp:anchor distT="0" distB="0" distL="114300" distR="114300" simplePos="0" relativeHeight="251662336" behindDoc="0" locked="0" layoutInCell="1" allowOverlap="1" wp14:anchorId="14DBCA8D" wp14:editId="4EF633ED">
                <wp:simplePos x="0" y="0"/>
                <wp:positionH relativeFrom="page">
                  <wp:posOffset>1903228</wp:posOffset>
                </wp:positionH>
                <wp:positionV relativeFrom="paragraph">
                  <wp:posOffset>144307</wp:posOffset>
                </wp:positionV>
                <wp:extent cx="4316730" cy="4406900"/>
                <wp:effectExtent l="0" t="0" r="2667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6730" cy="4406900"/>
                          <a:chOff x="2454" y="-7083"/>
                          <a:chExt cx="6798" cy="6940"/>
                        </a:xfrm>
                      </wpg:grpSpPr>
                      <pic:pic xmlns:pic="http://schemas.openxmlformats.org/drawingml/2006/picture">
                        <pic:nvPicPr>
                          <pic:cNvPr id="18" name="Picture 1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454" y="-6678"/>
                            <a:ext cx="4286" cy="6535"/>
                          </a:xfrm>
                          <a:prstGeom prst="rect">
                            <a:avLst/>
                          </a:prstGeom>
                          <a:noFill/>
                          <a:extLst>
                            <a:ext uri="{909E8E84-426E-40DD-AFC4-6F175D3DCCD1}">
                              <a14:hiddenFill xmlns:a14="http://schemas.microsoft.com/office/drawing/2010/main">
                                <a:solidFill>
                                  <a:srgbClr val="FFFFFF"/>
                                </a:solidFill>
                              </a14:hiddenFill>
                            </a:ext>
                          </a:extLst>
                        </pic:spPr>
                      </pic:pic>
                      <wps:wsp>
                        <wps:cNvPr id="19" name="AutoShape 20"/>
                        <wps:cNvSpPr>
                          <a:spLocks/>
                        </wps:cNvSpPr>
                        <wps:spPr bwMode="auto">
                          <a:xfrm>
                            <a:off x="3674" y="-6118"/>
                            <a:ext cx="3046" cy="5970"/>
                          </a:xfrm>
                          <a:custGeom>
                            <a:avLst/>
                            <a:gdLst>
                              <a:gd name="T0" fmla="*/ 1916 w 3046"/>
                              <a:gd name="T1" fmla="*/ -1093 h 5970"/>
                              <a:gd name="T2" fmla="*/ 1916 w 3046"/>
                              <a:gd name="T3" fmla="*/ -209 h 5970"/>
                              <a:gd name="T4" fmla="*/ 60 w 3046"/>
                              <a:gd name="T5" fmla="*/ -1081 h 5970"/>
                              <a:gd name="T6" fmla="*/ 1916 w 3046"/>
                              <a:gd name="T7" fmla="*/ -1093 h 5970"/>
                              <a:gd name="T8" fmla="*/ 48 w 3046"/>
                              <a:gd name="T9" fmla="*/ -197 h 5970"/>
                              <a:gd name="T10" fmla="*/ 1928 w 3046"/>
                              <a:gd name="T11" fmla="*/ -209 h 5970"/>
                              <a:gd name="T12" fmla="*/ 1928 w 3046"/>
                              <a:gd name="T13" fmla="*/ -1093 h 5970"/>
                              <a:gd name="T14" fmla="*/ 1974 w 3046"/>
                              <a:gd name="T15" fmla="*/ -1122 h 5970"/>
                              <a:gd name="T16" fmla="*/ 1958 w 3046"/>
                              <a:gd name="T17" fmla="*/ -1138 h 5970"/>
                              <a:gd name="T18" fmla="*/ 1940 w 3046"/>
                              <a:gd name="T19" fmla="*/ -1141 h 5970"/>
                              <a:gd name="T20" fmla="*/ 1940 w 3046"/>
                              <a:gd name="T21" fmla="*/ -185 h 5970"/>
                              <a:gd name="T22" fmla="*/ 36 w 3046"/>
                              <a:gd name="T23" fmla="*/ -1105 h 5970"/>
                              <a:gd name="T24" fmla="*/ 1940 w 3046"/>
                              <a:gd name="T25" fmla="*/ -1141 h 5970"/>
                              <a:gd name="T26" fmla="*/ 18 w 3046"/>
                              <a:gd name="T27" fmla="*/ -1138 h 5970"/>
                              <a:gd name="T28" fmla="*/ 2 w 3046"/>
                              <a:gd name="T29" fmla="*/ -1122 h 5970"/>
                              <a:gd name="T30" fmla="*/ 0 w 3046"/>
                              <a:gd name="T31" fmla="*/ -179 h 5970"/>
                              <a:gd name="T32" fmla="*/ 9 w 3046"/>
                              <a:gd name="T33" fmla="*/ -157 h 5970"/>
                              <a:gd name="T34" fmla="*/ 30 w 3046"/>
                              <a:gd name="T35" fmla="*/ -148 h 5970"/>
                              <a:gd name="T36" fmla="*/ 1958 w 3046"/>
                              <a:gd name="T37" fmla="*/ -151 h 5970"/>
                              <a:gd name="T38" fmla="*/ 1974 w 3046"/>
                              <a:gd name="T39" fmla="*/ -167 h 5970"/>
                              <a:gd name="T40" fmla="*/ 1976 w 3046"/>
                              <a:gd name="T41" fmla="*/ -185 h 5970"/>
                              <a:gd name="T42" fmla="*/ 1976 w 3046"/>
                              <a:gd name="T43" fmla="*/ -1111 h 5970"/>
                              <a:gd name="T44" fmla="*/ 3028 w 3046"/>
                              <a:gd name="T45" fmla="*/ -2146 h 5970"/>
                              <a:gd name="T46" fmla="*/ 2945 w 3046"/>
                              <a:gd name="T47" fmla="*/ -2194 h 5970"/>
                              <a:gd name="T48" fmla="*/ 2936 w 3046"/>
                              <a:gd name="T49" fmla="*/ -2188 h 5970"/>
                              <a:gd name="T50" fmla="*/ 2935 w 3046"/>
                              <a:gd name="T51" fmla="*/ -2177 h 5970"/>
                              <a:gd name="T52" fmla="*/ 1960 w 3046"/>
                              <a:gd name="T53" fmla="*/ -2146 h 5970"/>
                              <a:gd name="T54" fmla="*/ 2988 w 3046"/>
                              <a:gd name="T55" fmla="*/ -2126 h 5970"/>
                              <a:gd name="T56" fmla="*/ 2933 w 3046"/>
                              <a:gd name="T57" fmla="*/ -2089 h 5970"/>
                              <a:gd name="T58" fmla="*/ 2945 w 3046"/>
                              <a:gd name="T59" fmla="*/ -2077 h 5970"/>
                              <a:gd name="T60" fmla="*/ 3045 w 3046"/>
                              <a:gd name="T61" fmla="*/ -2136 h 5970"/>
                              <a:gd name="T62" fmla="*/ 3028 w 3046"/>
                              <a:gd name="T63" fmla="*/ -5525 h 5970"/>
                              <a:gd name="T64" fmla="*/ 2945 w 3046"/>
                              <a:gd name="T65" fmla="*/ -5573 h 5970"/>
                              <a:gd name="T66" fmla="*/ 2933 w 3046"/>
                              <a:gd name="T67" fmla="*/ -5562 h 5970"/>
                              <a:gd name="T68" fmla="*/ 2988 w 3046"/>
                              <a:gd name="T69" fmla="*/ -5525 h 5970"/>
                              <a:gd name="T70" fmla="*/ 884 w 3046"/>
                              <a:gd name="T71" fmla="*/ -6118 h 5970"/>
                              <a:gd name="T72" fmla="*/ 864 w 3046"/>
                              <a:gd name="T73" fmla="*/ -4848 h 5970"/>
                              <a:gd name="T74" fmla="*/ 864 w 3046"/>
                              <a:gd name="T75" fmla="*/ -4848 h 5970"/>
                              <a:gd name="T76" fmla="*/ 827 w 3046"/>
                              <a:gd name="T77" fmla="*/ -4903 h 5970"/>
                              <a:gd name="T78" fmla="*/ 816 w 3046"/>
                              <a:gd name="T79" fmla="*/ -4891 h 5970"/>
                              <a:gd name="T80" fmla="*/ 874 w 3046"/>
                              <a:gd name="T81" fmla="*/ -4791 h 5970"/>
                              <a:gd name="T82" fmla="*/ 930 w 3046"/>
                              <a:gd name="T83" fmla="*/ -4887 h 5970"/>
                              <a:gd name="T84" fmla="*/ 931 w 3046"/>
                              <a:gd name="T85" fmla="*/ -4897 h 5970"/>
                              <a:gd name="T86" fmla="*/ 915 w 3046"/>
                              <a:gd name="T87" fmla="*/ -4901 h 5970"/>
                              <a:gd name="T88" fmla="*/ 884 w 3046"/>
                              <a:gd name="T89" fmla="*/ -4848 h 5970"/>
                              <a:gd name="T90" fmla="*/ 2988 w 3046"/>
                              <a:gd name="T91" fmla="*/ -5505 h 5970"/>
                              <a:gd name="T92" fmla="*/ 2935 w 3046"/>
                              <a:gd name="T93" fmla="*/ -5474 h 5970"/>
                              <a:gd name="T94" fmla="*/ 2939 w 3046"/>
                              <a:gd name="T95" fmla="*/ -5458 h 5970"/>
                              <a:gd name="T96" fmla="*/ 3045 w 3046"/>
                              <a:gd name="T97" fmla="*/ -5515 h 5970"/>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3046" h="5970">
                                <a:moveTo>
                                  <a:pt x="1928" y="5025"/>
                                </a:moveTo>
                                <a:lnTo>
                                  <a:pt x="1916" y="5025"/>
                                </a:lnTo>
                                <a:lnTo>
                                  <a:pt x="1916" y="5037"/>
                                </a:lnTo>
                                <a:lnTo>
                                  <a:pt x="1916" y="5909"/>
                                </a:lnTo>
                                <a:lnTo>
                                  <a:pt x="60" y="5909"/>
                                </a:lnTo>
                                <a:lnTo>
                                  <a:pt x="60" y="5037"/>
                                </a:lnTo>
                                <a:lnTo>
                                  <a:pt x="1916" y="5037"/>
                                </a:lnTo>
                                <a:lnTo>
                                  <a:pt x="1916" y="5025"/>
                                </a:lnTo>
                                <a:lnTo>
                                  <a:pt x="48" y="5025"/>
                                </a:lnTo>
                                <a:lnTo>
                                  <a:pt x="48" y="5921"/>
                                </a:lnTo>
                                <a:lnTo>
                                  <a:pt x="1928" y="5921"/>
                                </a:lnTo>
                                <a:lnTo>
                                  <a:pt x="1928" y="5909"/>
                                </a:lnTo>
                                <a:lnTo>
                                  <a:pt x="1928" y="5037"/>
                                </a:lnTo>
                                <a:lnTo>
                                  <a:pt x="1928" y="5025"/>
                                </a:lnTo>
                                <a:close/>
                                <a:moveTo>
                                  <a:pt x="1976" y="5007"/>
                                </a:moveTo>
                                <a:lnTo>
                                  <a:pt x="1974" y="4996"/>
                                </a:lnTo>
                                <a:lnTo>
                                  <a:pt x="1967" y="4986"/>
                                </a:lnTo>
                                <a:lnTo>
                                  <a:pt x="1958" y="4980"/>
                                </a:lnTo>
                                <a:lnTo>
                                  <a:pt x="1946" y="4977"/>
                                </a:lnTo>
                                <a:lnTo>
                                  <a:pt x="1940" y="4977"/>
                                </a:lnTo>
                                <a:lnTo>
                                  <a:pt x="1940" y="5013"/>
                                </a:lnTo>
                                <a:lnTo>
                                  <a:pt x="1940" y="5933"/>
                                </a:lnTo>
                                <a:lnTo>
                                  <a:pt x="36" y="5933"/>
                                </a:lnTo>
                                <a:lnTo>
                                  <a:pt x="36" y="5013"/>
                                </a:lnTo>
                                <a:lnTo>
                                  <a:pt x="1940" y="5013"/>
                                </a:lnTo>
                                <a:lnTo>
                                  <a:pt x="1940" y="4977"/>
                                </a:lnTo>
                                <a:lnTo>
                                  <a:pt x="30" y="4977"/>
                                </a:lnTo>
                                <a:lnTo>
                                  <a:pt x="18" y="4980"/>
                                </a:lnTo>
                                <a:lnTo>
                                  <a:pt x="9" y="4986"/>
                                </a:lnTo>
                                <a:lnTo>
                                  <a:pt x="2" y="4996"/>
                                </a:lnTo>
                                <a:lnTo>
                                  <a:pt x="0" y="5007"/>
                                </a:lnTo>
                                <a:lnTo>
                                  <a:pt x="0" y="5939"/>
                                </a:lnTo>
                                <a:lnTo>
                                  <a:pt x="2" y="5951"/>
                                </a:lnTo>
                                <a:lnTo>
                                  <a:pt x="9" y="5961"/>
                                </a:lnTo>
                                <a:lnTo>
                                  <a:pt x="18" y="5967"/>
                                </a:lnTo>
                                <a:lnTo>
                                  <a:pt x="30" y="5970"/>
                                </a:lnTo>
                                <a:lnTo>
                                  <a:pt x="1946" y="5970"/>
                                </a:lnTo>
                                <a:lnTo>
                                  <a:pt x="1958" y="5967"/>
                                </a:lnTo>
                                <a:lnTo>
                                  <a:pt x="1967" y="5961"/>
                                </a:lnTo>
                                <a:lnTo>
                                  <a:pt x="1974" y="5951"/>
                                </a:lnTo>
                                <a:lnTo>
                                  <a:pt x="1976" y="5939"/>
                                </a:lnTo>
                                <a:lnTo>
                                  <a:pt x="1976" y="5933"/>
                                </a:lnTo>
                                <a:lnTo>
                                  <a:pt x="1976" y="5013"/>
                                </a:lnTo>
                                <a:lnTo>
                                  <a:pt x="1976" y="5007"/>
                                </a:lnTo>
                                <a:close/>
                                <a:moveTo>
                                  <a:pt x="3045" y="3982"/>
                                </a:moveTo>
                                <a:lnTo>
                                  <a:pt x="3028" y="3972"/>
                                </a:lnTo>
                                <a:lnTo>
                                  <a:pt x="2949" y="3927"/>
                                </a:lnTo>
                                <a:lnTo>
                                  <a:pt x="2945" y="3924"/>
                                </a:lnTo>
                                <a:lnTo>
                                  <a:pt x="2939" y="3926"/>
                                </a:lnTo>
                                <a:lnTo>
                                  <a:pt x="2936" y="3930"/>
                                </a:lnTo>
                                <a:lnTo>
                                  <a:pt x="2933" y="3935"/>
                                </a:lnTo>
                                <a:lnTo>
                                  <a:pt x="2935" y="3941"/>
                                </a:lnTo>
                                <a:lnTo>
                                  <a:pt x="2988" y="3972"/>
                                </a:lnTo>
                                <a:lnTo>
                                  <a:pt x="1960" y="3972"/>
                                </a:lnTo>
                                <a:lnTo>
                                  <a:pt x="1960" y="3992"/>
                                </a:lnTo>
                                <a:lnTo>
                                  <a:pt x="2988" y="3992"/>
                                </a:lnTo>
                                <a:lnTo>
                                  <a:pt x="2935" y="4023"/>
                                </a:lnTo>
                                <a:lnTo>
                                  <a:pt x="2933" y="4029"/>
                                </a:lnTo>
                                <a:lnTo>
                                  <a:pt x="2939" y="4039"/>
                                </a:lnTo>
                                <a:lnTo>
                                  <a:pt x="2945" y="4041"/>
                                </a:lnTo>
                                <a:lnTo>
                                  <a:pt x="3028" y="3992"/>
                                </a:lnTo>
                                <a:lnTo>
                                  <a:pt x="3045" y="3982"/>
                                </a:lnTo>
                                <a:close/>
                                <a:moveTo>
                                  <a:pt x="3045" y="603"/>
                                </a:moveTo>
                                <a:lnTo>
                                  <a:pt x="3028" y="593"/>
                                </a:lnTo>
                                <a:lnTo>
                                  <a:pt x="2950" y="547"/>
                                </a:lnTo>
                                <a:lnTo>
                                  <a:pt x="2945" y="545"/>
                                </a:lnTo>
                                <a:lnTo>
                                  <a:pt x="2939" y="546"/>
                                </a:lnTo>
                                <a:lnTo>
                                  <a:pt x="2933" y="556"/>
                                </a:lnTo>
                                <a:lnTo>
                                  <a:pt x="2935" y="562"/>
                                </a:lnTo>
                                <a:lnTo>
                                  <a:pt x="2988" y="593"/>
                                </a:lnTo>
                                <a:lnTo>
                                  <a:pt x="884" y="594"/>
                                </a:lnTo>
                                <a:lnTo>
                                  <a:pt x="884" y="0"/>
                                </a:lnTo>
                                <a:lnTo>
                                  <a:pt x="864" y="0"/>
                                </a:lnTo>
                                <a:lnTo>
                                  <a:pt x="864" y="1270"/>
                                </a:lnTo>
                                <a:lnTo>
                                  <a:pt x="864" y="1307"/>
                                </a:lnTo>
                                <a:lnTo>
                                  <a:pt x="864" y="1270"/>
                                </a:lnTo>
                                <a:lnTo>
                                  <a:pt x="833" y="1217"/>
                                </a:lnTo>
                                <a:lnTo>
                                  <a:pt x="827" y="1215"/>
                                </a:lnTo>
                                <a:lnTo>
                                  <a:pt x="817" y="1221"/>
                                </a:lnTo>
                                <a:lnTo>
                                  <a:pt x="816" y="1227"/>
                                </a:lnTo>
                                <a:lnTo>
                                  <a:pt x="819" y="1231"/>
                                </a:lnTo>
                                <a:lnTo>
                                  <a:pt x="874" y="1327"/>
                                </a:lnTo>
                                <a:lnTo>
                                  <a:pt x="886" y="1307"/>
                                </a:lnTo>
                                <a:lnTo>
                                  <a:pt x="930" y="1231"/>
                                </a:lnTo>
                                <a:lnTo>
                                  <a:pt x="933" y="1227"/>
                                </a:lnTo>
                                <a:lnTo>
                                  <a:pt x="931" y="1221"/>
                                </a:lnTo>
                                <a:lnTo>
                                  <a:pt x="921" y="1215"/>
                                </a:lnTo>
                                <a:lnTo>
                                  <a:pt x="915" y="1217"/>
                                </a:lnTo>
                                <a:lnTo>
                                  <a:pt x="884" y="1270"/>
                                </a:lnTo>
                                <a:lnTo>
                                  <a:pt x="884" y="614"/>
                                </a:lnTo>
                                <a:lnTo>
                                  <a:pt x="2988" y="613"/>
                                </a:lnTo>
                                <a:lnTo>
                                  <a:pt x="2939" y="641"/>
                                </a:lnTo>
                                <a:lnTo>
                                  <a:pt x="2935" y="644"/>
                                </a:lnTo>
                                <a:lnTo>
                                  <a:pt x="2933" y="650"/>
                                </a:lnTo>
                                <a:lnTo>
                                  <a:pt x="2939" y="660"/>
                                </a:lnTo>
                                <a:lnTo>
                                  <a:pt x="2945" y="662"/>
                                </a:lnTo>
                                <a:lnTo>
                                  <a:pt x="3045" y="603"/>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 name="Picture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4490" y="-1473"/>
                            <a:ext cx="117" cy="362"/>
                          </a:xfrm>
                          <a:prstGeom prst="rect">
                            <a:avLst/>
                          </a:prstGeom>
                          <a:noFill/>
                          <a:extLst>
                            <a:ext uri="{909E8E84-426E-40DD-AFC4-6F175D3DCCD1}">
                              <a14:hiddenFill xmlns:a14="http://schemas.microsoft.com/office/drawing/2010/main">
                                <a:solidFill>
                                  <a:srgbClr val="FFFFFF"/>
                                </a:solidFill>
                              </a14:hiddenFill>
                            </a:ext>
                          </a:extLst>
                        </pic:spPr>
                      </pic:pic>
                      <wps:wsp>
                        <wps:cNvPr id="21" name="Freeform 22"/>
                        <wps:cNvSpPr>
                          <a:spLocks/>
                        </wps:cNvSpPr>
                        <wps:spPr bwMode="auto">
                          <a:xfrm>
                            <a:off x="2499" y="-6656"/>
                            <a:ext cx="483" cy="1086"/>
                          </a:xfrm>
                          <a:custGeom>
                            <a:avLst/>
                            <a:gdLst>
                              <a:gd name="T0" fmla="*/ 81 w 483"/>
                              <a:gd name="T1" fmla="*/ -5571 h 1086"/>
                              <a:gd name="T2" fmla="*/ 49 w 483"/>
                              <a:gd name="T3" fmla="*/ -5577 h 1086"/>
                              <a:gd name="T4" fmla="*/ 24 w 483"/>
                              <a:gd name="T5" fmla="*/ -5594 h 1086"/>
                              <a:gd name="T6" fmla="*/ 6 w 483"/>
                              <a:gd name="T7" fmla="*/ -5620 h 1086"/>
                              <a:gd name="T8" fmla="*/ 0 w 483"/>
                              <a:gd name="T9" fmla="*/ -5651 h 1086"/>
                              <a:gd name="T10" fmla="*/ 0 w 483"/>
                              <a:gd name="T11" fmla="*/ -6575 h 1086"/>
                              <a:gd name="T12" fmla="*/ 6 w 483"/>
                              <a:gd name="T13" fmla="*/ -6607 h 1086"/>
                              <a:gd name="T14" fmla="*/ 24 w 483"/>
                              <a:gd name="T15" fmla="*/ -6632 h 1086"/>
                              <a:gd name="T16" fmla="*/ 49 w 483"/>
                              <a:gd name="T17" fmla="*/ -6650 h 1086"/>
                              <a:gd name="T18" fmla="*/ 81 w 483"/>
                              <a:gd name="T19" fmla="*/ -6656 h 1086"/>
                              <a:gd name="T20" fmla="*/ 402 w 483"/>
                              <a:gd name="T21" fmla="*/ -6656 h 1086"/>
                              <a:gd name="T22" fmla="*/ 433 w 483"/>
                              <a:gd name="T23" fmla="*/ -6650 h 1086"/>
                              <a:gd name="T24" fmla="*/ 459 w 483"/>
                              <a:gd name="T25" fmla="*/ -6632 h 1086"/>
                              <a:gd name="T26" fmla="*/ 476 w 483"/>
                              <a:gd name="T27" fmla="*/ -6607 h 1086"/>
                              <a:gd name="T28" fmla="*/ 482 w 483"/>
                              <a:gd name="T29" fmla="*/ -6575 h 1086"/>
                              <a:gd name="T30" fmla="*/ 482 w 483"/>
                              <a:gd name="T31" fmla="*/ -5651 h 1086"/>
                              <a:gd name="T32" fmla="*/ 476 w 483"/>
                              <a:gd name="T33" fmla="*/ -5620 h 1086"/>
                              <a:gd name="T34" fmla="*/ 459 w 483"/>
                              <a:gd name="T35" fmla="*/ -5594 h 1086"/>
                              <a:gd name="T36" fmla="*/ 433 w 483"/>
                              <a:gd name="T37" fmla="*/ -5577 h 1086"/>
                              <a:gd name="T38" fmla="*/ 402 w 483"/>
                              <a:gd name="T39" fmla="*/ -5571 h 1086"/>
                              <a:gd name="T40" fmla="*/ 81 w 483"/>
                              <a:gd name="T41" fmla="*/ -5571 h 108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483" h="1086">
                                <a:moveTo>
                                  <a:pt x="81" y="1085"/>
                                </a:moveTo>
                                <a:lnTo>
                                  <a:pt x="49" y="1079"/>
                                </a:lnTo>
                                <a:lnTo>
                                  <a:pt x="24" y="1062"/>
                                </a:lnTo>
                                <a:lnTo>
                                  <a:pt x="6" y="1036"/>
                                </a:lnTo>
                                <a:lnTo>
                                  <a:pt x="0" y="1005"/>
                                </a:lnTo>
                                <a:lnTo>
                                  <a:pt x="0" y="81"/>
                                </a:lnTo>
                                <a:lnTo>
                                  <a:pt x="6" y="49"/>
                                </a:lnTo>
                                <a:lnTo>
                                  <a:pt x="24" y="24"/>
                                </a:lnTo>
                                <a:lnTo>
                                  <a:pt x="49" y="6"/>
                                </a:lnTo>
                                <a:lnTo>
                                  <a:pt x="81" y="0"/>
                                </a:lnTo>
                                <a:lnTo>
                                  <a:pt x="402" y="0"/>
                                </a:lnTo>
                                <a:lnTo>
                                  <a:pt x="433" y="6"/>
                                </a:lnTo>
                                <a:lnTo>
                                  <a:pt x="459" y="24"/>
                                </a:lnTo>
                                <a:lnTo>
                                  <a:pt x="476" y="49"/>
                                </a:lnTo>
                                <a:lnTo>
                                  <a:pt x="482" y="81"/>
                                </a:lnTo>
                                <a:lnTo>
                                  <a:pt x="482" y="1005"/>
                                </a:lnTo>
                                <a:lnTo>
                                  <a:pt x="476" y="1036"/>
                                </a:lnTo>
                                <a:lnTo>
                                  <a:pt x="459" y="1062"/>
                                </a:lnTo>
                                <a:lnTo>
                                  <a:pt x="433" y="1079"/>
                                </a:lnTo>
                                <a:lnTo>
                                  <a:pt x="402" y="1085"/>
                                </a:lnTo>
                                <a:lnTo>
                                  <a:pt x="81" y="1085"/>
                                </a:lnTo>
                                <a:close/>
                              </a:path>
                            </a:pathLst>
                          </a:custGeom>
                          <a:noFill/>
                          <a:ln w="63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23"/>
                        <wps:cNvSpPr>
                          <a:spLocks/>
                        </wps:cNvSpPr>
                        <wps:spPr bwMode="auto">
                          <a:xfrm>
                            <a:off x="2499" y="-5024"/>
                            <a:ext cx="483" cy="1568"/>
                          </a:xfrm>
                          <a:custGeom>
                            <a:avLst/>
                            <a:gdLst>
                              <a:gd name="T0" fmla="*/ 81 w 483"/>
                              <a:gd name="T1" fmla="*/ -3456 h 1568"/>
                              <a:gd name="T2" fmla="*/ 49 w 483"/>
                              <a:gd name="T3" fmla="*/ -3462 h 1568"/>
                              <a:gd name="T4" fmla="*/ 24 w 483"/>
                              <a:gd name="T5" fmla="*/ -3480 h 1568"/>
                              <a:gd name="T6" fmla="*/ 6 w 483"/>
                              <a:gd name="T7" fmla="*/ -3505 h 1568"/>
                              <a:gd name="T8" fmla="*/ 0 w 483"/>
                              <a:gd name="T9" fmla="*/ -3537 h 1568"/>
                              <a:gd name="T10" fmla="*/ 0 w 483"/>
                              <a:gd name="T11" fmla="*/ -4943 h 1568"/>
                              <a:gd name="T12" fmla="*/ 6 w 483"/>
                              <a:gd name="T13" fmla="*/ -4975 h 1568"/>
                              <a:gd name="T14" fmla="*/ 24 w 483"/>
                              <a:gd name="T15" fmla="*/ -5000 h 1568"/>
                              <a:gd name="T16" fmla="*/ 49 w 483"/>
                              <a:gd name="T17" fmla="*/ -5018 h 1568"/>
                              <a:gd name="T18" fmla="*/ 81 w 483"/>
                              <a:gd name="T19" fmla="*/ -5024 h 1568"/>
                              <a:gd name="T20" fmla="*/ 402 w 483"/>
                              <a:gd name="T21" fmla="*/ -5024 h 1568"/>
                              <a:gd name="T22" fmla="*/ 433 w 483"/>
                              <a:gd name="T23" fmla="*/ -5018 h 1568"/>
                              <a:gd name="T24" fmla="*/ 459 w 483"/>
                              <a:gd name="T25" fmla="*/ -5000 h 1568"/>
                              <a:gd name="T26" fmla="*/ 476 w 483"/>
                              <a:gd name="T27" fmla="*/ -4975 h 1568"/>
                              <a:gd name="T28" fmla="*/ 482 w 483"/>
                              <a:gd name="T29" fmla="*/ -4943 h 1568"/>
                              <a:gd name="T30" fmla="*/ 482 w 483"/>
                              <a:gd name="T31" fmla="*/ -3537 h 1568"/>
                              <a:gd name="T32" fmla="*/ 476 w 483"/>
                              <a:gd name="T33" fmla="*/ -3505 h 1568"/>
                              <a:gd name="T34" fmla="*/ 459 w 483"/>
                              <a:gd name="T35" fmla="*/ -3480 h 1568"/>
                              <a:gd name="T36" fmla="*/ 433 w 483"/>
                              <a:gd name="T37" fmla="*/ -3462 h 1568"/>
                              <a:gd name="T38" fmla="*/ 402 w 483"/>
                              <a:gd name="T39" fmla="*/ -3456 h 1568"/>
                              <a:gd name="T40" fmla="*/ 81 w 483"/>
                              <a:gd name="T41" fmla="*/ -3456 h 1568"/>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483" h="1568">
                                <a:moveTo>
                                  <a:pt x="81" y="1568"/>
                                </a:moveTo>
                                <a:lnTo>
                                  <a:pt x="49" y="1562"/>
                                </a:lnTo>
                                <a:lnTo>
                                  <a:pt x="24" y="1544"/>
                                </a:lnTo>
                                <a:lnTo>
                                  <a:pt x="6" y="1519"/>
                                </a:lnTo>
                                <a:lnTo>
                                  <a:pt x="0" y="1487"/>
                                </a:lnTo>
                                <a:lnTo>
                                  <a:pt x="0" y="81"/>
                                </a:lnTo>
                                <a:lnTo>
                                  <a:pt x="6" y="49"/>
                                </a:lnTo>
                                <a:lnTo>
                                  <a:pt x="24" y="24"/>
                                </a:lnTo>
                                <a:lnTo>
                                  <a:pt x="49" y="6"/>
                                </a:lnTo>
                                <a:lnTo>
                                  <a:pt x="81" y="0"/>
                                </a:lnTo>
                                <a:lnTo>
                                  <a:pt x="402" y="0"/>
                                </a:lnTo>
                                <a:lnTo>
                                  <a:pt x="433" y="6"/>
                                </a:lnTo>
                                <a:lnTo>
                                  <a:pt x="459" y="24"/>
                                </a:lnTo>
                                <a:lnTo>
                                  <a:pt x="476" y="49"/>
                                </a:lnTo>
                                <a:lnTo>
                                  <a:pt x="482" y="81"/>
                                </a:lnTo>
                                <a:lnTo>
                                  <a:pt x="482" y="1487"/>
                                </a:lnTo>
                                <a:lnTo>
                                  <a:pt x="476" y="1519"/>
                                </a:lnTo>
                                <a:lnTo>
                                  <a:pt x="459" y="1544"/>
                                </a:lnTo>
                                <a:lnTo>
                                  <a:pt x="433" y="1562"/>
                                </a:lnTo>
                                <a:lnTo>
                                  <a:pt x="402" y="1568"/>
                                </a:lnTo>
                                <a:lnTo>
                                  <a:pt x="81" y="1568"/>
                                </a:lnTo>
                                <a:close/>
                              </a:path>
                            </a:pathLst>
                          </a:custGeom>
                          <a:noFill/>
                          <a:ln w="63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24"/>
                        <wps:cNvSpPr>
                          <a:spLocks/>
                        </wps:cNvSpPr>
                        <wps:spPr bwMode="auto">
                          <a:xfrm>
                            <a:off x="2499" y="-2976"/>
                            <a:ext cx="483" cy="1086"/>
                          </a:xfrm>
                          <a:custGeom>
                            <a:avLst/>
                            <a:gdLst>
                              <a:gd name="T0" fmla="*/ 81 w 483"/>
                              <a:gd name="T1" fmla="*/ -1890 h 1086"/>
                              <a:gd name="T2" fmla="*/ 49 w 483"/>
                              <a:gd name="T3" fmla="*/ -1896 h 1086"/>
                              <a:gd name="T4" fmla="*/ 24 w 483"/>
                              <a:gd name="T5" fmla="*/ -1914 h 1086"/>
                              <a:gd name="T6" fmla="*/ 6 w 483"/>
                              <a:gd name="T7" fmla="*/ -1939 h 1086"/>
                              <a:gd name="T8" fmla="*/ 0 w 483"/>
                              <a:gd name="T9" fmla="*/ -1970 h 1086"/>
                              <a:gd name="T10" fmla="*/ 0 w 483"/>
                              <a:gd name="T11" fmla="*/ -2895 h 1086"/>
                              <a:gd name="T12" fmla="*/ 6 w 483"/>
                              <a:gd name="T13" fmla="*/ -2926 h 1086"/>
                              <a:gd name="T14" fmla="*/ 24 w 483"/>
                              <a:gd name="T15" fmla="*/ -2952 h 1086"/>
                              <a:gd name="T16" fmla="*/ 49 w 483"/>
                              <a:gd name="T17" fmla="*/ -2969 h 1086"/>
                              <a:gd name="T18" fmla="*/ 81 w 483"/>
                              <a:gd name="T19" fmla="*/ -2975 h 1086"/>
                              <a:gd name="T20" fmla="*/ 402 w 483"/>
                              <a:gd name="T21" fmla="*/ -2975 h 1086"/>
                              <a:gd name="T22" fmla="*/ 433 w 483"/>
                              <a:gd name="T23" fmla="*/ -2969 h 1086"/>
                              <a:gd name="T24" fmla="*/ 459 w 483"/>
                              <a:gd name="T25" fmla="*/ -2952 h 1086"/>
                              <a:gd name="T26" fmla="*/ 476 w 483"/>
                              <a:gd name="T27" fmla="*/ -2926 h 1086"/>
                              <a:gd name="T28" fmla="*/ 482 w 483"/>
                              <a:gd name="T29" fmla="*/ -2895 h 1086"/>
                              <a:gd name="T30" fmla="*/ 482 w 483"/>
                              <a:gd name="T31" fmla="*/ -1970 h 1086"/>
                              <a:gd name="T32" fmla="*/ 476 w 483"/>
                              <a:gd name="T33" fmla="*/ -1939 h 1086"/>
                              <a:gd name="T34" fmla="*/ 459 w 483"/>
                              <a:gd name="T35" fmla="*/ -1914 h 1086"/>
                              <a:gd name="T36" fmla="*/ 433 w 483"/>
                              <a:gd name="T37" fmla="*/ -1896 h 1086"/>
                              <a:gd name="T38" fmla="*/ 402 w 483"/>
                              <a:gd name="T39" fmla="*/ -1890 h 1086"/>
                              <a:gd name="T40" fmla="*/ 81 w 483"/>
                              <a:gd name="T41" fmla="*/ -1890 h 108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483" h="1086">
                                <a:moveTo>
                                  <a:pt x="81" y="1085"/>
                                </a:moveTo>
                                <a:lnTo>
                                  <a:pt x="49" y="1079"/>
                                </a:lnTo>
                                <a:lnTo>
                                  <a:pt x="24" y="1061"/>
                                </a:lnTo>
                                <a:lnTo>
                                  <a:pt x="6" y="1036"/>
                                </a:lnTo>
                                <a:lnTo>
                                  <a:pt x="0" y="1005"/>
                                </a:lnTo>
                                <a:lnTo>
                                  <a:pt x="0" y="80"/>
                                </a:lnTo>
                                <a:lnTo>
                                  <a:pt x="6" y="49"/>
                                </a:lnTo>
                                <a:lnTo>
                                  <a:pt x="24" y="23"/>
                                </a:lnTo>
                                <a:lnTo>
                                  <a:pt x="49" y="6"/>
                                </a:lnTo>
                                <a:lnTo>
                                  <a:pt x="81" y="0"/>
                                </a:lnTo>
                                <a:lnTo>
                                  <a:pt x="402" y="0"/>
                                </a:lnTo>
                                <a:lnTo>
                                  <a:pt x="433" y="6"/>
                                </a:lnTo>
                                <a:lnTo>
                                  <a:pt x="459" y="23"/>
                                </a:lnTo>
                                <a:lnTo>
                                  <a:pt x="476" y="49"/>
                                </a:lnTo>
                                <a:lnTo>
                                  <a:pt x="482" y="80"/>
                                </a:lnTo>
                                <a:lnTo>
                                  <a:pt x="482" y="1005"/>
                                </a:lnTo>
                                <a:lnTo>
                                  <a:pt x="476" y="1036"/>
                                </a:lnTo>
                                <a:lnTo>
                                  <a:pt x="459" y="1061"/>
                                </a:lnTo>
                                <a:lnTo>
                                  <a:pt x="433" y="1079"/>
                                </a:lnTo>
                                <a:lnTo>
                                  <a:pt x="402" y="1085"/>
                                </a:lnTo>
                                <a:lnTo>
                                  <a:pt x="81" y="1085"/>
                                </a:lnTo>
                                <a:close/>
                              </a:path>
                            </a:pathLst>
                          </a:custGeom>
                          <a:noFill/>
                          <a:ln w="63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Freeform 25"/>
                        <wps:cNvSpPr>
                          <a:spLocks/>
                        </wps:cNvSpPr>
                        <wps:spPr bwMode="auto">
                          <a:xfrm>
                            <a:off x="2499" y="-1165"/>
                            <a:ext cx="483" cy="965"/>
                          </a:xfrm>
                          <a:custGeom>
                            <a:avLst/>
                            <a:gdLst>
                              <a:gd name="T0" fmla="*/ 81 w 483"/>
                              <a:gd name="T1" fmla="*/ -200 h 965"/>
                              <a:gd name="T2" fmla="*/ 49 w 483"/>
                              <a:gd name="T3" fmla="*/ -206 h 965"/>
                              <a:gd name="T4" fmla="*/ 24 w 483"/>
                              <a:gd name="T5" fmla="*/ -224 h 965"/>
                              <a:gd name="T6" fmla="*/ 6 w 483"/>
                              <a:gd name="T7" fmla="*/ -249 h 965"/>
                              <a:gd name="T8" fmla="*/ 0 w 483"/>
                              <a:gd name="T9" fmla="*/ -280 h 965"/>
                              <a:gd name="T10" fmla="*/ 0 w 483"/>
                              <a:gd name="T11" fmla="*/ -1084 h 965"/>
                              <a:gd name="T12" fmla="*/ 6 w 483"/>
                              <a:gd name="T13" fmla="*/ -1116 h 965"/>
                              <a:gd name="T14" fmla="*/ 24 w 483"/>
                              <a:gd name="T15" fmla="*/ -1141 h 965"/>
                              <a:gd name="T16" fmla="*/ 49 w 483"/>
                              <a:gd name="T17" fmla="*/ -1159 h 965"/>
                              <a:gd name="T18" fmla="*/ 81 w 483"/>
                              <a:gd name="T19" fmla="*/ -1165 h 965"/>
                              <a:gd name="T20" fmla="*/ 402 w 483"/>
                              <a:gd name="T21" fmla="*/ -1165 h 965"/>
                              <a:gd name="T22" fmla="*/ 433 w 483"/>
                              <a:gd name="T23" fmla="*/ -1159 h 965"/>
                              <a:gd name="T24" fmla="*/ 459 w 483"/>
                              <a:gd name="T25" fmla="*/ -1141 h 965"/>
                              <a:gd name="T26" fmla="*/ 476 w 483"/>
                              <a:gd name="T27" fmla="*/ -1116 h 965"/>
                              <a:gd name="T28" fmla="*/ 482 w 483"/>
                              <a:gd name="T29" fmla="*/ -1084 h 965"/>
                              <a:gd name="T30" fmla="*/ 482 w 483"/>
                              <a:gd name="T31" fmla="*/ -280 h 965"/>
                              <a:gd name="T32" fmla="*/ 476 w 483"/>
                              <a:gd name="T33" fmla="*/ -249 h 965"/>
                              <a:gd name="T34" fmla="*/ 459 w 483"/>
                              <a:gd name="T35" fmla="*/ -224 h 965"/>
                              <a:gd name="T36" fmla="*/ 433 w 483"/>
                              <a:gd name="T37" fmla="*/ -206 h 965"/>
                              <a:gd name="T38" fmla="*/ 402 w 483"/>
                              <a:gd name="T39" fmla="*/ -200 h 965"/>
                              <a:gd name="T40" fmla="*/ 81 w 483"/>
                              <a:gd name="T41" fmla="*/ -200 h 965"/>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483" h="965">
                                <a:moveTo>
                                  <a:pt x="81" y="965"/>
                                </a:moveTo>
                                <a:lnTo>
                                  <a:pt x="49" y="959"/>
                                </a:lnTo>
                                <a:lnTo>
                                  <a:pt x="24" y="941"/>
                                </a:lnTo>
                                <a:lnTo>
                                  <a:pt x="6" y="916"/>
                                </a:lnTo>
                                <a:lnTo>
                                  <a:pt x="0" y="885"/>
                                </a:lnTo>
                                <a:lnTo>
                                  <a:pt x="0" y="81"/>
                                </a:lnTo>
                                <a:lnTo>
                                  <a:pt x="6" y="49"/>
                                </a:lnTo>
                                <a:lnTo>
                                  <a:pt x="24" y="24"/>
                                </a:lnTo>
                                <a:lnTo>
                                  <a:pt x="49" y="6"/>
                                </a:lnTo>
                                <a:lnTo>
                                  <a:pt x="81" y="0"/>
                                </a:lnTo>
                                <a:lnTo>
                                  <a:pt x="402" y="0"/>
                                </a:lnTo>
                                <a:lnTo>
                                  <a:pt x="433" y="6"/>
                                </a:lnTo>
                                <a:lnTo>
                                  <a:pt x="459" y="24"/>
                                </a:lnTo>
                                <a:lnTo>
                                  <a:pt x="476" y="49"/>
                                </a:lnTo>
                                <a:lnTo>
                                  <a:pt x="482" y="81"/>
                                </a:lnTo>
                                <a:lnTo>
                                  <a:pt x="482" y="885"/>
                                </a:lnTo>
                                <a:lnTo>
                                  <a:pt x="476" y="916"/>
                                </a:lnTo>
                                <a:lnTo>
                                  <a:pt x="459" y="941"/>
                                </a:lnTo>
                                <a:lnTo>
                                  <a:pt x="433" y="959"/>
                                </a:lnTo>
                                <a:lnTo>
                                  <a:pt x="402" y="965"/>
                                </a:lnTo>
                                <a:lnTo>
                                  <a:pt x="81" y="965"/>
                                </a:lnTo>
                                <a:close/>
                              </a:path>
                            </a:pathLst>
                          </a:custGeom>
                          <a:noFill/>
                          <a:ln w="63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26"/>
                        <wps:cNvSpPr>
                          <a:spLocks/>
                        </wps:cNvSpPr>
                        <wps:spPr bwMode="auto">
                          <a:xfrm>
                            <a:off x="4370" y="-3827"/>
                            <a:ext cx="2350" cy="668"/>
                          </a:xfrm>
                          <a:custGeom>
                            <a:avLst/>
                            <a:gdLst>
                              <a:gd name="T0" fmla="*/ 2350 w 2350"/>
                              <a:gd name="T1" fmla="*/ -3586 h 668"/>
                              <a:gd name="T2" fmla="*/ 2333 w 2350"/>
                              <a:gd name="T3" fmla="*/ -3596 h 668"/>
                              <a:gd name="T4" fmla="*/ 2250 w 2350"/>
                              <a:gd name="T5" fmla="*/ -3644 h 668"/>
                              <a:gd name="T6" fmla="*/ 2244 w 2350"/>
                              <a:gd name="T7" fmla="*/ -3642 h 668"/>
                              <a:gd name="T8" fmla="*/ 2241 w 2350"/>
                              <a:gd name="T9" fmla="*/ -3638 h 668"/>
                              <a:gd name="T10" fmla="*/ 2238 w 2350"/>
                              <a:gd name="T11" fmla="*/ -3633 h 668"/>
                              <a:gd name="T12" fmla="*/ 2240 w 2350"/>
                              <a:gd name="T13" fmla="*/ -3627 h 668"/>
                              <a:gd name="T14" fmla="*/ 2293 w 2350"/>
                              <a:gd name="T15" fmla="*/ -3596 h 668"/>
                              <a:gd name="T16" fmla="*/ 69 w 2350"/>
                              <a:gd name="T17" fmla="*/ -3596 h 668"/>
                              <a:gd name="T18" fmla="*/ 69 w 2350"/>
                              <a:gd name="T19" fmla="*/ -3827 h 668"/>
                              <a:gd name="T20" fmla="*/ 49 w 2350"/>
                              <a:gd name="T21" fmla="*/ -3827 h 668"/>
                              <a:gd name="T22" fmla="*/ 49 w 2350"/>
                              <a:gd name="T23" fmla="*/ -3217 h 668"/>
                              <a:gd name="T24" fmla="*/ 20 w 2350"/>
                              <a:gd name="T25" fmla="*/ -3265 h 668"/>
                              <a:gd name="T26" fmla="*/ 18 w 2350"/>
                              <a:gd name="T27" fmla="*/ -3270 h 668"/>
                              <a:gd name="T28" fmla="*/ 11 w 2350"/>
                              <a:gd name="T29" fmla="*/ -3271 h 668"/>
                              <a:gd name="T30" fmla="*/ 2 w 2350"/>
                              <a:gd name="T31" fmla="*/ -3266 h 668"/>
                              <a:gd name="T32" fmla="*/ 0 w 2350"/>
                              <a:gd name="T33" fmla="*/ -3260 h 668"/>
                              <a:gd name="T34" fmla="*/ 3 w 2350"/>
                              <a:gd name="T35" fmla="*/ -3255 h 668"/>
                              <a:gd name="T36" fmla="*/ 59 w 2350"/>
                              <a:gd name="T37" fmla="*/ -3159 h 668"/>
                              <a:gd name="T38" fmla="*/ 70 w 2350"/>
                              <a:gd name="T39" fmla="*/ -3179 h 668"/>
                              <a:gd name="T40" fmla="*/ 117 w 2350"/>
                              <a:gd name="T41" fmla="*/ -3260 h 668"/>
                              <a:gd name="T42" fmla="*/ 115 w 2350"/>
                              <a:gd name="T43" fmla="*/ -3266 h 668"/>
                              <a:gd name="T44" fmla="*/ 106 w 2350"/>
                              <a:gd name="T45" fmla="*/ -3271 h 668"/>
                              <a:gd name="T46" fmla="*/ 100 w 2350"/>
                              <a:gd name="T47" fmla="*/ -3270 h 668"/>
                              <a:gd name="T48" fmla="*/ 97 w 2350"/>
                              <a:gd name="T49" fmla="*/ -3265 h 668"/>
                              <a:gd name="T50" fmla="*/ 69 w 2350"/>
                              <a:gd name="T51" fmla="*/ -3217 h 668"/>
                              <a:gd name="T52" fmla="*/ 69 w 2350"/>
                              <a:gd name="T53" fmla="*/ -3576 h 668"/>
                              <a:gd name="T54" fmla="*/ 2293 w 2350"/>
                              <a:gd name="T55" fmla="*/ -3576 h 668"/>
                              <a:gd name="T56" fmla="*/ 2310 w 2350"/>
                              <a:gd name="T57" fmla="*/ -3586 h 668"/>
                              <a:gd name="T58" fmla="*/ 2245 w 2350"/>
                              <a:gd name="T59" fmla="*/ -3547 h 668"/>
                              <a:gd name="T60" fmla="*/ 2240 w 2350"/>
                              <a:gd name="T61" fmla="*/ -3545 h 668"/>
                              <a:gd name="T62" fmla="*/ 2238 w 2350"/>
                              <a:gd name="T63" fmla="*/ -3539 h 668"/>
                              <a:gd name="T64" fmla="*/ 2244 w 2350"/>
                              <a:gd name="T65" fmla="*/ -3529 h 668"/>
                              <a:gd name="T66" fmla="*/ 2250 w 2350"/>
                              <a:gd name="T67" fmla="*/ -3527 h 668"/>
                              <a:gd name="T68" fmla="*/ 2333 w 2350"/>
                              <a:gd name="T69" fmla="*/ -3576 h 668"/>
                              <a:gd name="T70" fmla="*/ 2350 w 2350"/>
                              <a:gd name="T71" fmla="*/ -3586 h 668"/>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2350" h="668">
                                <a:moveTo>
                                  <a:pt x="2350" y="241"/>
                                </a:moveTo>
                                <a:lnTo>
                                  <a:pt x="2333" y="231"/>
                                </a:lnTo>
                                <a:lnTo>
                                  <a:pt x="2250" y="183"/>
                                </a:lnTo>
                                <a:lnTo>
                                  <a:pt x="2244" y="185"/>
                                </a:lnTo>
                                <a:lnTo>
                                  <a:pt x="2241" y="189"/>
                                </a:lnTo>
                                <a:lnTo>
                                  <a:pt x="2238" y="194"/>
                                </a:lnTo>
                                <a:lnTo>
                                  <a:pt x="2240" y="200"/>
                                </a:lnTo>
                                <a:lnTo>
                                  <a:pt x="2293" y="231"/>
                                </a:lnTo>
                                <a:lnTo>
                                  <a:pt x="69" y="231"/>
                                </a:lnTo>
                                <a:lnTo>
                                  <a:pt x="69" y="0"/>
                                </a:lnTo>
                                <a:lnTo>
                                  <a:pt x="49" y="0"/>
                                </a:lnTo>
                                <a:lnTo>
                                  <a:pt x="49" y="610"/>
                                </a:lnTo>
                                <a:lnTo>
                                  <a:pt x="20" y="562"/>
                                </a:lnTo>
                                <a:lnTo>
                                  <a:pt x="18" y="557"/>
                                </a:lnTo>
                                <a:lnTo>
                                  <a:pt x="11" y="556"/>
                                </a:lnTo>
                                <a:lnTo>
                                  <a:pt x="2" y="561"/>
                                </a:lnTo>
                                <a:lnTo>
                                  <a:pt x="0" y="567"/>
                                </a:lnTo>
                                <a:lnTo>
                                  <a:pt x="3" y="572"/>
                                </a:lnTo>
                                <a:lnTo>
                                  <a:pt x="59" y="668"/>
                                </a:lnTo>
                                <a:lnTo>
                                  <a:pt x="70" y="648"/>
                                </a:lnTo>
                                <a:lnTo>
                                  <a:pt x="117" y="567"/>
                                </a:lnTo>
                                <a:lnTo>
                                  <a:pt x="115" y="561"/>
                                </a:lnTo>
                                <a:lnTo>
                                  <a:pt x="106" y="556"/>
                                </a:lnTo>
                                <a:lnTo>
                                  <a:pt x="100" y="557"/>
                                </a:lnTo>
                                <a:lnTo>
                                  <a:pt x="97" y="562"/>
                                </a:lnTo>
                                <a:lnTo>
                                  <a:pt x="69" y="610"/>
                                </a:lnTo>
                                <a:lnTo>
                                  <a:pt x="69" y="251"/>
                                </a:lnTo>
                                <a:lnTo>
                                  <a:pt x="2293" y="251"/>
                                </a:lnTo>
                                <a:lnTo>
                                  <a:pt x="2310" y="241"/>
                                </a:lnTo>
                                <a:lnTo>
                                  <a:pt x="2245" y="280"/>
                                </a:lnTo>
                                <a:lnTo>
                                  <a:pt x="2240" y="282"/>
                                </a:lnTo>
                                <a:lnTo>
                                  <a:pt x="2238" y="288"/>
                                </a:lnTo>
                                <a:lnTo>
                                  <a:pt x="2244" y="298"/>
                                </a:lnTo>
                                <a:lnTo>
                                  <a:pt x="2250" y="300"/>
                                </a:lnTo>
                                <a:lnTo>
                                  <a:pt x="2333" y="251"/>
                                </a:lnTo>
                                <a:lnTo>
                                  <a:pt x="2350" y="241"/>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Text Box 27"/>
                        <wps:cNvSpPr txBox="1">
                          <a:spLocks noChangeArrowheads="1"/>
                        </wps:cNvSpPr>
                        <wps:spPr bwMode="auto">
                          <a:xfrm>
                            <a:off x="4046" y="-1032"/>
                            <a:ext cx="1253" cy="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4A5B53" w14:textId="77777777" w:rsidR="00525FBB" w:rsidRPr="00C51F7F" w:rsidRDefault="00525FBB" w:rsidP="00525FBB">
                              <w:pPr>
                                <w:spacing w:after="0"/>
                                <w:ind w:right="14"/>
                                <w:jc w:val="center"/>
                                <w:rPr>
                                  <w:rFonts w:cstheme="minorHAnsi"/>
                                  <w:sz w:val="16"/>
                                </w:rPr>
                              </w:pPr>
                              <w:r w:rsidRPr="00C51F7F">
                                <w:rPr>
                                  <w:rFonts w:cstheme="minorHAnsi"/>
                                  <w:color w:val="231F20"/>
                                  <w:sz w:val="16"/>
                                </w:rPr>
                                <w:t>Studies included</w:t>
                              </w:r>
                              <w:r>
                                <w:rPr>
                                  <w:rFonts w:cstheme="minorHAnsi"/>
                                  <w:color w:val="231F20"/>
                                  <w:sz w:val="16"/>
                                </w:rPr>
                                <w:t xml:space="preserve"> </w:t>
                              </w:r>
                              <w:proofErr w:type="gramStart"/>
                              <w:r>
                                <w:rPr>
                                  <w:rFonts w:cstheme="minorHAnsi"/>
                                  <w:color w:val="231F20"/>
                                  <w:sz w:val="16"/>
                                </w:rPr>
                                <w:t xml:space="preserve">in </w:t>
                              </w:r>
                              <w:r w:rsidRPr="00C51F7F">
                                <w:rPr>
                                  <w:rFonts w:cstheme="minorHAnsi"/>
                                  <w:color w:val="231F20"/>
                                  <w:sz w:val="16"/>
                                </w:rPr>
                                <w:t xml:space="preserve"> review</w:t>
                              </w:r>
                              <w:proofErr w:type="gramEnd"/>
                              <w:r w:rsidRPr="00C51F7F">
                                <w:rPr>
                                  <w:rFonts w:cstheme="minorHAnsi"/>
                                  <w:color w:val="231F20"/>
                                  <w:sz w:val="16"/>
                                </w:rPr>
                                <w:t>.</w:t>
                              </w:r>
                            </w:p>
                            <w:p w14:paraId="4F9E577E" w14:textId="77777777" w:rsidR="00525FBB" w:rsidRPr="00C51F7F" w:rsidRDefault="00525FBB" w:rsidP="00525FBB">
                              <w:pPr>
                                <w:spacing w:after="0"/>
                                <w:ind w:right="14"/>
                                <w:jc w:val="center"/>
                                <w:rPr>
                                  <w:rFonts w:cstheme="minorHAnsi"/>
                                  <w:sz w:val="16"/>
                                </w:rPr>
                              </w:pPr>
                              <w:r w:rsidRPr="00C51F7F">
                                <w:rPr>
                                  <w:rFonts w:cstheme="minorHAnsi"/>
                                  <w:color w:val="231F20"/>
                                  <w:sz w:val="16"/>
                                </w:rPr>
                                <w:t>(</w:t>
                              </w:r>
                              <w:r w:rsidRPr="00C51F7F">
                                <w:rPr>
                                  <w:rFonts w:cstheme="minorHAnsi"/>
                                  <w:i/>
                                  <w:color w:val="231F20"/>
                                  <w:sz w:val="16"/>
                                </w:rPr>
                                <w:t xml:space="preserve">n </w:t>
                              </w:r>
                              <w:r w:rsidRPr="00C51F7F">
                                <w:rPr>
                                  <w:rFonts w:cstheme="minorHAnsi"/>
                                  <w:color w:val="231F20"/>
                                  <w:sz w:val="16"/>
                                </w:rPr>
                                <w:t>=</w:t>
                              </w:r>
                              <w:r>
                                <w:rPr>
                                  <w:rFonts w:cstheme="minorHAnsi"/>
                                  <w:color w:val="231F20"/>
                                  <w:sz w:val="16"/>
                                </w:rPr>
                                <w:t>12</w:t>
                              </w:r>
                              <w:r w:rsidRPr="00C51F7F">
                                <w:rPr>
                                  <w:rFonts w:cstheme="minorHAnsi"/>
                                  <w:color w:val="231F20"/>
                                  <w:sz w:val="16"/>
                                </w:rPr>
                                <w:t>)</w:t>
                              </w:r>
                            </w:p>
                          </w:txbxContent>
                        </wps:txbx>
                        <wps:bodyPr rot="0" vert="horz" wrap="square" lIns="0" tIns="0" rIns="0" bIns="0" anchor="t" anchorCtr="0" upright="1">
                          <a:noAutofit/>
                        </wps:bodyPr>
                      </wps:wsp>
                      <wps:wsp>
                        <wps:cNvPr id="27" name="Text Box 28"/>
                        <wps:cNvSpPr txBox="1">
                          <a:spLocks noChangeArrowheads="1"/>
                        </wps:cNvSpPr>
                        <wps:spPr bwMode="auto">
                          <a:xfrm>
                            <a:off x="6719" y="-2438"/>
                            <a:ext cx="2493" cy="603"/>
                          </a:xfrm>
                          <a:prstGeom prst="rect">
                            <a:avLst/>
                          </a:prstGeom>
                          <a:noFill/>
                          <a:ln w="6375">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088F5C89" w14:textId="77777777" w:rsidR="00525FBB" w:rsidRPr="00C51F7F" w:rsidRDefault="00525FBB" w:rsidP="00525FBB">
                              <w:pPr>
                                <w:spacing w:before="40"/>
                                <w:ind w:left="422" w:right="231" w:hanging="222"/>
                                <w:rPr>
                                  <w:rFonts w:cstheme="minorHAnsi"/>
                                  <w:sz w:val="16"/>
                                </w:rPr>
                              </w:pPr>
                              <w:r w:rsidRPr="00C51F7F">
                                <w:rPr>
                                  <w:rFonts w:cstheme="minorHAnsi"/>
                                  <w:i/>
                                  <w:color w:val="231F20"/>
                                  <w:sz w:val="16"/>
                                </w:rPr>
                                <w:t xml:space="preserve">n </w:t>
                              </w:r>
                              <w:r w:rsidRPr="00C51F7F">
                                <w:rPr>
                                  <w:rFonts w:cstheme="minorHAnsi"/>
                                  <w:color w:val="231F20"/>
                                  <w:sz w:val="16"/>
                                </w:rPr>
                                <w:t>=</w:t>
                              </w:r>
                              <w:r>
                                <w:rPr>
                                  <w:rFonts w:cstheme="minorHAnsi"/>
                                  <w:color w:val="231F20"/>
                                  <w:sz w:val="16"/>
                                </w:rPr>
                                <w:t>25</w:t>
                              </w:r>
                              <w:r w:rsidRPr="00C51F7F">
                                <w:rPr>
                                  <w:rFonts w:cstheme="minorHAnsi"/>
                                  <w:color w:val="231F20"/>
                                  <w:sz w:val="16"/>
                                </w:rPr>
                                <w:t xml:space="preserve"> full text articles excluded after the quality appraisal</w:t>
                              </w:r>
                            </w:p>
                          </w:txbxContent>
                        </wps:txbx>
                        <wps:bodyPr rot="0" vert="horz" wrap="square" lIns="0" tIns="0" rIns="0" bIns="0" anchor="t" anchorCtr="0" upright="1">
                          <a:noAutofit/>
                        </wps:bodyPr>
                      </wps:wsp>
                      <wps:wsp>
                        <wps:cNvPr id="28" name="Text Box 29"/>
                        <wps:cNvSpPr txBox="1">
                          <a:spLocks noChangeArrowheads="1"/>
                        </wps:cNvSpPr>
                        <wps:spPr bwMode="auto">
                          <a:xfrm>
                            <a:off x="3705" y="-3161"/>
                            <a:ext cx="1917" cy="1692"/>
                          </a:xfrm>
                          <a:prstGeom prst="rect">
                            <a:avLst/>
                          </a:prstGeom>
                          <a:noFill/>
                          <a:ln w="6375">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7EDDAC7D" w14:textId="77777777" w:rsidR="00525FBB" w:rsidRPr="00C51F7F" w:rsidRDefault="00525FBB" w:rsidP="00525FBB">
                              <w:pPr>
                                <w:spacing w:before="39" w:after="0" w:line="240" w:lineRule="auto"/>
                                <w:ind w:left="138" w:right="136"/>
                                <w:jc w:val="center"/>
                                <w:rPr>
                                  <w:rFonts w:cstheme="minorHAnsi"/>
                                  <w:sz w:val="16"/>
                                </w:rPr>
                              </w:pPr>
                              <w:r w:rsidRPr="00C51F7F">
                                <w:rPr>
                                  <w:rFonts w:cstheme="minorHAnsi"/>
                                  <w:color w:val="231F20"/>
                                  <w:sz w:val="16"/>
                                </w:rPr>
                                <w:t>Full text articles assessed for eligibility.</w:t>
                              </w:r>
                            </w:p>
                            <w:p w14:paraId="192F2482" w14:textId="77777777" w:rsidR="00525FBB" w:rsidRPr="00C51F7F" w:rsidRDefault="00525FBB" w:rsidP="00525FBB">
                              <w:pPr>
                                <w:spacing w:before="2" w:after="0" w:line="240" w:lineRule="auto"/>
                                <w:ind w:left="135" w:right="136"/>
                                <w:jc w:val="center"/>
                                <w:rPr>
                                  <w:rFonts w:cstheme="minorHAnsi"/>
                                  <w:sz w:val="16"/>
                                </w:rPr>
                              </w:pPr>
                              <w:r w:rsidRPr="00C51F7F">
                                <w:rPr>
                                  <w:rFonts w:cstheme="minorHAnsi"/>
                                  <w:color w:val="231F20"/>
                                  <w:sz w:val="16"/>
                                </w:rPr>
                                <w:t>(</w:t>
                              </w:r>
                              <w:r w:rsidRPr="00C51F7F">
                                <w:rPr>
                                  <w:rFonts w:cstheme="minorHAnsi"/>
                                  <w:i/>
                                  <w:color w:val="231F20"/>
                                  <w:sz w:val="16"/>
                                </w:rPr>
                                <w:t xml:space="preserve">n </w:t>
                              </w:r>
                              <w:r w:rsidRPr="00C51F7F">
                                <w:rPr>
                                  <w:rFonts w:cstheme="minorHAnsi"/>
                                  <w:color w:val="231F20"/>
                                  <w:sz w:val="16"/>
                                </w:rPr>
                                <w:t>=</w:t>
                              </w:r>
                              <w:r>
                                <w:rPr>
                                  <w:rFonts w:cstheme="minorHAnsi"/>
                                  <w:color w:val="231F20"/>
                                  <w:sz w:val="16"/>
                                </w:rPr>
                                <w:t>34</w:t>
                              </w:r>
                              <w:r w:rsidRPr="00C51F7F">
                                <w:rPr>
                                  <w:rFonts w:cstheme="minorHAnsi"/>
                                  <w:color w:val="231F20"/>
                                  <w:sz w:val="16"/>
                                </w:rPr>
                                <w:t>)</w:t>
                              </w:r>
                            </w:p>
                            <w:p w14:paraId="409854AF" w14:textId="77777777" w:rsidR="00525FBB" w:rsidRPr="00C51F7F" w:rsidRDefault="00525FBB" w:rsidP="00525FBB">
                              <w:pPr>
                                <w:spacing w:before="1" w:after="0" w:line="240" w:lineRule="auto"/>
                                <w:ind w:left="2"/>
                                <w:jc w:val="center"/>
                                <w:rPr>
                                  <w:rFonts w:cstheme="minorHAnsi"/>
                                  <w:sz w:val="16"/>
                                </w:rPr>
                              </w:pPr>
                              <w:r w:rsidRPr="00C51F7F">
                                <w:rPr>
                                  <w:rFonts w:cstheme="minorHAnsi"/>
                                  <w:color w:val="231F20"/>
                                  <w:sz w:val="16"/>
                                </w:rPr>
                                <w:t>+</w:t>
                              </w:r>
                            </w:p>
                            <w:p w14:paraId="2EF5A607" w14:textId="77777777" w:rsidR="00525FBB" w:rsidRPr="00C51F7F" w:rsidRDefault="00525FBB" w:rsidP="00525FBB">
                              <w:pPr>
                                <w:spacing w:before="1" w:after="0" w:line="240" w:lineRule="auto"/>
                                <w:ind w:left="230" w:right="226"/>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3 articles retrieved from references lists </w:t>
                              </w:r>
                              <w:r>
                                <w:rPr>
                                  <w:rFonts w:cstheme="minorHAnsi"/>
                                  <w:color w:val="231F20"/>
                                  <w:sz w:val="16"/>
                                </w:rPr>
                                <w:t>3</w:t>
                              </w:r>
                              <w:r w:rsidRPr="00C51F7F">
                                <w:rPr>
                                  <w:rFonts w:cstheme="minorHAnsi"/>
                                  <w:color w:val="231F20"/>
                                  <w:sz w:val="16"/>
                                </w:rPr>
                                <w:t>7 articles for full text review</w:t>
                              </w:r>
                            </w:p>
                          </w:txbxContent>
                        </wps:txbx>
                        <wps:bodyPr rot="0" vert="horz" wrap="square" lIns="0" tIns="0" rIns="0" bIns="0" anchor="ctr" anchorCtr="0" upright="1">
                          <a:noAutofit/>
                        </wps:bodyPr>
                      </wps:wsp>
                      <wps:wsp>
                        <wps:cNvPr id="29" name="Text Box 30"/>
                        <wps:cNvSpPr txBox="1">
                          <a:spLocks noChangeArrowheads="1"/>
                        </wps:cNvSpPr>
                        <wps:spPr bwMode="auto">
                          <a:xfrm>
                            <a:off x="6719" y="-3948"/>
                            <a:ext cx="2533" cy="788"/>
                          </a:xfrm>
                          <a:prstGeom prst="rect">
                            <a:avLst/>
                          </a:prstGeom>
                          <a:noFill/>
                          <a:ln w="6375">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20EF15F7" w14:textId="77777777" w:rsidR="00525FBB" w:rsidRPr="00C51F7F" w:rsidRDefault="00525FBB" w:rsidP="00525FBB">
                              <w:pPr>
                                <w:spacing w:before="40" w:line="249" w:lineRule="auto"/>
                                <w:ind w:left="954" w:right="158" w:hanging="748"/>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2</w:t>
                              </w:r>
                              <w:r w:rsidRPr="00C51F7F">
                                <w:rPr>
                                  <w:rFonts w:cstheme="minorHAnsi"/>
                                  <w:color w:val="231F20"/>
                                  <w:sz w:val="16"/>
                                </w:rPr>
                                <w:t>7 excluded after the full text screening</w:t>
                              </w:r>
                            </w:p>
                          </w:txbxContent>
                        </wps:txbx>
                        <wps:bodyPr rot="0" vert="horz" wrap="square" lIns="0" tIns="0" rIns="0" bIns="0" anchor="t" anchorCtr="0" upright="1">
                          <a:noAutofit/>
                        </wps:bodyPr>
                      </wps:wsp>
                      <wps:wsp>
                        <wps:cNvPr id="30" name="Text Box 31"/>
                        <wps:cNvSpPr txBox="1">
                          <a:spLocks noChangeArrowheads="1"/>
                        </wps:cNvSpPr>
                        <wps:spPr bwMode="auto">
                          <a:xfrm>
                            <a:off x="3705" y="-4792"/>
                            <a:ext cx="1897" cy="965"/>
                          </a:xfrm>
                          <a:prstGeom prst="rect">
                            <a:avLst/>
                          </a:prstGeom>
                          <a:noFill/>
                          <a:ln w="6375">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0F2A59C8" w14:textId="77777777" w:rsidR="00525FBB" w:rsidRPr="00C51F7F" w:rsidRDefault="00525FBB" w:rsidP="00525FBB">
                              <w:pPr>
                                <w:spacing w:before="40"/>
                                <w:ind w:left="321" w:right="302" w:firstLine="24"/>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64</w:t>
                              </w:r>
                              <w:r w:rsidRPr="00C51F7F">
                                <w:rPr>
                                  <w:rFonts w:cstheme="minorHAnsi"/>
                                  <w:color w:val="231F20"/>
                                  <w:sz w:val="16"/>
                                </w:rPr>
                                <w:t xml:space="preserve"> articles considered for inclusion</w:t>
                              </w:r>
                            </w:p>
                          </w:txbxContent>
                        </wps:txbx>
                        <wps:bodyPr rot="0" vert="horz" wrap="square" lIns="0" tIns="0" rIns="0" bIns="0" anchor="ctr" anchorCtr="0" upright="1">
                          <a:noAutofit/>
                        </wps:bodyPr>
                      </wps:wsp>
                      <wps:wsp>
                        <wps:cNvPr id="31" name="Text Box 32"/>
                        <wps:cNvSpPr txBox="1">
                          <a:spLocks noChangeArrowheads="1"/>
                        </wps:cNvSpPr>
                        <wps:spPr bwMode="auto">
                          <a:xfrm>
                            <a:off x="6719" y="-5877"/>
                            <a:ext cx="2493" cy="1604"/>
                          </a:xfrm>
                          <a:prstGeom prst="rect">
                            <a:avLst/>
                          </a:prstGeom>
                          <a:noFill/>
                          <a:ln w="6375">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66C31835" w14:textId="77777777" w:rsidR="00525FBB" w:rsidRPr="00C51F7F" w:rsidRDefault="00525FBB" w:rsidP="00525FBB">
                              <w:pPr>
                                <w:spacing w:before="39" w:after="100" w:afterAutospacing="1" w:line="240" w:lineRule="auto"/>
                                <w:ind w:left="621" w:right="620"/>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96</w:t>
                              </w:r>
                              <w:r w:rsidRPr="00C51F7F">
                                <w:rPr>
                                  <w:rFonts w:cstheme="minorHAnsi"/>
                                  <w:color w:val="231F20"/>
                                  <w:sz w:val="16"/>
                                </w:rPr>
                                <w:br/>
                                <w:t>due to duplication.</w:t>
                              </w:r>
                            </w:p>
                            <w:p w14:paraId="65849F30" w14:textId="77777777" w:rsidR="00525FBB" w:rsidRPr="00C51F7F" w:rsidRDefault="00525FBB" w:rsidP="00525FBB">
                              <w:pPr>
                                <w:spacing w:before="1" w:after="100" w:afterAutospacing="1" w:line="240" w:lineRule="auto"/>
                                <w:ind w:left="195" w:right="191" w:hanging="3"/>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489</w:t>
                              </w:r>
                              <w:r w:rsidRPr="00C51F7F">
                                <w:rPr>
                                  <w:rFonts w:cstheme="minorHAnsi"/>
                                  <w:color w:val="231F20"/>
                                  <w:sz w:val="16"/>
                                </w:rPr>
                                <w:t xml:space="preserve"> excluded: did not meet inclusion criteria screening titles</w:t>
                              </w:r>
                              <w:r>
                                <w:rPr>
                                  <w:rFonts w:cstheme="minorHAnsi"/>
                                  <w:color w:val="231F20"/>
                                  <w:sz w:val="16"/>
                                </w:rPr>
                                <w:t xml:space="preserve"> </w:t>
                              </w:r>
                              <w:r w:rsidRPr="00C51F7F">
                                <w:rPr>
                                  <w:rFonts w:cstheme="minorHAnsi"/>
                                  <w:color w:val="231F20"/>
                                  <w:sz w:val="16"/>
                                </w:rPr>
                                <w:t>and abstracts</w:t>
                              </w:r>
                            </w:p>
                          </w:txbxContent>
                        </wps:txbx>
                        <wps:bodyPr rot="0" vert="horz" wrap="square" lIns="0" tIns="0" rIns="0" bIns="0" anchor="t" anchorCtr="0" upright="1">
                          <a:noAutofit/>
                        </wps:bodyPr>
                      </wps:wsp>
                      <wps:wsp>
                        <wps:cNvPr id="32" name="Text Box 33"/>
                        <wps:cNvSpPr txBox="1">
                          <a:spLocks noChangeArrowheads="1"/>
                        </wps:cNvSpPr>
                        <wps:spPr bwMode="auto">
                          <a:xfrm>
                            <a:off x="3705" y="-7083"/>
                            <a:ext cx="5426" cy="965"/>
                          </a:xfrm>
                          <a:prstGeom prst="rect">
                            <a:avLst/>
                          </a:prstGeom>
                          <a:noFill/>
                          <a:ln w="6375">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2BDBF0E5" w14:textId="77777777" w:rsidR="00525FBB" w:rsidRPr="00C51F7F" w:rsidRDefault="00525FBB" w:rsidP="00525FBB">
                              <w:pPr>
                                <w:spacing w:before="39" w:after="0" w:line="240" w:lineRule="auto"/>
                                <w:ind w:left="363" w:right="360"/>
                                <w:jc w:val="center"/>
                                <w:rPr>
                                  <w:rFonts w:cstheme="minorHAnsi"/>
                                  <w:sz w:val="18"/>
                                </w:rPr>
                              </w:pPr>
                              <w:r w:rsidRPr="00C51F7F">
                                <w:rPr>
                                  <w:rFonts w:cstheme="minorHAnsi"/>
                                  <w:color w:val="231F20"/>
                                  <w:sz w:val="18"/>
                                </w:rPr>
                                <w:t>Records identified through Academic Search:</w:t>
                              </w:r>
                            </w:p>
                            <w:p w14:paraId="2FB54FB8" w14:textId="77777777" w:rsidR="00525FBB" w:rsidRPr="00C51F7F" w:rsidRDefault="00525FBB" w:rsidP="00525FBB">
                              <w:pPr>
                                <w:spacing w:before="1" w:after="0" w:line="240" w:lineRule="auto"/>
                                <w:ind w:left="366" w:right="360"/>
                                <w:jc w:val="center"/>
                                <w:rPr>
                                  <w:rFonts w:cstheme="minorHAnsi"/>
                                  <w:sz w:val="18"/>
                                </w:rPr>
                              </w:pPr>
                              <w:r w:rsidRPr="00C51F7F">
                                <w:rPr>
                                  <w:rFonts w:cstheme="minorHAnsi"/>
                                  <w:color w:val="231F20"/>
                                  <w:sz w:val="18"/>
                                </w:rPr>
                                <w:t>PubMed, Science Direct, Google Scholar</w:t>
                              </w:r>
                              <w:r>
                                <w:rPr>
                                  <w:rFonts w:cstheme="minorHAnsi"/>
                                  <w:color w:val="231F20"/>
                                  <w:sz w:val="18"/>
                                </w:rPr>
                                <w:t xml:space="preserve"> </w:t>
                              </w:r>
                              <w:proofErr w:type="spellStart"/>
                              <w:r>
                                <w:rPr>
                                  <w:rFonts w:cstheme="minorHAnsi"/>
                                  <w:color w:val="231F20"/>
                                  <w:sz w:val="18"/>
                                </w:rPr>
                                <w:t>etc</w:t>
                              </w:r>
                              <w:proofErr w:type="spellEnd"/>
                            </w:p>
                            <w:p w14:paraId="59C0071B" w14:textId="77777777" w:rsidR="00525FBB" w:rsidRPr="00C51F7F" w:rsidRDefault="00525FBB" w:rsidP="00525FBB">
                              <w:pPr>
                                <w:spacing w:before="2" w:after="0" w:line="240" w:lineRule="auto"/>
                                <w:ind w:left="324" w:right="360"/>
                                <w:jc w:val="center"/>
                                <w:rPr>
                                  <w:rFonts w:cstheme="minorHAnsi"/>
                                  <w:sz w:val="18"/>
                                </w:rPr>
                              </w:pPr>
                              <w:r w:rsidRPr="00C51F7F">
                                <w:rPr>
                                  <w:rFonts w:cstheme="minorHAnsi"/>
                                  <w:color w:val="231F20"/>
                                  <w:sz w:val="18"/>
                                </w:rPr>
                                <w:t>(</w:t>
                              </w:r>
                              <w:r w:rsidRPr="00C51F7F">
                                <w:rPr>
                                  <w:rFonts w:cstheme="minorHAnsi"/>
                                  <w:i/>
                                  <w:color w:val="231F20"/>
                                  <w:sz w:val="18"/>
                                </w:rPr>
                                <w:t xml:space="preserve">n </w:t>
                              </w:r>
                              <w:r w:rsidRPr="00C51F7F">
                                <w:rPr>
                                  <w:rFonts w:cstheme="minorHAnsi"/>
                                  <w:color w:val="231F20"/>
                                  <w:sz w:val="18"/>
                                </w:rPr>
                                <w:t>=</w:t>
                              </w:r>
                              <w:r>
                                <w:rPr>
                                  <w:rFonts w:cstheme="minorHAnsi"/>
                                  <w:color w:val="231F20"/>
                                  <w:sz w:val="18"/>
                                </w:rPr>
                                <w:t>649</w:t>
                              </w:r>
                              <w:r w:rsidRPr="00C51F7F">
                                <w:rPr>
                                  <w:rFonts w:cstheme="minorHAnsi"/>
                                  <w:color w:val="231F20"/>
                                  <w:sz w:val="18"/>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DBCA8D" id="Group 17" o:spid="_x0000_s1027" style="position:absolute;margin-left:149.85pt;margin-top:11.35pt;width:339.9pt;height:347pt;z-index:251662336;mso-position-horizontal-relative:page" coordorigin="2454,-7083" coordsize="6798,69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8" type="#_x0000_t75" style="position:absolute;left:2454;top:-6678;width:4286;height:65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">
                  <v:imagedata r:id="rId9" o:title=""/>
                </v:shape>
                <v:shape id="AutoShape 20" o:spid="_x0000_s1029" style="position:absolute;left:3674;top:-6118;width:3046;height:5970;visibility:visible;mso-wrap-style:square;v-text-anchor:top" coordsize="3046,5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" path="m1928,5025r-12,l1916,5037r,872l60,5909r,-872l1916,5037r,-12l48,5025r,896l1928,5921r,-12l1928,5037r,-12xm1976,5007r-2,-11l1967,4986r-9,-6l1946,4977r-6,l1940,5013r,920l36,5933r,-920l1940,5013r,-36l30,4977r-12,3l9,4986r-7,10l,5007r,932l2,5951r7,10l18,5967r12,3l1946,5970r12,-3l1967,5961r7,-10l1976,5939r,-6l1976,5013r,-6xm3045,3982r-17,-10l2949,3927r-4,-3l2939,3926r-3,4l2933,3935r2,6l2988,3972r-1028,l1960,3992r1028,l2935,4023r-2,6l2939,4039r6,2l3028,3992r17,-10xm3045,603r-17,-10l2950,547r-5,-2l2939,546r-6,10l2935,562r53,31l884,594,884,,864,r,1270l864,1307r,-37l833,1217r-6,-2l817,1221r-1,6l819,1231r55,96l886,1307r44,-76l933,1227r-2,-6l921,1215r-6,2l884,1270r,-656l2988,613r-49,28l2935,644r-2,6l2939,660r6,2l3045,603xe" fillcolor="#231f20" stroked="f">
                  <v:path arrowok="t" o:connecttype="custom" o:connectlocs="1916,-1093;1916,-209;60,-1081;1916,-1093;48,-197;1928,-209;1928,-1093;1974,-1122;1958,-1138;1940,-1141;1940,-185;36,-1105;1940,-1141;18,-1138;2,-1122;0,-179;9,-157;30,-148;1958,-151;1974,-167;1976,-185;1976,-1111;3028,-2146;2945,-2194;2936,-2188;2935,-2177;1960,-2146;2988,-2126;2933,-2089;2945,-2077;3045,-2136;3028,-5525;2945,-5573;2933,-5562;2988,-5525;884,-6118;864,-4848;864,-4848;827,-4903;816,-4891;874,-4791;930,-4887;931,-4897;915,-4901;884,-4848;2988,-5505;2935,-5474;2939,-5458;3045,-5515" o:connectangles="0,0,0,0,0,0,0,0,0,0,0,0,0,0,0,0,0,0,0,0,0,0,0,0,0,0,0,0,0,0,0,0,0,0,0,0,0,0,0,0,0,0,0,0,0,0,0,0,0"/>
                </v:shape>
                <v:shape id="Picture 21" o:spid="_x0000_s1030" type="#_x0000_t75" style="position:absolute;left:4490;top:-1473;width:117;height: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">
                  <v:imagedata r:id="rId10" o:title=""/>
                </v:shape>
                <v:shape id="Freeform 22" o:spid="_x0000_s1031" style="position:absolute;left:2499;top:-6656;width:483;height:1086;visibility:visible;mso-wrap-style:square;v-text-anchor:top" coordsize="483,1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" path="m81,1085r-32,-6l24,1062,6,1036,,1005,,81,6,49,24,24,49,6,81,,402,r31,6l459,24r17,25l482,81r,924l476,1036r-17,26l433,1079r-31,6l81,1085xe" filled="f" strokecolor="#231f20" strokeweight=".17708mm">
                  <v:path arrowok="t" o:connecttype="custom" o:connectlocs="81,-5571;49,-5577;24,-5594;6,-5620;0,-5651;0,-6575;6,-6607;24,-6632;49,-6650;81,-6656;402,-6656;433,-6650;459,-6632;476,-6607;482,-6575;482,-5651;476,-5620;459,-5594;433,-5577;402,-5571;81,-5571" o:connectangles="0,0,0,0,0,0,0,0,0,0,0,0,0,0,0,0,0,0,0,0,0"/>
                </v:shape>
                <v:shape id="Freeform 23" o:spid="_x0000_s1032" style="position:absolute;left:2499;top:-5024;width:483;height:1568;visibility:visible;mso-wrap-style:square;v-text-anchor:top" coordsize="483,1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" path="m81,1568r-32,-6l24,1544,6,1519,,1487,,81,6,49,24,24,49,6,81,,402,r31,6l459,24r17,25l482,81r,1406l476,1519r-17,25l433,1562r-31,6l81,1568xe" filled="f" strokecolor="#231f20" strokeweight=".17708mm">
                  <v:path arrowok="t" o:connecttype="custom" o:connectlocs="81,-3456;49,-3462;24,-3480;6,-3505;0,-3537;0,-4943;6,-4975;24,-5000;49,-5018;81,-5024;402,-5024;433,-5018;459,-5000;476,-4975;482,-4943;482,-3537;476,-3505;459,-3480;433,-3462;402,-3456;81,-3456" o:connectangles="0,0,0,0,0,0,0,0,0,0,0,0,0,0,0,0,0,0,0,0,0"/>
                </v:shape>
                <v:shape id="Freeform 24" o:spid="_x0000_s1033" style="position:absolute;left:2499;top:-2976;width:483;height:1086;visibility:visible;mso-wrap-style:square;v-text-anchor:top" coordsize="483,1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" path="m81,1085r-32,-6l24,1061,6,1036,,1005,,80,6,49,24,23,49,6,81,,402,r31,6l459,23r17,26l482,80r,925l476,1036r-17,25l433,1079r-31,6l81,1085xe" filled="f" strokecolor="#231f20" strokeweight=".17708mm">
                  <v:path arrowok="t" o:connecttype="custom" o:connectlocs="81,-1890;49,-1896;24,-1914;6,-1939;0,-1970;0,-2895;6,-2926;24,-2952;49,-2969;81,-2975;402,-2975;433,-2969;459,-2952;476,-2926;482,-2895;482,-1970;476,-1939;459,-1914;433,-1896;402,-1890;81,-1890" o:connectangles="0,0,0,0,0,0,0,0,0,0,0,0,0,0,0,0,0,0,0,0,0"/>
                </v:shape>
                <v:shape id="Freeform 25" o:spid="_x0000_s1034" style="position:absolute;left:2499;top:-1165;width:483;height:965;visibility:visible;mso-wrap-style:square;v-text-anchor:top" coordsize="483,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" path="m81,965l49,959,24,941,6,916,,885,,81,6,49,24,24,49,6,81,,402,r31,6l459,24r17,25l482,81r,804l476,916r-17,25l433,959r-31,6l81,965xe" filled="f" strokecolor="#231f20" strokeweight=".17708mm">
                  <v:path arrowok="t" o:connecttype="custom" o:connectlocs="81,-200;49,-206;24,-224;6,-249;0,-280;0,-1084;6,-1116;24,-1141;49,-1159;81,-1165;402,-1165;433,-1159;459,-1141;476,-1116;482,-1084;482,-280;476,-249;459,-224;433,-206;402,-200;81,-200" o:connectangles="0,0,0,0,0,0,0,0,0,0,0,0,0,0,0,0,0,0,0,0,0"/>
                </v:shape>
                <v:shape id="Freeform 26" o:spid="_x0000_s1035" style="position:absolute;left:4370;top:-3827;width:2350;height:668;visibility:visible;mso-wrap-style:square;v-text-anchor:top" coordsize="235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" path="m2350,241r-17,-10l2250,183r-6,2l2241,189r-3,5l2240,200r53,31l69,231,69,,49,r,610l20,562r-2,-5l11,556r-9,5l,567r3,5l59,668,70,648r47,-81l115,561r-9,-5l100,557r-3,5l69,610r,-359l2293,251r17,-10l2245,280r-5,2l2238,288r6,10l2250,300r83,-49l2350,241xe" fillcolor="#231f20" stroked="f">
                  <v:path arrowok="t" o:connecttype="custom" o:connectlocs="2350,-3586;2333,-3596;2250,-3644;2244,-3642;2241,-3638;2238,-3633;2240,-3627;2293,-3596;69,-3596;69,-3827;49,-3827;49,-3217;20,-3265;18,-3270;11,-3271;2,-3266;0,-3260;3,-3255;59,-3159;70,-3179;117,-3260;115,-3266;106,-3271;100,-3270;97,-3265;69,-3217;69,-3576;2293,-3576;2310,-3586;2245,-3547;2240,-3545;2238,-3539;2244,-3529;2250,-3527;2333,-3576;2350,-3586" o:connectangles="0,0,0,0,0,0,0,0,0,0,0,0,0,0,0,0,0,0,0,0,0,0,0,0,0,0,0,0,0,0,0,0,0,0,0,0"/>
                </v:shape>
                <v:shape id="Text Box 27" o:spid="_x0000_s1036" type="#_x0000_t202" style="position:absolute;left:4046;top:-1032;width:1253;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504A5B53" w14:textId="77777777" w:rsidR="00525FBB" w:rsidRPr="00C51F7F" w:rsidRDefault="00525FBB" w:rsidP="00525FBB">
                        <w:pPr>
                          <w:spacing w:after="0"/>
                          <w:ind w:right="14"/>
                          <w:jc w:val="center"/>
                          <w:rPr>
                            <w:rFonts w:cstheme="minorHAnsi"/>
                            <w:sz w:val="16"/>
                          </w:rPr>
                        </w:pPr>
                        <w:r w:rsidRPr="00C51F7F">
                          <w:rPr>
                            <w:rFonts w:cstheme="minorHAnsi"/>
                            <w:color w:val="231F20"/>
                            <w:sz w:val="16"/>
                          </w:rPr>
                          <w:t>Studies included</w:t>
                        </w:r>
                        <w:r>
                          <w:rPr>
                            <w:rFonts w:cstheme="minorHAnsi"/>
                            <w:color w:val="231F20"/>
                            <w:sz w:val="16"/>
                          </w:rPr>
                          <w:t xml:space="preserve"> </w:t>
                        </w:r>
                        <w:proofErr w:type="gramStart"/>
                        <w:r>
                          <w:rPr>
                            <w:rFonts w:cstheme="minorHAnsi"/>
                            <w:color w:val="231F20"/>
                            <w:sz w:val="16"/>
                          </w:rPr>
                          <w:t xml:space="preserve">in </w:t>
                        </w:r>
                        <w:r w:rsidRPr="00C51F7F">
                          <w:rPr>
                            <w:rFonts w:cstheme="minorHAnsi"/>
                            <w:color w:val="231F20"/>
                            <w:sz w:val="16"/>
                          </w:rPr>
                          <w:t xml:space="preserve"> review</w:t>
                        </w:r>
                        <w:proofErr w:type="gramEnd"/>
                        <w:r w:rsidRPr="00C51F7F">
                          <w:rPr>
                            <w:rFonts w:cstheme="minorHAnsi"/>
                            <w:color w:val="231F20"/>
                            <w:sz w:val="16"/>
                          </w:rPr>
                          <w:t>.</w:t>
                        </w:r>
                      </w:p>
                      <w:p w14:paraId="4F9E577E" w14:textId="77777777" w:rsidR="00525FBB" w:rsidRPr="00C51F7F" w:rsidRDefault="00525FBB" w:rsidP="00525FBB">
                        <w:pPr>
                          <w:spacing w:after="0"/>
                          <w:ind w:right="14"/>
                          <w:jc w:val="center"/>
                          <w:rPr>
                            <w:rFonts w:cstheme="minorHAnsi"/>
                            <w:sz w:val="16"/>
                          </w:rPr>
                        </w:pPr>
                        <w:r w:rsidRPr="00C51F7F">
                          <w:rPr>
                            <w:rFonts w:cstheme="minorHAnsi"/>
                            <w:color w:val="231F20"/>
                            <w:sz w:val="16"/>
                          </w:rPr>
                          <w:t>(</w:t>
                        </w:r>
                        <w:r w:rsidRPr="00C51F7F">
                          <w:rPr>
                            <w:rFonts w:cstheme="minorHAnsi"/>
                            <w:i/>
                            <w:color w:val="231F20"/>
                            <w:sz w:val="16"/>
                          </w:rPr>
                          <w:t xml:space="preserve">n </w:t>
                        </w:r>
                        <w:r w:rsidRPr="00C51F7F">
                          <w:rPr>
                            <w:rFonts w:cstheme="minorHAnsi"/>
                            <w:color w:val="231F20"/>
                            <w:sz w:val="16"/>
                          </w:rPr>
                          <w:t>=</w:t>
                        </w:r>
                        <w:r>
                          <w:rPr>
                            <w:rFonts w:cstheme="minorHAnsi"/>
                            <w:color w:val="231F20"/>
                            <w:sz w:val="16"/>
                          </w:rPr>
                          <w:t>12</w:t>
                        </w:r>
                        <w:r w:rsidRPr="00C51F7F">
                          <w:rPr>
                            <w:rFonts w:cstheme="minorHAnsi"/>
                            <w:color w:val="231F20"/>
                            <w:sz w:val="16"/>
                          </w:rPr>
                          <w:t>)</w:t>
                        </w:r>
                      </w:p>
                    </w:txbxContent>
                  </v:textbox>
                </v:shape>
                <v:shape id="Text Box 28" o:spid="_x0000_s1037" type="#_x0000_t202" style="position:absolute;left:6719;top:-2438;width:2493;height: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" filled="f" strokecolor="#231f20" strokeweight=".17708mm">
                  <v:textbox inset="0,0,0,0">
                    <w:txbxContent>
                      <w:p w14:paraId="088F5C89" w14:textId="77777777" w:rsidR="00525FBB" w:rsidRPr="00C51F7F" w:rsidRDefault="00525FBB" w:rsidP="00525FBB">
                        <w:pPr>
                          <w:spacing w:before="40"/>
                          <w:ind w:left="422" w:right="231" w:hanging="222"/>
                          <w:rPr>
                            <w:rFonts w:cstheme="minorHAnsi"/>
                            <w:sz w:val="16"/>
                          </w:rPr>
                        </w:pPr>
                        <w:r w:rsidRPr="00C51F7F">
                          <w:rPr>
                            <w:rFonts w:cstheme="minorHAnsi"/>
                            <w:i/>
                            <w:color w:val="231F20"/>
                            <w:sz w:val="16"/>
                          </w:rPr>
                          <w:t xml:space="preserve">n </w:t>
                        </w:r>
                        <w:r w:rsidRPr="00C51F7F">
                          <w:rPr>
                            <w:rFonts w:cstheme="minorHAnsi"/>
                            <w:color w:val="231F20"/>
                            <w:sz w:val="16"/>
                          </w:rPr>
                          <w:t>=</w:t>
                        </w:r>
                        <w:r>
                          <w:rPr>
                            <w:rFonts w:cstheme="minorHAnsi"/>
                            <w:color w:val="231F20"/>
                            <w:sz w:val="16"/>
                          </w:rPr>
                          <w:t>25</w:t>
                        </w:r>
                        <w:r w:rsidRPr="00C51F7F">
                          <w:rPr>
                            <w:rFonts w:cstheme="minorHAnsi"/>
                            <w:color w:val="231F20"/>
                            <w:sz w:val="16"/>
                          </w:rPr>
                          <w:t xml:space="preserve"> full text articles excluded after the quality appraisal</w:t>
                        </w:r>
                      </w:p>
                    </w:txbxContent>
                  </v:textbox>
                </v:shape>
                <v:shape id="Text Box 29" o:spid="_x0000_s1038" type="#_x0000_t202" style="position:absolute;left:3705;top:-3161;width:1917;height:1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" filled="f" strokecolor="#231f20" strokeweight=".17708mm">
                  <v:textbox inset="0,0,0,0">
                    <w:txbxContent>
                      <w:p w14:paraId="7EDDAC7D" w14:textId="77777777" w:rsidR="00525FBB" w:rsidRPr="00C51F7F" w:rsidRDefault="00525FBB" w:rsidP="00525FBB">
                        <w:pPr>
                          <w:spacing w:before="39" w:after="0" w:line="240" w:lineRule="auto"/>
                          <w:ind w:left="138" w:right="136"/>
                          <w:jc w:val="center"/>
                          <w:rPr>
                            <w:rFonts w:cstheme="minorHAnsi"/>
                            <w:sz w:val="16"/>
                          </w:rPr>
                        </w:pPr>
                        <w:r w:rsidRPr="00C51F7F">
                          <w:rPr>
                            <w:rFonts w:cstheme="minorHAnsi"/>
                            <w:color w:val="231F20"/>
                            <w:sz w:val="16"/>
                          </w:rPr>
                          <w:t>Full text articles assessed for eligibility.</w:t>
                        </w:r>
                      </w:p>
                      <w:p w14:paraId="192F2482" w14:textId="77777777" w:rsidR="00525FBB" w:rsidRPr="00C51F7F" w:rsidRDefault="00525FBB" w:rsidP="00525FBB">
                        <w:pPr>
                          <w:spacing w:before="2" w:after="0" w:line="240" w:lineRule="auto"/>
                          <w:ind w:left="135" w:right="136"/>
                          <w:jc w:val="center"/>
                          <w:rPr>
                            <w:rFonts w:cstheme="minorHAnsi"/>
                            <w:sz w:val="16"/>
                          </w:rPr>
                        </w:pPr>
                        <w:r w:rsidRPr="00C51F7F">
                          <w:rPr>
                            <w:rFonts w:cstheme="minorHAnsi"/>
                            <w:color w:val="231F20"/>
                            <w:sz w:val="16"/>
                          </w:rPr>
                          <w:t>(</w:t>
                        </w:r>
                        <w:r w:rsidRPr="00C51F7F">
                          <w:rPr>
                            <w:rFonts w:cstheme="minorHAnsi"/>
                            <w:i/>
                            <w:color w:val="231F20"/>
                            <w:sz w:val="16"/>
                          </w:rPr>
                          <w:t xml:space="preserve">n </w:t>
                        </w:r>
                        <w:r w:rsidRPr="00C51F7F">
                          <w:rPr>
                            <w:rFonts w:cstheme="minorHAnsi"/>
                            <w:color w:val="231F20"/>
                            <w:sz w:val="16"/>
                          </w:rPr>
                          <w:t>=</w:t>
                        </w:r>
                        <w:r>
                          <w:rPr>
                            <w:rFonts w:cstheme="minorHAnsi"/>
                            <w:color w:val="231F20"/>
                            <w:sz w:val="16"/>
                          </w:rPr>
                          <w:t>34</w:t>
                        </w:r>
                        <w:r w:rsidRPr="00C51F7F">
                          <w:rPr>
                            <w:rFonts w:cstheme="minorHAnsi"/>
                            <w:color w:val="231F20"/>
                            <w:sz w:val="16"/>
                          </w:rPr>
                          <w:t>)</w:t>
                        </w:r>
                      </w:p>
                      <w:p w14:paraId="409854AF" w14:textId="77777777" w:rsidR="00525FBB" w:rsidRPr="00C51F7F" w:rsidRDefault="00525FBB" w:rsidP="00525FBB">
                        <w:pPr>
                          <w:spacing w:before="1" w:after="0" w:line="240" w:lineRule="auto"/>
                          <w:ind w:left="2"/>
                          <w:jc w:val="center"/>
                          <w:rPr>
                            <w:rFonts w:cstheme="minorHAnsi"/>
                            <w:sz w:val="16"/>
                          </w:rPr>
                        </w:pPr>
                        <w:r w:rsidRPr="00C51F7F">
                          <w:rPr>
                            <w:rFonts w:cstheme="minorHAnsi"/>
                            <w:color w:val="231F20"/>
                            <w:sz w:val="16"/>
                          </w:rPr>
                          <w:t>+</w:t>
                        </w:r>
                      </w:p>
                      <w:p w14:paraId="2EF5A607" w14:textId="77777777" w:rsidR="00525FBB" w:rsidRPr="00C51F7F" w:rsidRDefault="00525FBB" w:rsidP="00525FBB">
                        <w:pPr>
                          <w:spacing w:before="1" w:after="0" w:line="240" w:lineRule="auto"/>
                          <w:ind w:left="230" w:right="226"/>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3 articles retrieved from references lists </w:t>
                        </w:r>
                        <w:r>
                          <w:rPr>
                            <w:rFonts w:cstheme="minorHAnsi"/>
                            <w:color w:val="231F20"/>
                            <w:sz w:val="16"/>
                          </w:rPr>
                          <w:t>3</w:t>
                        </w:r>
                        <w:r w:rsidRPr="00C51F7F">
                          <w:rPr>
                            <w:rFonts w:cstheme="minorHAnsi"/>
                            <w:color w:val="231F20"/>
                            <w:sz w:val="16"/>
                          </w:rPr>
                          <w:t>7 articles for full text review</w:t>
                        </w:r>
                      </w:p>
                    </w:txbxContent>
                  </v:textbox>
                </v:shape>
                <v:shape id="Text Box 30" o:spid="_x0000_s1039" type="#_x0000_t202" style="position:absolute;left:6719;top:-3948;width:2533;height: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" filled="f" strokecolor="#231f20" strokeweight=".17708mm">
                  <v:textbox inset="0,0,0,0">
                    <w:txbxContent>
                      <w:p w14:paraId="20EF15F7" w14:textId="77777777" w:rsidR="00525FBB" w:rsidRPr="00C51F7F" w:rsidRDefault="00525FBB" w:rsidP="00525FBB">
                        <w:pPr>
                          <w:spacing w:before="40" w:line="249" w:lineRule="auto"/>
                          <w:ind w:left="954" w:right="158" w:hanging="748"/>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2</w:t>
                        </w:r>
                        <w:r w:rsidRPr="00C51F7F">
                          <w:rPr>
                            <w:rFonts w:cstheme="minorHAnsi"/>
                            <w:color w:val="231F20"/>
                            <w:sz w:val="16"/>
                          </w:rPr>
                          <w:t>7 excluded after the full text screening</w:t>
                        </w:r>
                      </w:p>
                    </w:txbxContent>
                  </v:textbox>
                </v:shape>
                <v:shape id="Text Box 31" o:spid="_x0000_s1040" type="#_x0000_t202" style="position:absolute;left:3705;top:-4792;width:1897;height:9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" filled="f" strokecolor="#231f20" strokeweight=".17708mm">
                  <v:textbox inset="0,0,0,0">
                    <w:txbxContent>
                      <w:p w14:paraId="0F2A59C8" w14:textId="77777777" w:rsidR="00525FBB" w:rsidRPr="00C51F7F" w:rsidRDefault="00525FBB" w:rsidP="00525FBB">
                        <w:pPr>
                          <w:spacing w:before="40"/>
                          <w:ind w:left="321" w:right="302" w:firstLine="24"/>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64</w:t>
                        </w:r>
                        <w:r w:rsidRPr="00C51F7F">
                          <w:rPr>
                            <w:rFonts w:cstheme="minorHAnsi"/>
                            <w:color w:val="231F20"/>
                            <w:sz w:val="16"/>
                          </w:rPr>
                          <w:t xml:space="preserve"> articles considered for inclusion</w:t>
                        </w:r>
                      </w:p>
                    </w:txbxContent>
                  </v:textbox>
                </v:shape>
                <v:shape id="Text Box 32" o:spid="_x0000_s1041" type="#_x0000_t202" style="position:absolute;left:6719;top:-5877;width:2493;height:1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" filled="f" strokecolor="#231f20" strokeweight=".17708mm">
                  <v:textbox inset="0,0,0,0">
                    <w:txbxContent>
                      <w:p w14:paraId="66C31835" w14:textId="77777777" w:rsidR="00525FBB" w:rsidRPr="00C51F7F" w:rsidRDefault="00525FBB" w:rsidP="00525FBB">
                        <w:pPr>
                          <w:spacing w:before="39" w:after="100" w:afterAutospacing="1" w:line="240" w:lineRule="auto"/>
                          <w:ind w:left="621" w:right="620"/>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96</w:t>
                        </w:r>
                        <w:r w:rsidRPr="00C51F7F">
                          <w:rPr>
                            <w:rFonts w:cstheme="minorHAnsi"/>
                            <w:color w:val="231F20"/>
                            <w:sz w:val="16"/>
                          </w:rPr>
                          <w:br/>
                          <w:t>due to duplication.</w:t>
                        </w:r>
                      </w:p>
                      <w:p w14:paraId="65849F30" w14:textId="77777777" w:rsidR="00525FBB" w:rsidRPr="00C51F7F" w:rsidRDefault="00525FBB" w:rsidP="00525FBB">
                        <w:pPr>
                          <w:spacing w:before="1" w:after="100" w:afterAutospacing="1" w:line="240" w:lineRule="auto"/>
                          <w:ind w:left="195" w:right="191" w:hanging="3"/>
                          <w:jc w:val="center"/>
                          <w:rPr>
                            <w:rFonts w:cstheme="minorHAnsi"/>
                            <w:sz w:val="16"/>
                          </w:rPr>
                        </w:pPr>
                        <w:r w:rsidRPr="00C51F7F">
                          <w:rPr>
                            <w:rFonts w:cstheme="minorHAnsi"/>
                            <w:i/>
                            <w:color w:val="231F20"/>
                            <w:sz w:val="16"/>
                          </w:rPr>
                          <w:t xml:space="preserve">n </w:t>
                        </w:r>
                        <w:r w:rsidRPr="00C51F7F">
                          <w:rPr>
                            <w:rFonts w:cstheme="minorHAnsi"/>
                            <w:color w:val="231F20"/>
                            <w:sz w:val="16"/>
                          </w:rPr>
                          <w:t xml:space="preserve">= </w:t>
                        </w:r>
                        <w:r>
                          <w:rPr>
                            <w:rFonts w:cstheme="minorHAnsi"/>
                            <w:color w:val="231F20"/>
                            <w:sz w:val="16"/>
                          </w:rPr>
                          <w:t>489</w:t>
                        </w:r>
                        <w:r w:rsidRPr="00C51F7F">
                          <w:rPr>
                            <w:rFonts w:cstheme="minorHAnsi"/>
                            <w:color w:val="231F20"/>
                            <w:sz w:val="16"/>
                          </w:rPr>
                          <w:t xml:space="preserve"> excluded: did not meet inclusion criteria screening titles</w:t>
                        </w:r>
                        <w:r>
                          <w:rPr>
                            <w:rFonts w:cstheme="minorHAnsi"/>
                            <w:color w:val="231F20"/>
                            <w:sz w:val="16"/>
                          </w:rPr>
                          <w:t xml:space="preserve"> </w:t>
                        </w:r>
                        <w:r w:rsidRPr="00C51F7F">
                          <w:rPr>
                            <w:rFonts w:cstheme="minorHAnsi"/>
                            <w:color w:val="231F20"/>
                            <w:sz w:val="16"/>
                          </w:rPr>
                          <w:t>and abstracts</w:t>
                        </w:r>
                      </w:p>
                    </w:txbxContent>
                  </v:textbox>
                </v:shape>
                <v:shape id="Text Box 33" o:spid="_x0000_s1042" type="#_x0000_t202" style="position:absolute;left:3705;top:-7083;width:5426;height: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" filled="f" strokecolor="#231f20" strokeweight=".17708mm">
                  <v:textbox inset="0,0,0,0">
                    <w:txbxContent>
                      <w:p w14:paraId="2BDBF0E5" w14:textId="77777777" w:rsidR="00525FBB" w:rsidRPr="00C51F7F" w:rsidRDefault="00525FBB" w:rsidP="00525FBB">
                        <w:pPr>
                          <w:spacing w:before="39" w:after="0" w:line="240" w:lineRule="auto"/>
                          <w:ind w:left="363" w:right="360"/>
                          <w:jc w:val="center"/>
                          <w:rPr>
                            <w:rFonts w:cstheme="minorHAnsi"/>
                            <w:sz w:val="18"/>
                          </w:rPr>
                        </w:pPr>
                        <w:r w:rsidRPr="00C51F7F">
                          <w:rPr>
                            <w:rFonts w:cstheme="minorHAnsi"/>
                            <w:color w:val="231F20"/>
                            <w:sz w:val="18"/>
                          </w:rPr>
                          <w:t>Records identified through Academic Search:</w:t>
                        </w:r>
                      </w:p>
                      <w:p w14:paraId="2FB54FB8" w14:textId="77777777" w:rsidR="00525FBB" w:rsidRPr="00C51F7F" w:rsidRDefault="00525FBB" w:rsidP="00525FBB">
                        <w:pPr>
                          <w:spacing w:before="1" w:after="0" w:line="240" w:lineRule="auto"/>
                          <w:ind w:left="366" w:right="360"/>
                          <w:jc w:val="center"/>
                          <w:rPr>
                            <w:rFonts w:cstheme="minorHAnsi"/>
                            <w:sz w:val="18"/>
                          </w:rPr>
                        </w:pPr>
                        <w:r w:rsidRPr="00C51F7F">
                          <w:rPr>
                            <w:rFonts w:cstheme="minorHAnsi"/>
                            <w:color w:val="231F20"/>
                            <w:sz w:val="18"/>
                          </w:rPr>
                          <w:t>PubMed, Science Direct, Google Scholar</w:t>
                        </w:r>
                        <w:r>
                          <w:rPr>
                            <w:rFonts w:cstheme="minorHAnsi"/>
                            <w:color w:val="231F20"/>
                            <w:sz w:val="18"/>
                          </w:rPr>
                          <w:t xml:space="preserve"> </w:t>
                        </w:r>
                        <w:proofErr w:type="spellStart"/>
                        <w:r>
                          <w:rPr>
                            <w:rFonts w:cstheme="minorHAnsi"/>
                            <w:color w:val="231F20"/>
                            <w:sz w:val="18"/>
                          </w:rPr>
                          <w:t>etc</w:t>
                        </w:r>
                        <w:proofErr w:type="spellEnd"/>
                      </w:p>
                      <w:p w14:paraId="59C0071B" w14:textId="77777777" w:rsidR="00525FBB" w:rsidRPr="00C51F7F" w:rsidRDefault="00525FBB" w:rsidP="00525FBB">
                        <w:pPr>
                          <w:spacing w:before="2" w:after="0" w:line="240" w:lineRule="auto"/>
                          <w:ind w:left="324" w:right="360"/>
                          <w:jc w:val="center"/>
                          <w:rPr>
                            <w:rFonts w:cstheme="minorHAnsi"/>
                            <w:sz w:val="18"/>
                          </w:rPr>
                        </w:pPr>
                        <w:r w:rsidRPr="00C51F7F">
                          <w:rPr>
                            <w:rFonts w:cstheme="minorHAnsi"/>
                            <w:color w:val="231F20"/>
                            <w:sz w:val="18"/>
                          </w:rPr>
                          <w:t>(</w:t>
                        </w:r>
                        <w:r w:rsidRPr="00C51F7F">
                          <w:rPr>
                            <w:rFonts w:cstheme="minorHAnsi"/>
                            <w:i/>
                            <w:color w:val="231F20"/>
                            <w:sz w:val="18"/>
                          </w:rPr>
                          <w:t xml:space="preserve">n </w:t>
                        </w:r>
                        <w:r w:rsidRPr="00C51F7F">
                          <w:rPr>
                            <w:rFonts w:cstheme="minorHAnsi"/>
                            <w:color w:val="231F20"/>
                            <w:sz w:val="18"/>
                          </w:rPr>
                          <w:t>=</w:t>
                        </w:r>
                        <w:r>
                          <w:rPr>
                            <w:rFonts w:cstheme="minorHAnsi"/>
                            <w:color w:val="231F20"/>
                            <w:sz w:val="18"/>
                          </w:rPr>
                          <w:t>649</w:t>
                        </w:r>
                        <w:r w:rsidRPr="00C51F7F">
                          <w:rPr>
                            <w:rFonts w:cstheme="minorHAnsi"/>
                            <w:color w:val="231F20"/>
                            <w:sz w:val="18"/>
                          </w:rPr>
                          <w:t>)</w:t>
                        </w:r>
                      </w:p>
                    </w:txbxContent>
                  </v:textbox>
                </v:shape>
                <w10:wrap anchorx="page"/>
              </v:group>
            </w:pict>
          </mc:Fallback>
        </mc:AlternateContent>
      </w:r>
    </w:p>
    <w:p w14:paraId="6EF43A36" w14:textId="77777777" w:rsidR="00525FBB" w:rsidRPr="00525FBB" w:rsidRDefault="00525FBB" w:rsidP="00525FBB">
      <w:pPr>
        <w:spacing w:line="276" w:lineRule="auto"/>
        <w:jc w:val="right"/>
        <w:rPr>
          <w:rFonts w:asciiTheme="majorBidi" w:hAnsiTheme="majorBidi" w:cstheme="majorBidi"/>
          <w:sz w:val="24"/>
          <w:szCs w:val="24"/>
        </w:rPr>
      </w:pPr>
    </w:p>
    <w:p w14:paraId="2A6A2194" w14:textId="77777777" w:rsidR="00525FBB" w:rsidRPr="00525FBB" w:rsidRDefault="00525FBB" w:rsidP="00525FBB">
      <w:pPr>
        <w:spacing w:line="276" w:lineRule="auto"/>
        <w:jc w:val="right"/>
        <w:rPr>
          <w:rFonts w:asciiTheme="majorBidi" w:hAnsiTheme="majorBidi" w:cstheme="majorBidi"/>
          <w:sz w:val="24"/>
          <w:szCs w:val="24"/>
        </w:rPr>
      </w:pPr>
    </w:p>
    <w:p w14:paraId="4496FD43" w14:textId="77777777" w:rsidR="00525FBB" w:rsidRPr="00525FBB" w:rsidRDefault="00525FBB" w:rsidP="00525FBB">
      <w:pPr>
        <w:spacing w:line="276" w:lineRule="auto"/>
        <w:jc w:val="right"/>
        <w:rPr>
          <w:rFonts w:asciiTheme="majorBidi" w:hAnsiTheme="majorBidi" w:cstheme="majorBidi"/>
          <w:sz w:val="24"/>
          <w:szCs w:val="24"/>
        </w:rPr>
      </w:pPr>
    </w:p>
    <w:p w14:paraId="6F7ECCA7"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noProof/>
          <w:sz w:val="24"/>
          <w:szCs w:val="24"/>
        </w:rPr>
        <mc:AlternateContent>
          <mc:Choice Requires="wps">
            <w:drawing>
              <wp:anchor distT="45720" distB="45720" distL="114300" distR="114300" simplePos="0" relativeHeight="251664384" behindDoc="0" locked="0" layoutInCell="1" allowOverlap="1" wp14:anchorId="5632E77C" wp14:editId="79E75876">
                <wp:simplePos x="0" y="0"/>
                <wp:positionH relativeFrom="column">
                  <wp:posOffset>1012987</wp:posOffset>
                </wp:positionH>
                <wp:positionV relativeFrom="paragraph">
                  <wp:posOffset>191770</wp:posOffset>
                </wp:positionV>
                <wp:extent cx="2360930" cy="1020445"/>
                <wp:effectExtent l="0" t="0" r="0" b="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20445"/>
                        </a:xfrm>
                        <a:prstGeom prst="rect">
                          <a:avLst/>
                        </a:prstGeom>
                        <a:noFill/>
                        <a:ln w="9525">
                          <a:noFill/>
                          <a:miter lim="800000"/>
                          <a:headEnd/>
                          <a:tailEnd/>
                        </a:ln>
                      </wps:spPr>
                      <wps:txbx>
                        <w:txbxContent>
                          <w:p w14:paraId="36DD78AA" w14:textId="77777777" w:rsidR="00525FBB" w:rsidRPr="009E4D82" w:rsidRDefault="00525FBB" w:rsidP="00525FBB">
                            <w:pPr>
                              <w:jc w:val="center"/>
                              <w:rPr>
                                <w:b/>
                                <w:bCs/>
                                <w:sz w:val="16"/>
                                <w:szCs w:val="16"/>
                              </w:rPr>
                            </w:pPr>
                            <w:r>
                              <w:rPr>
                                <w:b/>
                                <w:bCs/>
                                <w:sz w:val="16"/>
                                <w:szCs w:val="16"/>
                              </w:rPr>
                              <w:t>SCREENING</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w14:anchorId="5632E77C" id="_x0000_s1043" type="#_x0000_t202" style="position:absolute;margin-left:79.75pt;margin-top:15.1pt;width:185.9pt;height:80.35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" filled="f" stroked="f">
                <v:textbox style="layout-flow:vertical;mso-layout-flow-alt:bottom-to-top;mso-fit-shape-to-text:t">
                  <w:txbxContent>
                    <w:p w14:paraId="36DD78AA" w14:textId="77777777" w:rsidR="00525FBB" w:rsidRPr="009E4D82" w:rsidRDefault="00525FBB" w:rsidP="00525FBB">
                      <w:pPr>
                        <w:jc w:val="center"/>
                        <w:rPr>
                          <w:b/>
                          <w:bCs/>
                          <w:sz w:val="16"/>
                          <w:szCs w:val="16"/>
                        </w:rPr>
                      </w:pPr>
                      <w:r>
                        <w:rPr>
                          <w:b/>
                          <w:bCs/>
                          <w:sz w:val="16"/>
                          <w:szCs w:val="16"/>
                        </w:rPr>
                        <w:t>SCREENING</w:t>
                      </w:r>
                    </w:p>
                  </w:txbxContent>
                </v:textbox>
                <w10:wrap type="square"/>
              </v:shape>
            </w:pict>
          </mc:Fallback>
        </mc:AlternateContent>
      </w:r>
    </w:p>
    <w:p w14:paraId="6E7E1049" w14:textId="77777777" w:rsidR="00525FBB" w:rsidRPr="00525FBB" w:rsidRDefault="00525FBB" w:rsidP="00525FBB">
      <w:pPr>
        <w:spacing w:line="276" w:lineRule="auto"/>
        <w:jc w:val="right"/>
        <w:rPr>
          <w:rFonts w:asciiTheme="majorBidi" w:hAnsiTheme="majorBidi" w:cstheme="majorBidi"/>
          <w:sz w:val="24"/>
          <w:szCs w:val="24"/>
        </w:rPr>
      </w:pPr>
    </w:p>
    <w:p w14:paraId="7543B6D4" w14:textId="77777777" w:rsidR="00525FBB" w:rsidRPr="00525FBB" w:rsidRDefault="00525FBB" w:rsidP="00525FBB">
      <w:pPr>
        <w:spacing w:line="276" w:lineRule="auto"/>
        <w:jc w:val="right"/>
        <w:rPr>
          <w:rFonts w:asciiTheme="majorBidi" w:hAnsiTheme="majorBidi" w:cstheme="majorBidi"/>
          <w:sz w:val="24"/>
          <w:szCs w:val="24"/>
        </w:rPr>
      </w:pPr>
    </w:p>
    <w:p w14:paraId="41C9DC06" w14:textId="77777777" w:rsidR="00525FBB" w:rsidRPr="00525FBB" w:rsidRDefault="00525FBB" w:rsidP="00525FBB">
      <w:pPr>
        <w:spacing w:line="276" w:lineRule="auto"/>
        <w:jc w:val="right"/>
        <w:rPr>
          <w:rFonts w:asciiTheme="majorBidi" w:hAnsiTheme="majorBidi" w:cstheme="majorBidi"/>
          <w:sz w:val="24"/>
          <w:szCs w:val="24"/>
        </w:rPr>
      </w:pPr>
    </w:p>
    <w:p w14:paraId="780AB981"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noProof/>
          <w:sz w:val="24"/>
          <w:szCs w:val="24"/>
        </w:rPr>
        <mc:AlternateContent>
          <mc:Choice Requires="wps">
            <w:drawing>
              <wp:anchor distT="45720" distB="45720" distL="114300" distR="114300" simplePos="0" relativeHeight="251665408" behindDoc="0" locked="0" layoutInCell="1" allowOverlap="1" wp14:anchorId="3B398D98" wp14:editId="29F9DB42">
                <wp:simplePos x="0" y="0"/>
                <wp:positionH relativeFrom="column">
                  <wp:posOffset>1012352</wp:posOffset>
                </wp:positionH>
                <wp:positionV relativeFrom="paragraph">
                  <wp:posOffset>252095</wp:posOffset>
                </wp:positionV>
                <wp:extent cx="2360930" cy="673100"/>
                <wp:effectExtent l="0" t="0" r="0" b="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3100"/>
                        </a:xfrm>
                        <a:prstGeom prst="rect">
                          <a:avLst/>
                        </a:prstGeom>
                        <a:noFill/>
                        <a:ln w="9525">
                          <a:noFill/>
                          <a:miter lim="800000"/>
                          <a:headEnd/>
                          <a:tailEnd/>
                        </a:ln>
                      </wps:spPr>
                      <wps:txbx>
                        <w:txbxContent>
                          <w:p w14:paraId="696AF423" w14:textId="77777777" w:rsidR="00525FBB" w:rsidRPr="009E4D82" w:rsidRDefault="00525FBB" w:rsidP="00525FBB">
                            <w:pPr>
                              <w:jc w:val="center"/>
                              <w:rPr>
                                <w:b/>
                                <w:bCs/>
                                <w:sz w:val="16"/>
                                <w:szCs w:val="16"/>
                              </w:rPr>
                            </w:pPr>
                            <w:r>
                              <w:rPr>
                                <w:b/>
                                <w:bCs/>
                                <w:sz w:val="16"/>
                                <w:szCs w:val="16"/>
                              </w:rPr>
                              <w:t>ELIGIBILITY</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w14:anchorId="3B398D98" id="_x0000_s1044" type="#_x0000_t202" style="position:absolute;margin-left:79.7pt;margin-top:19.85pt;width:185.9pt;height:53pt;z-index:2516654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" filled="f" stroked="f">
                <v:textbox style="layout-flow:vertical;mso-layout-flow-alt:bottom-to-top;mso-fit-shape-to-text:t">
                  <w:txbxContent>
                    <w:p w14:paraId="696AF423" w14:textId="77777777" w:rsidR="00525FBB" w:rsidRPr="009E4D82" w:rsidRDefault="00525FBB" w:rsidP="00525FBB">
                      <w:pPr>
                        <w:jc w:val="center"/>
                        <w:rPr>
                          <w:b/>
                          <w:bCs/>
                          <w:sz w:val="16"/>
                          <w:szCs w:val="16"/>
                        </w:rPr>
                      </w:pPr>
                      <w:r>
                        <w:rPr>
                          <w:b/>
                          <w:bCs/>
                          <w:sz w:val="16"/>
                          <w:szCs w:val="16"/>
                        </w:rPr>
                        <w:t>ELIGIBILITY</w:t>
                      </w:r>
                    </w:p>
                  </w:txbxContent>
                </v:textbox>
                <w10:wrap type="square"/>
              </v:shape>
            </w:pict>
          </mc:Fallback>
        </mc:AlternateContent>
      </w:r>
    </w:p>
    <w:p w14:paraId="4E7B7636" w14:textId="77777777" w:rsidR="00525FBB" w:rsidRPr="00525FBB" w:rsidRDefault="00525FBB" w:rsidP="00525FBB">
      <w:pPr>
        <w:spacing w:line="276" w:lineRule="auto"/>
        <w:jc w:val="right"/>
        <w:rPr>
          <w:rFonts w:asciiTheme="majorBidi" w:hAnsiTheme="majorBidi" w:cstheme="majorBidi"/>
          <w:sz w:val="24"/>
          <w:szCs w:val="24"/>
        </w:rPr>
      </w:pPr>
    </w:p>
    <w:p w14:paraId="7172C244" w14:textId="77777777" w:rsidR="00525FBB" w:rsidRPr="00525FBB" w:rsidRDefault="00525FBB" w:rsidP="00525FBB">
      <w:pPr>
        <w:spacing w:line="276" w:lineRule="auto"/>
        <w:jc w:val="right"/>
        <w:rPr>
          <w:rFonts w:asciiTheme="majorBidi" w:hAnsiTheme="majorBidi" w:cstheme="majorBidi"/>
          <w:sz w:val="24"/>
          <w:szCs w:val="24"/>
        </w:rPr>
      </w:pPr>
    </w:p>
    <w:p w14:paraId="5A93A3F0" w14:textId="77777777" w:rsidR="00525FBB" w:rsidRPr="00525FBB" w:rsidRDefault="00525FBB" w:rsidP="00525FBB">
      <w:pPr>
        <w:spacing w:line="276" w:lineRule="auto"/>
        <w:jc w:val="right"/>
        <w:rPr>
          <w:rFonts w:asciiTheme="majorBidi" w:hAnsiTheme="majorBidi" w:cstheme="majorBidi"/>
          <w:sz w:val="24"/>
          <w:szCs w:val="24"/>
        </w:rPr>
      </w:pPr>
    </w:p>
    <w:p w14:paraId="6D050421" w14:textId="77777777" w:rsidR="00525FBB" w:rsidRPr="00525FBB" w:rsidRDefault="00525FBB" w:rsidP="00525FBB">
      <w:pPr>
        <w:spacing w:line="276" w:lineRule="auto"/>
        <w:jc w:val="right"/>
        <w:rPr>
          <w:rFonts w:asciiTheme="majorBidi" w:hAnsiTheme="majorBidi" w:cstheme="majorBidi"/>
          <w:sz w:val="24"/>
          <w:szCs w:val="24"/>
        </w:rPr>
      </w:pPr>
    </w:p>
    <w:p w14:paraId="747C4CF0" w14:textId="77777777" w:rsidR="00525FBB" w:rsidRPr="00525FBB" w:rsidRDefault="00525FBB" w:rsidP="00525FBB">
      <w:pPr>
        <w:spacing w:line="276" w:lineRule="auto"/>
        <w:jc w:val="right"/>
        <w:rPr>
          <w:rFonts w:asciiTheme="majorBidi" w:hAnsiTheme="majorBidi" w:cstheme="majorBidi"/>
          <w:sz w:val="24"/>
          <w:szCs w:val="24"/>
        </w:rPr>
      </w:pPr>
      <w:r w:rsidRPr="00525FBB">
        <w:rPr>
          <w:rFonts w:asciiTheme="majorBidi" w:hAnsiTheme="majorBidi" w:cstheme="majorBidi"/>
          <w:noProof/>
          <w:sz w:val="24"/>
          <w:szCs w:val="24"/>
        </w:rPr>
        <mc:AlternateContent>
          <mc:Choice Requires="wps">
            <w:drawing>
              <wp:anchor distT="45720" distB="45720" distL="114300" distR="114300" simplePos="0" relativeHeight="251666432" behindDoc="0" locked="0" layoutInCell="1" allowOverlap="1" wp14:anchorId="715D410D" wp14:editId="219573E7">
                <wp:simplePos x="0" y="0"/>
                <wp:positionH relativeFrom="column">
                  <wp:posOffset>1021080</wp:posOffset>
                </wp:positionH>
                <wp:positionV relativeFrom="paragraph">
                  <wp:posOffset>8890</wp:posOffset>
                </wp:positionV>
                <wp:extent cx="2360930" cy="562610"/>
                <wp:effectExtent l="0" t="0" r="0" b="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62610"/>
                        </a:xfrm>
                        <a:prstGeom prst="rect">
                          <a:avLst/>
                        </a:prstGeom>
                        <a:noFill/>
                        <a:ln w="9525">
                          <a:noFill/>
                          <a:miter lim="800000"/>
                          <a:headEnd/>
                          <a:tailEnd/>
                        </a:ln>
                      </wps:spPr>
                      <wps:txbx>
                        <w:txbxContent>
                          <w:p w14:paraId="4724CF83" w14:textId="77777777" w:rsidR="00525FBB" w:rsidRPr="009E4D82" w:rsidRDefault="00525FBB" w:rsidP="00525FBB">
                            <w:pPr>
                              <w:jc w:val="center"/>
                              <w:rPr>
                                <w:b/>
                                <w:bCs/>
                                <w:sz w:val="16"/>
                                <w:szCs w:val="16"/>
                              </w:rPr>
                            </w:pPr>
                            <w:r>
                              <w:rPr>
                                <w:b/>
                                <w:bCs/>
                                <w:sz w:val="16"/>
                                <w:szCs w:val="16"/>
                              </w:rPr>
                              <w:t>INCLUDED</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w14:anchorId="715D410D" id="_x0000_s1045" type="#_x0000_t202" style="position:absolute;margin-left:80.4pt;margin-top:.7pt;width:185.9pt;height:44.3pt;z-index:2516664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" filled="f" stroked="f">
                <v:textbox style="layout-flow:vertical;mso-layout-flow-alt:bottom-to-top;mso-fit-shape-to-text:t">
                  <w:txbxContent>
                    <w:p w14:paraId="4724CF83" w14:textId="77777777" w:rsidR="00525FBB" w:rsidRPr="009E4D82" w:rsidRDefault="00525FBB" w:rsidP="00525FBB">
                      <w:pPr>
                        <w:jc w:val="center"/>
                        <w:rPr>
                          <w:b/>
                          <w:bCs/>
                          <w:sz w:val="16"/>
                          <w:szCs w:val="16"/>
                        </w:rPr>
                      </w:pPr>
                      <w:r>
                        <w:rPr>
                          <w:b/>
                          <w:bCs/>
                          <w:sz w:val="16"/>
                          <w:szCs w:val="16"/>
                        </w:rPr>
                        <w:t>INCLUDED</w:t>
                      </w:r>
                    </w:p>
                  </w:txbxContent>
                </v:textbox>
                <w10:wrap type="square"/>
              </v:shape>
            </w:pict>
          </mc:Fallback>
        </mc:AlternateContent>
      </w:r>
    </w:p>
    <w:p w14:paraId="5FA08334" w14:textId="77777777" w:rsidR="00525FBB" w:rsidRPr="00525FBB" w:rsidRDefault="00525FBB" w:rsidP="00525FBB">
      <w:pPr>
        <w:spacing w:line="276" w:lineRule="auto"/>
        <w:jc w:val="right"/>
        <w:rPr>
          <w:rFonts w:asciiTheme="majorBidi" w:hAnsiTheme="majorBidi" w:cstheme="majorBidi"/>
          <w:sz w:val="24"/>
          <w:szCs w:val="24"/>
        </w:rPr>
      </w:pPr>
    </w:p>
    <w:p w14:paraId="55C5CA6E" w14:textId="30314AB9" w:rsidR="00A55D84" w:rsidRDefault="00A55D84" w:rsidP="00A55D84">
      <w:pPr>
        <w:spacing w:after="0" w:line="480" w:lineRule="auto"/>
        <w:jc w:val="right"/>
        <w:rPr>
          <w:rFonts w:asciiTheme="majorBidi" w:hAnsiTheme="majorBidi" w:cstheme="majorBidi"/>
          <w:b/>
          <w:bCs/>
          <w:sz w:val="24"/>
          <w:szCs w:val="24"/>
        </w:rPr>
      </w:pPr>
    </w:p>
    <w:p w14:paraId="6E0C6E3A" w14:textId="4B891DAA" w:rsidR="00A55D84" w:rsidRPr="00525FBB" w:rsidRDefault="00A55D84" w:rsidP="00A55D84">
      <w:pPr>
        <w:spacing w:after="0" w:line="480" w:lineRule="auto"/>
        <w:jc w:val="right"/>
        <w:rPr>
          <w:rFonts w:asciiTheme="majorBidi" w:hAnsiTheme="majorBidi" w:cstheme="majorBidi"/>
          <w:b/>
          <w:bCs/>
          <w:sz w:val="24"/>
          <w:szCs w:val="24"/>
        </w:rPr>
      </w:pPr>
      <w:r>
        <w:rPr>
          <w:rFonts w:asciiTheme="majorBidi" w:hAnsiTheme="majorBidi" w:cstheme="majorBidi"/>
          <w:b/>
          <w:bCs/>
          <w:sz w:val="24"/>
          <w:szCs w:val="24"/>
        </w:rPr>
        <w:lastRenderedPageBreak/>
        <w:t>Result:</w:t>
      </w:r>
    </w:p>
    <w:p w14:paraId="21018C05" w14:textId="75E9A501" w:rsidR="00A55D84" w:rsidRPr="00525FBB" w:rsidRDefault="00525FBB" w:rsidP="00A55D84">
      <w:pPr>
        <w:spacing w:after="0" w:line="480" w:lineRule="auto"/>
        <w:jc w:val="right"/>
        <w:rPr>
          <w:rFonts w:asciiTheme="majorBidi" w:hAnsiTheme="majorBidi" w:cstheme="majorBidi"/>
          <w:sz w:val="24"/>
          <w:szCs w:val="24"/>
        </w:rPr>
      </w:pPr>
      <w:r w:rsidRPr="00525FBB">
        <w:rPr>
          <w:rFonts w:asciiTheme="majorBidi" w:hAnsiTheme="majorBidi" w:cstheme="majorBidi"/>
          <w:sz w:val="24"/>
          <w:szCs w:val="24"/>
        </w:rPr>
        <w:tab/>
        <w:t xml:space="preserve">The studies were analyzed and the information extracted was placed in a data table for analytic purposes. (Table 2). All the studies were from Saudi Arabia, with 3 of them highlighting the Eastern regions. Most of the studies considered the healthcare reforms from the Health transformation programs part of Vision 2030. The transformation of healthcare in Saudi Arabia, driven primarily by Vision 2030, is central to the country’s aim to diversify its economy and ensure the sustainability of its healthcare systems. Over the past few years, various studies have explored the multifaceted aspects of this transformation, focusing on key themes, challenges, opportunities, and </w:t>
      </w:r>
      <w:proofErr w:type="spellStart"/>
      <w:r w:rsidRPr="00525FBB">
        <w:rPr>
          <w:rFonts w:asciiTheme="majorBidi" w:hAnsiTheme="majorBidi" w:cstheme="majorBidi"/>
          <w:sz w:val="24"/>
          <w:szCs w:val="24"/>
        </w:rPr>
        <w:t>mitigative</w:t>
      </w:r>
      <w:proofErr w:type="spellEnd"/>
      <w:r w:rsidRPr="00525FBB">
        <w:rPr>
          <w:rFonts w:asciiTheme="majorBidi" w:hAnsiTheme="majorBidi" w:cstheme="majorBidi"/>
          <w:sz w:val="24"/>
          <w:szCs w:val="24"/>
        </w:rPr>
        <w:t xml:space="preserve"> strategies. This section summarizes the findings across 12 studies, highlighting recurring trends and providing insights into the current state and future direction of Saudi healthcare reform.</w:t>
      </w:r>
    </w:p>
    <w:p w14:paraId="6370AEB7" w14:textId="5A259FEB" w:rsidR="00525FBB" w:rsidRPr="00525FBB" w:rsidRDefault="00525FBB" w:rsidP="00525FBB">
      <w:pPr>
        <w:spacing w:after="0" w:line="480" w:lineRule="auto"/>
        <w:jc w:val="right"/>
        <w:rPr>
          <w:rFonts w:asciiTheme="majorBidi" w:hAnsiTheme="majorBidi" w:cstheme="majorBidi"/>
          <w:b/>
          <w:bCs/>
          <w:sz w:val="24"/>
          <w:szCs w:val="24"/>
          <w:u w:val="single"/>
        </w:rPr>
      </w:pPr>
      <w:r w:rsidRPr="00525FBB">
        <w:rPr>
          <w:rFonts w:asciiTheme="majorBidi" w:hAnsiTheme="majorBidi" w:cstheme="majorBidi"/>
          <w:b/>
          <w:bCs/>
          <w:sz w:val="24"/>
          <w:szCs w:val="24"/>
          <w:u w:val="single"/>
        </w:rPr>
        <w:t>Table 2</w:t>
      </w:r>
      <w:r w:rsidR="00A55D84">
        <w:rPr>
          <w:rFonts w:asciiTheme="majorBidi" w:hAnsiTheme="majorBidi" w:cstheme="majorBidi"/>
          <w:b/>
          <w:bCs/>
          <w:sz w:val="24"/>
          <w:szCs w:val="24"/>
          <w:u w:val="single"/>
        </w:rPr>
        <w:t>: Review of Studies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0"/>
        <w:gridCol w:w="1020"/>
        <w:gridCol w:w="764"/>
        <w:gridCol w:w="764"/>
        <w:gridCol w:w="764"/>
        <w:gridCol w:w="764"/>
        <w:gridCol w:w="764"/>
        <w:gridCol w:w="764"/>
        <w:gridCol w:w="764"/>
        <w:gridCol w:w="764"/>
        <w:gridCol w:w="760"/>
      </w:tblGrid>
      <w:tr w:rsidR="00525FBB" w:rsidRPr="00525FBB" w14:paraId="507EB12B" w14:textId="77777777" w:rsidTr="006C25DC">
        <w:trPr>
          <w:trHeight w:val="20"/>
        </w:trPr>
        <w:tc>
          <w:tcPr>
            <w:tcW w:w="527" w:type="pct"/>
            <w:shd w:val="clear" w:color="auto" w:fill="auto"/>
            <w:vAlign w:val="center"/>
            <w:hideMark/>
          </w:tcPr>
          <w:p w14:paraId="74EBA142"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Author(s)</w:t>
            </w:r>
          </w:p>
          <w:p w14:paraId="0E9647B5"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 xml:space="preserve">Year </w:t>
            </w:r>
          </w:p>
          <w:p w14:paraId="36499F6E"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Country</w:t>
            </w:r>
          </w:p>
          <w:p w14:paraId="41760D09"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Region</w:t>
            </w:r>
          </w:p>
        </w:tc>
        <w:tc>
          <w:tcPr>
            <w:tcW w:w="578" w:type="pct"/>
            <w:shd w:val="clear" w:color="auto" w:fill="auto"/>
            <w:vAlign w:val="center"/>
            <w:hideMark/>
          </w:tcPr>
          <w:p w14:paraId="68DEF672"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Health Program</w:t>
            </w:r>
          </w:p>
        </w:tc>
        <w:tc>
          <w:tcPr>
            <w:tcW w:w="433" w:type="pct"/>
            <w:shd w:val="clear" w:color="auto" w:fill="auto"/>
            <w:vAlign w:val="center"/>
            <w:hideMark/>
          </w:tcPr>
          <w:p w14:paraId="4CA16DFF"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Risk Assessment Approach</w:t>
            </w:r>
          </w:p>
        </w:tc>
        <w:tc>
          <w:tcPr>
            <w:tcW w:w="433" w:type="pct"/>
            <w:shd w:val="clear" w:color="auto" w:fill="auto"/>
            <w:vAlign w:val="center"/>
            <w:hideMark/>
          </w:tcPr>
          <w:p w14:paraId="6805AFC5"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Key Challenges</w:t>
            </w:r>
          </w:p>
        </w:tc>
        <w:tc>
          <w:tcPr>
            <w:tcW w:w="433" w:type="pct"/>
            <w:shd w:val="clear" w:color="auto" w:fill="auto"/>
            <w:vAlign w:val="center"/>
            <w:hideMark/>
          </w:tcPr>
          <w:p w14:paraId="3D34F421"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Opportunities</w:t>
            </w:r>
          </w:p>
        </w:tc>
        <w:tc>
          <w:tcPr>
            <w:tcW w:w="433" w:type="pct"/>
            <w:shd w:val="clear" w:color="auto" w:fill="auto"/>
            <w:vAlign w:val="center"/>
            <w:hideMark/>
          </w:tcPr>
          <w:p w14:paraId="33866E7B"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proofErr w:type="spellStart"/>
            <w:r w:rsidRPr="00525FBB">
              <w:rPr>
                <w:rFonts w:asciiTheme="majorBidi" w:eastAsia="Times New Roman" w:hAnsiTheme="majorBidi" w:cstheme="majorBidi"/>
                <w:b/>
                <w:bCs/>
                <w:color w:val="000000"/>
                <w:kern w:val="0"/>
                <w:sz w:val="24"/>
                <w:szCs w:val="24"/>
                <w14:ligatures w14:val="none"/>
              </w:rPr>
              <w:t>Mitigative</w:t>
            </w:r>
            <w:proofErr w:type="spellEnd"/>
            <w:r w:rsidRPr="00525FBB">
              <w:rPr>
                <w:rFonts w:asciiTheme="majorBidi" w:eastAsia="Times New Roman" w:hAnsiTheme="majorBidi" w:cstheme="majorBidi"/>
                <w:b/>
                <w:bCs/>
                <w:color w:val="000000"/>
                <w:kern w:val="0"/>
                <w:sz w:val="24"/>
                <w:szCs w:val="24"/>
                <w14:ligatures w14:val="none"/>
              </w:rPr>
              <w:t xml:space="preserve"> Strategies</w:t>
            </w:r>
          </w:p>
        </w:tc>
        <w:tc>
          <w:tcPr>
            <w:tcW w:w="433" w:type="pct"/>
            <w:shd w:val="clear" w:color="auto" w:fill="auto"/>
            <w:vAlign w:val="center"/>
            <w:hideMark/>
          </w:tcPr>
          <w:p w14:paraId="47492C04"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Data Sources</w:t>
            </w:r>
          </w:p>
        </w:tc>
        <w:tc>
          <w:tcPr>
            <w:tcW w:w="433" w:type="pct"/>
            <w:shd w:val="clear" w:color="auto" w:fill="auto"/>
            <w:vAlign w:val="center"/>
            <w:hideMark/>
          </w:tcPr>
          <w:p w14:paraId="5D2A6C4B"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Key Findings</w:t>
            </w:r>
          </w:p>
        </w:tc>
        <w:tc>
          <w:tcPr>
            <w:tcW w:w="433" w:type="pct"/>
            <w:shd w:val="clear" w:color="auto" w:fill="auto"/>
            <w:vAlign w:val="center"/>
            <w:hideMark/>
          </w:tcPr>
          <w:p w14:paraId="3F896717"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Recommendations</w:t>
            </w:r>
          </w:p>
        </w:tc>
        <w:tc>
          <w:tcPr>
            <w:tcW w:w="433" w:type="pct"/>
            <w:shd w:val="clear" w:color="auto" w:fill="auto"/>
            <w:vAlign w:val="center"/>
            <w:hideMark/>
          </w:tcPr>
          <w:p w14:paraId="1544C223"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Limitations</w:t>
            </w:r>
          </w:p>
        </w:tc>
        <w:tc>
          <w:tcPr>
            <w:tcW w:w="433" w:type="pct"/>
            <w:shd w:val="clear" w:color="auto" w:fill="auto"/>
            <w:vAlign w:val="center"/>
            <w:hideMark/>
          </w:tcPr>
          <w:p w14:paraId="09D877F5" w14:textId="77777777" w:rsidR="00525FBB" w:rsidRPr="00525FBB" w:rsidRDefault="00525FBB" w:rsidP="00525FBB">
            <w:pPr>
              <w:spacing w:after="0" w:line="240" w:lineRule="auto"/>
              <w:ind w:left="-38" w:right="-108"/>
              <w:jc w:val="right"/>
              <w:rPr>
                <w:rFonts w:asciiTheme="majorBidi" w:eastAsia="Times New Roman" w:hAnsiTheme="majorBidi" w:cstheme="majorBidi"/>
                <w:b/>
                <w:bCs/>
                <w:color w:val="000000"/>
                <w:kern w:val="0"/>
                <w:sz w:val="24"/>
                <w:szCs w:val="24"/>
                <w14:ligatures w14:val="none"/>
              </w:rPr>
            </w:pPr>
            <w:r w:rsidRPr="00525FBB">
              <w:rPr>
                <w:rFonts w:asciiTheme="majorBidi" w:eastAsia="Times New Roman" w:hAnsiTheme="majorBidi" w:cstheme="majorBidi"/>
                <w:b/>
                <w:bCs/>
                <w:color w:val="000000"/>
                <w:kern w:val="0"/>
                <w:sz w:val="24"/>
                <w:szCs w:val="24"/>
                <w14:ligatures w14:val="none"/>
              </w:rPr>
              <w:t>Implications for Saudi Healthcare</w:t>
            </w:r>
          </w:p>
        </w:tc>
      </w:tr>
      <w:tr w:rsidR="00525FBB" w:rsidRPr="00525FBB" w14:paraId="486400B2" w14:textId="77777777" w:rsidTr="006C25DC">
        <w:trPr>
          <w:trHeight w:val="20"/>
        </w:trPr>
        <w:tc>
          <w:tcPr>
            <w:tcW w:w="527" w:type="pct"/>
            <w:shd w:val="clear" w:color="auto" w:fill="auto"/>
            <w:vAlign w:val="center"/>
            <w:hideMark/>
          </w:tcPr>
          <w:p w14:paraId="275F9D2F"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Ahmed et al</w:t>
            </w:r>
          </w:p>
          <w:p w14:paraId="1A1DD065"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2024</w:t>
            </w:r>
          </w:p>
          <w:p w14:paraId="04D06EA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p w14:paraId="4B3122AE"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p>
        </w:tc>
        <w:tc>
          <w:tcPr>
            <w:tcW w:w="578" w:type="pct"/>
            <w:shd w:val="clear" w:color="auto" w:fill="auto"/>
            <w:vAlign w:val="center"/>
            <w:hideMark/>
          </w:tcPr>
          <w:p w14:paraId="370C4148"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Healthcare Transformation under Vision 2030</w:t>
            </w:r>
          </w:p>
        </w:tc>
        <w:tc>
          <w:tcPr>
            <w:tcW w:w="433" w:type="pct"/>
            <w:shd w:val="clear" w:color="auto" w:fill="auto"/>
            <w:vAlign w:val="center"/>
            <w:hideMark/>
          </w:tcPr>
          <w:p w14:paraId="6C31395A"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 xml:space="preserve">Not explicitly mentioned, but implied through assessment of challenges and opportunities </w:t>
            </w:r>
            <w:r w:rsidRPr="00525FBB">
              <w:rPr>
                <w:rFonts w:asciiTheme="majorBidi" w:eastAsia="Times New Roman" w:hAnsiTheme="majorBidi" w:cstheme="majorBidi"/>
                <w:color w:val="000000"/>
                <w:kern w:val="0"/>
                <w:sz w:val="24"/>
                <w:szCs w:val="24"/>
                <w14:ligatures w14:val="none"/>
              </w:rPr>
              <w:lastRenderedPageBreak/>
              <w:t>in healthcare transformation</w:t>
            </w:r>
          </w:p>
        </w:tc>
        <w:tc>
          <w:tcPr>
            <w:tcW w:w="433" w:type="pct"/>
            <w:shd w:val="clear" w:color="auto" w:fill="auto"/>
            <w:vAlign w:val="center"/>
            <w:hideMark/>
          </w:tcPr>
          <w:p w14:paraId="3772158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High healthcare costs, low health literacy, limited healthcare infrastructure in rural areas, and workfo</w:t>
            </w:r>
            <w:r w:rsidRPr="00525FBB">
              <w:rPr>
                <w:rFonts w:asciiTheme="majorBidi" w:eastAsia="Times New Roman" w:hAnsiTheme="majorBidi" w:cstheme="majorBidi"/>
                <w:color w:val="000000"/>
                <w:kern w:val="0"/>
                <w:sz w:val="24"/>
                <w:szCs w:val="24"/>
                <w14:ligatures w14:val="none"/>
              </w:rPr>
              <w:lastRenderedPageBreak/>
              <w:t>rce shortages</w:t>
            </w:r>
          </w:p>
        </w:tc>
        <w:tc>
          <w:tcPr>
            <w:tcW w:w="433" w:type="pct"/>
            <w:shd w:val="clear" w:color="auto" w:fill="auto"/>
            <w:vAlign w:val="center"/>
            <w:hideMark/>
          </w:tcPr>
          <w:p w14:paraId="2EAFA73E"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 xml:space="preserve">Leveraging technology (e-health, telemedicine), public medical education, and professional citizen </w:t>
            </w:r>
            <w:r w:rsidRPr="00525FBB">
              <w:rPr>
                <w:rFonts w:asciiTheme="majorBidi" w:eastAsia="Times New Roman" w:hAnsiTheme="majorBidi" w:cstheme="majorBidi"/>
                <w:color w:val="000000"/>
                <w:kern w:val="0"/>
                <w:sz w:val="24"/>
                <w:szCs w:val="24"/>
                <w14:ligatures w14:val="none"/>
              </w:rPr>
              <w:lastRenderedPageBreak/>
              <w:t>ownership of health</w:t>
            </w:r>
          </w:p>
        </w:tc>
        <w:tc>
          <w:tcPr>
            <w:tcW w:w="433" w:type="pct"/>
            <w:shd w:val="clear" w:color="auto" w:fill="auto"/>
            <w:vAlign w:val="center"/>
            <w:hideMark/>
          </w:tcPr>
          <w:p w14:paraId="23AFC3E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Adoption of value-based care, public-private partnerships, healthcare reforms, ecosystem collaboration</w:t>
            </w:r>
          </w:p>
        </w:tc>
        <w:tc>
          <w:tcPr>
            <w:tcW w:w="433" w:type="pct"/>
            <w:shd w:val="clear" w:color="auto" w:fill="auto"/>
            <w:vAlign w:val="center"/>
            <w:hideMark/>
          </w:tcPr>
          <w:p w14:paraId="28FB283F"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Government reports, literature reviews, and relevant healthcare transformation case studies</w:t>
            </w:r>
          </w:p>
        </w:tc>
        <w:tc>
          <w:tcPr>
            <w:tcW w:w="433" w:type="pct"/>
            <w:shd w:val="clear" w:color="auto" w:fill="auto"/>
            <w:vAlign w:val="center"/>
            <w:hideMark/>
          </w:tcPr>
          <w:p w14:paraId="4643BC9F"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Opportunities lie in technology integration, public health education, and ecosystem-based healthcare transfo</w:t>
            </w:r>
            <w:r w:rsidRPr="00525FBB">
              <w:rPr>
                <w:rFonts w:asciiTheme="majorBidi" w:eastAsia="Times New Roman" w:hAnsiTheme="majorBidi" w:cstheme="majorBidi"/>
                <w:color w:val="000000"/>
                <w:kern w:val="0"/>
                <w:sz w:val="24"/>
                <w:szCs w:val="24"/>
                <w14:ligatures w14:val="none"/>
              </w:rPr>
              <w:lastRenderedPageBreak/>
              <w:t>rmation</w:t>
            </w:r>
          </w:p>
        </w:tc>
        <w:tc>
          <w:tcPr>
            <w:tcW w:w="433" w:type="pct"/>
            <w:shd w:val="clear" w:color="auto" w:fill="auto"/>
            <w:vAlign w:val="center"/>
            <w:hideMark/>
          </w:tcPr>
          <w:p w14:paraId="2FA80165"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Focus on technology-driven reforms, ecosystem collaboration, and a health realization economy</w:t>
            </w:r>
          </w:p>
        </w:tc>
        <w:tc>
          <w:tcPr>
            <w:tcW w:w="433" w:type="pct"/>
            <w:shd w:val="clear" w:color="auto" w:fill="auto"/>
            <w:vAlign w:val="center"/>
            <w:hideMark/>
          </w:tcPr>
          <w:p w14:paraId="5B4A4D2A"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Limited research on infrastructure and workforce, need for further studies on assessment of transfo</w:t>
            </w:r>
            <w:r w:rsidRPr="00525FBB">
              <w:rPr>
                <w:rFonts w:asciiTheme="majorBidi" w:eastAsia="Times New Roman" w:hAnsiTheme="majorBidi" w:cstheme="majorBidi"/>
                <w:color w:val="000000"/>
                <w:kern w:val="0"/>
                <w:sz w:val="24"/>
                <w:szCs w:val="24"/>
                <w14:ligatures w14:val="none"/>
              </w:rPr>
              <w:lastRenderedPageBreak/>
              <w:t>rmation efforts</w:t>
            </w:r>
          </w:p>
        </w:tc>
        <w:tc>
          <w:tcPr>
            <w:tcW w:w="433" w:type="pct"/>
            <w:shd w:val="clear" w:color="auto" w:fill="auto"/>
            <w:vAlign w:val="center"/>
            <w:hideMark/>
          </w:tcPr>
          <w:p w14:paraId="4C7F3D6B"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 xml:space="preserve">Emphasizes the need for sustainable healthcare transformation using technology and value-based </w:t>
            </w:r>
            <w:r w:rsidRPr="00525FBB">
              <w:rPr>
                <w:rFonts w:asciiTheme="majorBidi" w:eastAsia="Times New Roman" w:hAnsiTheme="majorBidi" w:cstheme="majorBidi"/>
                <w:color w:val="000000"/>
                <w:kern w:val="0"/>
                <w:sz w:val="24"/>
                <w:szCs w:val="24"/>
                <w14:ligatures w14:val="none"/>
              </w:rPr>
              <w:lastRenderedPageBreak/>
              <w:t>models</w:t>
            </w:r>
          </w:p>
        </w:tc>
      </w:tr>
      <w:tr w:rsidR="00525FBB" w:rsidRPr="00525FBB" w14:paraId="42360957" w14:textId="77777777" w:rsidTr="006C25DC">
        <w:trPr>
          <w:trHeight w:val="20"/>
        </w:trPr>
        <w:tc>
          <w:tcPr>
            <w:tcW w:w="527" w:type="pct"/>
            <w:shd w:val="clear" w:color="auto" w:fill="auto"/>
            <w:vAlign w:val="center"/>
            <w:hideMark/>
          </w:tcPr>
          <w:p w14:paraId="3F7B89C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proofErr w:type="spellStart"/>
            <w:r w:rsidRPr="00525FBB">
              <w:rPr>
                <w:rFonts w:asciiTheme="majorBidi" w:eastAsia="Times New Roman" w:hAnsiTheme="majorBidi" w:cstheme="majorBidi"/>
                <w:color w:val="000000"/>
                <w:kern w:val="0"/>
                <w:sz w:val="24"/>
                <w:szCs w:val="24"/>
                <w14:ligatures w14:val="none"/>
              </w:rPr>
              <w:lastRenderedPageBreak/>
              <w:t>Alkhurayji</w:t>
            </w:r>
            <w:proofErr w:type="spellEnd"/>
            <w:r w:rsidRPr="00525FBB">
              <w:rPr>
                <w:rFonts w:asciiTheme="majorBidi" w:eastAsia="Times New Roman" w:hAnsiTheme="majorBidi" w:cstheme="majorBidi"/>
                <w:color w:val="000000"/>
                <w:kern w:val="0"/>
                <w:sz w:val="24"/>
                <w:szCs w:val="24"/>
                <w14:ligatures w14:val="none"/>
              </w:rPr>
              <w:t xml:space="preserve"> et al</w:t>
            </w:r>
          </w:p>
          <w:p w14:paraId="01624ED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2024</w:t>
            </w:r>
          </w:p>
          <w:p w14:paraId="3377985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p w14:paraId="0E1C6D0C"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 xml:space="preserve">Eastern Region, Riyadh, </w:t>
            </w:r>
            <w:proofErr w:type="spellStart"/>
            <w:r w:rsidRPr="00525FBB">
              <w:rPr>
                <w:rFonts w:asciiTheme="majorBidi" w:eastAsia="Times New Roman" w:hAnsiTheme="majorBidi" w:cstheme="majorBidi"/>
                <w:color w:val="000000"/>
                <w:kern w:val="0"/>
                <w:sz w:val="24"/>
                <w:szCs w:val="24"/>
                <w14:ligatures w14:val="none"/>
              </w:rPr>
              <w:t>Qassim</w:t>
            </w:r>
            <w:proofErr w:type="spellEnd"/>
            <w:r w:rsidRPr="00525FBB">
              <w:rPr>
                <w:rFonts w:asciiTheme="majorBidi" w:eastAsia="Times New Roman" w:hAnsiTheme="majorBidi" w:cstheme="majorBidi"/>
                <w:color w:val="000000"/>
                <w:kern w:val="0"/>
                <w:sz w:val="24"/>
                <w:szCs w:val="24"/>
                <w14:ligatures w14:val="none"/>
              </w:rPr>
              <w:t>, Makkah</w:t>
            </w:r>
          </w:p>
        </w:tc>
        <w:tc>
          <w:tcPr>
            <w:tcW w:w="578" w:type="pct"/>
            <w:shd w:val="clear" w:color="auto" w:fill="auto"/>
            <w:vAlign w:val="center"/>
            <w:hideMark/>
          </w:tcPr>
          <w:p w14:paraId="739014C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National Transformation Program (NTP) in Saudi Arabia</w:t>
            </w:r>
          </w:p>
        </w:tc>
        <w:tc>
          <w:tcPr>
            <w:tcW w:w="433" w:type="pct"/>
            <w:shd w:val="clear" w:color="auto" w:fill="auto"/>
            <w:vAlign w:val="center"/>
            <w:hideMark/>
          </w:tcPr>
          <w:p w14:paraId="7978F276"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Value Transformation Framework, systematic literature review, PRISMA criteria</w:t>
            </w:r>
          </w:p>
        </w:tc>
        <w:tc>
          <w:tcPr>
            <w:tcW w:w="433" w:type="pct"/>
            <w:shd w:val="clear" w:color="auto" w:fill="auto"/>
            <w:vAlign w:val="center"/>
            <w:hideMark/>
          </w:tcPr>
          <w:p w14:paraId="2FFA7FE5"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Sustainability of healthcare services, workforce issues, geographic distribution of resources, integration of reforms</w:t>
            </w:r>
          </w:p>
        </w:tc>
        <w:tc>
          <w:tcPr>
            <w:tcW w:w="433" w:type="pct"/>
            <w:shd w:val="clear" w:color="auto" w:fill="auto"/>
            <w:vAlign w:val="center"/>
            <w:hideMark/>
          </w:tcPr>
          <w:p w14:paraId="380944B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Digital transformation, public-private partnerships, adoption of value-based healthcare models</w:t>
            </w:r>
          </w:p>
        </w:tc>
        <w:tc>
          <w:tcPr>
            <w:tcW w:w="433" w:type="pct"/>
            <w:shd w:val="clear" w:color="auto" w:fill="auto"/>
            <w:vAlign w:val="center"/>
            <w:hideMark/>
          </w:tcPr>
          <w:p w14:paraId="569EEA9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Improved workforce training, digital healthcare solutions, ongoing assessment of healthcare reforms</w:t>
            </w:r>
          </w:p>
        </w:tc>
        <w:tc>
          <w:tcPr>
            <w:tcW w:w="433" w:type="pct"/>
            <w:shd w:val="clear" w:color="auto" w:fill="auto"/>
            <w:vAlign w:val="center"/>
            <w:hideMark/>
          </w:tcPr>
          <w:p w14:paraId="299B6EB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 xml:space="preserve">PubMed, Web of Science, </w:t>
            </w:r>
            <w:proofErr w:type="spellStart"/>
            <w:r w:rsidRPr="00525FBB">
              <w:rPr>
                <w:rFonts w:asciiTheme="majorBidi" w:eastAsia="Times New Roman" w:hAnsiTheme="majorBidi" w:cstheme="majorBidi"/>
                <w:color w:val="000000"/>
                <w:kern w:val="0"/>
                <w:sz w:val="24"/>
                <w:szCs w:val="24"/>
                <w14:ligatures w14:val="none"/>
              </w:rPr>
              <w:t>UpToDate</w:t>
            </w:r>
            <w:proofErr w:type="spellEnd"/>
            <w:r w:rsidRPr="00525FBB">
              <w:rPr>
                <w:rFonts w:asciiTheme="majorBidi" w:eastAsia="Times New Roman" w:hAnsiTheme="majorBidi" w:cstheme="majorBidi"/>
                <w:color w:val="000000"/>
                <w:kern w:val="0"/>
                <w:sz w:val="24"/>
                <w:szCs w:val="24"/>
                <w14:ligatures w14:val="none"/>
              </w:rPr>
              <w:t>, Google Scholar, Summon, using Boolean search strategy and PRISMA methodology</w:t>
            </w:r>
          </w:p>
        </w:tc>
        <w:tc>
          <w:tcPr>
            <w:tcW w:w="433" w:type="pct"/>
            <w:shd w:val="clear" w:color="auto" w:fill="auto"/>
            <w:vAlign w:val="center"/>
            <w:hideMark/>
          </w:tcPr>
          <w:p w14:paraId="4AF3289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The NTP faces significant risks, but with correct tracking and measurement, it has the potential to meet Saudi healthcare goals</w:t>
            </w:r>
          </w:p>
        </w:tc>
        <w:tc>
          <w:tcPr>
            <w:tcW w:w="433" w:type="pct"/>
            <w:shd w:val="clear" w:color="auto" w:fill="auto"/>
            <w:vAlign w:val="center"/>
            <w:hideMark/>
          </w:tcPr>
          <w:p w14:paraId="6D69E97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Need for focused research on workforce sustainability, infrastructure improvement, and health system integration</w:t>
            </w:r>
          </w:p>
        </w:tc>
        <w:tc>
          <w:tcPr>
            <w:tcW w:w="433" w:type="pct"/>
            <w:shd w:val="clear" w:color="auto" w:fill="auto"/>
            <w:vAlign w:val="center"/>
            <w:hideMark/>
          </w:tcPr>
          <w:p w14:paraId="132EAA04"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Lack of studies on assessing the NTP's impact, insufficient focus on people and infrastructure dimensions</w:t>
            </w:r>
          </w:p>
        </w:tc>
        <w:tc>
          <w:tcPr>
            <w:tcW w:w="433" w:type="pct"/>
            <w:shd w:val="clear" w:color="auto" w:fill="auto"/>
            <w:vAlign w:val="center"/>
            <w:hideMark/>
          </w:tcPr>
          <w:p w14:paraId="003D140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Emphasizes the importance of monitoring, measuring, and adjusting the NTP's healthcare reforms for long-term success</w:t>
            </w:r>
          </w:p>
        </w:tc>
      </w:tr>
      <w:tr w:rsidR="00525FBB" w:rsidRPr="00525FBB" w14:paraId="4DDB06EA" w14:textId="77777777" w:rsidTr="006C25DC">
        <w:trPr>
          <w:trHeight w:val="20"/>
        </w:trPr>
        <w:tc>
          <w:tcPr>
            <w:tcW w:w="527" w:type="pct"/>
            <w:shd w:val="clear" w:color="auto" w:fill="auto"/>
            <w:vAlign w:val="center"/>
            <w:hideMark/>
          </w:tcPr>
          <w:p w14:paraId="2E111C4F"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proofErr w:type="spellStart"/>
            <w:r w:rsidRPr="00525FBB">
              <w:rPr>
                <w:rFonts w:asciiTheme="majorBidi" w:eastAsia="Times New Roman" w:hAnsiTheme="majorBidi" w:cstheme="majorBidi"/>
                <w:color w:val="000000"/>
                <w:kern w:val="0"/>
                <w:sz w:val="24"/>
                <w:szCs w:val="24"/>
                <w14:ligatures w14:val="none"/>
              </w:rPr>
              <w:t>Khashan</w:t>
            </w:r>
            <w:proofErr w:type="spellEnd"/>
            <w:r w:rsidRPr="00525FBB">
              <w:rPr>
                <w:rFonts w:asciiTheme="majorBidi" w:eastAsia="Times New Roman" w:hAnsiTheme="majorBidi" w:cstheme="majorBidi"/>
                <w:color w:val="000000"/>
                <w:kern w:val="0"/>
                <w:sz w:val="24"/>
                <w:szCs w:val="24"/>
                <w14:ligatures w14:val="none"/>
              </w:rPr>
              <w:t>,  et al</w:t>
            </w:r>
          </w:p>
          <w:p w14:paraId="6177D26C"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2021</w:t>
            </w:r>
          </w:p>
          <w:p w14:paraId="4CD05D4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tc>
        <w:tc>
          <w:tcPr>
            <w:tcW w:w="578" w:type="pct"/>
            <w:shd w:val="clear" w:color="auto" w:fill="auto"/>
            <w:vAlign w:val="center"/>
            <w:hideMark/>
          </w:tcPr>
          <w:p w14:paraId="7096BFFC"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Primary Health Care (PHC) Reform under Vision 2030</w:t>
            </w:r>
          </w:p>
        </w:tc>
        <w:tc>
          <w:tcPr>
            <w:tcW w:w="433" w:type="pct"/>
            <w:shd w:val="clear" w:color="auto" w:fill="auto"/>
            <w:vAlign w:val="center"/>
            <w:hideMark/>
          </w:tcPr>
          <w:p w14:paraId="62500EEC"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Review of previous studies and governmental reports, addressing progress, challenges, and prospects</w:t>
            </w:r>
          </w:p>
        </w:tc>
        <w:tc>
          <w:tcPr>
            <w:tcW w:w="433" w:type="pct"/>
            <w:shd w:val="clear" w:color="auto" w:fill="auto"/>
            <w:vAlign w:val="center"/>
            <w:hideMark/>
          </w:tcPr>
          <w:p w14:paraId="34594EA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 xml:space="preserve">Increasing burden of </w:t>
            </w:r>
            <w:proofErr w:type="spellStart"/>
            <w:r w:rsidRPr="00525FBB">
              <w:rPr>
                <w:rFonts w:asciiTheme="majorBidi" w:eastAsia="Times New Roman" w:hAnsiTheme="majorBidi" w:cstheme="majorBidi"/>
                <w:color w:val="000000"/>
                <w:kern w:val="0"/>
                <w:sz w:val="24"/>
                <w:szCs w:val="24"/>
                <w14:ligatures w14:val="none"/>
              </w:rPr>
              <w:t>noncommunicable</w:t>
            </w:r>
            <w:proofErr w:type="spellEnd"/>
            <w:r w:rsidRPr="00525FBB">
              <w:rPr>
                <w:rFonts w:asciiTheme="majorBidi" w:eastAsia="Times New Roman" w:hAnsiTheme="majorBidi" w:cstheme="majorBidi"/>
                <w:color w:val="000000"/>
                <w:kern w:val="0"/>
                <w:sz w:val="24"/>
                <w:szCs w:val="24"/>
                <w14:ligatures w14:val="none"/>
              </w:rPr>
              <w:t xml:space="preserve"> diseases (NCDs), demographic changes, workforce shortages, inadequate </w:t>
            </w:r>
            <w:r w:rsidRPr="00525FBB">
              <w:rPr>
                <w:rFonts w:asciiTheme="majorBidi" w:eastAsia="Times New Roman" w:hAnsiTheme="majorBidi" w:cstheme="majorBidi"/>
                <w:color w:val="000000"/>
                <w:kern w:val="0"/>
                <w:sz w:val="24"/>
                <w:szCs w:val="24"/>
                <w14:ligatures w14:val="none"/>
              </w:rPr>
              <w:lastRenderedPageBreak/>
              <w:t>public trust in PHC</w:t>
            </w:r>
          </w:p>
        </w:tc>
        <w:tc>
          <w:tcPr>
            <w:tcW w:w="433" w:type="pct"/>
            <w:shd w:val="clear" w:color="auto" w:fill="auto"/>
            <w:vAlign w:val="center"/>
            <w:hideMark/>
          </w:tcPr>
          <w:p w14:paraId="612A104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Family-centered care, integration of mental health into primary care, use of technology, and improving public health education</w:t>
            </w:r>
          </w:p>
        </w:tc>
        <w:tc>
          <w:tcPr>
            <w:tcW w:w="433" w:type="pct"/>
            <w:shd w:val="clear" w:color="auto" w:fill="auto"/>
            <w:vAlign w:val="center"/>
            <w:hideMark/>
          </w:tcPr>
          <w:p w14:paraId="25BEC6C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 xml:space="preserve">Strengthening the family medicine approach, increasing primary care accessibility, improving workforce training and quality </w:t>
            </w:r>
            <w:r w:rsidRPr="00525FBB">
              <w:rPr>
                <w:rFonts w:asciiTheme="majorBidi" w:eastAsia="Times New Roman" w:hAnsiTheme="majorBidi" w:cstheme="majorBidi"/>
                <w:color w:val="000000"/>
                <w:kern w:val="0"/>
                <w:sz w:val="24"/>
                <w:szCs w:val="24"/>
                <w14:ligatures w14:val="none"/>
              </w:rPr>
              <w:lastRenderedPageBreak/>
              <w:t>standards</w:t>
            </w:r>
          </w:p>
        </w:tc>
        <w:tc>
          <w:tcPr>
            <w:tcW w:w="433" w:type="pct"/>
            <w:shd w:val="clear" w:color="auto" w:fill="auto"/>
            <w:vAlign w:val="center"/>
            <w:hideMark/>
          </w:tcPr>
          <w:p w14:paraId="22DBFA5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Government reports, previous studies, PHC reform documentation, World Health Organization (WHO) reviews</w:t>
            </w:r>
          </w:p>
        </w:tc>
        <w:tc>
          <w:tcPr>
            <w:tcW w:w="433" w:type="pct"/>
            <w:shd w:val="clear" w:color="auto" w:fill="auto"/>
            <w:vAlign w:val="center"/>
            <w:hideMark/>
          </w:tcPr>
          <w:p w14:paraId="6C1E8FE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 xml:space="preserve">PHC reform increased healthcare visits, improved satisfaction, and enhanced coverage, but challenges in workforce and </w:t>
            </w:r>
            <w:r w:rsidRPr="00525FBB">
              <w:rPr>
                <w:rFonts w:asciiTheme="majorBidi" w:eastAsia="Times New Roman" w:hAnsiTheme="majorBidi" w:cstheme="majorBidi"/>
                <w:color w:val="000000"/>
                <w:kern w:val="0"/>
                <w:sz w:val="24"/>
                <w:szCs w:val="24"/>
                <w14:ligatures w14:val="none"/>
              </w:rPr>
              <w:lastRenderedPageBreak/>
              <w:t>infrastructure persist</w:t>
            </w:r>
          </w:p>
        </w:tc>
        <w:tc>
          <w:tcPr>
            <w:tcW w:w="433" w:type="pct"/>
            <w:shd w:val="clear" w:color="auto" w:fill="auto"/>
            <w:vAlign w:val="center"/>
            <w:hideMark/>
          </w:tcPr>
          <w:p w14:paraId="6B8262C8"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Increase investment in healthcare infrastructure, strengthen the integration of NCDs into PHC, and enhance workfo</w:t>
            </w:r>
            <w:r w:rsidRPr="00525FBB">
              <w:rPr>
                <w:rFonts w:asciiTheme="majorBidi" w:eastAsia="Times New Roman" w:hAnsiTheme="majorBidi" w:cstheme="majorBidi"/>
                <w:color w:val="000000"/>
                <w:kern w:val="0"/>
                <w:sz w:val="24"/>
                <w:szCs w:val="24"/>
                <w14:ligatures w14:val="none"/>
              </w:rPr>
              <w:lastRenderedPageBreak/>
              <w:t>rce training</w:t>
            </w:r>
          </w:p>
        </w:tc>
        <w:tc>
          <w:tcPr>
            <w:tcW w:w="433" w:type="pct"/>
            <w:shd w:val="clear" w:color="auto" w:fill="auto"/>
            <w:vAlign w:val="center"/>
            <w:hideMark/>
          </w:tcPr>
          <w:p w14:paraId="04148DC4"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Challenges in workforce development, cultural barriers to care access, and underutilization of PHC services</w:t>
            </w:r>
          </w:p>
        </w:tc>
        <w:tc>
          <w:tcPr>
            <w:tcW w:w="433" w:type="pct"/>
            <w:shd w:val="clear" w:color="auto" w:fill="auto"/>
            <w:vAlign w:val="center"/>
            <w:hideMark/>
          </w:tcPr>
          <w:p w14:paraId="238F5C7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 xml:space="preserve">Key to addressing the rising burden of NCDs and improving the quality and accessibility of primary care services </w:t>
            </w:r>
            <w:r w:rsidRPr="00525FBB">
              <w:rPr>
                <w:rFonts w:asciiTheme="majorBidi" w:eastAsia="Times New Roman" w:hAnsiTheme="majorBidi" w:cstheme="majorBidi"/>
                <w:color w:val="000000"/>
                <w:kern w:val="0"/>
                <w:sz w:val="24"/>
                <w:szCs w:val="24"/>
                <w14:ligatures w14:val="none"/>
              </w:rPr>
              <w:lastRenderedPageBreak/>
              <w:t>through Vision 2030</w:t>
            </w:r>
          </w:p>
        </w:tc>
      </w:tr>
      <w:tr w:rsidR="00525FBB" w:rsidRPr="00525FBB" w14:paraId="737D31DF" w14:textId="77777777" w:rsidTr="006C25DC">
        <w:trPr>
          <w:trHeight w:val="20"/>
        </w:trPr>
        <w:tc>
          <w:tcPr>
            <w:tcW w:w="527" w:type="pct"/>
            <w:shd w:val="clear" w:color="auto" w:fill="auto"/>
            <w:vAlign w:val="center"/>
            <w:hideMark/>
          </w:tcPr>
          <w:p w14:paraId="66A515FF"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proofErr w:type="spellStart"/>
            <w:r w:rsidRPr="00525FBB">
              <w:rPr>
                <w:rFonts w:asciiTheme="majorBidi" w:eastAsia="Times New Roman" w:hAnsiTheme="majorBidi" w:cstheme="majorBidi"/>
                <w:color w:val="000000"/>
                <w:kern w:val="0"/>
                <w:sz w:val="24"/>
                <w:szCs w:val="24"/>
                <w14:ligatures w14:val="none"/>
              </w:rPr>
              <w:lastRenderedPageBreak/>
              <w:t>Alharbi</w:t>
            </w:r>
            <w:proofErr w:type="spellEnd"/>
          </w:p>
          <w:p w14:paraId="6649D36B"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2020</w:t>
            </w:r>
          </w:p>
          <w:p w14:paraId="39408C6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tc>
        <w:tc>
          <w:tcPr>
            <w:tcW w:w="578" w:type="pct"/>
            <w:shd w:val="clear" w:color="auto" w:fill="auto"/>
            <w:vAlign w:val="center"/>
            <w:hideMark/>
          </w:tcPr>
          <w:p w14:paraId="7C575821"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National Healthcare Plan under Vision 2030</w:t>
            </w:r>
          </w:p>
        </w:tc>
        <w:tc>
          <w:tcPr>
            <w:tcW w:w="433" w:type="pct"/>
            <w:shd w:val="clear" w:color="auto" w:fill="auto"/>
            <w:vAlign w:val="center"/>
            <w:hideMark/>
          </w:tcPr>
          <w:p w14:paraId="3DDCEED6"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Organizational readiness for change, review of empirical studies and documents</w:t>
            </w:r>
          </w:p>
        </w:tc>
        <w:tc>
          <w:tcPr>
            <w:tcW w:w="433" w:type="pct"/>
            <w:shd w:val="clear" w:color="auto" w:fill="auto"/>
            <w:vAlign w:val="center"/>
            <w:hideMark/>
          </w:tcPr>
          <w:p w14:paraId="5FC3638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Human resource issues, cultural barriers, infrastructure limitations, and resistance to change</w:t>
            </w:r>
          </w:p>
        </w:tc>
        <w:tc>
          <w:tcPr>
            <w:tcW w:w="433" w:type="pct"/>
            <w:shd w:val="clear" w:color="auto" w:fill="auto"/>
            <w:vAlign w:val="center"/>
            <w:hideMark/>
          </w:tcPr>
          <w:p w14:paraId="65CE1F7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Technology adoption, improved governance, better resource allocation, public-private partnerships</w:t>
            </w:r>
          </w:p>
        </w:tc>
        <w:tc>
          <w:tcPr>
            <w:tcW w:w="433" w:type="pct"/>
            <w:shd w:val="clear" w:color="auto" w:fill="auto"/>
            <w:vAlign w:val="center"/>
            <w:hideMark/>
          </w:tcPr>
          <w:p w14:paraId="2F98ED05"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Training, education, stakeholder engagement, financial incentives, and leadership commitment</w:t>
            </w:r>
          </w:p>
        </w:tc>
        <w:tc>
          <w:tcPr>
            <w:tcW w:w="433" w:type="pct"/>
            <w:shd w:val="clear" w:color="auto" w:fill="auto"/>
            <w:vAlign w:val="center"/>
            <w:hideMark/>
          </w:tcPr>
          <w:p w14:paraId="18C9B0C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Government reports, empirical studies, organizational documents, and strategic plans</w:t>
            </w:r>
          </w:p>
        </w:tc>
        <w:tc>
          <w:tcPr>
            <w:tcW w:w="433" w:type="pct"/>
            <w:shd w:val="clear" w:color="auto" w:fill="auto"/>
            <w:vAlign w:val="center"/>
            <w:hideMark/>
          </w:tcPr>
          <w:p w14:paraId="0C8FCBF1"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High readiness for change will lead to successful transformation with fewer complications</w:t>
            </w:r>
          </w:p>
        </w:tc>
        <w:tc>
          <w:tcPr>
            <w:tcW w:w="433" w:type="pct"/>
            <w:shd w:val="clear" w:color="auto" w:fill="auto"/>
            <w:vAlign w:val="center"/>
            <w:hideMark/>
          </w:tcPr>
          <w:p w14:paraId="038F8384"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Focus on human factors, workforce readiness, and financial support for change processes</w:t>
            </w:r>
          </w:p>
        </w:tc>
        <w:tc>
          <w:tcPr>
            <w:tcW w:w="433" w:type="pct"/>
            <w:shd w:val="clear" w:color="auto" w:fill="auto"/>
            <w:vAlign w:val="center"/>
            <w:hideMark/>
          </w:tcPr>
          <w:p w14:paraId="33B523D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Limited specific frameworks on organizational readiness for healthcare transformation</w:t>
            </w:r>
          </w:p>
        </w:tc>
        <w:tc>
          <w:tcPr>
            <w:tcW w:w="433" w:type="pct"/>
            <w:shd w:val="clear" w:color="auto" w:fill="auto"/>
            <w:vAlign w:val="center"/>
            <w:hideMark/>
          </w:tcPr>
          <w:p w14:paraId="472BB9A1"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Emphasizes improving healthcare governance and reducing resistance to change for successful Vision 2030 implementation</w:t>
            </w:r>
          </w:p>
        </w:tc>
      </w:tr>
      <w:tr w:rsidR="00525FBB" w:rsidRPr="00525FBB" w14:paraId="4899468B" w14:textId="77777777" w:rsidTr="006C25DC">
        <w:trPr>
          <w:trHeight w:val="20"/>
        </w:trPr>
        <w:tc>
          <w:tcPr>
            <w:tcW w:w="527" w:type="pct"/>
            <w:shd w:val="clear" w:color="auto" w:fill="auto"/>
            <w:vAlign w:val="center"/>
            <w:hideMark/>
          </w:tcPr>
          <w:p w14:paraId="24EF36CB"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proofErr w:type="spellStart"/>
            <w:r w:rsidRPr="00525FBB">
              <w:rPr>
                <w:rFonts w:asciiTheme="majorBidi" w:eastAsia="Times New Roman" w:hAnsiTheme="majorBidi" w:cstheme="majorBidi"/>
                <w:color w:val="000000"/>
                <w:kern w:val="0"/>
                <w:sz w:val="24"/>
                <w:szCs w:val="24"/>
                <w14:ligatures w14:val="none"/>
              </w:rPr>
              <w:t>Alanazi</w:t>
            </w:r>
            <w:proofErr w:type="spellEnd"/>
          </w:p>
          <w:p w14:paraId="0815CA1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2023</w:t>
            </w:r>
          </w:p>
          <w:p w14:paraId="46F76F22"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tc>
        <w:tc>
          <w:tcPr>
            <w:tcW w:w="578" w:type="pct"/>
            <w:shd w:val="clear" w:color="auto" w:fill="auto"/>
            <w:vAlign w:val="center"/>
            <w:hideMark/>
          </w:tcPr>
          <w:p w14:paraId="1D6F58D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Healthcare Transformation in Saudi Arabia, part of Vision 2030</w:t>
            </w:r>
          </w:p>
        </w:tc>
        <w:tc>
          <w:tcPr>
            <w:tcW w:w="433" w:type="pct"/>
            <w:shd w:val="clear" w:color="auto" w:fill="auto"/>
            <w:vAlign w:val="center"/>
            <w:hideMark/>
          </w:tcPr>
          <w:p w14:paraId="53AF589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Review of healthcare system transformation and critical success factors for Vision 2030</w:t>
            </w:r>
          </w:p>
        </w:tc>
        <w:tc>
          <w:tcPr>
            <w:tcW w:w="433" w:type="pct"/>
            <w:shd w:val="clear" w:color="auto" w:fill="auto"/>
            <w:vAlign w:val="center"/>
            <w:hideMark/>
          </w:tcPr>
          <w:p w14:paraId="08E66CB4"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Population growth, healthcare disparities, insufficient primary care, workforce capacity, rising non-communicable diseases</w:t>
            </w:r>
          </w:p>
        </w:tc>
        <w:tc>
          <w:tcPr>
            <w:tcW w:w="433" w:type="pct"/>
            <w:shd w:val="clear" w:color="auto" w:fill="auto"/>
            <w:vAlign w:val="center"/>
            <w:hideMark/>
          </w:tcPr>
          <w:p w14:paraId="0AE4F2AF"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Private sector involvement, e-health integration, workforce development, healthcare financing improvements</w:t>
            </w:r>
          </w:p>
        </w:tc>
        <w:tc>
          <w:tcPr>
            <w:tcW w:w="433" w:type="pct"/>
            <w:shd w:val="clear" w:color="auto" w:fill="auto"/>
            <w:vAlign w:val="center"/>
            <w:hideMark/>
          </w:tcPr>
          <w:p w14:paraId="0C3EED62"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Public-private partnerships (PPPs), e-health solutions, workforce localization, healthcare system optimization</w:t>
            </w:r>
          </w:p>
        </w:tc>
        <w:tc>
          <w:tcPr>
            <w:tcW w:w="433" w:type="pct"/>
            <w:shd w:val="clear" w:color="auto" w:fill="auto"/>
            <w:vAlign w:val="center"/>
            <w:hideMark/>
          </w:tcPr>
          <w:p w14:paraId="652578DA"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Government reports, Vision 2030 documentation, literature reviews, articles, and secondary data</w:t>
            </w:r>
          </w:p>
        </w:tc>
        <w:tc>
          <w:tcPr>
            <w:tcW w:w="433" w:type="pct"/>
            <w:shd w:val="clear" w:color="auto" w:fill="auto"/>
            <w:vAlign w:val="center"/>
            <w:hideMark/>
          </w:tcPr>
          <w:p w14:paraId="699A427F"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Substantial progress in healthcare transformation under Vision 2030, but challenges remain in workforce and infrastructure</w:t>
            </w:r>
          </w:p>
        </w:tc>
        <w:tc>
          <w:tcPr>
            <w:tcW w:w="433" w:type="pct"/>
            <w:shd w:val="clear" w:color="auto" w:fill="auto"/>
            <w:vAlign w:val="center"/>
            <w:hideMark/>
          </w:tcPr>
          <w:p w14:paraId="5DF5F34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Increase private sector participation, develop e-health systems, improve workforce training, expand healthcare access</w:t>
            </w:r>
          </w:p>
        </w:tc>
        <w:tc>
          <w:tcPr>
            <w:tcW w:w="433" w:type="pct"/>
            <w:shd w:val="clear" w:color="auto" w:fill="auto"/>
            <w:vAlign w:val="center"/>
            <w:hideMark/>
          </w:tcPr>
          <w:p w14:paraId="3F82CF46"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Limited qualitative data on privatization, implementation barriers, and workforce challenges</w:t>
            </w:r>
          </w:p>
        </w:tc>
        <w:tc>
          <w:tcPr>
            <w:tcW w:w="433" w:type="pct"/>
            <w:shd w:val="clear" w:color="auto" w:fill="auto"/>
            <w:vAlign w:val="center"/>
            <w:hideMark/>
          </w:tcPr>
          <w:p w14:paraId="18567A2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Supports a multifaceted approach to healthcare transformation, with emphasis on legislative frameworks and effective implementation</w:t>
            </w:r>
          </w:p>
        </w:tc>
      </w:tr>
      <w:tr w:rsidR="00525FBB" w:rsidRPr="00525FBB" w14:paraId="7BF6D451" w14:textId="77777777" w:rsidTr="006C25DC">
        <w:trPr>
          <w:trHeight w:val="20"/>
        </w:trPr>
        <w:tc>
          <w:tcPr>
            <w:tcW w:w="527" w:type="pct"/>
            <w:shd w:val="clear" w:color="auto" w:fill="auto"/>
            <w:vAlign w:val="center"/>
            <w:hideMark/>
          </w:tcPr>
          <w:p w14:paraId="3B341F8F"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proofErr w:type="spellStart"/>
            <w:r w:rsidRPr="00525FBB">
              <w:rPr>
                <w:rFonts w:asciiTheme="majorBidi" w:eastAsia="Times New Roman" w:hAnsiTheme="majorBidi" w:cstheme="majorBidi"/>
                <w:color w:val="000000"/>
                <w:kern w:val="0"/>
                <w:sz w:val="24"/>
                <w:szCs w:val="24"/>
                <w14:ligatures w14:val="none"/>
              </w:rPr>
              <w:lastRenderedPageBreak/>
              <w:t>Alasiri</w:t>
            </w:r>
            <w:proofErr w:type="spellEnd"/>
            <w:r w:rsidRPr="00525FBB">
              <w:rPr>
                <w:rFonts w:asciiTheme="majorBidi" w:eastAsia="Times New Roman" w:hAnsiTheme="majorBidi" w:cstheme="majorBidi"/>
                <w:color w:val="000000"/>
                <w:kern w:val="0"/>
                <w:sz w:val="24"/>
                <w:szCs w:val="24"/>
                <w14:ligatures w14:val="none"/>
              </w:rPr>
              <w:t xml:space="preserve"> et al</w:t>
            </w:r>
          </w:p>
          <w:p w14:paraId="59AB7B5A"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2022</w:t>
            </w:r>
          </w:p>
          <w:p w14:paraId="22A813B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tc>
        <w:tc>
          <w:tcPr>
            <w:tcW w:w="578" w:type="pct"/>
            <w:shd w:val="clear" w:color="auto" w:fill="auto"/>
            <w:vAlign w:val="center"/>
            <w:hideMark/>
          </w:tcPr>
          <w:p w14:paraId="2508720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Healthcare Transformation under Vision 2030</w:t>
            </w:r>
          </w:p>
        </w:tc>
        <w:tc>
          <w:tcPr>
            <w:tcW w:w="433" w:type="pct"/>
            <w:shd w:val="clear" w:color="auto" w:fill="auto"/>
            <w:vAlign w:val="center"/>
            <w:hideMark/>
          </w:tcPr>
          <w:p w14:paraId="500A37C6"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Scoping literature review, analysis of healthcare sector transformation and barriers</w:t>
            </w:r>
          </w:p>
        </w:tc>
        <w:tc>
          <w:tcPr>
            <w:tcW w:w="433" w:type="pct"/>
            <w:shd w:val="clear" w:color="auto" w:fill="auto"/>
            <w:vAlign w:val="center"/>
            <w:hideMark/>
          </w:tcPr>
          <w:p w14:paraId="330A959A"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Rising healthcare costs, privatization implementation challenges, healthcare financing, population growth, workforce shortages</w:t>
            </w:r>
          </w:p>
        </w:tc>
        <w:tc>
          <w:tcPr>
            <w:tcW w:w="433" w:type="pct"/>
            <w:shd w:val="clear" w:color="auto" w:fill="auto"/>
            <w:vAlign w:val="center"/>
            <w:hideMark/>
          </w:tcPr>
          <w:p w14:paraId="3819F34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Public-private partnerships, expansion of primary care, increase in private sector contribution, healthcare financing</w:t>
            </w:r>
          </w:p>
        </w:tc>
        <w:tc>
          <w:tcPr>
            <w:tcW w:w="433" w:type="pct"/>
            <w:shd w:val="clear" w:color="auto" w:fill="auto"/>
            <w:vAlign w:val="center"/>
            <w:hideMark/>
          </w:tcPr>
          <w:p w14:paraId="5697162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Legislation for privatization, workforce training, improved healthcare policies, PPP models</w:t>
            </w:r>
          </w:p>
        </w:tc>
        <w:tc>
          <w:tcPr>
            <w:tcW w:w="433" w:type="pct"/>
            <w:shd w:val="clear" w:color="auto" w:fill="auto"/>
            <w:vAlign w:val="center"/>
            <w:hideMark/>
          </w:tcPr>
          <w:p w14:paraId="7D39BFD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Literature reviews, government reports, secondary data, Vision 2030 official documents</w:t>
            </w:r>
          </w:p>
        </w:tc>
        <w:tc>
          <w:tcPr>
            <w:tcW w:w="433" w:type="pct"/>
            <w:shd w:val="clear" w:color="auto" w:fill="auto"/>
            <w:vAlign w:val="center"/>
            <w:hideMark/>
          </w:tcPr>
          <w:p w14:paraId="2B80931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The government has made legislative progress in healthcare transformation but faces challenges in privatization and workforce development</w:t>
            </w:r>
          </w:p>
        </w:tc>
        <w:tc>
          <w:tcPr>
            <w:tcW w:w="433" w:type="pct"/>
            <w:shd w:val="clear" w:color="auto" w:fill="auto"/>
            <w:vAlign w:val="center"/>
            <w:hideMark/>
          </w:tcPr>
          <w:p w14:paraId="7E987F72"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Focus on legislative frameworks, ensure equitable healthcare access, and improve workforce readiness for transformation</w:t>
            </w:r>
          </w:p>
        </w:tc>
        <w:tc>
          <w:tcPr>
            <w:tcW w:w="433" w:type="pct"/>
            <w:shd w:val="clear" w:color="auto" w:fill="auto"/>
            <w:vAlign w:val="center"/>
            <w:hideMark/>
          </w:tcPr>
          <w:p w14:paraId="3B5E364B"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Limited qualitative research on privatization, potential barriers to PPP implementation</w:t>
            </w:r>
          </w:p>
        </w:tc>
        <w:tc>
          <w:tcPr>
            <w:tcW w:w="433" w:type="pct"/>
            <w:shd w:val="clear" w:color="auto" w:fill="auto"/>
            <w:vAlign w:val="center"/>
            <w:hideMark/>
          </w:tcPr>
          <w:p w14:paraId="2855BB15"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The transformation must address workforce needs, infrastructure challenges, and ensure equitable healthcare access for all citizens</w:t>
            </w:r>
          </w:p>
        </w:tc>
      </w:tr>
      <w:tr w:rsidR="00525FBB" w:rsidRPr="00525FBB" w14:paraId="08111023" w14:textId="77777777" w:rsidTr="006C25DC">
        <w:trPr>
          <w:trHeight w:val="20"/>
        </w:trPr>
        <w:tc>
          <w:tcPr>
            <w:tcW w:w="527" w:type="pct"/>
            <w:shd w:val="clear" w:color="auto" w:fill="auto"/>
            <w:vAlign w:val="center"/>
            <w:hideMark/>
          </w:tcPr>
          <w:p w14:paraId="473C1066"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proofErr w:type="spellStart"/>
            <w:r w:rsidRPr="00525FBB">
              <w:rPr>
                <w:rFonts w:asciiTheme="majorBidi" w:eastAsia="Times New Roman" w:hAnsiTheme="majorBidi" w:cstheme="majorBidi"/>
                <w:color w:val="000000"/>
                <w:kern w:val="0"/>
                <w:sz w:val="24"/>
                <w:szCs w:val="24"/>
                <w14:ligatures w14:val="none"/>
              </w:rPr>
              <w:t>Yami</w:t>
            </w:r>
            <w:proofErr w:type="spellEnd"/>
            <w:r w:rsidRPr="00525FBB">
              <w:rPr>
                <w:rFonts w:asciiTheme="majorBidi" w:eastAsia="Times New Roman" w:hAnsiTheme="majorBidi" w:cstheme="majorBidi"/>
                <w:color w:val="000000"/>
                <w:kern w:val="0"/>
                <w:sz w:val="24"/>
                <w:szCs w:val="24"/>
                <w14:ligatures w14:val="none"/>
              </w:rPr>
              <w:t>, A. et al.</w:t>
            </w:r>
          </w:p>
          <w:p w14:paraId="664E055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2024</w:t>
            </w:r>
          </w:p>
          <w:p w14:paraId="5A2F2D0C"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tc>
        <w:tc>
          <w:tcPr>
            <w:tcW w:w="578" w:type="pct"/>
            <w:shd w:val="clear" w:color="auto" w:fill="auto"/>
            <w:vAlign w:val="center"/>
            <w:hideMark/>
          </w:tcPr>
          <w:p w14:paraId="5EE014C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Healthcare Delivery and Reform</w:t>
            </w:r>
          </w:p>
        </w:tc>
        <w:tc>
          <w:tcPr>
            <w:tcW w:w="433" w:type="pct"/>
            <w:shd w:val="clear" w:color="auto" w:fill="auto"/>
            <w:vAlign w:val="center"/>
            <w:hideMark/>
          </w:tcPr>
          <w:p w14:paraId="5589F3F4"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Data analysis and risk framework based on healthcare system transformation</w:t>
            </w:r>
          </w:p>
        </w:tc>
        <w:tc>
          <w:tcPr>
            <w:tcW w:w="433" w:type="pct"/>
            <w:shd w:val="clear" w:color="auto" w:fill="auto"/>
            <w:vAlign w:val="center"/>
            <w:hideMark/>
          </w:tcPr>
          <w:p w14:paraId="2860B36E"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Aging population, rising non-communicable diseases (NCDs), uneven access to healthcare</w:t>
            </w:r>
          </w:p>
        </w:tc>
        <w:tc>
          <w:tcPr>
            <w:tcW w:w="433" w:type="pct"/>
            <w:shd w:val="clear" w:color="auto" w:fill="auto"/>
            <w:vAlign w:val="center"/>
            <w:hideMark/>
          </w:tcPr>
          <w:p w14:paraId="20D049FF"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Digital health innovation, enhancing healthcare workforce capacity, improved governance models</w:t>
            </w:r>
          </w:p>
        </w:tc>
        <w:tc>
          <w:tcPr>
            <w:tcW w:w="433" w:type="pct"/>
            <w:shd w:val="clear" w:color="auto" w:fill="auto"/>
            <w:vAlign w:val="center"/>
            <w:hideMark/>
          </w:tcPr>
          <w:p w14:paraId="71B3769A"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Integration of telemedicine, improved healthcare financing, public-private sector collaboration</w:t>
            </w:r>
          </w:p>
        </w:tc>
        <w:tc>
          <w:tcPr>
            <w:tcW w:w="433" w:type="pct"/>
            <w:shd w:val="clear" w:color="auto" w:fill="auto"/>
            <w:vAlign w:val="center"/>
            <w:hideMark/>
          </w:tcPr>
          <w:p w14:paraId="0CD9F04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Government health statistics, surveys, healthcare provider assessments</w:t>
            </w:r>
          </w:p>
        </w:tc>
        <w:tc>
          <w:tcPr>
            <w:tcW w:w="433" w:type="pct"/>
            <w:shd w:val="clear" w:color="auto" w:fill="auto"/>
            <w:vAlign w:val="center"/>
            <w:hideMark/>
          </w:tcPr>
          <w:p w14:paraId="1FE390D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The healthcare system faces significant challenges but has potential for improvement through strategic reforms</w:t>
            </w:r>
          </w:p>
        </w:tc>
        <w:tc>
          <w:tcPr>
            <w:tcW w:w="433" w:type="pct"/>
            <w:shd w:val="clear" w:color="auto" w:fill="auto"/>
            <w:vAlign w:val="center"/>
            <w:hideMark/>
          </w:tcPr>
          <w:p w14:paraId="7839232E"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Expand digital infrastructure, train healthcare professionals, foster collaboration with private sector</w:t>
            </w:r>
          </w:p>
        </w:tc>
        <w:tc>
          <w:tcPr>
            <w:tcW w:w="433" w:type="pct"/>
            <w:shd w:val="clear" w:color="auto" w:fill="auto"/>
            <w:vAlign w:val="center"/>
            <w:hideMark/>
          </w:tcPr>
          <w:p w14:paraId="4307A50E"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Data gaps in workforce training and healthcare access, limited longitudinal studies</w:t>
            </w:r>
          </w:p>
        </w:tc>
        <w:tc>
          <w:tcPr>
            <w:tcW w:w="433" w:type="pct"/>
            <w:shd w:val="clear" w:color="auto" w:fill="auto"/>
            <w:vAlign w:val="center"/>
            <w:hideMark/>
          </w:tcPr>
          <w:p w14:paraId="1753E1FB"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Strong focus on building a resilient, innovative healthcare infrastructure, expanding digital health solutions</w:t>
            </w:r>
          </w:p>
        </w:tc>
      </w:tr>
      <w:tr w:rsidR="00525FBB" w:rsidRPr="00525FBB" w14:paraId="528BFDF7" w14:textId="77777777" w:rsidTr="006C25DC">
        <w:trPr>
          <w:trHeight w:val="20"/>
        </w:trPr>
        <w:tc>
          <w:tcPr>
            <w:tcW w:w="527" w:type="pct"/>
            <w:shd w:val="clear" w:color="auto" w:fill="auto"/>
            <w:vAlign w:val="center"/>
            <w:hideMark/>
          </w:tcPr>
          <w:p w14:paraId="11A4B9C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Suleiman, A. et al.</w:t>
            </w:r>
          </w:p>
          <w:p w14:paraId="7778B1F4"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2025</w:t>
            </w:r>
          </w:p>
          <w:p w14:paraId="6C4FDE9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tc>
        <w:tc>
          <w:tcPr>
            <w:tcW w:w="578" w:type="pct"/>
            <w:shd w:val="clear" w:color="auto" w:fill="auto"/>
            <w:vAlign w:val="center"/>
            <w:hideMark/>
          </w:tcPr>
          <w:p w14:paraId="4F1B37EC"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Vision 2030 Healthcare Transfor</w:t>
            </w:r>
            <w:r w:rsidRPr="00525FBB">
              <w:rPr>
                <w:rFonts w:asciiTheme="majorBidi" w:eastAsia="Times New Roman" w:hAnsiTheme="majorBidi" w:cstheme="majorBidi"/>
                <w:color w:val="000000"/>
                <w:kern w:val="0"/>
                <w:sz w:val="24"/>
                <w:szCs w:val="24"/>
                <w14:ligatures w14:val="none"/>
              </w:rPr>
              <w:lastRenderedPageBreak/>
              <w:t>mation Program</w:t>
            </w:r>
          </w:p>
        </w:tc>
        <w:tc>
          <w:tcPr>
            <w:tcW w:w="433" w:type="pct"/>
            <w:shd w:val="clear" w:color="auto" w:fill="auto"/>
            <w:vAlign w:val="center"/>
            <w:hideMark/>
          </w:tcPr>
          <w:p w14:paraId="623D3651"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 xml:space="preserve">Systematic literature review and </w:t>
            </w:r>
            <w:r w:rsidRPr="00525FBB">
              <w:rPr>
                <w:rFonts w:asciiTheme="majorBidi" w:eastAsia="Times New Roman" w:hAnsiTheme="majorBidi" w:cstheme="majorBidi"/>
                <w:color w:val="000000"/>
                <w:kern w:val="0"/>
                <w:sz w:val="24"/>
                <w:szCs w:val="24"/>
                <w14:ligatures w14:val="none"/>
              </w:rPr>
              <w:lastRenderedPageBreak/>
              <w:t>assessment of healthcare system readiness for transformation</w:t>
            </w:r>
          </w:p>
        </w:tc>
        <w:tc>
          <w:tcPr>
            <w:tcW w:w="433" w:type="pct"/>
            <w:shd w:val="clear" w:color="auto" w:fill="auto"/>
            <w:vAlign w:val="center"/>
            <w:hideMark/>
          </w:tcPr>
          <w:p w14:paraId="6159BC9B"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 xml:space="preserve">Resistance to change, infrastructure </w:t>
            </w:r>
            <w:r w:rsidRPr="00525FBB">
              <w:rPr>
                <w:rFonts w:asciiTheme="majorBidi" w:eastAsia="Times New Roman" w:hAnsiTheme="majorBidi" w:cstheme="majorBidi"/>
                <w:color w:val="000000"/>
                <w:kern w:val="0"/>
                <w:sz w:val="24"/>
                <w:szCs w:val="24"/>
                <w14:ligatures w14:val="none"/>
              </w:rPr>
              <w:lastRenderedPageBreak/>
              <w:t>limitations, financial sustainability of reforms</w:t>
            </w:r>
          </w:p>
        </w:tc>
        <w:tc>
          <w:tcPr>
            <w:tcW w:w="433" w:type="pct"/>
            <w:shd w:val="clear" w:color="auto" w:fill="auto"/>
            <w:vAlign w:val="center"/>
            <w:hideMark/>
          </w:tcPr>
          <w:p w14:paraId="4AA577D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 xml:space="preserve">Incorporation of advanced health </w:t>
            </w:r>
            <w:r w:rsidRPr="00525FBB">
              <w:rPr>
                <w:rFonts w:asciiTheme="majorBidi" w:eastAsia="Times New Roman" w:hAnsiTheme="majorBidi" w:cstheme="majorBidi"/>
                <w:color w:val="000000"/>
                <w:kern w:val="0"/>
                <w:sz w:val="24"/>
                <w:szCs w:val="24"/>
                <w14:ligatures w14:val="none"/>
              </w:rPr>
              <w:lastRenderedPageBreak/>
              <w:t>technologies, improving governance, and engaging in international collaborations</w:t>
            </w:r>
          </w:p>
        </w:tc>
        <w:tc>
          <w:tcPr>
            <w:tcW w:w="433" w:type="pct"/>
            <w:shd w:val="clear" w:color="auto" w:fill="auto"/>
            <w:vAlign w:val="center"/>
            <w:hideMark/>
          </w:tcPr>
          <w:p w14:paraId="48F2BA9C"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Strengthen the digital health infrastr</w:t>
            </w:r>
            <w:r w:rsidRPr="00525FBB">
              <w:rPr>
                <w:rFonts w:asciiTheme="majorBidi" w:eastAsia="Times New Roman" w:hAnsiTheme="majorBidi" w:cstheme="majorBidi"/>
                <w:color w:val="000000"/>
                <w:kern w:val="0"/>
                <w:sz w:val="24"/>
                <w:szCs w:val="24"/>
                <w14:ligatures w14:val="none"/>
              </w:rPr>
              <w:lastRenderedPageBreak/>
              <w:t>ucture, continuous policy evaluation, public-private sector partnerships</w:t>
            </w:r>
          </w:p>
        </w:tc>
        <w:tc>
          <w:tcPr>
            <w:tcW w:w="433" w:type="pct"/>
            <w:shd w:val="clear" w:color="auto" w:fill="auto"/>
            <w:vAlign w:val="center"/>
            <w:hideMark/>
          </w:tcPr>
          <w:p w14:paraId="22EDCE2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 xml:space="preserve">Systematic literature, government </w:t>
            </w:r>
            <w:r w:rsidRPr="00525FBB">
              <w:rPr>
                <w:rFonts w:asciiTheme="majorBidi" w:eastAsia="Times New Roman" w:hAnsiTheme="majorBidi" w:cstheme="majorBidi"/>
                <w:color w:val="000000"/>
                <w:kern w:val="0"/>
                <w:sz w:val="24"/>
                <w:szCs w:val="24"/>
                <w14:ligatures w14:val="none"/>
              </w:rPr>
              <w:lastRenderedPageBreak/>
              <w:t>publications, expert interviews</w:t>
            </w:r>
          </w:p>
        </w:tc>
        <w:tc>
          <w:tcPr>
            <w:tcW w:w="433" w:type="pct"/>
            <w:shd w:val="clear" w:color="auto" w:fill="auto"/>
            <w:vAlign w:val="center"/>
            <w:hideMark/>
          </w:tcPr>
          <w:p w14:paraId="180ACC6B"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 xml:space="preserve">Significant progress in Vision 2030 </w:t>
            </w:r>
            <w:r w:rsidRPr="00525FBB">
              <w:rPr>
                <w:rFonts w:asciiTheme="majorBidi" w:eastAsia="Times New Roman" w:hAnsiTheme="majorBidi" w:cstheme="majorBidi"/>
                <w:color w:val="000000"/>
                <w:kern w:val="0"/>
                <w:sz w:val="24"/>
                <w:szCs w:val="24"/>
                <w14:ligatures w14:val="none"/>
              </w:rPr>
              <w:lastRenderedPageBreak/>
              <w:t>healthcare goals, though financial and logistical challenges remain</w:t>
            </w:r>
          </w:p>
        </w:tc>
        <w:tc>
          <w:tcPr>
            <w:tcW w:w="433" w:type="pct"/>
            <w:shd w:val="clear" w:color="auto" w:fill="auto"/>
            <w:vAlign w:val="center"/>
            <w:hideMark/>
          </w:tcPr>
          <w:p w14:paraId="7150F052"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Strengthen human resources in healthc</w:t>
            </w:r>
            <w:r w:rsidRPr="00525FBB">
              <w:rPr>
                <w:rFonts w:asciiTheme="majorBidi" w:eastAsia="Times New Roman" w:hAnsiTheme="majorBidi" w:cstheme="majorBidi"/>
                <w:color w:val="000000"/>
                <w:kern w:val="0"/>
                <w:sz w:val="24"/>
                <w:szCs w:val="24"/>
                <w14:ligatures w14:val="none"/>
              </w:rPr>
              <w:lastRenderedPageBreak/>
              <w:t>are, improve financial sustainability, expand digital health initiatives</w:t>
            </w:r>
          </w:p>
        </w:tc>
        <w:tc>
          <w:tcPr>
            <w:tcW w:w="433" w:type="pct"/>
            <w:shd w:val="clear" w:color="auto" w:fill="auto"/>
            <w:vAlign w:val="center"/>
            <w:hideMark/>
          </w:tcPr>
          <w:p w14:paraId="4920769F"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Limited data on the long-term impact</w:t>
            </w:r>
            <w:r w:rsidRPr="00525FBB">
              <w:rPr>
                <w:rFonts w:asciiTheme="majorBidi" w:eastAsia="Times New Roman" w:hAnsiTheme="majorBidi" w:cstheme="majorBidi"/>
                <w:color w:val="000000"/>
                <w:kern w:val="0"/>
                <w:sz w:val="24"/>
                <w:szCs w:val="24"/>
                <w14:ligatures w14:val="none"/>
              </w:rPr>
              <w:lastRenderedPageBreak/>
              <w:t>s of reforms, challenges in workforce development</w:t>
            </w:r>
          </w:p>
        </w:tc>
        <w:tc>
          <w:tcPr>
            <w:tcW w:w="433" w:type="pct"/>
            <w:shd w:val="clear" w:color="auto" w:fill="auto"/>
            <w:vAlign w:val="center"/>
            <w:hideMark/>
          </w:tcPr>
          <w:p w14:paraId="7D737CE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 xml:space="preserve">Focus on sustainable healthcare </w:t>
            </w:r>
            <w:r w:rsidRPr="00525FBB">
              <w:rPr>
                <w:rFonts w:asciiTheme="majorBidi" w:eastAsia="Times New Roman" w:hAnsiTheme="majorBidi" w:cstheme="majorBidi"/>
                <w:color w:val="000000"/>
                <w:kern w:val="0"/>
                <w:sz w:val="24"/>
                <w:szCs w:val="24"/>
                <w14:ligatures w14:val="none"/>
              </w:rPr>
              <w:lastRenderedPageBreak/>
              <w:t>models that integrate both technological innovation and skilled workforce expansion</w:t>
            </w:r>
          </w:p>
        </w:tc>
      </w:tr>
      <w:tr w:rsidR="00525FBB" w:rsidRPr="00525FBB" w14:paraId="37E80008" w14:textId="77777777" w:rsidTr="006C25DC">
        <w:trPr>
          <w:trHeight w:val="20"/>
        </w:trPr>
        <w:tc>
          <w:tcPr>
            <w:tcW w:w="527" w:type="pct"/>
            <w:shd w:val="clear" w:color="auto" w:fill="auto"/>
            <w:vAlign w:val="center"/>
            <w:hideMark/>
          </w:tcPr>
          <w:p w14:paraId="5F9AC85E"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Yousef, M. et al.</w:t>
            </w:r>
          </w:p>
          <w:p w14:paraId="50059D9B"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2023</w:t>
            </w:r>
          </w:p>
          <w:p w14:paraId="027C2CE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p w14:paraId="70D2B151"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Eastern Region, Riyadh, Southern Regions</w:t>
            </w:r>
          </w:p>
        </w:tc>
        <w:tc>
          <w:tcPr>
            <w:tcW w:w="578" w:type="pct"/>
            <w:shd w:val="clear" w:color="auto" w:fill="auto"/>
            <w:vAlign w:val="center"/>
            <w:hideMark/>
          </w:tcPr>
          <w:p w14:paraId="5DE95AC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Model of Care (</w:t>
            </w:r>
            <w:proofErr w:type="spellStart"/>
            <w:r w:rsidRPr="00525FBB">
              <w:rPr>
                <w:rFonts w:asciiTheme="majorBidi" w:eastAsia="Times New Roman" w:hAnsiTheme="majorBidi" w:cstheme="majorBidi"/>
                <w:color w:val="000000"/>
                <w:kern w:val="0"/>
                <w:sz w:val="24"/>
                <w:szCs w:val="24"/>
                <w14:ligatures w14:val="none"/>
              </w:rPr>
              <w:t>MoC</w:t>
            </w:r>
            <w:proofErr w:type="spellEnd"/>
            <w:r w:rsidRPr="00525FBB">
              <w:rPr>
                <w:rFonts w:asciiTheme="majorBidi" w:eastAsia="Times New Roman" w:hAnsiTheme="majorBidi" w:cstheme="majorBidi"/>
                <w:color w:val="000000"/>
                <w:kern w:val="0"/>
                <w:sz w:val="24"/>
                <w:szCs w:val="24"/>
                <w14:ligatures w14:val="none"/>
              </w:rPr>
              <w:t>) in healthcare reform</w:t>
            </w:r>
          </w:p>
        </w:tc>
        <w:tc>
          <w:tcPr>
            <w:tcW w:w="433" w:type="pct"/>
            <w:shd w:val="clear" w:color="auto" w:fill="auto"/>
            <w:vAlign w:val="center"/>
            <w:hideMark/>
          </w:tcPr>
          <w:p w14:paraId="5C4B5EE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Assessment based on healthcare cluster pilots and risk of integration issues across regions</w:t>
            </w:r>
          </w:p>
        </w:tc>
        <w:tc>
          <w:tcPr>
            <w:tcW w:w="433" w:type="pct"/>
            <w:shd w:val="clear" w:color="auto" w:fill="auto"/>
            <w:vAlign w:val="center"/>
            <w:hideMark/>
          </w:tcPr>
          <w:p w14:paraId="52858882"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Lack of integration, workforce burnout, low buy-in from healthcare professionals, insufficient change management</w:t>
            </w:r>
          </w:p>
        </w:tc>
        <w:tc>
          <w:tcPr>
            <w:tcW w:w="433" w:type="pct"/>
            <w:shd w:val="clear" w:color="auto" w:fill="auto"/>
            <w:vAlign w:val="center"/>
            <w:hideMark/>
          </w:tcPr>
          <w:p w14:paraId="67D2B7F8"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Patient-centered care, health coaching programs, digital health data management</w:t>
            </w:r>
          </w:p>
        </w:tc>
        <w:tc>
          <w:tcPr>
            <w:tcW w:w="433" w:type="pct"/>
            <w:shd w:val="clear" w:color="auto" w:fill="auto"/>
            <w:vAlign w:val="center"/>
            <w:hideMark/>
          </w:tcPr>
          <w:p w14:paraId="19E88FA5"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Developing change management strategies, improving workforce engagement, training for new care models</w:t>
            </w:r>
          </w:p>
        </w:tc>
        <w:tc>
          <w:tcPr>
            <w:tcW w:w="433" w:type="pct"/>
            <w:shd w:val="clear" w:color="auto" w:fill="auto"/>
            <w:vAlign w:val="center"/>
            <w:hideMark/>
          </w:tcPr>
          <w:p w14:paraId="09DB6BA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Cluster data, patient feedback, healthcare provider surveys</w:t>
            </w:r>
          </w:p>
        </w:tc>
        <w:tc>
          <w:tcPr>
            <w:tcW w:w="433" w:type="pct"/>
            <w:shd w:val="clear" w:color="auto" w:fill="auto"/>
            <w:vAlign w:val="center"/>
            <w:hideMark/>
          </w:tcPr>
          <w:p w14:paraId="41BDE725"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 xml:space="preserve">Initial success in the </w:t>
            </w:r>
            <w:proofErr w:type="spellStart"/>
            <w:r w:rsidRPr="00525FBB">
              <w:rPr>
                <w:rFonts w:asciiTheme="majorBidi" w:eastAsia="Times New Roman" w:hAnsiTheme="majorBidi" w:cstheme="majorBidi"/>
                <w:color w:val="000000"/>
                <w:kern w:val="0"/>
                <w:sz w:val="24"/>
                <w:szCs w:val="24"/>
                <w14:ligatures w14:val="none"/>
              </w:rPr>
              <w:t>MoC</w:t>
            </w:r>
            <w:proofErr w:type="spellEnd"/>
            <w:r w:rsidRPr="00525FBB">
              <w:rPr>
                <w:rFonts w:asciiTheme="majorBidi" w:eastAsia="Times New Roman" w:hAnsiTheme="majorBidi" w:cstheme="majorBidi"/>
                <w:color w:val="000000"/>
                <w:kern w:val="0"/>
                <w:sz w:val="24"/>
                <w:szCs w:val="24"/>
                <w14:ligatures w14:val="none"/>
              </w:rPr>
              <w:t xml:space="preserve"> pilot programs, but challenges in full-scale implementation remain</w:t>
            </w:r>
          </w:p>
        </w:tc>
        <w:tc>
          <w:tcPr>
            <w:tcW w:w="433" w:type="pct"/>
            <w:shd w:val="clear" w:color="auto" w:fill="auto"/>
            <w:vAlign w:val="center"/>
            <w:hideMark/>
          </w:tcPr>
          <w:p w14:paraId="2D594B7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Focus on leadership commitment, enhance workforce readiness, strengthen change management systems</w:t>
            </w:r>
          </w:p>
        </w:tc>
        <w:tc>
          <w:tcPr>
            <w:tcW w:w="433" w:type="pct"/>
            <w:shd w:val="clear" w:color="auto" w:fill="auto"/>
            <w:vAlign w:val="center"/>
            <w:hideMark/>
          </w:tcPr>
          <w:p w14:paraId="55B1B41B"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Lack of awareness campaigns, inconsistent stakeholder engagement, limited strategic planning</w:t>
            </w:r>
          </w:p>
        </w:tc>
        <w:tc>
          <w:tcPr>
            <w:tcW w:w="433" w:type="pct"/>
            <w:shd w:val="clear" w:color="auto" w:fill="auto"/>
            <w:vAlign w:val="center"/>
            <w:hideMark/>
          </w:tcPr>
          <w:p w14:paraId="1D574468"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proofErr w:type="spellStart"/>
            <w:r w:rsidRPr="00525FBB">
              <w:rPr>
                <w:rFonts w:asciiTheme="majorBidi" w:eastAsia="Times New Roman" w:hAnsiTheme="majorBidi" w:cstheme="majorBidi"/>
                <w:color w:val="000000"/>
                <w:kern w:val="0"/>
                <w:sz w:val="24"/>
                <w:szCs w:val="24"/>
                <w14:ligatures w14:val="none"/>
              </w:rPr>
              <w:t>MoC</w:t>
            </w:r>
            <w:proofErr w:type="spellEnd"/>
            <w:r w:rsidRPr="00525FBB">
              <w:rPr>
                <w:rFonts w:asciiTheme="majorBidi" w:eastAsia="Times New Roman" w:hAnsiTheme="majorBidi" w:cstheme="majorBidi"/>
                <w:color w:val="000000"/>
                <w:kern w:val="0"/>
                <w:sz w:val="24"/>
                <w:szCs w:val="24"/>
                <w14:ligatures w14:val="none"/>
              </w:rPr>
              <w:t xml:space="preserve"> can help transform Saudi healthcare by addressing chronic diseases and improving overall care outcomes</w:t>
            </w:r>
          </w:p>
        </w:tc>
      </w:tr>
      <w:tr w:rsidR="00525FBB" w:rsidRPr="00525FBB" w14:paraId="377FEE9F" w14:textId="77777777" w:rsidTr="006C25DC">
        <w:trPr>
          <w:trHeight w:val="20"/>
        </w:trPr>
        <w:tc>
          <w:tcPr>
            <w:tcW w:w="527" w:type="pct"/>
            <w:shd w:val="clear" w:color="auto" w:fill="auto"/>
            <w:vAlign w:val="center"/>
            <w:hideMark/>
          </w:tcPr>
          <w:p w14:paraId="5A55F9D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proofErr w:type="spellStart"/>
            <w:r w:rsidRPr="00525FBB">
              <w:rPr>
                <w:rFonts w:asciiTheme="majorBidi" w:eastAsia="Times New Roman" w:hAnsiTheme="majorBidi" w:cstheme="majorBidi"/>
                <w:color w:val="000000"/>
                <w:kern w:val="0"/>
                <w:sz w:val="24"/>
                <w:szCs w:val="24"/>
                <w14:ligatures w14:val="none"/>
              </w:rPr>
              <w:t>Zakaria</w:t>
            </w:r>
            <w:proofErr w:type="spellEnd"/>
            <w:r w:rsidRPr="00525FBB">
              <w:rPr>
                <w:rFonts w:asciiTheme="majorBidi" w:eastAsia="Times New Roman" w:hAnsiTheme="majorBidi" w:cstheme="majorBidi"/>
                <w:color w:val="000000"/>
                <w:kern w:val="0"/>
                <w:sz w:val="24"/>
                <w:szCs w:val="24"/>
                <w14:ligatures w14:val="none"/>
              </w:rPr>
              <w:t xml:space="preserve"> A. Mani, Krzysztof </w:t>
            </w:r>
            <w:proofErr w:type="spellStart"/>
            <w:r w:rsidRPr="00525FBB">
              <w:rPr>
                <w:rFonts w:asciiTheme="majorBidi" w:eastAsia="Times New Roman" w:hAnsiTheme="majorBidi" w:cstheme="majorBidi"/>
                <w:color w:val="000000"/>
                <w:kern w:val="0"/>
                <w:sz w:val="24"/>
                <w:szCs w:val="24"/>
                <w14:ligatures w14:val="none"/>
              </w:rPr>
              <w:t>Goniewicz</w:t>
            </w:r>
            <w:proofErr w:type="spellEnd"/>
          </w:p>
          <w:p w14:paraId="2F5F6DA6"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2024</w:t>
            </w:r>
          </w:p>
          <w:p w14:paraId="7AFE556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tc>
        <w:tc>
          <w:tcPr>
            <w:tcW w:w="578" w:type="pct"/>
            <w:shd w:val="clear" w:color="auto" w:fill="auto"/>
            <w:vAlign w:val="center"/>
            <w:hideMark/>
          </w:tcPr>
          <w:p w14:paraId="0A1EC03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Healthcare transformation under Vision 2030</w:t>
            </w:r>
          </w:p>
        </w:tc>
        <w:tc>
          <w:tcPr>
            <w:tcW w:w="433" w:type="pct"/>
            <w:shd w:val="clear" w:color="auto" w:fill="auto"/>
            <w:vAlign w:val="center"/>
            <w:hideMark/>
          </w:tcPr>
          <w:p w14:paraId="58C18EA5"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Structured framework for evaluating Vision 2030’s impact on healthcare transfo</w:t>
            </w:r>
            <w:r w:rsidRPr="00525FBB">
              <w:rPr>
                <w:rFonts w:asciiTheme="majorBidi" w:eastAsia="Times New Roman" w:hAnsiTheme="majorBidi" w:cstheme="majorBidi"/>
                <w:color w:val="000000"/>
                <w:kern w:val="0"/>
                <w:sz w:val="24"/>
                <w:szCs w:val="24"/>
                <w14:ligatures w14:val="none"/>
              </w:rPr>
              <w:lastRenderedPageBreak/>
              <w:t>rmation</w:t>
            </w:r>
          </w:p>
        </w:tc>
        <w:tc>
          <w:tcPr>
            <w:tcW w:w="433" w:type="pct"/>
            <w:shd w:val="clear" w:color="auto" w:fill="auto"/>
            <w:vAlign w:val="center"/>
            <w:hideMark/>
          </w:tcPr>
          <w:p w14:paraId="148A296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 xml:space="preserve">Healthcare infrastructure, workforce capacity, geographical disparities, quality of care, </w:t>
            </w:r>
            <w:r w:rsidRPr="00525FBB">
              <w:rPr>
                <w:rFonts w:asciiTheme="majorBidi" w:eastAsia="Times New Roman" w:hAnsiTheme="majorBidi" w:cstheme="majorBidi"/>
                <w:color w:val="000000"/>
                <w:kern w:val="0"/>
                <w:sz w:val="24"/>
                <w:szCs w:val="24"/>
                <w14:ligatures w14:val="none"/>
              </w:rPr>
              <w:lastRenderedPageBreak/>
              <w:t>and financing</w:t>
            </w:r>
          </w:p>
        </w:tc>
        <w:tc>
          <w:tcPr>
            <w:tcW w:w="433" w:type="pct"/>
            <w:shd w:val="clear" w:color="auto" w:fill="auto"/>
            <w:vAlign w:val="center"/>
            <w:hideMark/>
          </w:tcPr>
          <w:p w14:paraId="13634FFA"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Digital health, public-private partnerships, workforce development, improved quality of care</w:t>
            </w:r>
          </w:p>
        </w:tc>
        <w:tc>
          <w:tcPr>
            <w:tcW w:w="433" w:type="pct"/>
            <w:shd w:val="clear" w:color="auto" w:fill="auto"/>
            <w:vAlign w:val="center"/>
            <w:hideMark/>
          </w:tcPr>
          <w:p w14:paraId="63FFF17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 xml:space="preserve">Integration of technology, improving governance, public health initiatives, workforce </w:t>
            </w:r>
            <w:r w:rsidRPr="00525FBB">
              <w:rPr>
                <w:rFonts w:asciiTheme="majorBidi" w:eastAsia="Times New Roman" w:hAnsiTheme="majorBidi" w:cstheme="majorBidi"/>
                <w:color w:val="000000"/>
                <w:kern w:val="0"/>
                <w:sz w:val="24"/>
                <w:szCs w:val="24"/>
                <w14:ligatures w14:val="none"/>
              </w:rPr>
              <w:lastRenderedPageBreak/>
              <w:t>education</w:t>
            </w:r>
          </w:p>
        </w:tc>
        <w:tc>
          <w:tcPr>
            <w:tcW w:w="433" w:type="pct"/>
            <w:shd w:val="clear" w:color="auto" w:fill="auto"/>
            <w:vAlign w:val="center"/>
            <w:hideMark/>
          </w:tcPr>
          <w:p w14:paraId="6CDEBB7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Government reports, literature reviews, healthcare provider assessments</w:t>
            </w:r>
          </w:p>
        </w:tc>
        <w:tc>
          <w:tcPr>
            <w:tcW w:w="433" w:type="pct"/>
            <w:shd w:val="clear" w:color="auto" w:fill="auto"/>
            <w:vAlign w:val="center"/>
            <w:hideMark/>
          </w:tcPr>
          <w:p w14:paraId="37CBAE2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Significant progress toward healthcare transformation, but challenges remain in workfo</w:t>
            </w:r>
            <w:r w:rsidRPr="00525FBB">
              <w:rPr>
                <w:rFonts w:asciiTheme="majorBidi" w:eastAsia="Times New Roman" w:hAnsiTheme="majorBidi" w:cstheme="majorBidi"/>
                <w:color w:val="000000"/>
                <w:kern w:val="0"/>
                <w:sz w:val="24"/>
                <w:szCs w:val="24"/>
                <w14:ligatures w14:val="none"/>
              </w:rPr>
              <w:lastRenderedPageBreak/>
              <w:t>rce and infrastructure</w:t>
            </w:r>
          </w:p>
        </w:tc>
        <w:tc>
          <w:tcPr>
            <w:tcW w:w="433" w:type="pct"/>
            <w:shd w:val="clear" w:color="auto" w:fill="auto"/>
            <w:vAlign w:val="center"/>
            <w:hideMark/>
          </w:tcPr>
          <w:p w14:paraId="1BE434C8"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 xml:space="preserve">Strengthen public-private partnerships, enhance workforce training, expand digital health </w:t>
            </w:r>
            <w:r w:rsidRPr="00525FBB">
              <w:rPr>
                <w:rFonts w:asciiTheme="majorBidi" w:eastAsia="Times New Roman" w:hAnsiTheme="majorBidi" w:cstheme="majorBidi"/>
                <w:color w:val="000000"/>
                <w:kern w:val="0"/>
                <w:sz w:val="24"/>
                <w:szCs w:val="24"/>
                <w14:ligatures w14:val="none"/>
              </w:rPr>
              <w:lastRenderedPageBreak/>
              <w:t>infrastructure</w:t>
            </w:r>
          </w:p>
        </w:tc>
        <w:tc>
          <w:tcPr>
            <w:tcW w:w="433" w:type="pct"/>
            <w:shd w:val="clear" w:color="auto" w:fill="auto"/>
            <w:vAlign w:val="center"/>
            <w:hideMark/>
          </w:tcPr>
          <w:p w14:paraId="1CC99BC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Insufficient longitudinal studies on long-term impacts of reforms, data gaps in some areas</w:t>
            </w:r>
          </w:p>
        </w:tc>
        <w:tc>
          <w:tcPr>
            <w:tcW w:w="433" w:type="pct"/>
            <w:shd w:val="clear" w:color="auto" w:fill="auto"/>
            <w:vAlign w:val="center"/>
            <w:hideMark/>
          </w:tcPr>
          <w:p w14:paraId="7D68C5F9"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 xml:space="preserve">Focus on building digital health infrastructure and expanding workforce training for </w:t>
            </w:r>
            <w:r w:rsidRPr="00525FBB">
              <w:rPr>
                <w:rFonts w:asciiTheme="majorBidi" w:eastAsia="Times New Roman" w:hAnsiTheme="majorBidi" w:cstheme="majorBidi"/>
                <w:color w:val="000000"/>
                <w:kern w:val="0"/>
                <w:sz w:val="24"/>
                <w:szCs w:val="24"/>
                <w14:ligatures w14:val="none"/>
              </w:rPr>
              <w:lastRenderedPageBreak/>
              <w:t>sustainable healthcare reform</w:t>
            </w:r>
          </w:p>
        </w:tc>
      </w:tr>
      <w:tr w:rsidR="00525FBB" w:rsidRPr="00525FBB" w14:paraId="795AA46C" w14:textId="77777777" w:rsidTr="006C25DC">
        <w:trPr>
          <w:trHeight w:val="20"/>
        </w:trPr>
        <w:tc>
          <w:tcPr>
            <w:tcW w:w="527" w:type="pct"/>
            <w:shd w:val="clear" w:color="auto" w:fill="auto"/>
            <w:vAlign w:val="center"/>
            <w:hideMark/>
          </w:tcPr>
          <w:p w14:paraId="41F22BB1"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lastRenderedPageBreak/>
              <w:t>Riley et al</w:t>
            </w:r>
          </w:p>
          <w:p w14:paraId="02830EA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2023</w:t>
            </w:r>
          </w:p>
          <w:p w14:paraId="78D5DEFA"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p w14:paraId="3FD81382"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 xml:space="preserve">Eastern Region, Riyadh, </w:t>
            </w:r>
            <w:proofErr w:type="spellStart"/>
            <w:r w:rsidRPr="00525FBB">
              <w:rPr>
                <w:rFonts w:asciiTheme="majorBidi" w:eastAsia="Times New Roman" w:hAnsiTheme="majorBidi" w:cstheme="majorBidi"/>
                <w:color w:val="000000"/>
                <w:kern w:val="0"/>
                <w:sz w:val="24"/>
                <w:szCs w:val="24"/>
                <w14:ligatures w14:val="none"/>
              </w:rPr>
              <w:t>Qassim</w:t>
            </w:r>
            <w:proofErr w:type="spellEnd"/>
          </w:p>
        </w:tc>
        <w:tc>
          <w:tcPr>
            <w:tcW w:w="578" w:type="pct"/>
            <w:shd w:val="clear" w:color="auto" w:fill="auto"/>
            <w:vAlign w:val="center"/>
            <w:hideMark/>
          </w:tcPr>
          <w:p w14:paraId="5F71485A"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 xml:space="preserve">Accelerated Transformation </w:t>
            </w:r>
            <w:proofErr w:type="spellStart"/>
            <w:r w:rsidRPr="00525FBB">
              <w:rPr>
                <w:rFonts w:asciiTheme="majorBidi" w:eastAsia="Times New Roman" w:hAnsiTheme="majorBidi" w:cstheme="majorBidi"/>
                <w:color w:val="000000"/>
                <w:kern w:val="0"/>
                <w:sz w:val="24"/>
                <w:szCs w:val="24"/>
                <w14:ligatures w14:val="none"/>
              </w:rPr>
              <w:t>Programme</w:t>
            </w:r>
            <w:proofErr w:type="spellEnd"/>
            <w:r w:rsidRPr="00525FBB">
              <w:rPr>
                <w:rFonts w:asciiTheme="majorBidi" w:eastAsia="Times New Roman" w:hAnsiTheme="majorBidi" w:cstheme="majorBidi"/>
                <w:color w:val="000000"/>
                <w:kern w:val="0"/>
                <w:sz w:val="24"/>
                <w:szCs w:val="24"/>
                <w14:ligatures w14:val="none"/>
              </w:rPr>
              <w:t xml:space="preserve"> (ATP) for healthcare transformation in non-clustered regions of KSA</w:t>
            </w:r>
          </w:p>
        </w:tc>
        <w:tc>
          <w:tcPr>
            <w:tcW w:w="433" w:type="pct"/>
            <w:shd w:val="clear" w:color="auto" w:fill="auto"/>
            <w:vAlign w:val="center"/>
            <w:hideMark/>
          </w:tcPr>
          <w:p w14:paraId="17F194A4"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Governance and risk management in transforming healthcare service delivery</w:t>
            </w:r>
          </w:p>
        </w:tc>
        <w:tc>
          <w:tcPr>
            <w:tcW w:w="433" w:type="pct"/>
            <w:shd w:val="clear" w:color="auto" w:fill="auto"/>
            <w:vAlign w:val="center"/>
            <w:hideMark/>
          </w:tcPr>
          <w:p w14:paraId="29E0194B"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Resistance to change, workforce capacity, engagement with local communities, coordination across regions</w:t>
            </w:r>
          </w:p>
        </w:tc>
        <w:tc>
          <w:tcPr>
            <w:tcW w:w="433" w:type="pct"/>
            <w:shd w:val="clear" w:color="auto" w:fill="auto"/>
            <w:vAlign w:val="center"/>
            <w:hideMark/>
          </w:tcPr>
          <w:p w14:paraId="15371130"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Engaging local healthcare communities, promoting ownership in the transformation process, building capacity</w:t>
            </w:r>
          </w:p>
        </w:tc>
        <w:tc>
          <w:tcPr>
            <w:tcW w:w="433" w:type="pct"/>
            <w:shd w:val="clear" w:color="auto" w:fill="auto"/>
            <w:vAlign w:val="center"/>
            <w:hideMark/>
          </w:tcPr>
          <w:p w14:paraId="7C9B281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Training, development of local leadership, establishing steering committees for regional governance</w:t>
            </w:r>
          </w:p>
        </w:tc>
        <w:tc>
          <w:tcPr>
            <w:tcW w:w="433" w:type="pct"/>
            <w:shd w:val="clear" w:color="auto" w:fill="auto"/>
            <w:vAlign w:val="center"/>
            <w:hideMark/>
          </w:tcPr>
          <w:p w14:paraId="675DE966"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Regional health directorates data, reports from healthcare service clusters, participation surveys</w:t>
            </w:r>
          </w:p>
        </w:tc>
        <w:tc>
          <w:tcPr>
            <w:tcW w:w="433" w:type="pct"/>
            <w:shd w:val="clear" w:color="auto" w:fill="auto"/>
            <w:vAlign w:val="center"/>
            <w:hideMark/>
          </w:tcPr>
          <w:p w14:paraId="18CFCF64"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Successful engagement in initial clusters, lessons learned in workforce readiness and governance across regions</w:t>
            </w:r>
          </w:p>
        </w:tc>
        <w:tc>
          <w:tcPr>
            <w:tcW w:w="433" w:type="pct"/>
            <w:shd w:val="clear" w:color="auto" w:fill="auto"/>
            <w:vAlign w:val="center"/>
            <w:hideMark/>
          </w:tcPr>
          <w:p w14:paraId="7753E0E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Enhance local ownership of transformation, improve knowledge transfer, accelerate cluster readiness</w:t>
            </w:r>
          </w:p>
        </w:tc>
        <w:tc>
          <w:tcPr>
            <w:tcW w:w="433" w:type="pct"/>
            <w:shd w:val="clear" w:color="auto" w:fill="auto"/>
            <w:vAlign w:val="center"/>
            <w:hideMark/>
          </w:tcPr>
          <w:p w14:paraId="67E8EDB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Lack of long-term evaluation of ATP effectiveness, inconsistent stakeholder engagement across regions</w:t>
            </w:r>
          </w:p>
        </w:tc>
        <w:tc>
          <w:tcPr>
            <w:tcW w:w="433" w:type="pct"/>
            <w:shd w:val="clear" w:color="auto" w:fill="auto"/>
            <w:vAlign w:val="center"/>
            <w:hideMark/>
          </w:tcPr>
          <w:p w14:paraId="6DF55F6C"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Need for more localized transformation strategies, lessons to scale healthcare improvements nationally</w:t>
            </w:r>
          </w:p>
        </w:tc>
      </w:tr>
      <w:tr w:rsidR="00525FBB" w:rsidRPr="00525FBB" w14:paraId="65E2FAE0" w14:textId="77777777" w:rsidTr="006C25DC">
        <w:trPr>
          <w:trHeight w:val="20"/>
        </w:trPr>
        <w:tc>
          <w:tcPr>
            <w:tcW w:w="527" w:type="pct"/>
            <w:shd w:val="clear" w:color="auto" w:fill="auto"/>
            <w:vAlign w:val="center"/>
            <w:hideMark/>
          </w:tcPr>
          <w:p w14:paraId="2562BC8C"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Chowdhury et al</w:t>
            </w:r>
          </w:p>
          <w:p w14:paraId="57E7FD55"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2021</w:t>
            </w:r>
          </w:p>
          <w:p w14:paraId="79EE81BD"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Saudi Arabia</w:t>
            </w:r>
          </w:p>
        </w:tc>
        <w:tc>
          <w:tcPr>
            <w:tcW w:w="578" w:type="pct"/>
            <w:shd w:val="clear" w:color="auto" w:fill="auto"/>
            <w:vAlign w:val="center"/>
            <w:hideMark/>
          </w:tcPr>
          <w:p w14:paraId="4DF42406"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National Transformation Program (NTP) and the Model of Care (</w:t>
            </w:r>
            <w:proofErr w:type="spellStart"/>
            <w:r w:rsidRPr="00525FBB">
              <w:rPr>
                <w:rFonts w:asciiTheme="majorBidi" w:eastAsia="Times New Roman" w:hAnsiTheme="majorBidi" w:cstheme="majorBidi"/>
                <w:color w:val="000000"/>
                <w:kern w:val="0"/>
                <w:sz w:val="24"/>
                <w:szCs w:val="24"/>
                <w14:ligatures w14:val="none"/>
              </w:rPr>
              <w:t>MoC</w:t>
            </w:r>
            <w:proofErr w:type="spellEnd"/>
            <w:r w:rsidRPr="00525FBB">
              <w:rPr>
                <w:rFonts w:asciiTheme="majorBidi" w:eastAsia="Times New Roman" w:hAnsiTheme="majorBidi" w:cstheme="majorBidi"/>
                <w:color w:val="000000"/>
                <w:kern w:val="0"/>
                <w:sz w:val="24"/>
                <w:szCs w:val="24"/>
                <w14:ligatures w14:val="none"/>
              </w:rPr>
              <w:t>) under Vision 2030</w:t>
            </w:r>
          </w:p>
        </w:tc>
        <w:tc>
          <w:tcPr>
            <w:tcW w:w="433" w:type="pct"/>
            <w:shd w:val="clear" w:color="auto" w:fill="auto"/>
            <w:vAlign w:val="center"/>
            <w:hideMark/>
          </w:tcPr>
          <w:p w14:paraId="2A16D778"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 xml:space="preserve">Systematic review of healthcare system transformation with a focus on </w:t>
            </w:r>
            <w:proofErr w:type="spellStart"/>
            <w:r w:rsidRPr="00525FBB">
              <w:rPr>
                <w:rFonts w:asciiTheme="majorBidi" w:eastAsia="Times New Roman" w:hAnsiTheme="majorBidi" w:cstheme="majorBidi"/>
                <w:color w:val="000000"/>
                <w:kern w:val="0"/>
                <w:sz w:val="24"/>
                <w:szCs w:val="24"/>
                <w14:ligatures w14:val="none"/>
              </w:rPr>
              <w:t>MoC</w:t>
            </w:r>
            <w:proofErr w:type="spellEnd"/>
            <w:r w:rsidRPr="00525FBB">
              <w:rPr>
                <w:rFonts w:asciiTheme="majorBidi" w:eastAsia="Times New Roman" w:hAnsiTheme="majorBidi" w:cstheme="majorBidi"/>
                <w:color w:val="000000"/>
                <w:kern w:val="0"/>
                <w:sz w:val="24"/>
                <w:szCs w:val="24"/>
                <w14:ligatures w14:val="none"/>
              </w:rPr>
              <w:t xml:space="preserve"> implementation</w:t>
            </w:r>
          </w:p>
        </w:tc>
        <w:tc>
          <w:tcPr>
            <w:tcW w:w="433" w:type="pct"/>
            <w:shd w:val="clear" w:color="auto" w:fill="auto"/>
            <w:vAlign w:val="center"/>
            <w:hideMark/>
          </w:tcPr>
          <w:p w14:paraId="4954CF8A"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Limited access to healthcare, quality and efficiency gaps, inadequate preventive healthcare infrastructure</w:t>
            </w:r>
          </w:p>
        </w:tc>
        <w:tc>
          <w:tcPr>
            <w:tcW w:w="433" w:type="pct"/>
            <w:shd w:val="clear" w:color="auto" w:fill="auto"/>
            <w:vAlign w:val="center"/>
            <w:hideMark/>
          </w:tcPr>
          <w:p w14:paraId="55AABCC5"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Digital health adoption, expansion of e-health services, comprehensive healthcare reform across sectors</w:t>
            </w:r>
          </w:p>
        </w:tc>
        <w:tc>
          <w:tcPr>
            <w:tcW w:w="433" w:type="pct"/>
            <w:shd w:val="clear" w:color="auto" w:fill="auto"/>
            <w:vAlign w:val="center"/>
            <w:hideMark/>
          </w:tcPr>
          <w:p w14:paraId="1218B107"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Expansion of healthcare facilities, improved workforce planning, focus on public health and prevention programs</w:t>
            </w:r>
          </w:p>
        </w:tc>
        <w:tc>
          <w:tcPr>
            <w:tcW w:w="433" w:type="pct"/>
            <w:shd w:val="clear" w:color="auto" w:fill="auto"/>
            <w:vAlign w:val="center"/>
            <w:hideMark/>
          </w:tcPr>
          <w:p w14:paraId="584C1CC1"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Literature review, government reports, healthcare professional surveys, stakeholder workshops</w:t>
            </w:r>
          </w:p>
        </w:tc>
        <w:tc>
          <w:tcPr>
            <w:tcW w:w="433" w:type="pct"/>
            <w:shd w:val="clear" w:color="auto" w:fill="auto"/>
            <w:vAlign w:val="center"/>
            <w:hideMark/>
          </w:tcPr>
          <w:p w14:paraId="7AF7EF54"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Major healthcare transformation required, particularly in workforce training and service accessibility</w:t>
            </w:r>
          </w:p>
        </w:tc>
        <w:tc>
          <w:tcPr>
            <w:tcW w:w="433" w:type="pct"/>
            <w:shd w:val="clear" w:color="auto" w:fill="auto"/>
            <w:vAlign w:val="center"/>
            <w:hideMark/>
          </w:tcPr>
          <w:p w14:paraId="14A553D8"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Improve healthcare quality, enhance digital solutions, expand preventive health services, increase workforce investment</w:t>
            </w:r>
          </w:p>
        </w:tc>
        <w:tc>
          <w:tcPr>
            <w:tcW w:w="433" w:type="pct"/>
            <w:shd w:val="clear" w:color="auto" w:fill="auto"/>
            <w:vAlign w:val="center"/>
            <w:hideMark/>
          </w:tcPr>
          <w:p w14:paraId="258E2F5B"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Insufficient data on workforce challenges, variability in healthcare service quality across regions</w:t>
            </w:r>
          </w:p>
        </w:tc>
        <w:tc>
          <w:tcPr>
            <w:tcW w:w="433" w:type="pct"/>
            <w:shd w:val="clear" w:color="auto" w:fill="auto"/>
            <w:vAlign w:val="center"/>
            <w:hideMark/>
          </w:tcPr>
          <w:p w14:paraId="5ABB7E23" w14:textId="77777777" w:rsidR="00525FBB" w:rsidRPr="00525FBB" w:rsidRDefault="00525FBB" w:rsidP="00525FBB">
            <w:pPr>
              <w:spacing w:after="0" w:line="240" w:lineRule="auto"/>
              <w:ind w:left="-38" w:right="-108"/>
              <w:jc w:val="right"/>
              <w:rPr>
                <w:rFonts w:asciiTheme="majorBidi" w:eastAsia="Times New Roman" w:hAnsiTheme="majorBidi" w:cstheme="majorBidi"/>
                <w:color w:val="000000"/>
                <w:kern w:val="0"/>
                <w:sz w:val="24"/>
                <w:szCs w:val="24"/>
                <w14:ligatures w14:val="none"/>
              </w:rPr>
            </w:pPr>
            <w:r w:rsidRPr="00525FBB">
              <w:rPr>
                <w:rFonts w:asciiTheme="majorBidi" w:eastAsia="Times New Roman" w:hAnsiTheme="majorBidi" w:cstheme="majorBidi"/>
                <w:color w:val="000000"/>
                <w:kern w:val="0"/>
                <w:sz w:val="24"/>
                <w:szCs w:val="24"/>
                <w14:ligatures w14:val="none"/>
              </w:rPr>
              <w:t>A holistic approach to healthcare reform is necessary, focusing on prevention, accessibility, and digital health integration</w:t>
            </w:r>
          </w:p>
        </w:tc>
      </w:tr>
    </w:tbl>
    <w:p w14:paraId="4FBF4E5F" w14:textId="77777777" w:rsidR="00525FBB" w:rsidRPr="00525FBB" w:rsidRDefault="00525FBB" w:rsidP="00525FBB">
      <w:pPr>
        <w:spacing w:after="0" w:line="480" w:lineRule="auto"/>
        <w:jc w:val="right"/>
        <w:rPr>
          <w:rFonts w:asciiTheme="majorBidi" w:hAnsiTheme="majorBidi" w:cstheme="majorBidi"/>
          <w:b/>
          <w:bCs/>
          <w:sz w:val="24"/>
          <w:szCs w:val="24"/>
          <w:u w:val="single"/>
        </w:rPr>
      </w:pPr>
    </w:p>
    <w:p w14:paraId="792E7B09"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Across the 12 studies, healthcare transformation under Vision 2030 emerged as the dominant key theme. Vision 2030 aims to modernize the healthcare sector, making it more efficient, accessible, and sustainable. A significant portion of the studies specifically discusses Vision 2030 and its ambitious healthcare goals. The transition towards a patient-centered care model, the adoption of digital health solutions, and the expansion of public-private partnerships (PPPs) are core elements of the transformation strategy.</w:t>
      </w:r>
    </w:p>
    <w:p w14:paraId="0732F106"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Another recurrent theme is workforce development. Several studies highlight that an insufficiently trained and culturally unprepared healthcare workforce poses a substantial barrier to achieving the goals outlined in Vision 2030. The need to enhance healthcare worker capacity, improve specialized training, and adapt the workforce to new technologies and healthcare models was emphasized in the majority of the studies. These workforce issues are seen as critical for ensuring the smooth implementation of reforms.</w:t>
      </w:r>
    </w:p>
    <w:p w14:paraId="48552442"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Digital health and the integration of telemedicine, electronic health records (EHRs), and other digital platforms were identified as significant opportunities within the healthcare transformation framework. This shift towards digital solutions aims to improve patient outcomes, enhance data management, and make healthcare more accessible, especially in rural areas.</w:t>
      </w:r>
    </w:p>
    <w:p w14:paraId="055CD0D8" w14:textId="1F6C0044" w:rsidR="00525FBB" w:rsidRDefault="00525FBB" w:rsidP="00525FBB">
      <w:pPr>
        <w:spacing w:after="0" w:line="480" w:lineRule="auto"/>
        <w:ind w:firstLine="720"/>
        <w:jc w:val="right"/>
        <w:rPr>
          <w:rFonts w:asciiTheme="majorBidi" w:hAnsiTheme="majorBidi" w:cstheme="majorBidi"/>
          <w:sz w:val="24"/>
          <w:szCs w:val="24"/>
        </w:rPr>
      </w:pPr>
    </w:p>
    <w:p w14:paraId="0D52EF92" w14:textId="41BD76BA" w:rsidR="00A55D84" w:rsidRDefault="00A55D84" w:rsidP="00525FBB">
      <w:pPr>
        <w:spacing w:after="0" w:line="480" w:lineRule="auto"/>
        <w:ind w:firstLine="720"/>
        <w:jc w:val="right"/>
        <w:rPr>
          <w:rFonts w:asciiTheme="majorBidi" w:hAnsiTheme="majorBidi" w:cstheme="majorBidi"/>
          <w:sz w:val="24"/>
          <w:szCs w:val="24"/>
        </w:rPr>
      </w:pPr>
    </w:p>
    <w:p w14:paraId="1C808A60" w14:textId="0A493F53" w:rsidR="00A55D84" w:rsidRDefault="00A55D84" w:rsidP="00525FBB">
      <w:pPr>
        <w:spacing w:after="0" w:line="480" w:lineRule="auto"/>
        <w:ind w:firstLine="720"/>
        <w:jc w:val="right"/>
        <w:rPr>
          <w:rFonts w:asciiTheme="majorBidi" w:hAnsiTheme="majorBidi" w:cstheme="majorBidi"/>
          <w:sz w:val="24"/>
          <w:szCs w:val="24"/>
        </w:rPr>
      </w:pPr>
    </w:p>
    <w:p w14:paraId="370EFA57" w14:textId="54A6B55E" w:rsidR="00A55D84" w:rsidRDefault="00A55D84" w:rsidP="00525FBB">
      <w:pPr>
        <w:spacing w:after="0" w:line="480" w:lineRule="auto"/>
        <w:ind w:firstLine="720"/>
        <w:jc w:val="right"/>
        <w:rPr>
          <w:rFonts w:asciiTheme="majorBidi" w:hAnsiTheme="majorBidi" w:cstheme="majorBidi"/>
          <w:sz w:val="24"/>
          <w:szCs w:val="24"/>
        </w:rPr>
      </w:pPr>
    </w:p>
    <w:p w14:paraId="1A88C838" w14:textId="0C75C37F" w:rsidR="00A55D84" w:rsidRDefault="00A55D84" w:rsidP="00525FBB">
      <w:pPr>
        <w:spacing w:after="0" w:line="480" w:lineRule="auto"/>
        <w:ind w:firstLine="720"/>
        <w:jc w:val="right"/>
        <w:rPr>
          <w:rFonts w:asciiTheme="majorBidi" w:hAnsiTheme="majorBidi" w:cstheme="majorBidi"/>
          <w:sz w:val="24"/>
          <w:szCs w:val="24"/>
        </w:rPr>
      </w:pPr>
    </w:p>
    <w:p w14:paraId="1CD986A0" w14:textId="600E7766" w:rsidR="00A55D84" w:rsidRDefault="00A55D84" w:rsidP="00525FBB">
      <w:pPr>
        <w:spacing w:after="0" w:line="480" w:lineRule="auto"/>
        <w:ind w:firstLine="720"/>
        <w:jc w:val="right"/>
        <w:rPr>
          <w:rFonts w:asciiTheme="majorBidi" w:hAnsiTheme="majorBidi" w:cstheme="majorBidi"/>
          <w:sz w:val="24"/>
          <w:szCs w:val="24"/>
        </w:rPr>
      </w:pPr>
    </w:p>
    <w:p w14:paraId="260764A4" w14:textId="77777777" w:rsidR="00A55D84" w:rsidRPr="00525FBB" w:rsidRDefault="00A55D84" w:rsidP="00525FBB">
      <w:pPr>
        <w:spacing w:after="0" w:line="480" w:lineRule="auto"/>
        <w:ind w:firstLine="720"/>
        <w:jc w:val="right"/>
        <w:rPr>
          <w:rFonts w:asciiTheme="majorBidi" w:hAnsiTheme="majorBidi" w:cstheme="majorBidi"/>
          <w:sz w:val="24"/>
          <w:szCs w:val="24"/>
        </w:rPr>
      </w:pPr>
    </w:p>
    <w:p w14:paraId="54C4B247" w14:textId="77777777"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lastRenderedPageBreak/>
        <w:t>Figure 2: Key Themes</w:t>
      </w:r>
    </w:p>
    <w:p w14:paraId="18F83665" w14:textId="77777777"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noProof/>
          <w:sz w:val="24"/>
          <w:szCs w:val="24"/>
        </w:rPr>
        <w:drawing>
          <wp:inline distT="0" distB="0" distL="0" distR="0" wp14:anchorId="7D8C3935" wp14:editId="077BB3B9">
            <wp:extent cx="4572000" cy="2743200"/>
            <wp:effectExtent l="0" t="0" r="0" b="0"/>
            <wp:docPr id="1706129376" name="Chart 1">
              <a:extLst xmlns:a="http://schemas.openxmlformats.org/drawingml/2006/main">
                <a:ext uri="{FF2B5EF4-FFF2-40B4-BE49-F238E27FC236}">
                  <a16:creationId xmlns:a16="http://schemas.microsoft.com/office/drawing/2014/main" id="{9939655D-0C94-300B-F02F-05E85679A4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54B8A0D"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The studies identified several challenges hindering the progress of healthcare reforms in Saudi Arabia. A common challenge discussed across the studies was workforce issues. The healthcare system faces significant staff shortages, capacity limitations, and insufficient training programs to handle the increasing demand for healthcare services, particularly with the growing burden of non-communicable diseases (NCDs). Studies like those of </w:t>
      </w:r>
      <w:proofErr w:type="spellStart"/>
      <w:r w:rsidRPr="00525FBB">
        <w:rPr>
          <w:rFonts w:asciiTheme="majorBidi" w:hAnsiTheme="majorBidi" w:cstheme="majorBidi"/>
          <w:sz w:val="24"/>
          <w:szCs w:val="24"/>
        </w:rPr>
        <w:t>Alkhurayji</w:t>
      </w:r>
      <w:proofErr w:type="spellEnd"/>
      <w:r w:rsidRPr="00525FBB">
        <w:rPr>
          <w:rFonts w:asciiTheme="majorBidi" w:hAnsiTheme="majorBidi" w:cstheme="majorBidi"/>
          <w:sz w:val="24"/>
          <w:szCs w:val="24"/>
        </w:rPr>
        <w:t xml:space="preserve"> et al. (2024) and Suleiman et al. (2025) noted that despite efforts to increase the number of healthcare professionals, the existing workforce struggles to meet the challenges posed by an aging population and rising healthcare demands.</w:t>
      </w:r>
    </w:p>
    <w:p w14:paraId="3DFBC188"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Infrastructure limitations are another recurring challenge. The studies highlighted the uneven distribution of healthcare resources, particularly between urban and rural areas, as a barrier to achieving equitable healthcare. </w:t>
      </w:r>
      <w:proofErr w:type="spellStart"/>
      <w:r w:rsidRPr="00525FBB">
        <w:rPr>
          <w:rFonts w:asciiTheme="majorBidi" w:hAnsiTheme="majorBidi" w:cstheme="majorBidi"/>
          <w:sz w:val="24"/>
          <w:szCs w:val="24"/>
        </w:rPr>
        <w:t>Khashan</w:t>
      </w:r>
      <w:proofErr w:type="spellEnd"/>
      <w:r w:rsidRPr="00525FBB">
        <w:rPr>
          <w:rFonts w:asciiTheme="majorBidi" w:hAnsiTheme="majorBidi" w:cstheme="majorBidi"/>
          <w:sz w:val="24"/>
          <w:szCs w:val="24"/>
        </w:rPr>
        <w:t xml:space="preserve"> et al. (2021) and Riley et al. (2023) pointed out that many regions, especially in the Eastern and Southern regions, still lack the necessary infrastructure and resources to implement the proposed healthcare reforms effectively.</w:t>
      </w:r>
    </w:p>
    <w:p w14:paraId="7E3C49B5"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sz w:val="24"/>
          <w:szCs w:val="24"/>
        </w:rPr>
        <w:t xml:space="preserve">In addition to workforce and infrastructure challenges, financial sustainability also emerged as a major concern. The healthcare system, despite large investments, continues to face </w:t>
      </w:r>
      <w:r w:rsidRPr="00525FBB">
        <w:rPr>
          <w:rFonts w:asciiTheme="majorBidi" w:hAnsiTheme="majorBidi" w:cstheme="majorBidi"/>
          <w:sz w:val="24"/>
          <w:szCs w:val="24"/>
        </w:rPr>
        <w:lastRenderedPageBreak/>
        <w:t xml:space="preserve">issues in maintaining a stable and sustainable financial model. Several studies, including those of </w:t>
      </w:r>
      <w:proofErr w:type="spellStart"/>
      <w:r w:rsidRPr="00525FBB">
        <w:rPr>
          <w:rFonts w:asciiTheme="majorBidi" w:hAnsiTheme="majorBidi" w:cstheme="majorBidi"/>
          <w:sz w:val="24"/>
          <w:szCs w:val="24"/>
        </w:rPr>
        <w:t>Alkhurayji</w:t>
      </w:r>
      <w:proofErr w:type="spellEnd"/>
      <w:r w:rsidRPr="00525FBB">
        <w:rPr>
          <w:rFonts w:asciiTheme="majorBidi" w:hAnsiTheme="majorBidi" w:cstheme="majorBidi"/>
          <w:sz w:val="24"/>
          <w:szCs w:val="24"/>
        </w:rPr>
        <w:t xml:space="preserve"> et al. (2024), pointed out that healthcare financing needs to be restructured, especially with the increasing pressure to shift towards preventive care and primary healthcare models.</w:t>
      </w:r>
    </w:p>
    <w:p w14:paraId="01011A8E" w14:textId="6D8B90D5" w:rsidR="00525FBB" w:rsidRPr="00525FBB" w:rsidRDefault="00525FBB" w:rsidP="00A55D84">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Resistance to change within the healthcare sector was cited as a significant barrier. As noted by </w:t>
      </w:r>
      <w:proofErr w:type="spellStart"/>
      <w:r w:rsidRPr="00525FBB">
        <w:rPr>
          <w:rFonts w:asciiTheme="majorBidi" w:hAnsiTheme="majorBidi" w:cstheme="majorBidi"/>
          <w:sz w:val="24"/>
          <w:szCs w:val="24"/>
        </w:rPr>
        <w:t>Alharbi</w:t>
      </w:r>
      <w:proofErr w:type="spellEnd"/>
      <w:r w:rsidRPr="00525FBB">
        <w:rPr>
          <w:rFonts w:asciiTheme="majorBidi" w:hAnsiTheme="majorBidi" w:cstheme="majorBidi"/>
          <w:sz w:val="24"/>
          <w:szCs w:val="24"/>
        </w:rPr>
        <w:t xml:space="preserve"> (2020), healthcare professionals and administrative bodies often resist new policies or care models, which can delay or hinder the reform process.</w:t>
      </w:r>
    </w:p>
    <w:p w14:paraId="2264657F" w14:textId="77777777" w:rsidR="00525FBB" w:rsidRPr="00525FBB" w:rsidRDefault="00525FBB" w:rsidP="00525FBB">
      <w:pPr>
        <w:spacing w:after="0" w:line="480" w:lineRule="auto"/>
        <w:ind w:firstLine="720"/>
        <w:jc w:val="right"/>
        <w:rPr>
          <w:rFonts w:asciiTheme="majorBidi" w:hAnsiTheme="majorBidi" w:cstheme="majorBidi"/>
          <w:sz w:val="24"/>
          <w:szCs w:val="24"/>
        </w:rPr>
      </w:pPr>
    </w:p>
    <w:p w14:paraId="00967D8D" w14:textId="77777777" w:rsidR="00525FBB" w:rsidRPr="00525FBB" w:rsidRDefault="00525FBB" w:rsidP="00525FBB">
      <w:pPr>
        <w:spacing w:after="0" w:line="480" w:lineRule="auto"/>
        <w:ind w:firstLine="720"/>
        <w:jc w:val="right"/>
        <w:rPr>
          <w:rFonts w:asciiTheme="majorBidi" w:hAnsiTheme="majorBidi" w:cstheme="majorBidi"/>
          <w:b/>
          <w:bCs/>
          <w:sz w:val="24"/>
          <w:szCs w:val="24"/>
        </w:rPr>
      </w:pPr>
      <w:r w:rsidRPr="00525FBB">
        <w:rPr>
          <w:rFonts w:asciiTheme="majorBidi" w:hAnsiTheme="majorBidi" w:cstheme="majorBidi"/>
          <w:b/>
          <w:bCs/>
          <w:sz w:val="24"/>
          <w:szCs w:val="24"/>
        </w:rPr>
        <w:t>Figure 3: Challenges</w:t>
      </w:r>
    </w:p>
    <w:p w14:paraId="285B42FC"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noProof/>
          <w:sz w:val="24"/>
          <w:szCs w:val="24"/>
        </w:rPr>
        <w:drawing>
          <wp:inline distT="0" distB="0" distL="0" distR="0" wp14:anchorId="2FAA7149" wp14:editId="38C8D663">
            <wp:extent cx="5448297" cy="3243263"/>
            <wp:effectExtent l="0" t="0" r="635" b="14605"/>
            <wp:docPr id="2062428542" name="Chart 1">
              <a:extLst xmlns:a="http://schemas.openxmlformats.org/drawingml/2006/main">
                <a:ext uri="{FF2B5EF4-FFF2-40B4-BE49-F238E27FC236}">
                  <a16:creationId xmlns:a16="http://schemas.microsoft.com/office/drawing/2014/main" id="{57B605C6-8370-C345-1312-18C797D21B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0257495" w14:textId="77777777" w:rsidR="00525FBB" w:rsidRPr="00525FBB" w:rsidRDefault="00525FBB" w:rsidP="00525FBB">
      <w:pPr>
        <w:spacing w:after="0" w:line="480" w:lineRule="auto"/>
        <w:jc w:val="right"/>
        <w:rPr>
          <w:rFonts w:asciiTheme="majorBidi" w:hAnsiTheme="majorBidi" w:cstheme="majorBidi"/>
          <w:sz w:val="24"/>
          <w:szCs w:val="24"/>
        </w:rPr>
      </w:pPr>
    </w:p>
    <w:p w14:paraId="47F65A36"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sz w:val="24"/>
          <w:szCs w:val="24"/>
        </w:rPr>
        <w:tab/>
        <w:t xml:space="preserve">Where opportunities are concerned, the integration of digital health solutions is noteworthy. With the rise of telemedicine, EHRs, and health information technology, Saudi Arabia can greatly improve the efficiency and accessibility of healthcare services, especially in underserved areas. As highlighted in </w:t>
      </w:r>
      <w:proofErr w:type="spellStart"/>
      <w:r w:rsidRPr="00525FBB">
        <w:rPr>
          <w:rFonts w:asciiTheme="majorBidi" w:hAnsiTheme="majorBidi" w:cstheme="majorBidi"/>
          <w:sz w:val="24"/>
          <w:szCs w:val="24"/>
        </w:rPr>
        <w:t>Yami</w:t>
      </w:r>
      <w:proofErr w:type="spellEnd"/>
      <w:r w:rsidRPr="00525FBB">
        <w:rPr>
          <w:rFonts w:asciiTheme="majorBidi" w:hAnsiTheme="majorBidi" w:cstheme="majorBidi"/>
          <w:sz w:val="24"/>
          <w:szCs w:val="24"/>
        </w:rPr>
        <w:t xml:space="preserve"> et al. (2024), telemedicine can </w:t>
      </w:r>
      <w:r w:rsidRPr="00525FBB">
        <w:rPr>
          <w:rFonts w:asciiTheme="majorBidi" w:hAnsiTheme="majorBidi" w:cstheme="majorBidi"/>
          <w:sz w:val="24"/>
          <w:szCs w:val="24"/>
        </w:rPr>
        <w:lastRenderedPageBreak/>
        <w:t>provide timely healthcare to patients in rural areas, where physical infrastructure is lacking, and allow healthcare providers to reach a larger patient base.</w:t>
      </w:r>
    </w:p>
    <w:p w14:paraId="50EF9A8A"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Another important opportunity is the expansion of public-private partnerships (PPPs). Studies such as Yousef et al. (2023) and </w:t>
      </w:r>
      <w:proofErr w:type="spellStart"/>
      <w:r w:rsidRPr="00525FBB">
        <w:rPr>
          <w:rFonts w:asciiTheme="majorBidi" w:hAnsiTheme="majorBidi" w:cstheme="majorBidi"/>
          <w:sz w:val="24"/>
          <w:szCs w:val="24"/>
        </w:rPr>
        <w:t>Alanazi</w:t>
      </w:r>
      <w:proofErr w:type="spellEnd"/>
      <w:r w:rsidRPr="00525FBB">
        <w:rPr>
          <w:rFonts w:asciiTheme="majorBidi" w:hAnsiTheme="majorBidi" w:cstheme="majorBidi"/>
          <w:sz w:val="24"/>
          <w:szCs w:val="24"/>
        </w:rPr>
        <w:t xml:space="preserve"> et al. (2023) emphasize that collaborations between the government and private healthcare providers can significantly improve the quality of services and increase healthcare accessibility. These partnerships are particularly important for improving the quality of care and resource distribution, while also reducing the financial burden on the government.</w:t>
      </w:r>
    </w:p>
    <w:p w14:paraId="13088092"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Workforce development is also seen as a key opportunity. Several studies emphasized the importance of training programs that equip healthcare workers with the necessary skills to adopt new technologies and manage the increasing prevalence of chronic diseases. The adoption of new care models, such as the Model of Care (</w:t>
      </w:r>
      <w:proofErr w:type="spellStart"/>
      <w:r w:rsidRPr="00525FBB">
        <w:rPr>
          <w:rFonts w:asciiTheme="majorBidi" w:hAnsiTheme="majorBidi" w:cstheme="majorBidi"/>
          <w:sz w:val="24"/>
          <w:szCs w:val="24"/>
        </w:rPr>
        <w:t>MoC</w:t>
      </w:r>
      <w:proofErr w:type="spellEnd"/>
      <w:r w:rsidRPr="00525FBB">
        <w:rPr>
          <w:rFonts w:asciiTheme="majorBidi" w:hAnsiTheme="majorBidi" w:cstheme="majorBidi"/>
          <w:sz w:val="24"/>
          <w:szCs w:val="24"/>
        </w:rPr>
        <w:t>) discussed in Chowdhury et al. (2021), presents an opportunity to train the workforce to adapt to more patient-centric approaches.</w:t>
      </w:r>
    </w:p>
    <w:p w14:paraId="48390BBF" w14:textId="1E402B53" w:rsid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sz w:val="24"/>
          <w:szCs w:val="24"/>
        </w:rPr>
        <w:t xml:space="preserve">Furthermore, the privatization of healthcare services is frequently mentioned as an opportunity. As discussed in </w:t>
      </w:r>
      <w:proofErr w:type="spellStart"/>
      <w:r w:rsidRPr="00525FBB">
        <w:rPr>
          <w:rFonts w:asciiTheme="majorBidi" w:hAnsiTheme="majorBidi" w:cstheme="majorBidi"/>
          <w:sz w:val="24"/>
          <w:szCs w:val="24"/>
        </w:rPr>
        <w:t>Alasiri</w:t>
      </w:r>
      <w:proofErr w:type="spellEnd"/>
      <w:r w:rsidRPr="00525FBB">
        <w:rPr>
          <w:rFonts w:asciiTheme="majorBidi" w:hAnsiTheme="majorBidi" w:cstheme="majorBidi"/>
          <w:sz w:val="24"/>
          <w:szCs w:val="24"/>
        </w:rPr>
        <w:t xml:space="preserve"> et al. (2022), privatization can not only improve efficiency but also introduce competition that can help to reduce costs and improve care quality.</w:t>
      </w:r>
    </w:p>
    <w:p w14:paraId="1ECAD104" w14:textId="65C15354" w:rsidR="00A55D84" w:rsidRDefault="00A55D84" w:rsidP="00525FBB">
      <w:pPr>
        <w:spacing w:after="0" w:line="480" w:lineRule="auto"/>
        <w:jc w:val="right"/>
        <w:rPr>
          <w:rFonts w:asciiTheme="majorBidi" w:hAnsiTheme="majorBidi" w:cstheme="majorBidi"/>
          <w:sz w:val="24"/>
          <w:szCs w:val="24"/>
        </w:rPr>
      </w:pPr>
    </w:p>
    <w:p w14:paraId="44A6A54B" w14:textId="481FF7AD" w:rsidR="00A55D84" w:rsidRDefault="00A55D84" w:rsidP="00525FBB">
      <w:pPr>
        <w:spacing w:after="0" w:line="480" w:lineRule="auto"/>
        <w:jc w:val="right"/>
        <w:rPr>
          <w:rFonts w:asciiTheme="majorBidi" w:hAnsiTheme="majorBidi" w:cstheme="majorBidi"/>
          <w:sz w:val="24"/>
          <w:szCs w:val="24"/>
        </w:rPr>
      </w:pPr>
    </w:p>
    <w:p w14:paraId="0D6D81FD" w14:textId="3D208E18" w:rsidR="00A55D84" w:rsidRDefault="00A55D84" w:rsidP="00525FBB">
      <w:pPr>
        <w:spacing w:after="0" w:line="480" w:lineRule="auto"/>
        <w:jc w:val="right"/>
        <w:rPr>
          <w:rFonts w:asciiTheme="majorBidi" w:hAnsiTheme="majorBidi" w:cstheme="majorBidi"/>
          <w:sz w:val="24"/>
          <w:szCs w:val="24"/>
        </w:rPr>
      </w:pPr>
    </w:p>
    <w:p w14:paraId="24F7F7A0" w14:textId="57E384D9" w:rsidR="00A55D84" w:rsidRDefault="00A55D84" w:rsidP="00525FBB">
      <w:pPr>
        <w:spacing w:after="0" w:line="480" w:lineRule="auto"/>
        <w:jc w:val="right"/>
        <w:rPr>
          <w:rFonts w:asciiTheme="majorBidi" w:hAnsiTheme="majorBidi" w:cstheme="majorBidi"/>
          <w:sz w:val="24"/>
          <w:szCs w:val="24"/>
        </w:rPr>
      </w:pPr>
    </w:p>
    <w:p w14:paraId="4E6C5CDC" w14:textId="2E335092" w:rsidR="00A55D84" w:rsidRDefault="00A55D84" w:rsidP="00525FBB">
      <w:pPr>
        <w:spacing w:after="0" w:line="480" w:lineRule="auto"/>
        <w:jc w:val="right"/>
        <w:rPr>
          <w:rFonts w:asciiTheme="majorBidi" w:hAnsiTheme="majorBidi" w:cstheme="majorBidi"/>
          <w:sz w:val="24"/>
          <w:szCs w:val="24"/>
        </w:rPr>
      </w:pPr>
    </w:p>
    <w:p w14:paraId="01A6B30E" w14:textId="732FD488" w:rsidR="00A55D84" w:rsidRDefault="00A55D84" w:rsidP="00525FBB">
      <w:pPr>
        <w:spacing w:after="0" w:line="480" w:lineRule="auto"/>
        <w:jc w:val="right"/>
        <w:rPr>
          <w:rFonts w:asciiTheme="majorBidi" w:hAnsiTheme="majorBidi" w:cstheme="majorBidi"/>
          <w:sz w:val="24"/>
          <w:szCs w:val="24"/>
        </w:rPr>
      </w:pPr>
    </w:p>
    <w:p w14:paraId="0CF96B4F" w14:textId="77777777" w:rsidR="00A55D84" w:rsidRPr="00525FBB" w:rsidRDefault="00A55D84" w:rsidP="00525FBB">
      <w:pPr>
        <w:spacing w:after="0" w:line="480" w:lineRule="auto"/>
        <w:jc w:val="right"/>
        <w:rPr>
          <w:rFonts w:asciiTheme="majorBidi" w:hAnsiTheme="majorBidi" w:cstheme="majorBidi"/>
          <w:sz w:val="24"/>
          <w:szCs w:val="24"/>
        </w:rPr>
      </w:pPr>
    </w:p>
    <w:p w14:paraId="4F848CC1" w14:textId="77777777"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lastRenderedPageBreak/>
        <w:t>Figure 4: Opportunities</w:t>
      </w:r>
    </w:p>
    <w:p w14:paraId="2B18B74F"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noProof/>
          <w:sz w:val="24"/>
          <w:szCs w:val="24"/>
        </w:rPr>
        <w:drawing>
          <wp:inline distT="0" distB="0" distL="0" distR="0" wp14:anchorId="0BD557C7" wp14:editId="12952F88">
            <wp:extent cx="6127668" cy="3443845"/>
            <wp:effectExtent l="0" t="0" r="6985" b="4445"/>
            <wp:docPr id="290900753" name="Chart 1">
              <a:extLst xmlns:a="http://schemas.openxmlformats.org/drawingml/2006/main">
                <a:ext uri="{FF2B5EF4-FFF2-40B4-BE49-F238E27FC236}">
                  <a16:creationId xmlns:a16="http://schemas.microsoft.com/office/drawing/2014/main" id="{D372A5E1-8FD3-ED75-98E0-6DA243A352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E3D1A74"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To address the challenges and capitalize on the opportunities, the studies provided several </w:t>
      </w:r>
      <w:proofErr w:type="spellStart"/>
      <w:r w:rsidRPr="00525FBB">
        <w:rPr>
          <w:rFonts w:asciiTheme="majorBidi" w:hAnsiTheme="majorBidi" w:cstheme="majorBidi"/>
          <w:sz w:val="24"/>
          <w:szCs w:val="24"/>
        </w:rPr>
        <w:t>mitigative</w:t>
      </w:r>
      <w:proofErr w:type="spellEnd"/>
      <w:r w:rsidRPr="00525FBB">
        <w:rPr>
          <w:rFonts w:asciiTheme="majorBidi" w:hAnsiTheme="majorBidi" w:cstheme="majorBidi"/>
          <w:sz w:val="24"/>
          <w:szCs w:val="24"/>
        </w:rPr>
        <w:t xml:space="preserve"> strategies. One of the most frequently mentioned strategies is workforce training. The studies emphasize the need for specialized training programs to address the gaps in healthcare skills. Public-private partnerships (PPPs) were also recommended as a way to increase the efficiency of healthcare delivery and improve access to resources.</w:t>
      </w:r>
    </w:p>
    <w:p w14:paraId="6D48B9E2" w14:textId="3FB27C01" w:rsidR="00525FBB" w:rsidRPr="00525FBB" w:rsidRDefault="00525FBB" w:rsidP="00A55D84">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The integration of digital solutions, including e-health platforms, telemedicine, and EHRs, was another critical </w:t>
      </w:r>
      <w:proofErr w:type="spellStart"/>
      <w:r w:rsidRPr="00525FBB">
        <w:rPr>
          <w:rFonts w:asciiTheme="majorBidi" w:hAnsiTheme="majorBidi" w:cstheme="majorBidi"/>
          <w:sz w:val="24"/>
          <w:szCs w:val="24"/>
        </w:rPr>
        <w:t>mitigative</w:t>
      </w:r>
      <w:proofErr w:type="spellEnd"/>
      <w:r w:rsidRPr="00525FBB">
        <w:rPr>
          <w:rFonts w:asciiTheme="majorBidi" w:hAnsiTheme="majorBidi" w:cstheme="majorBidi"/>
          <w:sz w:val="24"/>
          <w:szCs w:val="24"/>
        </w:rPr>
        <w:t xml:space="preserve"> strategy identified. </w:t>
      </w:r>
      <w:proofErr w:type="spellStart"/>
      <w:r w:rsidRPr="00525FBB">
        <w:rPr>
          <w:rFonts w:asciiTheme="majorBidi" w:hAnsiTheme="majorBidi" w:cstheme="majorBidi"/>
          <w:sz w:val="24"/>
          <w:szCs w:val="24"/>
        </w:rPr>
        <w:t>Yami</w:t>
      </w:r>
      <w:proofErr w:type="spellEnd"/>
      <w:r w:rsidRPr="00525FBB">
        <w:rPr>
          <w:rFonts w:asciiTheme="majorBidi" w:hAnsiTheme="majorBidi" w:cstheme="majorBidi"/>
          <w:sz w:val="24"/>
          <w:szCs w:val="24"/>
        </w:rPr>
        <w:t xml:space="preserve"> et al. (2024) and Riley et al. (2023) discussed how these technologies can facilitate better data management, increase the reach of healthcare services, and improve patient outcomes. Furthermore, improved governance and policy reforms were suggested as key strategies to ensure the sustainability of healthcare reforms. Many studies recommend community engagement and change management as essential strategies. Workforce engagement, as pointed out in studies like Yousef et al. (2023), can help reduce resistance to new models of care and improve collaboration between healthcare providers and administrators.</w:t>
      </w:r>
    </w:p>
    <w:p w14:paraId="00A4C503" w14:textId="03B64EDB"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lastRenderedPageBreak/>
        <w:t xml:space="preserve">Figure 5: </w:t>
      </w:r>
      <w:proofErr w:type="spellStart"/>
      <w:r w:rsidRPr="00525FBB">
        <w:rPr>
          <w:rFonts w:asciiTheme="majorBidi" w:hAnsiTheme="majorBidi" w:cstheme="majorBidi"/>
          <w:b/>
          <w:bCs/>
          <w:sz w:val="24"/>
          <w:szCs w:val="24"/>
        </w:rPr>
        <w:t>Mitigative</w:t>
      </w:r>
      <w:proofErr w:type="spellEnd"/>
      <w:r w:rsidRPr="00525FBB">
        <w:rPr>
          <w:rFonts w:asciiTheme="majorBidi" w:hAnsiTheme="majorBidi" w:cstheme="majorBidi"/>
          <w:b/>
          <w:bCs/>
          <w:sz w:val="24"/>
          <w:szCs w:val="24"/>
        </w:rPr>
        <w:t xml:space="preserve"> strategies</w:t>
      </w:r>
    </w:p>
    <w:p w14:paraId="322F36CF"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noProof/>
          <w:sz w:val="24"/>
          <w:szCs w:val="24"/>
        </w:rPr>
        <w:drawing>
          <wp:inline distT="0" distB="0" distL="0" distR="0" wp14:anchorId="004D3DC4" wp14:editId="2E473503">
            <wp:extent cx="5664530" cy="3253839"/>
            <wp:effectExtent l="0" t="0" r="12700" b="3810"/>
            <wp:docPr id="820884262" name="Chart 1">
              <a:extLst xmlns:a="http://schemas.openxmlformats.org/drawingml/2006/main">
                <a:ext uri="{FF2B5EF4-FFF2-40B4-BE49-F238E27FC236}">
                  <a16:creationId xmlns:a16="http://schemas.microsoft.com/office/drawing/2014/main" id="{91F49F04-AB70-1820-B9DF-E34A7FC348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8566403" w14:textId="77777777" w:rsidR="00525FBB" w:rsidRPr="00525FBB" w:rsidRDefault="00525FBB" w:rsidP="00525FBB">
      <w:pPr>
        <w:spacing w:after="0" w:line="480" w:lineRule="auto"/>
        <w:jc w:val="right"/>
        <w:rPr>
          <w:rFonts w:asciiTheme="majorBidi" w:hAnsiTheme="majorBidi" w:cstheme="majorBidi"/>
          <w:sz w:val="24"/>
          <w:szCs w:val="24"/>
        </w:rPr>
      </w:pPr>
    </w:p>
    <w:p w14:paraId="0547A581" w14:textId="77777777" w:rsidR="00525FBB" w:rsidRPr="00525FBB" w:rsidRDefault="00525FBB" w:rsidP="00525FBB">
      <w:pPr>
        <w:spacing w:after="0" w:line="480" w:lineRule="auto"/>
        <w:jc w:val="right"/>
        <w:rPr>
          <w:rFonts w:asciiTheme="majorBidi" w:hAnsiTheme="majorBidi" w:cstheme="majorBidi"/>
          <w:sz w:val="24"/>
          <w:szCs w:val="24"/>
        </w:rPr>
      </w:pPr>
    </w:p>
    <w:p w14:paraId="28A4F43F" w14:textId="77777777" w:rsidR="00525FBB" w:rsidRPr="00525FBB" w:rsidRDefault="00525FBB" w:rsidP="00525FBB">
      <w:pPr>
        <w:spacing w:after="0" w:line="480" w:lineRule="auto"/>
        <w:jc w:val="right"/>
        <w:rPr>
          <w:rFonts w:asciiTheme="majorBidi" w:hAnsiTheme="majorBidi" w:cstheme="majorBidi"/>
          <w:b/>
          <w:bCs/>
          <w:sz w:val="24"/>
          <w:szCs w:val="24"/>
        </w:rPr>
      </w:pPr>
      <w:r w:rsidRPr="00525FBB">
        <w:rPr>
          <w:rFonts w:asciiTheme="majorBidi" w:hAnsiTheme="majorBidi" w:cstheme="majorBidi"/>
          <w:b/>
          <w:bCs/>
          <w:sz w:val="24"/>
          <w:szCs w:val="24"/>
        </w:rPr>
        <w:t>Discussion</w:t>
      </w:r>
    </w:p>
    <w:p w14:paraId="5B3AD912"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Healthcare systems globally are undergoing transformations in response to various challenges, including population aging, the rise of non-communicable diseases (NCDs), financial constraints, and workforce shortages. The healthcare sector's shift towards </w:t>
      </w:r>
      <w:r w:rsidRPr="00525FBB">
        <w:rPr>
          <w:rFonts w:asciiTheme="majorBidi" w:hAnsiTheme="majorBidi" w:cstheme="majorBidi"/>
          <w:b/>
          <w:bCs/>
          <w:sz w:val="24"/>
          <w:szCs w:val="24"/>
        </w:rPr>
        <w:t>patient-centered care</w:t>
      </w:r>
      <w:r w:rsidRPr="00525FBB">
        <w:rPr>
          <w:rFonts w:asciiTheme="majorBidi" w:hAnsiTheme="majorBidi" w:cstheme="majorBidi"/>
          <w:sz w:val="24"/>
          <w:szCs w:val="24"/>
        </w:rPr>
        <w:t xml:space="preserve">, </w:t>
      </w:r>
      <w:r w:rsidRPr="00525FBB">
        <w:rPr>
          <w:rFonts w:asciiTheme="majorBidi" w:hAnsiTheme="majorBidi" w:cstheme="majorBidi"/>
          <w:b/>
          <w:bCs/>
          <w:sz w:val="24"/>
          <w:szCs w:val="24"/>
        </w:rPr>
        <w:t>digital health integration</w:t>
      </w:r>
      <w:r w:rsidRPr="00525FBB">
        <w:rPr>
          <w:rFonts w:asciiTheme="majorBidi" w:hAnsiTheme="majorBidi" w:cstheme="majorBidi"/>
          <w:sz w:val="24"/>
          <w:szCs w:val="24"/>
        </w:rPr>
        <w:t xml:space="preserve">, and </w:t>
      </w:r>
      <w:r w:rsidRPr="00525FBB">
        <w:rPr>
          <w:rFonts w:asciiTheme="majorBidi" w:hAnsiTheme="majorBidi" w:cstheme="majorBidi"/>
          <w:b/>
          <w:bCs/>
          <w:sz w:val="24"/>
          <w:szCs w:val="24"/>
        </w:rPr>
        <w:t>value-based care</w:t>
      </w:r>
      <w:r w:rsidRPr="00525FBB">
        <w:rPr>
          <w:rFonts w:asciiTheme="majorBidi" w:hAnsiTheme="majorBidi" w:cstheme="majorBidi"/>
          <w:sz w:val="24"/>
          <w:szCs w:val="24"/>
        </w:rPr>
        <w:t xml:space="preserve"> is a common trend in many countries. Saudi Arabia’s healthcare transformation, driven by </w:t>
      </w:r>
      <w:r w:rsidRPr="00525FBB">
        <w:rPr>
          <w:rFonts w:asciiTheme="majorBidi" w:hAnsiTheme="majorBidi" w:cstheme="majorBidi"/>
          <w:b/>
          <w:bCs/>
          <w:sz w:val="24"/>
          <w:szCs w:val="24"/>
        </w:rPr>
        <w:t>Vision 2030</w:t>
      </w:r>
      <w:r w:rsidRPr="00525FBB">
        <w:rPr>
          <w:rFonts w:asciiTheme="majorBidi" w:hAnsiTheme="majorBidi" w:cstheme="majorBidi"/>
          <w:sz w:val="24"/>
          <w:szCs w:val="24"/>
        </w:rPr>
        <w:t xml:space="preserve">, aligns with these global trends but faces unique challenges and opportunities due to its specific socio-economic and cultural context.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{"citationItems":[{"id":"ITEM-1","itemData":{"DOI":"10.25122/JML-2021-0070","ISSN":"18443117","PMID":"34377200","abstract":"The Kingdom of Saudi Arabia espoused “Vision 2030” as a strategy for economic development and national growth. The vision demonstrated the Kingdom’s objectives to become a pioneer nation globally by achieving three main goals: a vibrant society, a thriving economy, and an ambitious nation. To fulfill this, the Kingdom launched a national transformation program (NTP) as outlined in “vision 2030” in June 2016. The health care transformation is one of the eight themes of the NTP’s. The history of health care facilities in the Kingdom is almost a century. Although the Kingdom has made notable progress in improving its population’s health over recent decades, it needs to modernize the health care system to reach the “vision 2030” goal. This article aims to describe the new Model of Care (MOC) according to the recent Saudi health care transformation under the Kingdom’s vision 2030. The MOC concept started with understanding the current state and collecting learnings. It is based on the six systems of care (SOC)-keeping well, planned pro-cedure, women &amp; children, urgent problems, chronic conditions, and the last phase of life. The SOC is cut across different “service layers” to support people’s stay well and efficiently get them healthy again when they need care. The new MOC describes a total of forty-two interventions, of which twenty-seven split across the six SOC and the rest fifteen cut-across the multiple SOC. Implementation of all MOC interventions will streamline the Saudi health care system to embrace the Kingdom’s “vision 2030”.","author":[{"dropping-particle":"","family":"Chowdhury","given":"Sharfuddin","non-dropping-particle":"","parse-names":false,"suffix":""},{"dropping-particle":"","family":"Mok","given":"Dennis","non-dropping-particle":"","parse-names":false,"suffix":""},{"dropping-particle":"","family":"Leenen","given":"Luke","non-dropping-particle":"","parse-names":false,"suffix":""}],"container-title":"Journal of Medicine and Life","id":"ITEM-1","issue":"3","issued":{"date-parts":[["2021"]]},"page":"347-354","publisher":"Carol Davila University Press","title":"Transformation of health care and the new model of care in Saudi Arabia: Kingdom’s Vision 2030","type":"article-journal","volume":"2021"},"uris":["http://www.mendeley.com/documents/?uuid=ca904cc5-f7b1-3496-81f2-dbfe2a304562"]}],"mendeley":{"formattedCitation":"(Chowdhury et al., 2021)","plainTextFormattedCitation":"(Chowdhury et al., 2021)","previouslyFormattedCitation":"(Chowdhury et al., 2021)"},"properties":{"noteIndex":0},"schema":"https://github.com/citation-style-language/schema/raw/master/csl-citation.json"}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(Chowdhury et al., 2021)</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 xml:space="preserve"> This discussion compares Saudi Arabia's healthcare transformation against the global scenario, focusing on the common themes, challenges, opportunities, and </w:t>
      </w:r>
      <w:proofErr w:type="spellStart"/>
      <w:r w:rsidRPr="00525FBB">
        <w:rPr>
          <w:rFonts w:asciiTheme="majorBidi" w:hAnsiTheme="majorBidi" w:cstheme="majorBidi"/>
          <w:sz w:val="24"/>
          <w:szCs w:val="24"/>
        </w:rPr>
        <w:t>mitigative</w:t>
      </w:r>
      <w:proofErr w:type="spellEnd"/>
      <w:r w:rsidRPr="00525FBB">
        <w:rPr>
          <w:rFonts w:asciiTheme="majorBidi" w:hAnsiTheme="majorBidi" w:cstheme="majorBidi"/>
          <w:sz w:val="24"/>
          <w:szCs w:val="24"/>
        </w:rPr>
        <w:t xml:space="preserve"> strategies identified in the previous results.</w:t>
      </w:r>
    </w:p>
    <w:p w14:paraId="7BA66C9D" w14:textId="77777777" w:rsidR="00525FBB" w:rsidRPr="00525FBB" w:rsidRDefault="00525FBB" w:rsidP="00525FBB">
      <w:pPr>
        <w:spacing w:after="0" w:line="480" w:lineRule="auto"/>
        <w:ind w:firstLine="720"/>
        <w:jc w:val="right"/>
        <w:rPr>
          <w:rFonts w:asciiTheme="majorBidi" w:hAnsiTheme="majorBidi" w:cstheme="majorBidi"/>
          <w:sz w:val="24"/>
          <w:szCs w:val="24"/>
        </w:rPr>
      </w:pPr>
      <w:proofErr w:type="gramStart"/>
      <w:r w:rsidRPr="00525FBB">
        <w:rPr>
          <w:rFonts w:asciiTheme="majorBidi" w:hAnsiTheme="majorBidi" w:cstheme="majorBidi"/>
          <w:sz w:val="24"/>
          <w:szCs w:val="24"/>
        </w:rPr>
        <w:lastRenderedPageBreak/>
        <w:t>healthcare</w:t>
      </w:r>
      <w:proofErr w:type="gramEnd"/>
      <w:r w:rsidRPr="00525FBB">
        <w:rPr>
          <w:rFonts w:asciiTheme="majorBidi" w:hAnsiTheme="majorBidi" w:cstheme="majorBidi"/>
          <w:sz w:val="24"/>
          <w:szCs w:val="24"/>
        </w:rPr>
        <w:t xml:space="preserve"> systems are increasingly moving towards </w:t>
      </w:r>
      <w:r w:rsidRPr="00525FBB">
        <w:rPr>
          <w:rFonts w:asciiTheme="majorBidi" w:hAnsiTheme="majorBidi" w:cstheme="majorBidi"/>
          <w:b/>
          <w:bCs/>
          <w:sz w:val="24"/>
          <w:szCs w:val="24"/>
        </w:rPr>
        <w:t>patient-centered care</w:t>
      </w:r>
      <w:r w:rsidRPr="00525FBB">
        <w:rPr>
          <w:rFonts w:asciiTheme="majorBidi" w:hAnsiTheme="majorBidi" w:cstheme="majorBidi"/>
          <w:sz w:val="24"/>
          <w:szCs w:val="24"/>
        </w:rPr>
        <w:t xml:space="preserve"> models, driven by the need to address the rising burden of chronic diseases, aging populations, and the growing demand for more efficient and accessible services. According to the World Health Organization (WHO), the global shift towards </w:t>
      </w:r>
      <w:r w:rsidRPr="00525FBB">
        <w:rPr>
          <w:rFonts w:asciiTheme="majorBidi" w:hAnsiTheme="majorBidi" w:cstheme="majorBidi"/>
          <w:b/>
          <w:bCs/>
          <w:sz w:val="24"/>
          <w:szCs w:val="24"/>
        </w:rPr>
        <w:t>universal health coverage (UHC)</w:t>
      </w:r>
      <w:r w:rsidRPr="00525FBB">
        <w:rPr>
          <w:rFonts w:asciiTheme="majorBidi" w:hAnsiTheme="majorBidi" w:cstheme="majorBidi"/>
          <w:sz w:val="24"/>
          <w:szCs w:val="24"/>
        </w:rPr>
        <w:t xml:space="preserve"> and </w:t>
      </w:r>
      <w:r w:rsidRPr="00525FBB">
        <w:rPr>
          <w:rFonts w:asciiTheme="majorBidi" w:hAnsiTheme="majorBidi" w:cstheme="majorBidi"/>
          <w:b/>
          <w:bCs/>
          <w:sz w:val="24"/>
          <w:szCs w:val="24"/>
        </w:rPr>
        <w:t>digital health</w:t>
      </w:r>
      <w:r w:rsidRPr="00525FBB">
        <w:rPr>
          <w:rFonts w:asciiTheme="majorBidi" w:hAnsiTheme="majorBidi" w:cstheme="majorBidi"/>
          <w:sz w:val="24"/>
          <w:szCs w:val="24"/>
        </w:rPr>
        <w:t xml:space="preserve"> is aimed at improving care quality, reducing costs, and expanding access, particularly in underserved regions.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{"citationItems":[{"id":"ITEM-1","itemData":{"DOI":"10.1016/S0140-6736(21)02792-6","ISSN":"1474547X","PMID":"34922661","author":[{"dropping-particle":"","family":"Zarocostas","given":"John","non-dropping-particle":"","parse-names":false,"suffix":""}],"container-title":"Lancet (London, England)","id":"ITEM-1","issued":{"date-parts":[["2021"]]},"title":"WHO and World Bank urge spending for UHC","type":"article"},"uris":["http://www.mendeley.com/documents/?uuid=b9cca674-1b6f-4f6c-9a37-24dbe38d5774","http://www.mendeley.com/documents/?uuid=7982f59d-9ae0-4532-935e-3749c46e01de"]},{"id":"ITEM-2","itemData":{"abstract":"2. WHO. Medication Safety in High-risk Situations. 2019. Available from: file:///C:/Users/Murooj%20Shukry/Downloads/WHO-UHC-SDS-2019.10-eng%20(1).pdf.","author":[{"dropping-particle":"","family":"World Health Organization(WHO)","given":"","non-dropping-particle":"","parse-names":false,"suffix":""}],"container-title":"The Third Global Patient Safety Challenge: Medication Without Harm, Webinar on Medication Safety","id":"ITEM-2","issued":{"date-parts":[["2019"]]},"title":"Medication Safety in high-risk situations","type":"article-journal"},"uris":["http://www.mendeley.com/documents/?uuid=3b7765f1-ac31-4de1-9335-ec517d89b96e","http://www.mendeley.com/documents/?uuid=e771904b-7bff-4cab-baf9-0f852982463b"]}],"mendeley":{"formattedCitation":"(World Health Organization(WHO), 2019; Zarocostas, 2021)","plainTextFormattedCitation":"(World Health Organization(WHO), 2019; Zarocostas, 2021)","previouslyFormattedCitation":"(World Health Organization(WHO), 2019; Zarocostas, 2021)"},"properties":{"noteIndex":0},"schema":"https://github.com/citation-style-language/schema/raw/master/csl-citation.json"}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(World Health Organization(WHO), 2019; Zarocostas, 2021)</w:t>
      </w:r>
      <w:r w:rsidRPr="00525FBB">
        <w:rPr>
          <w:rFonts w:asciiTheme="majorBidi" w:hAnsiTheme="majorBidi" w:cstheme="majorBidi"/>
          <w:sz w:val="24"/>
          <w:szCs w:val="24"/>
        </w:rPr>
        <w:fldChar w:fldCharType="end"/>
      </w:r>
    </w:p>
    <w:p w14:paraId="3AA1C483"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 Many countries, including the U.S., the UK, and several European nations, are heavily investing in </w:t>
      </w:r>
      <w:r w:rsidRPr="00525FBB">
        <w:rPr>
          <w:rFonts w:asciiTheme="majorBidi" w:hAnsiTheme="majorBidi" w:cstheme="majorBidi"/>
          <w:b/>
          <w:bCs/>
          <w:sz w:val="24"/>
          <w:szCs w:val="24"/>
        </w:rPr>
        <w:t>e-health technologies</w:t>
      </w:r>
      <w:r w:rsidRPr="00525FBB">
        <w:rPr>
          <w:rFonts w:asciiTheme="majorBidi" w:hAnsiTheme="majorBidi" w:cstheme="majorBidi"/>
          <w:sz w:val="24"/>
          <w:szCs w:val="24"/>
        </w:rPr>
        <w:t xml:space="preserve">, </w:t>
      </w:r>
      <w:r w:rsidRPr="00525FBB">
        <w:rPr>
          <w:rFonts w:asciiTheme="majorBidi" w:hAnsiTheme="majorBidi" w:cstheme="majorBidi"/>
          <w:b/>
          <w:bCs/>
          <w:sz w:val="24"/>
          <w:szCs w:val="24"/>
        </w:rPr>
        <w:t>telemedicine</w:t>
      </w:r>
      <w:r w:rsidRPr="00525FBB">
        <w:rPr>
          <w:rFonts w:asciiTheme="majorBidi" w:hAnsiTheme="majorBidi" w:cstheme="majorBidi"/>
          <w:sz w:val="24"/>
          <w:szCs w:val="24"/>
        </w:rPr>
        <w:t xml:space="preserve">, and </w:t>
      </w:r>
      <w:r w:rsidRPr="00525FBB">
        <w:rPr>
          <w:rFonts w:asciiTheme="majorBidi" w:hAnsiTheme="majorBidi" w:cstheme="majorBidi"/>
          <w:b/>
          <w:bCs/>
          <w:sz w:val="24"/>
          <w:szCs w:val="24"/>
        </w:rPr>
        <w:t>data analytics</w:t>
      </w:r>
      <w:r w:rsidRPr="00525FBB">
        <w:rPr>
          <w:rFonts w:asciiTheme="majorBidi" w:hAnsiTheme="majorBidi" w:cstheme="majorBidi"/>
          <w:sz w:val="24"/>
          <w:szCs w:val="24"/>
        </w:rPr>
        <w:t xml:space="preserve"> to enhance the efficiency of their healthcare delivery systems.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{"citationItems":[{"id":"ITEM-1","itemData":{"ISBN":"9789264961012","abstract":"Education at a Glance 2009 Summary of key findings Governments are paying increasing attention to international educational comparisons as they search for effective policies that enhance individuals social and economic prospects, provide incentives for greater efficiency in the provision of education, and help to mobilise resources to meet rising demands. In response to this need, the OECD devotes a major effort to the development and analysis of quantitative, internationally comparable indicators, which are published annually in Education at a Glance. These indicators enable educational policy makers and practitioners alike to see their education systems in the light of other countries performances. New features in the 2009 edition include an extension of the analysis of the economic returns to education to social outcomes; new data on long-term unemployment and involuntary part-time work among young adults; an analysis of the spending choices that countries make between factors such as teacher compensation, instruction time and class sizes; an analysis on teaching practices as well as teacher appraisal and feedback based on TALIS; and a review of excellence in education for 15-year-olds based on PISA.","author":[{"dropping-particle":"","family":"OECD","given":"","non-dropping-particle":"","parse-names":false,"suffix":""}],"container-title":"OECD Indicators, OECD iLibrary","id":"ITEM-1","issued":{"date-parts":[["2021"]]},"title":"Long-term care settings | Health at a Glance 2021 :","type":"book"},"uris":["http://www.mendeley.com/documents/?uuid=b3d6492e-b674-40ad-9d51-6551d441fee4"]}],"mendeley":{"formattedCitation":"(OECD, 2021)","plainTextFormattedCitation":"(OECD, 2021)","previouslyFormattedCitation":"(OECD, 2021)"},"properties":{"noteIndex":0},"schema":"https://github.com/citation-style-language/schema/raw/master/csl-citation.json"}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(OECD, 2021)</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 xml:space="preserve"> Moreover, </w:t>
      </w:r>
      <w:r w:rsidRPr="00525FBB">
        <w:rPr>
          <w:rFonts w:asciiTheme="majorBidi" w:hAnsiTheme="majorBidi" w:cstheme="majorBidi"/>
          <w:b/>
          <w:bCs/>
          <w:sz w:val="24"/>
          <w:szCs w:val="24"/>
        </w:rPr>
        <w:t>public-private partnerships (PPPs)</w:t>
      </w:r>
      <w:r w:rsidRPr="00525FBB">
        <w:rPr>
          <w:rFonts w:asciiTheme="majorBidi" w:hAnsiTheme="majorBidi" w:cstheme="majorBidi"/>
          <w:sz w:val="24"/>
          <w:szCs w:val="24"/>
        </w:rPr>
        <w:t xml:space="preserve"> have emerged as a key model in many countries for improving healthcare delivery. The collaboration between the public and private sectors helps optimize resource utilization, improve service delivery, and ensure financial sustainability, especially in developing.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{"citationItems":[{"id":"ITEM-1","itemData":{"ISBN":"9780335246342","abstract":"This chapter looks at how and in what circumstances the findings from research and evaluation are used in the policy process.","author":[{"dropping-particle":"al","family":"Buse","given":"et","non-dropping-particle":"","parse-names":false,"suffix":""}],"container-title":"Making Health Policy","id":"ITEM-1","issued":{"date-parts":[["2012"]]},"title":"Making Health Policy","type":"book"},"uris":["http://www.mendeley.com/documents/?uuid=05fea4ff-eca7-4daf-bed1-1a3ed8276070"]},{"id":"ITEM-2","itemData":{"DOI":"10.1161/CIRCOUTCOMES.118.005372","ISSN":"19417705","PMID":"30562073","author":[{"dropping-particle":"","family":"Borden","given":"William B.","non-dropping-particle":"","parse-names":false,"suffix":""},{"dropping-particle":"","family":"Nallamothu","given":"Brahmajee K.","non-dropping-particle":"","parse-names":false,"suffix":""}],"container-title":"Circulation. Cardiovascular quality and outcomes","id":"ITEM-2","issued":{"date-parts":[["2018"]]},"title":"Making Health Policy More Accessible","type":"article"},"uris":["http://www.mendeley.com/documents/?uuid=073e3199-a9eb-442b-80b7-28c9f0d5dd71","http://www.mendeley.com/documents/?uuid=0734189d-18b8-4320-a560-b215cb15cec6"]}],"mendeley":{"formattedCitation":"(Borden &amp; Nallamothu, 2018; Buse, 2012)","plainTextFormattedCitation":"(Borden &amp; Nallamothu, 2018; Buse, 2012)","previouslyFormattedCitation":"(Borden &amp; Nallamothu, 2018; Buse, 2012)"},"properties":{"noteIndex":0},"schema":"https://github.com/citation-style-language/schema/raw/master/csl-citation.json"}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(Borden &amp; Nallamothu, 2018; Buse, 2012)</w:t>
      </w:r>
      <w:r w:rsidRPr="00525FBB">
        <w:rPr>
          <w:rFonts w:asciiTheme="majorBidi" w:hAnsiTheme="majorBidi" w:cstheme="majorBidi"/>
          <w:sz w:val="24"/>
          <w:szCs w:val="24"/>
        </w:rPr>
        <w:fldChar w:fldCharType="end"/>
      </w:r>
    </w:p>
    <w:p w14:paraId="6AFCAAA2"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One of the most pressing challenges globally is the </w:t>
      </w:r>
      <w:r w:rsidRPr="00525FBB">
        <w:rPr>
          <w:rFonts w:asciiTheme="majorBidi" w:hAnsiTheme="majorBidi" w:cstheme="majorBidi"/>
          <w:b/>
          <w:bCs/>
          <w:sz w:val="24"/>
          <w:szCs w:val="24"/>
        </w:rPr>
        <w:t>workforce shortage</w:t>
      </w:r>
      <w:r w:rsidRPr="00525FBB">
        <w:rPr>
          <w:rFonts w:asciiTheme="majorBidi" w:hAnsiTheme="majorBidi" w:cstheme="majorBidi"/>
          <w:sz w:val="24"/>
          <w:szCs w:val="24"/>
        </w:rPr>
        <w:t xml:space="preserve">, particularly in developing countries. According to the WHO, the world faces a shortage of </w:t>
      </w:r>
      <w:r w:rsidRPr="00525FBB">
        <w:rPr>
          <w:rFonts w:asciiTheme="majorBidi" w:hAnsiTheme="majorBidi" w:cstheme="majorBidi"/>
          <w:b/>
          <w:bCs/>
          <w:sz w:val="24"/>
          <w:szCs w:val="24"/>
        </w:rPr>
        <w:t>18 million health workers</w:t>
      </w:r>
      <w:r w:rsidRPr="00525FBB">
        <w:rPr>
          <w:rFonts w:asciiTheme="majorBidi" w:hAnsiTheme="majorBidi" w:cstheme="majorBidi"/>
          <w:sz w:val="24"/>
          <w:szCs w:val="24"/>
        </w:rPr>
        <w:t xml:space="preserve"> by 2030, exacerbated by the </w:t>
      </w:r>
      <w:r w:rsidRPr="00525FBB">
        <w:rPr>
          <w:rFonts w:asciiTheme="majorBidi" w:hAnsiTheme="majorBidi" w:cstheme="majorBidi"/>
          <w:b/>
          <w:bCs/>
          <w:sz w:val="24"/>
          <w:szCs w:val="24"/>
        </w:rPr>
        <w:t>global migration of healthcare professionals</w:t>
      </w:r>
      <w:r w:rsidRPr="00525FBB">
        <w:rPr>
          <w:rFonts w:asciiTheme="majorBidi" w:hAnsiTheme="majorBidi" w:cstheme="majorBidi"/>
          <w:sz w:val="24"/>
          <w:szCs w:val="24"/>
        </w:rPr>
        <w:t xml:space="preserve">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{"citationItems":[{"id":"ITEM-1","itemData":{"URL":"https://www.who.int/data/gho/data/themes/topics/health-workforce","accessed":{"date-parts":[["2025","3","13"]]},"author":[{"dropping-particle":"","family":"World Health Organization","given":"","non-dropping-particle":"","parse-names":false,"suffix":""}],"container-title":"Geneva","id":"ITEM-1","issued":{"date-parts":[["2023"]]},"title":"WHO Global Health Workforce Statistics Database","type":"webpage"},"uris":["http://www.mendeley.com/documents/?uuid=db9108e2-9383-3198-afc6-d939651a47c7"]}],"mendeley":{"formattedCitation":"(World Health Organization, 2023)","plainTextFormattedCitation":"(World Health Organization, 2023)","previouslyFormattedCitation":"(World Health Organization, 2023)"},"properties":{"noteIndex":0},"schema":"https://github.com/citation-style-language/schema/raw/master/csl-citation.json"}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(World Health Organization, 2023)</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 xml:space="preserve">. Many countries, such as the U.S. and the UK, are addressing this through </w:t>
      </w:r>
      <w:r w:rsidRPr="00525FBB">
        <w:rPr>
          <w:rFonts w:asciiTheme="majorBidi" w:hAnsiTheme="majorBidi" w:cstheme="majorBidi"/>
          <w:b/>
          <w:bCs/>
          <w:sz w:val="24"/>
          <w:szCs w:val="24"/>
        </w:rPr>
        <w:t>workforce development programs</w:t>
      </w:r>
      <w:r w:rsidRPr="00525FBB">
        <w:rPr>
          <w:rFonts w:asciiTheme="majorBidi" w:hAnsiTheme="majorBidi" w:cstheme="majorBidi"/>
          <w:sz w:val="24"/>
          <w:szCs w:val="24"/>
        </w:rPr>
        <w:t xml:space="preserve"> and </w:t>
      </w:r>
      <w:r w:rsidRPr="00525FBB">
        <w:rPr>
          <w:rFonts w:asciiTheme="majorBidi" w:hAnsiTheme="majorBidi" w:cstheme="majorBidi"/>
          <w:b/>
          <w:bCs/>
          <w:sz w:val="24"/>
          <w:szCs w:val="24"/>
        </w:rPr>
        <w:t>training initiatives</w:t>
      </w:r>
      <w:r w:rsidRPr="00525FBB">
        <w:rPr>
          <w:rFonts w:asciiTheme="majorBidi" w:hAnsiTheme="majorBidi" w:cstheme="majorBidi"/>
          <w:sz w:val="24"/>
          <w:szCs w:val="24"/>
        </w:rPr>
        <w:t xml:space="preserve"> to equip healthcare professionals with the necessary skills to manage an aging population and an increasing prevalence of chronic diseases. </w:t>
      </w:r>
    </w:p>
    <w:p w14:paraId="7A2AE8E8"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In Saudi Arabia, Vision 2030 outlines a comprehensive strategy to modernize the healthcare sector. One of the key pillars of the Vision is to </w:t>
      </w:r>
      <w:r w:rsidRPr="00525FBB">
        <w:rPr>
          <w:rFonts w:asciiTheme="majorBidi" w:hAnsiTheme="majorBidi" w:cstheme="majorBidi"/>
          <w:b/>
          <w:bCs/>
          <w:sz w:val="24"/>
          <w:szCs w:val="24"/>
        </w:rPr>
        <w:t>diversify the economy</w:t>
      </w:r>
      <w:r w:rsidRPr="00525FBB">
        <w:rPr>
          <w:rFonts w:asciiTheme="majorBidi" w:hAnsiTheme="majorBidi" w:cstheme="majorBidi"/>
          <w:sz w:val="24"/>
          <w:szCs w:val="24"/>
        </w:rPr>
        <w:t xml:space="preserve"> and reduce reliance on oil revenues by shifting towards a </w:t>
      </w:r>
      <w:r w:rsidRPr="00525FBB">
        <w:rPr>
          <w:rFonts w:asciiTheme="majorBidi" w:hAnsiTheme="majorBidi" w:cstheme="majorBidi"/>
          <w:b/>
          <w:bCs/>
          <w:sz w:val="24"/>
          <w:szCs w:val="24"/>
        </w:rPr>
        <w:t>knowledge-based economy</w:t>
      </w:r>
      <w:r w:rsidRPr="00525FBB">
        <w:rPr>
          <w:rFonts w:asciiTheme="majorBidi" w:hAnsiTheme="majorBidi" w:cstheme="majorBidi"/>
          <w:sz w:val="24"/>
          <w:szCs w:val="24"/>
        </w:rPr>
        <w:t xml:space="preserve">. Healthcare transformation, underpinned by </w:t>
      </w:r>
      <w:r w:rsidRPr="00525FBB">
        <w:rPr>
          <w:rFonts w:asciiTheme="majorBidi" w:hAnsiTheme="majorBidi" w:cstheme="majorBidi"/>
          <w:b/>
          <w:bCs/>
          <w:sz w:val="24"/>
          <w:szCs w:val="24"/>
        </w:rPr>
        <w:t>digital solutions</w:t>
      </w:r>
      <w:r w:rsidRPr="00525FBB">
        <w:rPr>
          <w:rFonts w:asciiTheme="majorBidi" w:hAnsiTheme="majorBidi" w:cstheme="majorBidi"/>
          <w:sz w:val="24"/>
          <w:szCs w:val="24"/>
        </w:rPr>
        <w:t xml:space="preserve">, </w:t>
      </w:r>
      <w:r w:rsidRPr="00525FBB">
        <w:rPr>
          <w:rFonts w:asciiTheme="majorBidi" w:hAnsiTheme="majorBidi" w:cstheme="majorBidi"/>
          <w:b/>
          <w:bCs/>
          <w:sz w:val="24"/>
          <w:szCs w:val="24"/>
        </w:rPr>
        <w:t>e-health technologies</w:t>
      </w:r>
      <w:r w:rsidRPr="00525FBB">
        <w:rPr>
          <w:rFonts w:asciiTheme="majorBidi" w:hAnsiTheme="majorBidi" w:cstheme="majorBidi"/>
          <w:sz w:val="24"/>
          <w:szCs w:val="24"/>
        </w:rPr>
        <w:t xml:space="preserve">, and a </w:t>
      </w:r>
      <w:r w:rsidRPr="00525FBB">
        <w:rPr>
          <w:rFonts w:asciiTheme="majorBidi" w:hAnsiTheme="majorBidi" w:cstheme="majorBidi"/>
          <w:sz w:val="24"/>
          <w:szCs w:val="24"/>
        </w:rPr>
        <w:lastRenderedPageBreak/>
        <w:t xml:space="preserve">focus on </w:t>
      </w:r>
      <w:r w:rsidRPr="00525FBB">
        <w:rPr>
          <w:rFonts w:asciiTheme="majorBidi" w:hAnsiTheme="majorBidi" w:cstheme="majorBidi"/>
          <w:b/>
          <w:bCs/>
          <w:sz w:val="24"/>
          <w:szCs w:val="24"/>
        </w:rPr>
        <w:t>patient-centered care</w:t>
      </w:r>
      <w:r w:rsidRPr="00525FBB">
        <w:rPr>
          <w:rFonts w:asciiTheme="majorBidi" w:hAnsiTheme="majorBidi" w:cstheme="majorBidi"/>
          <w:sz w:val="24"/>
          <w:szCs w:val="24"/>
        </w:rPr>
        <w:t xml:space="preserve">, is a significant component of this transformation. As identified in the results, </w:t>
      </w:r>
      <w:r w:rsidRPr="00525FBB">
        <w:rPr>
          <w:rFonts w:asciiTheme="majorBidi" w:hAnsiTheme="majorBidi" w:cstheme="majorBidi"/>
          <w:b/>
          <w:bCs/>
          <w:sz w:val="24"/>
          <w:szCs w:val="24"/>
        </w:rPr>
        <w:t>digital health solutions</w:t>
      </w:r>
      <w:r w:rsidRPr="00525FBB">
        <w:rPr>
          <w:rFonts w:asciiTheme="majorBidi" w:hAnsiTheme="majorBidi" w:cstheme="majorBidi"/>
          <w:sz w:val="24"/>
          <w:szCs w:val="24"/>
        </w:rPr>
        <w:t xml:space="preserve"> such as </w:t>
      </w:r>
      <w:r w:rsidRPr="00525FBB">
        <w:rPr>
          <w:rFonts w:asciiTheme="majorBidi" w:hAnsiTheme="majorBidi" w:cstheme="majorBidi"/>
          <w:b/>
          <w:bCs/>
          <w:sz w:val="24"/>
          <w:szCs w:val="24"/>
        </w:rPr>
        <w:t>telemedicine</w:t>
      </w:r>
      <w:r w:rsidRPr="00525FBB">
        <w:rPr>
          <w:rFonts w:asciiTheme="majorBidi" w:hAnsiTheme="majorBidi" w:cstheme="majorBidi"/>
          <w:sz w:val="24"/>
          <w:szCs w:val="24"/>
        </w:rPr>
        <w:t xml:space="preserve"> and </w:t>
      </w:r>
      <w:r w:rsidRPr="00525FBB">
        <w:rPr>
          <w:rFonts w:asciiTheme="majorBidi" w:hAnsiTheme="majorBidi" w:cstheme="majorBidi"/>
          <w:b/>
          <w:bCs/>
          <w:sz w:val="24"/>
          <w:szCs w:val="24"/>
        </w:rPr>
        <w:t>e-health platforms</w:t>
      </w:r>
      <w:r w:rsidRPr="00525FBB">
        <w:rPr>
          <w:rFonts w:asciiTheme="majorBidi" w:hAnsiTheme="majorBidi" w:cstheme="majorBidi"/>
          <w:sz w:val="24"/>
          <w:szCs w:val="24"/>
        </w:rPr>
        <w:t xml:space="preserve"> are central to Saudi Arabia’s strategy to improve healthcare access and quality, particularly in underserved rural regions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{"citationItems":[{"id":"ITEM-1","itemData":{"DOI":"10.7759/cureus.65047","abstract":"Saudi Arabia guarantees citizens the right to receive medical care and treatment during emergencies or sickness and aging. However, with the consistent increase in expenditure and inability to provide access, the transformation was an unavoidable action. Therefore, this paper aims to address the potential and risks behind the National Transformation Program (NTP) in Saudi Arabia through the lens of the Value Transformation Framework. Multiple research databases (PubMed, Web of Science, UpToDate, Google Scholar, and Summon) were searched between 2016 and 2024. Relevant articles were selected by scanning the title and abstract, yielding 34 references after the screening, exclusion, and inclusion criteria were met. Citation software was used to identify additional sources as analysis proceeded, in accordance with the hermeneutic approach in mapping and classification. The most cited concerns were the sustainability and workforce of the healthcare system. In terms of care delivery, the literature was extensive. In contrast, insufficient studies have been conducted on infrastructure and people. Furthermore, limited information is available on how to assess the transformation, which remains an unaddressed research question. NTP could meet several hurdles. However, through the measurement, assessment phases, and development tracking, success could be achieved.","author":[{"dropping-particle":"","family":"Alkhurayji","given":"Khalid","non-dropping-particle":"","parse-names":false,"suffix":""},{"dropping-particle":"","family":"Alzahrani","given":"Hazzam A","non-dropping-particle":"","parse-names":false,"suffix":""},{"dropping-particle":"","family":"Alotaibi","given":"Amal S","non-dropping-particle":"","parse-names":false,"suffix":""},{"dropping-particle":"","family":"Alharbi","given":"Abdulaziz G","non-dropping-particle":"","parse-names":false,"suffix":""},{"dropping-particle":"","family":"Zandan","given":"Abdullah A","non-dropping-particle":"","parse-names":false,"suffix":""},{"dropping-particle":"","family":"Alsheikhi","given":"Hussein","non-dropping-particle":"","parse-names":false,"suffix":""}],"id":"ITEM-1","issued":{"date-parts":[["2024"]]},"title":"Categories: Epidemiology/Public Health, Health Policy","type":"article-journal"},"uris":["http://www.mendeley.com/documents/?uuid=2ecba4e7-eede-36a7-9506-2aaf3882c8f1"]}],"mendeley":{"formattedCitation":"(Alkhurayji et al., 2024)","plainTextFormattedCitation":"(Alkhurayji et al., 2024)","previouslyFormattedCitation":"(Alkhurayji et al., 2024)"},"properties":{"noteIndex":0},"schema":"https://github.com/citation-style-language/schema/raw/master/csl-citation.json"}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(Alkhurayji et al., 2024)</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w:t>
      </w:r>
    </w:p>
    <w:p w14:paraId="5B360763"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A key similarity between global trends and Saudi Arabia’s healthcare reforms is the focus on </w:t>
      </w:r>
      <w:r w:rsidRPr="00525FBB">
        <w:rPr>
          <w:rFonts w:asciiTheme="majorBidi" w:hAnsiTheme="majorBidi" w:cstheme="majorBidi"/>
          <w:b/>
          <w:bCs/>
          <w:sz w:val="24"/>
          <w:szCs w:val="24"/>
        </w:rPr>
        <w:t>workforce development</w:t>
      </w:r>
      <w:r w:rsidRPr="00525FBB">
        <w:rPr>
          <w:rFonts w:asciiTheme="majorBidi" w:hAnsiTheme="majorBidi" w:cstheme="majorBidi"/>
          <w:sz w:val="24"/>
          <w:szCs w:val="24"/>
        </w:rPr>
        <w:t xml:space="preserve">. The Kingdom, like many other countries, faces a significant shortage of healthcare professionals, especially in specialized areas. This is particularly problematic given the country’s increasing demand for healthcare services due to the aging population and rising prevalence of </w:t>
      </w:r>
      <w:r w:rsidRPr="00525FBB">
        <w:rPr>
          <w:rFonts w:asciiTheme="majorBidi" w:hAnsiTheme="majorBidi" w:cstheme="majorBidi"/>
          <w:b/>
          <w:bCs/>
          <w:sz w:val="24"/>
          <w:szCs w:val="24"/>
        </w:rPr>
        <w:t>non-communicable diseases (NCDs)</w:t>
      </w:r>
      <w:r w:rsidRPr="00525FBB">
        <w:rPr>
          <w:rFonts w:asciiTheme="majorBidi" w:hAnsiTheme="majorBidi" w:cstheme="majorBidi"/>
          <w:sz w:val="24"/>
          <w:szCs w:val="24"/>
        </w:rPr>
        <w:t xml:space="preserve">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{"citationItems":[{"id":"ITEM-1","itemData":{"DOI":"10.1177/11786329221121214/SUPPL_FILE/SJ-DOCX-1-HIS-10.1177_11786329221121214.DOCX","ISSN":"11786329","abstract":"Saudi Arabia’s Vision 2030 has taken a centre stage in the development of its healthcare sector through privatization adopting Public Private Partnerships (PPPs). The objective of this study is to provide an overview of healthcare transformation in Saudi Arabia since the launch of the ambitious Vision 2030, identifying issues those need to be addressed and steps taken towards provision of health systems transformation. Literature review was based on extensive review of published and unpublished articles, where different search engines and databases searched using the key words: ‘Saudi Healthcare’, ‘Healthcare transformation’, ‘Saudi vision: 2030’, ‘Public-Private Partnerships’ and ‘Privatization’, in addition to secondary data as published in government reports, policy, government strategy documents and pertinent press releases. The future of the healthcare like many other developing economies continues to weigh policies for universal coverage while containing costs and the national transformation programme driven by social and economic factors has implemented strategic steps to develop its private healthcare system that includes: establishing health clusters, National Centre for Privatization &amp; PPP – an official enabler for privatization of all government sectors and recently approved Private Sector Participation (PSP) Law involves several legislative enablers designed to enhance investor confidence in the privatization process. Although this study demonstrates systemic legislative progress to facilitate transformation process of healthcare sector, also endorses caution and research in identifying barriers to the implementation of PPPs, Saudi workforce development, implementing effective revenue cycle management function for healthcare reimbursement and ensuring vulnerable population access to good quality and tertiary healthcare. As healthcare of Saudi Arabia embarks on the transformation journey facing daunting challenges, but it appears that the government has laid out a roadmap with the legislative framework; however it is important that there is ongoing monitoring with adjustments as this complex and multifaceted process proceeds.","author":[{"dropping-particle":"","family":"Alasiri","given":"Ahmed Ali","non-dropping-particle":"","parse-names":false,"suffix":""},{"dropping-particle":"","family":"Mohammed","given":"Viqaruddin","non-dropping-particle":"","parse-names":false,"suffix":""}],"container-title":"Health Services Insights","id":"ITEM-1","issued":{"date-parts":[["2022"]]},"publisher":"SAGE Publications Ltd","title":"Healthcare Transformation in Saudi Arabia: An Overview Since the Launch of Vision 2030","type":"article-journal","volume":"15"},"uris":["http://www.mendeley.com/documents/?uuid=bfdff6b0-4172-35ba-9f3e-711d6b6e9aaa"]}],"mendeley":{"formattedCitation":"(Alasiri &amp; Mohammed, 2022)","plainTextFormattedCitation":"(Alasiri &amp; Mohammed, 2022)","previouslyFormattedCitation":"(Alasiri &amp; Mohammed, 2022)"},"properties":{"noteIndex":0},"schema":"https://github.com/citation-style-language/schema/raw/master/csl-citation.json"}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(Alasiri &amp; Mohammed, 2022)</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 xml:space="preserve"> To address this, Saudi Arabia is heavily investing in </w:t>
      </w:r>
      <w:r w:rsidRPr="00525FBB">
        <w:rPr>
          <w:rFonts w:asciiTheme="majorBidi" w:hAnsiTheme="majorBidi" w:cstheme="majorBidi"/>
          <w:b/>
          <w:bCs/>
          <w:sz w:val="24"/>
          <w:szCs w:val="24"/>
        </w:rPr>
        <w:t>training programs</w:t>
      </w:r>
      <w:r w:rsidRPr="00525FBB">
        <w:rPr>
          <w:rFonts w:asciiTheme="majorBidi" w:hAnsiTheme="majorBidi" w:cstheme="majorBidi"/>
          <w:sz w:val="24"/>
          <w:szCs w:val="24"/>
        </w:rPr>
        <w:t xml:space="preserve"> and </w:t>
      </w:r>
      <w:r w:rsidRPr="00525FBB">
        <w:rPr>
          <w:rFonts w:asciiTheme="majorBidi" w:hAnsiTheme="majorBidi" w:cstheme="majorBidi"/>
          <w:b/>
          <w:bCs/>
          <w:sz w:val="24"/>
          <w:szCs w:val="24"/>
        </w:rPr>
        <w:t>professional development</w:t>
      </w:r>
      <w:r w:rsidRPr="00525FBB">
        <w:rPr>
          <w:rFonts w:asciiTheme="majorBidi" w:hAnsiTheme="majorBidi" w:cstheme="majorBidi"/>
          <w:sz w:val="24"/>
          <w:szCs w:val="24"/>
        </w:rPr>
        <w:t xml:space="preserve"> to ensure that the healthcare workforce is equipped to handle the future demands of the sector. This approach mirrors global practices in nations such as the U.S. and India, where workforce shortages are being addressed through </w:t>
      </w:r>
      <w:r w:rsidRPr="00525FBB">
        <w:rPr>
          <w:rFonts w:asciiTheme="majorBidi" w:hAnsiTheme="majorBidi" w:cstheme="majorBidi"/>
          <w:b/>
          <w:bCs/>
          <w:sz w:val="24"/>
          <w:szCs w:val="24"/>
        </w:rPr>
        <w:t>training and retention strategies</w:t>
      </w:r>
      <w:r w:rsidRPr="00525FBB">
        <w:rPr>
          <w:rFonts w:asciiTheme="majorBidi" w:hAnsiTheme="majorBidi" w:cstheme="majorBidi"/>
          <w:sz w:val="24"/>
          <w:szCs w:val="24"/>
        </w:rPr>
        <w:t xml:space="preserve">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{"citationItems":[{"id":"ITEM-1","itemData":{"DOI":"10.28945/4571","abstract":"A systematic review was conducted for a state-sponsored workforce board, a non-profit quasi-governmental workforce development organization located in the northeastern U.S., to determine what are the most effective career training programs in healthcare, advanced manufacturing, hospitality, and marine economy industries for job seekers in U.S. based organizations. The absorptive capacity theory was utilized in examining the research problem through a theoretical lens. The results indicated that on-the-job training (OJT) was found to be the most effective training technique across all the industries. Career advising was also considered a crucial element of career training within the healthcare, hospitality, and marine economy industries. Recommendations for the workforce board included revamping their current OJT program and connecting with career advisors at the local high schools. Industry-specific recommendations for the workforce board included providing academic support in healthcare, workforce flexibility in advanced manufacturing, multilingual training in hospitality, and exposure to oceanic concepts in academics for the marine economy.","author":[{"dropping-particle":"","family":"A Breckon","given":"Denise","non-dropping-particle":"","parse-names":false,"suffix":""},{"dropping-particle":"","family":"L Goldberg","given":"Kate","non-dropping-particle":"","parse-names":false,"suffix":""},{"dropping-particle":"","family":"C Pruett","given":"Candace","non-dropping-particle":"","parse-names":false,"suffix":""},{"dropping-particle":"","family":"A Harsanyi","given":"Maria","non-dropping-particle":"","parse-names":false,"suffix":""},{"dropping-particle":"","family":"C Rodriguez","given":"Robert","non-dropping-particle":"","parse-names":false,"suffix":""}],"container-title":"Muma Business Review","id":"ITEM-1","issued":{"date-parts":[["2020"]]},"title":"Case Study: A Systematic Review of the Most Effective Career Training Programs for a Workforce Board","type":"article-journal"},"uris":["http://www.mendeley.com/documents/?uuid=11340009-bf34-4177-8edb-6b0e70fa7ba3"]},{"id":"ITEM-2","itemData":{"abstract":"The United Arab Emirates (U.A.E.) is actively expanding its national healthcare system to meet the growing needs of its people and support economic diversification, with lead-ing U.S. medical centers, corporations, and academic insti-tutions playing vital roles in the process. All seven emirates provide healthcare services to their citizenry and are rapidly building their healthcare infrastructure inclusive of hospi-tals and clinics, while simultaneously developing their local workforce. In the U.A.E., there are five government health-care regulators: the Ministry of Health, Ministry of Finance, Federal Health Insurance Authority, Dubai Health Authority, and the Health Authority Abu Dhabi. These entities regu-late healthcare service providers on the ground such as the Abu Dhabi Health Services Company (SEHA). Against this backdrop, there are many opportunities for U.S. partnership with U.A.E. healthcare entities. Examples of these partner-ships include Children's National Medical Center, Cleveland Clinic Abu Dhabi, GE Healthcare, and Johns Hopkins, to name a few. These partnerships often address the pressing concerns within the U.A.E. healthcare sector such as I. T. in-frastructure integration, diabetes and non-communicable disease prevention, workforce development, pharmaceuti-cal pricing and licensing, and insurance issues. The positive aspects of the U.S. and the U.A.E.'s mutual healthcare sector investment cannot be overstated as these new partnerships have created many new jobs, thus stimulating the econo-mies of both nations. Opportunities for partnership in the U.A.E. healthcare sector for U.S. companies are available, but it is important to first have a basic working knowledge of the sector and an understanding of where your organization can provide the most value. In fact, the U.S. healthcare relationship with the region goes back to 1960 when American missionaries Drs. Pat and Marian Kennedy set up a makeshift hospital in a mud-block guesthouse donated by Sheikh Zayed in Al Ain, an oasis in the Emirate of Abu Dhabi. By 1964, the hospital had expanded into a concrete building equipped with a la-bor and delivery suite, drawing patients from all over the Arabian Gulf for treatment. X-ray facilities and in-patient hospital beds followed in the 1970s along with another influx of U.S. healthcare workers. The hospital, now called Oasis Hospital, is still in existence today. Since then, the U.A.E.'s healthcare sector has expanded rapidly by partnering…","author":[{"dropping-particle":"","family":"US-UAE Business Council","given":"","non-dropping-particle":"","parse-names":false,"suffix":""}],"container-title":"UAE Business Council","id":"ITEM-2","issued":{"date-parts":[["2014"]]},"title":"The U.A.E. Healthcare Sector","type":"article-journal"},"uris":["http://www.mendeley.com/documents/?uuid=030dfa24-2b4a-49e2-8275-e432fc5f8da2"]}],"mendeley":{"formattedCitation":"(A Breckon et al., 2020; US-UAE Business Council, 2014)","plainTextFormattedCitation":"(A Breckon et al., 2020; US-UAE Business Council, 2014)","previouslyFormattedCitation":"(A Breckon et al., 2020; US-UAE Business Council, 2014)"},"properties":{"noteIndex":0},"schema":"https://github.com/citation-style-language/schema/raw/master/csl-citation.json"}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(A Breckon et al., 2020; US-UAE Business Council, 2014)</w:t>
      </w:r>
      <w:r w:rsidRPr="00525FBB">
        <w:rPr>
          <w:rFonts w:asciiTheme="majorBidi" w:hAnsiTheme="majorBidi" w:cstheme="majorBidi"/>
          <w:sz w:val="24"/>
          <w:szCs w:val="24"/>
        </w:rPr>
        <w:fldChar w:fldCharType="end"/>
      </w:r>
    </w:p>
    <w:p w14:paraId="42C64B97"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Moreover, Saudi Arabia’s </w:t>
      </w:r>
      <w:r w:rsidRPr="00525FBB">
        <w:rPr>
          <w:rFonts w:asciiTheme="majorBidi" w:hAnsiTheme="majorBidi" w:cstheme="majorBidi"/>
          <w:b/>
          <w:bCs/>
          <w:sz w:val="24"/>
          <w:szCs w:val="24"/>
        </w:rPr>
        <w:t>public-private partnership model</w:t>
      </w:r>
      <w:r w:rsidRPr="00525FBB">
        <w:rPr>
          <w:rFonts w:asciiTheme="majorBidi" w:hAnsiTheme="majorBidi" w:cstheme="majorBidi"/>
          <w:sz w:val="24"/>
          <w:szCs w:val="24"/>
        </w:rPr>
        <w:t xml:space="preserve"> is in alignment with global trends. The involvement of the private sector in the delivery of healthcare services is essential for improving service quality and ensuring financial sustainability. The Saudi government’s </w:t>
      </w:r>
      <w:r w:rsidRPr="00525FBB">
        <w:rPr>
          <w:rFonts w:asciiTheme="majorBidi" w:hAnsiTheme="majorBidi" w:cstheme="majorBidi"/>
          <w:b/>
          <w:bCs/>
          <w:sz w:val="24"/>
          <w:szCs w:val="24"/>
        </w:rPr>
        <w:t>Health Holding Company (HHC)</w:t>
      </w:r>
      <w:r w:rsidRPr="00525FBB">
        <w:rPr>
          <w:rFonts w:asciiTheme="majorBidi" w:hAnsiTheme="majorBidi" w:cstheme="majorBidi"/>
          <w:sz w:val="24"/>
          <w:szCs w:val="24"/>
        </w:rPr>
        <w:t xml:space="preserve"> is a key component in this model, aiming to create a more efficient and sustainable healthcare system.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{"citationItems":[{"id":"ITEM-1","itemData":{"DOI":"10.25122/jml-2023-0010","ISSN":"18443117","PMID":"37305832","abstract":"The Kingdom of Saudi Arabia has embarked on a transformation journey referred to as \"Vision 2030\", which com-menced in June 2016. The healthcare sector is currently going through a radical transformation under this Vision. The new Model of Care shifts the focus of the healthcare sector towards proactive care and wellness, aiming to achieve better health, better care, and better value. This paper aims to provide an overview of the Model of Care and review its achievements and progress in the Eastern Region. The paper will further discuss the challenges faced and lessons learned through the implementation process. Internal documents were reviewed, and a comprehensive liter-ature search was undertaken in relevant search engines and databases. Some of the successes of the Model of Care implementation include improved data management, collection and visualization, and better patient and community engagement. Nevertheless, there is a sense of urgency to face the many challenges identified in the Saudi Arabian health system over the coming decade. Although the Model of Care focuses on addressing these identified challenges and gaps, there are many difficulties facing its implementation in the country and several lessons learned during the first few years since its launch, which this paper mentions. Hence, there is a need to measure the successes of pathways and the overall impact of the Model of Care on both the healthcare provision as well as improved population health.","author":[{"dropping-particle":"","family":"Yousef","given":"Lamees","non-dropping-particle":"","parse-names":false,"suffix":""},{"dropping-particle":"","family":"Alangari","given":"Dannah","non-dropping-particle":"","parse-names":false,"suffix":""},{"dropping-particle":"","family":"Alshehri","given":"Rahaf","non-dropping-particle":"","parse-names":false,"suffix":""},{"dropping-particle":"","family":"Alsharif","given":"Bader","non-dropping-particle":"","parse-names":false,"suffix":""},{"dropping-particle":"","family":"Bayameen","given":"Omar","non-dropping-particle":"","parse-names":false,"suffix":""},{"dropping-particle":"","family":"Alnemer","given":"Zeinab","non-dropping-particle":"","parse-names":false,"suffix":""}],"container-title":"Journal of Medicine and Life","id":"ITEM-1","issued":{"date-parts":[["2023"]]},"title":"Healthcare transformation journey in the Eastern Region of Saudi Arabia: an overview, challenges and lessons learned","type":"article-journal"},"uris":["http://www.mendeley.com/documents/?uuid=be341b91-5b41-4155-a4f3-324c3335e535"]}],"mendeley":{"formattedCitation":"(Yousef et al., 2023)","plainTextFormattedCitation":"(Yousef et al., 2023)","previouslyFormattedCitation":"(Yousef et al., 2023)"},"properties":{"noteIndex":0},"schema":"https://github.com/citation-style-language/schema/raw/master/csl-citation.json"}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(Yousef et al., 2023)</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 xml:space="preserve">. UK and Canada have also leveraged </w:t>
      </w:r>
      <w:r w:rsidRPr="00525FBB">
        <w:rPr>
          <w:rFonts w:asciiTheme="majorBidi" w:hAnsiTheme="majorBidi" w:cstheme="majorBidi"/>
          <w:b/>
          <w:bCs/>
          <w:sz w:val="24"/>
          <w:szCs w:val="24"/>
        </w:rPr>
        <w:t>PPPs</w:t>
      </w:r>
      <w:r w:rsidRPr="00525FBB">
        <w:rPr>
          <w:rFonts w:asciiTheme="majorBidi" w:hAnsiTheme="majorBidi" w:cstheme="majorBidi"/>
          <w:sz w:val="24"/>
          <w:szCs w:val="24"/>
        </w:rPr>
        <w:t xml:space="preserve"> to manage healthcare delivery and expand access to services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{"citationItems":[{"id":"ITEM-1","itemData":{"ISBN":"9780335246342","abstract":"This chapter looks at how and in what circumstances the findings from research and evaluation are used in the policy process.","author":[{"dropping-particle":"al","family":"Buse","given":"et","non-dropping-particle":"","parse-names":false,"suffix":""}],"container-title":"Making Health Policy","id":"ITEM-1","issued":{"date-parts":[["2012"]]},"title":"Making Health Policy","type":"book"},"uris":["http://www.mendeley.com/documents/?uuid=05fea4ff-eca7-4daf-bed1-1a3ed8276070"]}],"mendeley":{"formattedCitation":"(Buse, 2012)","plainTextFormattedCitation":"(Buse, 2012)","previouslyFormattedCitation":"(Buse, 2012)"},"properties":{"noteIndex":0},"schema":"https://github.com/citation-style-language/schema/raw/master/csl-citation.json"}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(Buse, 2012)</w:t>
      </w:r>
      <w:r w:rsidRPr="00525FBB">
        <w:rPr>
          <w:rFonts w:asciiTheme="majorBidi" w:hAnsiTheme="majorBidi" w:cstheme="majorBidi"/>
          <w:sz w:val="24"/>
          <w:szCs w:val="24"/>
        </w:rPr>
        <w:fldChar w:fldCharType="end"/>
      </w:r>
    </w:p>
    <w:p w14:paraId="4C4EA58A"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The </w:t>
      </w:r>
      <w:r w:rsidRPr="00525FBB">
        <w:rPr>
          <w:rFonts w:asciiTheme="majorBidi" w:hAnsiTheme="majorBidi" w:cstheme="majorBidi"/>
          <w:b/>
          <w:bCs/>
          <w:sz w:val="24"/>
          <w:szCs w:val="24"/>
        </w:rPr>
        <w:t>financial sustainability</w:t>
      </w:r>
      <w:r w:rsidRPr="00525FBB">
        <w:rPr>
          <w:rFonts w:asciiTheme="majorBidi" w:hAnsiTheme="majorBidi" w:cstheme="majorBidi"/>
          <w:sz w:val="24"/>
          <w:szCs w:val="24"/>
        </w:rPr>
        <w:t xml:space="preserve"> of Saudi Arabia’s healthcare system remains a challenge. Similar to many countries around the world, including the U.S. and Brazil, the Saudi healthcare system faces </w:t>
      </w:r>
      <w:r w:rsidRPr="00525FBB">
        <w:rPr>
          <w:rFonts w:asciiTheme="majorBidi" w:hAnsiTheme="majorBidi" w:cstheme="majorBidi"/>
          <w:b/>
          <w:bCs/>
          <w:sz w:val="24"/>
          <w:szCs w:val="24"/>
        </w:rPr>
        <w:t>increasing costs</w:t>
      </w:r>
      <w:r w:rsidRPr="00525FBB">
        <w:rPr>
          <w:rFonts w:asciiTheme="majorBidi" w:hAnsiTheme="majorBidi" w:cstheme="majorBidi"/>
          <w:sz w:val="24"/>
          <w:szCs w:val="24"/>
        </w:rPr>
        <w:t xml:space="preserve"> as the demand for services grows. The shift </w:t>
      </w:r>
      <w:r w:rsidRPr="00525FBB">
        <w:rPr>
          <w:rFonts w:asciiTheme="majorBidi" w:hAnsiTheme="majorBidi" w:cstheme="majorBidi"/>
          <w:sz w:val="24"/>
          <w:szCs w:val="24"/>
        </w:rPr>
        <w:lastRenderedPageBreak/>
        <w:t xml:space="preserve">towards </w:t>
      </w:r>
      <w:r w:rsidRPr="00525FBB">
        <w:rPr>
          <w:rFonts w:asciiTheme="majorBidi" w:hAnsiTheme="majorBidi" w:cstheme="majorBidi"/>
          <w:b/>
          <w:bCs/>
          <w:sz w:val="24"/>
          <w:szCs w:val="24"/>
        </w:rPr>
        <w:t>primary healthcare</w:t>
      </w:r>
      <w:r w:rsidRPr="00525FBB">
        <w:rPr>
          <w:rFonts w:asciiTheme="majorBidi" w:hAnsiTheme="majorBidi" w:cstheme="majorBidi"/>
          <w:sz w:val="24"/>
          <w:szCs w:val="24"/>
        </w:rPr>
        <w:t xml:space="preserve"> (PHC) and </w:t>
      </w:r>
      <w:r w:rsidRPr="00525FBB">
        <w:rPr>
          <w:rFonts w:asciiTheme="majorBidi" w:hAnsiTheme="majorBidi" w:cstheme="majorBidi"/>
          <w:b/>
          <w:bCs/>
          <w:sz w:val="24"/>
          <w:szCs w:val="24"/>
        </w:rPr>
        <w:t>prevention-focused models</w:t>
      </w:r>
      <w:r w:rsidRPr="00525FBB">
        <w:rPr>
          <w:rFonts w:asciiTheme="majorBidi" w:hAnsiTheme="majorBidi" w:cstheme="majorBidi"/>
          <w:sz w:val="24"/>
          <w:szCs w:val="24"/>
        </w:rPr>
        <w:t xml:space="preserve">, as recommended in the studies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{"citationItems":[{"id":"ITEM-1","itemData":{"DOI":"10.7759/cureus.65047","abstract":"Saudi Arabia guarantees citizens the right to receive medical care and treatment during emergencies or sickness and aging. However, with the consistent increase in expenditure and inability to provide access, the transformation was an unavoidable action. Therefore, this paper aims to address the potential and risks behind the National Transformation Program (NTP) in Saudi Arabia through the lens of the Value Transformation Framework. Multiple research databases (PubMed, Web of Science, UpToDate, Google Scholar, and Summon) were searched between 2016 and 2024. Relevant articles were selected by scanning the title and abstract, yielding 34 references after the screening, exclusion, and inclusion criteria were met. Citation software was used to identify additional sources as analysis proceeded, in accordance with the hermeneutic approach in mapping and classification. The most cited concerns were the sustainability and workforce of the healthcare system. In terms of care delivery, the literature was extensive. In contrast, insufficient studies have been conducted on infrastructure and people. Furthermore, limited information is available on how to assess the transformation, which remains an unaddressed research question. NTP could meet several hurdles. However, through the measurement, assessment phases, and development tracking, success could be achieved.","author":[{"dropping-particle":"","family":"Alkhurayji","given":"Khalid","non-dropping-particle":"","parse-names":false,"suffix":""},{"dropping-particle":"","family":"Alzahrani","given":"Hazzam A","non-dropping-particle":"","parse-names":false,"suffix":""},{"dropping-particle":"","family":"Alotaibi","given":"Amal S","non-dropping-particle":"","parse-names":false,"suffix":""},{"dropping-particle":"","family":"Alharbi","given":"Abdulaziz G","non-dropping-particle":"","parse-names":false,"suffix":""},{"dropping-particle":"","family":"Zandan","given":"Abdullah A","non-dropping-particle":"","parse-names":false,"suffix":""},{"dropping-particle":"","family":"Alsheikhi","given":"Hussein","non-dropping-particle":"","parse-names":false,"suffix":""}],"id":"ITEM-1","issued":{"date-parts":[["2024"]]},"title":"Categories: Epidemiology/Public Health, Health Policy","type":"article-journal"},"uris":["http://www.mendeley.com/documents/?uuid=2ecba4e7-eede-36a7-9506-2aaf3882c8f1"]}],"mendeley":{"formattedCitation":"(Alkhurayji et al., 2024)","plainTextFormattedCitation":"(Alkhurayji et al., 2024)","previouslyFormattedCitation":"(Alkhurayji et al., 2024)"},"properties":{"noteIndex":0},"schema":"https://github.com/citation-style-language/schema/raw/master/csl-citation.json"}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(Alkhurayji et al., 2024)</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 xml:space="preserve">, is crucial to controlling costs and ensuring long-term sustainability. Countries such as Canada have successfully implemented </w:t>
      </w:r>
      <w:r w:rsidRPr="00525FBB">
        <w:rPr>
          <w:rFonts w:asciiTheme="majorBidi" w:hAnsiTheme="majorBidi" w:cstheme="majorBidi"/>
          <w:b/>
          <w:bCs/>
          <w:sz w:val="24"/>
          <w:szCs w:val="24"/>
        </w:rPr>
        <w:t>primary healthcare reforms</w:t>
      </w:r>
      <w:r w:rsidRPr="00525FBB">
        <w:rPr>
          <w:rFonts w:asciiTheme="majorBidi" w:hAnsiTheme="majorBidi" w:cstheme="majorBidi"/>
          <w:sz w:val="24"/>
          <w:szCs w:val="24"/>
        </w:rPr>
        <w:t xml:space="preserve"> to reduce the burden on specialized services and improve health outcomes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{"citationItems":[{"id":"ITEM-1","itemData":{"abstract":"The Canada Health Act (CHA) was adopted in 1984, to shore up a health-care system conceptualized in the 1960s. Under the CHA, universal coverage is limited to \"medically necessary\" hospital and physician services, to the exclusion of vital goods and services such as outpatient pharmaceuticals, dental care, long-term care, and many mental health services. Inequities resulting from these gaps in public coverage are partly to blame for pushing Canada's health system to the bottom of recent international rankings. But there is more to modernizing Canada's health care system, we argue, than filling these gaps in universal coverage. Every major health system review undertaken in Canada over the past decade has ended with a call for greater accountability, and rightly so: accountability is arguably the sine qua non of high-performing health systems. Whereas many countries have established open and rigorous processes for evaluating health goods and services, targeting public spending on those that deliver the biggest bang for buck, Canada's governance mechanism for defining the medicare basket is passive, opaque and only tenuously evidence-driven. A move to expand medicare's scope of coverage must be accompanied by improvements in this type of accountability. La Loi canadienne sur la santé (LCS) a été adoptée en 1984 pour consolider un système de soins de santé mis en place dans les années 1960. Sous le régime de la LCS, la couverture universelle est limitée aux soins hospitaliers et médicaux « médicalement nécessaires ,» à l'exclusion des produits et des services tels que les produits pharmaceutiques ambulatoires, les soins dentaires, les soins de longue durée et de nombreux services en santé mentale. Les inégalités résultant de ces lacunes dans la couverture publique sont en partie à blâmer pour le classement en queue de peloton du système de santé canadien par rapport à d'autres pays. Les auteurs soutiennent que la modernisation du système de soins de santé du Canada exige beaucoup plus que de combler ces lacunes dans la couverture universelle. C'est à juste titre que chaque examen approfondi du système de santé entrepris au Canada au cours de la dernière décennie s'est conclu par un appel à une plus grande obligation de reddition de comptes : cette obligation est sans doute l'élément essentiel des systèmes de santé les plus efficaces. Alors que de nombreux pays ont mis en place un processus ouvert et rigoureux pour évaluer les produits et les services de sa…","author":[{"dropping-particle":"","family":"Flood","given":"Colleen M","non-dropping-particle":"","parse-names":false,"suffix":""},{"dropping-particle":"","family":"Thomas","given":"Bryan","non-dropping-particle":"","parse-names":false,"suffix":""}],"container-title":"Dalhousie Law Journal","id":"ITEM-1","issued":{"date-parts":[["2016"]]},"title":"Modernizing the Canada Health Act","type":"article-journal"},"uris":["http://www.mendeley.com/documents/?uuid=5b9bbc16-aac5-42bc-a1e8-617badb2d96c","http://www.mendeley.com/documents/?uuid=9ebfbb0c-2164-420a-8435-d507a53d3bbb"]}],"mendeley":{"formattedCitation":"(Flood &amp; Thomas, 2016)","plainTextFormattedCitation":"(Flood &amp; Thomas, 2016)","previouslyFormattedCitation":"(Flood &amp; Thomas, 2016)"},"properties":{"noteIndex":0},"schema":"https://github.com/citation-style-language/schema/raw/master/csl-citation.json"}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(Flood &amp; Thomas, 2016)</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w:t>
      </w:r>
    </w:p>
    <w:p w14:paraId="00317621"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A significant challenge faced by Saudi Arabia is the </w:t>
      </w:r>
      <w:r w:rsidRPr="00525FBB">
        <w:rPr>
          <w:rFonts w:asciiTheme="majorBidi" w:hAnsiTheme="majorBidi" w:cstheme="majorBidi"/>
          <w:b/>
          <w:bCs/>
          <w:sz w:val="24"/>
          <w:szCs w:val="24"/>
        </w:rPr>
        <w:t>workforce shortage</w:t>
      </w:r>
      <w:r w:rsidRPr="00525FBB">
        <w:rPr>
          <w:rFonts w:asciiTheme="majorBidi" w:hAnsiTheme="majorBidi" w:cstheme="majorBidi"/>
          <w:sz w:val="24"/>
          <w:szCs w:val="24"/>
        </w:rPr>
        <w:t xml:space="preserve"> in healthcare, which is a global issue. As of 2021, the </w:t>
      </w:r>
      <w:r w:rsidRPr="00525FBB">
        <w:rPr>
          <w:rFonts w:asciiTheme="majorBidi" w:hAnsiTheme="majorBidi" w:cstheme="majorBidi"/>
          <w:b/>
          <w:bCs/>
          <w:sz w:val="24"/>
          <w:szCs w:val="24"/>
        </w:rPr>
        <w:t>WHO</w:t>
      </w:r>
      <w:r w:rsidRPr="00525FBB">
        <w:rPr>
          <w:rFonts w:asciiTheme="majorBidi" w:hAnsiTheme="majorBidi" w:cstheme="majorBidi"/>
          <w:sz w:val="24"/>
          <w:szCs w:val="24"/>
        </w:rPr>
        <w:t xml:space="preserve"> reported a global shortage of 18 million health workers by 2030, with countries like India, the U.S., and the UK facing severe shortages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{"citationItems":[{"id":"ITEM-1","itemData":{"DOI":"10.1136/bmjgh-2022-009316","ISSN":"20597908","PMID":"35760437","abstract":"Objective The 2016 Global Strategy on Human Resources for Health: Workforce 2030 projected a global shortage of 18 million health workers by 2030. This article provides an assessment of the health workforce stock in 2020 and presents a revised estimate of the projected shortage by 2030. Methods Latest data reported through WHO's National Health Workforce Accounts (NHWA) were extracted to assess health workforce stock for 2020. Using a stock and flow model, projections were computed for the year 2030. The global health workforce shortage estimation was revised. Results In 2020, the global workforce stock was 29.1 million nurses, 12.7 million medical doctors, 3.7 million pharmacists, 2.5 million dentists, 2.2 million midwives and 14.9 million additional occupations, tallying to 65.1 million health workers. It was not equitably distributed with a 6.5-fold difference in density between high-income and low-income countries. The projected health workforce size by 2030 is 84 million health workers. This represents an average growth of 29% from 2020 to 2030 which is faster than the population growth rate (9.7%). This reassessment presents a revised global health workforce shortage of 15 million health workers in 2020 decreasing to 10 million health workers by 2030 (a 33% decrease globally). WHO African and Eastern Mediterranean regions' shortages are projected to decrease by only 7% and 15%, respectively. Conclusions The latest NHWA data show progress in the increasing size of the health workforce globally as more jobs are and will continue to be created in the health economy. It however masks considerable inequities, particularly in WHO African and Eastern Mediterranean regions, and alarmingly among the 47 countries on the WHO Support and Safeguards List. Progress should be acknowledged with caution considering the immeasurable impact of COVID-19 pandemic on health workers globally.","author":[{"dropping-particle":"","family":"Boniol","given":"Mathieu","non-dropping-particle":"","parse-names":false,"suffix":""},{"dropping-particle":"","family":"Kunjumen","given":"Teena","non-dropping-particle":"","parse-names":false,"suffix":""},{"dropping-particle":"","family":"Nair","given":"Tapas Sadasivan","non-dropping-particle":"","parse-names":false,"suffix":""},{"dropping-particle":"","family":"Siyam","given":"Amani","non-dropping-particle":"","parse-names":false,"suffix":""},{"dropping-particle":"","family":"Campbell","given":"James","non-dropping-particle":"","parse-names":false,"suffix":""},{"dropping-particle":"","family":"Diallo","given":"Khassoum","non-dropping-particle":"","parse-names":false,"suffix":""}],"container-title":"BMJ Global Health","id":"ITEM-1","issued":{"date-parts":[["2022"]]},"title":"The global health workforce stock and distribution in 2020 and 2030: A threat to equity and â € universal' health coverage?","type":"article-journal"},"uris":["http://www.mendeley.com/documents/?uuid=29b1af05-c73f-4851-8005-37ee634af492"]},{"id":"ITEM-2","itemData":{"DOI":"10.3402/gha.v7.23611","ISSN":"16549880","PMID":"24560265","abstract":"The 'crisis in human resources' in the health sector has been described as one of the most pressing global health issues of our time. The World Health Organization (WHO) estimates that the world faces a global shortage of almost 4.3 million doctors, midwives, nurses, and other healthcare professionals. A global undersupply of these threatens the quality and sustainability of health systems worldwide. This undersupply is concurrent with globalization and the resulting liberalization of markets, which allow health workers to offer their services in countries other than those of their origin. The opportunities of health workers to seek employment abroad has led to a complex migration pattern, characterized by a flow of health professionals from low- to high-income countries. This global migration pattern has sparked a broad international debate about the consequences for health systems worldwide, including questions about sustainability, justice, and global social accountabilities. This article provides a review of this phenomenon and gives an overview of the current scope of health workforce migration patterns. It further focuses on the scientific discourse regarding health workforce migration and its effects on both high- and low-income countries in an interdependent world. The article also reviews the internal and external factors that fuel health worker migration and illustrates how health workforce migration is a classic global health issue of our time. Accordingly, it elaborates on the international community's approach to solving the workforce crisis, focusing in particular on the WHO Code of Practice, established in 2010. © 2014 Christoph Aluttis et al.","author":[{"dropping-particle":"","family":"Aluttis","given":"Christoph","non-dropping-particle":"","parse-names":false,"suffix":""},{"dropping-particle":"","family":"Bishaw","given":"Tewabech","non-dropping-particle":"","parse-names":false,"suffix":""},{"dropping-particle":"","family":"Frank","given":"Martina W.","non-dropping-particle":"","parse-names":false,"suffix":""}],"container-title":"Global Health Action","id":"ITEM-2","issued":{"date-parts":[["2014"]]},"title":"The workforce for health in a globalized context - global shortages and international migration","type":"article"},"uris":["http://www.mendeley.com/documents/?uuid=9723ca21-fa5c-48ab-9e30-31c7ed87bd86"]}],"mendeley":{"formattedCitation":"(Aluttis et al., 2014; Boniol et al., 2022)","plainTextFormattedCitation":"(Aluttis et al., 2014; Boniol et al., 2022)","previouslyFormattedCitation":"(Aluttis et al., 2014; Boniol et al., 2022)"},"properties":{"noteIndex":0},"schema":"https://github.com/citation-style-language/schema/raw/master/csl-citation.json"}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(Aluttis et al., 2014; Boniol et al., 2022)</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 xml:space="preserve">. Saudi Arabia, similarly, grapples with workforce shortages, especially in rural areas. The country relies heavily on </w:t>
      </w:r>
      <w:r w:rsidRPr="00525FBB">
        <w:rPr>
          <w:rFonts w:asciiTheme="majorBidi" w:hAnsiTheme="majorBidi" w:cstheme="majorBidi"/>
          <w:b/>
          <w:bCs/>
          <w:sz w:val="24"/>
          <w:szCs w:val="24"/>
        </w:rPr>
        <w:t>foreign healthcare professionals</w:t>
      </w:r>
      <w:r w:rsidRPr="00525FBB">
        <w:rPr>
          <w:rFonts w:asciiTheme="majorBidi" w:hAnsiTheme="majorBidi" w:cstheme="majorBidi"/>
          <w:sz w:val="24"/>
          <w:szCs w:val="24"/>
        </w:rPr>
        <w:t xml:space="preserve">, which has implications for both the quality and sustainability of healthcare services.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{"citationItems":[{"id":"ITEM-1","itemData":{"DOI":"10.25122/jml-2023-0010","ISSN":"18443117","PMID":"37305832","abstract":"The Kingdom of Saudi Arabia has embarked on a transformation journey referred to as \"Vision 2030\", which com-menced in June 2016. The healthcare sector is currently going through a radical transformation under this Vision. The new Model of Care shifts the focus of the healthcare sector towards proactive care and wellness, aiming to achieve better health, better care, and better value. This paper aims to provide an overview of the Model of Care and review its achievements and progress in the Eastern Region. The paper will further discuss the challenges faced and lessons learned through the implementation process. Internal documents were reviewed, and a comprehensive liter-ature search was undertaken in relevant search engines and databases. Some of the successes of the Model of Care implementation include improved data management, collection and visualization, and better patient and community engagement. Nevertheless, there is a sense of urgency to face the many challenges identified in the Saudi Arabian health system over the coming decade. Although the Model of Care focuses on addressing these identified challenges and gaps, there are many difficulties facing its implementation in the country and several lessons learned during the first few years since its launch, which this paper mentions. Hence, there is a need to measure the successes of pathways and the overall impact of the Model of Care on both the healthcare provision as well as improved population health.","author":[{"dropping-particle":"","family":"Yousef","given":"Lamees","non-dropping-particle":"","parse-names":false,"suffix":""},{"dropping-particle":"","family":"Alangari","given":"Dannah","non-dropping-particle":"","parse-names":false,"suffix":""},{"dropping-particle":"","family":"Alshehri","given":"Rahaf","non-dropping-particle":"","parse-names":false,"suffix":""},{"dropping-particle":"","family":"Alsharif","given":"Bader","non-dropping-particle":"","parse-names":false,"suffix":""},{"dropping-particle":"","family":"Bayameen","given":"Omar","non-dropping-particle":"","parse-names":false,"suffix":""},{"dropping-particle":"","family":"Alnemer","given":"Zeinab","non-dropping-particle":"","parse-names":false,"suffix":""}],"container-title":"Journal of Medicine and Life","id":"ITEM-1","issued":{"date-parts":[["2023"]]},"title":"Healthcare transformation journey in the Eastern Region of Saudi Arabia: an overview, challenges and lessons learned","type":"article-journal"},"uris":["http://www.mendeley.com/documents/?uuid=be341b91-5b41-4155-a4f3-324c3335e535"]}],"mendeley":{"formattedCitation":"(Yousef et al., 2023)","plainTextFormattedCitation":"(Yousef et al., 2023)","previouslyFormattedCitation":"(Yousef et al., 2023)"},"properties":{"noteIndex":0},"schema":"https://github.com/citation-style-language/schema/raw/master/csl-citation.json"}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(Yousef et al., 2023)</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 xml:space="preserve"> Many countries have implemented strategies to address this, including </w:t>
      </w:r>
      <w:r w:rsidRPr="00525FBB">
        <w:rPr>
          <w:rFonts w:asciiTheme="majorBidi" w:hAnsiTheme="majorBidi" w:cstheme="majorBidi"/>
          <w:b/>
          <w:bCs/>
          <w:sz w:val="24"/>
          <w:szCs w:val="24"/>
        </w:rPr>
        <w:t>training programs</w:t>
      </w:r>
      <w:r w:rsidRPr="00525FBB">
        <w:rPr>
          <w:rFonts w:asciiTheme="majorBidi" w:hAnsiTheme="majorBidi" w:cstheme="majorBidi"/>
          <w:sz w:val="24"/>
          <w:szCs w:val="24"/>
        </w:rPr>
        <w:t xml:space="preserve">, </w:t>
      </w:r>
      <w:r w:rsidRPr="00525FBB">
        <w:rPr>
          <w:rFonts w:asciiTheme="majorBidi" w:hAnsiTheme="majorBidi" w:cstheme="majorBidi"/>
          <w:b/>
          <w:bCs/>
          <w:sz w:val="24"/>
          <w:szCs w:val="24"/>
        </w:rPr>
        <w:t>workforce localization</w:t>
      </w:r>
      <w:r w:rsidRPr="00525FBB">
        <w:rPr>
          <w:rFonts w:asciiTheme="majorBidi" w:hAnsiTheme="majorBidi" w:cstheme="majorBidi"/>
          <w:sz w:val="24"/>
          <w:szCs w:val="24"/>
        </w:rPr>
        <w:t xml:space="preserve">, and </w:t>
      </w:r>
      <w:r w:rsidRPr="00525FBB">
        <w:rPr>
          <w:rFonts w:asciiTheme="majorBidi" w:hAnsiTheme="majorBidi" w:cstheme="majorBidi"/>
          <w:b/>
          <w:bCs/>
          <w:sz w:val="24"/>
          <w:szCs w:val="24"/>
        </w:rPr>
        <w:t>financial incentives</w:t>
      </w:r>
      <w:r w:rsidRPr="00525FBB">
        <w:rPr>
          <w:rFonts w:asciiTheme="majorBidi" w:hAnsiTheme="majorBidi" w:cstheme="majorBidi"/>
          <w:sz w:val="24"/>
          <w:szCs w:val="24"/>
        </w:rPr>
        <w:t xml:space="preserve"> for healthcare workers to work in underserved regions.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10.3325/cmj.2022.63.107","ISSN":"13328166","PMID":"35505643","author":[{"dropping-particle":"","family":"Dzakula","given":"Aleksandar","non-dropping-particle":"","parse-names":false,"suffix":""},{"dropping-particle":"","family":"Relic","given":"Danko","non-dropping-particle":"","parse-names":false,"suffix":""},{"dropping-particle":"","family":"Michelutti","given":"Paolo","non-dropping-particle":"","parse-names":false,"suffix":""}],"container-title":"Croatian Medical Journal","id":"ITEM-1","issued":{"date-parts":[["2022"]]},"title":"Health workforce shortage - Doing the right things or doing things right?","type":"article"},"uris":["http://www.mendeley.com/documents/?uuid=b565be41-7461-458e-a04a-fea43db1d1fd"]},{"id":"ITEM-2","itemData":{"DOI":"10.1186/s13584-023-00576-7","ISSN":"20454015","PMID":"37563656","abstract":"In their recent IJHPR article, Wimpfheimer and colleagues outline the implications for the field of anesthesia of two major healthcare policy changes in Israel: The Yatziv Reform in licensing foreign medical graduates and the efforts to reduce residents' on-call shift duration. We argue that these reforms are necessary to strengthen the healthcare workforce and improve the quality of care in the long term, even though they may limit the availability of healthcare personnel for several years, particularly in the field of anesthesia. In this commentary, we examine the background to these policy changes, their likely impact on the medical workforce in Israel in general, and propose steps to reconcile these reforms with the global and national shortage of physicians. We urge policymakers to allocate the required resources and begin preparing for an era of continuous mismatch between physician supply and demand, which will necessitate creative solutions, increased reliance on technology, and the introduction of paramedical professionals to help offload tasks and better utilize the scarce physician workforce.","author":[{"dropping-particle":"","family":"Angel","given":"Yoel","non-dropping-particle":"","parse-names":false,"suffix":""},{"dropping-particle":"","family":"Fire","given":"Gil","non-dropping-particle":"","parse-names":false,"suffix":""}],"container-title":"Israel Journal of Health Policy Research","id":"ITEM-2","issued":{"date-parts":[["2023"]]},"title":"Healthcare policy changes in an era of health workforce shortage","type":"article-journal"},"uris":["http://www.mendeley.com/documents/?uuid=6359ebb9-4fcf-477d-a85b-fa50595311e6"]},{"id":"ITEM-3","itemData":{"DOI":"10.1016/S2214-109X(23)00224-3","ISSN":"2214109X","PMID":"37209702","author":[{"dropping-particle":"","family":"Agyeman-Manu","given":"Kwaku","non-dropping-particle":"","parse-names":false,"suffix":""},{"dropping-particle":"","family":"Ghebreyesus","given":"Tedros Adhanom","non-dropping-particle":"","parse-names":false,"suffix":""},{"dropping-particle":"","family":"Maait","given":"Mohamed","non-dropping-particle":"","parse-names":false,"suffix":""},{"dropping-particle":"","family":"Rafila","given":"Alexandru","non-dropping-particle":"","parse-names":false,"suffix":""},{"dropping-particle":"","family":"Tom","given":"Lino","non-dropping-particle":"","parse-names":false,"suffix":""},{"dropping-particle":"","family":"Lima","given":"Nísia Trindade","non-dropping-particle":"","parse-names":false,"suffix":""},{"dropping-particle":"","family":"Wangmo","given":"Dechen","non-dropping-particle":"","parse-names":false,"suffix":""}],"container-title":"The Lancet Global Health","id":"ITEM-3","issued":{"date-parts":[["2023"]]},"title":"Prioritising the health and care workforce shortage: protect, invest, together","type":"article"},"uris":["http://www.mendeley.com/documents/?uuid=4abceb6e-b119-492d-a8bb-e552bac841c5"]}],"mendeley":{"formattedCitation":"(Agyeman-Manu et al., 2023; Angel &amp; Fire, 2023; Dzakula et al., 2022)","plainTextFormattedCitation":"(Agyeman-Manu et al., 2023; Angel &amp; Fire, 2023; Dzakula et al., 2022)","previouslyFormattedCitation":"(Agyeman-Manu et al., 2023; Angel &amp; Fire, 2023; Dzakula et al., 2022)"},"properties":{"noteIndex":0},"schema":"https://github.com/citation-style-language/schema/raw/master/csl-citation.json"}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(Agyeman-Manu et al., 2023; Angel &amp; Fire, 2023; Dzakula et al., 2022)</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 xml:space="preserve"> Saudi Arabia has recognized this need and is investing in initiatives like the </w:t>
      </w:r>
      <w:r w:rsidRPr="00525FBB">
        <w:rPr>
          <w:rFonts w:asciiTheme="majorBidi" w:hAnsiTheme="majorBidi" w:cstheme="majorBidi"/>
          <w:b/>
          <w:bCs/>
          <w:sz w:val="24"/>
          <w:szCs w:val="24"/>
        </w:rPr>
        <w:t>Saudi Commission for Health Specialties</w:t>
      </w:r>
      <w:r w:rsidRPr="00525FBB">
        <w:rPr>
          <w:rFonts w:asciiTheme="majorBidi" w:hAnsiTheme="majorBidi" w:cstheme="majorBidi"/>
          <w:sz w:val="24"/>
          <w:szCs w:val="24"/>
        </w:rPr>
        <w:t xml:space="preserve"> to train and certify local healthcare professionals (</w:t>
      </w:r>
      <w:proofErr w:type="spellStart"/>
      <w:r w:rsidRPr="00525FBB">
        <w:rPr>
          <w:rFonts w:asciiTheme="majorBidi" w:hAnsiTheme="majorBidi" w:cstheme="majorBidi"/>
          <w:sz w:val="24"/>
          <w:szCs w:val="24"/>
        </w:rPr>
        <w:t>Alkhurayji</w:t>
      </w:r>
      <w:proofErr w:type="spellEnd"/>
      <w:r w:rsidRPr="00525FBB">
        <w:rPr>
          <w:rFonts w:asciiTheme="majorBidi" w:hAnsiTheme="majorBidi" w:cstheme="majorBidi"/>
          <w:sz w:val="24"/>
          <w:szCs w:val="24"/>
        </w:rPr>
        <w:t xml:space="preserve"> et al., 2024). However, significant investment in healthcare education and retention programs will be necessary to overcome this challenge. </w:t>
      </w:r>
    </w:p>
    <w:p w14:paraId="048D7F0C"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One of the key opportunities for Saudi Arabia is the </w:t>
      </w:r>
      <w:r w:rsidRPr="00525FBB">
        <w:rPr>
          <w:rFonts w:asciiTheme="majorBidi" w:hAnsiTheme="majorBidi" w:cstheme="majorBidi"/>
          <w:b/>
          <w:bCs/>
          <w:sz w:val="24"/>
          <w:szCs w:val="24"/>
        </w:rPr>
        <w:t>integration of digital health solutions</w:t>
      </w:r>
      <w:r w:rsidRPr="00525FBB">
        <w:rPr>
          <w:rFonts w:asciiTheme="majorBidi" w:hAnsiTheme="majorBidi" w:cstheme="majorBidi"/>
          <w:sz w:val="24"/>
          <w:szCs w:val="24"/>
        </w:rPr>
        <w:t xml:space="preserve">, which mirrors the global trend towards e-health adoption. The studies show that </w:t>
      </w:r>
      <w:r w:rsidRPr="00525FBB">
        <w:rPr>
          <w:rFonts w:asciiTheme="majorBidi" w:hAnsiTheme="majorBidi" w:cstheme="majorBidi"/>
          <w:b/>
          <w:bCs/>
          <w:sz w:val="24"/>
          <w:szCs w:val="24"/>
        </w:rPr>
        <w:t>telemedicine</w:t>
      </w:r>
      <w:r w:rsidRPr="00525FBB">
        <w:rPr>
          <w:rFonts w:asciiTheme="majorBidi" w:hAnsiTheme="majorBidi" w:cstheme="majorBidi"/>
          <w:sz w:val="24"/>
          <w:szCs w:val="24"/>
        </w:rPr>
        <w:t xml:space="preserve">, </w:t>
      </w:r>
      <w:r w:rsidRPr="00525FBB">
        <w:rPr>
          <w:rFonts w:asciiTheme="majorBidi" w:hAnsiTheme="majorBidi" w:cstheme="majorBidi"/>
          <w:b/>
          <w:bCs/>
          <w:sz w:val="24"/>
          <w:szCs w:val="24"/>
        </w:rPr>
        <w:t>electronic health records (EHRs)</w:t>
      </w:r>
      <w:r w:rsidRPr="00525FBB">
        <w:rPr>
          <w:rFonts w:asciiTheme="majorBidi" w:hAnsiTheme="majorBidi" w:cstheme="majorBidi"/>
          <w:sz w:val="24"/>
          <w:szCs w:val="24"/>
        </w:rPr>
        <w:t xml:space="preserve">, and </w:t>
      </w:r>
      <w:r w:rsidRPr="00525FBB">
        <w:rPr>
          <w:rFonts w:asciiTheme="majorBidi" w:hAnsiTheme="majorBidi" w:cstheme="majorBidi"/>
          <w:b/>
          <w:bCs/>
          <w:sz w:val="24"/>
          <w:szCs w:val="24"/>
        </w:rPr>
        <w:t>digital health platforms</w:t>
      </w:r>
      <w:r w:rsidRPr="00525FBB">
        <w:rPr>
          <w:rFonts w:asciiTheme="majorBidi" w:hAnsiTheme="majorBidi" w:cstheme="majorBidi"/>
          <w:sz w:val="24"/>
          <w:szCs w:val="24"/>
        </w:rPr>
        <w:t xml:space="preserve"> are seen as opportunities to enhance healthcare delivery and make services more accessible, particularly in rural and underserved regions. The COVID-19 pandemic accelerated the adoption of </w:t>
      </w:r>
      <w:r w:rsidRPr="00525FBB">
        <w:rPr>
          <w:rFonts w:asciiTheme="majorBidi" w:hAnsiTheme="majorBidi" w:cstheme="majorBidi"/>
          <w:b/>
          <w:bCs/>
          <w:sz w:val="24"/>
          <w:szCs w:val="24"/>
        </w:rPr>
        <w:t>telemedicine</w:t>
      </w:r>
      <w:r w:rsidRPr="00525FBB">
        <w:rPr>
          <w:rFonts w:asciiTheme="majorBidi" w:hAnsiTheme="majorBidi" w:cstheme="majorBidi"/>
          <w:sz w:val="24"/>
          <w:szCs w:val="24"/>
        </w:rPr>
        <w:t xml:space="preserve"> in countries like the U.S. and the UK, where regulatory barriers </w:t>
      </w:r>
      <w:r w:rsidRPr="00525FBB">
        <w:rPr>
          <w:rFonts w:asciiTheme="majorBidi" w:hAnsiTheme="majorBidi" w:cstheme="majorBidi"/>
          <w:sz w:val="24"/>
          <w:szCs w:val="24"/>
        </w:rPr>
        <w:lastRenderedPageBreak/>
        <w:t xml:space="preserve">were lifted to allow wider use of digital health technologies. </w:t>
      </w: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ADDIN CSL_CITATION {"citationItems":[{"id":"ITEM-1","itemData":{"DOI":"10.36076/ppj.2020/23/s367","ISSN":"21501149","PMID":"32942794","abstract":"Background: The unexpected COVID-19 crisis has disrupted medical education and patient care in unprecedented ways. Despite the challenges, the health-care system and patients have been both creative and resilient in finding robust “temporary” solutions to these challenges. It is not clear if some of these COVID-era transitional steps will be preserved in the future of medical education and telemedicine. Objectives: The goal of this commentary is to address the sometimes substantial changes in medical education, continuing medical education (CME) activities, residency and fellowship programs, specialty society meetings, and telemedicine, and to consider the value of some of these profound shifts to “business as usual” in the health-care sector. Methods: This is a commentary is based on the limited available literature, online information, and the front-line experiences of the authors. Results: COVID-19 has clearly changed residency and fellowship programs by limiting the amount of hands-on time physicians could spend with patients. Accreditation Council for Graduate Medicine Education has endorsed certain policy changes to promote greater flexibility in programs but still rigorously upholds specific standards. Technological interventions such as telemedicine visits with patients, virtual meetings with colleagues, and online interviews have been introduced, and many trainees are “technoomnivores” who are comfortable using a variety of technology platforms and techniques. Webinars and e-learning are gaining traction now, and their use, practicality, and cost-effectiveness may make them important in the post-COVID era. CME activities have migrated increasingly to virtual events and online programs, a trend that may also continue due to its practicality and cost-effectiveness. While many medical meetings of specialty societies have been postponed or cancelled altogether, technology allows for virtual meetings that may offer versatility and time-saving opportunities for busy clinicians. It may be that future medical meetings embrace a hybrid approach of blending digital with face-toface experience. Telemedicine was already in place prior to the COVID-19 crisis but barriers are rapidly coming down to its widespread use and patients seem to embrace this, even as health-care systems navigate the complicated issues of cybersecurity and patient privacy. Regulatory guidance may be needed to develop safe, secure, and patient-friendly telehealth applications. Telemed…","author":[{"dropping-particle":"","family":"Shah","given":"Shalini","non-dropping-particle":"","parse-names":false,"suffix":""},{"dropping-particle":"","family":"Diwan","given":"Sudhir","non-dropping-particle":"","parse-names":false,"suffix":""},{"dropping-particle":"","family":"Kohan","given":"Lynn","non-dropping-particle":"","parse-names":false,"suffix":""},{"dropping-particle":"","family":"Rosenblum","given":"David","non-dropping-particle":"","parse-names":false,"suffix":""},{"dropping-particle":"","family":"Gharibo","given":"Christopher","non-dropping-particle":"","parse-names":false,"suffix":""},{"dropping-particle":"","family":"Soin","given":"Amol","non-dropping-particle":"","parse-names":false,"suffix":""},{"dropping-particle":"","family":"Sulindro","given":"Adrian","non-dropping-particle":"","parse-names":false,"suffix":""},{"dropping-particle":"","family":"Nguyen","given":"Quinn","non-dropping-particle":"","parse-names":false,"suffix":""},{"dropping-particle":"","family":"Provenzano","given":"David","non-dropping-particle":"","parse-names":false,"suffix":""}],"container-title":"Pain Physician","id":"ITEM-1","issued":{"date-parts":[["2020"]]},"title":"The technological impact of COVID-19 on the future of education and health care delivery","type":"article-journal"},"uris":["http://www.mendeley.com/documents/?uuid=c73b3f05-5ade-4f0a-8a59-bbe2418084d3"]},{"id":"ITEM-2","itemData":{"DOI":"10.4103/JFCM.JFCM_295_20","ISSN":"2229340X","abstract":"Since the beginning of the coronavirus disease (COVID-19) pandemic, the responses of countries to emerging infectious diseases have altered dramatically, increasing the demand for health-care practitioners. Telehealth (TH) applications could have an important role in supporting public health precautions and the control of the spread of the COVID-19 pandemic. This review summarizes the existing literature on the current status of TH applications used during COVID-19 in Saudi Arabia and discusses the extent to which TH can support public health measures. TH mobile applications (e.g., Seha, Mawid, Tawakklna, Tabaud, and Tetamman) have found effective tools to facilitate delivering healthcare to persons with COVID-19, and tracking of COVID-19 patients. TH has been essential in the control of the spread of COVID-19 and has helped to flatten the growth curve in Saudi Arabia. Further research is needed to explore the impact of TH applications on the progression of COVID-19 in Saudi Arabia.","author":[{"dropping-particle":"","family":"Alghamdi","given":"Saeed","non-dropping-particle":"","parse-names":false,"suffix":""},{"dropping-particle":"","family":"Alqahtani","given":"Jaber","non-dropping-particle":"","parse-names":false,"suffix":""},{"dropping-particle":"","family":"Aldhahir","given":"Abdulelah","non-dropping-particle":"","parse-names":false,"suffix":""}],"container-title":"Journal of Family and Community Medicine","id":"ITEM-2","issue":"3","issued":{"date-parts":[["2020","9","1"]]},"page":"208-211","publisher":"Wolters Kluwer Medknow Publications","title":"Current status of telehealth in Saudi Arabia during COVID-19","type":"article-journal","volume":"27"},"uris":["http://www.mendeley.com/documents/?uuid=17338179-b3c0-3ddb-86ea-1b1dc308bf90"]},{"id":"ITEM-3","itemData":{"DOI":"10.2196/mhealth.3216","ISSN":"22915222","abstract":"Background: A growing body of research has employed mobile technologies and geographic information systems (GIS) for enhancing health care and health information systems, but there is yet a lack of studies of how these two types of systems are integrated together into the information infrastructure of an organization so as to provide a basis for data analysis and decision support. Integration of data and technical systems across the organization is necessary for efficient large-scale implementation. Objective: The aim of this paper is to identify how mobile technologies and GIS applications have been used, independently as well as in combination, for improving health care. Methods: The electronic databases PubMed, BioMed Central, Wiley Online Library, Scopus, Science Direct, and Web of Science were searched to retrieve English language articles published in international academic journals after 2005. Only articles addressing the use of mobile or GIS technologies and that met a prespecified keyword strategy were selected for review. Results: A total of 271 articles were selected, among which 220 concerned mobile technologies and 51 GIS. Most articles concern developed countries (198/271, 73.1%), and in particular the United States (81/271, 29.9%), United Kingdom (31/271, 11.4%), and Canada (14/271, 5.2%). Applications of mobile technologies can be categorized by six themes: treatment and disease management, data collection and disease surveillance, health support systems, health promotion and disease prevention, communication between patients and health care providers or among providers, and medical education. GIS applications can be categorized by four themes: disease surveillance, health support systems, health promotion and disease prevention, and communication to or between health care providers. Mobile applications typically focus on using text messaging (short message service, SMS) for communication between patients and health care providers, most prominently reminders and advice to patients. These applications generally have modest benefits and may be appropriate for implementation. Integration of health data using GIS technology also exhibit modest benefits such as improved understanding of the interplay of psychological, social, environmental, area-level, and sociodemographic influences on physical activity. The studies evaluated showed promising results in helping patients treating different illnesses and managing their condition effectively. H…","author":[{"dropping-particle":"","family":"Nhavoto","given":"José António","non-dropping-particle":"","parse-names":false,"suffix":""},{"dropping-particle":"","family":"Grönlund","given":"Ake","non-dropping-particle":"","parse-names":false,"suffix":""}],"container-title":"JMIR mHealth and uHealth","id":"ITEM-3","issued":{"date-parts":[["2014"]]},"title":"Mobile technologies and geographic information systems to improve health care systems: A literature review","type":"article"},"uris":["http://www.mendeley.com/documents/?uuid=07f9661b-785f-4c1c-8b0b-38349a1fe86a"]}],"mendeley":{"formattedCitation":"(Alghamdi et al., 2020; Nhavoto &amp; Grönlund, 2014; Shah et al., 2020)","plainTextFormattedCitation":"(Alghamdi et al., 2020; Nhavoto &amp; Grönlund, 2014; Shah et al., 2020)"},"properties":{"noteIndex":0},"schema":"https://github.com/citation-style-language/schema/raw/master/csl-citation.json"}</w:instrText>
      </w:r>
      <w:r w:rsidRPr="00525FBB">
        <w:rPr>
          <w:rFonts w:asciiTheme="majorBidi" w:hAnsiTheme="majorBidi" w:cstheme="majorBidi"/>
          <w:sz w:val="24"/>
          <w:szCs w:val="24"/>
        </w:rPr>
        <w:fldChar w:fldCharType="separate"/>
      </w:r>
      <w:r w:rsidRPr="00525FBB">
        <w:rPr>
          <w:rFonts w:asciiTheme="majorBidi" w:hAnsiTheme="majorBidi" w:cstheme="majorBidi"/>
          <w:noProof/>
          <w:sz w:val="24"/>
          <w:szCs w:val="24"/>
        </w:rPr>
        <w:t>(Alghamdi et al., 2020; Nhavoto &amp; Grönlund, 2014; Shah et al., 2020)</w:t>
      </w:r>
      <w:r w:rsidRPr="00525FBB">
        <w:rPr>
          <w:rFonts w:asciiTheme="majorBidi" w:hAnsiTheme="majorBidi" w:cstheme="majorBidi"/>
          <w:sz w:val="24"/>
          <w:szCs w:val="24"/>
        </w:rPr>
        <w:fldChar w:fldCharType="end"/>
      </w:r>
      <w:r w:rsidRPr="00525FBB">
        <w:rPr>
          <w:rFonts w:asciiTheme="majorBidi" w:hAnsiTheme="majorBidi" w:cstheme="majorBidi"/>
          <w:sz w:val="24"/>
          <w:szCs w:val="24"/>
        </w:rPr>
        <w:t xml:space="preserve">  Saudi Arabia has similarly made strides in this direction, launching initiatives like </w:t>
      </w:r>
      <w:proofErr w:type="spellStart"/>
      <w:r w:rsidRPr="00525FBB">
        <w:rPr>
          <w:rFonts w:asciiTheme="majorBidi" w:hAnsiTheme="majorBidi" w:cstheme="majorBidi"/>
          <w:b/>
          <w:bCs/>
          <w:sz w:val="24"/>
          <w:szCs w:val="24"/>
        </w:rPr>
        <w:t>Sehhaty</w:t>
      </w:r>
      <w:proofErr w:type="spellEnd"/>
      <w:r w:rsidRPr="00525FBB">
        <w:rPr>
          <w:rFonts w:asciiTheme="majorBidi" w:hAnsiTheme="majorBidi" w:cstheme="majorBidi"/>
          <w:sz w:val="24"/>
          <w:szCs w:val="24"/>
        </w:rPr>
        <w:t xml:space="preserve"> and </w:t>
      </w:r>
      <w:proofErr w:type="spellStart"/>
      <w:r w:rsidRPr="00525FBB">
        <w:rPr>
          <w:rFonts w:asciiTheme="majorBidi" w:hAnsiTheme="majorBidi" w:cstheme="majorBidi"/>
          <w:b/>
          <w:bCs/>
          <w:sz w:val="24"/>
          <w:szCs w:val="24"/>
        </w:rPr>
        <w:t>Mawid</w:t>
      </w:r>
      <w:proofErr w:type="spellEnd"/>
      <w:r w:rsidRPr="00525FBB">
        <w:rPr>
          <w:rFonts w:asciiTheme="majorBidi" w:hAnsiTheme="majorBidi" w:cstheme="majorBidi"/>
          <w:sz w:val="24"/>
          <w:szCs w:val="24"/>
        </w:rPr>
        <w:t xml:space="preserve"> apps, which provide telemedicine services to the public (</w:t>
      </w:r>
      <w:proofErr w:type="spellStart"/>
      <w:r w:rsidRPr="00525FBB">
        <w:rPr>
          <w:rFonts w:asciiTheme="majorBidi" w:hAnsiTheme="majorBidi" w:cstheme="majorBidi"/>
          <w:sz w:val="24"/>
          <w:szCs w:val="24"/>
        </w:rPr>
        <w:t>Alasiri</w:t>
      </w:r>
      <w:proofErr w:type="spellEnd"/>
      <w:r w:rsidRPr="00525FBB">
        <w:rPr>
          <w:rFonts w:asciiTheme="majorBidi" w:hAnsiTheme="majorBidi" w:cstheme="majorBidi"/>
          <w:sz w:val="24"/>
          <w:szCs w:val="24"/>
        </w:rPr>
        <w:t xml:space="preserve"> et al., 2022). The </w:t>
      </w:r>
      <w:r w:rsidRPr="00525FBB">
        <w:rPr>
          <w:rFonts w:asciiTheme="majorBidi" w:hAnsiTheme="majorBidi" w:cstheme="majorBidi"/>
          <w:b/>
          <w:bCs/>
          <w:sz w:val="24"/>
          <w:szCs w:val="24"/>
        </w:rPr>
        <w:t>Saudi Ministry of Health</w:t>
      </w:r>
      <w:r w:rsidRPr="00525FBB">
        <w:rPr>
          <w:rFonts w:asciiTheme="majorBidi" w:hAnsiTheme="majorBidi" w:cstheme="majorBidi"/>
          <w:sz w:val="24"/>
          <w:szCs w:val="24"/>
        </w:rPr>
        <w:t xml:space="preserve"> also continues to develop </w:t>
      </w:r>
      <w:r w:rsidRPr="00525FBB">
        <w:rPr>
          <w:rFonts w:asciiTheme="majorBidi" w:hAnsiTheme="majorBidi" w:cstheme="majorBidi"/>
          <w:b/>
          <w:bCs/>
          <w:sz w:val="24"/>
          <w:szCs w:val="24"/>
        </w:rPr>
        <w:t>digital health infrastructure</w:t>
      </w:r>
      <w:r w:rsidRPr="00525FBB">
        <w:rPr>
          <w:rFonts w:asciiTheme="majorBidi" w:hAnsiTheme="majorBidi" w:cstheme="majorBidi"/>
          <w:sz w:val="24"/>
          <w:szCs w:val="24"/>
        </w:rPr>
        <w:t>, aiming to create a more connected and accessible healthcare system (Riley et al., 2023).</w:t>
      </w:r>
    </w:p>
    <w:p w14:paraId="434FA589"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b/>
          <w:bCs/>
          <w:sz w:val="24"/>
          <w:szCs w:val="24"/>
        </w:rPr>
        <w:t>Public-private partnerships (PPPs)</w:t>
      </w:r>
      <w:r w:rsidRPr="00525FBB">
        <w:rPr>
          <w:rFonts w:asciiTheme="majorBidi" w:hAnsiTheme="majorBidi" w:cstheme="majorBidi"/>
          <w:sz w:val="24"/>
          <w:szCs w:val="24"/>
        </w:rPr>
        <w:t xml:space="preserve"> have become a significant model for healthcare reform worldwide, and Saudi Arabia is actively adopting this model. The global trend shows that </w:t>
      </w:r>
      <w:r w:rsidRPr="00525FBB">
        <w:rPr>
          <w:rFonts w:asciiTheme="majorBidi" w:hAnsiTheme="majorBidi" w:cstheme="majorBidi"/>
          <w:b/>
          <w:bCs/>
          <w:sz w:val="24"/>
          <w:szCs w:val="24"/>
        </w:rPr>
        <w:t>PPPs</w:t>
      </w:r>
      <w:r w:rsidRPr="00525FBB">
        <w:rPr>
          <w:rFonts w:asciiTheme="majorBidi" w:hAnsiTheme="majorBidi" w:cstheme="majorBidi"/>
          <w:sz w:val="24"/>
          <w:szCs w:val="24"/>
        </w:rPr>
        <w:t xml:space="preserve"> can improve healthcare delivery by fostering </w:t>
      </w:r>
      <w:r w:rsidRPr="00525FBB">
        <w:rPr>
          <w:rFonts w:asciiTheme="majorBidi" w:hAnsiTheme="majorBidi" w:cstheme="majorBidi"/>
          <w:b/>
          <w:bCs/>
          <w:sz w:val="24"/>
          <w:szCs w:val="24"/>
        </w:rPr>
        <w:t>collaboration between the public sector</w:t>
      </w:r>
      <w:r w:rsidRPr="00525FBB">
        <w:rPr>
          <w:rFonts w:asciiTheme="majorBidi" w:hAnsiTheme="majorBidi" w:cstheme="majorBidi"/>
          <w:sz w:val="24"/>
          <w:szCs w:val="24"/>
        </w:rPr>
        <w:t xml:space="preserve">, </w:t>
      </w:r>
      <w:r w:rsidRPr="00525FBB">
        <w:rPr>
          <w:rFonts w:asciiTheme="majorBidi" w:hAnsiTheme="majorBidi" w:cstheme="majorBidi"/>
          <w:b/>
          <w:bCs/>
          <w:sz w:val="24"/>
          <w:szCs w:val="24"/>
        </w:rPr>
        <w:t>private companies</w:t>
      </w:r>
      <w:r w:rsidRPr="00525FBB">
        <w:rPr>
          <w:rFonts w:asciiTheme="majorBidi" w:hAnsiTheme="majorBidi" w:cstheme="majorBidi"/>
          <w:sz w:val="24"/>
          <w:szCs w:val="24"/>
        </w:rPr>
        <w:t xml:space="preserve">, and </w:t>
      </w:r>
      <w:r w:rsidRPr="00525FBB">
        <w:rPr>
          <w:rFonts w:asciiTheme="majorBidi" w:hAnsiTheme="majorBidi" w:cstheme="majorBidi"/>
          <w:b/>
          <w:bCs/>
          <w:sz w:val="24"/>
          <w:szCs w:val="24"/>
        </w:rPr>
        <w:t>non-governmental organizations (NGOs)</w:t>
      </w:r>
      <w:r w:rsidRPr="00525FBB">
        <w:rPr>
          <w:rFonts w:asciiTheme="majorBidi" w:hAnsiTheme="majorBidi" w:cstheme="majorBidi"/>
          <w:sz w:val="24"/>
          <w:szCs w:val="24"/>
        </w:rPr>
        <w:t xml:space="preserve"> (</w:t>
      </w:r>
      <w:proofErr w:type="spellStart"/>
      <w:r w:rsidRPr="00525FBB">
        <w:rPr>
          <w:rFonts w:asciiTheme="majorBidi" w:hAnsiTheme="majorBidi" w:cstheme="majorBidi"/>
          <w:sz w:val="24"/>
          <w:szCs w:val="24"/>
        </w:rPr>
        <w:t>Buse</w:t>
      </w:r>
      <w:proofErr w:type="spellEnd"/>
      <w:r w:rsidRPr="00525FBB">
        <w:rPr>
          <w:rFonts w:asciiTheme="majorBidi" w:hAnsiTheme="majorBidi" w:cstheme="majorBidi"/>
          <w:sz w:val="24"/>
          <w:szCs w:val="24"/>
        </w:rPr>
        <w:t xml:space="preserve"> et al., 2012). The Kingdom is leveraging </w:t>
      </w:r>
      <w:r w:rsidRPr="00525FBB">
        <w:rPr>
          <w:rFonts w:asciiTheme="majorBidi" w:hAnsiTheme="majorBidi" w:cstheme="majorBidi"/>
          <w:b/>
          <w:bCs/>
          <w:sz w:val="24"/>
          <w:szCs w:val="24"/>
        </w:rPr>
        <w:t>PPP models</w:t>
      </w:r>
      <w:r w:rsidRPr="00525FBB">
        <w:rPr>
          <w:rFonts w:asciiTheme="majorBidi" w:hAnsiTheme="majorBidi" w:cstheme="majorBidi"/>
          <w:sz w:val="24"/>
          <w:szCs w:val="24"/>
        </w:rPr>
        <w:t xml:space="preserve"> to improve service delivery, especially in the context of Vision 2030, to reduce the burden on the public sector and ensure financial sustainability.</w:t>
      </w:r>
    </w:p>
    <w:p w14:paraId="618E4721"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sz w:val="24"/>
          <w:szCs w:val="24"/>
        </w:rPr>
        <w:t xml:space="preserve">Countries like the </w:t>
      </w:r>
      <w:r w:rsidRPr="00525FBB">
        <w:rPr>
          <w:rFonts w:asciiTheme="majorBidi" w:hAnsiTheme="majorBidi" w:cstheme="majorBidi"/>
          <w:b/>
          <w:bCs/>
          <w:sz w:val="24"/>
          <w:szCs w:val="24"/>
        </w:rPr>
        <w:t>UK</w:t>
      </w:r>
      <w:r w:rsidRPr="00525FBB">
        <w:rPr>
          <w:rFonts w:asciiTheme="majorBidi" w:hAnsiTheme="majorBidi" w:cstheme="majorBidi"/>
          <w:sz w:val="24"/>
          <w:szCs w:val="24"/>
        </w:rPr>
        <w:t xml:space="preserve">, </w:t>
      </w:r>
      <w:r w:rsidRPr="00525FBB">
        <w:rPr>
          <w:rFonts w:asciiTheme="majorBidi" w:hAnsiTheme="majorBidi" w:cstheme="majorBidi"/>
          <w:b/>
          <w:bCs/>
          <w:sz w:val="24"/>
          <w:szCs w:val="24"/>
        </w:rPr>
        <w:t>Australia</w:t>
      </w:r>
      <w:r w:rsidRPr="00525FBB">
        <w:rPr>
          <w:rFonts w:asciiTheme="majorBidi" w:hAnsiTheme="majorBidi" w:cstheme="majorBidi"/>
          <w:sz w:val="24"/>
          <w:szCs w:val="24"/>
        </w:rPr>
        <w:t xml:space="preserve">, and </w:t>
      </w:r>
      <w:r w:rsidRPr="00525FBB">
        <w:rPr>
          <w:rFonts w:asciiTheme="majorBidi" w:hAnsiTheme="majorBidi" w:cstheme="majorBidi"/>
          <w:b/>
          <w:bCs/>
          <w:sz w:val="24"/>
          <w:szCs w:val="24"/>
        </w:rPr>
        <w:t>India</w:t>
      </w:r>
      <w:r w:rsidRPr="00525FBB">
        <w:rPr>
          <w:rFonts w:asciiTheme="majorBidi" w:hAnsiTheme="majorBidi" w:cstheme="majorBidi"/>
          <w:sz w:val="24"/>
          <w:szCs w:val="24"/>
        </w:rPr>
        <w:t xml:space="preserve"> have successfully implemented </w:t>
      </w:r>
      <w:r w:rsidRPr="00525FBB">
        <w:rPr>
          <w:rFonts w:asciiTheme="majorBidi" w:hAnsiTheme="majorBidi" w:cstheme="majorBidi"/>
          <w:b/>
          <w:bCs/>
          <w:sz w:val="24"/>
          <w:szCs w:val="24"/>
        </w:rPr>
        <w:t>PPPs</w:t>
      </w:r>
      <w:r w:rsidRPr="00525FBB">
        <w:rPr>
          <w:rFonts w:asciiTheme="majorBidi" w:hAnsiTheme="majorBidi" w:cstheme="majorBidi"/>
          <w:sz w:val="24"/>
          <w:szCs w:val="24"/>
        </w:rPr>
        <w:t xml:space="preserve"> in healthcare, resulting in improved infrastructure, increased access to services, and enhanced quality of care (</w:t>
      </w:r>
      <w:proofErr w:type="spellStart"/>
      <w:r w:rsidRPr="00525FBB">
        <w:rPr>
          <w:rFonts w:asciiTheme="majorBidi" w:hAnsiTheme="majorBidi" w:cstheme="majorBidi"/>
          <w:sz w:val="24"/>
          <w:szCs w:val="24"/>
        </w:rPr>
        <w:t>Buse</w:t>
      </w:r>
      <w:proofErr w:type="spellEnd"/>
      <w:r w:rsidRPr="00525FBB">
        <w:rPr>
          <w:rFonts w:asciiTheme="majorBidi" w:hAnsiTheme="majorBidi" w:cstheme="majorBidi"/>
          <w:sz w:val="24"/>
          <w:szCs w:val="24"/>
        </w:rPr>
        <w:t xml:space="preserve"> et al., 2012). Saudi Arabia’s emphasis on expanding </w:t>
      </w:r>
      <w:r w:rsidRPr="00525FBB">
        <w:rPr>
          <w:rFonts w:asciiTheme="majorBidi" w:hAnsiTheme="majorBidi" w:cstheme="majorBidi"/>
          <w:b/>
          <w:bCs/>
          <w:sz w:val="24"/>
          <w:szCs w:val="24"/>
        </w:rPr>
        <w:t>private sector participation</w:t>
      </w:r>
      <w:r w:rsidRPr="00525FBB">
        <w:rPr>
          <w:rFonts w:asciiTheme="majorBidi" w:hAnsiTheme="majorBidi" w:cstheme="majorBidi"/>
          <w:sz w:val="24"/>
          <w:szCs w:val="24"/>
        </w:rPr>
        <w:t xml:space="preserve"> in healthcare through reforms like the </w:t>
      </w:r>
      <w:r w:rsidRPr="00525FBB">
        <w:rPr>
          <w:rFonts w:asciiTheme="majorBidi" w:hAnsiTheme="majorBidi" w:cstheme="majorBidi"/>
          <w:b/>
          <w:bCs/>
          <w:sz w:val="24"/>
          <w:szCs w:val="24"/>
        </w:rPr>
        <w:t>Health Holding Company</w:t>
      </w:r>
      <w:r w:rsidRPr="00525FBB">
        <w:rPr>
          <w:rFonts w:asciiTheme="majorBidi" w:hAnsiTheme="majorBidi" w:cstheme="majorBidi"/>
          <w:sz w:val="24"/>
          <w:szCs w:val="24"/>
        </w:rPr>
        <w:t xml:space="preserve"> is consistent with these global trends. </w:t>
      </w:r>
    </w:p>
    <w:p w14:paraId="2A4BA630" w14:textId="77777777" w:rsidR="00525FBB" w:rsidRPr="00525FBB" w:rsidRDefault="00525FBB" w:rsidP="00525FBB">
      <w:pPr>
        <w:spacing w:after="0" w:line="480" w:lineRule="auto"/>
        <w:jc w:val="right"/>
        <w:rPr>
          <w:rFonts w:asciiTheme="majorBidi" w:hAnsiTheme="majorBidi" w:cstheme="majorBidi"/>
          <w:sz w:val="24"/>
          <w:szCs w:val="24"/>
        </w:rPr>
      </w:pPr>
    </w:p>
    <w:p w14:paraId="33335A2D"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b/>
          <w:bCs/>
          <w:sz w:val="24"/>
          <w:szCs w:val="24"/>
        </w:rPr>
        <w:t>Conclusion</w:t>
      </w:r>
    </w:p>
    <w:p w14:paraId="541748E9"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The healthcare transformation in Saudi Arabia, underpinned by Vision 2030, is an ambitious and multifaceted process aimed at reshaping the healthcare system to meet the challenges of a growing, aging population, rising non-communicable diseases (NCDs), and the increasing demand for efficient and high-quality services. From the results of the studies analyzed, it is evident that Saudi Arabia is aligning with global trends by focusing </w:t>
      </w:r>
      <w:r w:rsidRPr="00525FBB">
        <w:rPr>
          <w:rFonts w:asciiTheme="majorBidi" w:hAnsiTheme="majorBidi" w:cstheme="majorBidi"/>
          <w:sz w:val="24"/>
          <w:szCs w:val="24"/>
        </w:rPr>
        <w:lastRenderedPageBreak/>
        <w:t>on key pillars such as digital health, workforce development, and public-private partnerships (PPPs). The integration of e-health solutions, including telemedicine and electronic health records (EHRs), is at the forefront of the country’s strategy to improve healthcare delivery and enhance accessibility, particularly in rural and underserved regions.</w:t>
      </w:r>
    </w:p>
    <w:p w14:paraId="1C55074F"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Despite the strides made towards healthcare reform, the Kingdom faces several challenges that could impede the successful implementation of Vision 2030’s healthcare objectives. These challenges primarily revolve around workforce shortages, infrastructure limitations, and financial sustainability. The healthcare workforce, which is largely dependent on expatriates, lacks sufficient local training and is not always adequately equipped to manage the growing demands of the system. Additionally, healthcare infrastructure is unevenly distributed, with rural areas particularly underserved, which exacerbates inequalities in access to care.</w:t>
      </w:r>
    </w:p>
    <w:p w14:paraId="0506346D" w14:textId="3D4C041C" w:rsid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The findings from the studies suggest that there is a strong emphasis on the need for substantial </w:t>
      </w:r>
      <w:r w:rsidRPr="00525FBB">
        <w:rPr>
          <w:rFonts w:asciiTheme="majorBidi" w:hAnsiTheme="majorBidi" w:cstheme="majorBidi"/>
          <w:b/>
          <w:bCs/>
          <w:sz w:val="24"/>
          <w:szCs w:val="24"/>
        </w:rPr>
        <w:t>workforce training</w:t>
      </w:r>
      <w:r w:rsidRPr="00525FBB">
        <w:rPr>
          <w:rFonts w:asciiTheme="majorBidi" w:hAnsiTheme="majorBidi" w:cstheme="majorBidi"/>
          <w:sz w:val="24"/>
          <w:szCs w:val="24"/>
        </w:rPr>
        <w:t xml:space="preserve"> and </w:t>
      </w:r>
      <w:r w:rsidRPr="00525FBB">
        <w:rPr>
          <w:rFonts w:asciiTheme="majorBidi" w:hAnsiTheme="majorBidi" w:cstheme="majorBidi"/>
          <w:b/>
          <w:bCs/>
          <w:sz w:val="24"/>
          <w:szCs w:val="24"/>
        </w:rPr>
        <w:t>capacity building</w:t>
      </w:r>
      <w:r w:rsidRPr="00525FBB">
        <w:rPr>
          <w:rFonts w:asciiTheme="majorBidi" w:hAnsiTheme="majorBidi" w:cstheme="majorBidi"/>
          <w:sz w:val="24"/>
          <w:szCs w:val="24"/>
        </w:rPr>
        <w:t xml:space="preserve"> to address the current and future demands of the healthcare system. Moreover, the integration of </w:t>
      </w:r>
      <w:r w:rsidRPr="00525FBB">
        <w:rPr>
          <w:rFonts w:asciiTheme="majorBidi" w:hAnsiTheme="majorBidi" w:cstheme="majorBidi"/>
          <w:b/>
          <w:bCs/>
          <w:sz w:val="24"/>
          <w:szCs w:val="24"/>
        </w:rPr>
        <w:t>private sector participation</w:t>
      </w:r>
      <w:r w:rsidRPr="00525FBB">
        <w:rPr>
          <w:rFonts w:asciiTheme="majorBidi" w:hAnsiTheme="majorBidi" w:cstheme="majorBidi"/>
          <w:sz w:val="24"/>
          <w:szCs w:val="24"/>
        </w:rPr>
        <w:t xml:space="preserve"> through </w:t>
      </w:r>
      <w:r w:rsidRPr="00525FBB">
        <w:rPr>
          <w:rFonts w:asciiTheme="majorBidi" w:hAnsiTheme="majorBidi" w:cstheme="majorBidi"/>
          <w:b/>
          <w:bCs/>
          <w:sz w:val="24"/>
          <w:szCs w:val="24"/>
        </w:rPr>
        <w:t>PPPs</w:t>
      </w:r>
      <w:r w:rsidRPr="00525FBB">
        <w:rPr>
          <w:rFonts w:asciiTheme="majorBidi" w:hAnsiTheme="majorBidi" w:cstheme="majorBidi"/>
          <w:sz w:val="24"/>
          <w:szCs w:val="24"/>
        </w:rPr>
        <w:t xml:space="preserve"> offers significant opportunities for improving the quality of care, enhancing resource utilization, and easing the financial burden on the public healthcare system. Digital health, as discussed across various studies, holds the potential to revolutionize healthcare delivery, ensuring that services reach more people in less time and at a lower cost. By focusing on these areas and aligning its strategies with global best practices, Saudi Arabia can create a sustainable and efficient healthcare system that meets the needs of its growing population.</w:t>
      </w:r>
    </w:p>
    <w:p w14:paraId="28468688" w14:textId="34A3D983" w:rsidR="00A55D84" w:rsidRDefault="00A55D84" w:rsidP="00525FBB">
      <w:pPr>
        <w:spacing w:after="0" w:line="480" w:lineRule="auto"/>
        <w:ind w:firstLine="720"/>
        <w:jc w:val="right"/>
        <w:rPr>
          <w:rFonts w:asciiTheme="majorBidi" w:hAnsiTheme="majorBidi" w:cstheme="majorBidi"/>
          <w:sz w:val="24"/>
          <w:szCs w:val="24"/>
        </w:rPr>
      </w:pPr>
    </w:p>
    <w:p w14:paraId="0CDC42B8" w14:textId="77777777" w:rsidR="00A55D84" w:rsidRPr="00525FBB" w:rsidRDefault="00A55D84" w:rsidP="00525FBB">
      <w:pPr>
        <w:spacing w:after="0" w:line="480" w:lineRule="auto"/>
        <w:ind w:firstLine="720"/>
        <w:jc w:val="right"/>
        <w:rPr>
          <w:rFonts w:asciiTheme="majorBidi" w:hAnsiTheme="majorBidi" w:cstheme="majorBidi"/>
          <w:sz w:val="24"/>
          <w:szCs w:val="24"/>
        </w:rPr>
      </w:pPr>
    </w:p>
    <w:p w14:paraId="5A15DB17" w14:textId="77777777" w:rsidR="00525FBB" w:rsidRPr="00525FBB" w:rsidRDefault="00525FBB" w:rsidP="00525FBB">
      <w:pPr>
        <w:spacing w:after="0" w:line="480" w:lineRule="auto"/>
        <w:ind w:firstLine="720"/>
        <w:jc w:val="right"/>
        <w:rPr>
          <w:rFonts w:asciiTheme="majorBidi" w:hAnsiTheme="majorBidi" w:cstheme="majorBidi"/>
          <w:sz w:val="24"/>
          <w:szCs w:val="24"/>
        </w:rPr>
      </w:pPr>
    </w:p>
    <w:p w14:paraId="1382E29E"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b/>
          <w:bCs/>
          <w:sz w:val="24"/>
          <w:szCs w:val="24"/>
        </w:rPr>
        <w:lastRenderedPageBreak/>
        <w:t>Limitations</w:t>
      </w:r>
    </w:p>
    <w:p w14:paraId="1F3C7209"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 xml:space="preserve">The healthcare transformation under Saudi Arabia's Vision 2030 is promising, but several limitations exist in the studies reviewed. One significant limitation is the lack of longitudinal data, with most studies focusing on short-term outcomes or pilot programs, leaving the long-term impact unclear.  The geographic focus of the studies is limited, with urban regions like Riyadh and the Eastern Region receiving more attention, while rural areas, facing different challenges, are underrepresented. Many studies also rely on self-reported data, which may introduce bias as healthcare workers' perspectives may not align with patients' experiences. </w:t>
      </w:r>
    </w:p>
    <w:p w14:paraId="6CEF844E" w14:textId="77777777"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Another noteworthy limitation is the insufficient research on private sector integration, especially public-private partnerships (PPPs), which are seen as an opportunity for improving healthcare but lack substantial evidence on their implementation at scale. Cultural and social factors, including societal norms, gender disparities, and attitudes toward healthcare, are often overlooked. These factors could significantly influence the success of reforms, and understanding them could help overcome barriers to healthcare access and improve the effectiveness of patient-centered care models. Addressing these limitations is crucial for accurately assessing and enhancing the effectiveness of Vision 2030's healthcare transformation.</w:t>
      </w:r>
    </w:p>
    <w:p w14:paraId="3BB397A7" w14:textId="77777777" w:rsidR="00525FBB" w:rsidRPr="00525FBB" w:rsidRDefault="00525FBB" w:rsidP="00525FBB">
      <w:pPr>
        <w:spacing w:after="0" w:line="480" w:lineRule="auto"/>
        <w:jc w:val="right"/>
        <w:rPr>
          <w:rFonts w:asciiTheme="majorBidi" w:hAnsiTheme="majorBidi" w:cstheme="majorBidi"/>
          <w:sz w:val="24"/>
          <w:szCs w:val="24"/>
        </w:rPr>
      </w:pPr>
    </w:p>
    <w:p w14:paraId="73CDAA1F"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b/>
          <w:bCs/>
          <w:sz w:val="24"/>
          <w:szCs w:val="24"/>
        </w:rPr>
        <w:t>Recommendations</w:t>
      </w:r>
    </w:p>
    <w:p w14:paraId="340459E7"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sz w:val="24"/>
          <w:szCs w:val="24"/>
        </w:rPr>
        <w:tab/>
        <w:t xml:space="preserve">To ensure the continued success of Saudi Arabia’s healthcare transformation under Vision 2030, several recommendations are made. Longitudinal research to assess the long-term impact of reforms, with comprehensive databases and regular follow-up studies to guide resource allocation can be explored in depth. The government should prioritize workforce development, addressing current shortages through training programs, </w:t>
      </w:r>
      <w:r w:rsidRPr="00525FBB">
        <w:rPr>
          <w:rFonts w:asciiTheme="majorBidi" w:hAnsiTheme="majorBidi" w:cstheme="majorBidi"/>
          <w:sz w:val="24"/>
          <w:szCs w:val="24"/>
        </w:rPr>
        <w:lastRenderedPageBreak/>
        <w:t>professional development, and incentives, while also integrating international talent with strong localization strategies. Retaining talent through better incentives and offering international recruitment with integration strategies can be considered.</w:t>
      </w:r>
    </w:p>
    <w:p w14:paraId="58004443" w14:textId="69ED373F" w:rsid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sz w:val="24"/>
          <w:szCs w:val="24"/>
        </w:rPr>
        <w:t>Expanding digital health technologies such as telemedicine, electronic health records (EHRs), and e-health platforms should be a key focus to ensure broader access to healthcare across the Kingdom. A stronger focus on rural and underserved regions is necessary, where dispariti</w:t>
      </w:r>
      <w:r w:rsidRPr="00525FBB">
        <w:rPr>
          <w:rFonts w:asciiTheme="majorBidi" w:hAnsiTheme="majorBidi" w:cstheme="majorBidi"/>
          <w:sz w:val="24"/>
          <w:szCs w:val="24"/>
        </w:rPr>
        <w:t>es in healthcare access persist</w:t>
      </w:r>
      <w:r w:rsidR="00A55D84">
        <w:rPr>
          <w:rFonts w:asciiTheme="majorBidi" w:hAnsiTheme="majorBidi" w:cstheme="majorBidi"/>
          <w:sz w:val="24"/>
          <w:szCs w:val="24"/>
        </w:rPr>
        <w:t>.</w:t>
      </w:r>
    </w:p>
    <w:p w14:paraId="4C6D68CB" w14:textId="1C5A05B8" w:rsidR="00A55D84" w:rsidRDefault="00A55D84" w:rsidP="00525FBB">
      <w:pPr>
        <w:spacing w:after="0" w:line="480" w:lineRule="auto"/>
        <w:ind w:firstLine="720"/>
        <w:jc w:val="right"/>
        <w:rPr>
          <w:rFonts w:asciiTheme="majorBidi" w:hAnsiTheme="majorBidi" w:cstheme="majorBidi"/>
          <w:sz w:val="24"/>
          <w:szCs w:val="24"/>
        </w:rPr>
      </w:pPr>
    </w:p>
    <w:p w14:paraId="449A32BE" w14:textId="6A998720" w:rsidR="00A55D84" w:rsidRDefault="00A55D84" w:rsidP="00525FBB">
      <w:pPr>
        <w:spacing w:after="0" w:line="480" w:lineRule="auto"/>
        <w:ind w:firstLine="720"/>
        <w:jc w:val="right"/>
        <w:rPr>
          <w:rFonts w:asciiTheme="majorBidi" w:hAnsiTheme="majorBidi" w:cstheme="majorBidi"/>
          <w:sz w:val="24"/>
          <w:szCs w:val="24"/>
        </w:rPr>
      </w:pPr>
    </w:p>
    <w:p w14:paraId="1EE1CA3E" w14:textId="57186A6A" w:rsidR="00A55D84" w:rsidRDefault="00A55D84" w:rsidP="00525FBB">
      <w:pPr>
        <w:spacing w:after="0" w:line="480" w:lineRule="auto"/>
        <w:ind w:firstLine="720"/>
        <w:jc w:val="right"/>
        <w:rPr>
          <w:rFonts w:asciiTheme="majorBidi" w:hAnsiTheme="majorBidi" w:cstheme="majorBidi"/>
          <w:sz w:val="24"/>
          <w:szCs w:val="24"/>
        </w:rPr>
      </w:pPr>
    </w:p>
    <w:p w14:paraId="5EB73FB2" w14:textId="37136BAD" w:rsidR="00A55D84" w:rsidRDefault="00A55D84" w:rsidP="00525FBB">
      <w:pPr>
        <w:spacing w:after="0" w:line="480" w:lineRule="auto"/>
        <w:ind w:firstLine="720"/>
        <w:jc w:val="right"/>
        <w:rPr>
          <w:rFonts w:asciiTheme="majorBidi" w:hAnsiTheme="majorBidi" w:cstheme="majorBidi"/>
          <w:sz w:val="24"/>
          <w:szCs w:val="24"/>
        </w:rPr>
      </w:pPr>
    </w:p>
    <w:p w14:paraId="7F16A7C8" w14:textId="232F9EFE" w:rsidR="00A55D84" w:rsidRDefault="00A55D84" w:rsidP="00525FBB">
      <w:pPr>
        <w:spacing w:after="0" w:line="480" w:lineRule="auto"/>
        <w:ind w:firstLine="720"/>
        <w:jc w:val="right"/>
        <w:rPr>
          <w:rFonts w:asciiTheme="majorBidi" w:hAnsiTheme="majorBidi" w:cstheme="majorBidi"/>
          <w:sz w:val="24"/>
          <w:szCs w:val="24"/>
        </w:rPr>
      </w:pPr>
    </w:p>
    <w:p w14:paraId="74F32926" w14:textId="2F7E7D75" w:rsidR="00A55D84" w:rsidRDefault="00A55D84" w:rsidP="00525FBB">
      <w:pPr>
        <w:spacing w:after="0" w:line="480" w:lineRule="auto"/>
        <w:ind w:firstLine="720"/>
        <w:jc w:val="right"/>
        <w:rPr>
          <w:rFonts w:asciiTheme="majorBidi" w:hAnsiTheme="majorBidi" w:cstheme="majorBidi"/>
          <w:sz w:val="24"/>
          <w:szCs w:val="24"/>
        </w:rPr>
      </w:pPr>
    </w:p>
    <w:p w14:paraId="229FC5A7" w14:textId="666E4A78" w:rsidR="00A55D84" w:rsidRDefault="00A55D84" w:rsidP="00525FBB">
      <w:pPr>
        <w:spacing w:after="0" w:line="480" w:lineRule="auto"/>
        <w:ind w:firstLine="720"/>
        <w:jc w:val="right"/>
        <w:rPr>
          <w:rFonts w:asciiTheme="majorBidi" w:hAnsiTheme="majorBidi" w:cstheme="majorBidi"/>
          <w:sz w:val="24"/>
          <w:szCs w:val="24"/>
        </w:rPr>
      </w:pPr>
    </w:p>
    <w:p w14:paraId="302BBD47" w14:textId="190924E9" w:rsidR="00A55D84" w:rsidRDefault="00A55D84" w:rsidP="00525FBB">
      <w:pPr>
        <w:spacing w:after="0" w:line="480" w:lineRule="auto"/>
        <w:ind w:firstLine="720"/>
        <w:jc w:val="right"/>
        <w:rPr>
          <w:rFonts w:asciiTheme="majorBidi" w:hAnsiTheme="majorBidi" w:cstheme="majorBidi"/>
          <w:sz w:val="24"/>
          <w:szCs w:val="24"/>
        </w:rPr>
      </w:pPr>
    </w:p>
    <w:p w14:paraId="0ED9C980" w14:textId="5413F895" w:rsidR="00A55D84" w:rsidRDefault="00A55D84" w:rsidP="00525FBB">
      <w:pPr>
        <w:spacing w:after="0" w:line="480" w:lineRule="auto"/>
        <w:ind w:firstLine="720"/>
        <w:jc w:val="right"/>
        <w:rPr>
          <w:rFonts w:asciiTheme="majorBidi" w:hAnsiTheme="majorBidi" w:cstheme="majorBidi"/>
          <w:sz w:val="24"/>
          <w:szCs w:val="24"/>
        </w:rPr>
      </w:pPr>
    </w:p>
    <w:p w14:paraId="1D34581A" w14:textId="7C24AD77" w:rsidR="00A55D84" w:rsidRDefault="00A55D84" w:rsidP="00525FBB">
      <w:pPr>
        <w:spacing w:after="0" w:line="480" w:lineRule="auto"/>
        <w:ind w:firstLine="720"/>
        <w:jc w:val="right"/>
        <w:rPr>
          <w:rFonts w:asciiTheme="majorBidi" w:hAnsiTheme="majorBidi" w:cstheme="majorBidi"/>
          <w:sz w:val="24"/>
          <w:szCs w:val="24"/>
        </w:rPr>
      </w:pPr>
    </w:p>
    <w:p w14:paraId="261FAE23" w14:textId="28682A97" w:rsidR="00A55D84" w:rsidRDefault="00A55D84" w:rsidP="00525FBB">
      <w:pPr>
        <w:spacing w:after="0" w:line="480" w:lineRule="auto"/>
        <w:ind w:firstLine="720"/>
        <w:jc w:val="right"/>
        <w:rPr>
          <w:rFonts w:asciiTheme="majorBidi" w:hAnsiTheme="majorBidi" w:cstheme="majorBidi"/>
          <w:sz w:val="24"/>
          <w:szCs w:val="24"/>
        </w:rPr>
      </w:pPr>
    </w:p>
    <w:p w14:paraId="3F36AD56" w14:textId="2FA484D9" w:rsidR="00A55D84" w:rsidRDefault="00A55D84" w:rsidP="00525FBB">
      <w:pPr>
        <w:spacing w:after="0" w:line="480" w:lineRule="auto"/>
        <w:ind w:firstLine="720"/>
        <w:jc w:val="right"/>
        <w:rPr>
          <w:rFonts w:asciiTheme="majorBidi" w:hAnsiTheme="majorBidi" w:cstheme="majorBidi"/>
          <w:sz w:val="24"/>
          <w:szCs w:val="24"/>
        </w:rPr>
      </w:pPr>
    </w:p>
    <w:p w14:paraId="5589530B" w14:textId="1043C183" w:rsidR="00A55D84" w:rsidRDefault="00A55D84" w:rsidP="00525FBB">
      <w:pPr>
        <w:spacing w:after="0" w:line="480" w:lineRule="auto"/>
        <w:ind w:firstLine="720"/>
        <w:jc w:val="right"/>
        <w:rPr>
          <w:rFonts w:asciiTheme="majorBidi" w:hAnsiTheme="majorBidi" w:cstheme="majorBidi"/>
          <w:sz w:val="24"/>
          <w:szCs w:val="24"/>
        </w:rPr>
      </w:pPr>
    </w:p>
    <w:p w14:paraId="12638361" w14:textId="0EB3C9FA" w:rsidR="00A55D84" w:rsidRDefault="00A55D84" w:rsidP="00525FBB">
      <w:pPr>
        <w:spacing w:after="0" w:line="480" w:lineRule="auto"/>
        <w:ind w:firstLine="720"/>
        <w:jc w:val="right"/>
        <w:rPr>
          <w:rFonts w:asciiTheme="majorBidi" w:hAnsiTheme="majorBidi" w:cstheme="majorBidi"/>
          <w:sz w:val="24"/>
          <w:szCs w:val="24"/>
        </w:rPr>
      </w:pPr>
    </w:p>
    <w:p w14:paraId="225835F8" w14:textId="2D1B1CC6" w:rsidR="00A55D84" w:rsidRDefault="00A55D84" w:rsidP="00525FBB">
      <w:pPr>
        <w:spacing w:after="0" w:line="480" w:lineRule="auto"/>
        <w:ind w:firstLine="720"/>
        <w:jc w:val="right"/>
        <w:rPr>
          <w:rFonts w:asciiTheme="majorBidi" w:hAnsiTheme="majorBidi" w:cstheme="majorBidi"/>
          <w:sz w:val="24"/>
          <w:szCs w:val="24"/>
        </w:rPr>
      </w:pPr>
    </w:p>
    <w:p w14:paraId="042B9BD2" w14:textId="18056A22" w:rsidR="00A55D84" w:rsidRDefault="00A55D84" w:rsidP="00525FBB">
      <w:pPr>
        <w:spacing w:after="0" w:line="480" w:lineRule="auto"/>
        <w:ind w:firstLine="720"/>
        <w:jc w:val="right"/>
        <w:rPr>
          <w:rFonts w:asciiTheme="majorBidi" w:hAnsiTheme="majorBidi" w:cstheme="majorBidi"/>
          <w:sz w:val="24"/>
          <w:szCs w:val="24"/>
        </w:rPr>
      </w:pPr>
    </w:p>
    <w:p w14:paraId="22C55F96" w14:textId="08F0D10A" w:rsidR="00A55D84" w:rsidRDefault="00A55D84" w:rsidP="00525FBB">
      <w:pPr>
        <w:spacing w:after="0" w:line="480" w:lineRule="auto"/>
        <w:ind w:firstLine="720"/>
        <w:jc w:val="right"/>
        <w:rPr>
          <w:rFonts w:asciiTheme="majorBidi" w:hAnsiTheme="majorBidi" w:cstheme="majorBidi"/>
          <w:sz w:val="24"/>
          <w:szCs w:val="24"/>
        </w:rPr>
      </w:pPr>
    </w:p>
    <w:p w14:paraId="0D20873B" w14:textId="33F0A319" w:rsidR="00A55D84" w:rsidRPr="00525FBB" w:rsidRDefault="00A55D84" w:rsidP="00525FBB">
      <w:pPr>
        <w:spacing w:after="0" w:line="480" w:lineRule="auto"/>
        <w:ind w:firstLine="720"/>
        <w:jc w:val="right"/>
        <w:rPr>
          <w:rFonts w:asciiTheme="majorBidi" w:hAnsiTheme="majorBidi" w:cstheme="majorBidi"/>
          <w:sz w:val="24"/>
          <w:szCs w:val="24"/>
        </w:rPr>
      </w:pPr>
    </w:p>
    <w:p w14:paraId="208CF613" w14:textId="63EEB771" w:rsidR="00525FBB" w:rsidRPr="00525FBB" w:rsidRDefault="00525FBB" w:rsidP="00525FBB">
      <w:pPr>
        <w:spacing w:after="0" w:line="480" w:lineRule="auto"/>
        <w:ind w:firstLine="720"/>
        <w:jc w:val="right"/>
        <w:rPr>
          <w:rFonts w:asciiTheme="majorBidi" w:hAnsiTheme="majorBidi" w:cstheme="majorBidi"/>
          <w:sz w:val="24"/>
          <w:szCs w:val="24"/>
        </w:rPr>
      </w:pPr>
      <w:r w:rsidRPr="00525FBB">
        <w:rPr>
          <w:rFonts w:asciiTheme="majorBidi" w:hAnsiTheme="majorBidi" w:cstheme="majorBidi"/>
          <w:b/>
          <w:bCs/>
          <w:sz w:val="24"/>
          <w:szCs w:val="24"/>
        </w:rPr>
        <w:lastRenderedPageBreak/>
        <w:t>References</w:t>
      </w:r>
    </w:p>
    <w:p w14:paraId="5AC8FE3C"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sz w:val="24"/>
          <w:szCs w:val="24"/>
        </w:rPr>
        <w:fldChar w:fldCharType="begin" w:fldLock="1"/>
      </w:r>
      <w:r w:rsidRPr="00525FBB">
        <w:rPr>
          <w:rFonts w:asciiTheme="majorBidi" w:hAnsiTheme="majorBidi" w:cstheme="majorBidi"/>
          <w:sz w:val="24"/>
          <w:szCs w:val="24"/>
        </w:rPr>
        <w:instrText xml:space="preserve">ADDIN Mendeley Bibliography CSL_BIBLIOGRAPHY </w:instrText>
      </w:r>
      <w:r w:rsidRPr="00525FBB">
        <w:rPr>
          <w:rFonts w:asciiTheme="majorBidi" w:hAnsiTheme="majorBidi" w:cstheme="majorBidi"/>
          <w:sz w:val="24"/>
          <w:szCs w:val="24"/>
        </w:rPr>
        <w:fldChar w:fldCharType="separate"/>
      </w:r>
      <w:r w:rsidRPr="00525FBB">
        <w:rPr>
          <w:rFonts w:asciiTheme="majorBidi" w:hAnsiTheme="majorBidi" w:cstheme="majorBidi"/>
          <w:noProof/>
          <w:kern w:val="0"/>
          <w:sz w:val="24"/>
          <w:szCs w:val="24"/>
        </w:rPr>
        <w:t xml:space="preserve">A Breckon, D., L Goldberg, K., C Pruett, C., A Harsanyi, M., &amp; C Rodriguez, R. (2020). Case Study: A Systematic Review of the Most Effective Career Training Programs for a Workforce Board. </w:t>
      </w:r>
      <w:r w:rsidRPr="00525FBB">
        <w:rPr>
          <w:rFonts w:asciiTheme="majorBidi" w:hAnsiTheme="majorBidi" w:cstheme="majorBidi"/>
          <w:i/>
          <w:iCs/>
          <w:noProof/>
          <w:kern w:val="0"/>
          <w:sz w:val="24"/>
          <w:szCs w:val="24"/>
        </w:rPr>
        <w:t>Muma Business Review</w:t>
      </w:r>
      <w:r w:rsidRPr="00525FBB">
        <w:rPr>
          <w:rFonts w:asciiTheme="majorBidi" w:hAnsiTheme="majorBidi" w:cstheme="majorBidi"/>
          <w:noProof/>
          <w:kern w:val="0"/>
          <w:sz w:val="24"/>
          <w:szCs w:val="24"/>
        </w:rPr>
        <w:t>. https://doi.org/10.28945/4571</w:t>
      </w:r>
    </w:p>
    <w:p w14:paraId="6BCE1AA3"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Agyeman-Manu, K., Ghebreyesus, T. A., Maait, M., Rafila, A., Tom, L., Lima, N. T., &amp; Wangmo, D. (2023). Prioritising the health and care workforce shortage: protect, invest, together. In </w:t>
      </w:r>
      <w:r w:rsidRPr="00525FBB">
        <w:rPr>
          <w:rFonts w:asciiTheme="majorBidi" w:hAnsiTheme="majorBidi" w:cstheme="majorBidi"/>
          <w:i/>
          <w:iCs/>
          <w:noProof/>
          <w:kern w:val="0"/>
          <w:sz w:val="24"/>
          <w:szCs w:val="24"/>
        </w:rPr>
        <w:t>The Lancet Global Health</w:t>
      </w:r>
      <w:r w:rsidRPr="00525FBB">
        <w:rPr>
          <w:rFonts w:asciiTheme="majorBidi" w:hAnsiTheme="majorBidi" w:cstheme="majorBidi"/>
          <w:noProof/>
          <w:kern w:val="0"/>
          <w:sz w:val="24"/>
          <w:szCs w:val="24"/>
        </w:rPr>
        <w:t>. https://doi.org/10.1016/S2214-109X(23)00224-3</w:t>
      </w:r>
    </w:p>
    <w:p w14:paraId="5CE0CD0F"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Al-Hanawi, M. K., Khan, S. A., &amp; Al-Borie, H. M. (2019). Healthcare human resource development in Saudi Arabia: Emerging challenges and opportunities - A critical review. </w:t>
      </w:r>
      <w:r w:rsidRPr="00525FBB">
        <w:rPr>
          <w:rFonts w:asciiTheme="majorBidi" w:hAnsiTheme="majorBidi" w:cstheme="majorBidi"/>
          <w:i/>
          <w:iCs/>
          <w:noProof/>
          <w:kern w:val="0"/>
          <w:sz w:val="24"/>
          <w:szCs w:val="24"/>
        </w:rPr>
        <w:t>Public Health Reviews</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40</w:t>
      </w:r>
      <w:r w:rsidRPr="00525FBB">
        <w:rPr>
          <w:rFonts w:asciiTheme="majorBidi" w:hAnsiTheme="majorBidi" w:cstheme="majorBidi"/>
          <w:noProof/>
          <w:kern w:val="0"/>
          <w:sz w:val="24"/>
          <w:szCs w:val="24"/>
        </w:rPr>
        <w:t>(1). https://doi.org/10.1186/S40985-019-0112-4</w:t>
      </w:r>
    </w:p>
    <w:p w14:paraId="37279D61"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Al Khashan, H., Abogazalah, F., Alomary, S., Nahhas, M., Alwadey, A., Al-Khudhair, B., Alamri, F., Aleisa, N., Mahmoud, N., &amp; Hassanein, M. (n.d.). Primary health care reform in Saudi Arabia: progress, challenges and prospects. </w:t>
      </w:r>
      <w:r w:rsidRPr="00525FBB">
        <w:rPr>
          <w:rFonts w:asciiTheme="majorBidi" w:hAnsiTheme="majorBidi" w:cstheme="majorBidi"/>
          <w:i/>
          <w:iCs/>
          <w:noProof/>
          <w:kern w:val="0"/>
          <w:sz w:val="24"/>
          <w:szCs w:val="24"/>
        </w:rPr>
        <w:t>Review EMHJ</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27</w:t>
      </w:r>
      <w:r w:rsidRPr="00525FBB">
        <w:rPr>
          <w:rFonts w:asciiTheme="majorBidi" w:hAnsiTheme="majorBidi" w:cstheme="majorBidi"/>
          <w:noProof/>
          <w:kern w:val="0"/>
          <w:sz w:val="24"/>
          <w:szCs w:val="24"/>
        </w:rPr>
        <w:t>, 10–2021. https://doi.org/10.26719/emhj.21.042</w:t>
      </w:r>
    </w:p>
    <w:p w14:paraId="05CD5F6B"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Alasiri, A. A., &amp; Mohammed, V. (2022). Healthcare Transformation in Saudi Arabia: An Overview Since the Launch of Vision 2030. </w:t>
      </w:r>
      <w:r w:rsidRPr="00525FBB">
        <w:rPr>
          <w:rFonts w:asciiTheme="majorBidi" w:hAnsiTheme="majorBidi" w:cstheme="majorBidi"/>
          <w:i/>
          <w:iCs/>
          <w:noProof/>
          <w:kern w:val="0"/>
          <w:sz w:val="24"/>
          <w:szCs w:val="24"/>
        </w:rPr>
        <w:t>Health Services Insights</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15</w:t>
      </w:r>
      <w:r w:rsidRPr="00525FBB">
        <w:rPr>
          <w:rFonts w:asciiTheme="majorBidi" w:hAnsiTheme="majorBidi" w:cstheme="majorBidi"/>
          <w:noProof/>
          <w:kern w:val="0"/>
          <w:sz w:val="24"/>
          <w:szCs w:val="24"/>
        </w:rPr>
        <w:t>. https://doi.org/10.1177/11786329221121214/SUPPL_FILE/SJ-DOCX-1-HIS-10.1177_11786329221121214.DOCX</w:t>
      </w:r>
    </w:p>
    <w:p w14:paraId="32D242CB"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Alghamdi, S., Alqahtani, J., &amp; Aldhahir, A. (2020). Current status of telehealth in Saudi Arabia during COVID-19. </w:t>
      </w:r>
      <w:r w:rsidRPr="00525FBB">
        <w:rPr>
          <w:rFonts w:asciiTheme="majorBidi" w:hAnsiTheme="majorBidi" w:cstheme="majorBidi"/>
          <w:i/>
          <w:iCs/>
          <w:noProof/>
          <w:kern w:val="0"/>
          <w:sz w:val="24"/>
          <w:szCs w:val="24"/>
        </w:rPr>
        <w:t>Journal of Family and Community Medicine</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27</w:t>
      </w:r>
      <w:r w:rsidRPr="00525FBB">
        <w:rPr>
          <w:rFonts w:asciiTheme="majorBidi" w:hAnsiTheme="majorBidi" w:cstheme="majorBidi"/>
          <w:noProof/>
          <w:kern w:val="0"/>
          <w:sz w:val="24"/>
          <w:szCs w:val="24"/>
        </w:rPr>
        <w:t>(3), 208–211. https://doi.org/10.4103/JFCM.JFCM_295_20</w:t>
      </w:r>
    </w:p>
    <w:p w14:paraId="4759450E"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Alharbi, M. F. (2018). An analysis of the Saudi health-care system’s readiness to change in the context of the Saudi National Health-care Plan in Vision 2030. </w:t>
      </w:r>
      <w:r w:rsidRPr="00525FBB">
        <w:rPr>
          <w:rFonts w:asciiTheme="majorBidi" w:hAnsiTheme="majorBidi" w:cstheme="majorBidi"/>
          <w:i/>
          <w:iCs/>
          <w:noProof/>
          <w:kern w:val="0"/>
          <w:sz w:val="24"/>
          <w:szCs w:val="24"/>
        </w:rPr>
        <w:t>International Journal of Health Sciences</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12</w:t>
      </w:r>
      <w:r w:rsidRPr="00525FBB">
        <w:rPr>
          <w:rFonts w:asciiTheme="majorBidi" w:hAnsiTheme="majorBidi" w:cstheme="majorBidi"/>
          <w:noProof/>
          <w:kern w:val="0"/>
          <w:sz w:val="24"/>
          <w:szCs w:val="24"/>
        </w:rPr>
        <w:t xml:space="preserve">(3), 83. </w:t>
      </w:r>
      <w:r w:rsidRPr="00525FBB">
        <w:rPr>
          <w:rFonts w:asciiTheme="majorBidi" w:hAnsiTheme="majorBidi" w:cstheme="majorBidi"/>
          <w:noProof/>
          <w:kern w:val="0"/>
          <w:sz w:val="24"/>
          <w:szCs w:val="24"/>
        </w:rPr>
        <w:lastRenderedPageBreak/>
        <w:t>https://pmc.ncbi.nlm.nih.gov/articles/PMC5969787/</w:t>
      </w:r>
    </w:p>
    <w:p w14:paraId="46BB05B9"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Alkhurayji, K., Alzahrani, H. A., Alotaibi, A. S., Alharbi, A. G., Zandan, A. A., &amp; Alsheikhi, H. (2024). </w:t>
      </w:r>
      <w:r w:rsidRPr="00525FBB">
        <w:rPr>
          <w:rFonts w:asciiTheme="majorBidi" w:hAnsiTheme="majorBidi" w:cstheme="majorBidi"/>
          <w:i/>
          <w:iCs/>
          <w:noProof/>
          <w:kern w:val="0"/>
          <w:sz w:val="24"/>
          <w:szCs w:val="24"/>
        </w:rPr>
        <w:t>Categories: Epidemiology/Public Health, Health Policy</w:t>
      </w:r>
      <w:r w:rsidRPr="00525FBB">
        <w:rPr>
          <w:rFonts w:asciiTheme="majorBidi" w:hAnsiTheme="majorBidi" w:cstheme="majorBidi"/>
          <w:noProof/>
          <w:kern w:val="0"/>
          <w:sz w:val="24"/>
          <w:szCs w:val="24"/>
        </w:rPr>
        <w:t>. https://doi.org/10.7759/cureus.65047</w:t>
      </w:r>
    </w:p>
    <w:p w14:paraId="0FD769AB"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Aluttis, C., Bishaw, T., &amp; Frank, M. W. (2014). The workforce for health in a globalized context - global shortages and international migration. In </w:t>
      </w:r>
      <w:r w:rsidRPr="00525FBB">
        <w:rPr>
          <w:rFonts w:asciiTheme="majorBidi" w:hAnsiTheme="majorBidi" w:cstheme="majorBidi"/>
          <w:i/>
          <w:iCs/>
          <w:noProof/>
          <w:kern w:val="0"/>
          <w:sz w:val="24"/>
          <w:szCs w:val="24"/>
        </w:rPr>
        <w:t>Global Health Action</w:t>
      </w:r>
      <w:r w:rsidRPr="00525FBB">
        <w:rPr>
          <w:rFonts w:asciiTheme="majorBidi" w:hAnsiTheme="majorBidi" w:cstheme="majorBidi"/>
          <w:noProof/>
          <w:kern w:val="0"/>
          <w:sz w:val="24"/>
          <w:szCs w:val="24"/>
        </w:rPr>
        <w:t>. https://doi.org/10.3402/gha.v7.23611</w:t>
      </w:r>
    </w:p>
    <w:p w14:paraId="55FD8855"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Angel, Y., &amp; Fire, G. (2023). Healthcare policy changes in an era of health workforce shortage. </w:t>
      </w:r>
      <w:r w:rsidRPr="00525FBB">
        <w:rPr>
          <w:rFonts w:asciiTheme="majorBidi" w:hAnsiTheme="majorBidi" w:cstheme="majorBidi"/>
          <w:i/>
          <w:iCs/>
          <w:noProof/>
          <w:kern w:val="0"/>
          <w:sz w:val="24"/>
          <w:szCs w:val="24"/>
        </w:rPr>
        <w:t>Israel Journal of Health Policy Research</w:t>
      </w:r>
      <w:r w:rsidRPr="00525FBB">
        <w:rPr>
          <w:rFonts w:asciiTheme="majorBidi" w:hAnsiTheme="majorBidi" w:cstheme="majorBidi"/>
          <w:noProof/>
          <w:kern w:val="0"/>
          <w:sz w:val="24"/>
          <w:szCs w:val="24"/>
        </w:rPr>
        <w:t>. https://doi.org/10.1186/s13584-023-00576-7</w:t>
      </w:r>
    </w:p>
    <w:p w14:paraId="7A63FC18"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Boniol, M., Kunjumen, T., Nair, T. S., Siyam, A., Campbell, J., &amp; Diallo, K. (2022). The global health workforce stock and distribution in 2020 and 2030: A threat to equity and â € universal’ health coverage? </w:t>
      </w:r>
      <w:r w:rsidRPr="00525FBB">
        <w:rPr>
          <w:rFonts w:asciiTheme="majorBidi" w:hAnsiTheme="majorBidi" w:cstheme="majorBidi"/>
          <w:i/>
          <w:iCs/>
          <w:noProof/>
          <w:kern w:val="0"/>
          <w:sz w:val="24"/>
          <w:szCs w:val="24"/>
        </w:rPr>
        <w:t>BMJ Global Health</w:t>
      </w:r>
      <w:r w:rsidRPr="00525FBB">
        <w:rPr>
          <w:rFonts w:asciiTheme="majorBidi" w:hAnsiTheme="majorBidi" w:cstheme="majorBidi"/>
          <w:noProof/>
          <w:kern w:val="0"/>
          <w:sz w:val="24"/>
          <w:szCs w:val="24"/>
        </w:rPr>
        <w:t>. https://doi.org/10.1136/bmjgh-2022-009316</w:t>
      </w:r>
    </w:p>
    <w:p w14:paraId="68CB0F0A"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Borden, W. B., &amp; Nallamothu, B. K. (2018). Making Health Policy More Accessible. In </w:t>
      </w:r>
      <w:r w:rsidRPr="00525FBB">
        <w:rPr>
          <w:rFonts w:asciiTheme="majorBidi" w:hAnsiTheme="majorBidi" w:cstheme="majorBidi"/>
          <w:i/>
          <w:iCs/>
          <w:noProof/>
          <w:kern w:val="0"/>
          <w:sz w:val="24"/>
          <w:szCs w:val="24"/>
        </w:rPr>
        <w:t>Circulation. Cardiovascular quality and outcomes</w:t>
      </w:r>
      <w:r w:rsidRPr="00525FBB">
        <w:rPr>
          <w:rFonts w:asciiTheme="majorBidi" w:hAnsiTheme="majorBidi" w:cstheme="majorBidi"/>
          <w:noProof/>
          <w:kern w:val="0"/>
          <w:sz w:val="24"/>
          <w:szCs w:val="24"/>
        </w:rPr>
        <w:t>. https://doi.org/10.1161/CIRCOUTCOMES.118.005372</w:t>
      </w:r>
    </w:p>
    <w:p w14:paraId="510CE93E"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Buse,  et al. (2012). Making Health Policy. In </w:t>
      </w:r>
      <w:r w:rsidRPr="00525FBB">
        <w:rPr>
          <w:rFonts w:asciiTheme="majorBidi" w:hAnsiTheme="majorBidi" w:cstheme="majorBidi"/>
          <w:i/>
          <w:iCs/>
          <w:noProof/>
          <w:kern w:val="0"/>
          <w:sz w:val="24"/>
          <w:szCs w:val="24"/>
        </w:rPr>
        <w:t>Making Health Policy</w:t>
      </w:r>
      <w:r w:rsidRPr="00525FBB">
        <w:rPr>
          <w:rFonts w:asciiTheme="majorBidi" w:hAnsiTheme="majorBidi" w:cstheme="majorBidi"/>
          <w:noProof/>
          <w:kern w:val="0"/>
          <w:sz w:val="24"/>
          <w:szCs w:val="24"/>
        </w:rPr>
        <w:t>.</w:t>
      </w:r>
    </w:p>
    <w:p w14:paraId="775CDDF7"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Chowdhury, S., Mok, D., &amp; Leenen, L. (2021). Transformation of health care and the new model of care in Saudi Arabia: Kingdom’s Vision 2030. </w:t>
      </w:r>
      <w:r w:rsidRPr="00525FBB">
        <w:rPr>
          <w:rFonts w:asciiTheme="majorBidi" w:hAnsiTheme="majorBidi" w:cstheme="majorBidi"/>
          <w:i/>
          <w:iCs/>
          <w:noProof/>
          <w:kern w:val="0"/>
          <w:sz w:val="24"/>
          <w:szCs w:val="24"/>
        </w:rPr>
        <w:t>Journal of Medicine and Life</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2021</w:t>
      </w:r>
      <w:r w:rsidRPr="00525FBB">
        <w:rPr>
          <w:rFonts w:asciiTheme="majorBidi" w:hAnsiTheme="majorBidi" w:cstheme="majorBidi"/>
          <w:noProof/>
          <w:kern w:val="0"/>
          <w:sz w:val="24"/>
          <w:szCs w:val="24"/>
        </w:rPr>
        <w:t>(3), 347–354. https://doi.org/10.25122/JML-2021-0070</w:t>
      </w:r>
    </w:p>
    <w:p w14:paraId="40BC42E5"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Dzakula, A., Relic, D., &amp; Michelutti, P. (2022). Health workforce shortage - Doing the right things or doing things right? In </w:t>
      </w:r>
      <w:r w:rsidRPr="00525FBB">
        <w:rPr>
          <w:rFonts w:asciiTheme="majorBidi" w:hAnsiTheme="majorBidi" w:cstheme="majorBidi"/>
          <w:i/>
          <w:iCs/>
          <w:noProof/>
          <w:kern w:val="0"/>
          <w:sz w:val="24"/>
          <w:szCs w:val="24"/>
        </w:rPr>
        <w:t>Croatian Medical Journal</w:t>
      </w:r>
      <w:r w:rsidRPr="00525FBB">
        <w:rPr>
          <w:rFonts w:asciiTheme="majorBidi" w:hAnsiTheme="majorBidi" w:cstheme="majorBidi"/>
          <w:noProof/>
          <w:kern w:val="0"/>
          <w:sz w:val="24"/>
          <w:szCs w:val="24"/>
        </w:rPr>
        <w:t>. https://doi.org/10.3325/cmj.2022.63.107</w:t>
      </w:r>
    </w:p>
    <w:p w14:paraId="115F0FE7"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Flood, C. M., &amp; Thomas, B. (2016). Modernizing the Canada Health Act. </w:t>
      </w:r>
      <w:r w:rsidRPr="00525FBB">
        <w:rPr>
          <w:rFonts w:asciiTheme="majorBidi" w:hAnsiTheme="majorBidi" w:cstheme="majorBidi"/>
          <w:i/>
          <w:iCs/>
          <w:noProof/>
          <w:kern w:val="0"/>
          <w:sz w:val="24"/>
          <w:szCs w:val="24"/>
        </w:rPr>
        <w:t xml:space="preserve">Dalhousie Law </w:t>
      </w:r>
      <w:r w:rsidRPr="00525FBB">
        <w:rPr>
          <w:rFonts w:asciiTheme="majorBidi" w:hAnsiTheme="majorBidi" w:cstheme="majorBidi"/>
          <w:i/>
          <w:iCs/>
          <w:noProof/>
          <w:kern w:val="0"/>
          <w:sz w:val="24"/>
          <w:szCs w:val="24"/>
        </w:rPr>
        <w:lastRenderedPageBreak/>
        <w:t>Journal</w:t>
      </w:r>
      <w:r w:rsidRPr="00525FBB">
        <w:rPr>
          <w:rFonts w:asciiTheme="majorBidi" w:hAnsiTheme="majorBidi" w:cstheme="majorBidi"/>
          <w:noProof/>
          <w:kern w:val="0"/>
          <w:sz w:val="24"/>
          <w:szCs w:val="24"/>
        </w:rPr>
        <w:t>.</w:t>
      </w:r>
    </w:p>
    <w:p w14:paraId="06F1DA0D"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Gandarillas, M. Á., &amp; Goswami, N. (2018). Merging current health care trends: Innovative perspective in aging care. In </w:t>
      </w:r>
      <w:r w:rsidRPr="00525FBB">
        <w:rPr>
          <w:rFonts w:asciiTheme="majorBidi" w:hAnsiTheme="majorBidi" w:cstheme="majorBidi"/>
          <w:i/>
          <w:iCs/>
          <w:noProof/>
          <w:kern w:val="0"/>
          <w:sz w:val="24"/>
          <w:szCs w:val="24"/>
        </w:rPr>
        <w:t>Clinical Interventions in Aging</w:t>
      </w:r>
      <w:r w:rsidRPr="00525FBB">
        <w:rPr>
          <w:rFonts w:asciiTheme="majorBidi" w:hAnsiTheme="majorBidi" w:cstheme="majorBidi"/>
          <w:noProof/>
          <w:kern w:val="0"/>
          <w:sz w:val="24"/>
          <w:szCs w:val="24"/>
        </w:rPr>
        <w:t>. https://doi.org/10.2147/CIA.S177286</w:t>
      </w:r>
    </w:p>
    <w:p w14:paraId="0746E2FE"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Gendelman, R., Preis, H., Chandran, L., Blair, R. J., Chitkara, M., &amp; Pati, S. (2021). Healthcare workforce transformation: implementing patient-centered medical home standards in an academic medical center. </w:t>
      </w:r>
      <w:r w:rsidRPr="00525FBB">
        <w:rPr>
          <w:rFonts w:asciiTheme="majorBidi" w:hAnsiTheme="majorBidi" w:cstheme="majorBidi"/>
          <w:i/>
          <w:iCs/>
          <w:noProof/>
          <w:kern w:val="0"/>
          <w:sz w:val="24"/>
          <w:szCs w:val="24"/>
        </w:rPr>
        <w:t>BMC Medical Education</w:t>
      </w:r>
      <w:r w:rsidRPr="00525FBB">
        <w:rPr>
          <w:rFonts w:asciiTheme="majorBidi" w:hAnsiTheme="majorBidi" w:cstheme="majorBidi"/>
          <w:noProof/>
          <w:kern w:val="0"/>
          <w:sz w:val="24"/>
          <w:szCs w:val="24"/>
        </w:rPr>
        <w:t>. https://doi.org/10.1186/s12909-021-02775-9</w:t>
      </w:r>
    </w:p>
    <w:p w14:paraId="457EDB94"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Gurajala, S. (2023). Healthcare System in the Kingdom of Saudi Arabia: An Expat Doctor’s Perspective. </w:t>
      </w:r>
      <w:r w:rsidRPr="00525FBB">
        <w:rPr>
          <w:rFonts w:asciiTheme="majorBidi" w:hAnsiTheme="majorBidi" w:cstheme="majorBidi"/>
          <w:i/>
          <w:iCs/>
          <w:noProof/>
          <w:kern w:val="0"/>
          <w:sz w:val="24"/>
          <w:szCs w:val="24"/>
        </w:rPr>
        <w:t>Cureus</w:t>
      </w:r>
      <w:r w:rsidRPr="00525FBB">
        <w:rPr>
          <w:rFonts w:asciiTheme="majorBidi" w:hAnsiTheme="majorBidi" w:cstheme="majorBidi"/>
          <w:noProof/>
          <w:kern w:val="0"/>
          <w:sz w:val="24"/>
          <w:szCs w:val="24"/>
        </w:rPr>
        <w:t>. https://doi.org/10.7759/cureus.38806</w:t>
      </w:r>
    </w:p>
    <w:p w14:paraId="2EBA842C"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Lateef, A. M., &amp; Mhlongo, E. M. (2020). Trends in Patient-Centered Care in South West Nigeria: A Holistic Assessment of the Nurses Perception of Primary Healthcare Practice. </w:t>
      </w:r>
      <w:r w:rsidRPr="00525FBB">
        <w:rPr>
          <w:rFonts w:asciiTheme="majorBidi" w:hAnsiTheme="majorBidi" w:cstheme="majorBidi"/>
          <w:i/>
          <w:iCs/>
          <w:noProof/>
          <w:kern w:val="0"/>
          <w:sz w:val="24"/>
          <w:szCs w:val="24"/>
        </w:rPr>
        <w:t>Global Journal of Health Science</w:t>
      </w:r>
      <w:r w:rsidRPr="00525FBB">
        <w:rPr>
          <w:rFonts w:asciiTheme="majorBidi" w:hAnsiTheme="majorBidi" w:cstheme="majorBidi"/>
          <w:noProof/>
          <w:kern w:val="0"/>
          <w:sz w:val="24"/>
          <w:szCs w:val="24"/>
        </w:rPr>
        <w:t>. https://doi.org/10.5539/gjhs.v12n6p73</w:t>
      </w:r>
    </w:p>
    <w:p w14:paraId="446D69CB"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Mani, Z. A., &amp; Goniewicz, K. (2024). Transforming Healthcare in Saudi Arabia: A Comprehensive Evaluation of Vision 2030’s Impact. </w:t>
      </w:r>
      <w:r w:rsidRPr="00525FBB">
        <w:rPr>
          <w:rFonts w:asciiTheme="majorBidi" w:hAnsiTheme="majorBidi" w:cstheme="majorBidi"/>
          <w:i/>
          <w:iCs/>
          <w:noProof/>
          <w:kern w:val="0"/>
          <w:sz w:val="24"/>
          <w:szCs w:val="24"/>
        </w:rPr>
        <w:t>Sustainability 2024, Vol. 16, Page 3277</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16</w:t>
      </w:r>
      <w:r w:rsidRPr="00525FBB">
        <w:rPr>
          <w:rFonts w:asciiTheme="majorBidi" w:hAnsiTheme="majorBidi" w:cstheme="majorBidi"/>
          <w:noProof/>
          <w:kern w:val="0"/>
          <w:sz w:val="24"/>
          <w:szCs w:val="24"/>
        </w:rPr>
        <w:t>(8), 3277. https://doi.org/10.3390/SU16083277</w:t>
      </w:r>
    </w:p>
    <w:p w14:paraId="34807A79"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Mathur, S., &amp; Sutton, J. (2017). Personalized medicine could transform healthcare (Review). In </w:t>
      </w:r>
      <w:r w:rsidRPr="00525FBB">
        <w:rPr>
          <w:rFonts w:asciiTheme="majorBidi" w:hAnsiTheme="majorBidi" w:cstheme="majorBidi"/>
          <w:i/>
          <w:iCs/>
          <w:noProof/>
          <w:kern w:val="0"/>
          <w:sz w:val="24"/>
          <w:szCs w:val="24"/>
        </w:rPr>
        <w:t>Biomedical Reports</w:t>
      </w:r>
      <w:r w:rsidRPr="00525FBB">
        <w:rPr>
          <w:rFonts w:asciiTheme="majorBidi" w:hAnsiTheme="majorBidi" w:cstheme="majorBidi"/>
          <w:noProof/>
          <w:kern w:val="0"/>
          <w:sz w:val="24"/>
          <w:szCs w:val="24"/>
        </w:rPr>
        <w:t>. https://doi.org/10.3892/br.2017.922</w:t>
      </w:r>
    </w:p>
    <w:p w14:paraId="3FE732BF"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Mohammed, S., Al Yami, A., Hamad, A., Alyami, K., Algobry, B. Y., Shabeh, H. A., Shaibah, R. A., Ali, M., Hamaim, B., Saif, M., Alyami, H., Ghaseb, H., Al Mreah, M., Muhammad, H., Al Hattab, H., Mahdi, S., Saleh, M. A., &amp; Sinan, A. (2024). Challenges and Opportunities in Healthcare Delivery in Saudi Arabia. </w:t>
      </w:r>
      <w:r w:rsidRPr="00525FBB">
        <w:rPr>
          <w:rFonts w:asciiTheme="majorBidi" w:hAnsiTheme="majorBidi" w:cstheme="majorBidi"/>
          <w:i/>
          <w:iCs/>
          <w:noProof/>
          <w:kern w:val="0"/>
          <w:sz w:val="24"/>
          <w:szCs w:val="24"/>
        </w:rPr>
        <w:t>Journal of International Crisis and Risk Communication Research</w:t>
      </w:r>
      <w:r w:rsidRPr="00525FBB">
        <w:rPr>
          <w:rFonts w:asciiTheme="majorBidi" w:hAnsiTheme="majorBidi" w:cstheme="majorBidi"/>
          <w:noProof/>
          <w:kern w:val="0"/>
          <w:sz w:val="24"/>
          <w:szCs w:val="24"/>
        </w:rPr>
        <w:t>, 1907–1925. https://doi.org/10.63278/JICRCR.VI.1197</w:t>
      </w:r>
    </w:p>
    <w:p w14:paraId="2392AB78"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Moore, L., Britten, N., Lydahl, D., Naldemirci, Ö., Elam, M., &amp; Wolf, A. (2017). Barriers </w:t>
      </w:r>
      <w:r w:rsidRPr="00525FBB">
        <w:rPr>
          <w:rFonts w:asciiTheme="majorBidi" w:hAnsiTheme="majorBidi" w:cstheme="majorBidi"/>
          <w:noProof/>
          <w:kern w:val="0"/>
          <w:sz w:val="24"/>
          <w:szCs w:val="24"/>
        </w:rPr>
        <w:lastRenderedPageBreak/>
        <w:t xml:space="preserve">and facilitators to the implementation of person-centred care in different healthcare contexts. </w:t>
      </w:r>
      <w:r w:rsidRPr="00525FBB">
        <w:rPr>
          <w:rFonts w:asciiTheme="majorBidi" w:hAnsiTheme="majorBidi" w:cstheme="majorBidi"/>
          <w:i/>
          <w:iCs/>
          <w:noProof/>
          <w:kern w:val="0"/>
          <w:sz w:val="24"/>
          <w:szCs w:val="24"/>
        </w:rPr>
        <w:t>Scandinavian Journal of Caring Sciences</w:t>
      </w:r>
      <w:r w:rsidRPr="00525FBB">
        <w:rPr>
          <w:rFonts w:asciiTheme="majorBidi" w:hAnsiTheme="majorBidi" w:cstheme="majorBidi"/>
          <w:noProof/>
          <w:kern w:val="0"/>
          <w:sz w:val="24"/>
          <w:szCs w:val="24"/>
        </w:rPr>
        <w:t>. https://doi.org/10.1111/scs.12376</w:t>
      </w:r>
    </w:p>
    <w:p w14:paraId="4CC8EB84"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Nhavoto, J. A., &amp; Grönlund, A. (2014). Mobile technologies and geographic information systems to improve health care systems: A literature review. In </w:t>
      </w:r>
      <w:r w:rsidRPr="00525FBB">
        <w:rPr>
          <w:rFonts w:asciiTheme="majorBidi" w:hAnsiTheme="majorBidi" w:cstheme="majorBidi"/>
          <w:i/>
          <w:iCs/>
          <w:noProof/>
          <w:kern w:val="0"/>
          <w:sz w:val="24"/>
          <w:szCs w:val="24"/>
        </w:rPr>
        <w:t>JMIR mHealth and uHealth</w:t>
      </w:r>
      <w:r w:rsidRPr="00525FBB">
        <w:rPr>
          <w:rFonts w:asciiTheme="majorBidi" w:hAnsiTheme="majorBidi" w:cstheme="majorBidi"/>
          <w:noProof/>
          <w:kern w:val="0"/>
          <w:sz w:val="24"/>
          <w:szCs w:val="24"/>
        </w:rPr>
        <w:t>. https://doi.org/10.2196/mhealth.3216</w:t>
      </w:r>
    </w:p>
    <w:p w14:paraId="53000763"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OECD. (2021). Long-term care settings | Health at a Glance 2021 : In </w:t>
      </w:r>
      <w:r w:rsidRPr="00525FBB">
        <w:rPr>
          <w:rFonts w:asciiTheme="majorBidi" w:hAnsiTheme="majorBidi" w:cstheme="majorBidi"/>
          <w:i/>
          <w:iCs/>
          <w:noProof/>
          <w:kern w:val="0"/>
          <w:sz w:val="24"/>
          <w:szCs w:val="24"/>
        </w:rPr>
        <w:t>OECD Indicators, OECD iLibrary</w:t>
      </w:r>
      <w:r w:rsidRPr="00525FBB">
        <w:rPr>
          <w:rFonts w:asciiTheme="majorBidi" w:hAnsiTheme="majorBidi" w:cstheme="majorBidi"/>
          <w:noProof/>
          <w:kern w:val="0"/>
          <w:sz w:val="24"/>
          <w:szCs w:val="24"/>
        </w:rPr>
        <w:t>.</w:t>
      </w:r>
    </w:p>
    <w:p w14:paraId="4328320A"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Rahman, R., &amp; Al-Borie, H. M. (2020). Strengthening the Saudi Arabian healthcare system: Role of Vision 2030. In </w:t>
      </w:r>
      <w:r w:rsidRPr="00525FBB">
        <w:rPr>
          <w:rFonts w:asciiTheme="majorBidi" w:hAnsiTheme="majorBidi" w:cstheme="majorBidi"/>
          <w:i/>
          <w:iCs/>
          <w:noProof/>
          <w:kern w:val="0"/>
          <w:sz w:val="24"/>
          <w:szCs w:val="24"/>
        </w:rPr>
        <w:t>International Journal of Healthcare Management</w:t>
      </w:r>
      <w:r w:rsidRPr="00525FBB">
        <w:rPr>
          <w:rFonts w:asciiTheme="majorBidi" w:hAnsiTheme="majorBidi" w:cstheme="majorBidi"/>
          <w:noProof/>
          <w:kern w:val="0"/>
          <w:sz w:val="24"/>
          <w:szCs w:val="24"/>
        </w:rPr>
        <w:t xml:space="preserve"> (pp. 1–9). Taylor and Francis Ltd. https://doi.org/10.1080/20479700.2020.1788334</w:t>
      </w:r>
    </w:p>
    <w:p w14:paraId="781471A3"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Rahman, R., &amp; Qattan, A. (2021). Vision 2030 and Sustainable Development: State Capacity to Revitalize the Healthcare System in Saudi Arabia. </w:t>
      </w:r>
      <w:r w:rsidRPr="00525FBB">
        <w:rPr>
          <w:rFonts w:asciiTheme="majorBidi" w:hAnsiTheme="majorBidi" w:cstheme="majorBidi"/>
          <w:i/>
          <w:iCs/>
          <w:noProof/>
          <w:kern w:val="0"/>
          <w:sz w:val="24"/>
          <w:szCs w:val="24"/>
        </w:rPr>
        <w:t>Inquiry (United States)</w:t>
      </w:r>
      <w:r w:rsidRPr="00525FBB">
        <w:rPr>
          <w:rFonts w:asciiTheme="majorBidi" w:hAnsiTheme="majorBidi" w:cstheme="majorBidi"/>
          <w:noProof/>
          <w:kern w:val="0"/>
          <w:sz w:val="24"/>
          <w:szCs w:val="24"/>
        </w:rPr>
        <w:t xml:space="preserve">, </w:t>
      </w:r>
      <w:r w:rsidRPr="00525FBB">
        <w:rPr>
          <w:rFonts w:asciiTheme="majorBidi" w:hAnsiTheme="majorBidi" w:cstheme="majorBidi"/>
          <w:i/>
          <w:iCs/>
          <w:noProof/>
          <w:kern w:val="0"/>
          <w:sz w:val="24"/>
          <w:szCs w:val="24"/>
        </w:rPr>
        <w:t>58</w:t>
      </w:r>
      <w:r w:rsidRPr="00525FBB">
        <w:rPr>
          <w:rFonts w:asciiTheme="majorBidi" w:hAnsiTheme="majorBidi" w:cstheme="majorBidi"/>
          <w:noProof/>
          <w:kern w:val="0"/>
          <w:sz w:val="24"/>
          <w:szCs w:val="24"/>
        </w:rPr>
        <w:t>. https://doi.org/10.1177/0046958020984682</w:t>
      </w:r>
    </w:p>
    <w:p w14:paraId="43586969"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Riley, A. J., Alshammary, S. A., Abuzied, Y., Al-Amer, R., Bin-Hussain, I., Alwaalah, M., Alshammari, K., &amp; Alqumaizi, K. I. (2024). Accelerated transformation programme for healthcare services: Structure, function and the lessons learnt. </w:t>
      </w:r>
      <w:r w:rsidRPr="00525FBB">
        <w:rPr>
          <w:rFonts w:asciiTheme="majorBidi" w:hAnsiTheme="majorBidi" w:cstheme="majorBidi"/>
          <w:i/>
          <w:iCs/>
          <w:noProof/>
          <w:kern w:val="0"/>
          <w:sz w:val="24"/>
          <w:szCs w:val="24"/>
        </w:rPr>
        <w:t>BMJ Leader</w:t>
      </w:r>
      <w:r w:rsidRPr="00525FBB">
        <w:rPr>
          <w:rFonts w:asciiTheme="majorBidi" w:hAnsiTheme="majorBidi" w:cstheme="majorBidi"/>
          <w:noProof/>
          <w:kern w:val="0"/>
          <w:sz w:val="24"/>
          <w:szCs w:val="24"/>
        </w:rPr>
        <w:t>. https://doi.org/10.1136/leader-2023-000851</w:t>
      </w:r>
    </w:p>
    <w:p w14:paraId="31D0A9E7"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Shah, S., Diwan, S., Kohan, L., Rosenblum, D., Gharibo, C., Soin, A., Sulindro, A., Nguyen, Q., &amp; Provenzano, D. (2020). The technological impact of COVID-19 on the future of education and health care delivery. </w:t>
      </w:r>
      <w:r w:rsidRPr="00525FBB">
        <w:rPr>
          <w:rFonts w:asciiTheme="majorBidi" w:hAnsiTheme="majorBidi" w:cstheme="majorBidi"/>
          <w:i/>
          <w:iCs/>
          <w:noProof/>
          <w:kern w:val="0"/>
          <w:sz w:val="24"/>
          <w:szCs w:val="24"/>
        </w:rPr>
        <w:t>Pain Physician</w:t>
      </w:r>
      <w:r w:rsidRPr="00525FBB">
        <w:rPr>
          <w:rFonts w:asciiTheme="majorBidi" w:hAnsiTheme="majorBidi" w:cstheme="majorBidi"/>
          <w:noProof/>
          <w:kern w:val="0"/>
          <w:sz w:val="24"/>
          <w:szCs w:val="24"/>
        </w:rPr>
        <w:t>. https://doi.org/10.36076/ppj.2020/23/s367</w:t>
      </w:r>
    </w:p>
    <w:p w14:paraId="2D12C4B5"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Sheth, A. (2014). kHealth : Proactive Personalized Actionable Information for Better Healthcare. </w:t>
      </w:r>
      <w:r w:rsidRPr="00525FBB">
        <w:rPr>
          <w:rFonts w:asciiTheme="majorBidi" w:hAnsiTheme="majorBidi" w:cstheme="majorBidi"/>
          <w:i/>
          <w:iCs/>
          <w:noProof/>
          <w:kern w:val="0"/>
          <w:sz w:val="24"/>
          <w:szCs w:val="24"/>
        </w:rPr>
        <w:t>Workshop on Personal Data Analytics in the Internet of Things (PDA@IOT 2014)</w:t>
      </w:r>
      <w:r w:rsidRPr="00525FBB">
        <w:rPr>
          <w:rFonts w:asciiTheme="majorBidi" w:hAnsiTheme="majorBidi" w:cstheme="majorBidi"/>
          <w:noProof/>
          <w:kern w:val="0"/>
          <w:sz w:val="24"/>
          <w:szCs w:val="24"/>
        </w:rPr>
        <w:t>.</w:t>
      </w:r>
    </w:p>
    <w:p w14:paraId="441119A9"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Suleiman, A. K., &amp; Ming, L. C. (2025). Transforming healthcare: Saudi Arabia’s vision </w:t>
      </w:r>
      <w:r w:rsidRPr="00525FBB">
        <w:rPr>
          <w:rFonts w:asciiTheme="majorBidi" w:hAnsiTheme="majorBidi" w:cstheme="majorBidi"/>
          <w:noProof/>
          <w:kern w:val="0"/>
          <w:sz w:val="24"/>
          <w:szCs w:val="24"/>
        </w:rPr>
        <w:lastRenderedPageBreak/>
        <w:t xml:space="preserve">2030 healthcare model. In </w:t>
      </w:r>
      <w:r w:rsidRPr="00525FBB">
        <w:rPr>
          <w:rFonts w:asciiTheme="majorBidi" w:hAnsiTheme="majorBidi" w:cstheme="majorBidi"/>
          <w:i/>
          <w:iCs/>
          <w:noProof/>
          <w:kern w:val="0"/>
          <w:sz w:val="24"/>
          <w:szCs w:val="24"/>
        </w:rPr>
        <w:t>Journal of Pharmaceutical Policy and Practice</w:t>
      </w:r>
      <w:r w:rsidRPr="00525FBB">
        <w:rPr>
          <w:rFonts w:asciiTheme="majorBidi" w:hAnsiTheme="majorBidi" w:cstheme="majorBidi"/>
          <w:noProof/>
          <w:kern w:val="0"/>
          <w:sz w:val="24"/>
          <w:szCs w:val="24"/>
        </w:rPr>
        <w:t xml:space="preserve"> (Vol. 18, Issue 1, p. 2449051). Taylor and Francis Ltd. https://doi.org/10.1080/20523211.2024.2449051</w:t>
      </w:r>
    </w:p>
    <w:p w14:paraId="5F12544A"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Turcotte, P. L., Carrier, A., Desrosiers, J., &amp; Levasseur, M. (2015). Are health promotion and prevention interventions integrated into occupational therapy practice with older adults having disabilities? Insights from six community health settings in Québec, Canada. </w:t>
      </w:r>
      <w:r w:rsidRPr="00525FBB">
        <w:rPr>
          <w:rFonts w:asciiTheme="majorBidi" w:hAnsiTheme="majorBidi" w:cstheme="majorBidi"/>
          <w:i/>
          <w:iCs/>
          <w:noProof/>
          <w:kern w:val="0"/>
          <w:sz w:val="24"/>
          <w:szCs w:val="24"/>
        </w:rPr>
        <w:t>Australian Occupational Therapy Journal</w:t>
      </w:r>
      <w:r w:rsidRPr="00525FBB">
        <w:rPr>
          <w:rFonts w:asciiTheme="majorBidi" w:hAnsiTheme="majorBidi" w:cstheme="majorBidi"/>
          <w:noProof/>
          <w:kern w:val="0"/>
          <w:sz w:val="24"/>
          <w:szCs w:val="24"/>
        </w:rPr>
        <w:t>. https://doi.org/10.1111/1440-1630.12174</w:t>
      </w:r>
    </w:p>
    <w:p w14:paraId="5D388A4D"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US-UAE Business Council. (2014). The U.A.E. Healthcare Sector. </w:t>
      </w:r>
      <w:r w:rsidRPr="00525FBB">
        <w:rPr>
          <w:rFonts w:asciiTheme="majorBidi" w:hAnsiTheme="majorBidi" w:cstheme="majorBidi"/>
          <w:i/>
          <w:iCs/>
          <w:noProof/>
          <w:kern w:val="0"/>
          <w:sz w:val="24"/>
          <w:szCs w:val="24"/>
        </w:rPr>
        <w:t>UAE Business Council</w:t>
      </w:r>
      <w:r w:rsidRPr="00525FBB">
        <w:rPr>
          <w:rFonts w:asciiTheme="majorBidi" w:hAnsiTheme="majorBidi" w:cstheme="majorBidi"/>
          <w:noProof/>
          <w:kern w:val="0"/>
          <w:sz w:val="24"/>
          <w:szCs w:val="24"/>
        </w:rPr>
        <w:t>.</w:t>
      </w:r>
    </w:p>
    <w:p w14:paraId="5D1E89A2"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World Health Organization(WHO). (2019). Medication Safety in high-risk situations. </w:t>
      </w:r>
      <w:r w:rsidRPr="00525FBB">
        <w:rPr>
          <w:rFonts w:asciiTheme="majorBidi" w:hAnsiTheme="majorBidi" w:cstheme="majorBidi"/>
          <w:i/>
          <w:iCs/>
          <w:noProof/>
          <w:kern w:val="0"/>
          <w:sz w:val="24"/>
          <w:szCs w:val="24"/>
        </w:rPr>
        <w:t>The Third Global Patient Safety Challenge: Medication Without Harm, Webinar on Medication Safety</w:t>
      </w:r>
      <w:r w:rsidRPr="00525FBB">
        <w:rPr>
          <w:rFonts w:asciiTheme="majorBidi" w:hAnsiTheme="majorBidi" w:cstheme="majorBidi"/>
          <w:noProof/>
          <w:kern w:val="0"/>
          <w:sz w:val="24"/>
          <w:szCs w:val="24"/>
        </w:rPr>
        <w:t>.</w:t>
      </w:r>
    </w:p>
    <w:p w14:paraId="7792E7A3"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World Health Organization. (2023). </w:t>
      </w:r>
      <w:r w:rsidRPr="00525FBB">
        <w:rPr>
          <w:rFonts w:asciiTheme="majorBidi" w:hAnsiTheme="majorBidi" w:cstheme="majorBidi"/>
          <w:i/>
          <w:iCs/>
          <w:noProof/>
          <w:kern w:val="0"/>
          <w:sz w:val="24"/>
          <w:szCs w:val="24"/>
        </w:rPr>
        <w:t>WHO Global Health Workforce Statistics Database</w:t>
      </w:r>
      <w:r w:rsidRPr="00525FBB">
        <w:rPr>
          <w:rFonts w:asciiTheme="majorBidi" w:hAnsiTheme="majorBidi" w:cstheme="majorBidi"/>
          <w:noProof/>
          <w:kern w:val="0"/>
          <w:sz w:val="24"/>
          <w:szCs w:val="24"/>
        </w:rPr>
        <w:t>. Geneva. https://www.who.int/data/gho/data/themes/topics/health-workforce</w:t>
      </w:r>
    </w:p>
    <w:p w14:paraId="59CD459C"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kern w:val="0"/>
          <w:sz w:val="24"/>
          <w:szCs w:val="24"/>
        </w:rPr>
      </w:pPr>
      <w:r w:rsidRPr="00525FBB">
        <w:rPr>
          <w:rFonts w:asciiTheme="majorBidi" w:hAnsiTheme="majorBidi" w:cstheme="majorBidi"/>
          <w:noProof/>
          <w:kern w:val="0"/>
          <w:sz w:val="24"/>
          <w:szCs w:val="24"/>
        </w:rPr>
        <w:t xml:space="preserve">Yousef, L., Alangari, D., Alshehri, R., Alsharif, B., Bayameen, O., &amp; Alnemer, Z. (2023). Healthcare transformation journey in the Eastern Region of Saudi Arabia: an overview, challenges and lessons learned. </w:t>
      </w:r>
      <w:r w:rsidRPr="00525FBB">
        <w:rPr>
          <w:rFonts w:asciiTheme="majorBidi" w:hAnsiTheme="majorBidi" w:cstheme="majorBidi"/>
          <w:i/>
          <w:iCs/>
          <w:noProof/>
          <w:kern w:val="0"/>
          <w:sz w:val="24"/>
          <w:szCs w:val="24"/>
        </w:rPr>
        <w:t>Journal of Medicine and Life</w:t>
      </w:r>
      <w:r w:rsidRPr="00525FBB">
        <w:rPr>
          <w:rFonts w:asciiTheme="majorBidi" w:hAnsiTheme="majorBidi" w:cstheme="majorBidi"/>
          <w:noProof/>
          <w:kern w:val="0"/>
          <w:sz w:val="24"/>
          <w:szCs w:val="24"/>
        </w:rPr>
        <w:t>. https://doi.org/10.25122/jml-2023-0010</w:t>
      </w:r>
    </w:p>
    <w:p w14:paraId="32F45301" w14:textId="77777777" w:rsidR="00525FBB" w:rsidRPr="00525FBB" w:rsidRDefault="00525FBB" w:rsidP="00525FBB">
      <w:pPr>
        <w:widowControl w:val="0"/>
        <w:autoSpaceDE w:val="0"/>
        <w:autoSpaceDN w:val="0"/>
        <w:adjustRightInd w:val="0"/>
        <w:spacing w:after="0" w:line="480" w:lineRule="auto"/>
        <w:ind w:left="480" w:hanging="480"/>
        <w:jc w:val="right"/>
        <w:rPr>
          <w:rFonts w:asciiTheme="majorBidi" w:hAnsiTheme="majorBidi" w:cstheme="majorBidi"/>
          <w:noProof/>
          <w:sz w:val="24"/>
          <w:szCs w:val="24"/>
        </w:rPr>
      </w:pPr>
      <w:r w:rsidRPr="00525FBB">
        <w:rPr>
          <w:rFonts w:asciiTheme="majorBidi" w:hAnsiTheme="majorBidi" w:cstheme="majorBidi"/>
          <w:noProof/>
          <w:kern w:val="0"/>
          <w:sz w:val="24"/>
          <w:szCs w:val="24"/>
        </w:rPr>
        <w:t xml:space="preserve">Zarocostas, J. (2021). WHO and World Bank urge spending for UHC. In </w:t>
      </w:r>
      <w:r w:rsidRPr="00525FBB">
        <w:rPr>
          <w:rFonts w:asciiTheme="majorBidi" w:hAnsiTheme="majorBidi" w:cstheme="majorBidi"/>
          <w:i/>
          <w:iCs/>
          <w:noProof/>
          <w:kern w:val="0"/>
          <w:sz w:val="24"/>
          <w:szCs w:val="24"/>
        </w:rPr>
        <w:t>Lancet (London, England)</w:t>
      </w:r>
      <w:r w:rsidRPr="00525FBB">
        <w:rPr>
          <w:rFonts w:asciiTheme="majorBidi" w:hAnsiTheme="majorBidi" w:cstheme="majorBidi"/>
          <w:noProof/>
          <w:kern w:val="0"/>
          <w:sz w:val="24"/>
          <w:szCs w:val="24"/>
        </w:rPr>
        <w:t>. https://doi.org/10.1016/S0140-6736(21)02792-6</w:t>
      </w:r>
    </w:p>
    <w:p w14:paraId="62212554" w14:textId="77777777" w:rsidR="00525FBB" w:rsidRPr="00525FBB" w:rsidRDefault="00525FBB" w:rsidP="00525FBB">
      <w:pPr>
        <w:spacing w:after="0" w:line="480" w:lineRule="auto"/>
        <w:jc w:val="right"/>
        <w:rPr>
          <w:rFonts w:asciiTheme="majorBidi" w:hAnsiTheme="majorBidi" w:cstheme="majorBidi"/>
          <w:sz w:val="24"/>
          <w:szCs w:val="24"/>
        </w:rPr>
      </w:pPr>
      <w:r w:rsidRPr="00525FBB">
        <w:rPr>
          <w:rFonts w:asciiTheme="majorBidi" w:hAnsiTheme="majorBidi" w:cstheme="majorBidi"/>
          <w:sz w:val="24"/>
          <w:szCs w:val="24"/>
        </w:rPr>
        <w:fldChar w:fldCharType="end"/>
      </w:r>
    </w:p>
    <w:p w14:paraId="01FEEAE7" w14:textId="3C9B2511" w:rsidR="00D34361" w:rsidRPr="00525FBB" w:rsidRDefault="00D34361" w:rsidP="00525FBB">
      <w:pPr>
        <w:tabs>
          <w:tab w:val="left" w:pos="5292"/>
        </w:tabs>
        <w:jc w:val="right"/>
        <w:rPr>
          <w:rFonts w:asciiTheme="majorBidi" w:hAnsiTheme="majorBidi" w:cstheme="majorBidi"/>
          <w:sz w:val="24"/>
          <w:szCs w:val="24"/>
        </w:rPr>
      </w:pPr>
      <w:bookmarkStart w:id="0" w:name="_GoBack"/>
      <w:bookmarkEnd w:id="0"/>
    </w:p>
    <w:sectPr w:rsidR="00D34361" w:rsidRPr="00525FBB" w:rsidSect="00877AAC">
      <w:footerReference w:type="defaul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0E3DA3" w14:textId="77777777" w:rsidR="00993FD3" w:rsidRDefault="00993FD3" w:rsidP="009125CE">
      <w:pPr>
        <w:spacing w:after="0" w:line="240" w:lineRule="auto"/>
      </w:pPr>
      <w:r>
        <w:separator/>
      </w:r>
    </w:p>
  </w:endnote>
  <w:endnote w:type="continuationSeparator" w:id="0">
    <w:p w14:paraId="2DC2C425" w14:textId="77777777" w:rsidR="00993FD3" w:rsidRDefault="00993FD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144572916"/>
      <w:docPartObj>
        <w:docPartGallery w:val="Page Numbers (Bottom of Page)"/>
        <w:docPartUnique/>
      </w:docPartObj>
    </w:sdtPr>
    <w:sdtEndPr>
      <w:rPr>
        <w:noProof/>
      </w:rPr>
    </w:sdtEndPr>
    <w:sdtContent>
      <w:p w14:paraId="336B106C" w14:textId="299378D0" w:rsidR="00A55D84" w:rsidRDefault="00A55D84">
        <w:pPr>
          <w:pStyle w:val="Footer"/>
        </w:pPr>
        <w:r>
          <w:fldChar w:fldCharType="begin"/>
        </w:r>
        <w:r>
          <w:instrText xml:space="preserve"> PAGE   \* MERGEFORMAT </w:instrText>
        </w:r>
        <w:r>
          <w:fldChar w:fldCharType="separate"/>
        </w:r>
        <w:r>
          <w:rPr>
            <w:noProof/>
            <w:rtl/>
          </w:rPr>
          <w:t>33</w:t>
        </w:r>
        <w:r>
          <w:rPr>
            <w:noProof/>
          </w:rPr>
          <w:fldChar w:fldCharType="end"/>
        </w:r>
      </w:p>
    </w:sdtContent>
  </w:sdt>
  <w:p w14:paraId="72C6F7BB" w14:textId="77777777" w:rsidR="00C56A95" w:rsidRDefault="00C56A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3C4C07" w14:textId="77777777" w:rsidR="00993FD3" w:rsidRDefault="00993FD3" w:rsidP="009125CE">
      <w:pPr>
        <w:spacing w:after="0" w:line="240" w:lineRule="auto"/>
      </w:pPr>
      <w:r>
        <w:separator/>
      </w:r>
    </w:p>
  </w:footnote>
  <w:footnote w:type="continuationSeparator" w:id="0">
    <w:p w14:paraId="14DC22F7" w14:textId="77777777" w:rsidR="00993FD3" w:rsidRDefault="00993FD3"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90F21"/>
    <w:rsid w:val="000F44B4"/>
    <w:rsid w:val="001902DB"/>
    <w:rsid w:val="001C2162"/>
    <w:rsid w:val="002B5969"/>
    <w:rsid w:val="00340F0A"/>
    <w:rsid w:val="004163C7"/>
    <w:rsid w:val="00506A5D"/>
    <w:rsid w:val="00525FBB"/>
    <w:rsid w:val="006878B6"/>
    <w:rsid w:val="006948DE"/>
    <w:rsid w:val="007B0E54"/>
    <w:rsid w:val="007E3A20"/>
    <w:rsid w:val="00877AAC"/>
    <w:rsid w:val="00896FE4"/>
    <w:rsid w:val="008F1EAE"/>
    <w:rsid w:val="009125CE"/>
    <w:rsid w:val="00946F5F"/>
    <w:rsid w:val="00992C84"/>
    <w:rsid w:val="00993FD3"/>
    <w:rsid w:val="009B6888"/>
    <w:rsid w:val="009C0161"/>
    <w:rsid w:val="009D108D"/>
    <w:rsid w:val="009E1436"/>
    <w:rsid w:val="009E3C06"/>
    <w:rsid w:val="009E5668"/>
    <w:rsid w:val="00A55D84"/>
    <w:rsid w:val="00AA79E9"/>
    <w:rsid w:val="00AB0A70"/>
    <w:rsid w:val="00AF3EF9"/>
    <w:rsid w:val="00B63B0F"/>
    <w:rsid w:val="00B7678A"/>
    <w:rsid w:val="00BC094B"/>
    <w:rsid w:val="00C56A95"/>
    <w:rsid w:val="00C72744"/>
    <w:rsid w:val="00CB2A44"/>
    <w:rsid w:val="00D04F62"/>
    <w:rsid w:val="00D22171"/>
    <w:rsid w:val="00D2468F"/>
    <w:rsid w:val="00D34361"/>
    <w:rsid w:val="00D52480"/>
    <w:rsid w:val="00E80FD9"/>
    <w:rsid w:val="00F540ED"/>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9E3C06"/>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46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chart" Target="charts/chart2.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hart" Target="charts/chart1.xm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ownloads\sstabl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ownloads\sstabl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ownloads\sstable.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ownloads\sstable.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a:t>Key Themes</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Sheet2!$B$3</c:f>
              <c:strCache>
                <c:ptCount val="1"/>
                <c:pt idx="0">
                  <c:v>Frequency</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trendline>
            <c:spPr>
              <a:ln w="19050" cap="rnd">
                <a:solidFill>
                  <a:schemeClr val="accent1"/>
                </a:solidFill>
              </a:ln>
              <a:effectLst/>
            </c:spPr>
            <c:trendlineType val="log"/>
            <c:dispRSqr val="0"/>
            <c:dispEq val="0"/>
          </c:trendline>
          <c:cat>
            <c:strRef>
              <c:f>Sheet2!$A$4:$A$8</c:f>
              <c:strCache>
                <c:ptCount val="5"/>
                <c:pt idx="0">
                  <c:v>Healthcare Transformation</c:v>
                </c:pt>
                <c:pt idx="1">
                  <c:v>Vision 2030 Healthcare Reform</c:v>
                </c:pt>
                <c:pt idx="2">
                  <c:v>Workforce Development</c:v>
                </c:pt>
                <c:pt idx="3">
                  <c:v>Digital Health Solutions</c:v>
                </c:pt>
                <c:pt idx="4">
                  <c:v>Public-Private Partnerships (PPPs)</c:v>
                </c:pt>
              </c:strCache>
            </c:strRef>
          </c:cat>
          <c:val>
            <c:numRef>
              <c:f>Sheet2!$B$4:$B$8</c:f>
              <c:numCache>
                <c:formatCode>General</c:formatCode>
                <c:ptCount val="5"/>
                <c:pt idx="0">
                  <c:v>12</c:v>
                </c:pt>
                <c:pt idx="1">
                  <c:v>9</c:v>
                </c:pt>
                <c:pt idx="2">
                  <c:v>7</c:v>
                </c:pt>
                <c:pt idx="3">
                  <c:v>6</c:v>
                </c:pt>
                <c:pt idx="4">
                  <c:v>5</c:v>
                </c:pt>
              </c:numCache>
            </c:numRef>
          </c:val>
          <c:extLst>
            <c:ext xmlns:c16="http://schemas.microsoft.com/office/drawing/2014/chart" uri="{C3380CC4-5D6E-409C-BE32-E72D297353CC}">
              <c16:uniqueId val="{00000000-6D58-420E-BFE8-B5BF2CB2CBFB}"/>
            </c:ext>
          </c:extLst>
        </c:ser>
        <c:dLbls>
          <c:showLegendKey val="0"/>
          <c:showVal val="0"/>
          <c:showCatName val="0"/>
          <c:showSerName val="0"/>
          <c:showPercent val="0"/>
          <c:showBubbleSize val="0"/>
        </c:dLbls>
        <c:gapWidth val="164"/>
        <c:overlap val="-22"/>
        <c:axId val="482625952"/>
        <c:axId val="482626312"/>
      </c:barChart>
      <c:catAx>
        <c:axId val="482625952"/>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626312"/>
        <c:crosses val="autoZero"/>
        <c:auto val="1"/>
        <c:lblAlgn val="ctr"/>
        <c:lblOffset val="100"/>
        <c:noMultiLvlLbl val="0"/>
      </c:catAx>
      <c:valAx>
        <c:axId val="48262631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6259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Challenges</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Sheet2!$B$14</c:f>
              <c:strCache>
                <c:ptCount val="1"/>
                <c:pt idx="0">
                  <c:v>Frequency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Sheet2!$A$15:$A$19</c:f>
              <c:strCache>
                <c:ptCount val="5"/>
                <c:pt idx="0">
                  <c:v>Workforce Issues (shortages, capacity)</c:v>
                </c:pt>
                <c:pt idx="1">
                  <c:v>Infrastructure Limitations</c:v>
                </c:pt>
                <c:pt idx="2">
                  <c:v>Access to Healthcare</c:v>
                </c:pt>
                <c:pt idx="3">
                  <c:v>Non-communicable Diseases (NCDs)</c:v>
                </c:pt>
                <c:pt idx="4">
                  <c:v>Financial Sustainability of Healthcare</c:v>
                </c:pt>
              </c:strCache>
            </c:strRef>
          </c:cat>
          <c:val>
            <c:numRef>
              <c:f>Sheet2!$B$15:$B$19</c:f>
              <c:numCache>
                <c:formatCode>General</c:formatCode>
                <c:ptCount val="5"/>
                <c:pt idx="0">
                  <c:v>8</c:v>
                </c:pt>
                <c:pt idx="1">
                  <c:v>6</c:v>
                </c:pt>
                <c:pt idx="2">
                  <c:v>5</c:v>
                </c:pt>
                <c:pt idx="3">
                  <c:v>4</c:v>
                </c:pt>
                <c:pt idx="4">
                  <c:v>4</c:v>
                </c:pt>
              </c:numCache>
            </c:numRef>
          </c:val>
          <c:extLst>
            <c:ext xmlns:c16="http://schemas.microsoft.com/office/drawing/2014/chart" uri="{C3380CC4-5D6E-409C-BE32-E72D297353CC}">
              <c16:uniqueId val="{00000000-4FE7-4F3B-89BD-02E9ED7C2519}"/>
            </c:ext>
          </c:extLst>
        </c:ser>
        <c:dLbls>
          <c:dLblPos val="inEnd"/>
          <c:showLegendKey val="0"/>
          <c:showVal val="1"/>
          <c:showCatName val="0"/>
          <c:showSerName val="0"/>
          <c:showPercent val="0"/>
          <c:showBubbleSize val="0"/>
        </c:dLbls>
        <c:gapWidth val="219"/>
        <c:overlap val="-27"/>
        <c:axId val="493956384"/>
        <c:axId val="493958904"/>
      </c:barChart>
      <c:catAx>
        <c:axId val="493956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958904"/>
        <c:crosses val="autoZero"/>
        <c:auto val="1"/>
        <c:lblAlgn val="ctr"/>
        <c:lblOffset val="100"/>
        <c:noMultiLvlLbl val="0"/>
      </c:catAx>
      <c:valAx>
        <c:axId val="493958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9563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Opportunities</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Sheet2!$B$26</c:f>
              <c:strCache>
                <c:ptCount val="1"/>
                <c:pt idx="0">
                  <c:v>Frequency</c:v>
                </c:pt>
              </c:strCache>
            </c:strRef>
          </c:tx>
          <c:spPr>
            <a:solidFill>
              <a:schemeClr val="accent1"/>
            </a:solidFill>
            <a:ln>
              <a:noFill/>
            </a:ln>
            <a:effectLst/>
          </c:spPr>
          <c:invertIfNegative val="0"/>
          <c:cat>
            <c:strRef>
              <c:f>Sheet2!$A$27:$A$31</c:f>
              <c:strCache>
                <c:ptCount val="5"/>
                <c:pt idx="0">
                  <c:v>Expansion of Primary Care</c:v>
                </c:pt>
                <c:pt idx="1">
                  <c:v>Improved Governance/Policy Reform</c:v>
                </c:pt>
                <c:pt idx="2">
                  <c:v>Workforce Development</c:v>
                </c:pt>
                <c:pt idx="3">
                  <c:v>Private Sector Involvement/PPP</c:v>
                </c:pt>
                <c:pt idx="4">
                  <c:v>Technology Integration (e-health, telemedicine)</c:v>
                </c:pt>
              </c:strCache>
            </c:strRef>
          </c:cat>
          <c:val>
            <c:numRef>
              <c:f>Sheet2!$B$27:$B$31</c:f>
              <c:numCache>
                <c:formatCode>General</c:formatCode>
                <c:ptCount val="5"/>
                <c:pt idx="0">
                  <c:v>3</c:v>
                </c:pt>
                <c:pt idx="1">
                  <c:v>4</c:v>
                </c:pt>
                <c:pt idx="2">
                  <c:v>5</c:v>
                </c:pt>
                <c:pt idx="3">
                  <c:v>6</c:v>
                </c:pt>
                <c:pt idx="4">
                  <c:v>8</c:v>
                </c:pt>
              </c:numCache>
            </c:numRef>
          </c:val>
          <c:extLst>
            <c:ext xmlns:c16="http://schemas.microsoft.com/office/drawing/2014/chart" uri="{C3380CC4-5D6E-409C-BE32-E72D297353CC}">
              <c16:uniqueId val="{00000000-7AA2-4C80-BB63-85950284E6C0}"/>
            </c:ext>
          </c:extLst>
        </c:ser>
        <c:dLbls>
          <c:showLegendKey val="0"/>
          <c:showVal val="0"/>
          <c:showCatName val="0"/>
          <c:showSerName val="0"/>
          <c:showPercent val="0"/>
          <c:showBubbleSize val="0"/>
        </c:dLbls>
        <c:gapWidth val="182"/>
        <c:axId val="490354184"/>
        <c:axId val="490352744"/>
      </c:barChart>
      <c:catAx>
        <c:axId val="4903541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0352744"/>
        <c:crosses val="autoZero"/>
        <c:auto val="1"/>
        <c:lblAlgn val="ctr"/>
        <c:lblOffset val="100"/>
        <c:noMultiLvlLbl val="0"/>
      </c:catAx>
      <c:valAx>
        <c:axId val="4903527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035418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Mitigative Strategies</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Sheet2!$B$37</c:f>
              <c:strCache>
                <c:ptCount val="1"/>
                <c:pt idx="0">
                  <c:v>Frequency</c:v>
                </c:pt>
              </c:strCache>
            </c:strRef>
          </c:tx>
          <c:dPt>
            <c:idx val="0"/>
            <c:bubble3D val="0"/>
            <c:spPr>
              <a:solidFill>
                <a:schemeClr val="accent6">
                  <a:lumMod val="75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018-4D15-ADC9-1CBA02C25885}"/>
              </c:ext>
            </c:extLst>
          </c:dPt>
          <c:dPt>
            <c:idx val="1"/>
            <c:bubble3D val="0"/>
            <c:spPr>
              <a:solidFill>
                <a:srgbClr val="FFC00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018-4D15-ADC9-1CBA02C25885}"/>
              </c:ext>
            </c:extLst>
          </c:dPt>
          <c:dPt>
            <c:idx val="2"/>
            <c:bubble3D val="0"/>
            <c:spPr>
              <a:solidFill>
                <a:srgbClr val="7030A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4018-4D15-ADC9-1CBA02C25885}"/>
              </c:ext>
            </c:extLst>
          </c:dPt>
          <c:dPt>
            <c:idx val="3"/>
            <c:bubble3D val="0"/>
            <c:spPr>
              <a:solidFill>
                <a:srgbClr val="FF000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4018-4D15-ADC9-1CBA02C2588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4018-4D15-ADC9-1CBA02C25885}"/>
              </c:ext>
            </c:extLst>
          </c:dPt>
          <c:dLbls>
            <c:dLbl>
              <c:idx val="0"/>
              <c:layout>
                <c:manualLayout>
                  <c:x val="6.9444444444444545E-2"/>
                  <c:y val="5.555555555555555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7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018-4D15-ADC9-1CBA02C25885}"/>
                </c:ext>
              </c:extLst>
            </c:dLbl>
            <c:dLbl>
              <c:idx val="1"/>
              <c:layout>
                <c:manualLayout>
                  <c:x val="0.13333333333333314"/>
                  <c:y val="-6.9444444444444531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rgbClr val="FFC000"/>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018-4D15-ADC9-1CBA02C25885}"/>
                </c:ext>
              </c:extLst>
            </c:dLbl>
            <c:dLbl>
              <c:idx val="2"/>
              <c:layout>
                <c:manualLayout>
                  <c:x val="1.5277777777777777E-2"/>
                  <c:y val="3.240740740740732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rgbClr val="7030A0"/>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24813888888888888"/>
                      <c:h val="0.2964122193059201"/>
                    </c:manualLayout>
                  </c15:layout>
                </c:ext>
                <c:ext xmlns:c16="http://schemas.microsoft.com/office/drawing/2014/chart" uri="{C3380CC4-5D6E-409C-BE32-E72D297353CC}">
                  <c16:uniqueId val="{00000005-4018-4D15-ADC9-1CBA02C25885}"/>
                </c:ext>
              </c:extLst>
            </c:dLbl>
            <c:dLbl>
              <c:idx val="3"/>
              <c:layout>
                <c:manualLayout>
                  <c:x val="-1.1111111111111112E-2"/>
                  <c:y val="6.4814814814814811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rgbClr val="C00000"/>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4018-4D15-ADC9-1CBA02C25885}"/>
                </c:ext>
              </c:extLst>
            </c:dLbl>
            <c:dLbl>
              <c:idx val="4"/>
              <c:layout>
                <c:manualLayout>
                  <c:x val="0.13472233158355201"/>
                  <c:y val="5.0925925925925923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41187510936132976"/>
                      <c:h val="0.18340296004666085"/>
                    </c:manualLayout>
                  </c15:layout>
                </c:ext>
                <c:ext xmlns:c16="http://schemas.microsoft.com/office/drawing/2014/chart" uri="{C3380CC4-5D6E-409C-BE32-E72D297353CC}">
                  <c16:uniqueId val="{00000009-4018-4D15-ADC9-1CBA02C25885}"/>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Sheet2!$A$38:$A$42</c:f>
              <c:strCache>
                <c:ptCount val="5"/>
                <c:pt idx="0">
                  <c:v>Workforce Training and Capacity Building</c:v>
                </c:pt>
                <c:pt idx="1">
                  <c:v>Public-Private Partnerships (PPPs)</c:v>
                </c:pt>
                <c:pt idx="2">
                  <c:v>Technology Adoption (Digital Health, e-health)</c:v>
                </c:pt>
                <c:pt idx="3">
                  <c:v>Governance and Policy Reforms</c:v>
                </c:pt>
                <c:pt idx="4">
                  <c:v>Healthcare Financing Reforms</c:v>
                </c:pt>
              </c:strCache>
            </c:strRef>
          </c:cat>
          <c:val>
            <c:numRef>
              <c:f>Sheet2!$B$38:$B$42</c:f>
              <c:numCache>
                <c:formatCode>General</c:formatCode>
                <c:ptCount val="5"/>
                <c:pt idx="0">
                  <c:v>8</c:v>
                </c:pt>
                <c:pt idx="1">
                  <c:v>6</c:v>
                </c:pt>
                <c:pt idx="2">
                  <c:v>5</c:v>
                </c:pt>
                <c:pt idx="3">
                  <c:v>4</c:v>
                </c:pt>
                <c:pt idx="4">
                  <c:v>3</c:v>
                </c:pt>
              </c:numCache>
            </c:numRef>
          </c:val>
          <c:extLst>
            <c:ext xmlns:c16="http://schemas.microsoft.com/office/drawing/2014/chart" uri="{C3380CC4-5D6E-409C-BE32-E72D297353CC}">
              <c16:uniqueId val="{0000000A-4018-4D15-ADC9-1CBA02C25885}"/>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34</Pages>
  <Words>28199</Words>
  <Characters>160736</Characters>
  <Application>Microsoft Office Word</Application>
  <DocSecurity>0</DocSecurity>
  <Lines>1339</Lines>
  <Paragraphs>377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cp:lastModifiedBy>
  <cp:revision>12</cp:revision>
  <dcterms:created xsi:type="dcterms:W3CDTF">2025-03-14T07:20:00Z</dcterms:created>
  <dcterms:modified xsi:type="dcterms:W3CDTF">2025-03-14T08:02:00Z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