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E7D23" w:rsidRDefault="009125CE" w:rsidP="0048111F">
      <w:pPr>
        <w:ind w:left="360"/>
        <w:jc w:val="both"/>
        <w:rPr>
          <w:rFonts w:asciiTheme="majorBidi" w:hAnsiTheme="majorBidi" w:cstheme="majorBidi"/>
          <w:b/>
          <w:bCs/>
          <w:sz w:val="28"/>
          <w:szCs w:val="28"/>
          <w:rtl/>
          <w:lang w:bidi="ar-EG"/>
        </w:rPr>
      </w:pPr>
      <w:r w:rsidRPr="00CE7D23">
        <w:rPr>
          <w:rFonts w:asciiTheme="majorBidi" w:hAnsiTheme="majorBidi" w:cstheme="majorBidi"/>
          <w:b/>
          <w:bCs/>
          <w:sz w:val="28"/>
          <w:szCs w:val="28"/>
          <w:rtl/>
          <w:lang w:bidi="ar-EG"/>
        </w:rPr>
        <w:t xml:space="preserve">جامعة </w:t>
      </w:r>
      <w:proofErr w:type="spellStart"/>
      <w:r w:rsidRPr="00CE7D23">
        <w:rPr>
          <w:rFonts w:asciiTheme="majorBidi" w:hAnsiTheme="majorBidi" w:cstheme="majorBidi"/>
          <w:b/>
          <w:bCs/>
          <w:sz w:val="28"/>
          <w:szCs w:val="28"/>
          <w:rtl/>
          <w:lang w:bidi="ar-EG"/>
        </w:rPr>
        <w:t>ميدأوشن</w:t>
      </w:r>
      <w:proofErr w:type="spellEnd"/>
      <w:r w:rsidRPr="00CE7D23">
        <w:rPr>
          <w:rFonts w:asciiTheme="majorBidi" w:hAnsiTheme="majorBidi" w:cstheme="majorBidi"/>
          <w:b/>
          <w:bCs/>
          <w:sz w:val="28"/>
          <w:szCs w:val="28"/>
          <w:rtl/>
          <w:lang w:bidi="ar-EG"/>
        </w:rPr>
        <w:t xml:space="preserve"> </w:t>
      </w:r>
    </w:p>
    <w:p w14:paraId="1E957002" w14:textId="04B27A9D" w:rsidR="00F546CE" w:rsidRPr="00CE7D23" w:rsidRDefault="009125CE" w:rsidP="0048111F">
      <w:pPr>
        <w:ind w:left="360"/>
        <w:jc w:val="both"/>
        <w:rPr>
          <w:rFonts w:asciiTheme="majorBidi" w:hAnsiTheme="majorBidi" w:cstheme="majorBidi"/>
          <w:b/>
          <w:bCs/>
          <w:sz w:val="28"/>
          <w:szCs w:val="28"/>
          <w:rtl/>
          <w:lang w:bidi="ar-EG"/>
        </w:rPr>
      </w:pPr>
      <w:r w:rsidRPr="002D35A2">
        <w:rPr>
          <w:noProof/>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E7D23">
        <w:rPr>
          <w:rFonts w:asciiTheme="majorBidi" w:hAnsiTheme="majorBidi" w:cstheme="majorBidi"/>
          <w:b/>
          <w:bCs/>
          <w:sz w:val="28"/>
          <w:szCs w:val="28"/>
          <w:lang w:bidi="ar-EG"/>
        </w:rPr>
        <w:t xml:space="preserve">    </w:t>
      </w:r>
      <w:r w:rsidRPr="00CE7D23">
        <w:rPr>
          <w:rFonts w:asciiTheme="majorBidi" w:hAnsiTheme="majorBidi" w:cstheme="majorBidi"/>
          <w:b/>
          <w:bCs/>
          <w:sz w:val="28"/>
          <w:szCs w:val="28"/>
          <w:rtl/>
          <w:lang w:bidi="ar-EG"/>
        </w:rPr>
        <w:t xml:space="preserve">كلية الإدارة </w:t>
      </w:r>
    </w:p>
    <w:p w14:paraId="4ACD9079" w14:textId="147F2089" w:rsidR="005905D2" w:rsidRPr="00CE7D23" w:rsidRDefault="00222F6F" w:rsidP="0048111F">
      <w:pPr>
        <w:ind w:left="360"/>
        <w:rPr>
          <w:rFonts w:asciiTheme="majorBidi" w:hAnsiTheme="majorBidi" w:cstheme="majorBidi"/>
          <w:b/>
          <w:bCs/>
          <w:sz w:val="28"/>
          <w:szCs w:val="28"/>
          <w:rtl/>
          <w:lang w:bidi="ar-EG"/>
        </w:rPr>
      </w:pPr>
      <w:r w:rsidRPr="00CE7D23">
        <w:rPr>
          <w:rFonts w:asciiTheme="majorBidi" w:hAnsiTheme="majorBidi" w:cstheme="majorBidi"/>
          <w:b/>
          <w:bCs/>
          <w:sz w:val="28"/>
          <w:szCs w:val="28"/>
          <w:rtl/>
        </w:rPr>
        <w:t xml:space="preserve">تخصص: </w:t>
      </w:r>
      <w:r w:rsidR="0048111F" w:rsidRPr="0048111F">
        <w:rPr>
          <w:rFonts w:asciiTheme="majorBidi" w:hAnsiTheme="majorBidi" w:cstheme="majorBidi"/>
          <w:b/>
          <w:bCs/>
          <w:sz w:val="28"/>
          <w:szCs w:val="28"/>
          <w:rtl/>
        </w:rPr>
        <w:t>إدارة المخاطر</w:t>
      </w:r>
    </w:p>
    <w:p w14:paraId="4673A1FA" w14:textId="77777777" w:rsidR="005905D2" w:rsidRDefault="005905D2" w:rsidP="0048111F">
      <w:pPr>
        <w:jc w:val="center"/>
        <w:rPr>
          <w:rFonts w:asciiTheme="majorBidi" w:hAnsiTheme="majorBidi" w:cstheme="majorBidi"/>
          <w:b/>
          <w:bCs/>
          <w:sz w:val="28"/>
          <w:szCs w:val="28"/>
          <w:rtl/>
        </w:rPr>
      </w:pPr>
    </w:p>
    <w:p w14:paraId="152AE4A2" w14:textId="77777777" w:rsidR="00222F6F" w:rsidRDefault="00222F6F" w:rsidP="0048111F">
      <w:pPr>
        <w:jc w:val="center"/>
        <w:rPr>
          <w:rFonts w:asciiTheme="majorBidi" w:hAnsiTheme="majorBidi" w:cstheme="majorBidi"/>
          <w:b/>
          <w:bCs/>
          <w:sz w:val="28"/>
          <w:szCs w:val="28"/>
          <w:rtl/>
        </w:rPr>
      </w:pPr>
    </w:p>
    <w:p w14:paraId="6B722817" w14:textId="77777777" w:rsidR="00B1496E" w:rsidRDefault="00B1496E" w:rsidP="0048111F">
      <w:pPr>
        <w:ind w:left="360"/>
        <w:jc w:val="center"/>
        <w:rPr>
          <w:rFonts w:asciiTheme="majorBidi" w:hAnsiTheme="majorBidi" w:cstheme="majorBidi"/>
          <w:b/>
          <w:bCs/>
          <w:sz w:val="28"/>
          <w:szCs w:val="28"/>
          <w:rtl/>
        </w:rPr>
      </w:pPr>
    </w:p>
    <w:p w14:paraId="7DCF3991" w14:textId="77777777" w:rsidR="0048111F" w:rsidRDefault="0048111F" w:rsidP="0048111F">
      <w:pPr>
        <w:ind w:left="360"/>
        <w:jc w:val="center"/>
        <w:rPr>
          <w:rFonts w:asciiTheme="majorBidi" w:hAnsiTheme="majorBidi" w:cstheme="majorBidi"/>
          <w:b/>
          <w:bCs/>
          <w:sz w:val="28"/>
          <w:szCs w:val="28"/>
          <w:rtl/>
        </w:rPr>
      </w:pPr>
      <w:r w:rsidRPr="0048111F">
        <w:rPr>
          <w:rFonts w:asciiTheme="majorBidi" w:hAnsiTheme="majorBidi" w:cstheme="majorBidi"/>
          <w:b/>
          <w:bCs/>
          <w:sz w:val="28"/>
          <w:szCs w:val="28"/>
          <w:rtl/>
        </w:rPr>
        <w:t xml:space="preserve">أثر إدارة </w:t>
      </w:r>
      <w:proofErr w:type="gramStart"/>
      <w:r w:rsidRPr="0048111F">
        <w:rPr>
          <w:rFonts w:asciiTheme="majorBidi" w:hAnsiTheme="majorBidi" w:cstheme="majorBidi"/>
          <w:b/>
          <w:bCs/>
          <w:sz w:val="28"/>
          <w:szCs w:val="28"/>
          <w:rtl/>
        </w:rPr>
        <w:t>مخاطر</w:t>
      </w:r>
      <w:proofErr w:type="gramEnd"/>
      <w:r w:rsidRPr="0048111F">
        <w:rPr>
          <w:rFonts w:asciiTheme="majorBidi" w:hAnsiTheme="majorBidi" w:cstheme="majorBidi"/>
          <w:b/>
          <w:bCs/>
          <w:sz w:val="28"/>
          <w:szCs w:val="28"/>
          <w:rtl/>
        </w:rPr>
        <w:t xml:space="preserve"> البيانات والتقنية على دقة التنبؤات ودعم القرار في الأرصاد الجوية</w:t>
      </w:r>
    </w:p>
    <w:p w14:paraId="015769C0" w14:textId="5FAFFECF" w:rsidR="005905D2" w:rsidRPr="00CE7D23" w:rsidRDefault="005905D2" w:rsidP="0048111F">
      <w:pPr>
        <w:ind w:left="360"/>
        <w:jc w:val="center"/>
        <w:rPr>
          <w:rFonts w:asciiTheme="majorBidi" w:hAnsiTheme="majorBidi" w:cstheme="majorBidi"/>
          <w:b/>
          <w:bCs/>
          <w:sz w:val="28"/>
          <w:szCs w:val="28"/>
          <w:rtl/>
          <w:lang w:bidi="ar-EG"/>
        </w:rPr>
      </w:pPr>
      <w:r w:rsidRPr="00CE7D23">
        <w:rPr>
          <w:rFonts w:asciiTheme="majorBidi" w:hAnsiTheme="majorBidi" w:cstheme="majorBidi"/>
          <w:b/>
          <w:bCs/>
          <w:sz w:val="28"/>
          <w:szCs w:val="28"/>
          <w:rtl/>
          <w:lang w:bidi="ar-EG"/>
        </w:rPr>
        <w:t>إعداد الطالب/</w:t>
      </w:r>
    </w:p>
    <w:p w14:paraId="3EEC8CF8" w14:textId="77777777" w:rsidR="00956AE0" w:rsidRPr="00956AE0" w:rsidRDefault="00956AE0" w:rsidP="0048111F">
      <w:pPr>
        <w:rPr>
          <w:rFonts w:asciiTheme="majorBidi" w:hAnsiTheme="majorBidi" w:cstheme="majorBidi"/>
          <w:b/>
          <w:bCs/>
          <w:sz w:val="28"/>
          <w:szCs w:val="28"/>
          <w:rtl/>
        </w:rPr>
      </w:pPr>
    </w:p>
    <w:p w14:paraId="68CED626" w14:textId="77777777" w:rsidR="0048111F" w:rsidRDefault="0048111F" w:rsidP="0048111F">
      <w:pPr>
        <w:ind w:left="360"/>
        <w:jc w:val="center"/>
        <w:rPr>
          <w:rFonts w:asciiTheme="majorBidi" w:hAnsiTheme="majorBidi" w:cs="Times New Roman"/>
          <w:b/>
          <w:bCs/>
          <w:sz w:val="28"/>
          <w:szCs w:val="28"/>
          <w:rtl/>
        </w:rPr>
      </w:pPr>
      <w:r w:rsidRPr="0048111F">
        <w:rPr>
          <w:rFonts w:asciiTheme="majorBidi" w:hAnsiTheme="majorBidi" w:cs="Times New Roman"/>
          <w:b/>
          <w:bCs/>
          <w:sz w:val="28"/>
          <w:szCs w:val="28"/>
          <w:rtl/>
        </w:rPr>
        <w:t>أنور عبد العزيز الشيخ</w:t>
      </w:r>
    </w:p>
    <w:p w14:paraId="329BEC8A" w14:textId="7E8FACBF" w:rsidR="0029432D" w:rsidRPr="00CE7D23" w:rsidRDefault="0029432D" w:rsidP="0048111F">
      <w:pPr>
        <w:ind w:left="360"/>
        <w:jc w:val="center"/>
        <w:rPr>
          <w:rFonts w:asciiTheme="majorBidi" w:hAnsiTheme="majorBidi" w:cstheme="majorBidi"/>
          <w:b/>
          <w:bCs/>
          <w:sz w:val="28"/>
          <w:szCs w:val="28"/>
          <w:rtl/>
          <w:lang w:bidi="ar-EG"/>
        </w:rPr>
      </w:pPr>
      <w:r w:rsidRPr="00CE7D23">
        <w:rPr>
          <w:rFonts w:asciiTheme="majorBidi" w:hAnsiTheme="majorBidi" w:cs="Times New Roman"/>
          <w:b/>
          <w:bCs/>
          <w:sz w:val="28"/>
          <w:szCs w:val="28"/>
          <w:rtl/>
        </w:rPr>
        <w:t xml:space="preserve">الرقم الجامعي: </w:t>
      </w:r>
      <w:r w:rsidR="0048111F" w:rsidRPr="0048111F">
        <w:rPr>
          <w:rFonts w:asciiTheme="majorBidi" w:hAnsiTheme="majorBidi" w:cs="Times New Roman"/>
          <w:b/>
          <w:bCs/>
          <w:sz w:val="28"/>
          <w:szCs w:val="28"/>
        </w:rPr>
        <w:t>253001085</w:t>
      </w:r>
    </w:p>
    <w:p w14:paraId="5F4EE2DE" w14:textId="69D52FE9" w:rsidR="009125CE" w:rsidRPr="00CE7D23" w:rsidRDefault="009125CE" w:rsidP="0048111F">
      <w:pPr>
        <w:ind w:left="360"/>
        <w:jc w:val="center"/>
        <w:rPr>
          <w:rFonts w:asciiTheme="majorBidi" w:hAnsiTheme="majorBidi" w:cstheme="majorBidi"/>
          <w:b/>
          <w:bCs/>
          <w:sz w:val="28"/>
          <w:szCs w:val="28"/>
          <w:rtl/>
          <w:lang w:bidi="ar-EG"/>
        </w:rPr>
      </w:pPr>
      <w:r w:rsidRPr="00CE7D23">
        <w:rPr>
          <w:rFonts w:asciiTheme="majorBidi" w:hAnsiTheme="majorBidi" w:cstheme="majorBidi"/>
          <w:b/>
          <w:bCs/>
          <w:sz w:val="28"/>
          <w:szCs w:val="28"/>
          <w:rtl/>
          <w:lang w:bidi="ar-EG"/>
        </w:rPr>
        <w:t>إشراف/</w:t>
      </w:r>
    </w:p>
    <w:p w14:paraId="2EFA31CD" w14:textId="63FDA1D0" w:rsidR="009125CE" w:rsidRPr="00CE7D23" w:rsidRDefault="00D04F62" w:rsidP="0048111F">
      <w:pPr>
        <w:ind w:left="360"/>
        <w:jc w:val="center"/>
        <w:rPr>
          <w:rFonts w:asciiTheme="majorBidi" w:hAnsiTheme="majorBidi" w:cstheme="majorBidi"/>
          <w:b/>
          <w:bCs/>
          <w:sz w:val="28"/>
          <w:szCs w:val="28"/>
          <w:rtl/>
          <w:lang w:bidi="ar-EG"/>
        </w:rPr>
      </w:pPr>
      <w:proofErr w:type="spellStart"/>
      <w:proofErr w:type="gramStart"/>
      <w:r w:rsidRPr="00CE7D23">
        <w:rPr>
          <w:rFonts w:asciiTheme="majorBidi" w:hAnsiTheme="majorBidi" w:cstheme="majorBidi"/>
          <w:b/>
          <w:bCs/>
          <w:sz w:val="28"/>
          <w:szCs w:val="28"/>
          <w:rtl/>
          <w:lang w:bidi="ar-EG"/>
        </w:rPr>
        <w:t>د.الفيصل</w:t>
      </w:r>
      <w:proofErr w:type="spellEnd"/>
      <w:proofErr w:type="gramEnd"/>
      <w:r w:rsidRPr="00CE7D23">
        <w:rPr>
          <w:rFonts w:asciiTheme="majorBidi" w:hAnsiTheme="majorBidi" w:cstheme="majorBidi"/>
          <w:b/>
          <w:bCs/>
          <w:sz w:val="28"/>
          <w:szCs w:val="28"/>
          <w:rtl/>
          <w:lang w:bidi="ar-EG"/>
        </w:rPr>
        <w:t xml:space="preserve"> عبد الحميد</w:t>
      </w:r>
      <w:r w:rsidRPr="00CE7D23">
        <w:rPr>
          <w:rFonts w:asciiTheme="majorBidi" w:hAnsiTheme="majorBidi" w:cstheme="majorBidi"/>
          <w:b/>
          <w:bCs/>
          <w:sz w:val="28"/>
          <w:szCs w:val="28"/>
          <w:rtl/>
          <w:lang w:bidi="ar-EG"/>
        </w:rPr>
        <w:br/>
      </w:r>
      <w:proofErr w:type="spellStart"/>
      <w:proofErr w:type="gramStart"/>
      <w:r w:rsidRPr="00CE7D23">
        <w:rPr>
          <w:rFonts w:asciiTheme="majorBidi" w:hAnsiTheme="majorBidi" w:cstheme="majorBidi"/>
          <w:b/>
          <w:bCs/>
          <w:sz w:val="28"/>
          <w:szCs w:val="28"/>
          <w:rtl/>
          <w:lang w:bidi="ar-EG"/>
        </w:rPr>
        <w:t>د.فايز</w:t>
      </w:r>
      <w:proofErr w:type="spellEnd"/>
      <w:proofErr w:type="gramEnd"/>
      <w:r w:rsidRPr="00CE7D23">
        <w:rPr>
          <w:rFonts w:asciiTheme="majorBidi" w:hAnsiTheme="majorBidi" w:cstheme="majorBidi"/>
          <w:b/>
          <w:bCs/>
          <w:sz w:val="28"/>
          <w:szCs w:val="28"/>
          <w:rtl/>
          <w:lang w:bidi="ar-EG"/>
        </w:rPr>
        <w:t xml:space="preserve"> جراد</w:t>
      </w:r>
    </w:p>
    <w:p w14:paraId="16CF2D6A" w14:textId="77777777" w:rsidR="009125CE" w:rsidRPr="002D35A2" w:rsidRDefault="009125CE" w:rsidP="0048111F">
      <w:pPr>
        <w:jc w:val="center"/>
        <w:rPr>
          <w:rFonts w:asciiTheme="majorBidi" w:hAnsiTheme="majorBidi" w:cstheme="majorBidi"/>
          <w:b/>
          <w:bCs/>
          <w:sz w:val="28"/>
          <w:szCs w:val="28"/>
          <w:rtl/>
          <w:lang w:bidi="ar-EG"/>
        </w:rPr>
      </w:pPr>
    </w:p>
    <w:p w14:paraId="22738CC6" w14:textId="77777777" w:rsidR="009125CE" w:rsidRPr="002D35A2" w:rsidRDefault="009125CE" w:rsidP="0048111F">
      <w:pPr>
        <w:jc w:val="center"/>
        <w:rPr>
          <w:rFonts w:asciiTheme="majorBidi" w:hAnsiTheme="majorBidi" w:cstheme="majorBidi"/>
          <w:b/>
          <w:bCs/>
          <w:sz w:val="28"/>
          <w:szCs w:val="28"/>
          <w:rtl/>
          <w:lang w:bidi="ar-EG"/>
        </w:rPr>
      </w:pPr>
    </w:p>
    <w:p w14:paraId="14480418" w14:textId="78A6C3AC" w:rsidR="009125CE" w:rsidRPr="00CE7D23" w:rsidRDefault="009125CE" w:rsidP="0048111F">
      <w:pPr>
        <w:ind w:left="360"/>
        <w:jc w:val="center"/>
        <w:rPr>
          <w:rFonts w:asciiTheme="majorBidi" w:hAnsiTheme="majorBidi" w:cstheme="majorBidi"/>
          <w:b/>
          <w:bCs/>
          <w:sz w:val="28"/>
          <w:szCs w:val="28"/>
          <w:rtl/>
          <w:lang w:bidi="ar-EG"/>
        </w:rPr>
      </w:pPr>
      <w:r w:rsidRPr="00CE7D23">
        <w:rPr>
          <w:rFonts w:asciiTheme="majorBidi" w:hAnsiTheme="majorBidi" w:cstheme="majorBidi"/>
          <w:b/>
          <w:bCs/>
          <w:sz w:val="28"/>
          <w:szCs w:val="28"/>
          <w:rtl/>
          <w:lang w:bidi="ar-EG"/>
        </w:rPr>
        <w:t>العام الدراسي:</w:t>
      </w:r>
    </w:p>
    <w:p w14:paraId="0ECF42F7" w14:textId="6CDEC5BF" w:rsidR="009125CE" w:rsidRPr="00CE7D23" w:rsidRDefault="002D35A2" w:rsidP="0048111F">
      <w:pPr>
        <w:ind w:left="360"/>
        <w:jc w:val="center"/>
        <w:rPr>
          <w:rFonts w:asciiTheme="majorBidi" w:hAnsiTheme="majorBidi" w:cstheme="majorBidi"/>
          <w:b/>
          <w:bCs/>
          <w:sz w:val="28"/>
          <w:szCs w:val="28"/>
          <w:rtl/>
          <w:lang w:bidi="ar-EG"/>
        </w:rPr>
      </w:pPr>
      <w:r w:rsidRPr="00CE7D23">
        <w:rPr>
          <w:rFonts w:asciiTheme="majorBidi" w:hAnsiTheme="majorBidi" w:cstheme="majorBidi"/>
          <w:b/>
          <w:bCs/>
          <w:sz w:val="28"/>
          <w:szCs w:val="28"/>
          <w:rtl/>
          <w:lang w:bidi="ar-EG"/>
        </w:rPr>
        <w:t>2026</w:t>
      </w:r>
    </w:p>
    <w:p w14:paraId="2DDB72B8" w14:textId="77777777" w:rsidR="002D35A2" w:rsidRDefault="002D35A2" w:rsidP="0048111F">
      <w:pPr>
        <w:jc w:val="center"/>
        <w:rPr>
          <w:rFonts w:asciiTheme="majorBidi" w:hAnsiTheme="majorBidi" w:cstheme="majorBidi"/>
          <w:b/>
          <w:bCs/>
          <w:sz w:val="28"/>
          <w:szCs w:val="28"/>
          <w:rtl/>
          <w:lang w:bidi="ar-EG"/>
        </w:rPr>
      </w:pPr>
    </w:p>
    <w:p w14:paraId="00E92289" w14:textId="77777777" w:rsidR="002D35A2" w:rsidRDefault="002D35A2" w:rsidP="0048111F">
      <w:pPr>
        <w:jc w:val="center"/>
        <w:rPr>
          <w:rFonts w:asciiTheme="majorBidi" w:hAnsiTheme="majorBidi" w:cstheme="majorBidi"/>
          <w:b/>
          <w:bCs/>
          <w:sz w:val="28"/>
          <w:szCs w:val="28"/>
          <w:rtl/>
          <w:lang w:bidi="ar-EG"/>
        </w:rPr>
      </w:pPr>
    </w:p>
    <w:p w14:paraId="37EDFE56" w14:textId="77777777" w:rsidR="009672FC" w:rsidRDefault="009672FC" w:rsidP="0048111F">
      <w:pPr>
        <w:jc w:val="both"/>
        <w:rPr>
          <w:rFonts w:asciiTheme="majorBidi" w:hAnsiTheme="majorBidi" w:cstheme="majorBidi"/>
          <w:b/>
          <w:bCs/>
          <w:sz w:val="28"/>
          <w:szCs w:val="28"/>
          <w:rtl/>
          <w:lang w:bidi="ar-EG"/>
        </w:rPr>
      </w:pPr>
    </w:p>
    <w:p w14:paraId="63534B66" w14:textId="77777777" w:rsidR="009672FC" w:rsidRDefault="009672FC" w:rsidP="0048111F">
      <w:pPr>
        <w:jc w:val="both"/>
        <w:rPr>
          <w:rFonts w:asciiTheme="majorBidi" w:hAnsiTheme="majorBidi" w:cstheme="majorBidi"/>
          <w:b/>
          <w:bCs/>
          <w:sz w:val="28"/>
          <w:szCs w:val="28"/>
          <w:rtl/>
          <w:lang w:bidi="ar-EG"/>
        </w:rPr>
      </w:pPr>
    </w:p>
    <w:p w14:paraId="15222551" w14:textId="77777777" w:rsidR="002D35A2" w:rsidRDefault="002D35A2" w:rsidP="0048111F">
      <w:pPr>
        <w:jc w:val="both"/>
        <w:rPr>
          <w:rFonts w:asciiTheme="majorBidi" w:hAnsiTheme="majorBidi" w:cstheme="majorBidi"/>
          <w:b/>
          <w:bCs/>
          <w:sz w:val="28"/>
          <w:szCs w:val="28"/>
          <w:rtl/>
          <w:lang w:bidi="ar-EG"/>
        </w:rPr>
      </w:pPr>
    </w:p>
    <w:p w14:paraId="681D9BE9" w14:textId="77777777" w:rsidR="00BC5333" w:rsidRDefault="00BC5333" w:rsidP="0048111F">
      <w:pPr>
        <w:jc w:val="both"/>
        <w:rPr>
          <w:rFonts w:asciiTheme="majorBidi" w:hAnsiTheme="majorBidi" w:cstheme="majorBidi"/>
          <w:b/>
          <w:bCs/>
          <w:sz w:val="28"/>
          <w:szCs w:val="28"/>
          <w:rtl/>
          <w:lang w:bidi="ar-EG"/>
        </w:rPr>
      </w:pPr>
    </w:p>
    <w:p w14:paraId="6B883BBA" w14:textId="77777777" w:rsidR="00956AE0" w:rsidRPr="002D35A2" w:rsidRDefault="00956AE0" w:rsidP="0048111F">
      <w:pPr>
        <w:jc w:val="both"/>
        <w:rPr>
          <w:rFonts w:asciiTheme="majorBidi" w:hAnsiTheme="majorBidi" w:cstheme="majorBidi"/>
          <w:b/>
          <w:bCs/>
          <w:sz w:val="28"/>
          <w:szCs w:val="28"/>
          <w:rtl/>
          <w:lang w:bidi="ar-EG"/>
        </w:rPr>
      </w:pPr>
    </w:p>
    <w:p w14:paraId="28F14914" w14:textId="0ABD2E3B" w:rsidR="00B638DD" w:rsidRPr="00B638DD" w:rsidRDefault="00B638DD" w:rsidP="0048111F">
      <w:pPr>
        <w:spacing w:line="360" w:lineRule="auto"/>
        <w:ind w:left="360"/>
        <w:jc w:val="both"/>
        <w:rPr>
          <w:rFonts w:asciiTheme="majorBidi" w:eastAsia="Times New Roman" w:hAnsiTheme="majorBidi" w:cstheme="majorBidi"/>
          <w:kern w:val="0"/>
          <w:sz w:val="24"/>
          <w:szCs w:val="24"/>
          <w14:ligatures w14:val="none"/>
        </w:rPr>
      </w:pPr>
    </w:p>
    <w:p w14:paraId="0DB0B6D5" w14:textId="77777777" w:rsidR="00B638DD" w:rsidRDefault="00B638DD" w:rsidP="0048111F">
      <w:pPr>
        <w:spacing w:line="360" w:lineRule="auto"/>
        <w:ind w:left="360"/>
        <w:jc w:val="both"/>
        <w:rPr>
          <w:rFonts w:asciiTheme="majorBidi" w:eastAsia="Times New Roman" w:hAnsiTheme="majorBidi" w:cstheme="majorBidi"/>
          <w:b/>
          <w:bCs/>
          <w:kern w:val="0"/>
          <w:sz w:val="24"/>
          <w:szCs w:val="24"/>
          <w:rtl/>
          <w14:ligatures w14:val="none"/>
        </w:rPr>
      </w:pPr>
    </w:p>
    <w:p w14:paraId="0ADC06B4" w14:textId="77777777" w:rsidR="0048111F" w:rsidRDefault="0048111F" w:rsidP="0048111F">
      <w:pPr>
        <w:spacing w:line="360" w:lineRule="auto"/>
        <w:ind w:left="360"/>
        <w:jc w:val="both"/>
        <w:rPr>
          <w:rFonts w:asciiTheme="majorBidi" w:eastAsia="Times New Roman" w:hAnsiTheme="majorBidi" w:cstheme="majorBidi"/>
          <w:b/>
          <w:bCs/>
          <w:kern w:val="0"/>
          <w:sz w:val="28"/>
          <w:szCs w:val="28"/>
          <w:rtl/>
          <w14:ligatures w14:val="none"/>
        </w:rPr>
      </w:pPr>
    </w:p>
    <w:p w14:paraId="6FC223D0" w14:textId="1EE323AB" w:rsidR="0048111F" w:rsidRPr="0048111F" w:rsidRDefault="0048111F" w:rsidP="0048111F">
      <w:pPr>
        <w:spacing w:line="360" w:lineRule="auto"/>
        <w:ind w:left="360"/>
        <w:jc w:val="both"/>
        <w:rPr>
          <w:rFonts w:asciiTheme="majorBidi" w:eastAsia="Times New Roman" w:hAnsiTheme="majorBidi" w:cstheme="majorBidi"/>
          <w:b/>
          <w:bCs/>
          <w:kern w:val="0"/>
          <w:sz w:val="24"/>
          <w:szCs w:val="24"/>
          <w14:ligatures w14:val="none"/>
        </w:rPr>
      </w:pPr>
      <w:r w:rsidRPr="0048111F">
        <w:rPr>
          <w:rFonts w:asciiTheme="majorBidi" w:eastAsia="Times New Roman" w:hAnsiTheme="majorBidi" w:cstheme="majorBidi"/>
          <w:b/>
          <w:bCs/>
          <w:kern w:val="0"/>
          <w:sz w:val="24"/>
          <w:szCs w:val="24"/>
          <w:rtl/>
          <w14:ligatures w14:val="none"/>
        </w:rPr>
        <w:t>أولاً: المقدمة</w:t>
      </w:r>
    </w:p>
    <w:p w14:paraId="05E4CC67"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تُعدّ أخلاقيات البحث العلمي من أهم الركائز التي يقوم عليها البناء المعرفي الأكاديمي والعلمي في مختلف التخصصات والمجالات، إذ لا يمكن تصوّر بحث علمي سليم يخلو من منظومة أخلاقية متماسكة تضبط سلوك الباحث وتوجّه خطواته من بداية الدراسة حتى نشر نتائجها</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kern w:val="0"/>
          <w:sz w:val="24"/>
          <w:szCs w:val="24"/>
          <w:rtl/>
          <w14:ligatures w14:val="none"/>
        </w:rPr>
        <w:t>وتُعرَّف أخلاقيات البحث العلمي بأنها "مجموعة المبادئ والقيم والقواعد السلوكية التي تحكم عمل الباحث وتضمن نزاهة العملية البحثية وحماية المشاركين فيها والمجتمع المستفيد منها</w:t>
      </w:r>
      <w:r w:rsidRPr="0048111F">
        <w:rPr>
          <w:rFonts w:asciiTheme="majorBidi" w:eastAsia="Times New Roman" w:hAnsiTheme="majorBidi" w:cstheme="majorBidi"/>
          <w:kern w:val="0"/>
          <w:sz w:val="24"/>
          <w:szCs w:val="24"/>
          <w14:ligatures w14:val="none"/>
        </w:rPr>
        <w:t xml:space="preserve">" (American Psychological Association, 2020). </w:t>
      </w:r>
      <w:r w:rsidRPr="0048111F">
        <w:rPr>
          <w:rFonts w:asciiTheme="majorBidi" w:eastAsia="Times New Roman" w:hAnsiTheme="majorBidi" w:cstheme="majorBidi"/>
          <w:kern w:val="0"/>
          <w:sz w:val="24"/>
          <w:szCs w:val="24"/>
          <w:rtl/>
          <w14:ligatures w14:val="none"/>
        </w:rPr>
        <w:t>وقد ذهب</w:t>
      </w:r>
      <w:r w:rsidRPr="0048111F">
        <w:rPr>
          <w:rFonts w:asciiTheme="majorBidi" w:eastAsia="Times New Roman" w:hAnsiTheme="majorBidi" w:cstheme="majorBidi"/>
          <w:kern w:val="0"/>
          <w:sz w:val="24"/>
          <w:szCs w:val="24"/>
          <w14:ligatures w14:val="none"/>
        </w:rPr>
        <w:t xml:space="preserve"> Resnik (2015) </w:t>
      </w:r>
      <w:r w:rsidRPr="0048111F">
        <w:rPr>
          <w:rFonts w:asciiTheme="majorBidi" w:eastAsia="Times New Roman" w:hAnsiTheme="majorBidi" w:cstheme="majorBidi"/>
          <w:kern w:val="0"/>
          <w:sz w:val="24"/>
          <w:szCs w:val="24"/>
          <w:rtl/>
          <w14:ligatures w14:val="none"/>
        </w:rPr>
        <w:t>إلى تعريفها بأنها الإطار المعياري الذي يُحدد الحدود الفاصلة بين الممارسة البحثية المقبولة والمرفوضة، ويشمل الصدق والأمانة والنزاهة واحترام حقوق المشاركين وكرامتهم</w:t>
      </w:r>
      <w:r w:rsidRPr="0048111F">
        <w:rPr>
          <w:rFonts w:asciiTheme="majorBidi" w:eastAsia="Times New Roman" w:hAnsiTheme="majorBidi" w:cstheme="majorBidi"/>
          <w:kern w:val="0"/>
          <w:sz w:val="24"/>
          <w:szCs w:val="24"/>
          <w14:ligatures w14:val="none"/>
        </w:rPr>
        <w:t>.</w:t>
      </w:r>
    </w:p>
    <w:p w14:paraId="35824198"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 xml:space="preserve">إن الهدف من هذا التقرير هو تمكين الطالب الباحث من استيعاب المنظومة الأخلاقية للبحث العلمي بصورة نقدية وتطبيقية، ومن ثمّ إسقاط هذه المنظومة على موضوع الدراسة الميدانية المتعلقة بأثر إدارة </w:t>
      </w:r>
      <w:proofErr w:type="gramStart"/>
      <w:r w:rsidRPr="0048111F">
        <w:rPr>
          <w:rFonts w:asciiTheme="majorBidi" w:eastAsia="Times New Roman" w:hAnsiTheme="majorBidi" w:cstheme="majorBidi"/>
          <w:kern w:val="0"/>
          <w:sz w:val="24"/>
          <w:szCs w:val="24"/>
          <w:rtl/>
          <w14:ligatures w14:val="none"/>
        </w:rPr>
        <w:t>مخاطر</w:t>
      </w:r>
      <w:proofErr w:type="gramEnd"/>
      <w:r w:rsidRPr="0048111F">
        <w:rPr>
          <w:rFonts w:asciiTheme="majorBidi" w:eastAsia="Times New Roman" w:hAnsiTheme="majorBidi" w:cstheme="majorBidi"/>
          <w:kern w:val="0"/>
          <w:sz w:val="24"/>
          <w:szCs w:val="24"/>
          <w:rtl/>
          <w14:ligatures w14:val="none"/>
        </w:rPr>
        <w:t xml:space="preserve"> البيانات والتقنية على دقة التنبؤات ودعم القرار في الأرصاد الجوية بالمملكة العربية السعودية. ويسعى هذا التقرير إلى تغطية شاملة لأبرز المحاور الأخلاقية المتعلقة بالبحث، بدءاً من تعريف المبادئ الأساسية، مروراً بتحليل القضايا الأخلاقية الحساسة، وصولاً إلى التطبيق الفعلي على خطوات البحث الميداني. ويُعدّ هذا التوجه ضرورةً ملحّة لا ترفاً أكاديمياً، لا سيما في ظل التعقيد المتزايد للدراسات الميدانية التي تشمل مؤسسات حكومية حساسة كالمركز الوطني للأرصاد الجوية، ومشاركين بشريين يحملون معرفة متخصصة تستوجب حمايتها والتعامل معها بمسؤولية علمية ومهنية عالية</w:t>
      </w:r>
      <w:r w:rsidRPr="0048111F">
        <w:rPr>
          <w:rFonts w:asciiTheme="majorBidi" w:eastAsia="Times New Roman" w:hAnsiTheme="majorBidi" w:cstheme="majorBidi"/>
          <w:kern w:val="0"/>
          <w:sz w:val="24"/>
          <w:szCs w:val="24"/>
          <w14:ligatures w14:val="none"/>
        </w:rPr>
        <w:t>.</w:t>
      </w:r>
    </w:p>
    <w:p w14:paraId="6948E3BC" w14:textId="77777777" w:rsidR="0048111F" w:rsidRPr="0048111F" w:rsidRDefault="0048111F" w:rsidP="0048111F">
      <w:pPr>
        <w:spacing w:line="360" w:lineRule="auto"/>
        <w:ind w:left="360"/>
        <w:jc w:val="both"/>
        <w:rPr>
          <w:rFonts w:asciiTheme="majorBidi" w:eastAsia="Times New Roman" w:hAnsiTheme="majorBidi" w:cstheme="majorBidi"/>
          <w:b/>
          <w:bCs/>
          <w:kern w:val="0"/>
          <w:sz w:val="24"/>
          <w:szCs w:val="24"/>
          <w14:ligatures w14:val="none"/>
        </w:rPr>
      </w:pPr>
      <w:r w:rsidRPr="0048111F">
        <w:rPr>
          <w:rFonts w:asciiTheme="majorBidi" w:eastAsia="Times New Roman" w:hAnsiTheme="majorBidi" w:cstheme="majorBidi"/>
          <w:b/>
          <w:bCs/>
          <w:kern w:val="0"/>
          <w:sz w:val="24"/>
          <w:szCs w:val="24"/>
          <w:rtl/>
          <w14:ligatures w14:val="none"/>
        </w:rPr>
        <w:t>ثانياً: أهمية أخلاقيات البحث العلمي</w:t>
      </w:r>
    </w:p>
    <w:p w14:paraId="2C55A560"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تتجلى أهمية أخلاقيات البحث العلمي في أبعاد متعددة ومتشعبة تمس جوهر العملية المعرفية وتداعياتها الاجتماعية والمؤسسية. فعلى الصعيد المعرفي، تضمن الأخلاقيات مصداقية النتائج وقابليتها للتحقق والاستنساخ، وهو ما يُمثّل أحد أهم معايير العلم الرصين</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kern w:val="0"/>
          <w:sz w:val="24"/>
          <w:szCs w:val="24"/>
          <w:rtl/>
          <w14:ligatures w14:val="none"/>
        </w:rPr>
        <w:t xml:space="preserve">فحين يلتزم الباحث بالموضوعية والشفافية في جمع البيانات وتحليلها، تُصبح نتائجه ركيزةً يمكن الاعتماد عليها في بناء المعرفة المتراكمة. وعلى العكس من ذلك، حين يُخلّ الباحث بهذه المبادئ، سواء بالتحيّز الواعي أو التزوير أو الانتحال، فإنه لا يضر فقط </w:t>
      </w:r>
      <w:proofErr w:type="gramStart"/>
      <w:r w:rsidRPr="0048111F">
        <w:rPr>
          <w:rFonts w:asciiTheme="majorBidi" w:eastAsia="Times New Roman" w:hAnsiTheme="majorBidi" w:cstheme="majorBidi"/>
          <w:kern w:val="0"/>
          <w:sz w:val="24"/>
          <w:szCs w:val="24"/>
          <w:rtl/>
          <w14:ligatures w14:val="none"/>
        </w:rPr>
        <w:t>بدراسته</w:t>
      </w:r>
      <w:proofErr w:type="gramEnd"/>
      <w:r w:rsidRPr="0048111F">
        <w:rPr>
          <w:rFonts w:asciiTheme="majorBidi" w:eastAsia="Times New Roman" w:hAnsiTheme="majorBidi" w:cstheme="majorBidi"/>
          <w:kern w:val="0"/>
          <w:sz w:val="24"/>
          <w:szCs w:val="24"/>
          <w:rtl/>
          <w14:ligatures w14:val="none"/>
        </w:rPr>
        <w:t xml:space="preserve"> بل يُفسد المنظومة المعرفية بأسرها ويُضلّل من يأتي بعده من الباحثين</w:t>
      </w:r>
      <w:r w:rsidRPr="0048111F">
        <w:rPr>
          <w:rFonts w:asciiTheme="majorBidi" w:eastAsia="Times New Roman" w:hAnsiTheme="majorBidi" w:cstheme="majorBidi"/>
          <w:kern w:val="0"/>
          <w:sz w:val="24"/>
          <w:szCs w:val="24"/>
          <w14:ligatures w14:val="none"/>
        </w:rPr>
        <w:t>.</w:t>
      </w:r>
    </w:p>
    <w:p w14:paraId="6CB613F0"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أما على صعيد موثوقية البحث العلمي، فقد أثبتت الدراسات الأكاديمية أن الأبحاث التي تُراعي الاعتبارات الأخلاقية تحظى بقبول أوسع في المجتمع العلمي وتُستشهد بها أكثر من غيرها</w:t>
      </w:r>
      <w:r w:rsidRPr="0048111F">
        <w:rPr>
          <w:rFonts w:asciiTheme="majorBidi" w:eastAsia="Times New Roman" w:hAnsiTheme="majorBidi" w:cstheme="majorBidi"/>
          <w:kern w:val="0"/>
          <w:sz w:val="24"/>
          <w:szCs w:val="24"/>
          <w14:ligatures w14:val="none"/>
        </w:rPr>
        <w:t xml:space="preserve"> (Steneck, 2007). </w:t>
      </w:r>
      <w:r w:rsidRPr="0048111F">
        <w:rPr>
          <w:rFonts w:asciiTheme="majorBidi" w:eastAsia="Times New Roman" w:hAnsiTheme="majorBidi" w:cstheme="majorBidi"/>
          <w:kern w:val="0"/>
          <w:sz w:val="24"/>
          <w:szCs w:val="24"/>
          <w:rtl/>
          <w14:ligatures w14:val="none"/>
        </w:rPr>
        <w:t xml:space="preserve">وهذا يعني أن الأخلاق لا تعارض جودة </w:t>
      </w:r>
      <w:proofErr w:type="gramStart"/>
      <w:r w:rsidRPr="0048111F">
        <w:rPr>
          <w:rFonts w:asciiTheme="majorBidi" w:eastAsia="Times New Roman" w:hAnsiTheme="majorBidi" w:cstheme="majorBidi"/>
          <w:kern w:val="0"/>
          <w:sz w:val="24"/>
          <w:szCs w:val="24"/>
          <w:rtl/>
          <w14:ligatures w14:val="none"/>
        </w:rPr>
        <w:t>البحث</w:t>
      </w:r>
      <w:proofErr w:type="gramEnd"/>
      <w:r w:rsidRPr="0048111F">
        <w:rPr>
          <w:rFonts w:asciiTheme="majorBidi" w:eastAsia="Times New Roman" w:hAnsiTheme="majorBidi" w:cstheme="majorBidi"/>
          <w:kern w:val="0"/>
          <w:sz w:val="24"/>
          <w:szCs w:val="24"/>
          <w:rtl/>
          <w14:ligatures w14:val="none"/>
        </w:rPr>
        <w:t xml:space="preserve"> بل تُغذّيها وترتفع بها إلى مستويات أعلى من الاحتراف والدقة. كما أن الالتزام الأخلاقي يحمي الباحث نفسه من التبعات القانونية والمهنية، إذ إن انتهاك الخصوصية أو سرقة الأفكار أو تزوير البيانات قد يُفضي إلى عقوبات أكاديمية صارمة تطال مسيرة الباحث برمّتها</w:t>
      </w:r>
      <w:r w:rsidRPr="0048111F">
        <w:rPr>
          <w:rFonts w:asciiTheme="majorBidi" w:eastAsia="Times New Roman" w:hAnsiTheme="majorBidi" w:cstheme="majorBidi"/>
          <w:kern w:val="0"/>
          <w:sz w:val="24"/>
          <w:szCs w:val="24"/>
          <w14:ligatures w14:val="none"/>
        </w:rPr>
        <w:t>.</w:t>
      </w:r>
    </w:p>
    <w:p w14:paraId="2027C3A5"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وعلى صعيد الحماية الاجتماعية، تُشكّل أخلاقيات البحث درعاً واقية للمجتمع والمشاركين في الدراسة من أي أذى محتمل قد ينجم عن التساهل في التعامل مع البيانات الحساسة أو المعلومات الشخصية</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kern w:val="0"/>
          <w:sz w:val="24"/>
          <w:szCs w:val="24"/>
          <w:rtl/>
          <w14:ligatures w14:val="none"/>
        </w:rPr>
        <w:t xml:space="preserve">وهذا الجانب </w:t>
      </w:r>
      <w:r w:rsidRPr="0048111F">
        <w:rPr>
          <w:rFonts w:asciiTheme="majorBidi" w:eastAsia="Times New Roman" w:hAnsiTheme="majorBidi" w:cstheme="majorBidi"/>
          <w:kern w:val="0"/>
          <w:sz w:val="24"/>
          <w:szCs w:val="24"/>
          <w:rtl/>
          <w14:ligatures w14:val="none"/>
        </w:rPr>
        <w:lastRenderedPageBreak/>
        <w:t>يكتسب أهمية بالغة في دراسات تشمل موظفين في مؤسسات حكومية، إذ قد تكون المعلومات التي يُفصحون عنها ذات حساسية تنظيمية أو أمنية تستوجب التعامل معها بأعلى درجات الرعاية والاحترام المهني</w:t>
      </w:r>
      <w:r w:rsidRPr="0048111F">
        <w:rPr>
          <w:rFonts w:asciiTheme="majorBidi" w:eastAsia="Times New Roman" w:hAnsiTheme="majorBidi" w:cstheme="majorBidi"/>
          <w:kern w:val="0"/>
          <w:sz w:val="24"/>
          <w:szCs w:val="24"/>
          <w14:ligatures w14:val="none"/>
        </w:rPr>
        <w:t>.</w:t>
      </w:r>
    </w:p>
    <w:p w14:paraId="30894252"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فضلاً عن ذلك، تسهم أخلاقيات البحث في تعزيز الثقة المجتمعية بالمؤسسات الأكاديمية والعلمية، مما يُيسّر الوصول إلى بيئات البحث وميدانه مستقبلاً. فحين يشعر المشاركون بأنهم مُعاملون بإنصاف وأن مشاركتهم محمية ومحترمة، فإنهم يُصبحون أكثر انفتاحاً على المشاركة في الدراسات المقبلة، مما يُثري المنظومة البحثية الوطنية على المدى البعيد</w:t>
      </w:r>
      <w:r w:rsidRPr="0048111F">
        <w:rPr>
          <w:rFonts w:asciiTheme="majorBidi" w:eastAsia="Times New Roman" w:hAnsiTheme="majorBidi" w:cstheme="majorBidi"/>
          <w:kern w:val="0"/>
          <w:sz w:val="24"/>
          <w:szCs w:val="24"/>
          <w14:ligatures w14:val="none"/>
        </w:rPr>
        <w:t>.</w:t>
      </w:r>
    </w:p>
    <w:p w14:paraId="5C3FAEF2" w14:textId="77777777" w:rsidR="0048111F" w:rsidRPr="0048111F" w:rsidRDefault="0048111F" w:rsidP="0048111F">
      <w:pPr>
        <w:spacing w:line="360" w:lineRule="auto"/>
        <w:ind w:left="360"/>
        <w:jc w:val="both"/>
        <w:rPr>
          <w:rFonts w:asciiTheme="majorBidi" w:eastAsia="Times New Roman" w:hAnsiTheme="majorBidi" w:cstheme="majorBidi"/>
          <w:b/>
          <w:bCs/>
          <w:kern w:val="0"/>
          <w:sz w:val="24"/>
          <w:szCs w:val="24"/>
          <w14:ligatures w14:val="none"/>
        </w:rPr>
      </w:pPr>
      <w:r w:rsidRPr="0048111F">
        <w:rPr>
          <w:rFonts w:asciiTheme="majorBidi" w:eastAsia="Times New Roman" w:hAnsiTheme="majorBidi" w:cstheme="majorBidi"/>
          <w:b/>
          <w:bCs/>
          <w:kern w:val="0"/>
          <w:sz w:val="24"/>
          <w:szCs w:val="24"/>
          <w:rtl/>
          <w14:ligatures w14:val="none"/>
        </w:rPr>
        <w:t>ثالثاً: المبادئ الأساسية لأخلاقيات البحث العلمي</w:t>
      </w:r>
    </w:p>
    <w:p w14:paraId="12276404"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t>الأمانة العلمية</w:t>
      </w:r>
      <w:r w:rsidRPr="0048111F">
        <w:rPr>
          <w:rFonts w:asciiTheme="majorBidi" w:eastAsia="Times New Roman" w:hAnsiTheme="majorBidi" w:cstheme="majorBidi"/>
          <w:b/>
          <w:bCs/>
          <w:kern w:val="0"/>
          <w:sz w:val="24"/>
          <w:szCs w:val="24"/>
          <w14:ligatures w14:val="none"/>
        </w:rPr>
        <w:t>:</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kern w:val="0"/>
          <w:sz w:val="24"/>
          <w:szCs w:val="24"/>
          <w:rtl/>
          <w14:ligatures w14:val="none"/>
        </w:rPr>
        <w:t xml:space="preserve">تُعدّ الأمانة العلمية حجر الزاوية في أخلاقيات البحث، وتعني الالتزام بالصدق التام في جميع مراحل البحث، سواء في عرض الأفكار ونسبتها إلى أصحابها الحقيقيين، أو في تمثيل البيانات بصورتها الحقيقية دون تحوير أو تزييف، أو في الإفصاح عن نتائج </w:t>
      </w:r>
      <w:proofErr w:type="gramStart"/>
      <w:r w:rsidRPr="0048111F">
        <w:rPr>
          <w:rFonts w:asciiTheme="majorBidi" w:eastAsia="Times New Roman" w:hAnsiTheme="majorBidi" w:cstheme="majorBidi"/>
          <w:kern w:val="0"/>
          <w:sz w:val="24"/>
          <w:szCs w:val="24"/>
          <w:rtl/>
          <w14:ligatures w14:val="none"/>
        </w:rPr>
        <w:t>البحث</w:t>
      </w:r>
      <w:proofErr w:type="gramEnd"/>
      <w:r w:rsidRPr="0048111F">
        <w:rPr>
          <w:rFonts w:asciiTheme="majorBidi" w:eastAsia="Times New Roman" w:hAnsiTheme="majorBidi" w:cstheme="majorBidi"/>
          <w:kern w:val="0"/>
          <w:sz w:val="24"/>
          <w:szCs w:val="24"/>
          <w:rtl/>
          <w14:ligatures w14:val="none"/>
        </w:rPr>
        <w:t xml:space="preserve"> حتى لو جاءت مخالفة لما كان متوقعاً </w:t>
      </w:r>
      <w:r w:rsidRPr="0048111F">
        <w:rPr>
          <w:rFonts w:asciiTheme="majorBidi" w:eastAsia="Times New Roman" w:hAnsiTheme="majorBidi" w:cstheme="majorBidi"/>
          <w:kern w:val="0"/>
          <w:sz w:val="24"/>
          <w:szCs w:val="24"/>
          <w14:ligatures w14:val="none"/>
        </w:rPr>
        <w:t xml:space="preserve">(Israel &amp; Hay, 2006). </w:t>
      </w:r>
      <w:r w:rsidRPr="0048111F">
        <w:rPr>
          <w:rFonts w:asciiTheme="majorBidi" w:eastAsia="Times New Roman" w:hAnsiTheme="majorBidi" w:cstheme="majorBidi"/>
          <w:kern w:val="0"/>
          <w:sz w:val="24"/>
          <w:szCs w:val="24"/>
          <w:rtl/>
          <w14:ligatures w14:val="none"/>
        </w:rPr>
        <w:t>والمثال التطبيقي على ذلك في هذه الدراسة هو نسب الأفكار النظرية المستقاة من إطار</w:t>
      </w:r>
      <w:r w:rsidRPr="0048111F">
        <w:rPr>
          <w:rFonts w:asciiTheme="majorBidi" w:eastAsia="Times New Roman" w:hAnsiTheme="majorBidi" w:cstheme="majorBidi"/>
          <w:kern w:val="0"/>
          <w:sz w:val="24"/>
          <w:szCs w:val="24"/>
          <w14:ligatures w14:val="none"/>
        </w:rPr>
        <w:t xml:space="preserve"> COBIT </w:t>
      </w:r>
      <w:r w:rsidRPr="0048111F">
        <w:rPr>
          <w:rFonts w:asciiTheme="majorBidi" w:eastAsia="Times New Roman" w:hAnsiTheme="majorBidi" w:cstheme="majorBidi"/>
          <w:kern w:val="0"/>
          <w:sz w:val="24"/>
          <w:szCs w:val="24"/>
          <w:rtl/>
          <w14:ligatures w14:val="none"/>
        </w:rPr>
        <w:t>أو</w:t>
      </w:r>
      <w:r w:rsidRPr="0048111F">
        <w:rPr>
          <w:rFonts w:asciiTheme="majorBidi" w:eastAsia="Times New Roman" w:hAnsiTheme="majorBidi" w:cstheme="majorBidi"/>
          <w:kern w:val="0"/>
          <w:sz w:val="24"/>
          <w:szCs w:val="24"/>
          <w14:ligatures w14:val="none"/>
        </w:rPr>
        <w:t xml:space="preserve"> ISO 31000 </w:t>
      </w:r>
      <w:r w:rsidRPr="0048111F">
        <w:rPr>
          <w:rFonts w:asciiTheme="majorBidi" w:eastAsia="Times New Roman" w:hAnsiTheme="majorBidi" w:cstheme="majorBidi"/>
          <w:kern w:val="0"/>
          <w:sz w:val="24"/>
          <w:szCs w:val="24"/>
          <w:rtl/>
          <w14:ligatures w14:val="none"/>
        </w:rPr>
        <w:t>إلى مصادرها الأصلية وعدم تقديمها على أنها أفكار الباحث الخاصة</w:t>
      </w:r>
      <w:r w:rsidRPr="0048111F">
        <w:rPr>
          <w:rFonts w:asciiTheme="majorBidi" w:eastAsia="Times New Roman" w:hAnsiTheme="majorBidi" w:cstheme="majorBidi"/>
          <w:kern w:val="0"/>
          <w:sz w:val="24"/>
          <w:szCs w:val="24"/>
          <w14:ligatures w14:val="none"/>
        </w:rPr>
        <w:t>.</w:t>
      </w:r>
    </w:p>
    <w:p w14:paraId="0C34A8BA"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t>النزاهة</w:t>
      </w:r>
      <w:r w:rsidRPr="0048111F">
        <w:rPr>
          <w:rFonts w:asciiTheme="majorBidi" w:eastAsia="Times New Roman" w:hAnsiTheme="majorBidi" w:cstheme="majorBidi"/>
          <w:b/>
          <w:bCs/>
          <w:kern w:val="0"/>
          <w:sz w:val="24"/>
          <w:szCs w:val="24"/>
          <w14:ligatures w14:val="none"/>
        </w:rPr>
        <w:t>:</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kern w:val="0"/>
          <w:sz w:val="24"/>
          <w:szCs w:val="24"/>
          <w:rtl/>
          <w14:ligatures w14:val="none"/>
        </w:rPr>
        <w:t xml:space="preserve">تعني النزاهة ثبات الباحث على مبادئه الأخلاقية في كل الظروف، وعدم تشكيل موقفه أو نتائجه وفق ما يرغب فيه الآخرون أو وفق ما يخدم مصالحه الشخصية </w:t>
      </w:r>
      <w:r w:rsidRPr="0048111F">
        <w:rPr>
          <w:rFonts w:asciiTheme="majorBidi" w:eastAsia="Times New Roman" w:hAnsiTheme="majorBidi" w:cstheme="majorBidi"/>
          <w:kern w:val="0"/>
          <w:sz w:val="24"/>
          <w:szCs w:val="24"/>
          <w14:ligatures w14:val="none"/>
        </w:rPr>
        <w:t xml:space="preserve">(Resnik, 2015). </w:t>
      </w:r>
      <w:r w:rsidRPr="0048111F">
        <w:rPr>
          <w:rFonts w:asciiTheme="majorBidi" w:eastAsia="Times New Roman" w:hAnsiTheme="majorBidi" w:cstheme="majorBidi"/>
          <w:kern w:val="0"/>
          <w:sz w:val="24"/>
          <w:szCs w:val="24"/>
          <w:rtl/>
          <w14:ligatures w14:val="none"/>
        </w:rPr>
        <w:t>وفي السياق الميداني لهذه الدراسة، تتجلى النزاهة في عدم تعديل نتائج الاستبانات بما يتوافق مع الفرضيات المُصاغة مسبقاً، حتى لو أسفرت البيانات عن نتائج مخالفة لتوقعات الباحث، وفي الإفصاح عن أي قيود منهجية أو حدود تؤثر على تعميم النتائج</w:t>
      </w:r>
      <w:r w:rsidRPr="0048111F">
        <w:rPr>
          <w:rFonts w:asciiTheme="majorBidi" w:eastAsia="Times New Roman" w:hAnsiTheme="majorBidi" w:cstheme="majorBidi"/>
          <w:kern w:val="0"/>
          <w:sz w:val="24"/>
          <w:szCs w:val="24"/>
          <w14:ligatures w14:val="none"/>
        </w:rPr>
        <w:t>.</w:t>
      </w:r>
    </w:p>
    <w:p w14:paraId="5B398EAE"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t>الموضوعية</w:t>
      </w:r>
      <w:r w:rsidRPr="0048111F">
        <w:rPr>
          <w:rFonts w:asciiTheme="majorBidi" w:eastAsia="Times New Roman" w:hAnsiTheme="majorBidi" w:cstheme="majorBidi"/>
          <w:b/>
          <w:bCs/>
          <w:kern w:val="0"/>
          <w:sz w:val="24"/>
          <w:szCs w:val="24"/>
          <w14:ligatures w14:val="none"/>
        </w:rPr>
        <w:t>:</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kern w:val="0"/>
          <w:sz w:val="24"/>
          <w:szCs w:val="24"/>
          <w:rtl/>
          <w14:ligatures w14:val="none"/>
        </w:rPr>
        <w:t>تعني الموضوعية إبعاد التحيز الشخصي وتجنب السماح للأحكام المسبقة بأن تؤثر في تصميم البحث أو تحليل بياناته أو تفسير نتائجه</w:t>
      </w:r>
      <w:r w:rsidRPr="0048111F">
        <w:rPr>
          <w:rFonts w:asciiTheme="majorBidi" w:eastAsia="Times New Roman" w:hAnsiTheme="majorBidi" w:cstheme="majorBidi"/>
          <w:kern w:val="0"/>
          <w:sz w:val="24"/>
          <w:szCs w:val="24"/>
          <w14:ligatures w14:val="none"/>
        </w:rPr>
        <w:t xml:space="preserve"> (APA, 2020). </w:t>
      </w:r>
      <w:r w:rsidRPr="0048111F">
        <w:rPr>
          <w:rFonts w:asciiTheme="majorBidi" w:eastAsia="Times New Roman" w:hAnsiTheme="majorBidi" w:cstheme="majorBidi"/>
          <w:kern w:val="0"/>
          <w:sz w:val="24"/>
          <w:szCs w:val="24"/>
          <w:rtl/>
          <w14:ligatures w14:val="none"/>
        </w:rPr>
        <w:t>والمثال التوضيحي هنا هو أن يُصمم الباحث أداة القياس وفق معايير علمية راسخة، وأن يُحلل استجابات العينة بصرف النظر عن توجهاتهم الوظيفية أو مواقفهم التنظيمية</w:t>
      </w:r>
      <w:r w:rsidRPr="0048111F">
        <w:rPr>
          <w:rFonts w:asciiTheme="majorBidi" w:eastAsia="Times New Roman" w:hAnsiTheme="majorBidi" w:cstheme="majorBidi"/>
          <w:kern w:val="0"/>
          <w:sz w:val="24"/>
          <w:szCs w:val="24"/>
          <w14:ligatures w14:val="none"/>
        </w:rPr>
        <w:t>.</w:t>
      </w:r>
    </w:p>
    <w:p w14:paraId="4A23A25F"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t>السرية</w:t>
      </w:r>
      <w:r w:rsidRPr="0048111F">
        <w:rPr>
          <w:rFonts w:asciiTheme="majorBidi" w:eastAsia="Times New Roman" w:hAnsiTheme="majorBidi" w:cstheme="majorBidi"/>
          <w:b/>
          <w:bCs/>
          <w:kern w:val="0"/>
          <w:sz w:val="24"/>
          <w:szCs w:val="24"/>
          <w14:ligatures w14:val="none"/>
        </w:rPr>
        <w:t>:</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kern w:val="0"/>
          <w:sz w:val="24"/>
          <w:szCs w:val="24"/>
          <w:rtl/>
          <w14:ligatures w14:val="none"/>
        </w:rPr>
        <w:t>تعني السرية حماية المعلومات التي يُفضي بها المشاركون خلال البحث، وعدم الكشف عن هويتهم أو ما أدلوا به من معلومات لأي جهة لم يُوافقوا على الإفصاح لها</w:t>
      </w:r>
      <w:r w:rsidRPr="0048111F">
        <w:rPr>
          <w:rFonts w:asciiTheme="majorBidi" w:eastAsia="Times New Roman" w:hAnsiTheme="majorBidi" w:cstheme="majorBidi"/>
          <w:kern w:val="0"/>
          <w:sz w:val="24"/>
          <w:szCs w:val="24"/>
          <w14:ligatures w14:val="none"/>
        </w:rPr>
        <w:t xml:space="preserve"> (Sieber, 1992). </w:t>
      </w:r>
      <w:r w:rsidRPr="0048111F">
        <w:rPr>
          <w:rFonts w:asciiTheme="majorBidi" w:eastAsia="Times New Roman" w:hAnsiTheme="majorBidi" w:cstheme="majorBidi"/>
          <w:kern w:val="0"/>
          <w:sz w:val="24"/>
          <w:szCs w:val="24"/>
          <w:rtl/>
          <w14:ligatures w14:val="none"/>
        </w:rPr>
        <w:t>وفي هذه الدراسة التي تشمل موظفين في المركز الوطني للأرصاد الجوية، تكتسب السرية أهمية بالغة نظراً لاحتمال اشتمال المعلومات على جوانب متعلقة بالبنية التحتية التقنية لمنظومة داخلية حساسة</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kern w:val="0"/>
          <w:sz w:val="24"/>
          <w:szCs w:val="24"/>
          <w:rtl/>
          <w14:ligatures w14:val="none"/>
        </w:rPr>
        <w:t>والتطبيق العملي يكمن في استخدام أرقام بدلاً من الأسماء في البيانات، وحفظ الاستبانات في أماكن آمنة غير قابلة للاختراق</w:t>
      </w:r>
      <w:r w:rsidRPr="0048111F">
        <w:rPr>
          <w:rFonts w:asciiTheme="majorBidi" w:eastAsia="Times New Roman" w:hAnsiTheme="majorBidi" w:cstheme="majorBidi"/>
          <w:kern w:val="0"/>
          <w:sz w:val="24"/>
          <w:szCs w:val="24"/>
          <w14:ligatures w14:val="none"/>
        </w:rPr>
        <w:t>.</w:t>
      </w:r>
    </w:p>
    <w:p w14:paraId="5418E556"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t>الموافقة المستنيرة</w:t>
      </w:r>
      <w:r w:rsidRPr="0048111F">
        <w:rPr>
          <w:rFonts w:asciiTheme="majorBidi" w:eastAsia="Times New Roman" w:hAnsiTheme="majorBidi" w:cstheme="majorBidi"/>
          <w:b/>
          <w:bCs/>
          <w:kern w:val="0"/>
          <w:sz w:val="24"/>
          <w:szCs w:val="24"/>
          <w14:ligatures w14:val="none"/>
        </w:rPr>
        <w:t>:</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kern w:val="0"/>
          <w:sz w:val="24"/>
          <w:szCs w:val="24"/>
          <w:rtl/>
          <w14:ligatures w14:val="none"/>
        </w:rPr>
        <w:t xml:space="preserve">تُمثّل الموافقة المستنيرة الحق الأصيل للمشارك في البحث في أن يعلم بوضوح ما يُقبل عليه، ويُقرر بحرية كاملة ودون إكراه المشاركة أو الامتناع عنها </w:t>
      </w:r>
      <w:r w:rsidRPr="0048111F">
        <w:rPr>
          <w:rFonts w:asciiTheme="majorBidi" w:eastAsia="Times New Roman" w:hAnsiTheme="majorBidi" w:cstheme="majorBidi"/>
          <w:kern w:val="0"/>
          <w:sz w:val="24"/>
          <w:szCs w:val="24"/>
          <w14:ligatures w14:val="none"/>
        </w:rPr>
        <w:t xml:space="preserve">(APA, 2020). </w:t>
      </w:r>
      <w:r w:rsidRPr="0048111F">
        <w:rPr>
          <w:rFonts w:asciiTheme="majorBidi" w:eastAsia="Times New Roman" w:hAnsiTheme="majorBidi" w:cstheme="majorBidi"/>
          <w:kern w:val="0"/>
          <w:sz w:val="24"/>
          <w:szCs w:val="24"/>
          <w:rtl/>
          <w14:ligatures w14:val="none"/>
        </w:rPr>
        <w:t>ويعني ذلك إبلاغ المشاركين بأهداف الدراسة وطبيعتها وأسلوب استخدام بياناتهم وحقهم في الانسحاب في أي وقت. والمثال التطبيقي أن يُرفق في مقدمة الاستبانة الإلكترونية فقرة واضحة تشرح الغرض من البحث وتُؤكد طوعية المشاركة والسرية التامة، قبل أن يُقدم المشارك على ملء أي سؤال</w:t>
      </w:r>
      <w:r w:rsidRPr="0048111F">
        <w:rPr>
          <w:rFonts w:asciiTheme="majorBidi" w:eastAsia="Times New Roman" w:hAnsiTheme="majorBidi" w:cstheme="majorBidi"/>
          <w:kern w:val="0"/>
          <w:sz w:val="24"/>
          <w:szCs w:val="24"/>
          <w14:ligatures w14:val="none"/>
        </w:rPr>
        <w:t>.</w:t>
      </w:r>
    </w:p>
    <w:p w14:paraId="0992E79D" w14:textId="77777777" w:rsidR="0048111F" w:rsidRPr="0048111F" w:rsidRDefault="0048111F" w:rsidP="0048111F">
      <w:pPr>
        <w:spacing w:line="360" w:lineRule="auto"/>
        <w:ind w:left="360"/>
        <w:jc w:val="both"/>
        <w:rPr>
          <w:rFonts w:asciiTheme="majorBidi" w:eastAsia="Times New Roman" w:hAnsiTheme="majorBidi" w:cstheme="majorBidi"/>
          <w:b/>
          <w:bCs/>
          <w:kern w:val="0"/>
          <w:sz w:val="24"/>
          <w:szCs w:val="24"/>
          <w14:ligatures w14:val="none"/>
        </w:rPr>
      </w:pPr>
      <w:r w:rsidRPr="0048111F">
        <w:rPr>
          <w:rFonts w:asciiTheme="majorBidi" w:eastAsia="Times New Roman" w:hAnsiTheme="majorBidi" w:cstheme="majorBidi"/>
          <w:b/>
          <w:bCs/>
          <w:kern w:val="0"/>
          <w:sz w:val="24"/>
          <w:szCs w:val="24"/>
          <w:rtl/>
          <w14:ligatures w14:val="none"/>
        </w:rPr>
        <w:lastRenderedPageBreak/>
        <w:t>رابعاً: القضايا الأخلاقية في البحث العلمي</w:t>
      </w:r>
    </w:p>
    <w:p w14:paraId="63CC2F8D"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t>الانتحال العلمي</w:t>
      </w:r>
      <w:r w:rsidRPr="0048111F">
        <w:rPr>
          <w:rFonts w:asciiTheme="majorBidi" w:eastAsia="Times New Roman" w:hAnsiTheme="majorBidi" w:cstheme="majorBidi"/>
          <w:b/>
          <w:bCs/>
          <w:kern w:val="0"/>
          <w:sz w:val="24"/>
          <w:szCs w:val="24"/>
          <w14:ligatures w14:val="none"/>
        </w:rPr>
        <w:t>:</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kern w:val="0"/>
          <w:sz w:val="24"/>
          <w:szCs w:val="24"/>
          <w:rtl/>
          <w14:ligatures w14:val="none"/>
        </w:rPr>
        <w:t xml:space="preserve">يُعدّ الانتحال من أخطر الانتهاكات الأخلاقية في الوسط الأكاديمي، ويُعرَّف بأنه تقديم </w:t>
      </w:r>
      <w:proofErr w:type="gramStart"/>
      <w:r w:rsidRPr="0048111F">
        <w:rPr>
          <w:rFonts w:asciiTheme="majorBidi" w:eastAsia="Times New Roman" w:hAnsiTheme="majorBidi" w:cstheme="majorBidi"/>
          <w:kern w:val="0"/>
          <w:sz w:val="24"/>
          <w:szCs w:val="24"/>
          <w:rtl/>
          <w14:ligatures w14:val="none"/>
        </w:rPr>
        <w:t>أفكار</w:t>
      </w:r>
      <w:proofErr w:type="gramEnd"/>
      <w:r w:rsidRPr="0048111F">
        <w:rPr>
          <w:rFonts w:asciiTheme="majorBidi" w:eastAsia="Times New Roman" w:hAnsiTheme="majorBidi" w:cstheme="majorBidi"/>
          <w:kern w:val="0"/>
          <w:sz w:val="24"/>
          <w:szCs w:val="24"/>
          <w:rtl/>
          <w14:ligatures w14:val="none"/>
        </w:rPr>
        <w:t xml:space="preserve"> أو نصوص أو بيانات أو نتائج الآخرين على أنها من صنع الباحث نفسه دون إسناد أو توثيق</w:t>
      </w:r>
      <w:r w:rsidRPr="0048111F">
        <w:rPr>
          <w:rFonts w:asciiTheme="majorBidi" w:eastAsia="Times New Roman" w:hAnsiTheme="majorBidi" w:cstheme="majorBidi"/>
          <w:kern w:val="0"/>
          <w:sz w:val="24"/>
          <w:szCs w:val="24"/>
          <w14:ligatures w14:val="none"/>
        </w:rPr>
        <w:t xml:space="preserve"> (Steneck, 2007). </w:t>
      </w:r>
      <w:r w:rsidRPr="0048111F">
        <w:rPr>
          <w:rFonts w:asciiTheme="majorBidi" w:eastAsia="Times New Roman" w:hAnsiTheme="majorBidi" w:cstheme="majorBidi"/>
          <w:kern w:val="0"/>
          <w:sz w:val="24"/>
          <w:szCs w:val="24"/>
          <w:rtl/>
          <w14:ligatures w14:val="none"/>
        </w:rPr>
        <w:t>وقد يأخذ الانتحال أشكالاً متعددة، منها النسخ المباشر لفقرات من مصادر أخرى دون اقتباس، أو إعادة صياغة الأفكار دون الإشارة إلى مصدرها، أو حتى إعادة تقديم أعمال الباحث نفسه السابقة دون الإشارة إلى ذلك وهو ما يُعرف بالانتحال الذاتي</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kern w:val="0"/>
          <w:sz w:val="24"/>
          <w:szCs w:val="24"/>
          <w:rtl/>
          <w14:ligatures w14:val="none"/>
        </w:rPr>
        <w:t xml:space="preserve">ومثال افتراضي ذو صلة: أن يأخذ الباحث تعريفات إدارة </w:t>
      </w:r>
      <w:proofErr w:type="gramStart"/>
      <w:r w:rsidRPr="0048111F">
        <w:rPr>
          <w:rFonts w:asciiTheme="majorBidi" w:eastAsia="Times New Roman" w:hAnsiTheme="majorBidi" w:cstheme="majorBidi"/>
          <w:kern w:val="0"/>
          <w:sz w:val="24"/>
          <w:szCs w:val="24"/>
          <w:rtl/>
          <w14:ligatures w14:val="none"/>
        </w:rPr>
        <w:t>مخاطر</w:t>
      </w:r>
      <w:proofErr w:type="gramEnd"/>
      <w:r w:rsidRPr="0048111F">
        <w:rPr>
          <w:rFonts w:asciiTheme="majorBidi" w:eastAsia="Times New Roman" w:hAnsiTheme="majorBidi" w:cstheme="majorBidi"/>
          <w:kern w:val="0"/>
          <w:sz w:val="24"/>
          <w:szCs w:val="24"/>
          <w:rtl/>
          <w14:ligatures w14:val="none"/>
        </w:rPr>
        <w:t xml:space="preserve"> التقنية من نموذج</w:t>
      </w:r>
      <w:r w:rsidRPr="0048111F">
        <w:rPr>
          <w:rFonts w:asciiTheme="majorBidi" w:eastAsia="Times New Roman" w:hAnsiTheme="majorBidi" w:cstheme="majorBidi"/>
          <w:kern w:val="0"/>
          <w:sz w:val="24"/>
          <w:szCs w:val="24"/>
          <w14:ligatures w14:val="none"/>
        </w:rPr>
        <w:t xml:space="preserve"> NIST </w:t>
      </w:r>
      <w:r w:rsidRPr="0048111F">
        <w:rPr>
          <w:rFonts w:asciiTheme="majorBidi" w:eastAsia="Times New Roman" w:hAnsiTheme="majorBidi" w:cstheme="majorBidi"/>
          <w:kern w:val="0"/>
          <w:sz w:val="24"/>
          <w:szCs w:val="24"/>
          <w:rtl/>
          <w14:ligatures w14:val="none"/>
        </w:rPr>
        <w:t>ويُدرجها في إطاره النظري دون ذكر المصدر، مُوهماً القارئ بأنه ابتكرها بنفسه</w:t>
      </w:r>
      <w:r w:rsidRPr="0048111F">
        <w:rPr>
          <w:rFonts w:asciiTheme="majorBidi" w:eastAsia="Times New Roman" w:hAnsiTheme="majorBidi" w:cstheme="majorBidi"/>
          <w:kern w:val="0"/>
          <w:sz w:val="24"/>
          <w:szCs w:val="24"/>
          <w14:ligatures w14:val="none"/>
        </w:rPr>
        <w:t>.</w:t>
      </w:r>
    </w:p>
    <w:p w14:paraId="2B4912EF"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t>تزوير البيانات</w:t>
      </w:r>
      <w:r w:rsidRPr="0048111F">
        <w:rPr>
          <w:rFonts w:asciiTheme="majorBidi" w:eastAsia="Times New Roman" w:hAnsiTheme="majorBidi" w:cstheme="majorBidi"/>
          <w:b/>
          <w:bCs/>
          <w:kern w:val="0"/>
          <w:sz w:val="24"/>
          <w:szCs w:val="24"/>
          <w14:ligatures w14:val="none"/>
        </w:rPr>
        <w:t>:</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kern w:val="0"/>
          <w:sz w:val="24"/>
          <w:szCs w:val="24"/>
          <w:rtl/>
          <w14:ligatures w14:val="none"/>
        </w:rPr>
        <w:t>يعني تزوير البيانات التلاعب بالبيانات المجمّعة أو اختلاق نتائج غير حقيقية أو حذف استجابات لا تتوافق مع ما يُريد الباحث إثباته. ويُعدّ هذا النوع من الانتهاكات بالغ الخطورة لأنه يُفضي إلى استنتاجات زائفة تُبنى عليها توصيات قد تؤثر على قرارات مؤسسية أو سياسات عامة</w:t>
      </w:r>
      <w:r w:rsidRPr="0048111F">
        <w:rPr>
          <w:rFonts w:asciiTheme="majorBidi" w:eastAsia="Times New Roman" w:hAnsiTheme="majorBidi" w:cstheme="majorBidi"/>
          <w:kern w:val="0"/>
          <w:sz w:val="24"/>
          <w:szCs w:val="24"/>
          <w14:ligatures w14:val="none"/>
        </w:rPr>
        <w:t xml:space="preserve"> (Israel &amp; Hay, 2006). </w:t>
      </w:r>
      <w:r w:rsidRPr="0048111F">
        <w:rPr>
          <w:rFonts w:asciiTheme="majorBidi" w:eastAsia="Times New Roman" w:hAnsiTheme="majorBidi" w:cstheme="majorBidi"/>
          <w:kern w:val="0"/>
          <w:sz w:val="24"/>
          <w:szCs w:val="24"/>
          <w:rtl/>
          <w14:ligatures w14:val="none"/>
        </w:rPr>
        <w:t>ومثال واقعي افتراضي في سياق هذا البحث: أن يقوم الباحث بحذف الاستجابات التي أشارت إلى عدم وجود أثر ذي دلالة إحصائية لبُعد حوكمة تقنية المعلومات، بهدف تحسين نتائج التحليل الإحصائي لصالح فرضياته</w:t>
      </w:r>
      <w:r w:rsidRPr="0048111F">
        <w:rPr>
          <w:rFonts w:asciiTheme="majorBidi" w:eastAsia="Times New Roman" w:hAnsiTheme="majorBidi" w:cstheme="majorBidi"/>
          <w:kern w:val="0"/>
          <w:sz w:val="24"/>
          <w:szCs w:val="24"/>
          <w14:ligatures w14:val="none"/>
        </w:rPr>
        <w:t>.</w:t>
      </w:r>
    </w:p>
    <w:p w14:paraId="2D682514"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t>التحيز</w:t>
      </w:r>
      <w:r w:rsidRPr="0048111F">
        <w:rPr>
          <w:rFonts w:asciiTheme="majorBidi" w:eastAsia="Times New Roman" w:hAnsiTheme="majorBidi" w:cstheme="majorBidi"/>
          <w:b/>
          <w:bCs/>
          <w:kern w:val="0"/>
          <w:sz w:val="24"/>
          <w:szCs w:val="24"/>
          <w14:ligatures w14:val="none"/>
        </w:rPr>
        <w:t>:</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kern w:val="0"/>
          <w:sz w:val="24"/>
          <w:szCs w:val="24"/>
          <w:rtl/>
          <w14:ligatures w14:val="none"/>
        </w:rPr>
        <w:t>يظهر التحيز حين يتأثر تصميم البحث أو تفسير نتائجه بتوجهات شخصية أو انتماءات مهنية أو مصالح مؤسسية للباحث. وقد يكون التحيز غير واعٍ، إلا أن آثاره على موثوقية البحث لا تقل خطورة عن الانتهاكات المتعمدة</w:t>
      </w:r>
      <w:r w:rsidRPr="0048111F">
        <w:rPr>
          <w:rFonts w:asciiTheme="majorBidi" w:eastAsia="Times New Roman" w:hAnsiTheme="majorBidi" w:cstheme="majorBidi"/>
          <w:kern w:val="0"/>
          <w:sz w:val="24"/>
          <w:szCs w:val="24"/>
          <w14:ligatures w14:val="none"/>
        </w:rPr>
        <w:t xml:space="preserve"> (Resnik, 2015). </w:t>
      </w:r>
      <w:r w:rsidRPr="0048111F">
        <w:rPr>
          <w:rFonts w:asciiTheme="majorBidi" w:eastAsia="Times New Roman" w:hAnsiTheme="majorBidi" w:cstheme="majorBidi"/>
          <w:kern w:val="0"/>
          <w:sz w:val="24"/>
          <w:szCs w:val="24"/>
          <w:rtl/>
          <w14:ligatures w14:val="none"/>
        </w:rPr>
        <w:t>والمثال التطبيقي: أن يُصمم الباحث فقرات الاستبانة بصياغة تستدعي استجابات إيجابية فحسب تجاه ممارسات إدارة المخاطر، مما يُلغي قدرة المشاركين على التعبير عن رأيهم النقدي الحقيقي</w:t>
      </w:r>
      <w:r w:rsidRPr="0048111F">
        <w:rPr>
          <w:rFonts w:asciiTheme="majorBidi" w:eastAsia="Times New Roman" w:hAnsiTheme="majorBidi" w:cstheme="majorBidi"/>
          <w:kern w:val="0"/>
          <w:sz w:val="24"/>
          <w:szCs w:val="24"/>
          <w14:ligatures w14:val="none"/>
        </w:rPr>
        <w:t>.</w:t>
      </w:r>
    </w:p>
    <w:p w14:paraId="0F634A55"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t>انتهاك الخصوصية</w:t>
      </w:r>
      <w:r w:rsidRPr="0048111F">
        <w:rPr>
          <w:rFonts w:asciiTheme="majorBidi" w:eastAsia="Times New Roman" w:hAnsiTheme="majorBidi" w:cstheme="majorBidi"/>
          <w:b/>
          <w:bCs/>
          <w:kern w:val="0"/>
          <w:sz w:val="24"/>
          <w:szCs w:val="24"/>
          <w14:ligatures w14:val="none"/>
        </w:rPr>
        <w:t>:</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kern w:val="0"/>
          <w:sz w:val="24"/>
          <w:szCs w:val="24"/>
          <w:rtl/>
          <w14:ligatures w14:val="none"/>
        </w:rPr>
        <w:t>انتهاك الخصوصية هو الكشف عن معلومات المشاركين أو استخدامها لأغراض مغايرة لما وافقوا عليه. وفي الدراسات التي تشمل مؤسسات حكومية ذات طابع تقني وأمني كالمركز الوطني للأرصاد الجوية، فإن هذا الانتهاك قد يتعدى نطاق الضرر الشخصي ليمس الأمن المؤسسي برمّته</w:t>
      </w:r>
      <w:r w:rsidRPr="0048111F">
        <w:rPr>
          <w:rFonts w:asciiTheme="majorBidi" w:eastAsia="Times New Roman" w:hAnsiTheme="majorBidi" w:cstheme="majorBidi"/>
          <w:kern w:val="0"/>
          <w:sz w:val="24"/>
          <w:szCs w:val="24"/>
          <w14:ligatures w14:val="none"/>
        </w:rPr>
        <w:t xml:space="preserve"> (Sieber, 1992). </w:t>
      </w:r>
      <w:r w:rsidRPr="0048111F">
        <w:rPr>
          <w:rFonts w:asciiTheme="majorBidi" w:eastAsia="Times New Roman" w:hAnsiTheme="majorBidi" w:cstheme="majorBidi"/>
          <w:kern w:val="0"/>
          <w:sz w:val="24"/>
          <w:szCs w:val="24"/>
          <w:rtl/>
          <w14:ligatures w14:val="none"/>
        </w:rPr>
        <w:t>مثال: أن يُفصح الباحث عن ثغرات أمنية تقنية كشف عنها موظفون خلال ملء الاستبانات، دون إذن المؤسسة ودون حماية هوية من أفصح عنها</w:t>
      </w:r>
      <w:r w:rsidRPr="0048111F">
        <w:rPr>
          <w:rFonts w:asciiTheme="majorBidi" w:eastAsia="Times New Roman" w:hAnsiTheme="majorBidi" w:cstheme="majorBidi"/>
          <w:kern w:val="0"/>
          <w:sz w:val="24"/>
          <w:szCs w:val="24"/>
          <w14:ligatures w14:val="none"/>
        </w:rPr>
        <w:t>.</w:t>
      </w:r>
    </w:p>
    <w:p w14:paraId="6F275F17"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t>تضارب المصالح</w:t>
      </w:r>
      <w:r w:rsidRPr="0048111F">
        <w:rPr>
          <w:rFonts w:asciiTheme="majorBidi" w:eastAsia="Times New Roman" w:hAnsiTheme="majorBidi" w:cstheme="majorBidi"/>
          <w:b/>
          <w:bCs/>
          <w:kern w:val="0"/>
          <w:sz w:val="24"/>
          <w:szCs w:val="24"/>
          <w14:ligatures w14:val="none"/>
        </w:rPr>
        <w:t>:</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kern w:val="0"/>
          <w:sz w:val="24"/>
          <w:szCs w:val="24"/>
          <w:rtl/>
          <w14:ligatures w14:val="none"/>
        </w:rPr>
        <w:t>يُشير تضارب المصالح إلى الحالة التي يكون فيها للباحث مصلحة شخصية أو مالية أو مهنية في نتائج بحثه، مما يُهدد استقلالية حكمه العلمي</w:t>
      </w:r>
      <w:r w:rsidRPr="0048111F">
        <w:rPr>
          <w:rFonts w:asciiTheme="majorBidi" w:eastAsia="Times New Roman" w:hAnsiTheme="majorBidi" w:cstheme="majorBidi"/>
          <w:kern w:val="0"/>
          <w:sz w:val="24"/>
          <w:szCs w:val="24"/>
          <w14:ligatures w14:val="none"/>
        </w:rPr>
        <w:t xml:space="preserve"> (APA, 2020). </w:t>
      </w:r>
      <w:r w:rsidRPr="0048111F">
        <w:rPr>
          <w:rFonts w:asciiTheme="majorBidi" w:eastAsia="Times New Roman" w:hAnsiTheme="majorBidi" w:cstheme="majorBidi"/>
          <w:kern w:val="0"/>
          <w:sz w:val="24"/>
          <w:szCs w:val="24"/>
          <w:rtl/>
          <w14:ligatures w14:val="none"/>
        </w:rPr>
        <w:t>ومثال على ذلك: أن يكون الباحث موظفاً سابقاً في المركز الوطني للأرصاد الجوية ولديه موقف محدد من سياسة معينة، مما يجعل التزامه بالموضوعية محل تساؤل</w:t>
      </w:r>
      <w:r w:rsidRPr="0048111F">
        <w:rPr>
          <w:rFonts w:asciiTheme="majorBidi" w:eastAsia="Times New Roman" w:hAnsiTheme="majorBidi" w:cstheme="majorBidi"/>
          <w:kern w:val="0"/>
          <w:sz w:val="24"/>
          <w:szCs w:val="24"/>
          <w14:ligatures w14:val="none"/>
        </w:rPr>
        <w:t>.</w:t>
      </w:r>
    </w:p>
    <w:p w14:paraId="1728B6BD" w14:textId="77777777" w:rsidR="0048111F" w:rsidRPr="0048111F" w:rsidRDefault="0048111F" w:rsidP="0048111F">
      <w:pPr>
        <w:spacing w:line="360" w:lineRule="auto"/>
        <w:ind w:left="360"/>
        <w:jc w:val="both"/>
        <w:rPr>
          <w:rFonts w:asciiTheme="majorBidi" w:eastAsia="Times New Roman" w:hAnsiTheme="majorBidi" w:cstheme="majorBidi"/>
          <w:b/>
          <w:bCs/>
          <w:kern w:val="0"/>
          <w:sz w:val="24"/>
          <w:szCs w:val="24"/>
          <w14:ligatures w14:val="none"/>
        </w:rPr>
      </w:pPr>
      <w:r w:rsidRPr="0048111F">
        <w:rPr>
          <w:rFonts w:asciiTheme="majorBidi" w:eastAsia="Times New Roman" w:hAnsiTheme="majorBidi" w:cstheme="majorBidi"/>
          <w:b/>
          <w:bCs/>
          <w:kern w:val="0"/>
          <w:sz w:val="24"/>
          <w:szCs w:val="24"/>
          <w:rtl/>
          <w14:ligatures w14:val="none"/>
        </w:rPr>
        <w:t>خامساً: القواعد واللوائح المنظمة لأخلاقيات البحث</w:t>
      </w:r>
    </w:p>
    <w:p w14:paraId="0FF731DA"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تُمثّل المنظومة التنظيمية لأخلاقيات البحث العلمي الحصن المؤسسي الذي يحمي العملية البحثية من الانزلاق نحو الانتهاكات الأخلاقية. وفي مقدمة هذه المنظومة تأتي لجان أخلاقيات البحث المعروفة بـ</w:t>
      </w:r>
      <w:r w:rsidRPr="0048111F">
        <w:rPr>
          <w:rFonts w:asciiTheme="majorBidi" w:eastAsia="Times New Roman" w:hAnsiTheme="majorBidi" w:cstheme="majorBidi"/>
          <w:kern w:val="0"/>
          <w:sz w:val="24"/>
          <w:szCs w:val="24"/>
          <w14:ligatures w14:val="none"/>
        </w:rPr>
        <w:t xml:space="preserve"> Institutional Review Boards </w:t>
      </w:r>
      <w:r w:rsidRPr="0048111F">
        <w:rPr>
          <w:rFonts w:asciiTheme="majorBidi" w:eastAsia="Times New Roman" w:hAnsiTheme="majorBidi" w:cstheme="majorBidi"/>
          <w:kern w:val="0"/>
          <w:sz w:val="24"/>
          <w:szCs w:val="24"/>
          <w:rtl/>
          <w14:ligatures w14:val="none"/>
        </w:rPr>
        <w:t>أو</w:t>
      </w:r>
      <w:r w:rsidRPr="0048111F">
        <w:rPr>
          <w:rFonts w:asciiTheme="majorBidi" w:eastAsia="Times New Roman" w:hAnsiTheme="majorBidi" w:cstheme="majorBidi"/>
          <w:kern w:val="0"/>
          <w:sz w:val="24"/>
          <w:szCs w:val="24"/>
          <w14:ligatures w14:val="none"/>
        </w:rPr>
        <w:t xml:space="preserve"> IRB</w:t>
      </w:r>
      <w:r w:rsidRPr="0048111F">
        <w:rPr>
          <w:rFonts w:asciiTheme="majorBidi" w:eastAsia="Times New Roman" w:hAnsiTheme="majorBidi" w:cstheme="majorBidi"/>
          <w:kern w:val="0"/>
          <w:sz w:val="24"/>
          <w:szCs w:val="24"/>
          <w:rtl/>
          <w14:ligatures w14:val="none"/>
        </w:rPr>
        <w:t xml:space="preserve">، وهي هيئات رقابية مستقلة تتمتع بصلاحية مراجعة الدراسات التي تشمل </w:t>
      </w:r>
      <w:r w:rsidRPr="0048111F">
        <w:rPr>
          <w:rFonts w:asciiTheme="majorBidi" w:eastAsia="Times New Roman" w:hAnsiTheme="majorBidi" w:cstheme="majorBidi"/>
          <w:kern w:val="0"/>
          <w:sz w:val="24"/>
          <w:szCs w:val="24"/>
          <w:rtl/>
          <w14:ligatures w14:val="none"/>
        </w:rPr>
        <w:lastRenderedPageBreak/>
        <w:t>مشاركين بشريين والتحقق من مراعاتها للمعايير الأخلاقية المعتمدة قبل الإذن بتنفيذها</w:t>
      </w:r>
      <w:r w:rsidRPr="0048111F">
        <w:rPr>
          <w:rFonts w:asciiTheme="majorBidi" w:eastAsia="Times New Roman" w:hAnsiTheme="majorBidi" w:cstheme="majorBidi"/>
          <w:kern w:val="0"/>
          <w:sz w:val="24"/>
          <w:szCs w:val="24"/>
          <w14:ligatures w14:val="none"/>
        </w:rPr>
        <w:t xml:space="preserve"> (Israel &amp; Hay, 2006). </w:t>
      </w:r>
      <w:r w:rsidRPr="0048111F">
        <w:rPr>
          <w:rFonts w:asciiTheme="majorBidi" w:eastAsia="Times New Roman" w:hAnsiTheme="majorBidi" w:cstheme="majorBidi"/>
          <w:kern w:val="0"/>
          <w:sz w:val="24"/>
          <w:szCs w:val="24"/>
          <w:rtl/>
          <w14:ligatures w14:val="none"/>
        </w:rPr>
        <w:t>وتُشترط موافقة هذه اللجان في معظم المؤسسات الأكاديمية المرموقة حول العالم، وتحرص على أن يتضمن البحث آليات لحماية المشاركين وضمان موافقتهم المستنيرة وسرية بياناتهم</w:t>
      </w:r>
      <w:r w:rsidRPr="0048111F">
        <w:rPr>
          <w:rFonts w:asciiTheme="majorBidi" w:eastAsia="Times New Roman" w:hAnsiTheme="majorBidi" w:cstheme="majorBidi"/>
          <w:kern w:val="0"/>
          <w:sz w:val="24"/>
          <w:szCs w:val="24"/>
          <w14:ligatures w14:val="none"/>
        </w:rPr>
        <w:t>.</w:t>
      </w:r>
    </w:p>
    <w:p w14:paraId="19402CB9"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أما على الصعيد الدولي، فقد أصدرت الجمعية الأمريكية علم النفس</w:t>
      </w:r>
      <w:r w:rsidRPr="0048111F">
        <w:rPr>
          <w:rFonts w:asciiTheme="majorBidi" w:eastAsia="Times New Roman" w:hAnsiTheme="majorBidi" w:cstheme="majorBidi"/>
          <w:kern w:val="0"/>
          <w:sz w:val="24"/>
          <w:szCs w:val="24"/>
          <w14:ligatures w14:val="none"/>
        </w:rPr>
        <w:t xml:space="preserve"> (APA) </w:t>
      </w:r>
      <w:r w:rsidRPr="0048111F">
        <w:rPr>
          <w:rFonts w:asciiTheme="majorBidi" w:eastAsia="Times New Roman" w:hAnsiTheme="majorBidi" w:cstheme="majorBidi"/>
          <w:kern w:val="0"/>
          <w:sz w:val="24"/>
          <w:szCs w:val="24"/>
          <w:rtl/>
          <w14:ligatures w14:val="none"/>
        </w:rPr>
        <w:t>دليلاً مرجعياً شاملاً لأخلاقيات البحث يتضمن مبادئ تفصيلية تغطي مراحل البحث كافة، من التخطيط وجمع البيانات وحتى النشر وتبادل المعلومات مع الزملاء</w:t>
      </w:r>
      <w:r w:rsidRPr="0048111F">
        <w:rPr>
          <w:rFonts w:asciiTheme="majorBidi" w:eastAsia="Times New Roman" w:hAnsiTheme="majorBidi" w:cstheme="majorBidi"/>
          <w:kern w:val="0"/>
          <w:sz w:val="24"/>
          <w:szCs w:val="24"/>
          <w14:ligatures w14:val="none"/>
        </w:rPr>
        <w:t xml:space="preserve"> (APA, 2020). </w:t>
      </w:r>
      <w:r w:rsidRPr="0048111F">
        <w:rPr>
          <w:rFonts w:asciiTheme="majorBidi" w:eastAsia="Times New Roman" w:hAnsiTheme="majorBidi" w:cstheme="majorBidi"/>
          <w:kern w:val="0"/>
          <w:sz w:val="24"/>
          <w:szCs w:val="24"/>
          <w:rtl/>
          <w14:ligatures w14:val="none"/>
        </w:rPr>
        <w:t>كذلك تُشكّل إعلانات هلسنكي الصادرة عن الرابطة الطبية العالمية أحد أبرز المرجعيات الدولية في مجال حماية المشاركين في الأبحاث، وإن كانت تُركز أساساً على الأبحاث الطبية إلا أن مبادئها باتت تُطبَّق في سياقات أوسع تشمل العلوم الاجتماعية والإدارية. وعلى المستوى التقني الإداري، يُتيح معيار</w:t>
      </w:r>
      <w:r w:rsidRPr="0048111F">
        <w:rPr>
          <w:rFonts w:asciiTheme="majorBidi" w:eastAsia="Times New Roman" w:hAnsiTheme="majorBidi" w:cstheme="majorBidi"/>
          <w:kern w:val="0"/>
          <w:sz w:val="24"/>
          <w:szCs w:val="24"/>
          <w14:ligatures w14:val="none"/>
        </w:rPr>
        <w:t xml:space="preserve"> ISO/IEC 27001 </w:t>
      </w:r>
      <w:r w:rsidRPr="0048111F">
        <w:rPr>
          <w:rFonts w:asciiTheme="majorBidi" w:eastAsia="Times New Roman" w:hAnsiTheme="majorBidi" w:cstheme="majorBidi"/>
          <w:kern w:val="0"/>
          <w:sz w:val="24"/>
          <w:szCs w:val="24"/>
          <w:rtl/>
          <w14:ligatures w14:val="none"/>
        </w:rPr>
        <w:t xml:space="preserve">الإطار اللازم لحماية المعلومات، وهو ذو صلة وثيقة بموضوع هذه الدراسة التي تتناول </w:t>
      </w:r>
      <w:proofErr w:type="gramStart"/>
      <w:r w:rsidRPr="0048111F">
        <w:rPr>
          <w:rFonts w:asciiTheme="majorBidi" w:eastAsia="Times New Roman" w:hAnsiTheme="majorBidi" w:cstheme="majorBidi"/>
          <w:kern w:val="0"/>
          <w:sz w:val="24"/>
          <w:szCs w:val="24"/>
          <w:rtl/>
          <w14:ligatures w14:val="none"/>
        </w:rPr>
        <w:t>مخاطر</w:t>
      </w:r>
      <w:proofErr w:type="gramEnd"/>
      <w:r w:rsidRPr="0048111F">
        <w:rPr>
          <w:rFonts w:asciiTheme="majorBidi" w:eastAsia="Times New Roman" w:hAnsiTheme="majorBidi" w:cstheme="majorBidi"/>
          <w:kern w:val="0"/>
          <w:sz w:val="24"/>
          <w:szCs w:val="24"/>
          <w:rtl/>
          <w14:ligatures w14:val="none"/>
        </w:rPr>
        <w:t xml:space="preserve"> تقنية المعلومات</w:t>
      </w:r>
      <w:r w:rsidRPr="0048111F">
        <w:rPr>
          <w:rFonts w:asciiTheme="majorBidi" w:eastAsia="Times New Roman" w:hAnsiTheme="majorBidi" w:cstheme="majorBidi"/>
          <w:kern w:val="0"/>
          <w:sz w:val="24"/>
          <w:szCs w:val="24"/>
          <w14:ligatures w14:val="none"/>
        </w:rPr>
        <w:t>.</w:t>
      </w:r>
    </w:p>
    <w:p w14:paraId="4E007558"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تكتسب هذه القواعد واللوائح أهمية جوهرية لأنها تُحوّل الأخلاقيات من مجرد قناعات فردية إلى التزامات مؤسسية قابلة للتحقق والمساءلة. فحين تعلم المؤسسات الأكاديمية والباحثون أن أعمالهم خاضعة للمراجعة الأخلاقية، فإن ذلك يُعزز الثقافة البحثية السليمة ويُقلّل من احتمال الانزلاق نحو الممارسات المخلّة</w:t>
      </w:r>
      <w:r w:rsidRPr="0048111F">
        <w:rPr>
          <w:rFonts w:asciiTheme="majorBidi" w:eastAsia="Times New Roman" w:hAnsiTheme="majorBidi" w:cstheme="majorBidi"/>
          <w:kern w:val="0"/>
          <w:sz w:val="24"/>
          <w:szCs w:val="24"/>
          <w14:ligatures w14:val="none"/>
        </w:rPr>
        <w:t>.</w:t>
      </w:r>
    </w:p>
    <w:p w14:paraId="337CD8CD" w14:textId="77777777" w:rsidR="0048111F" w:rsidRPr="0048111F" w:rsidRDefault="0048111F" w:rsidP="0048111F">
      <w:pPr>
        <w:spacing w:line="360" w:lineRule="auto"/>
        <w:ind w:left="360"/>
        <w:jc w:val="both"/>
        <w:rPr>
          <w:rFonts w:asciiTheme="majorBidi" w:eastAsia="Times New Roman" w:hAnsiTheme="majorBidi" w:cstheme="majorBidi"/>
          <w:b/>
          <w:bCs/>
          <w:kern w:val="0"/>
          <w:sz w:val="24"/>
          <w:szCs w:val="24"/>
          <w14:ligatures w14:val="none"/>
        </w:rPr>
      </w:pPr>
      <w:r w:rsidRPr="0048111F">
        <w:rPr>
          <w:rFonts w:asciiTheme="majorBidi" w:eastAsia="Times New Roman" w:hAnsiTheme="majorBidi" w:cstheme="majorBidi"/>
          <w:b/>
          <w:bCs/>
          <w:kern w:val="0"/>
          <w:sz w:val="24"/>
          <w:szCs w:val="24"/>
          <w:rtl/>
          <w14:ligatures w14:val="none"/>
        </w:rPr>
        <w:t>سادساً: التطبيق العملي على موضوع البحث</w:t>
      </w:r>
    </w:p>
    <w:p w14:paraId="5795F149"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 xml:space="preserve">يُمثّل هذا الجزء القلب النابض لهذا التقرير، إذ ينتقل فيه الباحث من التأطير النظري إلى التطبيق الفعلي لمبادئ الأخلاقيات على مراحل دراسته الميدانية المعنونة بـ "أثر إدارة </w:t>
      </w:r>
      <w:proofErr w:type="gramStart"/>
      <w:r w:rsidRPr="0048111F">
        <w:rPr>
          <w:rFonts w:asciiTheme="majorBidi" w:eastAsia="Times New Roman" w:hAnsiTheme="majorBidi" w:cstheme="majorBidi"/>
          <w:kern w:val="0"/>
          <w:sz w:val="24"/>
          <w:szCs w:val="24"/>
          <w:rtl/>
          <w14:ligatures w14:val="none"/>
        </w:rPr>
        <w:t>مخاطر</w:t>
      </w:r>
      <w:proofErr w:type="gramEnd"/>
      <w:r w:rsidRPr="0048111F">
        <w:rPr>
          <w:rFonts w:asciiTheme="majorBidi" w:eastAsia="Times New Roman" w:hAnsiTheme="majorBidi" w:cstheme="majorBidi"/>
          <w:kern w:val="0"/>
          <w:sz w:val="24"/>
          <w:szCs w:val="24"/>
          <w:rtl/>
          <w14:ligatures w14:val="none"/>
        </w:rPr>
        <w:t xml:space="preserve"> البيانات والتقنية على دقة التنبؤات ودعم القرار في الأرصاد الجوية". وهذه الدراسة تستهدف العاملين في المركز الوطني للأرصاد بالمملكة العربية السعودية، وتعتمد على استبانة إلكترونية موزعة على عينة من موظفي المركز، مما يجعل جملة من الاعتبارات الأخلاقية قضايا حيّة ينبغي التعامل معها بعناية ومسؤولية</w:t>
      </w:r>
      <w:r w:rsidRPr="0048111F">
        <w:rPr>
          <w:rFonts w:asciiTheme="majorBidi" w:eastAsia="Times New Roman" w:hAnsiTheme="majorBidi" w:cstheme="majorBidi"/>
          <w:kern w:val="0"/>
          <w:sz w:val="24"/>
          <w:szCs w:val="24"/>
          <w14:ligatures w14:val="none"/>
        </w:rPr>
        <w:t>.</w:t>
      </w:r>
    </w:p>
    <w:p w14:paraId="2E5672EF"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t>أولاً: أخلاقيات جمع البيانات</w:t>
      </w:r>
    </w:p>
    <w:p w14:paraId="45840680"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تُمثّل مرحلة جمع البيانات الاختبار الحقيقي لمدى التزام الباحث بالمنظومة الأخلاقية. وفي هذه الدراسة، تُجمع البيانات الأولية عبر استبانة إلكترونية تُوزَّع على العاملين في المركز الوطني للأرصاد في تخصصات متعددة تشمل إدارة تقنية المعلومات وأمن البيانات والتنبؤات الجوية وإدارة القرار. والمبدأ الأخلاقي المحوري هنا هو الموافقة المستنيرة، إذ يلتزم الباحث بإرفاق فقرة تمهيدية واضحة في أول الاستبانة توضح بجلاء الهدف من الدراسة وطبيعة البيانات المطلوبة ومدى استخدامها وأن المشاركة طوعية تماماً ويمكن التوقف عنها في أي وقت. هذا النهج يضمن أن كل مشارك يقدم على ملء الاستبانة بوعي تام ورغبة حرة، مما يمنح الباحث بياناته بشرعية أخلاقية كاملة</w:t>
      </w:r>
      <w:r w:rsidRPr="0048111F">
        <w:rPr>
          <w:rFonts w:asciiTheme="majorBidi" w:eastAsia="Times New Roman" w:hAnsiTheme="majorBidi" w:cstheme="majorBidi"/>
          <w:kern w:val="0"/>
          <w:sz w:val="24"/>
          <w:szCs w:val="24"/>
          <w14:ligatures w14:val="none"/>
        </w:rPr>
        <w:t>.</w:t>
      </w:r>
    </w:p>
    <w:p w14:paraId="74FA47DF"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كذلك، يلتزم الباحث بعدم مطالبة المشاركين بتقديم معلومات تتجاوز النطاق الضروري للإجابة على تساؤلات الدراسة، وعدم الإفصاح عن أسماء الأنظمة التقنية الداخلية أو الثغرات الأمنية الحساسة، مما يحمي المؤسسة ومنسوبيها على حدٍّ سواء. فالفقرات المتعلقة بـأثر تقييم المخاطر التقنية أو حوكمة تقنية المعلومات تُصاغ بطريقة تقيس الإدراك والتجربة المهنية للمشارك دون أن تستدعي أي كشف عن معلومات أمنية داخلية</w:t>
      </w:r>
      <w:r w:rsidRPr="0048111F">
        <w:rPr>
          <w:rFonts w:asciiTheme="majorBidi" w:eastAsia="Times New Roman" w:hAnsiTheme="majorBidi" w:cstheme="majorBidi"/>
          <w:kern w:val="0"/>
          <w:sz w:val="24"/>
          <w:szCs w:val="24"/>
          <w14:ligatures w14:val="none"/>
        </w:rPr>
        <w:t>.</w:t>
      </w:r>
    </w:p>
    <w:p w14:paraId="40A41B04"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lastRenderedPageBreak/>
        <w:t>ثانياً: الحفاظ على السرية وحماية الخصوصية</w:t>
      </w:r>
    </w:p>
    <w:p w14:paraId="72AD3C98"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نظراً لأن الدراسة تتعلق بمؤسسة حكومية تتعامل مع بنية تقنية حساسة وبيانات ذات صلة بالأمن القومي من حيث ارتباطها بالتنبؤات الجوية اللازمة لسلامة الأرواح، فإن الحفاظ على السرية يتصاعد من مجرد مبدأ أخلاقي إلى ضرورة مؤسسية وقانونية. ويلتزم الباحث في هذا الإطار بجملة من الإجراءات العملية، أبرزها: استخدام أرقام تسلسلية بدلاً من الأسماء في قاعدة البيانات، وحفظ البيانات الخام في بيئة إلكترونية مؤمنة ذات كلمة مرور، وعدم مشاركتها مع أطراف ثالثة، وإتلافها بعد الانتهاء من الدراسة وفق البروتوكولات المعتمدة. كما يلتزم بعدم تحديد هوية أي مشارك في تقارير النتائج أو أي جزء من الدراسة، وعدم الإشارة إلى وحدات وظيفية بعينها يمكن من خلالها استنتاج هوية أصحاب الآراء</w:t>
      </w:r>
      <w:r w:rsidRPr="0048111F">
        <w:rPr>
          <w:rFonts w:asciiTheme="majorBidi" w:eastAsia="Times New Roman" w:hAnsiTheme="majorBidi" w:cstheme="majorBidi"/>
          <w:kern w:val="0"/>
          <w:sz w:val="24"/>
          <w:szCs w:val="24"/>
          <w14:ligatures w14:val="none"/>
        </w:rPr>
        <w:t>.</w:t>
      </w:r>
    </w:p>
    <w:p w14:paraId="7AFA92BE"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t>ثالثاً: الموافقة المستنيرة وإجراءاتها التطبيقية</w:t>
      </w:r>
    </w:p>
    <w:p w14:paraId="79DC8938"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يُصمم الباحث مقدمة الاستبانة الإلكترونية على نحو يضمن تحقق الموافقة المستنيرة قبل أن يُقبل المشارك على الإجابة</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kern w:val="0"/>
          <w:sz w:val="24"/>
          <w:szCs w:val="24"/>
          <w:rtl/>
          <w14:ligatures w14:val="none"/>
        </w:rPr>
        <w:t>تتضمن هذه المقدمة: عرضاً موجزاً لهدف الدراسة وأهميتها، وتوضيحاً لطبيعة الأسئلة وتقدير الوقت اللازم للإجابة، وتأكيداً صريحاً على أن المشاركة طوعية وأن للمشارك الحق في الانسحاب دون أي تبعات، وضماناً بأن البيانات ستُستخدم حصراً لأغراض البحث العلمي ولن تُشارك مع جهات خارجية. ويُعدّ الضغط على زر "إرسال" أو "التالي" في الاستبانة الإلكترونية بمثابة موافقة ضمنية على المشاركة، وهو إجراء معترف به في المعايير الأخلاقية الدولية للبحوث غير المتضمنة لأذى مباشر</w:t>
      </w:r>
      <w:r w:rsidRPr="0048111F">
        <w:rPr>
          <w:rFonts w:asciiTheme="majorBidi" w:eastAsia="Times New Roman" w:hAnsiTheme="majorBidi" w:cstheme="majorBidi"/>
          <w:kern w:val="0"/>
          <w:sz w:val="24"/>
          <w:szCs w:val="24"/>
          <w14:ligatures w14:val="none"/>
        </w:rPr>
        <w:t>.</w:t>
      </w:r>
    </w:p>
    <w:p w14:paraId="1C890F79"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t>رابعاً: تجنب التحيز وضمان الموضوعية</w:t>
      </w:r>
    </w:p>
    <w:p w14:paraId="51235E9C"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 xml:space="preserve">يتخذ الباحث جملة من الإجراءات الوقائية لضمان خلو الاستبانة من التحيز، منها: عرض الاستبانة على مجموعة من الحكّمين المتخصصين قبل توزيعها للتحقق من وضوح الفقرات </w:t>
      </w:r>
      <w:proofErr w:type="spellStart"/>
      <w:r w:rsidRPr="0048111F">
        <w:rPr>
          <w:rFonts w:asciiTheme="majorBidi" w:eastAsia="Times New Roman" w:hAnsiTheme="majorBidi" w:cstheme="majorBidi"/>
          <w:kern w:val="0"/>
          <w:sz w:val="24"/>
          <w:szCs w:val="24"/>
          <w:rtl/>
          <w14:ligatures w14:val="none"/>
        </w:rPr>
        <w:t>وحياديتها</w:t>
      </w:r>
      <w:proofErr w:type="spellEnd"/>
      <w:r w:rsidRPr="0048111F">
        <w:rPr>
          <w:rFonts w:asciiTheme="majorBidi" w:eastAsia="Times New Roman" w:hAnsiTheme="majorBidi" w:cstheme="majorBidi"/>
          <w:kern w:val="0"/>
          <w:sz w:val="24"/>
          <w:szCs w:val="24"/>
          <w:rtl/>
          <w14:ligatures w14:val="none"/>
        </w:rPr>
        <w:t xml:space="preserve"> وخلوّها من الصياغات الإيحائية التي توجّه المشارك نحو إجابة بعينها. كما يُراعي الباحث عند التحليل الإحصائي اختبار الفرضيات بكلا اتجاهيها القبول والرفض بمنهجية موحدة، وعدم تأويل النتائج الهامشية لصالح الفرضيات البديلة. كذلك يُفصح الباحث في متن الدراسة عن جميع حدودها ومحدداتها المنهجية بشفافية كاملة، من بينها محدودية العينة وقيود التعميم وأثر الاستجابة الاجتماعية المرغوبة في الإجابات</w:t>
      </w:r>
      <w:r w:rsidRPr="0048111F">
        <w:rPr>
          <w:rFonts w:asciiTheme="majorBidi" w:eastAsia="Times New Roman" w:hAnsiTheme="majorBidi" w:cstheme="majorBidi"/>
          <w:kern w:val="0"/>
          <w:sz w:val="24"/>
          <w:szCs w:val="24"/>
          <w14:ligatures w14:val="none"/>
        </w:rPr>
        <w:t>.</w:t>
      </w:r>
    </w:p>
    <w:p w14:paraId="54F175B7"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t>خامساً: المخاطر المحتملة وكيفية التعامل معها</w:t>
      </w:r>
    </w:p>
    <w:p w14:paraId="4E3DCEA9"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ثمة جملة من المخاطر الأخلاقية المحتملة في هذه الدراسة يتعين على الباحث الاستعداد لها: أولها الضغط الضمني الذي قد يشعر به الموظفون جرّاء توزيع الاستبانة عبر القنوات الرسمية، إذ قد يُفضي ذلك إلى الإجابة بما يُعتقد أنه مرغوب وظيفياً لا بما يُمثّل الرأي الحقيقي. وللتخفيف من هذا الخطر، يحرص الباحث على التأكيد المتكرر على استقلالية الدراسة عن الجهة الإدارية وعدم وصول نتائجها الفردية إلى أصحاب القرار في المؤسسة. وثانيها احتمال كشف المشاركين عن معلومات أمنية أو تنظيمية حساسة يتجاوز ما تحتاجه الدراسة، ويتعامل معها الباحث بعدم توظيفها في الدراسة وإتلافها في أقرب وقت ممكن وإبلاغ المشارك بذلك</w:t>
      </w:r>
      <w:r w:rsidRPr="0048111F">
        <w:rPr>
          <w:rFonts w:asciiTheme="majorBidi" w:eastAsia="Times New Roman" w:hAnsiTheme="majorBidi" w:cstheme="majorBidi"/>
          <w:kern w:val="0"/>
          <w:sz w:val="24"/>
          <w:szCs w:val="24"/>
          <w14:ligatures w14:val="none"/>
        </w:rPr>
        <w:t>.</w:t>
      </w:r>
    </w:p>
    <w:p w14:paraId="342E19CA"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t>سادساً: الالتزام بالأمانة العلمية في توظيف المراجع</w:t>
      </w:r>
    </w:p>
    <w:p w14:paraId="67A01F8A"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lastRenderedPageBreak/>
        <w:t>يُولي الباحث عناية بالغة بتوثيق جميع المصادر التي اعتمد عليها في بناء الإطار النظري وعرض الدراسات السابقة، وذلك وفق نمط التوثيق</w:t>
      </w:r>
      <w:r w:rsidRPr="0048111F">
        <w:rPr>
          <w:rFonts w:asciiTheme="majorBidi" w:eastAsia="Times New Roman" w:hAnsiTheme="majorBidi" w:cstheme="majorBidi"/>
          <w:kern w:val="0"/>
          <w:sz w:val="24"/>
          <w:szCs w:val="24"/>
          <w14:ligatures w14:val="none"/>
        </w:rPr>
        <w:t xml:space="preserve"> APA </w:t>
      </w:r>
      <w:r w:rsidRPr="0048111F">
        <w:rPr>
          <w:rFonts w:asciiTheme="majorBidi" w:eastAsia="Times New Roman" w:hAnsiTheme="majorBidi" w:cstheme="majorBidi"/>
          <w:kern w:val="0"/>
          <w:sz w:val="24"/>
          <w:szCs w:val="24"/>
          <w:rtl/>
          <w14:ligatures w14:val="none"/>
        </w:rPr>
        <w:t>بدقة ومطابقة، سواء تعلق الأمر بالمراجع العربية كدراسة الجلبي (2022) حول تكامل أبعاد إطار</w:t>
      </w:r>
      <w:r w:rsidRPr="0048111F">
        <w:rPr>
          <w:rFonts w:asciiTheme="majorBidi" w:eastAsia="Times New Roman" w:hAnsiTheme="majorBidi" w:cstheme="majorBidi"/>
          <w:kern w:val="0"/>
          <w:sz w:val="24"/>
          <w:szCs w:val="24"/>
          <w14:ligatures w14:val="none"/>
        </w:rPr>
        <w:t xml:space="preserve"> COBIT5</w:t>
      </w:r>
      <w:r w:rsidRPr="0048111F">
        <w:rPr>
          <w:rFonts w:asciiTheme="majorBidi" w:eastAsia="Times New Roman" w:hAnsiTheme="majorBidi" w:cstheme="majorBidi"/>
          <w:kern w:val="0"/>
          <w:sz w:val="24"/>
          <w:szCs w:val="24"/>
          <w:rtl/>
          <w14:ligatures w14:val="none"/>
        </w:rPr>
        <w:t>، أو الدراسات الأجنبية كدراسة</w:t>
      </w:r>
      <w:r w:rsidRPr="0048111F">
        <w:rPr>
          <w:rFonts w:asciiTheme="majorBidi" w:eastAsia="Times New Roman" w:hAnsiTheme="majorBidi" w:cstheme="majorBidi"/>
          <w:kern w:val="0"/>
          <w:sz w:val="24"/>
          <w:szCs w:val="24"/>
          <w14:ligatures w14:val="none"/>
        </w:rPr>
        <w:t xml:space="preserve"> Wu &amp; Xue (2024) </w:t>
      </w:r>
      <w:r w:rsidRPr="0048111F">
        <w:rPr>
          <w:rFonts w:asciiTheme="majorBidi" w:eastAsia="Times New Roman" w:hAnsiTheme="majorBidi" w:cstheme="majorBidi"/>
          <w:kern w:val="0"/>
          <w:sz w:val="24"/>
          <w:szCs w:val="24"/>
          <w:rtl/>
          <w14:ligatures w14:val="none"/>
        </w:rPr>
        <w:t>حول التنبؤ الجوي القائم على البيانات. وهذا الالتزام الدقيق بالتوثيق لا يحمي الباحث من تهمة الانتحال فحسب، بل يُسهم في بناء مسار مرجعي متكامل يُيسّر على من يأتي بعده التحقق من المصادر والبناء عليها</w:t>
      </w:r>
      <w:r w:rsidRPr="0048111F">
        <w:rPr>
          <w:rFonts w:asciiTheme="majorBidi" w:eastAsia="Times New Roman" w:hAnsiTheme="majorBidi" w:cstheme="majorBidi"/>
          <w:kern w:val="0"/>
          <w:sz w:val="24"/>
          <w:szCs w:val="24"/>
          <w14:ligatures w14:val="none"/>
        </w:rPr>
        <w:t>.</w:t>
      </w:r>
    </w:p>
    <w:p w14:paraId="28C878CE" w14:textId="77777777" w:rsidR="0048111F" w:rsidRPr="0048111F" w:rsidRDefault="0048111F" w:rsidP="0048111F">
      <w:pPr>
        <w:spacing w:line="360" w:lineRule="auto"/>
        <w:ind w:left="360"/>
        <w:jc w:val="both"/>
        <w:rPr>
          <w:rFonts w:asciiTheme="majorBidi" w:eastAsia="Times New Roman" w:hAnsiTheme="majorBidi" w:cstheme="majorBidi"/>
          <w:b/>
          <w:bCs/>
          <w:kern w:val="0"/>
          <w:sz w:val="24"/>
          <w:szCs w:val="24"/>
          <w14:ligatures w14:val="none"/>
        </w:rPr>
      </w:pPr>
      <w:r w:rsidRPr="0048111F">
        <w:rPr>
          <w:rFonts w:asciiTheme="majorBidi" w:eastAsia="Times New Roman" w:hAnsiTheme="majorBidi" w:cstheme="majorBidi"/>
          <w:b/>
          <w:bCs/>
          <w:kern w:val="0"/>
          <w:sz w:val="24"/>
          <w:szCs w:val="24"/>
          <w:rtl/>
          <w14:ligatures w14:val="none"/>
        </w:rPr>
        <w:t>سابعاً: الخاتمة</w:t>
      </w:r>
    </w:p>
    <w:p w14:paraId="2DCF50C0"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خلص هذا التقرير إلى أن أخلاقيات البحث العلمي ليست مجرد ضوابط شكلية مفروضة من الخارج، بل هي الروح التي تُمنح البحث العلمي شرعيته ومصداقيته وقيمته الحقيقية. وقد تبيّن من خلال استعراض المبادئ الأساسية من أمانة علمية ونزاهة وموضوعية وسرية وموافقة مستنيرة أن كل مبدأ منها يُعالج حاجة وظيفية محددة في مسيرة البحث ويقي من خطر محدد. كما كشف التحليل عن أن القضايا الأخلاقية الكبرى كالانتحال والتزوير والتحيز وانتهاك الخصوصية وتضارب المصالح لا تنشأ دائماً عن نية مسبقة، بل كثيراً ما تكون وليدة الإهمال أو ضعف الوعي الأخلاقي، مما يجعل التدريب الأكاديمي على هذه المبادئ ضرورةً تعليمية ملحّة</w:t>
      </w:r>
      <w:r w:rsidRPr="0048111F">
        <w:rPr>
          <w:rFonts w:asciiTheme="majorBidi" w:eastAsia="Times New Roman" w:hAnsiTheme="majorBidi" w:cstheme="majorBidi"/>
          <w:kern w:val="0"/>
          <w:sz w:val="24"/>
          <w:szCs w:val="24"/>
          <w14:ligatures w14:val="none"/>
        </w:rPr>
        <w:t>.</w:t>
      </w:r>
    </w:p>
    <w:p w14:paraId="0559AE65"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 xml:space="preserve">وفيما يتعلق بتطبيق هذه المبادئ على دراسة أثر إدارة </w:t>
      </w:r>
      <w:proofErr w:type="gramStart"/>
      <w:r w:rsidRPr="0048111F">
        <w:rPr>
          <w:rFonts w:asciiTheme="majorBidi" w:eastAsia="Times New Roman" w:hAnsiTheme="majorBidi" w:cstheme="majorBidi"/>
          <w:kern w:val="0"/>
          <w:sz w:val="24"/>
          <w:szCs w:val="24"/>
          <w:rtl/>
          <w14:ligatures w14:val="none"/>
        </w:rPr>
        <w:t>مخاطر</w:t>
      </w:r>
      <w:proofErr w:type="gramEnd"/>
      <w:r w:rsidRPr="0048111F">
        <w:rPr>
          <w:rFonts w:asciiTheme="majorBidi" w:eastAsia="Times New Roman" w:hAnsiTheme="majorBidi" w:cstheme="majorBidi"/>
          <w:kern w:val="0"/>
          <w:sz w:val="24"/>
          <w:szCs w:val="24"/>
          <w:rtl/>
          <w14:ligatures w14:val="none"/>
        </w:rPr>
        <w:t xml:space="preserve"> البيانات والتقنية على دقة التنبؤات الجوية بالمملكة العربية السعودية، فقد اتضح أن طبيعة بيئة التطبيق وحساسية المؤسسة المستهدفة يفرضان متطلبات أخلاقية إضافية تستدعي عناية خاصة في مراحل </w:t>
      </w:r>
      <w:proofErr w:type="gramStart"/>
      <w:r w:rsidRPr="0048111F">
        <w:rPr>
          <w:rFonts w:asciiTheme="majorBidi" w:eastAsia="Times New Roman" w:hAnsiTheme="majorBidi" w:cstheme="majorBidi"/>
          <w:kern w:val="0"/>
          <w:sz w:val="24"/>
          <w:szCs w:val="24"/>
          <w:rtl/>
          <w14:ligatures w14:val="none"/>
        </w:rPr>
        <w:t>التصميم</w:t>
      </w:r>
      <w:proofErr w:type="gramEnd"/>
      <w:r w:rsidRPr="0048111F">
        <w:rPr>
          <w:rFonts w:asciiTheme="majorBidi" w:eastAsia="Times New Roman" w:hAnsiTheme="majorBidi" w:cstheme="majorBidi"/>
          <w:kern w:val="0"/>
          <w:sz w:val="24"/>
          <w:szCs w:val="24"/>
          <w:rtl/>
          <w14:ligatures w14:val="none"/>
        </w:rPr>
        <w:t xml:space="preserve"> والتوزيع والتحليل والنشر. ويتعهد الباحث بالالتزام بجميع المعايير الأخلاقية الواردة في هذا التقرير، مؤمناً بأن البحث الذي يُحقق معادلة التوازن بين الصرامة المنهجية والنزاهة الأخلاقية هو وحده البحث الجدير بأن يُضيف إلى رصيد المعرفة الإنسانية ويُسهم في بناء مستقبل أفضل</w:t>
      </w:r>
      <w:r w:rsidRPr="0048111F">
        <w:rPr>
          <w:rFonts w:asciiTheme="majorBidi" w:eastAsia="Times New Roman" w:hAnsiTheme="majorBidi" w:cstheme="majorBidi"/>
          <w:kern w:val="0"/>
          <w:sz w:val="24"/>
          <w:szCs w:val="24"/>
          <w14:ligatures w14:val="none"/>
        </w:rPr>
        <w:t>.</w:t>
      </w:r>
    </w:p>
    <w:p w14:paraId="5C840798"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ويوصي الباحث في ختام هذا التقرير بأن تُدرج مؤسسات التعليم العالي مقررات أخلاقيات البحث ضمن المناهج الإلزامية لطلاب الدراسات العليا في جميع التخصصات، وأن تُنشأ لجان أخلاقية فاعلة في الجامعات العربية على غرار نماذج</w:t>
      </w:r>
      <w:r w:rsidRPr="0048111F">
        <w:rPr>
          <w:rFonts w:asciiTheme="majorBidi" w:eastAsia="Times New Roman" w:hAnsiTheme="majorBidi" w:cstheme="majorBidi"/>
          <w:kern w:val="0"/>
          <w:sz w:val="24"/>
          <w:szCs w:val="24"/>
          <w14:ligatures w14:val="none"/>
        </w:rPr>
        <w:t xml:space="preserve"> IRB </w:t>
      </w:r>
      <w:r w:rsidRPr="0048111F">
        <w:rPr>
          <w:rFonts w:asciiTheme="majorBidi" w:eastAsia="Times New Roman" w:hAnsiTheme="majorBidi" w:cstheme="majorBidi"/>
          <w:kern w:val="0"/>
          <w:sz w:val="24"/>
          <w:szCs w:val="24"/>
          <w:rtl/>
          <w14:ligatures w14:val="none"/>
        </w:rPr>
        <w:t>الغربية، وأن يُولي الباحثون عناية خاصة بالجانب الأخلاقي في الدراسات التي تُجرى في المؤسسات الحكومية ذات الطابع الأمني والتقني</w:t>
      </w:r>
      <w:r w:rsidRPr="0048111F">
        <w:rPr>
          <w:rFonts w:asciiTheme="majorBidi" w:eastAsia="Times New Roman" w:hAnsiTheme="majorBidi" w:cstheme="majorBidi"/>
          <w:kern w:val="0"/>
          <w:sz w:val="24"/>
          <w:szCs w:val="24"/>
          <w14:ligatures w14:val="none"/>
        </w:rPr>
        <w:t>.</w:t>
      </w:r>
    </w:p>
    <w:p w14:paraId="5024472E" w14:textId="2EB0D929" w:rsidR="0048111F" w:rsidRDefault="0048111F">
      <w:pPr>
        <w:bidi w:val="0"/>
        <w:rPr>
          <w:rFonts w:asciiTheme="majorBidi" w:eastAsia="Times New Roman" w:hAnsiTheme="majorBidi" w:cstheme="majorBidi"/>
          <w:kern w:val="0"/>
          <w:sz w:val="24"/>
          <w:szCs w:val="24"/>
          <w14:ligatures w14:val="none"/>
        </w:rPr>
      </w:pPr>
      <w:r>
        <w:rPr>
          <w:rFonts w:asciiTheme="majorBidi" w:eastAsia="Times New Roman" w:hAnsiTheme="majorBidi" w:cstheme="majorBidi"/>
          <w:kern w:val="0"/>
          <w:sz w:val="24"/>
          <w:szCs w:val="24"/>
          <w14:ligatures w14:val="none"/>
        </w:rPr>
        <w:br w:type="page"/>
      </w:r>
    </w:p>
    <w:p w14:paraId="1ACB9E4F" w14:textId="77777777" w:rsidR="0048111F" w:rsidRPr="0048111F" w:rsidRDefault="0048111F" w:rsidP="0048111F">
      <w:pPr>
        <w:spacing w:line="360" w:lineRule="auto"/>
        <w:ind w:left="360"/>
        <w:jc w:val="both"/>
        <w:rPr>
          <w:rFonts w:asciiTheme="majorBidi" w:eastAsia="Times New Roman" w:hAnsiTheme="majorBidi" w:cstheme="majorBidi"/>
          <w:b/>
          <w:bCs/>
          <w:kern w:val="0"/>
          <w:sz w:val="24"/>
          <w:szCs w:val="24"/>
          <w14:ligatures w14:val="none"/>
        </w:rPr>
      </w:pPr>
      <w:r w:rsidRPr="0048111F">
        <w:rPr>
          <w:rFonts w:asciiTheme="majorBidi" w:eastAsia="Times New Roman" w:hAnsiTheme="majorBidi" w:cstheme="majorBidi"/>
          <w:b/>
          <w:bCs/>
          <w:kern w:val="0"/>
          <w:sz w:val="24"/>
          <w:szCs w:val="24"/>
          <w:rtl/>
          <w14:ligatures w14:val="none"/>
        </w:rPr>
        <w:lastRenderedPageBreak/>
        <w:t>المراجع</w:t>
      </w:r>
    </w:p>
    <w:p w14:paraId="1084F413"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t>المراجع العربية</w:t>
      </w:r>
      <w:r w:rsidRPr="0048111F">
        <w:rPr>
          <w:rFonts w:asciiTheme="majorBidi" w:eastAsia="Times New Roman" w:hAnsiTheme="majorBidi" w:cstheme="majorBidi"/>
          <w:b/>
          <w:bCs/>
          <w:kern w:val="0"/>
          <w:sz w:val="24"/>
          <w:szCs w:val="24"/>
          <w14:ligatures w14:val="none"/>
        </w:rPr>
        <w:t>:</w:t>
      </w:r>
    </w:p>
    <w:p w14:paraId="5794394B"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الجلبي، وليد سمير عبد العظيم. (2022). أثر التكامل بين أبعاد إطار</w:t>
      </w:r>
      <w:r w:rsidRPr="0048111F">
        <w:rPr>
          <w:rFonts w:asciiTheme="majorBidi" w:eastAsia="Times New Roman" w:hAnsiTheme="majorBidi" w:cstheme="majorBidi"/>
          <w:kern w:val="0"/>
          <w:sz w:val="24"/>
          <w:szCs w:val="24"/>
          <w14:ligatures w14:val="none"/>
        </w:rPr>
        <w:t xml:space="preserve"> COBIT5 </w:t>
      </w:r>
      <w:r w:rsidRPr="0048111F">
        <w:rPr>
          <w:rFonts w:asciiTheme="majorBidi" w:eastAsia="Times New Roman" w:hAnsiTheme="majorBidi" w:cstheme="majorBidi"/>
          <w:kern w:val="0"/>
          <w:sz w:val="24"/>
          <w:szCs w:val="24"/>
          <w:rtl/>
          <w14:ligatures w14:val="none"/>
        </w:rPr>
        <w:t>ومكونات الرقابة الداخلية وفقاً لإطار</w:t>
      </w:r>
      <w:r w:rsidRPr="0048111F">
        <w:rPr>
          <w:rFonts w:asciiTheme="majorBidi" w:eastAsia="Times New Roman" w:hAnsiTheme="majorBidi" w:cstheme="majorBidi"/>
          <w:kern w:val="0"/>
          <w:sz w:val="24"/>
          <w:szCs w:val="24"/>
          <w14:ligatures w14:val="none"/>
        </w:rPr>
        <w:t xml:space="preserve"> COSO </w:t>
      </w:r>
      <w:r w:rsidRPr="0048111F">
        <w:rPr>
          <w:rFonts w:asciiTheme="majorBidi" w:eastAsia="Times New Roman" w:hAnsiTheme="majorBidi" w:cstheme="majorBidi"/>
          <w:kern w:val="0"/>
          <w:sz w:val="24"/>
          <w:szCs w:val="24"/>
          <w:rtl/>
          <w14:ligatures w14:val="none"/>
        </w:rPr>
        <w:t xml:space="preserve">في الحد من </w:t>
      </w:r>
      <w:proofErr w:type="gramStart"/>
      <w:r w:rsidRPr="0048111F">
        <w:rPr>
          <w:rFonts w:asciiTheme="majorBidi" w:eastAsia="Times New Roman" w:hAnsiTheme="majorBidi" w:cstheme="majorBidi"/>
          <w:kern w:val="0"/>
          <w:sz w:val="24"/>
          <w:szCs w:val="24"/>
          <w:rtl/>
          <w14:ligatures w14:val="none"/>
        </w:rPr>
        <w:t>مخاطر</w:t>
      </w:r>
      <w:proofErr w:type="gramEnd"/>
      <w:r w:rsidRPr="0048111F">
        <w:rPr>
          <w:rFonts w:asciiTheme="majorBidi" w:eastAsia="Times New Roman" w:hAnsiTheme="majorBidi" w:cstheme="majorBidi"/>
          <w:kern w:val="0"/>
          <w:sz w:val="24"/>
          <w:szCs w:val="24"/>
          <w:rtl/>
          <w14:ligatures w14:val="none"/>
        </w:rPr>
        <w:t xml:space="preserve"> المحاسبة السحابية</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i/>
          <w:iCs/>
          <w:kern w:val="0"/>
          <w:sz w:val="24"/>
          <w:szCs w:val="24"/>
          <w:rtl/>
          <w14:ligatures w14:val="none"/>
        </w:rPr>
        <w:t>مجلة الإسكندرية للبحوث المحاسبية</w:t>
      </w:r>
      <w:r w:rsidRPr="0048111F">
        <w:rPr>
          <w:rFonts w:asciiTheme="majorBidi" w:eastAsia="Times New Roman" w:hAnsiTheme="majorBidi" w:cstheme="majorBidi"/>
          <w:kern w:val="0"/>
          <w:sz w:val="24"/>
          <w:szCs w:val="24"/>
          <w:rtl/>
          <w14:ligatures w14:val="none"/>
        </w:rPr>
        <w:t>، 6</w:t>
      </w:r>
      <w:r w:rsidRPr="0048111F">
        <w:rPr>
          <w:rFonts w:asciiTheme="majorBidi" w:eastAsia="Times New Roman" w:hAnsiTheme="majorBidi" w:cstheme="majorBidi"/>
          <w:kern w:val="0"/>
          <w:sz w:val="24"/>
          <w:szCs w:val="24"/>
          <w14:ligatures w14:val="none"/>
        </w:rPr>
        <w:t>(3)</w:t>
      </w:r>
      <w:r w:rsidRPr="0048111F">
        <w:rPr>
          <w:rFonts w:asciiTheme="majorBidi" w:eastAsia="Times New Roman" w:hAnsiTheme="majorBidi" w:cstheme="majorBidi"/>
          <w:kern w:val="0"/>
          <w:sz w:val="24"/>
          <w:szCs w:val="24"/>
          <w:rtl/>
          <w14:ligatures w14:val="none"/>
        </w:rPr>
        <w:t>، 129</w:t>
      </w:r>
      <w:r w:rsidRPr="0048111F">
        <w:rPr>
          <w:rFonts w:asciiTheme="majorBidi" w:eastAsia="Times New Roman" w:hAnsiTheme="majorBidi" w:cstheme="majorBidi"/>
          <w:kern w:val="0"/>
          <w:sz w:val="24"/>
          <w:szCs w:val="24"/>
          <w14:ligatures w14:val="none"/>
        </w:rPr>
        <w:t xml:space="preserve">–225. </w:t>
      </w:r>
      <w:hyperlink r:id="rId9" w:tgtFrame="_blank" w:history="1">
        <w:r w:rsidRPr="0048111F">
          <w:rPr>
            <w:rStyle w:val="Hyperlink"/>
            <w:rFonts w:asciiTheme="majorBidi" w:eastAsia="Times New Roman" w:hAnsiTheme="majorBidi" w:cstheme="majorBidi"/>
            <w:kern w:val="0"/>
            <w:sz w:val="24"/>
            <w:szCs w:val="24"/>
            <w14:ligatures w14:val="none"/>
          </w:rPr>
          <w:t>https://journals.ekb.eg/article_268544.html</w:t>
        </w:r>
      </w:hyperlink>
    </w:p>
    <w:p w14:paraId="6C66DB85"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 xml:space="preserve">خليفة، أحمد؛ فيض الله، مراد؛ وزين، </w:t>
      </w:r>
      <w:proofErr w:type="gramStart"/>
      <w:r w:rsidRPr="0048111F">
        <w:rPr>
          <w:rFonts w:asciiTheme="majorBidi" w:eastAsia="Times New Roman" w:hAnsiTheme="majorBidi" w:cstheme="majorBidi"/>
          <w:kern w:val="0"/>
          <w:sz w:val="24"/>
          <w:szCs w:val="24"/>
          <w:rtl/>
          <w14:ligatures w14:val="none"/>
        </w:rPr>
        <w:t>عبدالمالك</w:t>
      </w:r>
      <w:proofErr w:type="gramEnd"/>
      <w:r w:rsidRPr="0048111F">
        <w:rPr>
          <w:rFonts w:asciiTheme="majorBidi" w:eastAsia="Times New Roman" w:hAnsiTheme="majorBidi" w:cstheme="majorBidi"/>
          <w:kern w:val="0"/>
          <w:sz w:val="24"/>
          <w:szCs w:val="24"/>
          <w:rtl/>
          <w14:ligatures w14:val="none"/>
        </w:rPr>
        <w:t>. (2021). أثر حوكمة تقنية المعلومات على تفعيل إدارة المخاطر في المؤسسات: دراسة ميدانية</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i/>
          <w:iCs/>
          <w:kern w:val="0"/>
          <w:sz w:val="24"/>
          <w:szCs w:val="24"/>
          <w:rtl/>
          <w14:ligatures w14:val="none"/>
        </w:rPr>
        <w:t>مجلة الدراسات المالية والمحاسبية والإدارية</w:t>
      </w:r>
      <w:r w:rsidRPr="0048111F">
        <w:rPr>
          <w:rFonts w:asciiTheme="majorBidi" w:eastAsia="Times New Roman" w:hAnsiTheme="majorBidi" w:cstheme="majorBidi"/>
          <w:kern w:val="0"/>
          <w:sz w:val="24"/>
          <w:szCs w:val="24"/>
          <w:rtl/>
          <w14:ligatures w14:val="none"/>
        </w:rPr>
        <w:t>، 8</w:t>
      </w:r>
      <w:r w:rsidRPr="0048111F">
        <w:rPr>
          <w:rFonts w:asciiTheme="majorBidi" w:eastAsia="Times New Roman" w:hAnsiTheme="majorBidi" w:cstheme="majorBidi"/>
          <w:kern w:val="0"/>
          <w:sz w:val="24"/>
          <w:szCs w:val="24"/>
          <w14:ligatures w14:val="none"/>
        </w:rPr>
        <w:t>(1)</w:t>
      </w:r>
      <w:r w:rsidRPr="0048111F">
        <w:rPr>
          <w:rFonts w:asciiTheme="majorBidi" w:eastAsia="Times New Roman" w:hAnsiTheme="majorBidi" w:cstheme="majorBidi"/>
          <w:kern w:val="0"/>
          <w:sz w:val="24"/>
          <w:szCs w:val="24"/>
          <w:rtl/>
          <w14:ligatures w14:val="none"/>
        </w:rPr>
        <w:t>، 1</w:t>
      </w:r>
      <w:r w:rsidRPr="0048111F">
        <w:rPr>
          <w:rFonts w:asciiTheme="majorBidi" w:eastAsia="Times New Roman" w:hAnsiTheme="majorBidi" w:cstheme="majorBidi"/>
          <w:kern w:val="0"/>
          <w:sz w:val="24"/>
          <w:szCs w:val="24"/>
          <w14:ligatures w14:val="none"/>
        </w:rPr>
        <w:t xml:space="preserve">–32. </w:t>
      </w:r>
      <w:hyperlink r:id="rId10" w:tgtFrame="_blank" w:history="1">
        <w:r w:rsidRPr="0048111F">
          <w:rPr>
            <w:rStyle w:val="Hyperlink"/>
            <w:rFonts w:asciiTheme="majorBidi" w:eastAsia="Times New Roman" w:hAnsiTheme="majorBidi" w:cstheme="majorBidi"/>
            <w:kern w:val="0"/>
            <w:sz w:val="24"/>
            <w:szCs w:val="24"/>
            <w14:ligatures w14:val="none"/>
          </w:rPr>
          <w:t>https://www.asjp.cerist.dz</w:t>
        </w:r>
      </w:hyperlink>
    </w:p>
    <w:p w14:paraId="41005F06"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proofErr w:type="spellStart"/>
      <w:r w:rsidRPr="0048111F">
        <w:rPr>
          <w:rFonts w:asciiTheme="majorBidi" w:eastAsia="Times New Roman" w:hAnsiTheme="majorBidi" w:cstheme="majorBidi"/>
          <w:kern w:val="0"/>
          <w:sz w:val="24"/>
          <w:szCs w:val="24"/>
          <w:rtl/>
          <w14:ligatures w14:val="none"/>
        </w:rPr>
        <w:t>الزكرم</w:t>
      </w:r>
      <w:proofErr w:type="spellEnd"/>
      <w:r w:rsidRPr="0048111F">
        <w:rPr>
          <w:rFonts w:asciiTheme="majorBidi" w:eastAsia="Times New Roman" w:hAnsiTheme="majorBidi" w:cstheme="majorBidi"/>
          <w:kern w:val="0"/>
          <w:sz w:val="24"/>
          <w:szCs w:val="24"/>
          <w:rtl/>
          <w14:ligatures w14:val="none"/>
        </w:rPr>
        <w:t xml:space="preserve">، فهد أحمد. (2022). تفعيل حوكمة تقنية المعلومات وأثرها على الحد من </w:t>
      </w:r>
      <w:proofErr w:type="gramStart"/>
      <w:r w:rsidRPr="0048111F">
        <w:rPr>
          <w:rFonts w:asciiTheme="majorBidi" w:eastAsia="Times New Roman" w:hAnsiTheme="majorBidi" w:cstheme="majorBidi"/>
          <w:kern w:val="0"/>
          <w:sz w:val="24"/>
          <w:szCs w:val="24"/>
          <w:rtl/>
          <w14:ligatures w14:val="none"/>
        </w:rPr>
        <w:t>مخاطر</w:t>
      </w:r>
      <w:proofErr w:type="gramEnd"/>
      <w:r w:rsidRPr="0048111F">
        <w:rPr>
          <w:rFonts w:asciiTheme="majorBidi" w:eastAsia="Times New Roman" w:hAnsiTheme="majorBidi" w:cstheme="majorBidi"/>
          <w:kern w:val="0"/>
          <w:sz w:val="24"/>
          <w:szCs w:val="24"/>
          <w:rtl/>
          <w14:ligatures w14:val="none"/>
        </w:rPr>
        <w:t xml:space="preserve"> تقنية المالية في الخدمات المصرفية الإلكترونية</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i/>
          <w:iCs/>
          <w:kern w:val="0"/>
          <w:sz w:val="24"/>
          <w:szCs w:val="24"/>
          <w:rtl/>
          <w14:ligatures w14:val="none"/>
        </w:rPr>
        <w:t>المجلة العلمية للدراسات والبحوث المالية والإدارية</w:t>
      </w:r>
      <w:r w:rsidRPr="0048111F">
        <w:rPr>
          <w:rFonts w:asciiTheme="majorBidi" w:eastAsia="Times New Roman" w:hAnsiTheme="majorBidi" w:cstheme="majorBidi"/>
          <w:kern w:val="0"/>
          <w:sz w:val="24"/>
          <w:szCs w:val="24"/>
          <w:rtl/>
          <w14:ligatures w14:val="none"/>
        </w:rPr>
        <w:t>، 13</w:t>
      </w:r>
      <w:r w:rsidRPr="0048111F">
        <w:rPr>
          <w:rFonts w:asciiTheme="majorBidi" w:eastAsia="Times New Roman" w:hAnsiTheme="majorBidi" w:cstheme="majorBidi"/>
          <w:kern w:val="0"/>
          <w:sz w:val="24"/>
          <w:szCs w:val="24"/>
          <w14:ligatures w14:val="none"/>
        </w:rPr>
        <w:t>(2)</w:t>
      </w:r>
      <w:r w:rsidRPr="0048111F">
        <w:rPr>
          <w:rFonts w:asciiTheme="majorBidi" w:eastAsia="Times New Roman" w:hAnsiTheme="majorBidi" w:cstheme="majorBidi"/>
          <w:kern w:val="0"/>
          <w:sz w:val="24"/>
          <w:szCs w:val="24"/>
          <w:rtl/>
          <w14:ligatures w14:val="none"/>
        </w:rPr>
        <w:t>، 1115</w:t>
      </w:r>
      <w:r w:rsidRPr="0048111F">
        <w:rPr>
          <w:rFonts w:asciiTheme="majorBidi" w:eastAsia="Times New Roman" w:hAnsiTheme="majorBidi" w:cstheme="majorBidi"/>
          <w:kern w:val="0"/>
          <w:sz w:val="24"/>
          <w:szCs w:val="24"/>
          <w14:ligatures w14:val="none"/>
        </w:rPr>
        <w:t xml:space="preserve">–1155. </w:t>
      </w:r>
      <w:hyperlink r:id="rId11" w:tgtFrame="_blank" w:history="1">
        <w:r w:rsidRPr="0048111F">
          <w:rPr>
            <w:rStyle w:val="Hyperlink"/>
            <w:rFonts w:asciiTheme="majorBidi" w:eastAsia="Times New Roman" w:hAnsiTheme="majorBidi" w:cstheme="majorBidi"/>
            <w:kern w:val="0"/>
            <w:sz w:val="24"/>
            <w:szCs w:val="24"/>
            <w14:ligatures w14:val="none"/>
          </w:rPr>
          <w:t>https://journals.ekb.eg</w:t>
        </w:r>
      </w:hyperlink>
    </w:p>
    <w:p w14:paraId="464A3DA0"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المركز الوطني للأرصاد بالمملكة العربية السعودية. (2023). تطوير منظومة التنبؤات الجوية ودعم القرار في المملكة العربية السعودية</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i/>
          <w:iCs/>
          <w:kern w:val="0"/>
          <w:sz w:val="24"/>
          <w:szCs w:val="24"/>
          <w:rtl/>
          <w14:ligatures w14:val="none"/>
        </w:rPr>
        <w:t>مجلة وقد</w:t>
      </w:r>
      <w:r w:rsidRPr="0048111F">
        <w:rPr>
          <w:rFonts w:asciiTheme="majorBidi" w:eastAsia="Times New Roman" w:hAnsiTheme="majorBidi" w:cstheme="majorBidi"/>
          <w:kern w:val="0"/>
          <w:sz w:val="24"/>
          <w:szCs w:val="24"/>
          <w:rtl/>
          <w14:ligatures w14:val="none"/>
        </w:rPr>
        <w:t xml:space="preserve">، </w:t>
      </w:r>
      <w:r w:rsidRPr="0048111F">
        <w:rPr>
          <w:rFonts w:asciiTheme="majorBidi" w:eastAsia="Times New Roman" w:hAnsiTheme="majorBidi" w:cstheme="majorBidi"/>
          <w:kern w:val="0"/>
          <w:sz w:val="24"/>
          <w:szCs w:val="24"/>
          <w14:ligatures w14:val="none"/>
        </w:rPr>
        <w:t>(1)</w:t>
      </w:r>
      <w:r w:rsidRPr="0048111F">
        <w:rPr>
          <w:rFonts w:asciiTheme="majorBidi" w:eastAsia="Times New Roman" w:hAnsiTheme="majorBidi" w:cstheme="majorBidi"/>
          <w:kern w:val="0"/>
          <w:sz w:val="24"/>
          <w:szCs w:val="24"/>
          <w:rtl/>
          <w14:ligatures w14:val="none"/>
        </w:rPr>
        <w:t>، 1</w:t>
      </w:r>
      <w:r w:rsidRPr="0048111F">
        <w:rPr>
          <w:rFonts w:asciiTheme="majorBidi" w:eastAsia="Times New Roman" w:hAnsiTheme="majorBidi" w:cstheme="majorBidi"/>
          <w:kern w:val="0"/>
          <w:sz w:val="24"/>
          <w:szCs w:val="24"/>
          <w14:ligatures w14:val="none"/>
        </w:rPr>
        <w:t xml:space="preserve">–52. </w:t>
      </w:r>
      <w:hyperlink r:id="rId12" w:tgtFrame="_blank" w:history="1">
        <w:r w:rsidRPr="0048111F">
          <w:rPr>
            <w:rStyle w:val="Hyperlink"/>
            <w:rFonts w:asciiTheme="majorBidi" w:eastAsia="Times New Roman" w:hAnsiTheme="majorBidi" w:cstheme="majorBidi"/>
            <w:kern w:val="0"/>
            <w:sz w:val="24"/>
            <w:szCs w:val="24"/>
            <w14:ligatures w14:val="none"/>
          </w:rPr>
          <w:t>https://www.ncm.gov.sa</w:t>
        </w:r>
      </w:hyperlink>
    </w:p>
    <w:p w14:paraId="292AF1CD"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rtl/>
          <w14:ligatures w14:val="none"/>
        </w:rPr>
        <w:t xml:space="preserve">نجيب، رائد </w:t>
      </w:r>
      <w:proofErr w:type="gramStart"/>
      <w:r w:rsidRPr="0048111F">
        <w:rPr>
          <w:rFonts w:asciiTheme="majorBidi" w:eastAsia="Times New Roman" w:hAnsiTheme="majorBidi" w:cstheme="majorBidi"/>
          <w:kern w:val="0"/>
          <w:sz w:val="24"/>
          <w:szCs w:val="24"/>
          <w:rtl/>
          <w14:ligatures w14:val="none"/>
        </w:rPr>
        <w:t>عبدالله</w:t>
      </w:r>
      <w:proofErr w:type="gramEnd"/>
      <w:r w:rsidRPr="0048111F">
        <w:rPr>
          <w:rFonts w:asciiTheme="majorBidi" w:eastAsia="Times New Roman" w:hAnsiTheme="majorBidi" w:cstheme="majorBidi"/>
          <w:kern w:val="0"/>
          <w:sz w:val="24"/>
          <w:szCs w:val="24"/>
          <w:rtl/>
          <w14:ligatures w14:val="none"/>
        </w:rPr>
        <w:t>. (2022). دور الذكاء الاصطناعي في تحسين إدارة المخاطر وإدارة الكوارث</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i/>
          <w:iCs/>
          <w:kern w:val="0"/>
          <w:sz w:val="24"/>
          <w:szCs w:val="24"/>
          <w:rtl/>
          <w14:ligatures w14:val="none"/>
        </w:rPr>
        <w:t>مجلة العلوم الطبيعية والتطبيقية</w:t>
      </w:r>
      <w:r w:rsidRPr="0048111F">
        <w:rPr>
          <w:rFonts w:asciiTheme="majorBidi" w:eastAsia="Times New Roman" w:hAnsiTheme="majorBidi" w:cstheme="majorBidi"/>
          <w:kern w:val="0"/>
          <w:sz w:val="24"/>
          <w:szCs w:val="24"/>
          <w:rtl/>
          <w14:ligatures w14:val="none"/>
        </w:rPr>
        <w:t>، 6</w:t>
      </w:r>
      <w:r w:rsidRPr="0048111F">
        <w:rPr>
          <w:rFonts w:asciiTheme="majorBidi" w:eastAsia="Times New Roman" w:hAnsiTheme="majorBidi" w:cstheme="majorBidi"/>
          <w:kern w:val="0"/>
          <w:sz w:val="24"/>
          <w:szCs w:val="24"/>
          <w14:ligatures w14:val="none"/>
        </w:rPr>
        <w:t>(2)</w:t>
      </w:r>
      <w:r w:rsidRPr="0048111F">
        <w:rPr>
          <w:rFonts w:asciiTheme="majorBidi" w:eastAsia="Times New Roman" w:hAnsiTheme="majorBidi" w:cstheme="majorBidi"/>
          <w:kern w:val="0"/>
          <w:sz w:val="24"/>
          <w:szCs w:val="24"/>
          <w:rtl/>
          <w14:ligatures w14:val="none"/>
        </w:rPr>
        <w:t>، 1</w:t>
      </w:r>
      <w:r w:rsidRPr="0048111F">
        <w:rPr>
          <w:rFonts w:asciiTheme="majorBidi" w:eastAsia="Times New Roman" w:hAnsiTheme="majorBidi" w:cstheme="majorBidi"/>
          <w:kern w:val="0"/>
          <w:sz w:val="24"/>
          <w:szCs w:val="24"/>
          <w14:ligatures w14:val="none"/>
        </w:rPr>
        <w:t xml:space="preserve">–18. </w:t>
      </w:r>
      <w:hyperlink r:id="rId13" w:tgtFrame="_blank" w:history="1">
        <w:r w:rsidRPr="0048111F">
          <w:rPr>
            <w:rStyle w:val="Hyperlink"/>
            <w:rFonts w:asciiTheme="majorBidi" w:eastAsia="Times New Roman" w:hAnsiTheme="majorBidi" w:cstheme="majorBidi"/>
            <w:kern w:val="0"/>
            <w:sz w:val="24"/>
            <w:szCs w:val="24"/>
            <w14:ligatures w14:val="none"/>
          </w:rPr>
          <w:t>https://najsp.com/index.php/home/article/view/400</w:t>
        </w:r>
      </w:hyperlink>
    </w:p>
    <w:p w14:paraId="6F8B14AB" w14:textId="77777777" w:rsidR="0048111F" w:rsidRPr="0048111F" w:rsidRDefault="0048111F" w:rsidP="0048111F">
      <w:pPr>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b/>
          <w:bCs/>
          <w:kern w:val="0"/>
          <w:sz w:val="24"/>
          <w:szCs w:val="24"/>
          <w:rtl/>
          <w14:ligatures w14:val="none"/>
        </w:rPr>
        <w:t>المراجع الأجنبية</w:t>
      </w:r>
      <w:r w:rsidRPr="0048111F">
        <w:rPr>
          <w:rFonts w:asciiTheme="majorBidi" w:eastAsia="Times New Roman" w:hAnsiTheme="majorBidi" w:cstheme="majorBidi"/>
          <w:b/>
          <w:bCs/>
          <w:kern w:val="0"/>
          <w:sz w:val="24"/>
          <w:szCs w:val="24"/>
          <w14:ligatures w14:val="none"/>
        </w:rPr>
        <w:t>:</w:t>
      </w:r>
    </w:p>
    <w:p w14:paraId="45A4E419" w14:textId="77777777" w:rsidR="0048111F" w:rsidRPr="0048111F" w:rsidRDefault="0048111F" w:rsidP="0048111F">
      <w:pPr>
        <w:bidi w:val="0"/>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14:ligatures w14:val="none"/>
        </w:rPr>
        <w:t xml:space="preserve">American Psychological Association. (2020). </w:t>
      </w:r>
      <w:r w:rsidRPr="0048111F">
        <w:rPr>
          <w:rFonts w:asciiTheme="majorBidi" w:eastAsia="Times New Roman" w:hAnsiTheme="majorBidi" w:cstheme="majorBidi"/>
          <w:i/>
          <w:iCs/>
          <w:kern w:val="0"/>
          <w:sz w:val="24"/>
          <w:szCs w:val="24"/>
          <w14:ligatures w14:val="none"/>
        </w:rPr>
        <w:t>Publication manual of the American Psychological Association</w:t>
      </w:r>
      <w:r w:rsidRPr="0048111F">
        <w:rPr>
          <w:rFonts w:asciiTheme="majorBidi" w:eastAsia="Times New Roman" w:hAnsiTheme="majorBidi" w:cstheme="majorBidi"/>
          <w:kern w:val="0"/>
          <w:sz w:val="24"/>
          <w:szCs w:val="24"/>
          <w14:ligatures w14:val="none"/>
        </w:rPr>
        <w:t xml:space="preserve"> (7th ed.). APA Publishing. </w:t>
      </w:r>
      <w:hyperlink r:id="rId14" w:tgtFrame="_blank" w:history="1">
        <w:r w:rsidRPr="0048111F">
          <w:rPr>
            <w:rStyle w:val="Hyperlink"/>
            <w:rFonts w:asciiTheme="majorBidi" w:eastAsia="Times New Roman" w:hAnsiTheme="majorBidi" w:cstheme="majorBidi"/>
            <w:kern w:val="0"/>
            <w:sz w:val="24"/>
            <w:szCs w:val="24"/>
            <w14:ligatures w14:val="none"/>
          </w:rPr>
          <w:t>https://doi.org/10.1037/0000165-000</w:t>
        </w:r>
      </w:hyperlink>
    </w:p>
    <w:p w14:paraId="61CF7636" w14:textId="77777777" w:rsidR="0048111F" w:rsidRPr="0048111F" w:rsidRDefault="0048111F" w:rsidP="0048111F">
      <w:pPr>
        <w:bidi w:val="0"/>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14:ligatures w14:val="none"/>
        </w:rPr>
        <w:t xml:space="preserve">Israel, M., &amp; Hay, I. (2006). </w:t>
      </w:r>
      <w:r w:rsidRPr="0048111F">
        <w:rPr>
          <w:rFonts w:asciiTheme="majorBidi" w:eastAsia="Times New Roman" w:hAnsiTheme="majorBidi" w:cstheme="majorBidi"/>
          <w:i/>
          <w:iCs/>
          <w:kern w:val="0"/>
          <w:sz w:val="24"/>
          <w:szCs w:val="24"/>
          <w14:ligatures w14:val="none"/>
        </w:rPr>
        <w:t>Research ethics for social scientists: Between ethical conduct and regulatory compliance</w:t>
      </w:r>
      <w:r w:rsidRPr="0048111F">
        <w:rPr>
          <w:rFonts w:asciiTheme="majorBidi" w:eastAsia="Times New Roman" w:hAnsiTheme="majorBidi" w:cstheme="majorBidi"/>
          <w:kern w:val="0"/>
          <w:sz w:val="24"/>
          <w:szCs w:val="24"/>
          <w14:ligatures w14:val="none"/>
        </w:rPr>
        <w:t>. SAGE Publications.</w:t>
      </w:r>
    </w:p>
    <w:p w14:paraId="6EF6DB5E" w14:textId="77777777" w:rsidR="0048111F" w:rsidRPr="0048111F" w:rsidRDefault="0048111F" w:rsidP="0048111F">
      <w:pPr>
        <w:bidi w:val="0"/>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14:ligatures w14:val="none"/>
        </w:rPr>
        <w:t xml:space="preserve">Resnik, D. B. (2015). </w:t>
      </w:r>
      <w:r w:rsidRPr="0048111F">
        <w:rPr>
          <w:rFonts w:asciiTheme="majorBidi" w:eastAsia="Times New Roman" w:hAnsiTheme="majorBidi" w:cstheme="majorBidi"/>
          <w:i/>
          <w:iCs/>
          <w:kern w:val="0"/>
          <w:sz w:val="24"/>
          <w:szCs w:val="24"/>
          <w14:ligatures w14:val="none"/>
        </w:rPr>
        <w:t>What is ethics in research and why is it important?</w:t>
      </w:r>
      <w:r w:rsidRPr="0048111F">
        <w:rPr>
          <w:rFonts w:asciiTheme="majorBidi" w:eastAsia="Times New Roman" w:hAnsiTheme="majorBidi" w:cstheme="majorBidi"/>
          <w:kern w:val="0"/>
          <w:sz w:val="24"/>
          <w:szCs w:val="24"/>
          <w14:ligatures w14:val="none"/>
        </w:rPr>
        <w:t xml:space="preserve"> National Institute of Environmental Health Sciences. </w:t>
      </w:r>
      <w:hyperlink r:id="rId15" w:tgtFrame="_blank" w:history="1">
        <w:r w:rsidRPr="0048111F">
          <w:rPr>
            <w:rStyle w:val="Hyperlink"/>
            <w:rFonts w:asciiTheme="majorBidi" w:eastAsia="Times New Roman" w:hAnsiTheme="majorBidi" w:cstheme="majorBidi"/>
            <w:kern w:val="0"/>
            <w:sz w:val="24"/>
            <w:szCs w:val="24"/>
            <w14:ligatures w14:val="none"/>
          </w:rPr>
          <w:t>https://www.niehs.nih.gov/research/resources/bioethics/whatis</w:t>
        </w:r>
      </w:hyperlink>
    </w:p>
    <w:p w14:paraId="0F4A989E" w14:textId="77777777" w:rsidR="0048111F" w:rsidRPr="0048111F" w:rsidRDefault="0048111F" w:rsidP="0048111F">
      <w:pPr>
        <w:bidi w:val="0"/>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14:ligatures w14:val="none"/>
        </w:rPr>
        <w:t xml:space="preserve">Sieber, J. E. (1992). </w:t>
      </w:r>
      <w:r w:rsidRPr="0048111F">
        <w:rPr>
          <w:rFonts w:asciiTheme="majorBidi" w:eastAsia="Times New Roman" w:hAnsiTheme="majorBidi" w:cstheme="majorBidi"/>
          <w:i/>
          <w:iCs/>
          <w:kern w:val="0"/>
          <w:sz w:val="24"/>
          <w:szCs w:val="24"/>
          <w14:ligatures w14:val="none"/>
        </w:rPr>
        <w:t>Planning ethically responsible research: A guide for students and internal review boards</w:t>
      </w:r>
      <w:r w:rsidRPr="0048111F">
        <w:rPr>
          <w:rFonts w:asciiTheme="majorBidi" w:eastAsia="Times New Roman" w:hAnsiTheme="majorBidi" w:cstheme="majorBidi"/>
          <w:kern w:val="0"/>
          <w:sz w:val="24"/>
          <w:szCs w:val="24"/>
          <w14:ligatures w14:val="none"/>
        </w:rPr>
        <w:t>. SAGE Publications.</w:t>
      </w:r>
    </w:p>
    <w:p w14:paraId="3BCD956E" w14:textId="77777777" w:rsidR="0048111F" w:rsidRPr="0048111F" w:rsidRDefault="0048111F" w:rsidP="0048111F">
      <w:pPr>
        <w:bidi w:val="0"/>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14:ligatures w14:val="none"/>
        </w:rPr>
        <w:lastRenderedPageBreak/>
        <w:t xml:space="preserve">Steneck, N. H. (2007). </w:t>
      </w:r>
      <w:r w:rsidRPr="0048111F">
        <w:rPr>
          <w:rFonts w:asciiTheme="majorBidi" w:eastAsia="Times New Roman" w:hAnsiTheme="majorBidi" w:cstheme="majorBidi"/>
          <w:i/>
          <w:iCs/>
          <w:kern w:val="0"/>
          <w:sz w:val="24"/>
          <w:szCs w:val="24"/>
          <w14:ligatures w14:val="none"/>
        </w:rPr>
        <w:t>ORI introduction to the responsible conduct of research</w:t>
      </w:r>
      <w:r w:rsidRPr="0048111F">
        <w:rPr>
          <w:rFonts w:asciiTheme="majorBidi" w:eastAsia="Times New Roman" w:hAnsiTheme="majorBidi" w:cstheme="majorBidi"/>
          <w:kern w:val="0"/>
          <w:sz w:val="24"/>
          <w:szCs w:val="24"/>
          <w14:ligatures w14:val="none"/>
        </w:rPr>
        <w:t xml:space="preserve">. Office of Research Integrity, U.S. Department of Health and Human Services. </w:t>
      </w:r>
      <w:hyperlink r:id="rId16" w:tgtFrame="_blank" w:history="1">
        <w:r w:rsidRPr="0048111F">
          <w:rPr>
            <w:rStyle w:val="Hyperlink"/>
            <w:rFonts w:asciiTheme="majorBidi" w:eastAsia="Times New Roman" w:hAnsiTheme="majorBidi" w:cstheme="majorBidi"/>
            <w:kern w:val="0"/>
            <w:sz w:val="24"/>
            <w:szCs w:val="24"/>
            <w14:ligatures w14:val="none"/>
          </w:rPr>
          <w:t>https://ori.hhs.gov/ori-introduction-responsible-conduct-research</w:t>
        </w:r>
      </w:hyperlink>
    </w:p>
    <w:p w14:paraId="58EA60FF" w14:textId="77777777" w:rsidR="0048111F" w:rsidRPr="0048111F" w:rsidRDefault="0048111F" w:rsidP="0048111F">
      <w:pPr>
        <w:bidi w:val="0"/>
        <w:spacing w:line="360" w:lineRule="auto"/>
        <w:ind w:left="360"/>
        <w:jc w:val="both"/>
        <w:rPr>
          <w:rFonts w:asciiTheme="majorBidi" w:eastAsia="Times New Roman" w:hAnsiTheme="majorBidi" w:cstheme="majorBidi"/>
          <w:kern w:val="0"/>
          <w:sz w:val="24"/>
          <w:szCs w:val="24"/>
          <w14:ligatures w14:val="none"/>
        </w:rPr>
      </w:pPr>
      <w:r w:rsidRPr="0048111F">
        <w:rPr>
          <w:rFonts w:asciiTheme="majorBidi" w:eastAsia="Times New Roman" w:hAnsiTheme="majorBidi" w:cstheme="majorBidi"/>
          <w:kern w:val="0"/>
          <w:sz w:val="24"/>
          <w:szCs w:val="24"/>
          <w14:ligatures w14:val="none"/>
        </w:rPr>
        <w:t xml:space="preserve">Wu, Y., &amp; Xue, W. (2024). Data-driven weather forecasting and climate modeling from the perspective of development. </w:t>
      </w:r>
      <w:r w:rsidRPr="0048111F">
        <w:rPr>
          <w:rFonts w:asciiTheme="majorBidi" w:eastAsia="Times New Roman" w:hAnsiTheme="majorBidi" w:cstheme="majorBidi"/>
          <w:i/>
          <w:iCs/>
          <w:kern w:val="0"/>
          <w:sz w:val="24"/>
          <w:szCs w:val="24"/>
          <w14:ligatures w14:val="none"/>
        </w:rPr>
        <w:t>Atmosphere</w:t>
      </w:r>
      <w:r w:rsidRPr="0048111F">
        <w:rPr>
          <w:rFonts w:asciiTheme="majorBidi" w:eastAsia="Times New Roman" w:hAnsiTheme="majorBidi" w:cstheme="majorBidi"/>
          <w:kern w:val="0"/>
          <w:sz w:val="24"/>
          <w:szCs w:val="24"/>
          <w14:ligatures w14:val="none"/>
        </w:rPr>
        <w:t xml:space="preserve">, </w:t>
      </w:r>
      <w:r w:rsidRPr="0048111F">
        <w:rPr>
          <w:rFonts w:asciiTheme="majorBidi" w:eastAsia="Times New Roman" w:hAnsiTheme="majorBidi" w:cstheme="majorBidi"/>
          <w:i/>
          <w:iCs/>
          <w:kern w:val="0"/>
          <w:sz w:val="24"/>
          <w:szCs w:val="24"/>
          <w14:ligatures w14:val="none"/>
        </w:rPr>
        <w:t>15</w:t>
      </w:r>
      <w:r w:rsidRPr="0048111F">
        <w:rPr>
          <w:rFonts w:asciiTheme="majorBidi" w:eastAsia="Times New Roman" w:hAnsiTheme="majorBidi" w:cstheme="majorBidi"/>
          <w:kern w:val="0"/>
          <w:sz w:val="24"/>
          <w:szCs w:val="24"/>
          <w14:ligatures w14:val="none"/>
        </w:rPr>
        <w:t xml:space="preserve">(6), Article 689, 1–28. </w:t>
      </w:r>
      <w:hyperlink r:id="rId17" w:tgtFrame="_blank" w:history="1">
        <w:r w:rsidRPr="0048111F">
          <w:rPr>
            <w:rStyle w:val="Hyperlink"/>
            <w:rFonts w:asciiTheme="majorBidi" w:eastAsia="Times New Roman" w:hAnsiTheme="majorBidi" w:cstheme="majorBidi"/>
            <w:kern w:val="0"/>
            <w:sz w:val="24"/>
            <w:szCs w:val="24"/>
            <w14:ligatures w14:val="none"/>
          </w:rPr>
          <w:t>https://doi.org/10.3390/atmos15060689</w:t>
        </w:r>
      </w:hyperlink>
    </w:p>
    <w:p w14:paraId="3A3BBA1B" w14:textId="24790BC8" w:rsidR="00B27039" w:rsidRPr="00BC1099" w:rsidRDefault="00651277" w:rsidP="0048111F">
      <w:pPr>
        <w:spacing w:line="360" w:lineRule="auto"/>
        <w:ind w:left="360"/>
        <w:jc w:val="both"/>
        <w:rPr>
          <w:rFonts w:asciiTheme="majorBidi" w:eastAsia="Times New Roman" w:hAnsiTheme="majorBidi" w:cstheme="majorBidi"/>
          <w:kern w:val="0"/>
          <w:sz w:val="24"/>
          <w:szCs w:val="24"/>
          <w14:ligatures w14:val="none"/>
        </w:rPr>
      </w:pPr>
      <w:r w:rsidRPr="00BC1099">
        <w:rPr>
          <w:rFonts w:asciiTheme="majorBidi" w:eastAsia="Times New Roman" w:hAnsiTheme="majorBidi" w:cstheme="majorBidi"/>
          <w:kern w:val="0"/>
          <w:sz w:val="24"/>
          <w:szCs w:val="24"/>
          <w14:ligatures w14:val="none"/>
        </w:rPr>
        <w:t>.</w:t>
      </w:r>
      <w:r w:rsidR="00B27039" w:rsidRPr="00BC1099">
        <w:rPr>
          <w:rFonts w:asciiTheme="majorBidi" w:eastAsia="Times New Roman" w:hAnsiTheme="majorBidi" w:cstheme="majorBidi"/>
          <w:kern w:val="0"/>
          <w:sz w:val="24"/>
          <w:szCs w:val="24"/>
          <w14:ligatures w14:val="none"/>
        </w:rPr>
        <w:t>.</w:t>
      </w:r>
    </w:p>
    <w:p w14:paraId="7B29C619" w14:textId="03BC1BEE" w:rsidR="00287E3A" w:rsidRPr="003D3B7C" w:rsidRDefault="00287E3A" w:rsidP="0048111F">
      <w:pPr>
        <w:spacing w:line="360" w:lineRule="auto"/>
        <w:ind w:left="360"/>
        <w:jc w:val="both"/>
        <w:rPr>
          <w:rFonts w:asciiTheme="majorBidi" w:hAnsiTheme="majorBidi" w:cstheme="majorBidi" w:hint="cs"/>
          <w:sz w:val="24"/>
          <w:szCs w:val="24"/>
          <w:lang w:bidi="ar-EG"/>
        </w:rPr>
      </w:pPr>
    </w:p>
    <w:sectPr w:rsidR="00287E3A" w:rsidRPr="003D3B7C" w:rsidSect="00376B50">
      <w:footerReference w:type="default" r:id="rId18"/>
      <w:pgSz w:w="11906" w:h="16838"/>
      <w:pgMar w:top="1440" w:right="1797"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D079C" w14:textId="77777777" w:rsidR="008F5476" w:rsidRDefault="008F5476" w:rsidP="009125CE">
      <w:pPr>
        <w:spacing w:after="0" w:line="240" w:lineRule="auto"/>
      </w:pPr>
      <w:r>
        <w:separator/>
      </w:r>
    </w:p>
  </w:endnote>
  <w:endnote w:type="continuationSeparator" w:id="0">
    <w:p w14:paraId="2F250875" w14:textId="77777777" w:rsidR="008F5476" w:rsidRDefault="008F547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2076502"/>
      <w:docPartObj>
        <w:docPartGallery w:val="Page Numbers (Bottom of Page)"/>
        <w:docPartUnique/>
      </w:docPartObj>
    </w:sdtPr>
    <w:sdtContent>
      <w:p w14:paraId="49E1BF1B" w14:textId="0750CBCB" w:rsidR="00376B50" w:rsidRDefault="00376B50">
        <w:pPr>
          <w:pStyle w:val="a4"/>
          <w:jc w:val="center"/>
        </w:pPr>
        <w:r>
          <w:fldChar w:fldCharType="begin"/>
        </w:r>
        <w:r>
          <w:instrText>PAGE   \* MERGEFORMAT</w:instrText>
        </w:r>
        <w:r>
          <w:fldChar w:fldCharType="separate"/>
        </w:r>
        <w:r>
          <w:rPr>
            <w:rtl/>
            <w:lang w:val="ar-SA"/>
          </w:rPr>
          <w:t>2</w:t>
        </w:r>
        <w:r>
          <w:fldChar w:fldCharType="end"/>
        </w:r>
      </w:p>
    </w:sdtContent>
  </w:sdt>
  <w:p w14:paraId="191254A4" w14:textId="77777777" w:rsidR="00376B50" w:rsidRDefault="00376B5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8C417" w14:textId="77777777" w:rsidR="008F5476" w:rsidRDefault="008F5476" w:rsidP="009125CE">
      <w:pPr>
        <w:spacing w:after="0" w:line="240" w:lineRule="auto"/>
      </w:pPr>
      <w:r>
        <w:separator/>
      </w:r>
    </w:p>
  </w:footnote>
  <w:footnote w:type="continuationSeparator" w:id="0">
    <w:p w14:paraId="6941C7BF" w14:textId="77777777" w:rsidR="008F5476" w:rsidRDefault="008F547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B22"/>
    <w:rsid w:val="00090F21"/>
    <w:rsid w:val="000B7BDE"/>
    <w:rsid w:val="000C6EC5"/>
    <w:rsid w:val="000D5702"/>
    <w:rsid w:val="000F44B4"/>
    <w:rsid w:val="00111653"/>
    <w:rsid w:val="00113DBE"/>
    <w:rsid w:val="00121A58"/>
    <w:rsid w:val="00137F3D"/>
    <w:rsid w:val="00170DB3"/>
    <w:rsid w:val="001902DB"/>
    <w:rsid w:val="001A2A53"/>
    <w:rsid w:val="001A4A25"/>
    <w:rsid w:val="001C2162"/>
    <w:rsid w:val="001C5D4A"/>
    <w:rsid w:val="00200E4E"/>
    <w:rsid w:val="002059DD"/>
    <w:rsid w:val="00212556"/>
    <w:rsid w:val="00213BE4"/>
    <w:rsid w:val="00215B37"/>
    <w:rsid w:val="00222F6F"/>
    <w:rsid w:val="00270C69"/>
    <w:rsid w:val="002739D2"/>
    <w:rsid w:val="00274C6D"/>
    <w:rsid w:val="00287E3A"/>
    <w:rsid w:val="0029432D"/>
    <w:rsid w:val="002D35A2"/>
    <w:rsid w:val="00317645"/>
    <w:rsid w:val="00324963"/>
    <w:rsid w:val="00343929"/>
    <w:rsid w:val="0036416B"/>
    <w:rsid w:val="00376B50"/>
    <w:rsid w:val="003B22D9"/>
    <w:rsid w:val="003D3600"/>
    <w:rsid w:val="003D3B7C"/>
    <w:rsid w:val="004163C7"/>
    <w:rsid w:val="00441182"/>
    <w:rsid w:val="00457C9C"/>
    <w:rsid w:val="0048111F"/>
    <w:rsid w:val="004B121B"/>
    <w:rsid w:val="004B278D"/>
    <w:rsid w:val="0050229D"/>
    <w:rsid w:val="00516AE6"/>
    <w:rsid w:val="00537842"/>
    <w:rsid w:val="0055693B"/>
    <w:rsid w:val="00576FF7"/>
    <w:rsid w:val="005905D2"/>
    <w:rsid w:val="005A5E69"/>
    <w:rsid w:val="005A7EF6"/>
    <w:rsid w:val="005C34B8"/>
    <w:rsid w:val="005E5E98"/>
    <w:rsid w:val="00651277"/>
    <w:rsid w:val="00665D60"/>
    <w:rsid w:val="006878B6"/>
    <w:rsid w:val="006948DE"/>
    <w:rsid w:val="007359B5"/>
    <w:rsid w:val="0077268D"/>
    <w:rsid w:val="00795C67"/>
    <w:rsid w:val="007B0E54"/>
    <w:rsid w:val="007C1089"/>
    <w:rsid w:val="007C6EE1"/>
    <w:rsid w:val="007E2EF6"/>
    <w:rsid w:val="007E37F4"/>
    <w:rsid w:val="007E3A20"/>
    <w:rsid w:val="007E5404"/>
    <w:rsid w:val="00804B6C"/>
    <w:rsid w:val="008206ED"/>
    <w:rsid w:val="0082585C"/>
    <w:rsid w:val="008719CB"/>
    <w:rsid w:val="00876CEA"/>
    <w:rsid w:val="00877AAC"/>
    <w:rsid w:val="008963D4"/>
    <w:rsid w:val="00896FE4"/>
    <w:rsid w:val="008D2C72"/>
    <w:rsid w:val="008D49D9"/>
    <w:rsid w:val="008F1EAE"/>
    <w:rsid w:val="008F5476"/>
    <w:rsid w:val="009125CE"/>
    <w:rsid w:val="009129E5"/>
    <w:rsid w:val="00946F5F"/>
    <w:rsid w:val="00956AE0"/>
    <w:rsid w:val="009637D7"/>
    <w:rsid w:val="009672FC"/>
    <w:rsid w:val="009914C4"/>
    <w:rsid w:val="009B0CE6"/>
    <w:rsid w:val="009B27DA"/>
    <w:rsid w:val="009B6888"/>
    <w:rsid w:val="009C0161"/>
    <w:rsid w:val="009C527C"/>
    <w:rsid w:val="009C6635"/>
    <w:rsid w:val="009D108D"/>
    <w:rsid w:val="009D7E30"/>
    <w:rsid w:val="009E1436"/>
    <w:rsid w:val="009E5668"/>
    <w:rsid w:val="00A12BDB"/>
    <w:rsid w:val="00A77982"/>
    <w:rsid w:val="00A8468B"/>
    <w:rsid w:val="00AA79E9"/>
    <w:rsid w:val="00AB0A70"/>
    <w:rsid w:val="00AC4CD1"/>
    <w:rsid w:val="00B10163"/>
    <w:rsid w:val="00B1496E"/>
    <w:rsid w:val="00B14B06"/>
    <w:rsid w:val="00B20ECC"/>
    <w:rsid w:val="00B23351"/>
    <w:rsid w:val="00B25BA2"/>
    <w:rsid w:val="00B27039"/>
    <w:rsid w:val="00B44450"/>
    <w:rsid w:val="00B55084"/>
    <w:rsid w:val="00B638DD"/>
    <w:rsid w:val="00B63B0F"/>
    <w:rsid w:val="00B759E2"/>
    <w:rsid w:val="00B7678A"/>
    <w:rsid w:val="00B92099"/>
    <w:rsid w:val="00B9620E"/>
    <w:rsid w:val="00BB7576"/>
    <w:rsid w:val="00BC094B"/>
    <w:rsid w:val="00BC0CAA"/>
    <w:rsid w:val="00BC1099"/>
    <w:rsid w:val="00BC5333"/>
    <w:rsid w:val="00C04895"/>
    <w:rsid w:val="00C172B4"/>
    <w:rsid w:val="00C216DA"/>
    <w:rsid w:val="00C24534"/>
    <w:rsid w:val="00C41763"/>
    <w:rsid w:val="00C56D2A"/>
    <w:rsid w:val="00C72744"/>
    <w:rsid w:val="00C85D92"/>
    <w:rsid w:val="00C86F49"/>
    <w:rsid w:val="00CB2A44"/>
    <w:rsid w:val="00CE7D23"/>
    <w:rsid w:val="00D04F62"/>
    <w:rsid w:val="00D22171"/>
    <w:rsid w:val="00D43FCE"/>
    <w:rsid w:val="00D52480"/>
    <w:rsid w:val="00D906DE"/>
    <w:rsid w:val="00DB1479"/>
    <w:rsid w:val="00E04097"/>
    <w:rsid w:val="00E76CFC"/>
    <w:rsid w:val="00E80DF8"/>
    <w:rsid w:val="00E80FD9"/>
    <w:rsid w:val="00EA0B82"/>
    <w:rsid w:val="00EA5285"/>
    <w:rsid w:val="00EC33D7"/>
    <w:rsid w:val="00F12EE4"/>
    <w:rsid w:val="00F30C4A"/>
    <w:rsid w:val="00F337B9"/>
    <w:rsid w:val="00F52BB7"/>
    <w:rsid w:val="00F545AE"/>
    <w:rsid w:val="00F546CE"/>
    <w:rsid w:val="00F74BC1"/>
    <w:rsid w:val="00F82B3E"/>
    <w:rsid w:val="00F925D0"/>
    <w:rsid w:val="00FA6F47"/>
    <w:rsid w:val="00FC7D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semiHidden/>
    <w:unhideWhenUsed/>
    <w:qFormat/>
    <w:rsid w:val="00516A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9C52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213BE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B4445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76B50"/>
    <w:pPr>
      <w:ind w:left="720"/>
      <w:contextualSpacing/>
    </w:pPr>
  </w:style>
  <w:style w:type="character" w:styleId="Hyperlink">
    <w:name w:val="Hyperlink"/>
    <w:basedOn w:val="a0"/>
    <w:uiPriority w:val="99"/>
    <w:unhideWhenUsed/>
    <w:rsid w:val="009672FC"/>
    <w:rPr>
      <w:color w:val="0563C1" w:themeColor="hyperlink"/>
      <w:u w:val="single"/>
    </w:rPr>
  </w:style>
  <w:style w:type="character" w:styleId="a6">
    <w:name w:val="Unresolved Mention"/>
    <w:basedOn w:val="a0"/>
    <w:uiPriority w:val="99"/>
    <w:semiHidden/>
    <w:unhideWhenUsed/>
    <w:rsid w:val="009672FC"/>
    <w:rPr>
      <w:color w:val="605E5C"/>
      <w:shd w:val="clear" w:color="auto" w:fill="E1DFDD"/>
    </w:rPr>
  </w:style>
  <w:style w:type="table" w:styleId="1">
    <w:name w:val="Plain Table 1"/>
    <w:basedOn w:val="a1"/>
    <w:uiPriority w:val="41"/>
    <w:rsid w:val="00C216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7">
    <w:name w:val="Table Grid"/>
    <w:basedOn w:val="a1"/>
    <w:uiPriority w:val="39"/>
    <w:rsid w:val="009D7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B1016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3Char">
    <w:name w:val="عنوان 3 Char"/>
    <w:basedOn w:val="a0"/>
    <w:link w:val="3"/>
    <w:uiPriority w:val="9"/>
    <w:semiHidden/>
    <w:rsid w:val="009C527C"/>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semiHidden/>
    <w:rsid w:val="00516AE6"/>
    <w:rPr>
      <w:rFonts w:asciiTheme="majorHAnsi" w:eastAsiaTheme="majorEastAsia" w:hAnsiTheme="majorHAnsi" w:cstheme="majorBidi"/>
      <w:color w:val="2F5496" w:themeColor="accent1" w:themeShade="BF"/>
      <w:sz w:val="26"/>
      <w:szCs w:val="26"/>
    </w:rPr>
  </w:style>
  <w:style w:type="character" w:customStyle="1" w:styleId="4Char">
    <w:name w:val="عنوان 4 Char"/>
    <w:basedOn w:val="a0"/>
    <w:link w:val="4"/>
    <w:uiPriority w:val="9"/>
    <w:semiHidden/>
    <w:rsid w:val="00213BE4"/>
    <w:rPr>
      <w:rFonts w:asciiTheme="majorHAnsi" w:eastAsiaTheme="majorEastAsia" w:hAnsiTheme="majorHAnsi" w:cstheme="majorBidi"/>
      <w:i/>
      <w:iCs/>
      <w:color w:val="2F5496" w:themeColor="accent1" w:themeShade="BF"/>
    </w:rPr>
  </w:style>
  <w:style w:type="table" w:styleId="4-5">
    <w:name w:val="Grid Table 4 Accent 5"/>
    <w:basedOn w:val="a1"/>
    <w:uiPriority w:val="49"/>
    <w:rsid w:val="00F74BC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5Char">
    <w:name w:val="عنوان 5 Char"/>
    <w:basedOn w:val="a0"/>
    <w:link w:val="5"/>
    <w:uiPriority w:val="9"/>
    <w:semiHidden/>
    <w:rsid w:val="00B44450"/>
    <w:rPr>
      <w:rFonts w:asciiTheme="majorHAnsi" w:eastAsiaTheme="majorEastAsia" w:hAnsiTheme="majorHAnsi" w:cstheme="majorBidi"/>
      <w:color w:val="2F5496" w:themeColor="accent1" w:themeShade="BF"/>
    </w:rPr>
  </w:style>
  <w:style w:type="table" w:styleId="4-6">
    <w:name w:val="Grid Table 4 Accent 6"/>
    <w:basedOn w:val="a1"/>
    <w:uiPriority w:val="49"/>
    <w:rsid w:val="00B9209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font-claude-response-body">
    <w:name w:val="font-claude-response-body"/>
    <w:basedOn w:val="a"/>
    <w:rsid w:val="00956AE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956AE0"/>
    <w:rPr>
      <w:b/>
      <w:bCs/>
    </w:rPr>
  </w:style>
  <w:style w:type="character" w:styleId="a9">
    <w:name w:val="Emphasis"/>
    <w:basedOn w:val="a0"/>
    <w:uiPriority w:val="20"/>
    <w:qFormat/>
    <w:rsid w:val="00956AE0"/>
    <w:rPr>
      <w:i/>
      <w:iCs/>
    </w:rPr>
  </w:style>
  <w:style w:type="table" w:styleId="4-4">
    <w:name w:val="Grid Table 4 Accent 4"/>
    <w:basedOn w:val="a1"/>
    <w:uiPriority w:val="49"/>
    <w:rsid w:val="00002B2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ajsp.com/index.php/home/article/view/40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cm.gov.sa" TargetMode="External"/><Relationship Id="rId17" Type="http://schemas.openxmlformats.org/officeDocument/2006/relationships/hyperlink" Target="https://doi.org/10.3390/atmos15060689" TargetMode="External"/><Relationship Id="rId2" Type="http://schemas.openxmlformats.org/officeDocument/2006/relationships/numbering" Target="numbering.xml"/><Relationship Id="rId16" Type="http://schemas.openxmlformats.org/officeDocument/2006/relationships/hyperlink" Target="https://ori.hhs.gov/ori-introduction-responsible-conduct-resear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ekb.eg" TargetMode="External"/><Relationship Id="rId5" Type="http://schemas.openxmlformats.org/officeDocument/2006/relationships/webSettings" Target="webSettings.xml"/><Relationship Id="rId15" Type="http://schemas.openxmlformats.org/officeDocument/2006/relationships/hyperlink" Target="https://www.niehs.nih.gov/research/resources/bioethics/whatis" TargetMode="External"/><Relationship Id="rId10" Type="http://schemas.openxmlformats.org/officeDocument/2006/relationships/hyperlink" Target="https://www.asjp.cerist.dz"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ournals.ekb.eg/article_268544.html" TargetMode="External"/><Relationship Id="rId14" Type="http://schemas.openxmlformats.org/officeDocument/2006/relationships/hyperlink" Target="https://doi.org/10.1037/0000165-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7711D-A847-4088-B05F-4C1CA8C39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9</Pages>
  <Words>2711</Words>
  <Characters>15453</Characters>
  <Application>Microsoft Office Word</Application>
  <DocSecurity>0</DocSecurity>
  <Lines>128</Lines>
  <Paragraphs>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3</cp:revision>
  <cp:lastPrinted>2026-06-09T04:36:00Z</cp:lastPrinted>
  <dcterms:created xsi:type="dcterms:W3CDTF">2026-06-09T23:53:00Z</dcterms:created>
  <dcterms:modified xsi:type="dcterms:W3CDTF">2026-06-09T23:55:00Z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