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16C3E86A" w14:textId="77777777" w:rsidR="00952CC8" w:rsidRDefault="00952CC8" w:rsidP="003D7155">
      <w:pPr>
        <w:spacing w:line="360" w:lineRule="auto"/>
        <w:jc w:val="center"/>
        <w:rPr>
          <w:rFonts w:ascii="Times New Roman" w:eastAsiaTheme="majorEastAsia" w:hAnsi="Times New Roman" w:cs="Times New Roman"/>
          <w:b/>
          <w:bCs/>
          <w:color w:val="000000" w:themeColor="text1"/>
          <w:sz w:val="28"/>
          <w:szCs w:val="28"/>
        </w:rPr>
      </w:pP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3D7155">
        <w:rPr>
          <w:rFonts w:ascii="Times New Roman" w:eastAsiaTheme="majorEastAsia" w:hAnsi="Times New Roman" w:cs="Times New Roman"/>
          <w:b/>
          <w:bCs/>
          <w:color w:val="000000" w:themeColor="text1"/>
          <w:sz w:val="28"/>
          <w:szCs w:val="28"/>
        </w:rPr>
        <w:t xml:space="preserve"> </w:t>
      </w:r>
    </w:p>
    <w:p w14:paraId="6CB15EAE" w14:textId="77777777" w:rsidR="00952CC8" w:rsidRPr="00062AB5" w:rsidRDefault="00952CC8" w:rsidP="00952CC8">
      <w:pPr>
        <w:spacing w:after="0" w:line="360" w:lineRule="auto"/>
        <w:jc w:val="center"/>
        <w:rPr>
          <w:rFonts w:ascii="Traditional Arabic" w:hAnsi="Traditional Arabic" w:cs="Traditional Arabic"/>
          <w:b/>
          <w:bCs/>
          <w:sz w:val="2"/>
          <w:szCs w:val="2"/>
          <w:rtl/>
        </w:rPr>
      </w:pPr>
    </w:p>
    <w:p w14:paraId="6B8A33DE" w14:textId="77777777" w:rsidR="00952CC8" w:rsidRPr="00062AB5" w:rsidRDefault="00952CC8" w:rsidP="00952CC8">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5D2EB9EC" w14:textId="77777777" w:rsidR="003D7155" w:rsidRPr="00952CC8" w:rsidRDefault="003D7155" w:rsidP="003D7155">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588AC37E" w:rsidR="003D7155" w:rsidRDefault="00BB31E9" w:rsidP="005D661A">
      <w:pPr>
        <w:spacing w:before="240" w:after="0" w:line="360" w:lineRule="auto"/>
        <w:rPr>
          <w:rFonts w:ascii="Traditional Arabic" w:hAnsi="Traditional Arabic" w:cs="Traditional Arabic"/>
          <w:b/>
          <w:bCs/>
          <w:sz w:val="32"/>
          <w:szCs w:val="32"/>
          <w:rtl/>
        </w:rPr>
      </w:pPr>
      <w:r>
        <w:rPr>
          <w:rFonts w:ascii="Sakkal Majalla" w:eastAsiaTheme="majorEastAsia" w:hAnsi="Sakkal Majalla" w:cs="Sakkal Majalla"/>
          <w:color w:val="000000" w:themeColor="text1"/>
          <w:kern w:val="0"/>
          <w:sz w:val="36"/>
          <w:szCs w:val="36"/>
          <w:rtl/>
          <w14:ligatures w14:val="none"/>
        </w:rPr>
        <w:t>اسم الباحث</w:t>
      </w:r>
      <w:r>
        <w:rPr>
          <w:rFonts w:ascii="Sakkal Majalla" w:eastAsiaTheme="majorEastAsia" w:hAnsi="Sakkal Majalla" w:cs="Sakkal Majalla" w:hint="cs"/>
          <w:color w:val="000000" w:themeColor="text1"/>
          <w:kern w:val="0"/>
          <w:sz w:val="36"/>
          <w:szCs w:val="36"/>
          <w:rtl/>
          <w14:ligatures w14:val="none"/>
        </w:rPr>
        <w:t xml:space="preserve">: </w:t>
      </w:r>
      <w:bookmarkStart w:id="0" w:name="_GoBack"/>
      <w:bookmarkEnd w:id="0"/>
      <w:r w:rsidR="003D7155" w:rsidRPr="003D7155">
        <w:rPr>
          <w:rFonts w:ascii="Sakkal Majalla" w:eastAsiaTheme="majorEastAsia" w:hAnsi="Sakkal Majalla" w:cs="Sakkal Majalla"/>
          <w:b/>
          <w:bCs/>
          <w:color w:val="000000" w:themeColor="text1"/>
          <w:kern w:val="0"/>
          <w:sz w:val="36"/>
          <w:szCs w:val="36"/>
          <w14:ligatures w14:val="none"/>
        </w:rPr>
        <w:t xml:space="preserve"> </w:t>
      </w:r>
      <w:r w:rsidR="00952CC8" w:rsidRPr="00A000CB">
        <w:rPr>
          <w:rFonts w:ascii="Traditional Arabic" w:hAnsi="Traditional Arabic" w:cs="Traditional Arabic" w:hint="cs"/>
          <w:b/>
          <w:bCs/>
          <w:sz w:val="32"/>
          <w:szCs w:val="32"/>
          <w:rtl/>
        </w:rPr>
        <w:t>سالم عبدالله محمد اليامي</w:t>
      </w:r>
      <w:r w:rsidR="003D7155" w:rsidRPr="003D7155">
        <w:rPr>
          <w:rFonts w:ascii="Sakkal Majalla" w:eastAsiaTheme="majorEastAsia" w:hAnsi="Sakkal Majalla" w:cs="Sakkal Majalla"/>
          <w:b/>
          <w:bCs/>
          <w:color w:val="000000" w:themeColor="text1"/>
          <w:kern w:val="0"/>
          <w:sz w:val="36"/>
          <w:szCs w:val="36"/>
          <w14:ligatures w14:val="none"/>
        </w:rPr>
        <w:br/>
      </w:r>
      <w:r w:rsidR="003D7155" w:rsidRPr="003D7155">
        <w:rPr>
          <w:rFonts w:ascii="Sakkal Majalla" w:eastAsiaTheme="majorEastAsia" w:hAnsi="Sakkal Majalla" w:cs="Sakkal Majalla"/>
          <w:b/>
          <w:bCs/>
          <w:color w:val="000000" w:themeColor="text1"/>
          <w:kern w:val="0"/>
          <w:sz w:val="36"/>
          <w:szCs w:val="36"/>
          <w14:ligatures w14:val="none"/>
        </w:rPr>
        <w:br/>
      </w:r>
      <w:r w:rsidR="003D7155" w:rsidRPr="003D7155">
        <w:rPr>
          <w:rFonts w:ascii="Sakkal Majalla" w:eastAsiaTheme="majorEastAsia" w:hAnsi="Sakkal Majalla" w:cs="Sakkal Majalla"/>
          <w:color w:val="000000" w:themeColor="text1"/>
          <w:kern w:val="0"/>
          <w:sz w:val="36"/>
          <w:szCs w:val="36"/>
          <w:rtl/>
          <w14:ligatures w14:val="none"/>
        </w:rPr>
        <w:t>المراجع</w:t>
      </w:r>
      <w:r w:rsidR="003D7155" w:rsidRPr="003D7155">
        <w:rPr>
          <w:rFonts w:ascii="Sakkal Majalla" w:eastAsiaTheme="majorEastAsia" w:hAnsi="Sakkal Majalla" w:cs="Sakkal Majalla"/>
          <w:color w:val="000000" w:themeColor="text1"/>
          <w:kern w:val="0"/>
          <w:sz w:val="36"/>
          <w:szCs w:val="36"/>
          <w14:ligatures w14:val="none"/>
        </w:rPr>
        <w:t>:</w:t>
      </w:r>
      <w:r w:rsidR="003D7155" w:rsidRPr="003D7155">
        <w:rPr>
          <w:rFonts w:ascii="Sakkal Majalla" w:eastAsiaTheme="majorEastAsia" w:hAnsi="Sakkal Majalla" w:cs="Sakkal Majalla"/>
          <w:b/>
          <w:bCs/>
          <w:color w:val="000000" w:themeColor="text1"/>
          <w:kern w:val="0"/>
          <w:sz w:val="36"/>
          <w:szCs w:val="36"/>
          <w14:ligatures w14:val="none"/>
        </w:rPr>
        <w:t xml:space="preserve"> </w:t>
      </w:r>
      <w:r w:rsidR="005D661A">
        <w:rPr>
          <w:rFonts w:ascii="Sakkal Majalla" w:eastAsiaTheme="majorEastAsia" w:hAnsi="Sakkal Majalla" w:cs="Sakkal Majalla" w:hint="cs"/>
          <w:b/>
          <w:bCs/>
          <w:color w:val="000000" w:themeColor="text1"/>
          <w:kern w:val="0"/>
          <w:sz w:val="36"/>
          <w:szCs w:val="36"/>
          <w:rtl/>
          <w14:ligatures w14:val="none"/>
        </w:rPr>
        <w:t xml:space="preserve"> </w:t>
      </w:r>
      <w:r w:rsidR="003D7155"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0DD3EEEB" w:rsidR="003D7155" w:rsidRDefault="003D7155"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013A335D" w14:textId="58182456"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lang w:bidi="ar-EG"/>
          <w14:ligatures w14:val="none"/>
        </w:rPr>
        <w:t>ب</w:t>
      </w:r>
      <w:r w:rsidRPr="005D661A">
        <w:rPr>
          <w:rFonts w:ascii="Times New Roman" w:eastAsia="Times New Roman" w:hAnsi="Times New Roman" w:cs="Times New Roman"/>
          <w:kern w:val="0"/>
          <w:sz w:val="24"/>
          <w:szCs w:val="24"/>
          <w:rtl/>
          <w14:ligatures w14:val="none"/>
        </w:rPr>
        <w:t xml:space="preserve">دايةً، يتضح أن الباحث بذل جهدًا واضحًا في جمع المادة العلمية المرتبطة بموضوع الدراسة، خاصة في مجال ممارسات إدارة الموارد البشرية الخضراء وعلاقتها بجودة الخدمات الصحية. </w:t>
      </w:r>
    </w:p>
    <w:p w14:paraId="30D126BE"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b/>
          <w:bCs/>
          <w:kern w:val="0"/>
          <w:sz w:val="24"/>
          <w:szCs w:val="24"/>
          <w14:ligatures w14:val="none"/>
        </w:rPr>
        <w:t xml:space="preserve">1- </w:t>
      </w:r>
      <w:r w:rsidRPr="005D661A">
        <w:rPr>
          <w:rFonts w:ascii="Times New Roman" w:eastAsia="Times New Roman" w:hAnsi="Times New Roman" w:cs="Times New Roman"/>
          <w:b/>
          <w:bCs/>
          <w:kern w:val="0"/>
          <w:sz w:val="24"/>
          <w:szCs w:val="24"/>
          <w:rtl/>
          <w14:ligatures w14:val="none"/>
        </w:rPr>
        <w:t>الإطار النظري</w:t>
      </w:r>
    </w:p>
    <w:p w14:paraId="62C80417" w14:textId="2011E129"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الجزء الخاص بالإطار النظري يعرض المفاهيم الأساسية المرتبطة بإدارة الموارد البشرية وإدارة المو</w:t>
      </w:r>
      <w:r>
        <w:rPr>
          <w:rFonts w:ascii="Times New Roman" w:eastAsia="Times New Roman" w:hAnsi="Times New Roman" w:cs="Times New Roman"/>
          <w:kern w:val="0"/>
          <w:sz w:val="24"/>
          <w:szCs w:val="24"/>
          <w:rtl/>
          <w14:ligatures w14:val="none"/>
        </w:rPr>
        <w:t>ارد البشرية الخضراء بصورة واضحة</w:t>
      </w:r>
      <w:r w:rsidRPr="005D661A">
        <w:rPr>
          <w:rFonts w:ascii="Times New Roman" w:eastAsia="Times New Roman" w:hAnsi="Times New Roman" w:cs="Times New Roman"/>
          <w:kern w:val="0"/>
          <w:sz w:val="24"/>
          <w:szCs w:val="24"/>
          <w14:ligatures w14:val="none"/>
        </w:rPr>
        <w:t>.</w:t>
      </w:r>
    </w:p>
    <w:p w14:paraId="2E51CD1F"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 xml:space="preserve">ومع ذلك، وعلى مستوى أطروحات الدكتوراه، لا يقتصر المطلوب على عرض المفاهيم والنظريات، بل يتجاوز ذلك إلى </w:t>
      </w:r>
      <w:r w:rsidRPr="005D661A">
        <w:rPr>
          <w:rFonts w:ascii="Times New Roman" w:eastAsia="Times New Roman" w:hAnsi="Times New Roman" w:cs="Times New Roman"/>
          <w:b/>
          <w:bCs/>
          <w:kern w:val="0"/>
          <w:sz w:val="24"/>
          <w:szCs w:val="24"/>
          <w:rtl/>
          <w14:ligatures w14:val="none"/>
        </w:rPr>
        <w:t>مناقشتها وتحليلها بصورة أعمق</w:t>
      </w:r>
      <w:r w:rsidRPr="005D661A">
        <w:rPr>
          <w:rFonts w:ascii="Times New Roman" w:eastAsia="Times New Roman" w:hAnsi="Times New Roman" w:cs="Times New Roman"/>
          <w:kern w:val="0"/>
          <w:sz w:val="24"/>
          <w:szCs w:val="24"/>
          <w14:ligatures w14:val="none"/>
        </w:rPr>
        <w:t xml:space="preserve">. </w:t>
      </w:r>
      <w:r w:rsidRPr="005D661A">
        <w:rPr>
          <w:rFonts w:ascii="Times New Roman" w:eastAsia="Times New Roman" w:hAnsi="Times New Roman" w:cs="Times New Roman"/>
          <w:kern w:val="0"/>
          <w:sz w:val="24"/>
          <w:szCs w:val="24"/>
          <w:rtl/>
          <w14:ligatures w14:val="none"/>
        </w:rPr>
        <w:t xml:space="preserve">في بعض المواضع جاء العرض أقرب إلى </w:t>
      </w:r>
      <w:r w:rsidRPr="005D661A">
        <w:rPr>
          <w:rFonts w:ascii="Times New Roman" w:eastAsia="Times New Roman" w:hAnsi="Times New Roman" w:cs="Times New Roman"/>
          <w:b/>
          <w:bCs/>
          <w:kern w:val="0"/>
          <w:sz w:val="24"/>
          <w:szCs w:val="24"/>
          <w:rtl/>
          <w14:ligatures w14:val="none"/>
        </w:rPr>
        <w:t>التجميع أو التلخيص للأدبيات</w:t>
      </w:r>
      <w:r w:rsidRPr="005D661A">
        <w:rPr>
          <w:rFonts w:ascii="Times New Roman" w:eastAsia="Times New Roman" w:hAnsi="Times New Roman" w:cs="Times New Roman"/>
          <w:kern w:val="0"/>
          <w:sz w:val="24"/>
          <w:szCs w:val="24"/>
          <w:rtl/>
          <w14:ligatures w14:val="none"/>
        </w:rPr>
        <w:t xml:space="preserve"> دون الدخول في تحليل نقدي كافٍ لها. وكان من الممكن تعزيز هذا الجزء من خلال</w:t>
      </w:r>
      <w:r w:rsidRPr="005D661A">
        <w:rPr>
          <w:rFonts w:ascii="Times New Roman" w:eastAsia="Times New Roman" w:hAnsi="Times New Roman" w:cs="Times New Roman"/>
          <w:kern w:val="0"/>
          <w:sz w:val="24"/>
          <w:szCs w:val="24"/>
          <w14:ligatures w14:val="none"/>
        </w:rPr>
        <w:t>:</w:t>
      </w:r>
    </w:p>
    <w:p w14:paraId="1336E97E"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14:ligatures w14:val="none"/>
        </w:rPr>
        <w:t xml:space="preserve">• </w:t>
      </w:r>
      <w:r w:rsidRPr="005D661A">
        <w:rPr>
          <w:rFonts w:ascii="Times New Roman" w:eastAsia="Times New Roman" w:hAnsi="Times New Roman" w:cs="Times New Roman"/>
          <w:kern w:val="0"/>
          <w:sz w:val="24"/>
          <w:szCs w:val="24"/>
          <w:rtl/>
          <w14:ligatures w14:val="none"/>
        </w:rPr>
        <w:t>إجراء مقارنة بين المدارس أو الاتجاهات النظرية المختلفة في إدارة الموارد البشرية الخضراء</w:t>
      </w:r>
      <w:r w:rsidRPr="005D661A">
        <w:rPr>
          <w:rFonts w:ascii="Times New Roman" w:eastAsia="Times New Roman" w:hAnsi="Times New Roman" w:cs="Times New Roman"/>
          <w:kern w:val="0"/>
          <w:sz w:val="24"/>
          <w:szCs w:val="24"/>
          <w14:ligatures w14:val="none"/>
        </w:rPr>
        <w:t>.</w:t>
      </w:r>
      <w:r w:rsidRPr="005D661A">
        <w:rPr>
          <w:rFonts w:ascii="Times New Roman" w:eastAsia="Times New Roman" w:hAnsi="Times New Roman" w:cs="Times New Roman"/>
          <w:kern w:val="0"/>
          <w:sz w:val="24"/>
          <w:szCs w:val="24"/>
          <w14:ligatures w14:val="none"/>
        </w:rPr>
        <w:br/>
        <w:t xml:space="preserve">• </w:t>
      </w:r>
      <w:r w:rsidRPr="005D661A">
        <w:rPr>
          <w:rFonts w:ascii="Times New Roman" w:eastAsia="Times New Roman" w:hAnsi="Times New Roman" w:cs="Times New Roman"/>
          <w:kern w:val="0"/>
          <w:sz w:val="24"/>
          <w:szCs w:val="24"/>
          <w:rtl/>
          <w14:ligatures w14:val="none"/>
        </w:rPr>
        <w:t>توضيح موقف الباحث من هذه الاتجاهات وتحديد المنظور النظري الذي تتبناه الدراسة بشكل صريح</w:t>
      </w:r>
      <w:r w:rsidRPr="005D661A">
        <w:rPr>
          <w:rFonts w:ascii="Times New Roman" w:eastAsia="Times New Roman" w:hAnsi="Times New Roman" w:cs="Times New Roman"/>
          <w:kern w:val="0"/>
          <w:sz w:val="24"/>
          <w:szCs w:val="24"/>
          <w14:ligatures w14:val="none"/>
        </w:rPr>
        <w:t>.</w:t>
      </w:r>
      <w:r w:rsidRPr="005D661A">
        <w:rPr>
          <w:rFonts w:ascii="Times New Roman" w:eastAsia="Times New Roman" w:hAnsi="Times New Roman" w:cs="Times New Roman"/>
          <w:kern w:val="0"/>
          <w:sz w:val="24"/>
          <w:szCs w:val="24"/>
          <w14:ligatures w14:val="none"/>
        </w:rPr>
        <w:br/>
        <w:t xml:space="preserve">• </w:t>
      </w:r>
      <w:r w:rsidRPr="005D661A">
        <w:rPr>
          <w:rFonts w:ascii="Times New Roman" w:eastAsia="Times New Roman" w:hAnsi="Times New Roman" w:cs="Times New Roman"/>
          <w:kern w:val="0"/>
          <w:sz w:val="24"/>
          <w:szCs w:val="24"/>
          <w:rtl/>
          <w14:ligatures w14:val="none"/>
        </w:rPr>
        <w:t>إبراز العلاقة بشكل أوضح بين المفاهيم النظرية ومتغيرات الدراسة الأساسية، خاصة العلاقة بين ممارسات إدارة الموارد البشرية الخضراء وجودة الخدمات الصحية</w:t>
      </w:r>
      <w:r w:rsidRPr="005D661A">
        <w:rPr>
          <w:rFonts w:ascii="Times New Roman" w:eastAsia="Times New Roman" w:hAnsi="Times New Roman" w:cs="Times New Roman"/>
          <w:kern w:val="0"/>
          <w:sz w:val="24"/>
          <w:szCs w:val="24"/>
          <w14:ligatures w14:val="none"/>
        </w:rPr>
        <w:t>.</w:t>
      </w:r>
    </w:p>
    <w:p w14:paraId="3CA84856"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 xml:space="preserve">كما يُفضل تعزيز الربط بين ما تم تناوله في هذا الفصل وبين </w:t>
      </w:r>
      <w:r w:rsidRPr="005D661A">
        <w:rPr>
          <w:rFonts w:ascii="Times New Roman" w:eastAsia="Times New Roman" w:hAnsi="Times New Roman" w:cs="Times New Roman"/>
          <w:b/>
          <w:bCs/>
          <w:kern w:val="0"/>
          <w:sz w:val="24"/>
          <w:szCs w:val="24"/>
          <w:rtl/>
          <w14:ligatures w14:val="none"/>
        </w:rPr>
        <w:t>نموذج الدراسة والمتغيرات البحثية</w:t>
      </w:r>
      <w:r w:rsidRPr="005D661A">
        <w:rPr>
          <w:rFonts w:ascii="Times New Roman" w:eastAsia="Times New Roman" w:hAnsi="Times New Roman" w:cs="Times New Roman"/>
          <w:kern w:val="0"/>
          <w:sz w:val="24"/>
          <w:szCs w:val="24"/>
          <w:rtl/>
          <w14:ligatures w14:val="none"/>
        </w:rPr>
        <w:t xml:space="preserve"> التي تم طرحها في الفصل الأول، بحيث يشعر القارئ بأن الإطار النظري يقود بشكل منطقي إلى بناء الفرضيات أو نموذج الدراسة</w:t>
      </w:r>
      <w:r w:rsidRPr="005D661A">
        <w:rPr>
          <w:rFonts w:ascii="Times New Roman" w:eastAsia="Times New Roman" w:hAnsi="Times New Roman" w:cs="Times New Roman"/>
          <w:kern w:val="0"/>
          <w:sz w:val="24"/>
          <w:szCs w:val="24"/>
          <w14:ligatures w14:val="none"/>
        </w:rPr>
        <w:t>.</w:t>
      </w:r>
    </w:p>
    <w:p w14:paraId="1EEBE29C"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b/>
          <w:bCs/>
          <w:kern w:val="0"/>
          <w:sz w:val="24"/>
          <w:szCs w:val="24"/>
          <w14:ligatures w14:val="none"/>
        </w:rPr>
        <w:t xml:space="preserve">2- </w:t>
      </w:r>
      <w:r w:rsidRPr="005D661A">
        <w:rPr>
          <w:rFonts w:ascii="Times New Roman" w:eastAsia="Times New Roman" w:hAnsi="Times New Roman" w:cs="Times New Roman"/>
          <w:b/>
          <w:bCs/>
          <w:kern w:val="0"/>
          <w:sz w:val="24"/>
          <w:szCs w:val="24"/>
          <w:rtl/>
          <w14:ligatures w14:val="none"/>
        </w:rPr>
        <w:t>الدراسات السابقة</w:t>
      </w:r>
    </w:p>
    <w:p w14:paraId="5A614C91" w14:textId="68F7A74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 xml:space="preserve">يُلاحظ أن الباحث استعرض عددًا جيدًا من الدراسات السابقة المرتبطة بموضوع الدراسة، سواء العربية أو الأجنبية، وهو ما يدل على اطلاع واسع نسبيًا على الأدبيات العلمية في المجال. </w:t>
      </w:r>
    </w:p>
    <w:p w14:paraId="61C344F8"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 xml:space="preserve">لكن طريقة العرض جاءت غالبًا في شكل </w:t>
      </w:r>
      <w:r w:rsidRPr="005D661A">
        <w:rPr>
          <w:rFonts w:ascii="Times New Roman" w:eastAsia="Times New Roman" w:hAnsi="Times New Roman" w:cs="Times New Roman"/>
          <w:b/>
          <w:bCs/>
          <w:kern w:val="0"/>
          <w:sz w:val="24"/>
          <w:szCs w:val="24"/>
          <w:rtl/>
          <w14:ligatures w14:val="none"/>
        </w:rPr>
        <w:t>تتابعي (دراسة بعد أخرى)</w:t>
      </w:r>
      <w:r w:rsidRPr="005D661A">
        <w:rPr>
          <w:rFonts w:ascii="Times New Roman" w:eastAsia="Times New Roman" w:hAnsi="Times New Roman" w:cs="Times New Roman"/>
          <w:kern w:val="0"/>
          <w:sz w:val="24"/>
          <w:szCs w:val="24"/>
          <w:rtl/>
          <w14:ligatures w14:val="none"/>
        </w:rPr>
        <w:t xml:space="preserve">، وهو أسلوب شائع لكنه يجعل الفصل أقرب إلى السرد الوصفي. وكان من الأفضل تنظيم الدراسات في </w:t>
      </w:r>
      <w:r w:rsidRPr="005D661A">
        <w:rPr>
          <w:rFonts w:ascii="Times New Roman" w:eastAsia="Times New Roman" w:hAnsi="Times New Roman" w:cs="Times New Roman"/>
          <w:b/>
          <w:bCs/>
          <w:kern w:val="0"/>
          <w:sz w:val="24"/>
          <w:szCs w:val="24"/>
          <w:rtl/>
          <w14:ligatures w14:val="none"/>
        </w:rPr>
        <w:t>محاور أو موضوعات رئيسية</w:t>
      </w:r>
      <w:r w:rsidRPr="005D661A">
        <w:rPr>
          <w:rFonts w:ascii="Times New Roman" w:eastAsia="Times New Roman" w:hAnsi="Times New Roman" w:cs="Times New Roman"/>
          <w:kern w:val="0"/>
          <w:sz w:val="24"/>
          <w:szCs w:val="24"/>
          <w:rtl/>
          <w14:ligatures w14:val="none"/>
        </w:rPr>
        <w:t xml:space="preserve"> مثل</w:t>
      </w:r>
      <w:r w:rsidRPr="005D661A">
        <w:rPr>
          <w:rFonts w:ascii="Times New Roman" w:eastAsia="Times New Roman" w:hAnsi="Times New Roman" w:cs="Times New Roman"/>
          <w:kern w:val="0"/>
          <w:sz w:val="24"/>
          <w:szCs w:val="24"/>
          <w14:ligatures w14:val="none"/>
        </w:rPr>
        <w:t>:</w:t>
      </w:r>
    </w:p>
    <w:p w14:paraId="1B39C652"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14:ligatures w14:val="none"/>
        </w:rPr>
        <w:t xml:space="preserve">• </w:t>
      </w:r>
      <w:r w:rsidRPr="005D661A">
        <w:rPr>
          <w:rFonts w:ascii="Times New Roman" w:eastAsia="Times New Roman" w:hAnsi="Times New Roman" w:cs="Times New Roman"/>
          <w:kern w:val="0"/>
          <w:sz w:val="24"/>
          <w:szCs w:val="24"/>
          <w:rtl/>
          <w14:ligatures w14:val="none"/>
        </w:rPr>
        <w:t>دراسات تناولت ممارسات إدارة الموارد البشرية الخضراء</w:t>
      </w:r>
      <w:r w:rsidRPr="005D661A">
        <w:rPr>
          <w:rFonts w:ascii="Times New Roman" w:eastAsia="Times New Roman" w:hAnsi="Times New Roman" w:cs="Times New Roman"/>
          <w:kern w:val="0"/>
          <w:sz w:val="24"/>
          <w:szCs w:val="24"/>
          <w14:ligatures w14:val="none"/>
        </w:rPr>
        <w:t>.</w:t>
      </w:r>
      <w:r w:rsidRPr="005D661A">
        <w:rPr>
          <w:rFonts w:ascii="Times New Roman" w:eastAsia="Times New Roman" w:hAnsi="Times New Roman" w:cs="Times New Roman"/>
          <w:kern w:val="0"/>
          <w:sz w:val="24"/>
          <w:szCs w:val="24"/>
          <w14:ligatures w14:val="none"/>
        </w:rPr>
        <w:br/>
        <w:t xml:space="preserve">• </w:t>
      </w:r>
      <w:r w:rsidRPr="005D661A">
        <w:rPr>
          <w:rFonts w:ascii="Times New Roman" w:eastAsia="Times New Roman" w:hAnsi="Times New Roman" w:cs="Times New Roman"/>
          <w:kern w:val="0"/>
          <w:sz w:val="24"/>
          <w:szCs w:val="24"/>
          <w:rtl/>
          <w14:ligatures w14:val="none"/>
        </w:rPr>
        <w:t>دراسات تناولت جودة الخدمات الصحية</w:t>
      </w:r>
      <w:r w:rsidRPr="005D661A">
        <w:rPr>
          <w:rFonts w:ascii="Times New Roman" w:eastAsia="Times New Roman" w:hAnsi="Times New Roman" w:cs="Times New Roman"/>
          <w:kern w:val="0"/>
          <w:sz w:val="24"/>
          <w:szCs w:val="24"/>
          <w14:ligatures w14:val="none"/>
        </w:rPr>
        <w:t>.</w:t>
      </w:r>
      <w:r w:rsidRPr="005D661A">
        <w:rPr>
          <w:rFonts w:ascii="Times New Roman" w:eastAsia="Times New Roman" w:hAnsi="Times New Roman" w:cs="Times New Roman"/>
          <w:kern w:val="0"/>
          <w:sz w:val="24"/>
          <w:szCs w:val="24"/>
          <w14:ligatures w14:val="none"/>
        </w:rPr>
        <w:br/>
        <w:t xml:space="preserve">• </w:t>
      </w:r>
      <w:r w:rsidRPr="005D661A">
        <w:rPr>
          <w:rFonts w:ascii="Times New Roman" w:eastAsia="Times New Roman" w:hAnsi="Times New Roman" w:cs="Times New Roman"/>
          <w:kern w:val="0"/>
          <w:sz w:val="24"/>
          <w:szCs w:val="24"/>
          <w:rtl/>
          <w14:ligatures w14:val="none"/>
        </w:rPr>
        <w:t>دراسات بحثت العلاقة بين الممارسات الخضراء والأداء أو جودة الخدمات</w:t>
      </w:r>
      <w:r w:rsidRPr="005D661A">
        <w:rPr>
          <w:rFonts w:ascii="Times New Roman" w:eastAsia="Times New Roman" w:hAnsi="Times New Roman" w:cs="Times New Roman"/>
          <w:kern w:val="0"/>
          <w:sz w:val="24"/>
          <w:szCs w:val="24"/>
          <w14:ligatures w14:val="none"/>
        </w:rPr>
        <w:t>.</w:t>
      </w:r>
    </w:p>
    <w:p w14:paraId="127A04AB"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 xml:space="preserve">هذا التنظيم كان سيساعد على إبراز </w:t>
      </w:r>
      <w:r w:rsidRPr="005D661A">
        <w:rPr>
          <w:rFonts w:ascii="Times New Roman" w:eastAsia="Times New Roman" w:hAnsi="Times New Roman" w:cs="Times New Roman"/>
          <w:b/>
          <w:bCs/>
          <w:kern w:val="0"/>
          <w:sz w:val="24"/>
          <w:szCs w:val="24"/>
          <w:rtl/>
          <w14:ligatures w14:val="none"/>
        </w:rPr>
        <w:t>الصورة الكلية للأدبيات</w:t>
      </w:r>
      <w:r w:rsidRPr="005D661A">
        <w:rPr>
          <w:rFonts w:ascii="Times New Roman" w:eastAsia="Times New Roman" w:hAnsi="Times New Roman" w:cs="Times New Roman"/>
          <w:kern w:val="0"/>
          <w:sz w:val="24"/>
          <w:szCs w:val="24"/>
          <w:rtl/>
          <w14:ligatures w14:val="none"/>
        </w:rPr>
        <w:t xml:space="preserve"> بدلًا من الاكتفاء بعرض نتائج منفصلة لكل دراسة</w:t>
      </w:r>
      <w:r w:rsidRPr="005D661A">
        <w:rPr>
          <w:rFonts w:ascii="Times New Roman" w:eastAsia="Times New Roman" w:hAnsi="Times New Roman" w:cs="Times New Roman"/>
          <w:kern w:val="0"/>
          <w:sz w:val="24"/>
          <w:szCs w:val="24"/>
          <w14:ligatures w14:val="none"/>
        </w:rPr>
        <w:t>.</w:t>
      </w:r>
    </w:p>
    <w:p w14:paraId="6E11D588" w14:textId="107D406D"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من الممكن تعميق التحليل من خلال</w:t>
      </w:r>
      <w:r w:rsidRPr="005D661A">
        <w:rPr>
          <w:rFonts w:ascii="Times New Roman" w:eastAsia="Times New Roman" w:hAnsi="Times New Roman" w:cs="Times New Roman"/>
          <w:kern w:val="0"/>
          <w:sz w:val="24"/>
          <w:szCs w:val="24"/>
          <w14:ligatures w14:val="none"/>
        </w:rPr>
        <w:t>:</w:t>
      </w:r>
    </w:p>
    <w:p w14:paraId="3D39B233"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14:ligatures w14:val="none"/>
        </w:rPr>
        <w:t xml:space="preserve">• </w:t>
      </w:r>
      <w:r w:rsidRPr="005D661A">
        <w:rPr>
          <w:rFonts w:ascii="Times New Roman" w:eastAsia="Times New Roman" w:hAnsi="Times New Roman" w:cs="Times New Roman"/>
          <w:kern w:val="0"/>
          <w:sz w:val="24"/>
          <w:szCs w:val="24"/>
          <w:rtl/>
          <w14:ligatures w14:val="none"/>
        </w:rPr>
        <w:t>المقارنة بين نتائج الدراسات المختلفة</w:t>
      </w:r>
      <w:r w:rsidRPr="005D661A">
        <w:rPr>
          <w:rFonts w:ascii="Times New Roman" w:eastAsia="Times New Roman" w:hAnsi="Times New Roman" w:cs="Times New Roman"/>
          <w:kern w:val="0"/>
          <w:sz w:val="24"/>
          <w:szCs w:val="24"/>
          <w14:ligatures w14:val="none"/>
        </w:rPr>
        <w:t>.</w:t>
      </w:r>
      <w:r w:rsidRPr="005D661A">
        <w:rPr>
          <w:rFonts w:ascii="Times New Roman" w:eastAsia="Times New Roman" w:hAnsi="Times New Roman" w:cs="Times New Roman"/>
          <w:kern w:val="0"/>
          <w:sz w:val="24"/>
          <w:szCs w:val="24"/>
          <w14:ligatures w14:val="none"/>
        </w:rPr>
        <w:br/>
        <w:t xml:space="preserve">• </w:t>
      </w:r>
      <w:r w:rsidRPr="005D661A">
        <w:rPr>
          <w:rFonts w:ascii="Times New Roman" w:eastAsia="Times New Roman" w:hAnsi="Times New Roman" w:cs="Times New Roman"/>
          <w:kern w:val="0"/>
          <w:sz w:val="24"/>
          <w:szCs w:val="24"/>
          <w:rtl/>
          <w14:ligatures w14:val="none"/>
        </w:rPr>
        <w:t>إبراز نقاط الاتفاق والاختلاف بينها</w:t>
      </w:r>
      <w:r w:rsidRPr="005D661A">
        <w:rPr>
          <w:rFonts w:ascii="Times New Roman" w:eastAsia="Times New Roman" w:hAnsi="Times New Roman" w:cs="Times New Roman"/>
          <w:kern w:val="0"/>
          <w:sz w:val="24"/>
          <w:szCs w:val="24"/>
          <w14:ligatures w14:val="none"/>
        </w:rPr>
        <w:t>.</w:t>
      </w:r>
      <w:r w:rsidRPr="005D661A">
        <w:rPr>
          <w:rFonts w:ascii="Times New Roman" w:eastAsia="Times New Roman" w:hAnsi="Times New Roman" w:cs="Times New Roman"/>
          <w:kern w:val="0"/>
          <w:sz w:val="24"/>
          <w:szCs w:val="24"/>
          <w14:ligatures w14:val="none"/>
        </w:rPr>
        <w:br/>
        <w:t xml:space="preserve">• </w:t>
      </w:r>
      <w:r w:rsidRPr="005D661A">
        <w:rPr>
          <w:rFonts w:ascii="Times New Roman" w:eastAsia="Times New Roman" w:hAnsi="Times New Roman" w:cs="Times New Roman"/>
          <w:kern w:val="0"/>
          <w:sz w:val="24"/>
          <w:szCs w:val="24"/>
          <w:rtl/>
          <w14:ligatures w14:val="none"/>
        </w:rPr>
        <w:t>الإشارة إلى التناقضات أو الجوانب التي لم تُبحث بشكل كافٍ في الأدبيات السابقة</w:t>
      </w:r>
      <w:r w:rsidRPr="005D661A">
        <w:rPr>
          <w:rFonts w:ascii="Times New Roman" w:eastAsia="Times New Roman" w:hAnsi="Times New Roman" w:cs="Times New Roman"/>
          <w:kern w:val="0"/>
          <w:sz w:val="24"/>
          <w:szCs w:val="24"/>
          <w14:ligatures w14:val="none"/>
        </w:rPr>
        <w:t>.</w:t>
      </w:r>
    </w:p>
    <w:p w14:paraId="5062ABD3" w14:textId="77777777" w:rsid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518857B" w14:textId="30D0ABFC"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14:ligatures w14:val="none"/>
        </w:rPr>
        <w:t xml:space="preserve"> </w:t>
      </w:r>
    </w:p>
    <w:p w14:paraId="1FD8F8C4" w14:textId="75622F45" w:rsidR="005D661A" w:rsidRPr="005D661A" w:rsidRDefault="005D661A" w:rsidP="005D661A">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5D661A">
        <w:rPr>
          <w:rFonts w:ascii="Times New Roman" w:eastAsia="Times New Roman" w:hAnsi="Times New Roman" w:cs="Times New Roman"/>
          <w:b/>
          <w:bCs/>
          <w:kern w:val="0"/>
          <w:sz w:val="24"/>
          <w:szCs w:val="24"/>
          <w14:ligatures w14:val="none"/>
        </w:rPr>
        <w:t xml:space="preserve">3- </w:t>
      </w:r>
      <w:r w:rsidRPr="005D661A">
        <w:rPr>
          <w:rFonts w:ascii="Times New Roman" w:eastAsia="Times New Roman" w:hAnsi="Times New Roman" w:cs="Times New Roman"/>
          <w:b/>
          <w:bCs/>
          <w:kern w:val="0"/>
          <w:sz w:val="24"/>
          <w:szCs w:val="24"/>
          <w:rtl/>
          <w14:ligatures w14:val="none"/>
        </w:rPr>
        <w:t>الفجوة البحثية</w:t>
      </w:r>
    </w:p>
    <w:p w14:paraId="0CA34C3F"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تظهر الفجوة البحثية بشكل عام من خلال استعراض الدراسات السابقة، خاصة فيما يتعلق بدراسة ممارسات إدارة الموارد البشرية الخضراء في القطاع الصحي الحكومي وربطها بجودة الخدمات الصحية. وهذه نقطة مهمة تعطي للدراسة مبررًا علميًا</w:t>
      </w:r>
      <w:r w:rsidRPr="005D661A">
        <w:rPr>
          <w:rFonts w:ascii="Times New Roman" w:eastAsia="Times New Roman" w:hAnsi="Times New Roman" w:cs="Times New Roman"/>
          <w:kern w:val="0"/>
          <w:sz w:val="24"/>
          <w:szCs w:val="24"/>
          <w14:ligatures w14:val="none"/>
        </w:rPr>
        <w:t>.</w:t>
      </w:r>
    </w:p>
    <w:p w14:paraId="6FB0B652" w14:textId="52BC627A"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kern w:val="0"/>
          <w:sz w:val="24"/>
          <w:szCs w:val="24"/>
          <w:rtl/>
          <w14:ligatures w14:val="none"/>
        </w:rPr>
        <w:t xml:space="preserve">ومع ذلك، يفضل أن يتم </w:t>
      </w:r>
      <w:r w:rsidRPr="005D661A">
        <w:rPr>
          <w:rFonts w:ascii="Times New Roman" w:eastAsia="Times New Roman" w:hAnsi="Times New Roman" w:cs="Times New Roman"/>
          <w:b/>
          <w:bCs/>
          <w:kern w:val="0"/>
          <w:sz w:val="24"/>
          <w:szCs w:val="24"/>
          <w:rtl/>
          <w14:ligatures w14:val="none"/>
        </w:rPr>
        <w:t>صياغة الفجوة البحثية بصورة أكثر تحديدًا ووضوحًا</w:t>
      </w:r>
      <w:r w:rsidRPr="005D661A">
        <w:rPr>
          <w:rFonts w:ascii="Times New Roman" w:eastAsia="Times New Roman" w:hAnsi="Times New Roman" w:cs="Times New Roman"/>
          <w:kern w:val="0"/>
          <w:sz w:val="24"/>
          <w:szCs w:val="24"/>
          <w:rtl/>
          <w14:ligatures w14:val="none"/>
        </w:rPr>
        <w:t xml:space="preserve">، مع ربطها مباشرة بمتغيرات الدراسة الحالية وسياقها التطبيقي (المستشفيات الحكومية في مدينة بريدة). </w:t>
      </w:r>
    </w:p>
    <w:p w14:paraId="499EAA3F" w14:textId="6853FE29"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7F151A5" w14:textId="77777777" w:rsidR="005D661A" w:rsidRPr="005D661A" w:rsidRDefault="005D661A" w:rsidP="005D661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1A">
        <w:rPr>
          <w:rFonts w:ascii="Times New Roman" w:eastAsia="Times New Roman" w:hAnsi="Times New Roman" w:cs="Times New Roman"/>
          <w:b/>
          <w:bCs/>
          <w:kern w:val="0"/>
          <w:sz w:val="24"/>
          <w:szCs w:val="24"/>
          <w:rtl/>
          <w14:ligatures w14:val="none"/>
        </w:rPr>
        <w:t>التقدير العام</w:t>
      </w:r>
      <w:r w:rsidRPr="005D661A">
        <w:rPr>
          <w:rFonts w:ascii="Times New Roman" w:eastAsia="Times New Roman" w:hAnsi="Times New Roman" w:cs="Times New Roman"/>
          <w:b/>
          <w:bCs/>
          <w:kern w:val="0"/>
          <w:sz w:val="24"/>
          <w:szCs w:val="24"/>
          <w14:ligatures w14:val="none"/>
        </w:rPr>
        <w:t>:</w:t>
      </w:r>
      <w:r w:rsidRPr="005D661A">
        <w:rPr>
          <w:rFonts w:ascii="Times New Roman" w:eastAsia="Times New Roman" w:hAnsi="Times New Roman" w:cs="Times New Roman"/>
          <w:kern w:val="0"/>
          <w:sz w:val="24"/>
          <w:szCs w:val="24"/>
          <w14:ligatures w14:val="none"/>
        </w:rPr>
        <w:br/>
      </w:r>
      <w:r w:rsidRPr="005D661A">
        <w:rPr>
          <w:rFonts w:ascii="Times New Roman" w:eastAsia="Times New Roman" w:hAnsi="Times New Roman" w:cs="Times New Roman"/>
          <w:kern w:val="0"/>
          <w:sz w:val="24"/>
          <w:szCs w:val="24"/>
          <w:rtl/>
          <w14:ligatures w14:val="none"/>
        </w:rPr>
        <w:t>جيد جدًا مع توصيات بالتطوير والتحليل الأعمق للأدبيات</w:t>
      </w:r>
      <w:r w:rsidRPr="005D661A">
        <w:rPr>
          <w:rFonts w:ascii="Times New Roman" w:eastAsia="Times New Roman" w:hAnsi="Times New Roman" w:cs="Times New Roman"/>
          <w:kern w:val="0"/>
          <w:sz w:val="24"/>
          <w:szCs w:val="24"/>
          <w14:ligatures w14:val="none"/>
        </w:rPr>
        <w:t>.</w:t>
      </w:r>
    </w:p>
    <w:p w14:paraId="12704387" w14:textId="77777777" w:rsidR="003D7155" w:rsidRPr="005D661A" w:rsidRDefault="003D7155" w:rsidP="005D661A">
      <w:pPr>
        <w:pStyle w:val="NormalWeb"/>
        <w:bidi/>
        <w:rPr>
          <w:rFonts w:ascii="Traditional Arabic" w:hAnsi="Traditional Arabic" w:cs="Traditional Arabic"/>
          <w:b/>
          <w:bCs/>
          <w:sz w:val="32"/>
          <w:szCs w:val="32"/>
        </w:rPr>
      </w:pPr>
    </w:p>
    <w:sectPr w:rsidR="003D7155" w:rsidRPr="005D661A"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397DE" w14:textId="77777777" w:rsidR="00CF643E" w:rsidRDefault="00CF643E" w:rsidP="00FD5B03">
      <w:pPr>
        <w:spacing w:after="0" w:line="240" w:lineRule="auto"/>
      </w:pPr>
      <w:r>
        <w:separator/>
      </w:r>
    </w:p>
  </w:endnote>
  <w:endnote w:type="continuationSeparator" w:id="0">
    <w:p w14:paraId="0F103096" w14:textId="77777777" w:rsidR="00CF643E" w:rsidRDefault="00CF643E"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EE04F" w14:textId="77777777" w:rsidR="00CF643E" w:rsidRDefault="00CF643E" w:rsidP="00FD5B03">
      <w:pPr>
        <w:spacing w:after="0" w:line="240" w:lineRule="auto"/>
      </w:pPr>
      <w:r>
        <w:separator/>
      </w:r>
    </w:p>
  </w:footnote>
  <w:footnote w:type="continuationSeparator" w:id="0">
    <w:p w14:paraId="0AA4954C" w14:textId="77777777" w:rsidR="00CF643E" w:rsidRDefault="00CF643E"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D5240"/>
    <w:rsid w:val="000E3C39"/>
    <w:rsid w:val="00136164"/>
    <w:rsid w:val="00233E4E"/>
    <w:rsid w:val="00261E5B"/>
    <w:rsid w:val="003A6FD5"/>
    <w:rsid w:val="003D7155"/>
    <w:rsid w:val="004267EE"/>
    <w:rsid w:val="00436C7A"/>
    <w:rsid w:val="004744D7"/>
    <w:rsid w:val="00487083"/>
    <w:rsid w:val="004C7C0E"/>
    <w:rsid w:val="004F100D"/>
    <w:rsid w:val="004F3455"/>
    <w:rsid w:val="005518AC"/>
    <w:rsid w:val="005B7C5F"/>
    <w:rsid w:val="005D661A"/>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52CC8"/>
    <w:rsid w:val="0097081F"/>
    <w:rsid w:val="00971320"/>
    <w:rsid w:val="00974901"/>
    <w:rsid w:val="009961D5"/>
    <w:rsid w:val="00A450E0"/>
    <w:rsid w:val="00A6691C"/>
    <w:rsid w:val="00B170F5"/>
    <w:rsid w:val="00B42C73"/>
    <w:rsid w:val="00B80DDB"/>
    <w:rsid w:val="00BB31E9"/>
    <w:rsid w:val="00BC1B25"/>
    <w:rsid w:val="00BD1469"/>
    <w:rsid w:val="00C173B2"/>
    <w:rsid w:val="00CB2307"/>
    <w:rsid w:val="00CF643E"/>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587278301">
      <w:bodyDiv w:val="1"/>
      <w:marLeft w:val="0"/>
      <w:marRight w:val="0"/>
      <w:marTop w:val="0"/>
      <w:marBottom w:val="0"/>
      <w:divBdr>
        <w:top w:val="none" w:sz="0" w:space="0" w:color="auto"/>
        <w:left w:val="none" w:sz="0" w:space="0" w:color="auto"/>
        <w:bottom w:val="none" w:sz="0" w:space="0" w:color="auto"/>
        <w:right w:val="none" w:sz="0" w:space="0" w:color="auto"/>
      </w:divBdr>
      <w:divsChild>
        <w:div w:id="1832328675">
          <w:marLeft w:val="0"/>
          <w:marRight w:val="0"/>
          <w:marTop w:val="0"/>
          <w:marBottom w:val="0"/>
          <w:divBdr>
            <w:top w:val="none" w:sz="0" w:space="0" w:color="auto"/>
            <w:left w:val="none" w:sz="0" w:space="0" w:color="auto"/>
            <w:bottom w:val="none" w:sz="0" w:space="0" w:color="auto"/>
            <w:right w:val="none" w:sz="0" w:space="0" w:color="auto"/>
          </w:divBdr>
          <w:divsChild>
            <w:div w:id="2135057017">
              <w:marLeft w:val="0"/>
              <w:marRight w:val="0"/>
              <w:marTop w:val="0"/>
              <w:marBottom w:val="0"/>
              <w:divBdr>
                <w:top w:val="none" w:sz="0" w:space="0" w:color="auto"/>
                <w:left w:val="none" w:sz="0" w:space="0" w:color="auto"/>
                <w:bottom w:val="none" w:sz="0" w:space="0" w:color="auto"/>
                <w:right w:val="none" w:sz="0" w:space="0" w:color="auto"/>
              </w:divBdr>
              <w:divsChild>
                <w:div w:id="690453543">
                  <w:marLeft w:val="0"/>
                  <w:marRight w:val="0"/>
                  <w:marTop w:val="0"/>
                  <w:marBottom w:val="0"/>
                  <w:divBdr>
                    <w:top w:val="none" w:sz="0" w:space="0" w:color="auto"/>
                    <w:left w:val="none" w:sz="0" w:space="0" w:color="auto"/>
                    <w:bottom w:val="none" w:sz="0" w:space="0" w:color="auto"/>
                    <w:right w:val="none" w:sz="0" w:space="0" w:color="auto"/>
                  </w:divBdr>
                  <w:divsChild>
                    <w:div w:id="1623146778">
                      <w:marLeft w:val="0"/>
                      <w:marRight w:val="0"/>
                      <w:marTop w:val="0"/>
                      <w:marBottom w:val="0"/>
                      <w:divBdr>
                        <w:top w:val="none" w:sz="0" w:space="0" w:color="auto"/>
                        <w:left w:val="none" w:sz="0" w:space="0" w:color="auto"/>
                        <w:bottom w:val="none" w:sz="0" w:space="0" w:color="auto"/>
                        <w:right w:val="none" w:sz="0" w:space="0" w:color="auto"/>
                      </w:divBdr>
                      <w:divsChild>
                        <w:div w:id="939219623">
                          <w:marLeft w:val="0"/>
                          <w:marRight w:val="0"/>
                          <w:marTop w:val="0"/>
                          <w:marBottom w:val="0"/>
                          <w:divBdr>
                            <w:top w:val="none" w:sz="0" w:space="0" w:color="auto"/>
                            <w:left w:val="none" w:sz="0" w:space="0" w:color="auto"/>
                            <w:bottom w:val="none" w:sz="0" w:space="0" w:color="auto"/>
                            <w:right w:val="none" w:sz="0" w:space="0" w:color="auto"/>
                          </w:divBdr>
                          <w:divsChild>
                            <w:div w:id="772163824">
                              <w:marLeft w:val="0"/>
                              <w:marRight w:val="0"/>
                              <w:marTop w:val="0"/>
                              <w:marBottom w:val="0"/>
                              <w:divBdr>
                                <w:top w:val="none" w:sz="0" w:space="0" w:color="auto"/>
                                <w:left w:val="none" w:sz="0" w:space="0" w:color="auto"/>
                                <w:bottom w:val="none" w:sz="0" w:space="0" w:color="auto"/>
                                <w:right w:val="none" w:sz="0" w:space="0" w:color="auto"/>
                              </w:divBdr>
                              <w:divsChild>
                                <w:div w:id="5425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419</Words>
  <Characters>2393</Characters>
  <Application>Microsoft Office Word</Application>
  <DocSecurity>0</DocSecurity>
  <Lines>19</Lines>
  <Paragraphs>5</Paragraphs>
  <ScaleCrop>false</ScaleCrop>
  <HeadingPairs>
    <vt:vector size="6" baseType="variant">
      <vt:variant>
        <vt:lpstr>Title</vt:lpstr>
      </vt:variant>
      <vt:variant>
        <vt:i4>1</vt:i4>
      </vt:variant>
      <vt:variant>
        <vt:lpstr>Headings</vt:lpstr>
      </vt:variant>
      <vt:variant>
        <vt:i4>6</vt:i4>
      </vt:variant>
      <vt:variant>
        <vt:lpstr>العنوان</vt:lpstr>
      </vt:variant>
      <vt:variant>
        <vt:i4>1</vt:i4>
      </vt:variant>
    </vt:vector>
  </HeadingPairs>
  <TitlesOfParts>
    <vt:vector size="8" baseType="lpstr">
      <vt:lpstr/>
      <vt:lpstr>/جامعــــــة ميداوشن - كليــــة الإدارة</vt:lpstr>
      <vt:lpstr>عنوان الدراسة</vt:lpstr>
      <vt:lpstr>    الإطار النظري</vt:lpstr>
      <vt:lpstr>    الدراسات السابقة</vt:lpstr>
      <vt:lpstr>    الفجوة البحثية</vt:lpstr>
      <vt:lpstr>    التقييم العام</vt: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4</cp:revision>
  <dcterms:created xsi:type="dcterms:W3CDTF">2026-03-09T13:52:00Z</dcterms:created>
  <dcterms:modified xsi:type="dcterms:W3CDTF">2026-03-09T14:06:00Z</dcterms:modified>
</cp:coreProperties>
</file>