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713B" w:rsidRDefault="0087713B" w:rsidP="0087713B">
      <w:pPr>
        <w:bidi/>
        <w:rPr>
          <w:rtl/>
        </w:rPr>
      </w:pPr>
      <w:r>
        <w:rPr>
          <w:rFonts w:hint="cs"/>
          <w:rtl/>
        </w:rPr>
        <w:t xml:space="preserve">عبدالله الحربي ف4 1 </w:t>
      </w:r>
    </w:p>
    <w:p w:rsidR="00765B29" w:rsidRPr="00765B29" w:rsidRDefault="00765B29" w:rsidP="00765B29">
      <w:pPr>
        <w:bidi/>
        <w:rPr>
          <w:b/>
          <w:bCs/>
          <w:highlight w:val="yellow"/>
          <w:rtl/>
          <w:lang w:val="en-US"/>
        </w:rPr>
      </w:pPr>
      <w:r w:rsidRPr="00765B29">
        <w:rPr>
          <w:rFonts w:cs="Arial" w:hint="cs"/>
          <w:b/>
          <w:bCs/>
          <w:color w:val="FF0000"/>
          <w:highlight w:val="yellow"/>
          <w:rtl/>
          <w:lang w:val="en-US"/>
        </w:rPr>
        <w:t>(هذا مهم )</w:t>
      </w:r>
      <w:r w:rsidRPr="00765B29">
        <w:rPr>
          <w:rFonts w:cs="Arial"/>
          <w:b/>
          <w:bCs/>
          <w:highlight w:val="yellow"/>
          <w:rtl/>
          <w:lang w:val="en-US"/>
        </w:rPr>
        <w:t>على الرغم من أن الفصل أصبح مستوفيًا للجوانب العلمية بدرجة كبيرة، إلا أنه يوصى قبل التسليم النهائي بإجراء مراجعة تنسيقية شاملة للفصل، للتأكد من الاتساق الكامل مع دليل إعداد الرسائل العلمية المعتمد في الجامعة، وذلك من خلال</w:t>
      </w:r>
      <w:r w:rsidRPr="00765B29">
        <w:rPr>
          <w:b/>
          <w:bCs/>
          <w:highlight w:val="yellow"/>
          <w:lang w:val="en-US"/>
        </w:rPr>
        <w:t>:</w:t>
      </w:r>
    </w:p>
    <w:p w:rsidR="00765B29" w:rsidRPr="00765B29" w:rsidRDefault="00765B29" w:rsidP="00765B29">
      <w:pPr>
        <w:bidi/>
        <w:rPr>
          <w:b/>
          <w:bCs/>
          <w:highlight w:val="yellow"/>
          <w:rtl/>
          <w:lang w:val="en-US"/>
        </w:rPr>
      </w:pPr>
      <w:r w:rsidRPr="00765B29">
        <w:rPr>
          <w:rFonts w:cs="Arial"/>
          <w:b/>
          <w:bCs/>
          <w:highlight w:val="yellow"/>
          <w:rtl/>
          <w:lang w:val="en-US"/>
        </w:rPr>
        <w:t>توحيد نوع الخط وحجمه في جميع أجزاء الفصل، بما يشمل النصوص، والعناوين، والجداول، والأشكال، والحواشي إن وجدت</w:t>
      </w:r>
      <w:r w:rsidRPr="00765B29">
        <w:rPr>
          <w:b/>
          <w:bCs/>
          <w:highlight w:val="yellow"/>
          <w:lang w:val="en-US"/>
        </w:rPr>
        <w:t>.</w:t>
      </w:r>
    </w:p>
    <w:p w:rsidR="00765B29" w:rsidRPr="00765B29" w:rsidRDefault="00765B29" w:rsidP="00765B29">
      <w:pPr>
        <w:bidi/>
        <w:rPr>
          <w:b/>
          <w:bCs/>
          <w:highlight w:val="yellow"/>
          <w:rtl/>
          <w:lang w:val="en-US"/>
        </w:rPr>
      </w:pPr>
      <w:r w:rsidRPr="00765B29">
        <w:rPr>
          <w:rFonts w:cs="Arial"/>
          <w:b/>
          <w:bCs/>
          <w:highlight w:val="yellow"/>
          <w:rtl/>
          <w:lang w:val="en-US"/>
        </w:rPr>
        <w:t>توحيد المسافات بين الأسطر والفقرات، وضبط المحاذاة، والمسافات قبل العناوين وبعدها، بما يحقق اتساقًا بصريًا في جميع صفحات الفصل</w:t>
      </w:r>
      <w:r w:rsidRPr="00765B29">
        <w:rPr>
          <w:b/>
          <w:bCs/>
          <w:highlight w:val="yellow"/>
          <w:lang w:val="en-US"/>
        </w:rPr>
        <w:t>.</w:t>
      </w:r>
    </w:p>
    <w:p w:rsidR="00765B29" w:rsidRPr="00765B29" w:rsidRDefault="00765B29" w:rsidP="00765B29">
      <w:pPr>
        <w:bidi/>
        <w:rPr>
          <w:b/>
          <w:bCs/>
          <w:highlight w:val="yellow"/>
          <w:rtl/>
          <w:lang w:val="en-US"/>
        </w:rPr>
      </w:pPr>
      <w:r w:rsidRPr="00765B29">
        <w:rPr>
          <w:rFonts w:cs="Arial"/>
          <w:b/>
          <w:bCs/>
          <w:highlight w:val="yellow"/>
          <w:rtl/>
          <w:lang w:val="en-US"/>
        </w:rPr>
        <w:t>التأكد من الالتزام الكامل بدليل الجامعة فيما يتعلق بتنسيق الفصول، وترقيم الجداول والأشكال، وأسلوب كتابة العناوين، وأرقام الصفحات، والهوامش</w:t>
      </w:r>
      <w:r w:rsidRPr="00765B29">
        <w:rPr>
          <w:b/>
          <w:bCs/>
          <w:highlight w:val="yellow"/>
          <w:lang w:val="en-US"/>
        </w:rPr>
        <w:t>.</w:t>
      </w:r>
    </w:p>
    <w:p w:rsidR="00765B29" w:rsidRPr="00765B29" w:rsidRDefault="00765B29" w:rsidP="00765B29">
      <w:pPr>
        <w:bidi/>
        <w:rPr>
          <w:b/>
          <w:bCs/>
          <w:highlight w:val="yellow"/>
          <w:rtl/>
          <w:lang w:val="en-US"/>
        </w:rPr>
      </w:pPr>
      <w:r w:rsidRPr="00765B29">
        <w:rPr>
          <w:rFonts w:cs="Arial"/>
          <w:b/>
          <w:bCs/>
          <w:highlight w:val="yellow"/>
          <w:rtl/>
          <w:lang w:val="en-US"/>
        </w:rPr>
        <w:t>إبراز العناوين الرئيسة والفرعية بخط غامق</w:t>
      </w:r>
      <w:r w:rsidRPr="00765B29">
        <w:rPr>
          <w:b/>
          <w:bCs/>
          <w:highlight w:val="yellow"/>
          <w:lang w:val="en-US"/>
        </w:rPr>
        <w:t xml:space="preserve"> (Bold)</w:t>
      </w:r>
      <w:r w:rsidRPr="00765B29">
        <w:rPr>
          <w:rFonts w:cs="Arial"/>
          <w:b/>
          <w:bCs/>
          <w:highlight w:val="yellow"/>
          <w:rtl/>
          <w:lang w:val="en-US"/>
        </w:rPr>
        <w:t>، مع المحافظة على التسلسل الهرمي للعناوين والترقيم المعتمد (مثل: 4.1، 4.1.1، 4.1.2...) بما يسهل متابعة محتوى الفصل</w:t>
      </w:r>
      <w:r w:rsidRPr="00765B29">
        <w:rPr>
          <w:b/>
          <w:bCs/>
          <w:highlight w:val="yellow"/>
          <w:lang w:val="en-US"/>
        </w:rPr>
        <w:t>.</w:t>
      </w:r>
    </w:p>
    <w:p w:rsidR="00765B29" w:rsidRPr="0087713B" w:rsidRDefault="00765B29" w:rsidP="00765B29">
      <w:pPr>
        <w:bidi/>
        <w:rPr>
          <w:lang w:val="en-US"/>
        </w:rPr>
      </w:pPr>
      <w:r w:rsidRPr="00765B29">
        <w:rPr>
          <w:rFonts w:cs="Arial"/>
          <w:b/>
          <w:bCs/>
          <w:highlight w:val="yellow"/>
          <w:rtl/>
          <w:lang w:val="en-US"/>
        </w:rPr>
        <w:t xml:space="preserve">مراجعة اتساق تنسيق الجداول والأشكال، والتأكد من توحيد أحجام الخطوط، ومحاذاة النصوص داخلها، وأسلوب كتابة عناوينها </w:t>
      </w:r>
      <w:r w:rsidRPr="00765B29">
        <w:rPr>
          <w:rFonts w:cs="Arial"/>
          <w:highlight w:val="yellow"/>
          <w:rtl/>
          <w:lang w:val="en-US"/>
        </w:rPr>
        <w:t>ومصادرها وفق دليل الجامعة.</w:t>
      </w:r>
    </w:p>
    <w:tbl>
      <w:tblPr>
        <w:tblStyle w:val="TableGrid"/>
        <w:bidiVisual/>
        <w:tblW w:w="0" w:type="auto"/>
        <w:tblLook w:val="04A0" w:firstRow="1" w:lastRow="0" w:firstColumn="1" w:lastColumn="0" w:noHBand="0" w:noVBand="1"/>
      </w:tblPr>
      <w:tblGrid>
        <w:gridCol w:w="496"/>
        <w:gridCol w:w="1421"/>
        <w:gridCol w:w="1524"/>
        <w:gridCol w:w="1499"/>
        <w:gridCol w:w="4397"/>
      </w:tblGrid>
      <w:tr w:rsidR="00765B29" w:rsidRPr="0087713B" w:rsidTr="0014792E">
        <w:tc>
          <w:tcPr>
            <w:tcW w:w="0" w:type="auto"/>
            <w:hideMark/>
          </w:tcPr>
          <w:p w:rsidR="00765B29" w:rsidRPr="0087713B" w:rsidRDefault="00765B29"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رقم</w:t>
            </w:r>
          </w:p>
        </w:tc>
        <w:tc>
          <w:tcPr>
            <w:tcW w:w="0" w:type="auto"/>
            <w:hideMark/>
          </w:tcPr>
          <w:p w:rsidR="00765B29" w:rsidRPr="0087713B" w:rsidRDefault="00765B29"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الملاحظة</w:t>
            </w:r>
          </w:p>
        </w:tc>
        <w:tc>
          <w:tcPr>
            <w:tcW w:w="0" w:type="auto"/>
            <w:hideMark/>
          </w:tcPr>
          <w:p w:rsidR="00765B29" w:rsidRPr="0087713B" w:rsidRDefault="00765B29"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لماذا تعد مشكلة؟</w:t>
            </w:r>
          </w:p>
        </w:tc>
        <w:tc>
          <w:tcPr>
            <w:tcW w:w="0" w:type="auto"/>
            <w:hideMark/>
          </w:tcPr>
          <w:p w:rsidR="00765B29" w:rsidRPr="0087713B" w:rsidRDefault="00765B29" w:rsidP="0087713B">
            <w:pPr>
              <w:bidi/>
              <w:spacing w:after="200" w:line="276" w:lineRule="auto"/>
              <w:rPr>
                <w:rFonts w:ascii="Traditional Arabic" w:hAnsi="Traditional Arabic" w:cs="Traditional Arabic"/>
                <w:b/>
                <w:bCs/>
                <w:sz w:val="28"/>
                <w:szCs w:val="28"/>
                <w:lang w:val="en-US"/>
              </w:rPr>
            </w:pPr>
            <w:r w:rsidRPr="0087713B">
              <w:rPr>
                <w:rFonts w:ascii="Traditional Arabic" w:hAnsi="Traditional Arabic" w:cs="Traditional Arabic"/>
                <w:b/>
                <w:bCs/>
                <w:sz w:val="28"/>
                <w:szCs w:val="28"/>
                <w:rtl/>
              </w:rPr>
              <w:t>التعديل المقترح</w:t>
            </w:r>
          </w:p>
        </w:tc>
        <w:tc>
          <w:tcPr>
            <w:tcW w:w="0" w:type="auto"/>
          </w:tcPr>
          <w:p w:rsidR="00765B29" w:rsidRDefault="00765B29" w:rsidP="0087713B">
            <w:pPr>
              <w:bidi/>
              <w:rPr>
                <w:rFonts w:ascii="Traditional Arabic" w:hAnsi="Traditional Arabic" w:cs="Traditional Arabic" w:hint="cs"/>
                <w:b/>
                <w:bCs/>
                <w:sz w:val="28"/>
                <w:szCs w:val="28"/>
                <w:rtl/>
              </w:rPr>
            </w:pPr>
          </w:p>
        </w:tc>
      </w:tr>
      <w:tr w:rsidR="00765B29" w:rsidRPr="0087713B" w:rsidTr="0014792E">
        <w:tc>
          <w:tcPr>
            <w:tcW w:w="0" w:type="auto"/>
            <w:hideMark/>
          </w:tcPr>
          <w:p w:rsidR="00765B29" w:rsidRPr="0087713B" w:rsidRDefault="00765B29" w:rsidP="0087713B">
            <w:pPr>
              <w:bidi/>
              <w:spacing w:after="200" w:line="276" w:lineRule="auto"/>
              <w:rPr>
                <w:rFonts w:ascii="Traditional Arabic" w:hAnsi="Traditional Arabic" w:cs="Traditional Arabic"/>
                <w:sz w:val="28"/>
                <w:szCs w:val="28"/>
                <w:lang w:val="en-US"/>
              </w:rPr>
            </w:pPr>
            <w:bookmarkStart w:id="0" w:name="_GoBack"/>
            <w:bookmarkEnd w:id="0"/>
            <w:r w:rsidRPr="0087713B">
              <w:rPr>
                <w:rFonts w:ascii="Traditional Arabic" w:hAnsi="Traditional Arabic" w:cs="Traditional Arabic"/>
                <w:sz w:val="28"/>
                <w:szCs w:val="28"/>
                <w:lang w:val="en-US"/>
              </w:rPr>
              <w:t>4</w:t>
            </w:r>
          </w:p>
        </w:tc>
        <w:tc>
          <w:tcPr>
            <w:tcW w:w="0" w:type="auto"/>
            <w:hideMark/>
          </w:tcPr>
          <w:p w:rsidR="00765B29" w:rsidRPr="0087713B" w:rsidRDefault="00765B29"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جميع التفسيرات الوصفية متشابهة جداً</w:t>
            </w:r>
            <w:r w:rsidRPr="0087713B">
              <w:rPr>
                <w:rFonts w:ascii="Traditional Arabic" w:hAnsi="Traditional Arabic" w:cs="Traditional Arabic"/>
                <w:sz w:val="28"/>
                <w:szCs w:val="28"/>
                <w:lang w:val="en-US"/>
              </w:rPr>
              <w:t>.</w:t>
            </w:r>
          </w:p>
        </w:tc>
        <w:tc>
          <w:tcPr>
            <w:tcW w:w="0" w:type="auto"/>
            <w:hideMark/>
          </w:tcPr>
          <w:p w:rsidR="00765B29" w:rsidRPr="0087713B" w:rsidRDefault="00765B29"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b/>
                <w:bCs/>
                <w:sz w:val="28"/>
                <w:szCs w:val="28"/>
                <w:highlight w:val="yellow"/>
                <w:rtl/>
              </w:rPr>
              <w:t>يبدو النص قالباً مكرراً وليس</w:t>
            </w:r>
            <w:r w:rsidRPr="0087713B">
              <w:rPr>
                <w:rFonts w:ascii="Traditional Arabic" w:hAnsi="Traditional Arabic" w:cs="Traditional Arabic"/>
                <w:sz w:val="28"/>
                <w:szCs w:val="28"/>
                <w:rtl/>
              </w:rPr>
              <w:t xml:space="preserve"> تفسيراً علمياً خاصاً بكل بعد</w:t>
            </w:r>
            <w:r w:rsidRPr="0087713B">
              <w:rPr>
                <w:rFonts w:ascii="Traditional Arabic" w:hAnsi="Traditional Arabic" w:cs="Traditional Arabic"/>
                <w:sz w:val="28"/>
                <w:szCs w:val="28"/>
                <w:lang w:val="en-US"/>
              </w:rPr>
              <w:t>.</w:t>
            </w:r>
          </w:p>
        </w:tc>
        <w:tc>
          <w:tcPr>
            <w:tcW w:w="0" w:type="auto"/>
            <w:hideMark/>
          </w:tcPr>
          <w:p w:rsidR="00765B29" w:rsidRPr="0087713B" w:rsidRDefault="00765B29" w:rsidP="0087713B">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تخصيص تفسير كل بعد وربطه بطبيعة قطاع الإنشاءات</w:t>
            </w:r>
            <w:r w:rsidRPr="0087713B">
              <w:rPr>
                <w:rFonts w:ascii="Traditional Arabic" w:hAnsi="Traditional Arabic" w:cs="Traditional Arabic"/>
                <w:sz w:val="28"/>
                <w:szCs w:val="28"/>
                <w:lang w:val="en-US"/>
              </w:rPr>
              <w:t>.</w:t>
            </w:r>
          </w:p>
        </w:tc>
        <w:tc>
          <w:tcPr>
            <w:tcW w:w="0" w:type="auto"/>
          </w:tcPr>
          <w:p w:rsidR="00765B29" w:rsidRPr="00765B29" w:rsidRDefault="00765B29" w:rsidP="0087713B">
            <w:pPr>
              <w:bidi/>
              <w:rPr>
                <w:rFonts w:ascii="Traditional Arabic" w:hAnsi="Traditional Arabic" w:cs="Traditional Arabic"/>
                <w:sz w:val="28"/>
                <w:szCs w:val="28"/>
                <w:highlight w:val="yellow"/>
                <w:rtl/>
              </w:rPr>
            </w:pPr>
            <w:r w:rsidRPr="00765B29">
              <w:rPr>
                <w:highlight w:val="yellow"/>
                <w:rtl/>
              </w:rPr>
              <w:t>قمت بإجراء تعديل شكلي على النص، إلا أن جوهر الملاحظة لم يُعالج بالكامل. فما زالت التفسيرات تتسم بالتكرار وتعتمد على إعادة وصف المتوسطات الحسابية أكثر من تفسيرها علميًا وربطها بطبيعة قطاع الإنشاءات. يُنصح بإعادة صياغة التفسيرات بحيث تعكس خصوصية كل بُعد وتوضح الأسباب المحتملة للنتائج في سياق الدراسة، بدلاً من استخدام قالب موحد لجميع الأبعاد</w:t>
            </w:r>
            <w:r w:rsidRPr="00765B29">
              <w:rPr>
                <w:highlight w:val="yellow"/>
              </w:rPr>
              <w:t>.</w:t>
            </w:r>
          </w:p>
        </w:tc>
      </w:tr>
      <w:tr w:rsidR="00765B29" w:rsidRPr="0087713B" w:rsidTr="0014792E">
        <w:tc>
          <w:tcPr>
            <w:tcW w:w="0" w:type="auto"/>
            <w:hideMark/>
          </w:tcPr>
          <w:p w:rsidR="00765B29" w:rsidRPr="0087713B" w:rsidRDefault="00765B29"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20</w:t>
            </w:r>
          </w:p>
        </w:tc>
        <w:tc>
          <w:tcPr>
            <w:tcW w:w="0" w:type="auto"/>
            <w:hideMark/>
          </w:tcPr>
          <w:p w:rsidR="00765B29" w:rsidRPr="0087713B" w:rsidRDefault="00765B29"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ملخص النتائج في نهاية الفصل يعيد النص السابق تقريباً</w:t>
            </w:r>
            <w:r w:rsidRPr="0087713B">
              <w:rPr>
                <w:rFonts w:ascii="Traditional Arabic" w:hAnsi="Traditional Arabic" w:cs="Traditional Arabic"/>
                <w:sz w:val="28"/>
                <w:szCs w:val="28"/>
                <w:lang w:val="en-US"/>
              </w:rPr>
              <w:t>.</w:t>
            </w:r>
          </w:p>
        </w:tc>
        <w:tc>
          <w:tcPr>
            <w:tcW w:w="0" w:type="auto"/>
            <w:hideMark/>
          </w:tcPr>
          <w:p w:rsidR="00765B29" w:rsidRPr="0087713B" w:rsidRDefault="00765B29"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b/>
                <w:bCs/>
                <w:sz w:val="28"/>
                <w:szCs w:val="28"/>
                <w:highlight w:val="yellow"/>
                <w:rtl/>
              </w:rPr>
              <w:t>الملخص تكرار وليس استخلاصاً</w:t>
            </w:r>
            <w:r w:rsidRPr="0087713B">
              <w:rPr>
                <w:rFonts w:ascii="Traditional Arabic" w:hAnsi="Traditional Arabic" w:cs="Traditional Arabic"/>
                <w:sz w:val="28"/>
                <w:szCs w:val="28"/>
                <w:lang w:val="en-US"/>
              </w:rPr>
              <w:t>.</w:t>
            </w:r>
          </w:p>
        </w:tc>
        <w:tc>
          <w:tcPr>
            <w:tcW w:w="0" w:type="auto"/>
            <w:hideMark/>
          </w:tcPr>
          <w:p w:rsidR="00765B29" w:rsidRPr="0087713B" w:rsidRDefault="00765B29"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إعادة صياغته في صورة استنتاجات مختصرة</w:t>
            </w:r>
            <w:r w:rsidRPr="0087713B">
              <w:rPr>
                <w:rFonts w:ascii="Traditional Arabic" w:hAnsi="Traditional Arabic" w:cs="Traditional Arabic"/>
                <w:sz w:val="28"/>
                <w:szCs w:val="28"/>
                <w:lang w:val="en-US"/>
              </w:rPr>
              <w:t>.</w:t>
            </w:r>
          </w:p>
        </w:tc>
        <w:tc>
          <w:tcPr>
            <w:tcW w:w="0" w:type="auto"/>
          </w:tcPr>
          <w:p w:rsidR="00765B29" w:rsidRPr="00765B29" w:rsidRDefault="00765B29" w:rsidP="0014792E">
            <w:pPr>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رغم التحسن الواضح، فإن الملخص لا يزال يميل إلى تلخيص النتائج أكثر من صياغتها في صورة استنتاجات</w:t>
            </w:r>
            <w:r w:rsidRPr="00765B29">
              <w:rPr>
                <w:rFonts w:ascii="Traditional Arabic" w:hAnsi="Traditional Arabic" w:cs="Traditional Arabic"/>
                <w:sz w:val="28"/>
                <w:szCs w:val="28"/>
                <w:highlight w:val="yellow"/>
              </w:rPr>
              <w:t>.</w:t>
            </w:r>
          </w:p>
          <w:p w:rsidR="00765B29" w:rsidRPr="00765B29" w:rsidRDefault="00765B29" w:rsidP="0014792E">
            <w:pPr>
              <w:rPr>
                <w:rFonts w:ascii="Traditional Arabic" w:hAnsi="Traditional Arabic" w:cs="Traditional Arabic"/>
                <w:sz w:val="28"/>
                <w:szCs w:val="28"/>
                <w:highlight w:val="yellow"/>
                <w:rtl/>
              </w:rPr>
            </w:pPr>
          </w:p>
          <w:p w:rsidR="00765B29" w:rsidRPr="00765B29" w:rsidRDefault="00765B29" w:rsidP="0014792E">
            <w:pPr>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فعلى سبيل المثال، يمكن أن تُصاغ بعض الجمل بصيغة أكثر استخلاصًا، مثل</w:t>
            </w:r>
            <w:r w:rsidRPr="00765B29">
              <w:rPr>
                <w:rFonts w:ascii="Traditional Arabic" w:hAnsi="Traditional Arabic" w:cs="Traditional Arabic"/>
                <w:sz w:val="28"/>
                <w:szCs w:val="28"/>
                <w:highlight w:val="yellow"/>
              </w:rPr>
              <w:t>:</w:t>
            </w:r>
          </w:p>
          <w:p w:rsidR="00765B29" w:rsidRPr="00765B29" w:rsidRDefault="00765B29" w:rsidP="0014792E">
            <w:pPr>
              <w:rPr>
                <w:rFonts w:ascii="Traditional Arabic" w:hAnsi="Traditional Arabic" w:cs="Traditional Arabic"/>
                <w:sz w:val="28"/>
                <w:szCs w:val="28"/>
                <w:highlight w:val="yellow"/>
                <w:rtl/>
              </w:rPr>
            </w:pPr>
          </w:p>
          <w:p w:rsidR="00765B29" w:rsidRPr="00765B29" w:rsidRDefault="00765B29" w:rsidP="0014792E">
            <w:pPr>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تؤكد النتائج أن البعد الاقتصادي يمثل المحرك الرئيس لتأثير الاستدامة في أداء المشاريع</w:t>
            </w:r>
            <w:r w:rsidRPr="00765B29">
              <w:rPr>
                <w:rFonts w:ascii="Traditional Arabic" w:hAnsi="Traditional Arabic" w:cs="Traditional Arabic"/>
                <w:sz w:val="28"/>
                <w:szCs w:val="28"/>
                <w:highlight w:val="yellow"/>
              </w:rPr>
              <w:t>.</w:t>
            </w:r>
          </w:p>
          <w:p w:rsidR="00765B29" w:rsidRPr="00765B29" w:rsidRDefault="00765B29" w:rsidP="0014792E">
            <w:pPr>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يتضح أن البيئة الداعمة للاستدامة تعزز فاعلية ممارسات الاستدامة من خلال دورها الوسيط</w:t>
            </w:r>
            <w:r w:rsidRPr="00765B29">
              <w:rPr>
                <w:rFonts w:ascii="Traditional Arabic" w:hAnsi="Traditional Arabic" w:cs="Traditional Arabic"/>
                <w:sz w:val="28"/>
                <w:szCs w:val="28"/>
                <w:highlight w:val="yellow"/>
              </w:rPr>
              <w:t>.</w:t>
            </w:r>
          </w:p>
          <w:p w:rsidR="00765B29" w:rsidRPr="00765B29" w:rsidRDefault="00765B29" w:rsidP="0014792E">
            <w:pPr>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 xml:space="preserve">تشير النتائج إلى أن نجاح المشاريع يعتمد على تكامل </w:t>
            </w:r>
            <w:r w:rsidRPr="00765B29">
              <w:rPr>
                <w:rFonts w:ascii="Traditional Arabic" w:hAnsi="Traditional Arabic" w:cs="Traditional Arabic"/>
                <w:sz w:val="28"/>
                <w:szCs w:val="28"/>
                <w:highlight w:val="yellow"/>
                <w:rtl/>
              </w:rPr>
              <w:lastRenderedPageBreak/>
              <w:t>الأبعاد الاقتصادية والاجتماعية والتنظيمية، وليس على تطبيق الممارسات البيئية بمعزل عن غيرها</w:t>
            </w:r>
            <w:r w:rsidRPr="00765B29">
              <w:rPr>
                <w:rFonts w:ascii="Traditional Arabic" w:hAnsi="Traditional Arabic" w:cs="Traditional Arabic"/>
                <w:sz w:val="28"/>
                <w:szCs w:val="28"/>
                <w:highlight w:val="yellow"/>
              </w:rPr>
              <w:t>.</w:t>
            </w:r>
          </w:p>
          <w:p w:rsidR="00765B29" w:rsidRPr="00765B29" w:rsidRDefault="00765B29" w:rsidP="0014792E">
            <w:pPr>
              <w:rPr>
                <w:rFonts w:ascii="Traditional Arabic" w:hAnsi="Traditional Arabic" w:cs="Traditional Arabic"/>
                <w:sz w:val="28"/>
                <w:szCs w:val="28"/>
                <w:highlight w:val="yellow"/>
                <w:rtl/>
              </w:rPr>
            </w:pPr>
          </w:p>
          <w:p w:rsidR="00765B29" w:rsidRPr="00765B29" w:rsidRDefault="00765B29" w:rsidP="0014792E">
            <w:pPr>
              <w:bidi/>
              <w:rPr>
                <w:rFonts w:ascii="Traditional Arabic" w:hAnsi="Traditional Arabic" w:cs="Traditional Arabic"/>
                <w:sz w:val="28"/>
                <w:szCs w:val="28"/>
                <w:highlight w:val="yellow"/>
                <w:rtl/>
              </w:rPr>
            </w:pPr>
            <w:r w:rsidRPr="00765B29">
              <w:rPr>
                <w:rFonts w:ascii="Traditional Arabic" w:hAnsi="Traditional Arabic" w:cs="Traditional Arabic"/>
                <w:sz w:val="28"/>
                <w:szCs w:val="28"/>
                <w:highlight w:val="yellow"/>
                <w:rtl/>
              </w:rPr>
              <w:t>هذه الصياغة تجعل الملخص أقرب إلى الاستنتاجات النهائية بدلاً من إعادة عرض النتائج.</w:t>
            </w:r>
          </w:p>
        </w:tc>
      </w:tr>
      <w:tr w:rsidR="00765B29" w:rsidRPr="0087713B" w:rsidTr="0014792E">
        <w:tc>
          <w:tcPr>
            <w:tcW w:w="0" w:type="auto"/>
            <w:hideMark/>
          </w:tcPr>
          <w:p w:rsidR="00765B29" w:rsidRPr="0087713B" w:rsidRDefault="00765B29"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lang w:val="en-US"/>
              </w:rPr>
              <w:t>21</w:t>
            </w:r>
          </w:p>
        </w:tc>
        <w:tc>
          <w:tcPr>
            <w:tcW w:w="0" w:type="auto"/>
            <w:hideMark/>
          </w:tcPr>
          <w:p w:rsidR="00765B29" w:rsidRPr="0087713B" w:rsidRDefault="00765B29"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لا توجد خاتمة للفصل الرابع</w:t>
            </w:r>
            <w:r w:rsidRPr="0087713B">
              <w:rPr>
                <w:rFonts w:ascii="Traditional Arabic" w:hAnsi="Traditional Arabic" w:cs="Traditional Arabic"/>
                <w:sz w:val="28"/>
                <w:szCs w:val="28"/>
                <w:lang w:val="en-US"/>
              </w:rPr>
              <w:t>.</w:t>
            </w:r>
          </w:p>
        </w:tc>
        <w:tc>
          <w:tcPr>
            <w:tcW w:w="0" w:type="auto"/>
            <w:hideMark/>
          </w:tcPr>
          <w:p w:rsidR="00765B29" w:rsidRPr="0087713B" w:rsidRDefault="00765B29"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أغلب الجامعات تتطلب خاتمة تربط بالفصل الخامس</w:t>
            </w:r>
            <w:r w:rsidRPr="0087713B">
              <w:rPr>
                <w:rFonts w:ascii="Traditional Arabic" w:hAnsi="Traditional Arabic" w:cs="Traditional Arabic"/>
                <w:sz w:val="28"/>
                <w:szCs w:val="28"/>
                <w:lang w:val="en-US"/>
              </w:rPr>
              <w:t>.</w:t>
            </w:r>
          </w:p>
        </w:tc>
        <w:tc>
          <w:tcPr>
            <w:tcW w:w="0" w:type="auto"/>
            <w:hideMark/>
          </w:tcPr>
          <w:p w:rsidR="00765B29" w:rsidRPr="0087713B" w:rsidRDefault="00765B29" w:rsidP="00345EA1">
            <w:pPr>
              <w:bidi/>
              <w:spacing w:after="200" w:line="276" w:lineRule="auto"/>
              <w:rPr>
                <w:rFonts w:ascii="Traditional Arabic" w:hAnsi="Traditional Arabic" w:cs="Traditional Arabic"/>
                <w:sz w:val="28"/>
                <w:szCs w:val="28"/>
                <w:lang w:val="en-US"/>
              </w:rPr>
            </w:pPr>
            <w:r w:rsidRPr="0087713B">
              <w:rPr>
                <w:rFonts w:ascii="Traditional Arabic" w:hAnsi="Traditional Arabic" w:cs="Traditional Arabic"/>
                <w:sz w:val="28"/>
                <w:szCs w:val="28"/>
                <w:rtl/>
              </w:rPr>
              <w:t>إضافة خاتمة قصيرة تمهد للمناقشة</w:t>
            </w:r>
            <w:r w:rsidRPr="0087713B">
              <w:rPr>
                <w:rFonts w:ascii="Traditional Arabic" w:hAnsi="Traditional Arabic" w:cs="Traditional Arabic"/>
                <w:sz w:val="28"/>
                <w:szCs w:val="28"/>
                <w:lang w:val="en-US"/>
              </w:rPr>
              <w:t>.</w:t>
            </w:r>
          </w:p>
        </w:tc>
        <w:tc>
          <w:tcPr>
            <w:tcW w:w="0" w:type="auto"/>
          </w:tcPr>
          <w:p w:rsidR="00765B29" w:rsidRPr="00A7685D" w:rsidRDefault="00765B29" w:rsidP="00345EA1">
            <w:pPr>
              <w:bidi/>
              <w:rPr>
                <w:rFonts w:ascii="Traditional Arabic" w:hAnsi="Traditional Arabic" w:cs="Traditional Arabic"/>
                <w:sz w:val="28"/>
                <w:szCs w:val="28"/>
                <w:rtl/>
              </w:rPr>
            </w:pPr>
            <w:r w:rsidRPr="00765B29">
              <w:rPr>
                <w:rFonts w:ascii="Traditional Arabic" w:hAnsi="Traditional Arabic" w:cs="Traditional Arabic" w:hint="cs"/>
                <w:sz w:val="28"/>
                <w:szCs w:val="28"/>
                <w:highlight w:val="yellow"/>
                <w:rtl/>
              </w:rPr>
              <w:t>مازل لا وجدو لخاتمة</w:t>
            </w:r>
            <w:r>
              <w:rPr>
                <w:rFonts w:ascii="Traditional Arabic" w:hAnsi="Traditional Arabic" w:cs="Traditional Arabic" w:hint="cs"/>
                <w:sz w:val="28"/>
                <w:szCs w:val="28"/>
                <w:rtl/>
              </w:rPr>
              <w:t xml:space="preserve"> </w:t>
            </w:r>
          </w:p>
        </w:tc>
      </w:tr>
    </w:tbl>
    <w:p w:rsidR="007419CC" w:rsidRDefault="007419CC" w:rsidP="0087713B">
      <w:pPr>
        <w:bidi/>
      </w:pPr>
    </w:p>
    <w:sectPr w:rsidR="007419CC"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C2043B"/>
    <w:multiLevelType w:val="multilevel"/>
    <w:tmpl w:val="FEBA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21C"/>
    <w:rsid w:val="0014792E"/>
    <w:rsid w:val="001C2081"/>
    <w:rsid w:val="001E4DDA"/>
    <w:rsid w:val="002B724D"/>
    <w:rsid w:val="0030041D"/>
    <w:rsid w:val="00345EA1"/>
    <w:rsid w:val="005040EA"/>
    <w:rsid w:val="007419CC"/>
    <w:rsid w:val="00765B29"/>
    <w:rsid w:val="007D02D4"/>
    <w:rsid w:val="00862BB2"/>
    <w:rsid w:val="0087713B"/>
    <w:rsid w:val="008A2643"/>
    <w:rsid w:val="00A7685D"/>
    <w:rsid w:val="00E032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0120B"/>
  <w15:docId w15:val="{8644610B-C91D-465E-B5F3-A2C4A75F8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7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404231">
      <w:bodyDiv w:val="1"/>
      <w:marLeft w:val="0"/>
      <w:marRight w:val="0"/>
      <w:marTop w:val="0"/>
      <w:marBottom w:val="0"/>
      <w:divBdr>
        <w:top w:val="none" w:sz="0" w:space="0" w:color="auto"/>
        <w:left w:val="none" w:sz="0" w:space="0" w:color="auto"/>
        <w:bottom w:val="none" w:sz="0" w:space="0" w:color="auto"/>
        <w:right w:val="none" w:sz="0" w:space="0" w:color="auto"/>
      </w:divBdr>
    </w:div>
    <w:div w:id="148755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341</Words>
  <Characters>1949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pc</cp:lastModifiedBy>
  <cp:revision>2</cp:revision>
  <dcterms:created xsi:type="dcterms:W3CDTF">2026-07-21T10:46:00Z</dcterms:created>
  <dcterms:modified xsi:type="dcterms:W3CDTF">2026-07-21T10:46:00Z</dcterms:modified>
</cp:coreProperties>
</file>