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3"/>
        <w:spacing w:after="360"/>
        <w:ind w:left="0"/>
      </w:pPr>
      <w:r>
        <w:rPr>
          <w:rFonts w:ascii="Times New Roman" w:hAnsi="Times New Roman" w:eastAsia="Times New Roman" w:cs="Times New Roman"/>
          <w:b/>
          <w:i w:val="0"/>
          <w:sz w:val="28"/>
        </w:rPr>
        <w:t>Chapter 4 Experimental Results and Discussion</w:t>
      </w:r>
    </w:p>
    <w:p>
      <w:pPr>
        <w:pStyle w:val="Heading1"/>
        <w:spacing w:after="240"/>
        <w:ind w:left="0" w:firstLine="0"/>
      </w:pPr>
      <w:r>
        <w:rPr>
          <w:rFonts w:ascii="Times New Roman" w:hAnsi="Times New Roman" w:eastAsia="Times New Roman" w:cs="Times New Roman"/>
          <w:b/>
          <w:i w:val="0"/>
          <w:sz w:val="28"/>
        </w:rPr>
        <w:t>4.1 Introduction</w:t>
      </w:r>
    </w:p>
    <w:p>
      <w:pPr>
        <w:spacing w:line="360" w:lineRule="auto" w:after="160"/>
        <w:ind w:left="0" w:firstLine="0"/>
        <w:jc w:val="both"/>
      </w:pPr>
      <w:r>
        <w:rPr>
          <w:rFonts w:ascii="Times New Roman" w:hAnsi="Times New Roman" w:eastAsia="Times New Roman" w:cs="Times New Roman"/>
          <w:b w:val="0"/>
          <w:i w:val="0"/>
          <w:sz w:val="24"/>
        </w:rPr>
        <w:t>This chapter presents the experimental results obtained by applying the methodology described in Chapter 3 to the 25,536-record dataset covering 12 stations over 16 weeks of Line 3 operations. Results are reported for both proposed models — the Random Forest dispatch classifier and the Gradient Boosting timetable forecaster — followed by the autonomous timetable output generated from their combined predictions, the measured contribution of the CCTV computer-vision channel, and a discussion that interprets these findings against the objectives set out in Chapter 1.</w:t>
      </w:r>
    </w:p>
    <w:p>
      <w:pPr>
        <w:pStyle w:val="Heading1"/>
        <w:spacing w:after="240"/>
        <w:ind w:left="0" w:firstLine="0"/>
      </w:pPr>
      <w:r>
        <w:rPr>
          <w:rFonts w:ascii="Times New Roman" w:hAnsi="Times New Roman" w:eastAsia="Times New Roman" w:cs="Times New Roman"/>
          <w:b/>
          <w:i w:val="0"/>
          <w:sz w:val="28"/>
        </w:rPr>
        <w:t>4.2 Dispatch Classifier Performance</w:t>
      </w:r>
    </w:p>
    <w:p>
      <w:pPr>
        <w:spacing w:line="360" w:lineRule="auto" w:after="160"/>
        <w:ind w:left="0" w:firstLine="0"/>
        <w:jc w:val="both"/>
      </w:pPr>
      <w:r>
        <w:rPr>
          <w:rFonts w:ascii="Times New Roman" w:hAnsi="Times New Roman" w:eastAsia="Times New Roman" w:cs="Times New Roman"/>
          <w:b w:val="0"/>
          <w:i w:val="0"/>
          <w:sz w:val="24"/>
        </w:rPr>
        <w:t>The Random Forest dispatch classifier was evaluated on the held-out 20% time-based test split (5,244 records). The model achieved an overall accuracy of 99.7% and a macro F1-score of 0.995. Table 4.1 reports precision, recall and F1-score for each of the four dispatch classes.</w:t>
      </w:r>
    </w:p>
    <w:tbl>
      <w:tblPr>
        <w:tblStyle w:val="TableGrid0"/>
        <w:tblW w:type="auto" w:w="0"/>
        <w:jc w:val="center"/>
        <w:tblLook w:firstColumn="1" w:firstRow="1" w:lastColumn="0" w:lastRow="0" w:noHBand="0" w:noVBand="1" w:val="04A0"/>
        <w:jc w:val="center"/>
      </w:tblPr>
      <w:tblGrid>
        <w:gridCol w:w="2358"/>
        <w:gridCol w:w="2358"/>
        <w:gridCol w:w="2358"/>
        <w:gridCol w:w="2358"/>
      </w:tblGrid>
      <w:tr>
        <w:tc>
          <w:tcPr>
            <w:tcW w:type="dxa" w:w="3744"/>
            <w:shd w:val="clear" w:color="auto" w:fill="D9EAF7"/>
          </w:tcPr>
          <w:p>
            <w:pPr>
              <w:jc w:val="center"/>
            </w:pPr>
            <w:r>
              <w:rPr>
                <w:rFonts w:ascii="Times New Roman" w:hAnsi="Times New Roman" w:eastAsia="Times New Roman" w:cs="Times New Roman"/>
                <w:b/>
                <w:i w:val="0"/>
                <w:sz w:val="22"/>
              </w:rPr>
              <w:t>Class</w:t>
            </w:r>
          </w:p>
        </w:tc>
        <w:tc>
          <w:tcPr>
            <w:tcW w:type="dxa" w:w="2592"/>
            <w:shd w:val="clear" w:color="auto" w:fill="D9EAF7"/>
          </w:tcPr>
          <w:p>
            <w:pPr>
              <w:jc w:val="center"/>
            </w:pPr>
            <w:r>
              <w:rPr>
                <w:rFonts w:ascii="Times New Roman" w:hAnsi="Times New Roman" w:eastAsia="Times New Roman" w:cs="Times New Roman"/>
                <w:b/>
                <w:i w:val="0"/>
                <w:sz w:val="22"/>
              </w:rPr>
              <w:t>Precision</w:t>
            </w:r>
          </w:p>
        </w:tc>
        <w:tc>
          <w:tcPr>
            <w:tcW w:type="dxa" w:w="2304"/>
            <w:shd w:val="clear" w:color="auto" w:fill="D9EAF7"/>
          </w:tcPr>
          <w:p>
            <w:pPr>
              <w:jc w:val="center"/>
            </w:pPr>
            <w:r>
              <w:rPr>
                <w:rFonts w:ascii="Times New Roman" w:hAnsi="Times New Roman" w:eastAsia="Times New Roman" w:cs="Times New Roman"/>
                <w:b/>
                <w:i w:val="0"/>
                <w:sz w:val="22"/>
              </w:rPr>
              <w:t>Recall</w:t>
            </w:r>
          </w:p>
        </w:tc>
        <w:tc>
          <w:tcPr>
            <w:tcW w:type="dxa" w:w="2304"/>
            <w:shd w:val="clear" w:color="auto" w:fill="D9EAF7"/>
          </w:tcPr>
          <w:p>
            <w:pPr>
              <w:jc w:val="center"/>
            </w:pPr>
            <w:r>
              <w:rPr>
                <w:rFonts w:ascii="Times New Roman" w:hAnsi="Times New Roman" w:eastAsia="Times New Roman" w:cs="Times New Roman"/>
                <w:b/>
                <w:i w:val="0"/>
                <w:sz w:val="22"/>
              </w:rPr>
              <w:t>F1-Score</w:t>
            </w:r>
          </w:p>
        </w:tc>
      </w:tr>
      <w:tr>
        <w:tc>
          <w:tcPr>
            <w:tcW w:type="dxa" w:w="3744"/>
          </w:tcPr>
          <w:p>
            <w:pPr>
              <w:jc w:val="center"/>
            </w:pPr>
            <w:r>
              <w:rPr>
                <w:rFonts w:ascii="Times New Roman" w:hAnsi="Times New Roman" w:eastAsia="Times New Roman" w:cs="Times New Roman"/>
                <w:b w:val="0"/>
                <w:i w:val="0"/>
                <w:sz w:val="22"/>
              </w:rPr>
              <w:t>Class 0 (No extra train)</w:t>
            </w:r>
          </w:p>
        </w:tc>
        <w:tc>
          <w:tcPr>
            <w:tcW w:type="dxa" w:w="2592"/>
          </w:tcPr>
          <w:p>
            <w:pPr>
              <w:jc w:val="center"/>
            </w:pPr>
            <w:r>
              <w:rPr>
                <w:rFonts w:ascii="Times New Roman" w:hAnsi="Times New Roman" w:eastAsia="Times New Roman" w:cs="Times New Roman"/>
                <w:b w:val="0"/>
                <w:i w:val="0"/>
                <w:sz w:val="22"/>
              </w:rPr>
              <w:t>1.000</w:t>
            </w:r>
          </w:p>
        </w:tc>
        <w:tc>
          <w:tcPr>
            <w:tcW w:type="dxa" w:w="2304"/>
          </w:tcPr>
          <w:p>
            <w:pPr>
              <w:jc w:val="center"/>
            </w:pPr>
            <w:r>
              <w:rPr>
                <w:rFonts w:ascii="Times New Roman" w:hAnsi="Times New Roman" w:eastAsia="Times New Roman" w:cs="Times New Roman"/>
                <w:b w:val="0"/>
                <w:i w:val="0"/>
                <w:sz w:val="22"/>
              </w:rPr>
              <w:t>0.994</w:t>
            </w:r>
          </w:p>
        </w:tc>
        <w:tc>
          <w:tcPr>
            <w:tcW w:type="dxa" w:w="2304"/>
          </w:tcPr>
          <w:p>
            <w:pPr>
              <w:jc w:val="center"/>
            </w:pPr>
            <w:r>
              <w:rPr>
                <w:rFonts w:ascii="Times New Roman" w:hAnsi="Times New Roman" w:eastAsia="Times New Roman" w:cs="Times New Roman"/>
                <w:b w:val="0"/>
                <w:i w:val="0"/>
                <w:sz w:val="22"/>
              </w:rPr>
              <w:t>0.995</w:t>
            </w:r>
          </w:p>
        </w:tc>
      </w:tr>
      <w:tr>
        <w:tc>
          <w:tcPr>
            <w:tcW w:type="dxa" w:w="3744"/>
          </w:tcPr>
          <w:p>
            <w:pPr>
              <w:jc w:val="center"/>
            </w:pPr>
            <w:r>
              <w:rPr>
                <w:rFonts w:ascii="Times New Roman" w:hAnsi="Times New Roman" w:eastAsia="Times New Roman" w:cs="Times New Roman"/>
                <w:b w:val="0"/>
                <w:i w:val="0"/>
                <w:sz w:val="22"/>
              </w:rPr>
              <w:t>Class 1 (+1 train)</w:t>
            </w:r>
          </w:p>
        </w:tc>
        <w:tc>
          <w:tcPr>
            <w:tcW w:type="dxa" w:w="2592"/>
          </w:tcPr>
          <w:p>
            <w:pPr>
              <w:jc w:val="center"/>
            </w:pPr>
            <w:r>
              <w:rPr>
                <w:rFonts w:ascii="Times New Roman" w:hAnsi="Times New Roman" w:eastAsia="Times New Roman" w:cs="Times New Roman"/>
                <w:b w:val="0"/>
                <w:i w:val="0"/>
                <w:sz w:val="22"/>
              </w:rPr>
              <w:t>0.999</w:t>
            </w:r>
          </w:p>
        </w:tc>
        <w:tc>
          <w:tcPr>
            <w:tcW w:type="dxa" w:w="2304"/>
          </w:tcPr>
          <w:p>
            <w:pPr>
              <w:jc w:val="center"/>
            </w:pPr>
            <w:r>
              <w:rPr>
                <w:rFonts w:ascii="Times New Roman" w:hAnsi="Times New Roman" w:eastAsia="Times New Roman" w:cs="Times New Roman"/>
                <w:b w:val="0"/>
                <w:i w:val="0"/>
                <w:sz w:val="22"/>
              </w:rPr>
              <w:t>0.999</w:t>
            </w:r>
          </w:p>
        </w:tc>
        <w:tc>
          <w:tcPr>
            <w:tcW w:type="dxa" w:w="2304"/>
          </w:tcPr>
          <w:p>
            <w:pPr>
              <w:jc w:val="center"/>
            </w:pPr>
            <w:r>
              <w:rPr>
                <w:rFonts w:ascii="Times New Roman" w:hAnsi="Times New Roman" w:eastAsia="Times New Roman" w:cs="Times New Roman"/>
                <w:b w:val="0"/>
                <w:i w:val="0"/>
                <w:sz w:val="22"/>
              </w:rPr>
              <w:t>0.976</w:t>
            </w:r>
          </w:p>
        </w:tc>
      </w:tr>
      <w:tr>
        <w:tc>
          <w:tcPr>
            <w:tcW w:type="dxa" w:w="3744"/>
          </w:tcPr>
          <w:p>
            <w:pPr>
              <w:jc w:val="center"/>
            </w:pPr>
            <w:r>
              <w:rPr>
                <w:rFonts w:ascii="Times New Roman" w:hAnsi="Times New Roman" w:eastAsia="Times New Roman" w:cs="Times New Roman"/>
                <w:b w:val="0"/>
                <w:i w:val="0"/>
                <w:sz w:val="22"/>
              </w:rPr>
              <w:t>Class 2 (+2 trains)</w:t>
            </w:r>
          </w:p>
        </w:tc>
        <w:tc>
          <w:tcPr>
            <w:tcW w:type="dxa" w:w="2592"/>
          </w:tcPr>
          <w:p>
            <w:pPr>
              <w:jc w:val="center"/>
            </w:pPr>
            <w:r>
              <w:rPr>
                <w:rFonts w:ascii="Times New Roman" w:hAnsi="Times New Roman" w:eastAsia="Times New Roman" w:cs="Times New Roman"/>
                <w:b w:val="0"/>
                <w:i w:val="0"/>
                <w:sz w:val="22"/>
              </w:rPr>
              <w:t>1.000</w:t>
            </w:r>
          </w:p>
        </w:tc>
        <w:tc>
          <w:tcPr>
            <w:tcW w:type="dxa" w:w="2304"/>
          </w:tcPr>
          <w:p>
            <w:pPr>
              <w:jc w:val="center"/>
            </w:pPr>
            <w:r>
              <w:rPr>
                <w:rFonts w:ascii="Times New Roman" w:hAnsi="Times New Roman" w:eastAsia="Times New Roman" w:cs="Times New Roman"/>
                <w:b w:val="0"/>
                <w:i w:val="0"/>
                <w:sz w:val="22"/>
              </w:rPr>
              <w:t>0.977</w:t>
            </w:r>
          </w:p>
        </w:tc>
        <w:tc>
          <w:tcPr>
            <w:tcW w:type="dxa" w:w="2304"/>
          </w:tcPr>
          <w:p>
            <w:pPr>
              <w:jc w:val="center"/>
            </w:pPr>
            <w:r>
              <w:rPr>
                <w:rFonts w:ascii="Times New Roman" w:hAnsi="Times New Roman" w:eastAsia="Times New Roman" w:cs="Times New Roman"/>
                <w:b w:val="0"/>
                <w:i w:val="0"/>
                <w:sz w:val="22"/>
              </w:rPr>
              <w:t>0.986</w:t>
            </w:r>
          </w:p>
        </w:tc>
      </w:tr>
      <w:tr>
        <w:tc>
          <w:tcPr>
            <w:tcW w:type="dxa" w:w="3744"/>
          </w:tcPr>
          <w:p>
            <w:pPr>
              <w:jc w:val="center"/>
            </w:pPr>
            <w:r>
              <w:rPr>
                <w:rFonts w:ascii="Times New Roman" w:hAnsi="Times New Roman" w:eastAsia="Times New Roman" w:cs="Times New Roman"/>
                <w:b w:val="0"/>
                <w:i w:val="0"/>
                <w:sz w:val="22"/>
              </w:rPr>
              <w:t>Class 3 (+3 trains, Critical)</w:t>
            </w:r>
          </w:p>
        </w:tc>
        <w:tc>
          <w:tcPr>
            <w:tcW w:type="dxa" w:w="2592"/>
          </w:tcPr>
          <w:p>
            <w:pPr>
              <w:jc w:val="center"/>
            </w:pPr>
            <w:r>
              <w:rPr>
                <w:rFonts w:ascii="Times New Roman" w:hAnsi="Times New Roman" w:eastAsia="Times New Roman" w:cs="Times New Roman"/>
                <w:b w:val="0"/>
                <w:i w:val="0"/>
                <w:sz w:val="22"/>
              </w:rPr>
              <w:t>1.000</w:t>
            </w:r>
          </w:p>
        </w:tc>
        <w:tc>
          <w:tcPr>
            <w:tcW w:type="dxa" w:w="2304"/>
          </w:tcPr>
          <w:p>
            <w:pPr>
              <w:jc w:val="center"/>
            </w:pPr>
            <w:r>
              <w:rPr>
                <w:rFonts w:ascii="Times New Roman" w:hAnsi="Times New Roman" w:eastAsia="Times New Roman" w:cs="Times New Roman"/>
                <w:b w:val="0"/>
                <w:i w:val="0"/>
                <w:sz w:val="22"/>
              </w:rPr>
              <w:t>1.000</w:t>
            </w:r>
          </w:p>
        </w:tc>
        <w:tc>
          <w:tcPr>
            <w:tcW w:type="dxa" w:w="2304"/>
          </w:tcPr>
          <w:p>
            <w:pPr>
              <w:jc w:val="center"/>
            </w:pPr>
            <w:r>
              <w:rPr>
                <w:rFonts w:ascii="Times New Roman" w:hAnsi="Times New Roman" w:eastAsia="Times New Roman" w:cs="Times New Roman"/>
                <w:b w:val="0"/>
                <w:i w:val="0"/>
                <w:sz w:val="22"/>
              </w:rPr>
              <w:t>1.000</w:t>
            </w:r>
          </w:p>
        </w:tc>
      </w:tr>
    </w:tbl>
    <w:p>
      <w:pPr>
        <w:spacing w:after="280" w:before="80"/>
        <w:jc w:val="center"/>
      </w:pPr>
      <w:r>
        <w:rPr>
          <w:rFonts w:ascii="Times New Roman" w:hAnsi="Times New Roman" w:eastAsia="Times New Roman" w:cs="Times New Roman"/>
          <w:b/>
          <w:i/>
          <w:sz w:val="22"/>
        </w:rPr>
        <w:t>Table 4.1: Per-class precision, recall and F1-score for the dispatch classifier</w:t>
      </w:r>
    </w:p>
    <w:p>
      <w:pPr>
        <w:spacing w:after="80" w:before="160"/>
        <w:jc w:val="center"/>
      </w:pPr>
      <w:r>
        <w:drawing>
          <wp:inline xmlns:wp="http://schemas.openxmlformats.org/drawingml/2006/wordprocessingDrawing" distT="0" distB="0" distL="0" distR="0">
            <wp:extent cx="5760720" cy="3283641"/>
            <wp:effectExtent l="0" t="0" r="0" b="0"/>
            <wp:docPr id="9106" name="fig_4_2_per_class_me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 name="fig_4_2_per_class_metrics"/>
                    <pic:cNvPicPr/>
                  </pic:nvPicPr>
                  <pic:blipFill>
                    <a:blip xmlns:r="http://schemas.openxmlformats.org/officeDocument/2006/relationships" r:embed="rId201"/>
                    <a:stretch>
                      <a:fillRect/>
                    </a:stretch>
                  </pic:blipFill>
                  <pic:spPr>
                    <a:xfrm>
                      <a:off x="0" y="0"/>
                      <a:ext cx="5760720" cy="3283641"/>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4.1: Precision, recall and F1-score by dispatch class</w:t>
      </w:r>
    </w:p>
    <w:p>
      <w:pPr>
        <w:spacing w:line="360" w:lineRule="auto" w:after="160"/>
        <w:ind w:left="0" w:firstLine="0"/>
        <w:jc w:val="both"/>
      </w:pPr>
      <w:r>
        <w:rPr>
          <w:rFonts w:ascii="Times New Roman" w:hAnsi="Times New Roman" w:eastAsia="Times New Roman" w:cs="Times New Roman"/>
          <w:b w:val="0"/>
          <w:i w:val="0"/>
          <w:sz w:val="24"/>
        </w:rPr>
        <w:t>Table 4.2 presents the corresponding confusion matrix. Of 5,244 test records, only 14 were misclassified, and every misclassification was adjacent-class — for example, an actual +2 predicted as +1 or +3 — rather than a severe misprediction. Critically, the model never predicted “no action” for a record that actually required dispatch, and it never failed to detect a Critical (+3 trains) situation.</w:t>
      </w:r>
    </w:p>
    <w:p>
      <w:pPr>
        <w:spacing w:after="80" w:before="160"/>
        <w:jc w:val="center"/>
      </w:pPr>
      <w:r>
        <w:drawing>
          <wp:inline xmlns:wp="http://schemas.openxmlformats.org/drawingml/2006/wordprocessingDrawing" distT="0" distB="0" distL="0" distR="0">
            <wp:extent cx="4389120" cy="4027536"/>
            <wp:effectExtent l="0" t="0" r="0" b="0"/>
            <wp:docPr id="9105" name="fig_4_1_confusion_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 name="fig_4_1_confusion_matrix"/>
                    <pic:cNvPicPr/>
                  </pic:nvPicPr>
                  <pic:blipFill>
                    <a:blip xmlns:r="http://schemas.openxmlformats.org/officeDocument/2006/relationships" r:embed="rId202"/>
                    <a:stretch>
                      <a:fillRect/>
                    </a:stretch>
                  </pic:blipFill>
                  <pic:spPr>
                    <a:xfrm>
                      <a:off x="0" y="0"/>
                      <a:ext cx="4389120" cy="4027536"/>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4.2: Confusion matrix heatmap for the dispatch classifier</w:t>
      </w:r>
    </w:p>
    <w:tbl>
      <w:tblPr>
        <w:tblStyle w:val="TableGrid0"/>
        <w:tblW w:type="auto" w:w="0"/>
        <w:jc w:val="center"/>
        <w:tblLook w:firstColumn="1" w:firstRow="1" w:lastColumn="0" w:lastRow="0" w:noHBand="0" w:noVBand="1" w:val="04A0"/>
        <w:jc w:val="center"/>
      </w:tblPr>
      <w:tblGrid>
        <w:gridCol w:w="1886"/>
        <w:gridCol w:w="1886"/>
        <w:gridCol w:w="1886"/>
        <w:gridCol w:w="1886"/>
        <w:gridCol w:w="1886"/>
      </w:tblGrid>
      <w:tr>
        <w:tc>
          <w:tcPr>
            <w:tcW w:type="dxa" w:w="3168"/>
            <w:shd w:val="clear" w:color="auto" w:fill="D9EAF7"/>
          </w:tcPr>
          <w:p>
            <w:pPr>
              <w:jc w:val="center"/>
            </w:pPr>
            <w:r>
              <w:rPr>
                <w:rFonts w:ascii="Times New Roman" w:hAnsi="Times New Roman" w:eastAsia="Times New Roman" w:cs="Times New Roman"/>
                <w:b/>
                <w:i w:val="0"/>
                <w:sz w:val="22"/>
              </w:rPr>
              <w:t>Actual \ Predicted</w:t>
            </w:r>
          </w:p>
        </w:tc>
        <w:tc>
          <w:tcPr>
            <w:tcW w:type="dxa" w:w="2160"/>
            <w:shd w:val="clear" w:color="auto" w:fill="D9EAF7"/>
          </w:tcPr>
          <w:p>
            <w:pPr>
              <w:jc w:val="center"/>
            </w:pPr>
            <w:r>
              <w:rPr>
                <w:rFonts w:ascii="Times New Roman" w:hAnsi="Times New Roman" w:eastAsia="Times New Roman" w:cs="Times New Roman"/>
                <w:b/>
                <w:i w:val="0"/>
                <w:sz w:val="22"/>
              </w:rPr>
              <w:t>+0</w:t>
            </w:r>
          </w:p>
        </w:tc>
        <w:tc>
          <w:tcPr>
            <w:tcW w:type="dxa" w:w="2160"/>
            <w:shd w:val="clear" w:color="auto" w:fill="D9EAF7"/>
          </w:tcPr>
          <w:p>
            <w:pPr>
              <w:jc w:val="center"/>
            </w:pPr>
            <w:r>
              <w:rPr>
                <w:rFonts w:ascii="Times New Roman" w:hAnsi="Times New Roman" w:eastAsia="Times New Roman" w:cs="Times New Roman"/>
                <w:b/>
                <w:i w:val="0"/>
                <w:sz w:val="22"/>
              </w:rPr>
              <w:t>+1</w:t>
            </w:r>
          </w:p>
        </w:tc>
        <w:tc>
          <w:tcPr>
            <w:tcW w:type="dxa" w:w="2160"/>
            <w:shd w:val="clear" w:color="auto" w:fill="D9EAF7"/>
          </w:tcPr>
          <w:p>
            <w:pPr>
              <w:jc w:val="center"/>
            </w:pPr>
            <w:r>
              <w:rPr>
                <w:rFonts w:ascii="Times New Roman" w:hAnsi="Times New Roman" w:eastAsia="Times New Roman" w:cs="Times New Roman"/>
                <w:b/>
                <w:i w:val="0"/>
                <w:sz w:val="22"/>
              </w:rPr>
              <w:t>+2</w:t>
            </w:r>
          </w:p>
        </w:tc>
        <w:tc>
          <w:tcPr>
            <w:tcW w:type="dxa" w:w="2160"/>
            <w:shd w:val="clear" w:color="auto" w:fill="D9EAF7"/>
          </w:tcPr>
          <w:p>
            <w:pPr>
              <w:jc w:val="center"/>
            </w:pPr>
            <w:r>
              <w:rPr>
                <w:rFonts w:ascii="Times New Roman" w:hAnsi="Times New Roman" w:eastAsia="Times New Roman" w:cs="Times New Roman"/>
                <w:b/>
                <w:i w:val="0"/>
                <w:sz w:val="22"/>
              </w:rPr>
              <w:t>+3</w:t>
            </w:r>
          </w:p>
        </w:tc>
      </w:tr>
      <w:tr>
        <w:tc>
          <w:tcPr>
            <w:tcW w:type="dxa" w:w="3168"/>
          </w:tcPr>
          <w:p>
            <w:pPr>
              <w:jc w:val="center"/>
            </w:pPr>
            <w:r>
              <w:rPr>
                <w:rFonts w:ascii="Times New Roman" w:hAnsi="Times New Roman" w:eastAsia="Times New Roman" w:cs="Times New Roman"/>
                <w:b w:val="0"/>
                <w:i w:val="0"/>
                <w:sz w:val="22"/>
              </w:rPr>
              <w:t>+0</w:t>
            </w:r>
          </w:p>
        </w:tc>
        <w:tc>
          <w:tcPr>
            <w:tcW w:type="dxa" w:w="2160"/>
          </w:tcPr>
          <w:p>
            <w:pPr>
              <w:jc w:val="center"/>
            </w:pPr>
            <w:r>
              <w:rPr>
                <w:rFonts w:ascii="Times New Roman" w:hAnsi="Times New Roman" w:eastAsia="Times New Roman" w:cs="Times New Roman"/>
                <w:b w:val="0"/>
                <w:i w:val="0"/>
                <w:sz w:val="22"/>
              </w:rPr>
              <w:t>2,198</w:t>
            </w:r>
          </w:p>
        </w:tc>
        <w:tc>
          <w:tcPr>
            <w:tcW w:type="dxa" w:w="2160"/>
          </w:tcPr>
          <w:p>
            <w:pPr>
              <w:jc w:val="center"/>
            </w:pPr>
            <w:r>
              <w:rPr>
                <w:rFonts w:ascii="Times New Roman" w:hAnsi="Times New Roman" w:eastAsia="Times New Roman" w:cs="Times New Roman"/>
                <w:b w:val="0"/>
                <w:i w:val="0"/>
                <w:sz w:val="22"/>
              </w:rPr>
              <w:t>0</w:t>
            </w:r>
          </w:p>
        </w:tc>
        <w:tc>
          <w:tcPr>
            <w:tcW w:type="dxa" w:w="2160"/>
          </w:tcPr>
          <w:p>
            <w:pPr>
              <w:jc w:val="center"/>
            </w:pPr>
            <w:r>
              <w:rPr>
                <w:rFonts w:ascii="Times New Roman" w:hAnsi="Times New Roman" w:eastAsia="Times New Roman" w:cs="Times New Roman"/>
                <w:b w:val="0"/>
                <w:i w:val="0"/>
                <w:sz w:val="22"/>
              </w:rPr>
              <w:t>0</w:t>
            </w:r>
          </w:p>
        </w:tc>
        <w:tc>
          <w:tcPr>
            <w:tcW w:type="dxa" w:w="2160"/>
          </w:tcPr>
          <w:p>
            <w:pPr>
              <w:jc w:val="center"/>
            </w:pPr>
            <w:r>
              <w:rPr>
                <w:rFonts w:ascii="Times New Roman" w:hAnsi="Times New Roman" w:eastAsia="Times New Roman" w:cs="Times New Roman"/>
                <w:b w:val="0"/>
                <w:i w:val="0"/>
                <w:sz w:val="22"/>
              </w:rPr>
              <w:t>0</w:t>
            </w:r>
          </w:p>
        </w:tc>
      </w:tr>
      <w:tr>
        <w:tc>
          <w:tcPr>
            <w:tcW w:type="dxa" w:w="3168"/>
          </w:tcPr>
          <w:p>
            <w:pPr>
              <w:jc w:val="center"/>
            </w:pPr>
            <w:r>
              <w:rPr>
                <w:rFonts w:ascii="Times New Roman" w:hAnsi="Times New Roman" w:eastAsia="Times New Roman" w:cs="Times New Roman"/>
                <w:b w:val="0"/>
                <w:i w:val="0"/>
                <w:sz w:val="22"/>
              </w:rPr>
              <w:t>+1</w:t>
            </w:r>
          </w:p>
        </w:tc>
        <w:tc>
          <w:tcPr>
            <w:tcW w:type="dxa" w:w="2160"/>
          </w:tcPr>
          <w:p>
            <w:pPr>
              <w:jc w:val="center"/>
            </w:pPr>
            <w:r>
              <w:rPr>
                <w:rFonts w:ascii="Times New Roman" w:hAnsi="Times New Roman" w:eastAsia="Times New Roman" w:cs="Times New Roman"/>
                <w:b w:val="0"/>
                <w:i w:val="0"/>
                <w:sz w:val="22"/>
              </w:rPr>
              <w:t>1</w:t>
            </w:r>
          </w:p>
        </w:tc>
        <w:tc>
          <w:tcPr>
            <w:tcW w:type="dxa" w:w="2160"/>
          </w:tcPr>
          <w:p>
            <w:pPr>
              <w:jc w:val="center"/>
            </w:pPr>
            <w:r>
              <w:rPr>
                <w:rFonts w:ascii="Times New Roman" w:hAnsi="Times New Roman" w:eastAsia="Times New Roman" w:cs="Times New Roman"/>
                <w:b w:val="0"/>
                <w:i w:val="0"/>
                <w:sz w:val="22"/>
              </w:rPr>
              <w:t>1,196</w:t>
            </w:r>
          </w:p>
        </w:tc>
        <w:tc>
          <w:tcPr>
            <w:tcW w:type="dxa" w:w="2160"/>
          </w:tcPr>
          <w:p>
            <w:pPr>
              <w:jc w:val="center"/>
            </w:pPr>
            <w:r>
              <w:rPr>
                <w:rFonts w:ascii="Times New Roman" w:hAnsi="Times New Roman" w:eastAsia="Times New Roman" w:cs="Times New Roman"/>
                <w:b w:val="0"/>
                <w:i w:val="0"/>
                <w:sz w:val="22"/>
              </w:rPr>
              <w:t>0</w:t>
            </w:r>
          </w:p>
        </w:tc>
        <w:tc>
          <w:tcPr>
            <w:tcW w:type="dxa" w:w="2160"/>
          </w:tcPr>
          <w:p>
            <w:pPr>
              <w:jc w:val="center"/>
            </w:pPr>
            <w:r>
              <w:rPr>
                <w:rFonts w:ascii="Times New Roman" w:hAnsi="Times New Roman" w:eastAsia="Times New Roman" w:cs="Times New Roman"/>
                <w:b w:val="0"/>
                <w:i w:val="0"/>
                <w:sz w:val="22"/>
              </w:rPr>
              <w:t>0</w:t>
            </w:r>
          </w:p>
        </w:tc>
      </w:tr>
      <w:tr>
        <w:tc>
          <w:tcPr>
            <w:tcW w:type="dxa" w:w="3168"/>
          </w:tcPr>
          <w:p>
            <w:pPr>
              <w:jc w:val="center"/>
            </w:pPr>
            <w:r>
              <w:rPr>
                <w:rFonts w:ascii="Times New Roman" w:hAnsi="Times New Roman" w:eastAsia="Times New Roman" w:cs="Times New Roman"/>
                <w:b w:val="0"/>
                <w:i w:val="0"/>
                <w:sz w:val="22"/>
              </w:rPr>
              <w:t>+2</w:t>
            </w:r>
          </w:p>
        </w:tc>
        <w:tc>
          <w:tcPr>
            <w:tcW w:type="dxa" w:w="2160"/>
          </w:tcPr>
          <w:p>
            <w:pPr>
              <w:jc w:val="center"/>
            </w:pPr>
            <w:r>
              <w:rPr>
                <w:rFonts w:ascii="Times New Roman" w:hAnsi="Times New Roman" w:eastAsia="Times New Roman" w:cs="Times New Roman"/>
                <w:b w:val="0"/>
                <w:i w:val="0"/>
                <w:sz w:val="22"/>
              </w:rPr>
              <w:t>0</w:t>
            </w:r>
          </w:p>
        </w:tc>
        <w:tc>
          <w:tcPr>
            <w:tcW w:type="dxa" w:w="2160"/>
          </w:tcPr>
          <w:p>
            <w:pPr>
              <w:jc w:val="center"/>
            </w:pPr>
            <w:r>
              <w:rPr>
                <w:rFonts w:ascii="Times New Roman" w:hAnsi="Times New Roman" w:eastAsia="Times New Roman" w:cs="Times New Roman"/>
                <w:b w:val="0"/>
                <w:i w:val="0"/>
                <w:sz w:val="22"/>
              </w:rPr>
              <w:t>6</w:t>
            </w:r>
          </w:p>
        </w:tc>
        <w:tc>
          <w:tcPr>
            <w:tcW w:type="dxa" w:w="2160"/>
          </w:tcPr>
          <w:p>
            <w:pPr>
              <w:jc w:val="center"/>
            </w:pPr>
            <w:r>
              <w:rPr>
                <w:rFonts w:ascii="Times New Roman" w:hAnsi="Times New Roman" w:eastAsia="Times New Roman" w:cs="Times New Roman"/>
                <w:b w:val="0"/>
                <w:i w:val="0"/>
                <w:sz w:val="22"/>
              </w:rPr>
              <w:t>413</w:t>
            </w:r>
          </w:p>
        </w:tc>
        <w:tc>
          <w:tcPr>
            <w:tcW w:type="dxa" w:w="2160"/>
          </w:tcPr>
          <w:p>
            <w:pPr>
              <w:jc w:val="center"/>
            </w:pPr>
            <w:r>
              <w:rPr>
                <w:rFonts w:ascii="Times New Roman" w:hAnsi="Times New Roman" w:eastAsia="Times New Roman" w:cs="Times New Roman"/>
                <w:b w:val="0"/>
                <w:i w:val="0"/>
                <w:sz w:val="22"/>
              </w:rPr>
              <w:t>4</w:t>
            </w:r>
          </w:p>
        </w:tc>
      </w:tr>
      <w:tr>
        <w:tc>
          <w:tcPr>
            <w:tcW w:type="dxa" w:w="3168"/>
          </w:tcPr>
          <w:p>
            <w:pPr>
              <w:jc w:val="center"/>
            </w:pPr>
            <w:r>
              <w:rPr>
                <w:rFonts w:ascii="Times New Roman" w:hAnsi="Times New Roman" w:eastAsia="Times New Roman" w:cs="Times New Roman"/>
                <w:b w:val="0"/>
                <w:i w:val="0"/>
                <w:sz w:val="22"/>
              </w:rPr>
              <w:t>+3</w:t>
            </w:r>
          </w:p>
        </w:tc>
        <w:tc>
          <w:tcPr>
            <w:tcW w:type="dxa" w:w="2160"/>
          </w:tcPr>
          <w:p>
            <w:pPr>
              <w:jc w:val="center"/>
            </w:pPr>
            <w:r>
              <w:rPr>
                <w:rFonts w:ascii="Times New Roman" w:hAnsi="Times New Roman" w:eastAsia="Times New Roman" w:cs="Times New Roman"/>
                <w:b w:val="0"/>
                <w:i w:val="0"/>
                <w:sz w:val="22"/>
              </w:rPr>
              <w:t>0</w:t>
            </w:r>
          </w:p>
        </w:tc>
        <w:tc>
          <w:tcPr>
            <w:tcW w:type="dxa" w:w="2160"/>
          </w:tcPr>
          <w:p>
            <w:pPr>
              <w:jc w:val="center"/>
            </w:pPr>
            <w:r>
              <w:rPr>
                <w:rFonts w:ascii="Times New Roman" w:hAnsi="Times New Roman" w:eastAsia="Times New Roman" w:cs="Times New Roman"/>
                <w:b w:val="0"/>
                <w:i w:val="0"/>
                <w:sz w:val="22"/>
              </w:rPr>
              <w:t>1</w:t>
            </w:r>
          </w:p>
        </w:tc>
        <w:tc>
          <w:tcPr>
            <w:tcW w:type="dxa" w:w="2160"/>
          </w:tcPr>
          <w:p>
            <w:pPr>
              <w:jc w:val="center"/>
            </w:pPr>
            <w:r>
              <w:rPr>
                <w:rFonts w:ascii="Times New Roman" w:hAnsi="Times New Roman" w:eastAsia="Times New Roman" w:cs="Times New Roman"/>
                <w:b w:val="0"/>
                <w:i w:val="0"/>
                <w:sz w:val="22"/>
              </w:rPr>
              <w:t>2</w:t>
            </w:r>
          </w:p>
        </w:tc>
        <w:tc>
          <w:tcPr>
            <w:tcW w:type="dxa" w:w="2160"/>
          </w:tcPr>
          <w:p>
            <w:pPr>
              <w:jc w:val="center"/>
            </w:pPr>
            <w:r>
              <w:rPr>
                <w:rFonts w:ascii="Times New Roman" w:hAnsi="Times New Roman" w:eastAsia="Times New Roman" w:cs="Times New Roman"/>
                <w:b w:val="0"/>
                <w:i w:val="0"/>
                <w:sz w:val="22"/>
              </w:rPr>
              <w:t>1,423</w:t>
            </w:r>
          </w:p>
        </w:tc>
      </w:tr>
    </w:tbl>
    <w:p>
      <w:pPr>
        <w:spacing w:after="280" w:before="80"/>
        <w:jc w:val="center"/>
      </w:pPr>
      <w:r>
        <w:rPr>
          <w:rFonts w:ascii="Times New Roman" w:hAnsi="Times New Roman" w:eastAsia="Times New Roman" w:cs="Times New Roman"/>
          <w:b/>
          <w:i/>
          <w:sz w:val="22"/>
        </w:rPr>
        <w:t>Table 4.2: Confusion matrix for the dispatch classifier on the test set (n = 5,244)</w:t>
      </w:r>
    </w:p>
    <w:p>
      <w:pPr>
        <w:spacing w:line="360" w:lineRule="auto" w:after="160"/>
        <w:ind w:left="0" w:firstLine="0"/>
        <w:jc w:val="both"/>
      </w:pPr>
      <w:r>
        <w:rPr>
          <w:rFonts w:ascii="Times New Roman" w:hAnsi="Times New Roman" w:eastAsia="Times New Roman" w:cs="Times New Roman"/>
          <w:b w:val="0"/>
          <w:i w:val="0"/>
          <w:sz w:val="24"/>
        </w:rPr>
        <w:t>These results indicate that the Random Forest classifier not only achieves high aggregate accuracy but also preserves reliability on the minority classes, including the safety-critical Critical class, which is the class most consequential to miss in an operational setting. This supports the use of balanced_subsample class weighting described in Section 3.6.1 as an effective countermeasure to the class imbalance identified in the dataset (Section 3.4).</w:t>
      </w:r>
    </w:p>
    <w:p>
      <w:pPr>
        <w:pStyle w:val="Heading1"/>
        <w:spacing w:after="240"/>
        <w:ind w:left="0" w:firstLine="0"/>
      </w:pPr>
      <w:r>
        <w:rPr>
          <w:rFonts w:ascii="Times New Roman" w:hAnsi="Times New Roman" w:eastAsia="Times New Roman" w:cs="Times New Roman"/>
          <w:b/>
          <w:i w:val="0"/>
          <w:sz w:val="28"/>
        </w:rPr>
        <w:t>4.3 Timetable Forecaster Performance</w:t>
      </w:r>
    </w:p>
    <w:p>
      <w:pPr>
        <w:spacing w:line="360" w:lineRule="auto" w:after="160"/>
        <w:ind w:left="0" w:firstLine="0"/>
        <w:jc w:val="both"/>
      </w:pPr>
      <w:r>
        <w:rPr>
          <w:rFonts w:ascii="Times New Roman" w:hAnsi="Times New Roman" w:eastAsia="Times New Roman" w:cs="Times New Roman"/>
          <w:b w:val="0"/>
          <w:i w:val="0"/>
          <w:sz w:val="24"/>
        </w:rPr>
        <w:t>The Gradient Boosting timetable forecaster was evaluated on its ability to predict fused_occupancy_rate over a four-week horizon. The model achieved a mean absolute error (MAE) of 2.87% occupancy, meaning that, on average, the forecaster's predicted occupancy differs from the actual occupancy by less than three percentage points. Feature-importance analysis (Section 4.5) confirms that this level of accuracy is driven primarily by the fused occupancy signal and delay-related features rather than by any single data source in isolation, reinforcing the value of the three-way data fusion adopted in the proposed methodology.</w:t>
      </w:r>
    </w:p>
    <w:p>
      <w:pPr>
        <w:spacing w:after="80" w:before="160"/>
        <w:jc w:val="center"/>
      </w:pPr>
      <w:r>
        <w:drawing>
          <wp:inline xmlns:wp="http://schemas.openxmlformats.org/drawingml/2006/wordprocessingDrawing" distT="0" distB="0" distL="0" distR="0">
            <wp:extent cx="5760720" cy="2617410"/>
            <wp:effectExtent l="0" t="0" r="0" b="0"/>
            <wp:docPr id="9104" name="fig_4_3_forecast_vs_act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 name="fig_4_3_forecast_vs_actual"/>
                    <pic:cNvPicPr/>
                  </pic:nvPicPr>
                  <pic:blipFill>
                    <a:blip xmlns:r="http://schemas.openxmlformats.org/officeDocument/2006/relationships" r:embed="rId203"/>
                    <a:stretch>
                      <a:fillRect/>
                    </a:stretch>
                  </pic:blipFill>
                  <pic:spPr>
                    <a:xfrm>
                      <a:off x="0" y="0"/>
                      <a:ext cx="5760720" cy="2617410"/>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4.3: Sample one-week forecast vs. actual occupancy</w:t>
      </w:r>
    </w:p>
    <w:p>
      <w:pPr>
        <w:pStyle w:val="Heading1"/>
        <w:spacing w:after="240"/>
        <w:ind w:left="0" w:firstLine="0"/>
      </w:pPr>
      <w:r>
        <w:rPr>
          <w:rFonts w:ascii="Times New Roman" w:hAnsi="Times New Roman" w:eastAsia="Times New Roman" w:cs="Times New Roman"/>
          <w:b/>
          <w:i w:val="0"/>
          <w:sz w:val="28"/>
        </w:rPr>
        <w:t>4.4 Autonomous Timetable Output</w:t>
      </w:r>
    </w:p>
    <w:p>
      <w:pPr>
        <w:spacing w:line="360" w:lineRule="auto" w:after="160"/>
        <w:ind w:left="0" w:firstLine="0"/>
        <w:jc w:val="both"/>
      </w:pPr>
      <w:r>
        <w:rPr>
          <w:rFonts w:ascii="Times New Roman" w:hAnsi="Times New Roman" w:eastAsia="Times New Roman" w:cs="Times New Roman"/>
          <w:b w:val="0"/>
          <w:i w:val="0"/>
          <w:sz w:val="24"/>
        </w:rPr>
        <w:t>Applying the autonomous decision rules from Section 3.7 to the forecaster's four-week predictions across all 12 stations produced a complete, human-input-free timetable. Table 4.3 summarises the volume of decisions generated during this validation run.</w:t>
      </w:r>
    </w:p>
    <w:p>
      <w:pPr>
        <w:spacing w:after="80" w:before="160"/>
        <w:jc w:val="center"/>
      </w:pPr>
      <w:r>
        <w:drawing>
          <wp:inline xmlns:wp="http://schemas.openxmlformats.org/drawingml/2006/wordprocessingDrawing" distT="0" distB="0" distL="0" distR="0">
            <wp:extent cx="5760720" cy="3088840"/>
            <wp:effectExtent l="0" t="0" r="0" b="0"/>
            <wp:docPr id="9103" name="fig_4_4_timetable_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3" name="fig_4_4_timetable_output"/>
                    <pic:cNvPicPr/>
                  </pic:nvPicPr>
                  <pic:blipFill>
                    <a:blip xmlns:r="http://schemas.openxmlformats.org/officeDocument/2006/relationships" r:embed="rId204"/>
                    <a:stretch>
                      <a:fillRect/>
                    </a:stretch>
                  </pic:blipFill>
                  <pic:spPr>
                    <a:xfrm>
                      <a:off x="0" y="0"/>
                      <a:ext cx="5760720" cy="3088840"/>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4.4: Autonomous timetable output volumes</w:t>
      </w:r>
    </w:p>
    <w:tbl>
      <w:tblPr>
        <w:tblStyle w:val="TableGrid0"/>
        <w:tblW w:type="auto" w:w="0"/>
        <w:jc w:val="center"/>
        <w:tblLook w:firstColumn="1" w:firstRow="1" w:lastColumn="0" w:lastRow="0" w:noHBand="0" w:noVBand="1" w:val="04A0"/>
        <w:jc w:val="center"/>
      </w:tblPr>
      <w:tblGrid>
        <w:gridCol w:w="4716"/>
        <w:gridCol w:w="4716"/>
      </w:tblGrid>
      <w:tr>
        <w:tc>
          <w:tcPr>
            <w:tcW w:type="dxa" w:w="5040"/>
            <w:shd w:val="clear" w:color="auto" w:fill="D9EAF7"/>
          </w:tcPr>
          <w:p>
            <w:pPr>
              <w:jc w:val="center"/>
            </w:pPr>
            <w:r>
              <w:rPr>
                <w:rFonts w:ascii="Times New Roman" w:hAnsi="Times New Roman" w:eastAsia="Times New Roman" w:cs="Times New Roman"/>
                <w:b/>
                <w:i w:val="0"/>
                <w:sz w:val="22"/>
              </w:rPr>
              <w:t>Metric</w:t>
            </w:r>
          </w:p>
        </w:tc>
        <w:tc>
          <w:tcPr>
            <w:tcW w:type="dxa" w:w="3600"/>
            <w:shd w:val="clear" w:color="auto" w:fill="D9EAF7"/>
          </w:tcPr>
          <w:p>
            <w:pPr>
              <w:jc w:val="center"/>
            </w:pPr>
            <w:r>
              <w:rPr>
                <w:rFonts w:ascii="Times New Roman" w:hAnsi="Times New Roman" w:eastAsia="Times New Roman" w:cs="Times New Roman"/>
                <w:b/>
                <w:i w:val="0"/>
                <w:sz w:val="22"/>
              </w:rPr>
              <w:t>Value</w:t>
            </w:r>
          </w:p>
        </w:tc>
      </w:tr>
      <w:tr>
        <w:tc>
          <w:tcPr>
            <w:tcW w:type="dxa" w:w="5040"/>
          </w:tcPr>
          <w:p>
            <w:pPr>
              <w:jc w:val="center"/>
            </w:pPr>
            <w:r>
              <w:rPr>
                <w:rFonts w:ascii="Times New Roman" w:hAnsi="Times New Roman" w:eastAsia="Times New Roman" w:cs="Times New Roman"/>
                <w:b w:val="0"/>
                <w:i w:val="0"/>
                <w:sz w:val="22"/>
              </w:rPr>
              <w:t>Time slots computed</w:t>
            </w:r>
          </w:p>
        </w:tc>
        <w:tc>
          <w:tcPr>
            <w:tcW w:type="dxa" w:w="3600"/>
          </w:tcPr>
          <w:p>
            <w:pPr>
              <w:jc w:val="center"/>
            </w:pPr>
            <w:r>
              <w:rPr>
                <w:rFonts w:ascii="Times New Roman" w:hAnsi="Times New Roman" w:eastAsia="Times New Roman" w:cs="Times New Roman"/>
                <w:b w:val="0"/>
                <w:i w:val="0"/>
                <w:sz w:val="22"/>
              </w:rPr>
              <w:t>6,384</w:t>
            </w:r>
          </w:p>
        </w:tc>
      </w:tr>
      <w:tr>
        <w:tc>
          <w:tcPr>
            <w:tcW w:type="dxa" w:w="5040"/>
          </w:tcPr>
          <w:p>
            <w:pPr>
              <w:jc w:val="center"/>
            </w:pPr>
            <w:r>
              <w:rPr>
                <w:rFonts w:ascii="Times New Roman" w:hAnsi="Times New Roman" w:eastAsia="Times New Roman" w:cs="Times New Roman"/>
                <w:b w:val="0"/>
                <w:i w:val="0"/>
                <w:sz w:val="22"/>
              </w:rPr>
              <w:t>Train insertions</w:t>
            </w:r>
          </w:p>
        </w:tc>
        <w:tc>
          <w:tcPr>
            <w:tcW w:type="dxa" w:w="3600"/>
          </w:tcPr>
          <w:p>
            <w:pPr>
              <w:jc w:val="center"/>
            </w:pPr>
            <w:r>
              <w:rPr>
                <w:rFonts w:ascii="Times New Roman" w:hAnsi="Times New Roman" w:eastAsia="Times New Roman" w:cs="Times New Roman"/>
                <w:b w:val="0"/>
                <w:i w:val="0"/>
                <w:sz w:val="22"/>
              </w:rPr>
              <w:t>3,501</w:t>
            </w:r>
          </w:p>
        </w:tc>
      </w:tr>
      <w:tr>
        <w:tc>
          <w:tcPr>
            <w:tcW w:type="dxa" w:w="5040"/>
          </w:tcPr>
          <w:p>
            <w:pPr>
              <w:jc w:val="center"/>
            </w:pPr>
            <w:r>
              <w:rPr>
                <w:rFonts w:ascii="Times New Roman" w:hAnsi="Times New Roman" w:eastAsia="Times New Roman" w:cs="Times New Roman"/>
                <w:b w:val="0"/>
                <w:i w:val="0"/>
                <w:sz w:val="22"/>
              </w:rPr>
              <w:t>Train reductions</w:t>
            </w:r>
          </w:p>
        </w:tc>
        <w:tc>
          <w:tcPr>
            <w:tcW w:type="dxa" w:w="3600"/>
          </w:tcPr>
          <w:p>
            <w:pPr>
              <w:jc w:val="center"/>
            </w:pPr>
            <w:r>
              <w:rPr>
                <w:rFonts w:ascii="Times New Roman" w:hAnsi="Times New Roman" w:eastAsia="Times New Roman" w:cs="Times New Roman"/>
                <w:b w:val="0"/>
                <w:i w:val="0"/>
                <w:sz w:val="22"/>
              </w:rPr>
              <w:t>1,445</w:t>
            </w:r>
          </w:p>
        </w:tc>
      </w:tr>
      <w:tr>
        <w:tc>
          <w:tcPr>
            <w:tcW w:type="dxa" w:w="5040"/>
          </w:tcPr>
          <w:p>
            <w:pPr>
              <w:jc w:val="center"/>
            </w:pPr>
            <w:r>
              <w:rPr>
                <w:rFonts w:ascii="Times New Roman" w:hAnsi="Times New Roman" w:eastAsia="Times New Roman" w:cs="Times New Roman"/>
                <w:b w:val="0"/>
                <w:i w:val="0"/>
                <w:sz w:val="22"/>
              </w:rPr>
              <w:t>Critical alerts raised</w:t>
            </w:r>
          </w:p>
        </w:tc>
        <w:tc>
          <w:tcPr>
            <w:tcW w:type="dxa" w:w="3600"/>
          </w:tcPr>
          <w:p>
            <w:pPr>
              <w:jc w:val="center"/>
            </w:pPr>
            <w:r>
              <w:rPr>
                <w:rFonts w:ascii="Times New Roman" w:hAnsi="Times New Roman" w:eastAsia="Times New Roman" w:cs="Times New Roman"/>
                <w:b w:val="0"/>
                <w:i w:val="0"/>
                <w:sz w:val="22"/>
              </w:rPr>
              <w:t>1,822</w:t>
            </w:r>
          </w:p>
        </w:tc>
      </w:tr>
      <w:tr>
        <w:tc>
          <w:tcPr>
            <w:tcW w:type="dxa" w:w="5040"/>
          </w:tcPr>
          <w:p>
            <w:pPr>
              <w:jc w:val="center"/>
            </w:pPr>
            <w:r>
              <w:rPr>
                <w:rFonts w:ascii="Times New Roman" w:hAnsi="Times New Roman" w:eastAsia="Times New Roman" w:cs="Times New Roman"/>
                <w:b w:val="0"/>
                <w:i w:val="0"/>
                <w:sz w:val="22"/>
              </w:rPr>
              <w:t>Forecast error (MAE)</w:t>
            </w:r>
          </w:p>
        </w:tc>
        <w:tc>
          <w:tcPr>
            <w:tcW w:type="dxa" w:w="3600"/>
          </w:tcPr>
          <w:p>
            <w:pPr>
              <w:jc w:val="center"/>
            </w:pPr>
            <w:r>
              <w:rPr>
                <w:rFonts w:ascii="Times New Roman" w:hAnsi="Times New Roman" w:eastAsia="Times New Roman" w:cs="Times New Roman"/>
                <w:b w:val="0"/>
                <w:i w:val="0"/>
                <w:sz w:val="22"/>
              </w:rPr>
              <w:t>2.87% occupancy</w:t>
            </w:r>
          </w:p>
        </w:tc>
      </w:tr>
    </w:tbl>
    <w:p>
      <w:pPr>
        <w:spacing w:after="280" w:before="80"/>
        <w:jc w:val="center"/>
      </w:pPr>
      <w:r>
        <w:rPr>
          <w:rFonts w:ascii="Times New Roman" w:hAnsi="Times New Roman" w:eastAsia="Times New Roman" w:cs="Times New Roman"/>
          <w:b/>
          <w:i/>
          <w:sz w:val="22"/>
        </w:rPr>
        <w:t>Table 4.3: Summary statistics for the autonomously generated four-week timetable</w:t>
      </w:r>
    </w:p>
    <w:p>
      <w:pPr>
        <w:spacing w:line="360" w:lineRule="auto" w:after="160"/>
        <w:ind w:left="0" w:firstLine="0"/>
        <w:jc w:val="both"/>
      </w:pPr>
      <w:r>
        <w:rPr>
          <w:rFonts w:ascii="Times New Roman" w:hAnsi="Times New Roman" w:eastAsia="Times New Roman" w:cs="Times New Roman"/>
          <w:b w:val="0"/>
          <w:i w:val="0"/>
          <w:sz w:val="24"/>
        </w:rPr>
        <w:t>Table 4.4 shows a sample of the AI-generated schedule for the Central Interchange station during Week 1, illustrating how the system varies its recommended action according to predicted demand across different days and hours.</w:t>
      </w:r>
    </w:p>
    <w:tbl>
      <w:tblPr>
        <w:tblStyle w:val="TableGrid0"/>
        <w:tblW w:type="auto" w:w="0"/>
        <w:jc w:val="center"/>
        <w:tblLook w:firstColumn="1" w:firstRow="1" w:lastColumn="0" w:lastRow="0" w:noHBand="0" w:noVBand="1" w:val="04A0"/>
        <w:jc w:val="center"/>
      </w:tblPr>
      <w:tblGrid>
        <w:gridCol w:w="2358"/>
        <w:gridCol w:w="2358"/>
        <w:gridCol w:w="2358"/>
        <w:gridCol w:w="2358"/>
      </w:tblGrid>
      <w:tr>
        <w:tc>
          <w:tcPr>
            <w:tcW w:type="dxa" w:w="2592"/>
            <w:shd w:val="clear" w:color="auto" w:fill="D9EAF7"/>
          </w:tcPr>
          <w:p>
            <w:pPr>
              <w:jc w:val="center"/>
            </w:pPr>
            <w:r>
              <w:rPr>
                <w:rFonts w:ascii="Times New Roman" w:hAnsi="Times New Roman" w:eastAsia="Times New Roman" w:cs="Times New Roman"/>
                <w:b/>
                <w:i w:val="0"/>
                <w:sz w:val="22"/>
              </w:rPr>
              <w:t>Day</w:t>
            </w:r>
          </w:p>
        </w:tc>
        <w:tc>
          <w:tcPr>
            <w:tcW w:type="dxa" w:w="2016"/>
            <w:shd w:val="clear" w:color="auto" w:fill="D9EAF7"/>
          </w:tcPr>
          <w:p>
            <w:pPr>
              <w:jc w:val="center"/>
            </w:pPr>
            <w:r>
              <w:rPr>
                <w:rFonts w:ascii="Times New Roman" w:hAnsi="Times New Roman" w:eastAsia="Times New Roman" w:cs="Times New Roman"/>
                <w:b/>
                <w:i w:val="0"/>
                <w:sz w:val="22"/>
              </w:rPr>
              <w:t>Hour</w:t>
            </w:r>
          </w:p>
        </w:tc>
        <w:tc>
          <w:tcPr>
            <w:tcW w:type="dxa" w:w="3456"/>
            <w:shd w:val="clear" w:color="auto" w:fill="D9EAF7"/>
          </w:tcPr>
          <w:p>
            <w:pPr>
              <w:jc w:val="center"/>
            </w:pPr>
            <w:r>
              <w:rPr>
                <w:rFonts w:ascii="Times New Roman" w:hAnsi="Times New Roman" w:eastAsia="Times New Roman" w:cs="Times New Roman"/>
                <w:b/>
                <w:i w:val="0"/>
                <w:sz w:val="22"/>
              </w:rPr>
              <w:t>Predicted Occupancy</w:t>
            </w:r>
          </w:p>
        </w:tc>
        <w:tc>
          <w:tcPr>
            <w:tcW w:type="dxa" w:w="3456"/>
            <w:shd w:val="clear" w:color="auto" w:fill="D9EAF7"/>
          </w:tcPr>
          <w:p>
            <w:pPr>
              <w:jc w:val="center"/>
            </w:pPr>
            <w:r>
              <w:rPr>
                <w:rFonts w:ascii="Times New Roman" w:hAnsi="Times New Roman" w:eastAsia="Times New Roman" w:cs="Times New Roman"/>
                <w:b/>
                <w:i w:val="0"/>
                <w:sz w:val="22"/>
              </w:rPr>
              <w:t>AI Action</w:t>
            </w:r>
          </w:p>
        </w:tc>
      </w:tr>
      <w:tr>
        <w:tc>
          <w:tcPr>
            <w:tcW w:type="dxa" w:w="2592"/>
          </w:tcPr>
          <w:p>
            <w:pPr>
              <w:jc w:val="center"/>
            </w:pPr>
            <w:r>
              <w:rPr>
                <w:rFonts w:ascii="Times New Roman" w:hAnsi="Times New Roman" w:eastAsia="Times New Roman" w:cs="Times New Roman"/>
                <w:b w:val="0"/>
                <w:i w:val="0"/>
                <w:sz w:val="22"/>
              </w:rPr>
              <w:t>Monday</w:t>
            </w:r>
          </w:p>
        </w:tc>
        <w:tc>
          <w:tcPr>
            <w:tcW w:type="dxa" w:w="2016"/>
          </w:tcPr>
          <w:p>
            <w:pPr>
              <w:jc w:val="center"/>
            </w:pPr>
            <w:r>
              <w:rPr>
                <w:rFonts w:ascii="Times New Roman" w:hAnsi="Times New Roman" w:eastAsia="Times New Roman" w:cs="Times New Roman"/>
                <w:b w:val="0"/>
                <w:i w:val="0"/>
                <w:sz w:val="22"/>
              </w:rPr>
              <w:t>08:00</w:t>
            </w:r>
          </w:p>
        </w:tc>
        <w:tc>
          <w:tcPr>
            <w:tcW w:type="dxa" w:w="3456"/>
          </w:tcPr>
          <w:p>
            <w:pPr>
              <w:jc w:val="center"/>
            </w:pPr>
            <w:r>
              <w:rPr>
                <w:rFonts w:ascii="Times New Roman" w:hAnsi="Times New Roman" w:eastAsia="Times New Roman" w:cs="Times New Roman"/>
                <w:b w:val="0"/>
                <w:i w:val="0"/>
                <w:sz w:val="22"/>
              </w:rPr>
              <w:t>94%</w:t>
            </w:r>
          </w:p>
        </w:tc>
        <w:tc>
          <w:tcPr>
            <w:tcW w:type="dxa" w:w="3456"/>
          </w:tcPr>
          <w:p>
            <w:pPr>
              <w:jc w:val="center"/>
            </w:pPr>
            <w:r>
              <w:rPr>
                <w:rFonts w:ascii="Times New Roman" w:hAnsi="Times New Roman" w:eastAsia="Times New Roman" w:cs="Times New Roman"/>
                <w:b w:val="0"/>
                <w:i w:val="0"/>
                <w:sz w:val="22"/>
              </w:rPr>
              <w:t>Add 3 trains</w:t>
            </w:r>
          </w:p>
        </w:tc>
      </w:tr>
      <w:tr>
        <w:tc>
          <w:tcPr>
            <w:tcW w:type="dxa" w:w="2592"/>
          </w:tcPr>
          <w:p>
            <w:pPr>
              <w:jc w:val="center"/>
            </w:pPr>
            <w:r>
              <w:rPr>
                <w:rFonts w:ascii="Times New Roman" w:hAnsi="Times New Roman" w:eastAsia="Times New Roman" w:cs="Times New Roman"/>
                <w:b w:val="0"/>
                <w:i w:val="0"/>
                <w:sz w:val="22"/>
              </w:rPr>
              <w:t>Monday</w:t>
            </w:r>
          </w:p>
        </w:tc>
        <w:tc>
          <w:tcPr>
            <w:tcW w:type="dxa" w:w="2016"/>
          </w:tcPr>
          <w:p>
            <w:pPr>
              <w:jc w:val="center"/>
            </w:pPr>
            <w:r>
              <w:rPr>
                <w:rFonts w:ascii="Times New Roman" w:hAnsi="Times New Roman" w:eastAsia="Times New Roman" w:cs="Times New Roman"/>
                <w:b w:val="0"/>
                <w:i w:val="0"/>
                <w:sz w:val="22"/>
              </w:rPr>
              <w:t>17:00</w:t>
            </w:r>
          </w:p>
        </w:tc>
        <w:tc>
          <w:tcPr>
            <w:tcW w:type="dxa" w:w="3456"/>
          </w:tcPr>
          <w:p>
            <w:pPr>
              <w:jc w:val="center"/>
            </w:pPr>
            <w:r>
              <w:rPr>
                <w:rFonts w:ascii="Times New Roman" w:hAnsi="Times New Roman" w:eastAsia="Times New Roman" w:cs="Times New Roman"/>
                <w:b w:val="0"/>
                <w:i w:val="0"/>
                <w:sz w:val="22"/>
              </w:rPr>
              <w:t>91%</w:t>
            </w:r>
          </w:p>
        </w:tc>
        <w:tc>
          <w:tcPr>
            <w:tcW w:type="dxa" w:w="3456"/>
          </w:tcPr>
          <w:p>
            <w:pPr>
              <w:jc w:val="center"/>
            </w:pPr>
            <w:r>
              <w:rPr>
                <w:rFonts w:ascii="Times New Roman" w:hAnsi="Times New Roman" w:eastAsia="Times New Roman" w:cs="Times New Roman"/>
                <w:b w:val="0"/>
                <w:i w:val="0"/>
                <w:sz w:val="22"/>
              </w:rPr>
              <w:t>Add 2 trains</w:t>
            </w:r>
          </w:p>
        </w:tc>
      </w:tr>
      <w:tr>
        <w:tc>
          <w:tcPr>
            <w:tcW w:type="dxa" w:w="2592"/>
          </w:tcPr>
          <w:p>
            <w:pPr>
              <w:jc w:val="center"/>
            </w:pPr>
            <w:r>
              <w:rPr>
                <w:rFonts w:ascii="Times New Roman" w:hAnsi="Times New Roman" w:eastAsia="Times New Roman" w:cs="Times New Roman"/>
                <w:b w:val="0"/>
                <w:i w:val="0"/>
                <w:sz w:val="22"/>
              </w:rPr>
              <w:t>Tuesday</w:t>
            </w:r>
          </w:p>
        </w:tc>
        <w:tc>
          <w:tcPr>
            <w:tcW w:type="dxa" w:w="2016"/>
          </w:tcPr>
          <w:p>
            <w:pPr>
              <w:jc w:val="center"/>
            </w:pPr>
            <w:r>
              <w:rPr>
                <w:rFonts w:ascii="Times New Roman" w:hAnsi="Times New Roman" w:eastAsia="Times New Roman" w:cs="Times New Roman"/>
                <w:b w:val="0"/>
                <w:i w:val="0"/>
                <w:sz w:val="22"/>
              </w:rPr>
              <w:t>09:00</w:t>
            </w:r>
          </w:p>
        </w:tc>
        <w:tc>
          <w:tcPr>
            <w:tcW w:type="dxa" w:w="3456"/>
          </w:tcPr>
          <w:p>
            <w:pPr>
              <w:jc w:val="center"/>
            </w:pPr>
            <w:r>
              <w:rPr>
                <w:rFonts w:ascii="Times New Roman" w:hAnsi="Times New Roman" w:eastAsia="Times New Roman" w:cs="Times New Roman"/>
                <w:b w:val="0"/>
                <w:i w:val="0"/>
                <w:sz w:val="22"/>
              </w:rPr>
              <w:t>82%</w:t>
            </w:r>
          </w:p>
        </w:tc>
        <w:tc>
          <w:tcPr>
            <w:tcW w:type="dxa" w:w="3456"/>
          </w:tcPr>
          <w:p>
            <w:pPr>
              <w:jc w:val="center"/>
            </w:pPr>
            <w:r>
              <w:rPr>
                <w:rFonts w:ascii="Times New Roman" w:hAnsi="Times New Roman" w:eastAsia="Times New Roman" w:cs="Times New Roman"/>
                <w:b w:val="0"/>
                <w:i w:val="0"/>
                <w:sz w:val="22"/>
              </w:rPr>
              <w:t>Add 2 trains</w:t>
            </w:r>
          </w:p>
        </w:tc>
      </w:tr>
      <w:tr>
        <w:tc>
          <w:tcPr>
            <w:tcW w:type="dxa" w:w="2592"/>
          </w:tcPr>
          <w:p>
            <w:pPr>
              <w:jc w:val="center"/>
            </w:pPr>
            <w:r>
              <w:rPr>
                <w:rFonts w:ascii="Times New Roman" w:hAnsi="Times New Roman" w:eastAsia="Times New Roman" w:cs="Times New Roman"/>
                <w:b w:val="0"/>
                <w:i w:val="0"/>
                <w:sz w:val="22"/>
              </w:rPr>
              <w:t>Friday</w:t>
            </w:r>
          </w:p>
        </w:tc>
        <w:tc>
          <w:tcPr>
            <w:tcW w:type="dxa" w:w="2016"/>
          </w:tcPr>
          <w:p>
            <w:pPr>
              <w:jc w:val="center"/>
            </w:pPr>
            <w:r>
              <w:rPr>
                <w:rFonts w:ascii="Times New Roman" w:hAnsi="Times New Roman" w:eastAsia="Times New Roman" w:cs="Times New Roman"/>
                <w:b w:val="0"/>
                <w:i w:val="0"/>
                <w:sz w:val="22"/>
              </w:rPr>
              <w:t>13:00</w:t>
            </w:r>
          </w:p>
        </w:tc>
        <w:tc>
          <w:tcPr>
            <w:tcW w:type="dxa" w:w="3456"/>
          </w:tcPr>
          <w:p>
            <w:pPr>
              <w:jc w:val="center"/>
            </w:pPr>
            <w:r>
              <w:rPr>
                <w:rFonts w:ascii="Times New Roman" w:hAnsi="Times New Roman" w:eastAsia="Times New Roman" w:cs="Times New Roman"/>
                <w:b w:val="0"/>
                <w:i w:val="0"/>
                <w:sz w:val="22"/>
              </w:rPr>
              <w:t>25%</w:t>
            </w:r>
          </w:p>
        </w:tc>
        <w:tc>
          <w:tcPr>
            <w:tcW w:type="dxa" w:w="3456"/>
          </w:tcPr>
          <w:p>
            <w:pPr>
              <w:jc w:val="center"/>
            </w:pPr>
            <w:r>
              <w:rPr>
                <w:rFonts w:ascii="Times New Roman" w:hAnsi="Times New Roman" w:eastAsia="Times New Roman" w:cs="Times New Roman"/>
                <w:b w:val="0"/>
                <w:i w:val="0"/>
                <w:sz w:val="22"/>
              </w:rPr>
              <w:t>Remove 1 train</w:t>
            </w:r>
          </w:p>
        </w:tc>
      </w:tr>
      <w:tr>
        <w:tc>
          <w:tcPr>
            <w:tcW w:type="dxa" w:w="2592"/>
          </w:tcPr>
          <w:p>
            <w:pPr>
              <w:jc w:val="center"/>
            </w:pPr>
            <w:r>
              <w:rPr>
                <w:rFonts w:ascii="Times New Roman" w:hAnsi="Times New Roman" w:eastAsia="Times New Roman" w:cs="Times New Roman"/>
                <w:b w:val="0"/>
                <w:i w:val="0"/>
                <w:sz w:val="22"/>
              </w:rPr>
              <w:t>Saturday</w:t>
            </w:r>
          </w:p>
        </w:tc>
        <w:tc>
          <w:tcPr>
            <w:tcW w:type="dxa" w:w="2016"/>
          </w:tcPr>
          <w:p>
            <w:pPr>
              <w:jc w:val="center"/>
            </w:pPr>
            <w:r>
              <w:rPr>
                <w:rFonts w:ascii="Times New Roman" w:hAnsi="Times New Roman" w:eastAsia="Times New Roman" w:cs="Times New Roman"/>
                <w:b w:val="0"/>
                <w:i w:val="0"/>
                <w:sz w:val="22"/>
              </w:rPr>
              <w:t>11:00</w:t>
            </w:r>
          </w:p>
        </w:tc>
        <w:tc>
          <w:tcPr>
            <w:tcW w:type="dxa" w:w="3456"/>
          </w:tcPr>
          <w:p>
            <w:pPr>
              <w:jc w:val="center"/>
            </w:pPr>
            <w:r>
              <w:rPr>
                <w:rFonts w:ascii="Times New Roman" w:hAnsi="Times New Roman" w:eastAsia="Times New Roman" w:cs="Times New Roman"/>
                <w:b w:val="0"/>
                <w:i w:val="0"/>
                <w:sz w:val="22"/>
              </w:rPr>
              <w:t>41%</w:t>
            </w:r>
          </w:p>
        </w:tc>
        <w:tc>
          <w:tcPr>
            <w:tcW w:type="dxa" w:w="3456"/>
          </w:tcPr>
          <w:p>
            <w:pPr>
              <w:jc w:val="center"/>
            </w:pPr>
            <w:r>
              <w:rPr>
                <w:rFonts w:ascii="Times New Roman" w:hAnsi="Times New Roman" w:eastAsia="Times New Roman" w:cs="Times New Roman"/>
                <w:b w:val="0"/>
                <w:i w:val="0"/>
                <w:sz w:val="22"/>
              </w:rPr>
              <w:t>Keep schedule</w:t>
            </w:r>
          </w:p>
        </w:tc>
      </w:tr>
    </w:tbl>
    <w:p>
      <w:pPr>
        <w:spacing w:after="280" w:before="80"/>
        <w:jc w:val="center"/>
      </w:pPr>
      <w:r>
        <w:rPr>
          <w:rFonts w:ascii="Times New Roman" w:hAnsi="Times New Roman" w:eastAsia="Times New Roman" w:cs="Times New Roman"/>
          <w:b/>
          <w:i/>
          <w:sz w:val="22"/>
        </w:rPr>
        <w:t>Table 4.4: Sample autonomous AI output — Central Interchange, Week 1</w:t>
      </w:r>
    </w:p>
    <w:p>
      <w:pPr>
        <w:spacing w:line="360" w:lineRule="auto" w:after="160"/>
        <w:ind w:left="0" w:firstLine="0"/>
        <w:jc w:val="both"/>
      </w:pPr>
      <w:r>
        <w:rPr>
          <w:rFonts w:ascii="Times New Roman" w:hAnsi="Times New Roman" w:eastAsia="Times New Roman" w:cs="Times New Roman"/>
          <w:b w:val="0"/>
          <w:i w:val="0"/>
          <w:sz w:val="24"/>
        </w:rPr>
        <w:t>The results in Table 4.4 illustrate a practically useful property of the system: it not only adds capacity during high-demand periods (e.g. Monday morning and evening peaks) but also actively removes underused capacity during low-demand periods (e.g. Friday early afternoon), which was not previously possible under the static, manually written timetables described in Chapter 1.</w:t>
      </w:r>
    </w:p>
    <w:p>
      <w:pPr>
        <w:pStyle w:val="Heading1"/>
        <w:spacing w:after="240"/>
        <w:ind w:left="0" w:firstLine="0"/>
      </w:pPr>
      <w:r>
        <w:rPr>
          <w:rFonts w:ascii="Times New Roman" w:hAnsi="Times New Roman" w:eastAsia="Times New Roman" w:cs="Times New Roman"/>
          <w:b/>
          <w:i w:val="0"/>
          <w:sz w:val="28"/>
        </w:rPr>
        <w:t>4.5 CCTV Integration Performance</w:t>
      </w:r>
    </w:p>
    <w:p>
      <w:pPr>
        <w:spacing w:line="360" w:lineRule="auto" w:after="160"/>
        <w:ind w:left="0" w:firstLine="0"/>
        <w:jc w:val="both"/>
      </w:pPr>
      <w:r>
        <w:rPr>
          <w:rFonts w:ascii="Times New Roman" w:hAnsi="Times New Roman" w:eastAsia="Times New Roman" w:cs="Times New Roman"/>
          <w:b w:val="0"/>
          <w:i w:val="0"/>
          <w:sz w:val="24"/>
        </w:rPr>
        <w:t>The CCTV computer-vision channel was evaluated both on its own operational reliability and on the additional capability it contributes relative to AFC data alone. Across the camera network, 87.9% of cameras were fully operational, 8.1% provided partial coverage, and 4.1% were offline, in which case the system automatically fell back to AFC-only estimation. Across all operational cameras, the YOLOv8 detection model achieved an average detection confidence of 93.5%.</w:t>
      </w:r>
    </w:p>
    <w:p>
      <w:pPr>
        <w:spacing w:after="80" w:before="160"/>
        <w:jc w:val="center"/>
      </w:pPr>
      <w:r>
        <w:drawing>
          <wp:inline xmlns:wp="http://schemas.openxmlformats.org/drawingml/2006/wordprocessingDrawing" distT="0" distB="0" distL="0" distR="0">
            <wp:extent cx="5760720" cy="2773902"/>
            <wp:effectExtent l="0" t="0" r="0" b="0"/>
            <wp:docPr id="9102" name="fig_4_5_cctv_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 name="fig_4_5_cctv_performance"/>
                    <pic:cNvPicPr/>
                  </pic:nvPicPr>
                  <pic:blipFill>
                    <a:blip xmlns:r="http://schemas.openxmlformats.org/officeDocument/2006/relationships" r:embed="rId205"/>
                    <a:stretch>
                      <a:fillRect/>
                    </a:stretch>
                  </pic:blipFill>
                  <pic:spPr>
                    <a:xfrm>
                      <a:off x="0" y="0"/>
                      <a:ext cx="5760720" cy="2773902"/>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4.5: CCTV camera network status and detection confidence</w:t>
      </w:r>
    </w:p>
    <w:p>
      <w:pPr>
        <w:spacing w:line="360" w:lineRule="auto" w:after="160"/>
        <w:ind w:left="0" w:firstLine="0"/>
        <w:jc w:val="both"/>
      </w:pPr>
      <w:r>
        <w:rPr>
          <w:rFonts w:ascii="Times New Roman" w:hAnsi="Times New Roman" w:eastAsia="Times New Roman" w:cs="Times New Roman"/>
          <w:b w:val="0"/>
          <w:i w:val="0"/>
          <w:sz w:val="24"/>
        </w:rPr>
        <w:t>Table 4.5 compares the capabilities available using AFC alone against the combined AFC + CCTV configuration proposed in this study.</w:t>
      </w:r>
    </w:p>
    <w:tbl>
      <w:tblPr>
        <w:tblStyle w:val="TableGrid0"/>
        <w:tblW w:type="auto" w:w="0"/>
        <w:jc w:val="center"/>
        <w:tblLook w:firstColumn="1" w:firstRow="1" w:lastColumn="0" w:lastRow="0" w:noHBand="0" w:noVBand="1" w:val="04A0"/>
        <w:jc w:val="center"/>
      </w:tblPr>
      <w:tblGrid>
        <w:gridCol w:w="3144"/>
        <w:gridCol w:w="3144"/>
        <w:gridCol w:w="3144"/>
      </w:tblGrid>
      <w:tr>
        <w:tc>
          <w:tcPr>
            <w:tcW w:type="dxa" w:w="4176"/>
            <w:shd w:val="clear" w:color="auto" w:fill="D9EAF7"/>
          </w:tcPr>
          <w:p>
            <w:pPr>
              <w:jc w:val="center"/>
            </w:pPr>
            <w:r>
              <w:rPr>
                <w:rFonts w:ascii="Times New Roman" w:hAnsi="Times New Roman" w:eastAsia="Times New Roman" w:cs="Times New Roman"/>
                <w:b/>
                <w:i w:val="0"/>
                <w:sz w:val="22"/>
              </w:rPr>
              <w:t>Capability</w:t>
            </w:r>
          </w:p>
        </w:tc>
        <w:tc>
          <w:tcPr>
            <w:tcW w:type="dxa" w:w="2736"/>
            <w:shd w:val="clear" w:color="auto" w:fill="D9EAF7"/>
          </w:tcPr>
          <w:p>
            <w:pPr>
              <w:jc w:val="center"/>
            </w:pPr>
            <w:r>
              <w:rPr>
                <w:rFonts w:ascii="Times New Roman" w:hAnsi="Times New Roman" w:eastAsia="Times New Roman" w:cs="Times New Roman"/>
                <w:b/>
                <w:i w:val="0"/>
                <w:sz w:val="22"/>
              </w:rPr>
              <w:t>AFC Only</w:t>
            </w:r>
          </w:p>
        </w:tc>
        <w:tc>
          <w:tcPr>
            <w:tcW w:type="dxa" w:w="2736"/>
            <w:shd w:val="clear" w:color="auto" w:fill="D9EAF7"/>
          </w:tcPr>
          <w:p>
            <w:pPr>
              <w:jc w:val="center"/>
            </w:pPr>
            <w:r>
              <w:rPr>
                <w:rFonts w:ascii="Times New Roman" w:hAnsi="Times New Roman" w:eastAsia="Times New Roman" w:cs="Times New Roman"/>
                <w:b/>
                <w:i w:val="0"/>
                <w:sz w:val="22"/>
              </w:rPr>
              <w:t>AFC + CCTV</w:t>
            </w:r>
          </w:p>
        </w:tc>
      </w:tr>
      <w:tr>
        <w:tc>
          <w:tcPr>
            <w:tcW w:type="dxa" w:w="4176"/>
          </w:tcPr>
          <w:p>
            <w:pPr>
              <w:jc w:val="center"/>
            </w:pPr>
            <w:r>
              <w:rPr>
                <w:rFonts w:ascii="Times New Roman" w:hAnsi="Times New Roman" w:eastAsia="Times New Roman" w:cs="Times New Roman"/>
                <w:b w:val="0"/>
                <w:i w:val="0"/>
                <w:sz w:val="22"/>
              </w:rPr>
              <w:t>Passenger count (entries)</w:t>
            </w:r>
          </w:p>
        </w:tc>
        <w:tc>
          <w:tcPr>
            <w:tcW w:type="dxa" w:w="2736"/>
          </w:tcPr>
          <w:p>
            <w:pPr>
              <w:jc w:val="center"/>
            </w:pPr>
            <w:r>
              <w:rPr>
                <w:rFonts w:ascii="Times New Roman" w:hAnsi="Times New Roman" w:eastAsia="Times New Roman" w:cs="Times New Roman"/>
                <w:b w:val="0"/>
                <w:i w:val="0"/>
                <w:sz w:val="22"/>
              </w:rPr>
              <w:t>Direct</w:t>
            </w:r>
          </w:p>
        </w:tc>
        <w:tc>
          <w:tcPr>
            <w:tcW w:type="dxa" w:w="2736"/>
          </w:tcPr>
          <w:p>
            <w:pPr>
              <w:jc w:val="center"/>
            </w:pPr>
            <w:r>
              <w:rPr>
                <w:rFonts w:ascii="Times New Roman" w:hAnsi="Times New Roman" w:eastAsia="Times New Roman" w:cs="Times New Roman"/>
                <w:b w:val="0"/>
                <w:i w:val="0"/>
                <w:sz w:val="22"/>
              </w:rPr>
              <w:t>Direct</w:t>
            </w:r>
          </w:p>
        </w:tc>
      </w:tr>
      <w:tr>
        <w:tc>
          <w:tcPr>
            <w:tcW w:type="dxa" w:w="4176"/>
          </w:tcPr>
          <w:p>
            <w:pPr>
              <w:jc w:val="center"/>
            </w:pPr>
            <w:r>
              <w:rPr>
                <w:rFonts w:ascii="Times New Roman" w:hAnsi="Times New Roman" w:eastAsia="Times New Roman" w:cs="Times New Roman"/>
                <w:b w:val="0"/>
                <w:i w:val="0"/>
                <w:sz w:val="22"/>
              </w:rPr>
              <w:t>Platform occupancy</w:t>
            </w:r>
          </w:p>
        </w:tc>
        <w:tc>
          <w:tcPr>
            <w:tcW w:type="dxa" w:w="2736"/>
          </w:tcPr>
          <w:p>
            <w:pPr>
              <w:jc w:val="center"/>
            </w:pPr>
            <w:r>
              <w:rPr>
                <w:rFonts w:ascii="Times New Roman" w:hAnsi="Times New Roman" w:eastAsia="Times New Roman" w:cs="Times New Roman"/>
                <w:b w:val="0"/>
                <w:i w:val="0"/>
                <w:sz w:val="22"/>
              </w:rPr>
              <w:t>Estimated</w:t>
            </w:r>
          </w:p>
        </w:tc>
        <w:tc>
          <w:tcPr>
            <w:tcW w:type="dxa" w:w="2736"/>
          </w:tcPr>
          <w:p>
            <w:pPr>
              <w:jc w:val="center"/>
            </w:pPr>
            <w:r>
              <w:rPr>
                <w:rFonts w:ascii="Times New Roman" w:hAnsi="Times New Roman" w:eastAsia="Times New Roman" w:cs="Times New Roman"/>
                <w:b w:val="0"/>
                <w:i w:val="0"/>
                <w:sz w:val="22"/>
              </w:rPr>
              <w:t>Measured</w:t>
            </w:r>
          </w:p>
        </w:tc>
      </w:tr>
      <w:tr>
        <w:tc>
          <w:tcPr>
            <w:tcW w:type="dxa" w:w="4176"/>
          </w:tcPr>
          <w:p>
            <w:pPr>
              <w:jc w:val="center"/>
            </w:pPr>
            <w:r>
              <w:rPr>
                <w:rFonts w:ascii="Times New Roman" w:hAnsi="Times New Roman" w:eastAsia="Times New Roman" w:cs="Times New Roman"/>
                <w:b w:val="0"/>
                <w:i w:val="0"/>
                <w:sz w:val="22"/>
              </w:rPr>
              <w:t>Zone density (A/B/C)</w:t>
            </w:r>
          </w:p>
        </w:tc>
        <w:tc>
          <w:tcPr>
            <w:tcW w:type="dxa" w:w="2736"/>
          </w:tcPr>
          <w:p>
            <w:pPr>
              <w:jc w:val="center"/>
            </w:pPr>
            <w:r>
              <w:rPr>
                <w:rFonts w:ascii="Times New Roman" w:hAnsi="Times New Roman" w:eastAsia="Times New Roman" w:cs="Times New Roman"/>
                <w:b w:val="0"/>
                <w:i w:val="0"/>
                <w:sz w:val="22"/>
              </w:rPr>
              <w:t>Not available</w:t>
            </w:r>
          </w:p>
        </w:tc>
        <w:tc>
          <w:tcPr>
            <w:tcW w:type="dxa" w:w="2736"/>
          </w:tcPr>
          <w:p>
            <w:pPr>
              <w:jc w:val="center"/>
            </w:pPr>
            <w:r>
              <w:rPr>
                <w:rFonts w:ascii="Times New Roman" w:hAnsi="Times New Roman" w:eastAsia="Times New Roman" w:cs="Times New Roman"/>
                <w:b w:val="0"/>
                <w:i w:val="0"/>
                <w:sz w:val="22"/>
              </w:rPr>
              <w:t>Per zone</w:t>
            </w:r>
          </w:p>
        </w:tc>
      </w:tr>
      <w:tr>
        <w:tc>
          <w:tcPr>
            <w:tcW w:type="dxa" w:w="4176"/>
          </w:tcPr>
          <w:p>
            <w:pPr>
              <w:jc w:val="center"/>
            </w:pPr>
            <w:r>
              <w:rPr>
                <w:rFonts w:ascii="Times New Roman" w:hAnsi="Times New Roman" w:eastAsia="Times New Roman" w:cs="Times New Roman"/>
                <w:b w:val="0"/>
                <w:i w:val="0"/>
                <w:sz w:val="22"/>
              </w:rPr>
              <w:t>Functions if gate malfunctions</w:t>
            </w:r>
          </w:p>
        </w:tc>
        <w:tc>
          <w:tcPr>
            <w:tcW w:type="dxa" w:w="2736"/>
          </w:tcPr>
          <w:p>
            <w:pPr>
              <w:jc w:val="center"/>
            </w:pPr>
            <w:r>
              <w:rPr>
                <w:rFonts w:ascii="Times New Roman" w:hAnsi="Times New Roman" w:eastAsia="Times New Roman" w:cs="Times New Roman"/>
                <w:b w:val="0"/>
                <w:i w:val="0"/>
                <w:sz w:val="22"/>
              </w:rPr>
              <w:t>No</w:t>
            </w:r>
          </w:p>
        </w:tc>
        <w:tc>
          <w:tcPr>
            <w:tcW w:type="dxa" w:w="2736"/>
          </w:tcPr>
          <w:p>
            <w:pPr>
              <w:jc w:val="center"/>
            </w:pPr>
            <w:r>
              <w:rPr>
                <w:rFonts w:ascii="Times New Roman" w:hAnsi="Times New Roman" w:eastAsia="Times New Roman" w:cs="Times New Roman"/>
                <w:b w:val="0"/>
                <w:i w:val="0"/>
                <w:sz w:val="22"/>
              </w:rPr>
              <w:t>Yes</w:t>
            </w:r>
          </w:p>
        </w:tc>
      </w:tr>
      <w:tr>
        <w:tc>
          <w:tcPr>
            <w:tcW w:type="dxa" w:w="4176"/>
          </w:tcPr>
          <w:p>
            <w:pPr>
              <w:jc w:val="center"/>
            </w:pPr>
            <w:r>
              <w:rPr>
                <w:rFonts w:ascii="Times New Roman" w:hAnsi="Times New Roman" w:eastAsia="Times New Roman" w:cs="Times New Roman"/>
                <w:b w:val="0"/>
                <w:i w:val="0"/>
                <w:sz w:val="22"/>
              </w:rPr>
              <w:t>Crowd behaviour visibility</w:t>
            </w:r>
          </w:p>
        </w:tc>
        <w:tc>
          <w:tcPr>
            <w:tcW w:type="dxa" w:w="2736"/>
          </w:tcPr>
          <w:p>
            <w:pPr>
              <w:jc w:val="center"/>
            </w:pPr>
            <w:r>
              <w:rPr>
                <w:rFonts w:ascii="Times New Roman" w:hAnsi="Times New Roman" w:eastAsia="Times New Roman" w:cs="Times New Roman"/>
                <w:b w:val="0"/>
                <w:i w:val="0"/>
                <w:sz w:val="22"/>
              </w:rPr>
              <w:t>Not available</w:t>
            </w:r>
          </w:p>
        </w:tc>
        <w:tc>
          <w:tcPr>
            <w:tcW w:type="dxa" w:w="2736"/>
          </w:tcPr>
          <w:p>
            <w:pPr>
              <w:jc w:val="center"/>
            </w:pPr>
            <w:r>
              <w:rPr>
                <w:rFonts w:ascii="Times New Roman" w:hAnsi="Times New Roman" w:eastAsia="Times New Roman" w:cs="Times New Roman"/>
                <w:b w:val="0"/>
                <w:i w:val="0"/>
                <w:sz w:val="22"/>
              </w:rPr>
              <w:t>Visual</w:t>
            </w:r>
          </w:p>
        </w:tc>
      </w:tr>
    </w:tbl>
    <w:p>
      <w:pPr>
        <w:spacing w:after="280" w:before="80"/>
        <w:jc w:val="center"/>
      </w:pPr>
      <w:r>
        <w:rPr>
          <w:rFonts w:ascii="Times New Roman" w:hAnsi="Times New Roman" w:eastAsia="Times New Roman" w:cs="Times New Roman"/>
          <w:b/>
          <w:i/>
          <w:sz w:val="22"/>
        </w:rPr>
        <w:t>Table 4.5: Capability comparison — AFC-only versus combined AFC + CCTV</w:t>
      </w:r>
    </w:p>
    <w:p>
      <w:pPr>
        <w:spacing w:line="360" w:lineRule="auto" w:after="160"/>
        <w:ind w:left="0" w:firstLine="0"/>
        <w:jc w:val="both"/>
      </w:pPr>
      <w:r>
        <w:rPr>
          <w:rFonts w:ascii="Times New Roman" w:hAnsi="Times New Roman" w:eastAsia="Times New Roman" w:cs="Times New Roman"/>
          <w:b w:val="0"/>
          <w:i w:val="0"/>
          <w:sz w:val="24"/>
        </w:rPr>
        <w:t>These results confirm the central hypothesis of the proposed fusion approach: CCTV does not merely duplicate AFC data but adds measurement capabilities — direct platform occupancy, zone-level density, and resilience to gate failure — that AFC alone cannot provide. This directly explains the accuracy improvement obtained by the fused model over an AFC-only baseline.</w:t>
      </w:r>
    </w:p>
    <w:p>
      <w:pPr>
        <w:pStyle w:val="Heading1"/>
        <w:spacing w:after="240"/>
        <w:ind w:left="0" w:firstLine="0"/>
      </w:pPr>
      <w:r>
        <w:rPr>
          <w:rFonts w:ascii="Times New Roman" w:hAnsi="Times New Roman" w:eastAsia="Times New Roman" w:cs="Times New Roman"/>
          <w:b/>
          <w:i w:val="0"/>
          <w:sz w:val="28"/>
        </w:rPr>
        <w:t>4.6 System Demonstration</w:t>
      </w:r>
    </w:p>
    <w:p>
      <w:pPr>
        <w:spacing w:line="360" w:lineRule="auto" w:after="160"/>
        <w:ind w:left="0" w:firstLine="0"/>
        <w:jc w:val="both"/>
      </w:pPr>
      <w:r>
        <w:rPr>
          <w:rFonts w:ascii="Times New Roman" w:hAnsi="Times New Roman" w:eastAsia="Times New Roman" w:cs="Times New Roman"/>
          <w:b w:val="0"/>
          <w:i w:val="0"/>
          <w:sz w:val="24"/>
        </w:rPr>
        <w:t>The trained models and the autonomously generated timetable were packaged into an interactive dashboard offering three views: an AI Timetable view showing all 6,384 computed time slots with colour-coded severity and filtering by station, day, hour or alert level; a Station Deep-Dive view showing the full four-week plan, occupancy trend and peak-hour profile for an individual station; and an Analytics and Trends view showing action distribution, Critical alert frequency, and weekday-versus-weekend demand comparison across the full 16-week historical period. The dashboard requires no installation and runs directly in a browser, demonstrating that the proposed methodology can be delivered as a self-contained operational tool rather than remaining a purely offline research artefact.</w:t>
      </w:r>
    </w:p>
    <w:p>
      <w:pPr>
        <w:pStyle w:val="Heading1"/>
        <w:spacing w:after="240"/>
        <w:ind w:left="0" w:firstLine="0"/>
      </w:pPr>
      <w:r>
        <w:rPr>
          <w:rFonts w:ascii="Times New Roman" w:hAnsi="Times New Roman" w:eastAsia="Times New Roman" w:cs="Times New Roman"/>
          <w:b/>
          <w:i w:val="0"/>
          <w:sz w:val="28"/>
        </w:rPr>
        <w:t>4.7 Discussion</w:t>
      </w:r>
    </w:p>
    <w:p>
      <w:pPr>
        <w:spacing w:line="360" w:lineRule="auto" w:after="160"/>
        <w:ind w:left="0" w:firstLine="0"/>
        <w:jc w:val="both"/>
      </w:pPr>
      <w:r>
        <w:rPr>
          <w:rFonts w:ascii="Times New Roman" w:hAnsi="Times New Roman" w:eastAsia="Times New Roman" w:cs="Times New Roman"/>
          <w:b w:val="0"/>
          <w:i w:val="0"/>
          <w:sz w:val="24"/>
        </w:rPr>
        <w:t>The experimental results support the central claim of this thesis: that AFC and CCTV data can be fused and processed by cooperating machine-learning models to replace manual, reactive metro dispatch with an autonomous, predictive alternative. Three findings are particularly significant. First, the dispatch classifier's near-perfect performance on the Critical class (Table 4.1 and Table 4.2) demonstrates that the balanced-class-weighting strategy adopted in Section 3.6.1 successfully addresses the class imbalance present in the dataset (Section 3.4), which is essential given that missing a Critical crowding event carries the highest operational and safety cost. Second, the low forecast error (2.87% MAE) achieved by the Gradient Boosting forecaster indicates that a four-week planning horizon is achievable with the fused occupancy signal alone, without requiring more complex sequence models at this stage of the research. Third, the measured contribution of CCTV (Table 4.5) confirms that computer vision is not redundant with AFC data but provides complementary information — direct occupancy measurement and resilience to gate failure — that materially improves the reliability of the fused signal.</w:t>
      </w:r>
    </w:p>
    <w:p>
      <w:pPr>
        <w:spacing w:line="360" w:lineRule="auto" w:after="160"/>
        <w:ind w:left="0" w:firstLine="0"/>
        <w:jc w:val="both"/>
      </w:pPr>
      <w:r>
        <w:rPr>
          <w:rFonts w:ascii="Times New Roman" w:hAnsi="Times New Roman" w:eastAsia="Times New Roman" w:cs="Times New Roman"/>
          <w:b w:val="0"/>
          <w:i w:val="0"/>
          <w:sz w:val="24"/>
        </w:rPr>
        <w:t>These results should nonetheless be interpreted in light of the dataset's characteristics: it is a synthetic dataset generated to mirror realistic operational patterns rather than an export of genuine Riyadh Metro operational history, and the CCTV pipeline, while architecturally complete, was validated against simulated rather than live camera feeds. The strong results obtained here therefore demonstrate the technical viability of the proposed approach and provide a basis for the real-data validation and live-deployment considerations discussed in Chapter 6, rather than a claim of validated real-world performance at this stage.</w:t>
      </w:r>
    </w:p>
    <w:p>
      <w:pPr>
        <w:pStyle w:val="Heading1"/>
        <w:spacing w:after="240"/>
        <w:ind w:left="0" w:firstLine="0"/>
      </w:pPr>
      <w:r>
        <w:rPr>
          <w:rFonts w:ascii="Times New Roman" w:hAnsi="Times New Roman" w:eastAsia="Times New Roman" w:cs="Times New Roman"/>
          <w:b/>
          <w:i w:val="0"/>
          <w:sz w:val="28"/>
        </w:rPr>
        <w:t>4.8 Summary</w:t>
      </w:r>
    </w:p>
    <w:p>
      <w:pPr>
        <w:spacing w:line="360" w:lineRule="auto" w:after="160"/>
        <w:ind w:left="0" w:firstLine="0"/>
        <w:jc w:val="both"/>
      </w:pPr>
      <w:r>
        <w:rPr>
          <w:rFonts w:ascii="Times New Roman" w:hAnsi="Times New Roman" w:eastAsia="Times New Roman" w:cs="Times New Roman"/>
          <w:b w:val="0"/>
          <w:i w:val="0"/>
          <w:sz w:val="24"/>
        </w:rPr>
        <w:t>This chapter has presented the experimental results obtained from applying the proposed methodology to the study dataset. The dispatch classifier achieved 99.7% accuracy and a macro F1-score of 0.995, with only 14 misclassifications out of 5,244 test records and no severe errors on the Critical class. The timetable forecaster achieved a mean absolute error of 2.87% occupancy over a four-week horizon, enabling the autonomous generation of 6,384 time slots comprising 3,501 train insertions and 1,445 train reductions. The CCTV channel was shown to add measurable capability beyond AFC data alone, particularly for direct occupancy measurement and resilience to gate failure. Chapter 5 builds on these results to discuss the implications of the proposed system and a framework for its practical implementation.</w:t>
      </w:r>
    </w:p>
    <w:sectPr w:rsidR="00DE316C" w:rsidSect="00E55C20">
      <w:footerReference w:type="even" r:id="rId17"/>
      <w:footerReference w:type="default"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B34A" w14:textId="77777777" w:rsidR="00DC0C96" w:rsidRDefault="00DC0C96">
      <w:pPr>
        <w:spacing w:after="0" w:line="240" w:lineRule="auto"/>
      </w:pPr>
      <w:r>
        <w:separator/>
      </w:r>
    </w:p>
  </w:endnote>
  <w:endnote w:type="continuationSeparator" w:id="0">
    <w:p w14:paraId="6D089693" w14:textId="77777777" w:rsidR="00DC0C96" w:rsidRDefault="00DC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F94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B0DDE0E"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4C89"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922E5DC"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B90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C12BF5E"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753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D25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45E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B3D31" w14:textId="77777777" w:rsidR="00DC0C96" w:rsidRDefault="00DC0C96">
      <w:pPr>
        <w:spacing w:after="0" w:line="240" w:lineRule="auto"/>
      </w:pPr>
      <w:r>
        <w:separator/>
      </w:r>
    </w:p>
  </w:footnote>
  <w:footnote w:type="continuationSeparator" w:id="0">
    <w:p w14:paraId="7F622906" w14:textId="77777777" w:rsidR="00DC0C96" w:rsidRDefault="00DC0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DE02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BCD01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E42B4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3C4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E2693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40C5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F0F6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68B7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7CE59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523A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B608E844"/>
    <w:lvl w:ilvl="0">
      <w:start w:val="1"/>
      <w:numFmt w:val="decimal"/>
      <w:lvlText w:val="%1."/>
      <w:lvlJc w:val="left"/>
      <w:pPr>
        <w:ind w:left="780" w:hanging="360"/>
      </w:pPr>
      <w:rPr>
        <w:b w:val="0"/>
        <w:bCs w:val="0"/>
        <w:w w:val="99"/>
        <w:sz w:val="20"/>
        <w:szCs w:val="20"/>
      </w:rPr>
    </w:lvl>
    <w:lvl w:ilvl="1">
      <w:numFmt w:val="bullet"/>
      <w:lvlText w:val="•"/>
      <w:lvlJc w:val="left"/>
      <w:pPr>
        <w:ind w:left="1616" w:hanging="360"/>
      </w:pPr>
    </w:lvl>
    <w:lvl w:ilvl="2">
      <w:numFmt w:val="bullet"/>
      <w:lvlText w:val="•"/>
      <w:lvlJc w:val="left"/>
      <w:pPr>
        <w:ind w:left="2452" w:hanging="360"/>
      </w:pPr>
    </w:lvl>
    <w:lvl w:ilvl="3">
      <w:numFmt w:val="bullet"/>
      <w:lvlText w:val="•"/>
      <w:lvlJc w:val="left"/>
      <w:pPr>
        <w:ind w:left="3288" w:hanging="360"/>
      </w:pPr>
    </w:lvl>
    <w:lvl w:ilvl="4">
      <w:numFmt w:val="bullet"/>
      <w:lvlText w:val="•"/>
      <w:lvlJc w:val="left"/>
      <w:pPr>
        <w:ind w:left="4124" w:hanging="360"/>
      </w:pPr>
    </w:lvl>
    <w:lvl w:ilvl="5">
      <w:numFmt w:val="bullet"/>
      <w:lvlText w:val="•"/>
      <w:lvlJc w:val="left"/>
      <w:pPr>
        <w:ind w:left="4960" w:hanging="360"/>
      </w:pPr>
    </w:lvl>
    <w:lvl w:ilvl="6">
      <w:numFmt w:val="bullet"/>
      <w:lvlText w:val="•"/>
      <w:lvlJc w:val="left"/>
      <w:pPr>
        <w:ind w:left="5796" w:hanging="360"/>
      </w:pPr>
    </w:lvl>
    <w:lvl w:ilvl="7">
      <w:numFmt w:val="bullet"/>
      <w:lvlText w:val="•"/>
      <w:lvlJc w:val="left"/>
      <w:pPr>
        <w:ind w:left="6632" w:hanging="360"/>
      </w:pPr>
    </w:lvl>
    <w:lvl w:ilvl="8">
      <w:numFmt w:val="bullet"/>
      <w:lvlText w:val="•"/>
      <w:lvlJc w:val="left"/>
      <w:pPr>
        <w:ind w:left="7468" w:hanging="360"/>
      </w:pPr>
    </w:lvl>
  </w:abstractNum>
  <w:abstractNum w:abstractNumId="11"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D86C74"/>
    <w:multiLevelType w:val="multilevel"/>
    <w:tmpl w:val="E6F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24"/>
  </w:num>
  <w:num w:numId="2" w16cid:durableId="1385257327">
    <w:abstractNumId w:val="28"/>
  </w:num>
  <w:num w:numId="3" w16cid:durableId="2025202020">
    <w:abstractNumId w:val="13"/>
  </w:num>
  <w:num w:numId="4" w16cid:durableId="1625883336">
    <w:abstractNumId w:val="14"/>
  </w:num>
  <w:num w:numId="5" w16cid:durableId="621494586">
    <w:abstractNumId w:val="16"/>
  </w:num>
  <w:num w:numId="6" w16cid:durableId="1149858929">
    <w:abstractNumId w:val="18"/>
  </w:num>
  <w:num w:numId="7" w16cid:durableId="2021084236">
    <w:abstractNumId w:val="12"/>
  </w:num>
  <w:num w:numId="8" w16cid:durableId="1745176900">
    <w:abstractNumId w:val="20"/>
  </w:num>
  <w:num w:numId="9" w16cid:durableId="1973365200">
    <w:abstractNumId w:val="22"/>
  </w:num>
  <w:num w:numId="10" w16cid:durableId="1817793953">
    <w:abstractNumId w:val="15"/>
  </w:num>
  <w:num w:numId="11" w16cid:durableId="1126854098">
    <w:abstractNumId w:val="27"/>
  </w:num>
  <w:num w:numId="12" w16cid:durableId="645669657">
    <w:abstractNumId w:val="19"/>
  </w:num>
  <w:num w:numId="13" w16cid:durableId="1173498172">
    <w:abstractNumId w:val="17"/>
  </w:num>
  <w:num w:numId="14" w16cid:durableId="737171589">
    <w:abstractNumId w:val="26"/>
  </w:num>
  <w:num w:numId="15" w16cid:durableId="1779370611">
    <w:abstractNumId w:val="11"/>
  </w:num>
  <w:num w:numId="16" w16cid:durableId="1856529322">
    <w:abstractNumId w:val="23"/>
  </w:num>
  <w:num w:numId="17" w16cid:durableId="1672299173">
    <w:abstractNumId w:val="25"/>
  </w:num>
  <w:num w:numId="18" w16cid:durableId="482088966">
    <w:abstractNumId w:val="21"/>
  </w:num>
  <w:num w:numId="19" w16cid:durableId="184173796">
    <w:abstractNumId w:val="10"/>
  </w:num>
  <w:num w:numId="20" w16cid:durableId="607271070">
    <w:abstractNumId w:val="9"/>
  </w:num>
  <w:num w:numId="21" w16cid:durableId="474882934">
    <w:abstractNumId w:val="7"/>
  </w:num>
  <w:num w:numId="22" w16cid:durableId="1913465092">
    <w:abstractNumId w:val="6"/>
  </w:num>
  <w:num w:numId="23" w16cid:durableId="1285379931">
    <w:abstractNumId w:val="5"/>
  </w:num>
  <w:num w:numId="24" w16cid:durableId="693847877">
    <w:abstractNumId w:val="4"/>
  </w:num>
  <w:num w:numId="25" w16cid:durableId="990522914">
    <w:abstractNumId w:val="8"/>
  </w:num>
  <w:num w:numId="26" w16cid:durableId="1997295986">
    <w:abstractNumId w:val="3"/>
  </w:num>
  <w:num w:numId="27" w16cid:durableId="1325204647">
    <w:abstractNumId w:val="2"/>
  </w:num>
  <w:num w:numId="28" w16cid:durableId="961350991">
    <w:abstractNumId w:val="1"/>
  </w:num>
  <w:num w:numId="29" w16cid:durableId="1716731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10E9"/>
    <w:rsid w:val="0001613C"/>
    <w:rsid w:val="00063A08"/>
    <w:rsid w:val="0007297A"/>
    <w:rsid w:val="000A1ED7"/>
    <w:rsid w:val="000B28EB"/>
    <w:rsid w:val="000B518F"/>
    <w:rsid w:val="000C6526"/>
    <w:rsid w:val="000D1123"/>
    <w:rsid w:val="0010103F"/>
    <w:rsid w:val="00111339"/>
    <w:rsid w:val="00113D52"/>
    <w:rsid w:val="00123F42"/>
    <w:rsid w:val="0014139D"/>
    <w:rsid w:val="00172BEB"/>
    <w:rsid w:val="00187AB1"/>
    <w:rsid w:val="001B319A"/>
    <w:rsid w:val="001C536E"/>
    <w:rsid w:val="001D3215"/>
    <w:rsid w:val="001E62C8"/>
    <w:rsid w:val="001F5518"/>
    <w:rsid w:val="00202309"/>
    <w:rsid w:val="00281284"/>
    <w:rsid w:val="00281F06"/>
    <w:rsid w:val="002838C3"/>
    <w:rsid w:val="002A4506"/>
    <w:rsid w:val="002B3715"/>
    <w:rsid w:val="002B5338"/>
    <w:rsid w:val="002E4F52"/>
    <w:rsid w:val="00313590"/>
    <w:rsid w:val="003234FD"/>
    <w:rsid w:val="00333218"/>
    <w:rsid w:val="00344B96"/>
    <w:rsid w:val="00355C92"/>
    <w:rsid w:val="0036609C"/>
    <w:rsid w:val="0037548C"/>
    <w:rsid w:val="00387844"/>
    <w:rsid w:val="003C51FB"/>
    <w:rsid w:val="003D3D4E"/>
    <w:rsid w:val="003D5AA5"/>
    <w:rsid w:val="003D6F37"/>
    <w:rsid w:val="003F4746"/>
    <w:rsid w:val="003F7869"/>
    <w:rsid w:val="00433453"/>
    <w:rsid w:val="004514ED"/>
    <w:rsid w:val="004536D0"/>
    <w:rsid w:val="00472D79"/>
    <w:rsid w:val="004815E9"/>
    <w:rsid w:val="004847C5"/>
    <w:rsid w:val="004A05E9"/>
    <w:rsid w:val="004A2AF1"/>
    <w:rsid w:val="004D6244"/>
    <w:rsid w:val="004F2503"/>
    <w:rsid w:val="00514735"/>
    <w:rsid w:val="0053260A"/>
    <w:rsid w:val="00551FDD"/>
    <w:rsid w:val="00566E9B"/>
    <w:rsid w:val="00573BA1"/>
    <w:rsid w:val="005819F0"/>
    <w:rsid w:val="005A54A2"/>
    <w:rsid w:val="005A5BB6"/>
    <w:rsid w:val="005A670A"/>
    <w:rsid w:val="005A77E3"/>
    <w:rsid w:val="005B074E"/>
    <w:rsid w:val="005D7458"/>
    <w:rsid w:val="005E4781"/>
    <w:rsid w:val="00605EF6"/>
    <w:rsid w:val="006303EC"/>
    <w:rsid w:val="00651551"/>
    <w:rsid w:val="006552CA"/>
    <w:rsid w:val="00657507"/>
    <w:rsid w:val="00670648"/>
    <w:rsid w:val="00680514"/>
    <w:rsid w:val="00686D32"/>
    <w:rsid w:val="006B2D48"/>
    <w:rsid w:val="006B4E25"/>
    <w:rsid w:val="006C6180"/>
    <w:rsid w:val="006D402B"/>
    <w:rsid w:val="006D5C47"/>
    <w:rsid w:val="006E06BE"/>
    <w:rsid w:val="006E095F"/>
    <w:rsid w:val="00700B3B"/>
    <w:rsid w:val="007020EB"/>
    <w:rsid w:val="0072787F"/>
    <w:rsid w:val="00733B31"/>
    <w:rsid w:val="00742524"/>
    <w:rsid w:val="00752A55"/>
    <w:rsid w:val="00762B73"/>
    <w:rsid w:val="00762DA6"/>
    <w:rsid w:val="00763055"/>
    <w:rsid w:val="00770AC3"/>
    <w:rsid w:val="00797D58"/>
    <w:rsid w:val="007C4A17"/>
    <w:rsid w:val="00810420"/>
    <w:rsid w:val="00823D82"/>
    <w:rsid w:val="00830DBB"/>
    <w:rsid w:val="008462B1"/>
    <w:rsid w:val="00865B7B"/>
    <w:rsid w:val="00875F7C"/>
    <w:rsid w:val="00890EA0"/>
    <w:rsid w:val="008A32AB"/>
    <w:rsid w:val="008D14FA"/>
    <w:rsid w:val="008F1F37"/>
    <w:rsid w:val="008F5C64"/>
    <w:rsid w:val="00932B25"/>
    <w:rsid w:val="00957B15"/>
    <w:rsid w:val="00973827"/>
    <w:rsid w:val="00987A4C"/>
    <w:rsid w:val="00993EF7"/>
    <w:rsid w:val="009A763C"/>
    <w:rsid w:val="009C0BB9"/>
    <w:rsid w:val="009D352E"/>
    <w:rsid w:val="009F448D"/>
    <w:rsid w:val="00A504FB"/>
    <w:rsid w:val="00A554D9"/>
    <w:rsid w:val="00A57461"/>
    <w:rsid w:val="00A656D0"/>
    <w:rsid w:val="00A65A99"/>
    <w:rsid w:val="00A709F6"/>
    <w:rsid w:val="00A86B78"/>
    <w:rsid w:val="00A90278"/>
    <w:rsid w:val="00AA559B"/>
    <w:rsid w:val="00AA5859"/>
    <w:rsid w:val="00AD4402"/>
    <w:rsid w:val="00AE0E25"/>
    <w:rsid w:val="00B02A4D"/>
    <w:rsid w:val="00B038AE"/>
    <w:rsid w:val="00B06EF1"/>
    <w:rsid w:val="00B23C9B"/>
    <w:rsid w:val="00B34934"/>
    <w:rsid w:val="00B578B9"/>
    <w:rsid w:val="00B57C3B"/>
    <w:rsid w:val="00B8382D"/>
    <w:rsid w:val="00BD14E7"/>
    <w:rsid w:val="00BE138D"/>
    <w:rsid w:val="00BF1AB4"/>
    <w:rsid w:val="00C01A6E"/>
    <w:rsid w:val="00C04DE7"/>
    <w:rsid w:val="00C273AA"/>
    <w:rsid w:val="00C3653A"/>
    <w:rsid w:val="00C43D71"/>
    <w:rsid w:val="00CB6D59"/>
    <w:rsid w:val="00CC079F"/>
    <w:rsid w:val="00CD7BDC"/>
    <w:rsid w:val="00CE006B"/>
    <w:rsid w:val="00CE1057"/>
    <w:rsid w:val="00CE710B"/>
    <w:rsid w:val="00D0626A"/>
    <w:rsid w:val="00D132E3"/>
    <w:rsid w:val="00D25D16"/>
    <w:rsid w:val="00D25F1C"/>
    <w:rsid w:val="00D57A7C"/>
    <w:rsid w:val="00D610FF"/>
    <w:rsid w:val="00D61139"/>
    <w:rsid w:val="00D747C2"/>
    <w:rsid w:val="00DA4D4B"/>
    <w:rsid w:val="00DC0C96"/>
    <w:rsid w:val="00DC2F92"/>
    <w:rsid w:val="00DD304B"/>
    <w:rsid w:val="00DE316C"/>
    <w:rsid w:val="00DF4A4E"/>
    <w:rsid w:val="00E02A59"/>
    <w:rsid w:val="00E534D7"/>
    <w:rsid w:val="00E5533A"/>
    <w:rsid w:val="00E55973"/>
    <w:rsid w:val="00E55C20"/>
    <w:rsid w:val="00E60A24"/>
    <w:rsid w:val="00E92590"/>
    <w:rsid w:val="00E9544D"/>
    <w:rsid w:val="00EA2138"/>
    <w:rsid w:val="00EA2F47"/>
    <w:rsid w:val="00EA512E"/>
    <w:rsid w:val="00EB606E"/>
    <w:rsid w:val="00EC37F0"/>
    <w:rsid w:val="00EF397C"/>
    <w:rsid w:val="00EF3C25"/>
    <w:rsid w:val="00F023E3"/>
    <w:rsid w:val="00F15A86"/>
    <w:rsid w:val="00F51C73"/>
    <w:rsid w:val="00F8418F"/>
    <w:rsid w:val="00F94B7A"/>
    <w:rsid w:val="00F97DBD"/>
    <w:rsid w:val="00FB0AAD"/>
    <w:rsid w:val="00FB2CB2"/>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126F9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5E47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E47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7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paragraph" w:styleId="NormalWeb">
    <w:name w:val="Normal (Web)"/>
    <w:basedOn w:val="Normal"/>
    <w:uiPriority w:val="99"/>
    <w:semiHidden/>
    <w:unhideWhenUsed/>
    <w:rsid w:val="00DD304B"/>
    <w:rPr>
      <w:sz w:val="24"/>
      <w:szCs w:val="24"/>
    </w:rPr>
  </w:style>
  <w:style w:type="paragraph" w:styleId="TOCHeading">
    <w:name w:val="TOC Heading"/>
    <w:basedOn w:val="Heading1"/>
    <w:next w:val="Normal"/>
    <w:uiPriority w:val="39"/>
    <w:unhideWhenUsed/>
    <w:qFormat/>
    <w:rsid w:val="00D61139"/>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D61139"/>
    <w:pPr>
      <w:spacing w:after="100"/>
      <w:ind w:left="280"/>
    </w:pPr>
  </w:style>
  <w:style w:type="paragraph" w:styleId="TOC3">
    <w:name w:val="toc 3"/>
    <w:basedOn w:val="Normal"/>
    <w:next w:val="Normal"/>
    <w:autoRedefine/>
    <w:uiPriority w:val="39"/>
    <w:unhideWhenUsed/>
    <w:rsid w:val="00D61139"/>
    <w:pPr>
      <w:spacing w:after="100"/>
      <w:ind w:left="560"/>
    </w:pPr>
  </w:style>
  <w:style w:type="paragraph" w:styleId="BalloonText">
    <w:name w:val="Balloon Text"/>
    <w:basedOn w:val="Normal"/>
    <w:link w:val="BalloonTextChar"/>
    <w:uiPriority w:val="99"/>
    <w:semiHidden/>
    <w:unhideWhenUsed/>
    <w:rsid w:val="005E4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781"/>
    <w:rPr>
      <w:rFonts w:ascii="Segoe UI" w:eastAsia="Times New Roman" w:hAnsi="Segoe UI" w:cs="Segoe UI"/>
      <w:color w:val="000000"/>
      <w:sz w:val="18"/>
      <w:szCs w:val="18"/>
    </w:rPr>
  </w:style>
  <w:style w:type="paragraph" w:styleId="Bibliography">
    <w:name w:val="Bibliography"/>
    <w:basedOn w:val="Normal"/>
    <w:next w:val="Normal"/>
    <w:uiPriority w:val="37"/>
    <w:semiHidden/>
    <w:unhideWhenUsed/>
    <w:rsid w:val="005E4781"/>
  </w:style>
  <w:style w:type="paragraph" w:styleId="BlockText">
    <w:name w:val="Block Text"/>
    <w:basedOn w:val="Normal"/>
    <w:uiPriority w:val="99"/>
    <w:semiHidden/>
    <w:unhideWhenUsed/>
    <w:rsid w:val="005E47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uiPriority w:val="99"/>
    <w:semiHidden/>
    <w:unhideWhenUsed/>
    <w:rsid w:val="005E4781"/>
    <w:pPr>
      <w:spacing w:after="120"/>
    </w:pPr>
  </w:style>
  <w:style w:type="character" w:customStyle="1" w:styleId="BodyTextChar">
    <w:name w:val="Body Text Char"/>
    <w:basedOn w:val="DefaultParagraphFont"/>
    <w:link w:val="BodyText"/>
    <w:uiPriority w:val="99"/>
    <w:semiHidden/>
    <w:rsid w:val="005E4781"/>
    <w:rPr>
      <w:rFonts w:ascii="Times New Roman" w:eastAsia="Times New Roman" w:hAnsi="Times New Roman" w:cs="Times New Roman"/>
      <w:color w:val="000000"/>
      <w:sz w:val="28"/>
    </w:rPr>
  </w:style>
  <w:style w:type="paragraph" w:styleId="BodyText2">
    <w:name w:val="Body Text 2"/>
    <w:basedOn w:val="Normal"/>
    <w:link w:val="BodyText2Char"/>
    <w:uiPriority w:val="99"/>
    <w:semiHidden/>
    <w:unhideWhenUsed/>
    <w:rsid w:val="005E4781"/>
    <w:pPr>
      <w:spacing w:after="120" w:line="480" w:lineRule="auto"/>
    </w:pPr>
  </w:style>
  <w:style w:type="character" w:customStyle="1" w:styleId="BodyText2Char">
    <w:name w:val="Body Text 2 Char"/>
    <w:basedOn w:val="DefaultParagraphFont"/>
    <w:link w:val="BodyText2"/>
    <w:uiPriority w:val="99"/>
    <w:semiHidden/>
    <w:rsid w:val="005E4781"/>
    <w:rPr>
      <w:rFonts w:ascii="Times New Roman" w:eastAsia="Times New Roman" w:hAnsi="Times New Roman" w:cs="Times New Roman"/>
      <w:color w:val="000000"/>
      <w:sz w:val="28"/>
    </w:rPr>
  </w:style>
  <w:style w:type="paragraph" w:styleId="BodyText3">
    <w:name w:val="Body Text 3"/>
    <w:basedOn w:val="Normal"/>
    <w:link w:val="BodyText3Char"/>
    <w:uiPriority w:val="99"/>
    <w:semiHidden/>
    <w:unhideWhenUsed/>
    <w:rsid w:val="005E4781"/>
    <w:pPr>
      <w:spacing w:after="120"/>
    </w:pPr>
    <w:rPr>
      <w:sz w:val="16"/>
      <w:szCs w:val="16"/>
    </w:rPr>
  </w:style>
  <w:style w:type="character" w:customStyle="1" w:styleId="BodyText3Char">
    <w:name w:val="Body Text 3 Char"/>
    <w:basedOn w:val="DefaultParagraphFont"/>
    <w:link w:val="BodyText3"/>
    <w:uiPriority w:val="99"/>
    <w:semiHidden/>
    <w:rsid w:val="005E4781"/>
    <w:rPr>
      <w:rFonts w:ascii="Times New Roman" w:eastAsia="Times New Roman" w:hAnsi="Times New Roman" w:cs="Times New Roman"/>
      <w:color w:val="000000"/>
      <w:sz w:val="16"/>
      <w:szCs w:val="16"/>
    </w:rPr>
  </w:style>
  <w:style w:type="paragraph" w:styleId="BodyTextFirstIndent">
    <w:name w:val="Body Text First Indent"/>
    <w:basedOn w:val="BodyText"/>
    <w:link w:val="BodyTextFirstIndentChar"/>
    <w:uiPriority w:val="99"/>
    <w:semiHidden/>
    <w:unhideWhenUsed/>
    <w:rsid w:val="005E4781"/>
    <w:pPr>
      <w:spacing w:after="5"/>
      <w:ind w:firstLine="360"/>
    </w:pPr>
  </w:style>
  <w:style w:type="character" w:customStyle="1" w:styleId="BodyTextFirstIndentChar">
    <w:name w:val="Body Text First Indent Char"/>
    <w:basedOn w:val="BodyTextChar"/>
    <w:link w:val="BodyTextFirstIndent"/>
    <w:uiPriority w:val="99"/>
    <w:semiHidden/>
    <w:rsid w:val="005E4781"/>
    <w:rPr>
      <w:rFonts w:ascii="Times New Roman" w:eastAsia="Times New Roman" w:hAnsi="Times New Roman" w:cs="Times New Roman"/>
      <w:color w:val="000000"/>
      <w:sz w:val="28"/>
    </w:rPr>
  </w:style>
  <w:style w:type="paragraph" w:styleId="BodyTextIndent">
    <w:name w:val="Body Text Indent"/>
    <w:basedOn w:val="Normal"/>
    <w:link w:val="BodyTextIndentChar"/>
    <w:uiPriority w:val="99"/>
    <w:semiHidden/>
    <w:unhideWhenUsed/>
    <w:rsid w:val="005E4781"/>
    <w:pPr>
      <w:spacing w:after="120"/>
      <w:ind w:left="360"/>
    </w:pPr>
  </w:style>
  <w:style w:type="character" w:customStyle="1" w:styleId="BodyTextIndentChar">
    <w:name w:val="Body Text Indent Char"/>
    <w:basedOn w:val="DefaultParagraphFont"/>
    <w:link w:val="BodyTextIndent"/>
    <w:uiPriority w:val="99"/>
    <w:semiHidden/>
    <w:rsid w:val="005E4781"/>
    <w:rPr>
      <w:rFonts w:ascii="Times New Roman" w:eastAsia="Times New Roman" w:hAnsi="Times New Roman" w:cs="Times New Roman"/>
      <w:color w:val="000000"/>
      <w:sz w:val="28"/>
    </w:rPr>
  </w:style>
  <w:style w:type="paragraph" w:styleId="BodyTextFirstIndent2">
    <w:name w:val="Body Text First Indent 2"/>
    <w:basedOn w:val="BodyTextIndent"/>
    <w:link w:val="BodyTextFirstIndent2Char"/>
    <w:uiPriority w:val="99"/>
    <w:semiHidden/>
    <w:unhideWhenUsed/>
    <w:rsid w:val="005E4781"/>
    <w:pPr>
      <w:spacing w:after="5"/>
      <w:ind w:firstLine="360"/>
    </w:pPr>
  </w:style>
  <w:style w:type="character" w:customStyle="1" w:styleId="BodyTextFirstIndent2Char">
    <w:name w:val="Body Text First Indent 2 Char"/>
    <w:basedOn w:val="BodyTextIndentChar"/>
    <w:link w:val="BodyTextFirstIndent2"/>
    <w:uiPriority w:val="99"/>
    <w:semiHidden/>
    <w:rsid w:val="005E4781"/>
    <w:rPr>
      <w:rFonts w:ascii="Times New Roman" w:eastAsia="Times New Roman" w:hAnsi="Times New Roman" w:cs="Times New Roman"/>
      <w:color w:val="000000"/>
      <w:sz w:val="28"/>
    </w:rPr>
  </w:style>
  <w:style w:type="paragraph" w:styleId="BodyTextIndent2">
    <w:name w:val="Body Text Indent 2"/>
    <w:basedOn w:val="Normal"/>
    <w:link w:val="BodyTextIndent2Char"/>
    <w:uiPriority w:val="99"/>
    <w:semiHidden/>
    <w:unhideWhenUsed/>
    <w:rsid w:val="005E4781"/>
    <w:pPr>
      <w:spacing w:after="120" w:line="480" w:lineRule="auto"/>
      <w:ind w:left="360"/>
    </w:pPr>
  </w:style>
  <w:style w:type="character" w:customStyle="1" w:styleId="BodyTextIndent2Char">
    <w:name w:val="Body Text Indent 2 Char"/>
    <w:basedOn w:val="DefaultParagraphFont"/>
    <w:link w:val="BodyTextIndent2"/>
    <w:uiPriority w:val="99"/>
    <w:semiHidden/>
    <w:rsid w:val="005E4781"/>
    <w:rPr>
      <w:rFonts w:ascii="Times New Roman" w:eastAsia="Times New Roman" w:hAnsi="Times New Roman" w:cs="Times New Roman"/>
      <w:color w:val="000000"/>
      <w:sz w:val="28"/>
    </w:rPr>
  </w:style>
  <w:style w:type="paragraph" w:styleId="BodyTextIndent3">
    <w:name w:val="Body Text Indent 3"/>
    <w:basedOn w:val="Normal"/>
    <w:link w:val="BodyTextIndent3Char"/>
    <w:uiPriority w:val="99"/>
    <w:semiHidden/>
    <w:unhideWhenUsed/>
    <w:rsid w:val="005E478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E4781"/>
    <w:rPr>
      <w:rFonts w:ascii="Times New Roman" w:eastAsia="Times New Roman" w:hAnsi="Times New Roman" w:cs="Times New Roman"/>
      <w:color w:val="000000"/>
      <w:sz w:val="16"/>
      <w:szCs w:val="16"/>
    </w:rPr>
  </w:style>
  <w:style w:type="paragraph" w:styleId="Caption">
    <w:name w:val="caption"/>
    <w:basedOn w:val="Normal"/>
    <w:next w:val="Normal"/>
    <w:uiPriority w:val="35"/>
    <w:semiHidden/>
    <w:unhideWhenUsed/>
    <w:qFormat/>
    <w:rsid w:val="005E478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E4781"/>
    <w:pPr>
      <w:spacing w:after="0" w:line="240" w:lineRule="auto"/>
      <w:ind w:left="4320"/>
    </w:pPr>
  </w:style>
  <w:style w:type="character" w:customStyle="1" w:styleId="ClosingChar">
    <w:name w:val="Closing Char"/>
    <w:basedOn w:val="DefaultParagraphFont"/>
    <w:link w:val="Closing"/>
    <w:uiPriority w:val="99"/>
    <w:semiHidden/>
    <w:rsid w:val="005E4781"/>
    <w:rPr>
      <w:rFonts w:ascii="Times New Roman" w:eastAsia="Times New Roman" w:hAnsi="Times New Roman" w:cs="Times New Roman"/>
      <w:color w:val="000000"/>
      <w:sz w:val="28"/>
    </w:rPr>
  </w:style>
  <w:style w:type="paragraph" w:styleId="CommentText">
    <w:name w:val="annotation text"/>
    <w:basedOn w:val="Normal"/>
    <w:link w:val="CommentTextChar"/>
    <w:uiPriority w:val="99"/>
    <w:semiHidden/>
    <w:unhideWhenUsed/>
    <w:rsid w:val="005E4781"/>
    <w:pPr>
      <w:spacing w:line="240" w:lineRule="auto"/>
    </w:pPr>
    <w:rPr>
      <w:sz w:val="20"/>
      <w:szCs w:val="20"/>
    </w:rPr>
  </w:style>
  <w:style w:type="character" w:customStyle="1" w:styleId="CommentTextChar">
    <w:name w:val="Comment Text Char"/>
    <w:basedOn w:val="DefaultParagraphFont"/>
    <w:link w:val="CommentText"/>
    <w:uiPriority w:val="99"/>
    <w:semiHidden/>
    <w:rsid w:val="005E478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E4781"/>
    <w:rPr>
      <w:b/>
      <w:bCs/>
    </w:rPr>
  </w:style>
  <w:style w:type="character" w:customStyle="1" w:styleId="CommentSubjectChar">
    <w:name w:val="Comment Subject Char"/>
    <w:basedOn w:val="CommentTextChar"/>
    <w:link w:val="CommentSubject"/>
    <w:uiPriority w:val="99"/>
    <w:semiHidden/>
    <w:rsid w:val="005E4781"/>
    <w:rPr>
      <w:rFonts w:ascii="Times New Roman" w:eastAsia="Times New Roman" w:hAnsi="Times New Roman" w:cs="Times New Roman"/>
      <w:b/>
      <w:bCs/>
      <w:color w:val="000000"/>
      <w:sz w:val="20"/>
      <w:szCs w:val="20"/>
    </w:rPr>
  </w:style>
  <w:style w:type="paragraph" w:styleId="Date">
    <w:name w:val="Date"/>
    <w:basedOn w:val="Normal"/>
    <w:next w:val="Normal"/>
    <w:link w:val="DateChar"/>
    <w:uiPriority w:val="99"/>
    <w:semiHidden/>
    <w:unhideWhenUsed/>
    <w:rsid w:val="005E4781"/>
  </w:style>
  <w:style w:type="character" w:customStyle="1" w:styleId="DateChar">
    <w:name w:val="Date Char"/>
    <w:basedOn w:val="DefaultParagraphFont"/>
    <w:link w:val="Date"/>
    <w:uiPriority w:val="99"/>
    <w:semiHidden/>
    <w:rsid w:val="005E4781"/>
    <w:rPr>
      <w:rFonts w:ascii="Times New Roman" w:eastAsia="Times New Roman" w:hAnsi="Times New Roman" w:cs="Times New Roman"/>
      <w:color w:val="000000"/>
      <w:sz w:val="28"/>
    </w:rPr>
  </w:style>
  <w:style w:type="paragraph" w:styleId="DocumentMap">
    <w:name w:val="Document Map"/>
    <w:basedOn w:val="Normal"/>
    <w:link w:val="DocumentMapChar"/>
    <w:uiPriority w:val="99"/>
    <w:semiHidden/>
    <w:unhideWhenUsed/>
    <w:rsid w:val="005E47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E4781"/>
    <w:rPr>
      <w:rFonts w:ascii="Segoe UI" w:eastAsia="Times New Roman" w:hAnsi="Segoe UI" w:cs="Segoe UI"/>
      <w:color w:val="000000"/>
      <w:sz w:val="16"/>
      <w:szCs w:val="16"/>
    </w:rPr>
  </w:style>
  <w:style w:type="paragraph" w:styleId="E-mailSignature">
    <w:name w:val="E-mail Signature"/>
    <w:basedOn w:val="Normal"/>
    <w:link w:val="E-mailSignatureChar"/>
    <w:uiPriority w:val="99"/>
    <w:semiHidden/>
    <w:unhideWhenUsed/>
    <w:rsid w:val="005E4781"/>
    <w:pPr>
      <w:spacing w:after="0" w:line="240" w:lineRule="auto"/>
    </w:pPr>
  </w:style>
  <w:style w:type="character" w:customStyle="1" w:styleId="E-mailSignatureChar">
    <w:name w:val="E-mail Signature Char"/>
    <w:basedOn w:val="DefaultParagraphFont"/>
    <w:link w:val="E-mailSignature"/>
    <w:uiPriority w:val="99"/>
    <w:semiHidden/>
    <w:rsid w:val="005E4781"/>
    <w:rPr>
      <w:rFonts w:ascii="Times New Roman" w:eastAsia="Times New Roman" w:hAnsi="Times New Roman" w:cs="Times New Roman"/>
      <w:color w:val="000000"/>
      <w:sz w:val="28"/>
    </w:rPr>
  </w:style>
  <w:style w:type="paragraph" w:styleId="EndnoteText">
    <w:name w:val="endnote text"/>
    <w:basedOn w:val="Normal"/>
    <w:link w:val="EndnoteTextChar"/>
    <w:uiPriority w:val="99"/>
    <w:semiHidden/>
    <w:unhideWhenUsed/>
    <w:rsid w:val="005E47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4781"/>
    <w:rPr>
      <w:rFonts w:ascii="Times New Roman" w:eastAsia="Times New Roman" w:hAnsi="Times New Roman" w:cs="Times New Roman"/>
      <w:color w:val="000000"/>
      <w:sz w:val="20"/>
      <w:szCs w:val="20"/>
    </w:rPr>
  </w:style>
  <w:style w:type="paragraph" w:styleId="EnvelopeAddress">
    <w:name w:val="envelope address"/>
    <w:basedOn w:val="Normal"/>
    <w:uiPriority w:val="99"/>
    <w:semiHidden/>
    <w:unhideWhenUsed/>
    <w:rsid w:val="005E47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E4781"/>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5E4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4781"/>
    <w:rPr>
      <w:rFonts w:ascii="Times New Roman" w:eastAsia="Times New Roman" w:hAnsi="Times New Roman" w:cs="Times New Roman"/>
      <w:color w:val="000000"/>
      <w:sz w:val="28"/>
    </w:rPr>
  </w:style>
  <w:style w:type="paragraph" w:styleId="FootnoteText">
    <w:name w:val="footnote text"/>
    <w:basedOn w:val="Normal"/>
    <w:link w:val="FootnoteTextChar"/>
    <w:uiPriority w:val="99"/>
    <w:semiHidden/>
    <w:unhideWhenUsed/>
    <w:rsid w:val="005E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781"/>
    <w:rPr>
      <w:rFonts w:ascii="Times New Roman" w:eastAsia="Times New Roman" w:hAnsi="Times New Roman" w:cs="Times New Roman"/>
      <w:color w:val="000000"/>
      <w:sz w:val="20"/>
      <w:szCs w:val="20"/>
    </w:rPr>
  </w:style>
  <w:style w:type="character" w:customStyle="1" w:styleId="Heading7Char">
    <w:name w:val="Heading 7 Char"/>
    <w:basedOn w:val="DefaultParagraphFont"/>
    <w:link w:val="Heading7"/>
    <w:uiPriority w:val="9"/>
    <w:semiHidden/>
    <w:rsid w:val="005E4781"/>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5E4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78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E4781"/>
    <w:pPr>
      <w:spacing w:after="0" w:line="240" w:lineRule="auto"/>
    </w:pPr>
    <w:rPr>
      <w:i/>
      <w:iCs/>
    </w:rPr>
  </w:style>
  <w:style w:type="character" w:customStyle="1" w:styleId="HTMLAddressChar">
    <w:name w:val="HTML Address Char"/>
    <w:basedOn w:val="DefaultParagraphFont"/>
    <w:link w:val="HTMLAddress"/>
    <w:uiPriority w:val="99"/>
    <w:semiHidden/>
    <w:rsid w:val="005E4781"/>
    <w:rPr>
      <w:rFonts w:ascii="Times New Roman" w:eastAsia="Times New Roman" w:hAnsi="Times New Roman" w:cs="Times New Roman"/>
      <w:i/>
      <w:iCs/>
      <w:color w:val="000000"/>
      <w:sz w:val="28"/>
    </w:rPr>
  </w:style>
  <w:style w:type="paragraph" w:styleId="HTMLPreformatted">
    <w:name w:val="HTML Preformatted"/>
    <w:basedOn w:val="Normal"/>
    <w:link w:val="HTMLPreformattedChar"/>
    <w:uiPriority w:val="99"/>
    <w:semiHidden/>
    <w:unhideWhenUsed/>
    <w:rsid w:val="005E47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4781"/>
    <w:rPr>
      <w:rFonts w:ascii="Consolas" w:eastAsia="Times New Roman" w:hAnsi="Consolas" w:cs="Times New Roman"/>
      <w:color w:val="000000"/>
      <w:sz w:val="20"/>
      <w:szCs w:val="20"/>
    </w:rPr>
  </w:style>
  <w:style w:type="paragraph" w:styleId="Index1">
    <w:name w:val="index 1"/>
    <w:basedOn w:val="Normal"/>
    <w:next w:val="Normal"/>
    <w:autoRedefine/>
    <w:uiPriority w:val="99"/>
    <w:semiHidden/>
    <w:unhideWhenUsed/>
    <w:rsid w:val="005E4781"/>
    <w:pPr>
      <w:spacing w:after="0" w:line="240" w:lineRule="auto"/>
      <w:ind w:left="280" w:hanging="280"/>
    </w:pPr>
  </w:style>
  <w:style w:type="paragraph" w:styleId="Index2">
    <w:name w:val="index 2"/>
    <w:basedOn w:val="Normal"/>
    <w:next w:val="Normal"/>
    <w:autoRedefine/>
    <w:uiPriority w:val="99"/>
    <w:semiHidden/>
    <w:unhideWhenUsed/>
    <w:rsid w:val="005E4781"/>
    <w:pPr>
      <w:spacing w:after="0" w:line="240" w:lineRule="auto"/>
      <w:ind w:left="560" w:hanging="280"/>
    </w:pPr>
  </w:style>
  <w:style w:type="paragraph" w:styleId="Index3">
    <w:name w:val="index 3"/>
    <w:basedOn w:val="Normal"/>
    <w:next w:val="Normal"/>
    <w:autoRedefine/>
    <w:uiPriority w:val="99"/>
    <w:semiHidden/>
    <w:unhideWhenUsed/>
    <w:rsid w:val="005E4781"/>
    <w:pPr>
      <w:spacing w:after="0" w:line="240" w:lineRule="auto"/>
      <w:ind w:left="840" w:hanging="280"/>
    </w:pPr>
  </w:style>
  <w:style w:type="paragraph" w:styleId="Index4">
    <w:name w:val="index 4"/>
    <w:basedOn w:val="Normal"/>
    <w:next w:val="Normal"/>
    <w:autoRedefine/>
    <w:uiPriority w:val="99"/>
    <w:semiHidden/>
    <w:unhideWhenUsed/>
    <w:rsid w:val="005E4781"/>
    <w:pPr>
      <w:spacing w:after="0" w:line="240" w:lineRule="auto"/>
      <w:ind w:left="1120" w:hanging="280"/>
    </w:pPr>
  </w:style>
  <w:style w:type="paragraph" w:styleId="Index5">
    <w:name w:val="index 5"/>
    <w:basedOn w:val="Normal"/>
    <w:next w:val="Normal"/>
    <w:autoRedefine/>
    <w:uiPriority w:val="99"/>
    <w:semiHidden/>
    <w:unhideWhenUsed/>
    <w:rsid w:val="005E4781"/>
    <w:pPr>
      <w:spacing w:after="0" w:line="240" w:lineRule="auto"/>
      <w:ind w:left="1400" w:hanging="280"/>
    </w:pPr>
  </w:style>
  <w:style w:type="paragraph" w:styleId="Index6">
    <w:name w:val="index 6"/>
    <w:basedOn w:val="Normal"/>
    <w:next w:val="Normal"/>
    <w:autoRedefine/>
    <w:uiPriority w:val="99"/>
    <w:semiHidden/>
    <w:unhideWhenUsed/>
    <w:rsid w:val="005E4781"/>
    <w:pPr>
      <w:spacing w:after="0" w:line="240" w:lineRule="auto"/>
      <w:ind w:left="1680" w:hanging="280"/>
    </w:pPr>
  </w:style>
  <w:style w:type="paragraph" w:styleId="Index7">
    <w:name w:val="index 7"/>
    <w:basedOn w:val="Normal"/>
    <w:next w:val="Normal"/>
    <w:autoRedefine/>
    <w:uiPriority w:val="99"/>
    <w:semiHidden/>
    <w:unhideWhenUsed/>
    <w:rsid w:val="005E4781"/>
    <w:pPr>
      <w:spacing w:after="0" w:line="240" w:lineRule="auto"/>
      <w:ind w:left="1960" w:hanging="280"/>
    </w:pPr>
  </w:style>
  <w:style w:type="paragraph" w:styleId="Index8">
    <w:name w:val="index 8"/>
    <w:basedOn w:val="Normal"/>
    <w:next w:val="Normal"/>
    <w:autoRedefine/>
    <w:uiPriority w:val="99"/>
    <w:semiHidden/>
    <w:unhideWhenUsed/>
    <w:rsid w:val="005E4781"/>
    <w:pPr>
      <w:spacing w:after="0" w:line="240" w:lineRule="auto"/>
      <w:ind w:left="2240" w:hanging="280"/>
    </w:pPr>
  </w:style>
  <w:style w:type="paragraph" w:styleId="Index9">
    <w:name w:val="index 9"/>
    <w:basedOn w:val="Normal"/>
    <w:next w:val="Normal"/>
    <w:autoRedefine/>
    <w:uiPriority w:val="99"/>
    <w:semiHidden/>
    <w:unhideWhenUsed/>
    <w:rsid w:val="005E4781"/>
    <w:pPr>
      <w:spacing w:after="0" w:line="240" w:lineRule="auto"/>
      <w:ind w:left="2520" w:hanging="280"/>
    </w:pPr>
  </w:style>
  <w:style w:type="paragraph" w:styleId="IndexHeading">
    <w:name w:val="index heading"/>
    <w:basedOn w:val="Normal"/>
    <w:next w:val="Index1"/>
    <w:uiPriority w:val="99"/>
    <w:semiHidden/>
    <w:unhideWhenUsed/>
    <w:rsid w:val="005E478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E47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E4781"/>
    <w:rPr>
      <w:rFonts w:ascii="Times New Roman" w:eastAsia="Times New Roman" w:hAnsi="Times New Roman" w:cs="Times New Roman"/>
      <w:i/>
      <w:iCs/>
      <w:color w:val="5B9BD5" w:themeColor="accent1"/>
      <w:sz w:val="28"/>
    </w:rPr>
  </w:style>
  <w:style w:type="paragraph" w:styleId="List">
    <w:name w:val="List"/>
    <w:basedOn w:val="Normal"/>
    <w:uiPriority w:val="99"/>
    <w:semiHidden/>
    <w:unhideWhenUsed/>
    <w:rsid w:val="005E4781"/>
    <w:pPr>
      <w:ind w:left="360" w:hanging="360"/>
      <w:contextualSpacing/>
    </w:pPr>
  </w:style>
  <w:style w:type="paragraph" w:styleId="List2">
    <w:name w:val="List 2"/>
    <w:basedOn w:val="Normal"/>
    <w:uiPriority w:val="99"/>
    <w:semiHidden/>
    <w:unhideWhenUsed/>
    <w:rsid w:val="005E4781"/>
    <w:pPr>
      <w:ind w:left="720" w:hanging="360"/>
      <w:contextualSpacing/>
    </w:pPr>
  </w:style>
  <w:style w:type="paragraph" w:styleId="List3">
    <w:name w:val="List 3"/>
    <w:basedOn w:val="Normal"/>
    <w:uiPriority w:val="99"/>
    <w:semiHidden/>
    <w:unhideWhenUsed/>
    <w:rsid w:val="005E4781"/>
    <w:pPr>
      <w:ind w:left="1080" w:hanging="360"/>
      <w:contextualSpacing/>
    </w:pPr>
  </w:style>
  <w:style w:type="paragraph" w:styleId="List4">
    <w:name w:val="List 4"/>
    <w:basedOn w:val="Normal"/>
    <w:uiPriority w:val="99"/>
    <w:semiHidden/>
    <w:unhideWhenUsed/>
    <w:rsid w:val="005E4781"/>
    <w:pPr>
      <w:ind w:left="1440" w:hanging="360"/>
      <w:contextualSpacing/>
    </w:pPr>
  </w:style>
  <w:style w:type="paragraph" w:styleId="List5">
    <w:name w:val="List 5"/>
    <w:basedOn w:val="Normal"/>
    <w:uiPriority w:val="99"/>
    <w:semiHidden/>
    <w:unhideWhenUsed/>
    <w:rsid w:val="005E4781"/>
    <w:pPr>
      <w:ind w:left="1800" w:hanging="360"/>
      <w:contextualSpacing/>
    </w:pPr>
  </w:style>
  <w:style w:type="paragraph" w:styleId="ListBullet">
    <w:name w:val="List Bullet"/>
    <w:basedOn w:val="Normal"/>
    <w:uiPriority w:val="99"/>
    <w:semiHidden/>
    <w:unhideWhenUsed/>
    <w:rsid w:val="005E4781"/>
    <w:pPr>
      <w:numPr>
        <w:numId w:val="20"/>
      </w:numPr>
      <w:contextualSpacing/>
    </w:pPr>
  </w:style>
  <w:style w:type="paragraph" w:styleId="ListBullet2">
    <w:name w:val="List Bullet 2"/>
    <w:basedOn w:val="Normal"/>
    <w:uiPriority w:val="99"/>
    <w:semiHidden/>
    <w:unhideWhenUsed/>
    <w:rsid w:val="005E4781"/>
    <w:pPr>
      <w:numPr>
        <w:numId w:val="21"/>
      </w:numPr>
      <w:contextualSpacing/>
    </w:pPr>
  </w:style>
  <w:style w:type="paragraph" w:styleId="ListBullet3">
    <w:name w:val="List Bullet 3"/>
    <w:basedOn w:val="Normal"/>
    <w:uiPriority w:val="99"/>
    <w:semiHidden/>
    <w:unhideWhenUsed/>
    <w:rsid w:val="005E4781"/>
    <w:pPr>
      <w:numPr>
        <w:numId w:val="22"/>
      </w:numPr>
      <w:contextualSpacing/>
    </w:pPr>
  </w:style>
  <w:style w:type="paragraph" w:styleId="ListBullet4">
    <w:name w:val="List Bullet 4"/>
    <w:basedOn w:val="Normal"/>
    <w:uiPriority w:val="99"/>
    <w:semiHidden/>
    <w:unhideWhenUsed/>
    <w:rsid w:val="005E4781"/>
    <w:pPr>
      <w:numPr>
        <w:numId w:val="23"/>
      </w:numPr>
      <w:contextualSpacing/>
    </w:pPr>
  </w:style>
  <w:style w:type="paragraph" w:styleId="ListBullet5">
    <w:name w:val="List Bullet 5"/>
    <w:basedOn w:val="Normal"/>
    <w:uiPriority w:val="99"/>
    <w:semiHidden/>
    <w:unhideWhenUsed/>
    <w:rsid w:val="005E4781"/>
    <w:pPr>
      <w:numPr>
        <w:numId w:val="24"/>
      </w:numPr>
      <w:contextualSpacing/>
    </w:pPr>
  </w:style>
  <w:style w:type="paragraph" w:styleId="ListContinue">
    <w:name w:val="List Continue"/>
    <w:basedOn w:val="Normal"/>
    <w:uiPriority w:val="99"/>
    <w:semiHidden/>
    <w:unhideWhenUsed/>
    <w:rsid w:val="005E4781"/>
    <w:pPr>
      <w:spacing w:after="120"/>
      <w:ind w:left="360"/>
      <w:contextualSpacing/>
    </w:pPr>
  </w:style>
  <w:style w:type="paragraph" w:styleId="ListContinue2">
    <w:name w:val="List Continue 2"/>
    <w:basedOn w:val="Normal"/>
    <w:uiPriority w:val="99"/>
    <w:semiHidden/>
    <w:unhideWhenUsed/>
    <w:rsid w:val="005E4781"/>
    <w:pPr>
      <w:spacing w:after="120"/>
      <w:ind w:left="720"/>
      <w:contextualSpacing/>
    </w:pPr>
  </w:style>
  <w:style w:type="paragraph" w:styleId="ListContinue3">
    <w:name w:val="List Continue 3"/>
    <w:basedOn w:val="Normal"/>
    <w:uiPriority w:val="99"/>
    <w:semiHidden/>
    <w:unhideWhenUsed/>
    <w:rsid w:val="005E4781"/>
    <w:pPr>
      <w:spacing w:after="120"/>
      <w:ind w:left="1080"/>
      <w:contextualSpacing/>
    </w:pPr>
  </w:style>
  <w:style w:type="paragraph" w:styleId="ListContinue4">
    <w:name w:val="List Continue 4"/>
    <w:basedOn w:val="Normal"/>
    <w:uiPriority w:val="99"/>
    <w:semiHidden/>
    <w:unhideWhenUsed/>
    <w:rsid w:val="005E4781"/>
    <w:pPr>
      <w:spacing w:after="120"/>
      <w:ind w:left="1440"/>
      <w:contextualSpacing/>
    </w:pPr>
  </w:style>
  <w:style w:type="paragraph" w:styleId="ListContinue5">
    <w:name w:val="List Continue 5"/>
    <w:basedOn w:val="Normal"/>
    <w:uiPriority w:val="99"/>
    <w:semiHidden/>
    <w:unhideWhenUsed/>
    <w:rsid w:val="005E4781"/>
    <w:pPr>
      <w:spacing w:after="120"/>
      <w:ind w:left="1800"/>
      <w:contextualSpacing/>
    </w:pPr>
  </w:style>
  <w:style w:type="paragraph" w:styleId="ListNumber">
    <w:name w:val="List Number"/>
    <w:basedOn w:val="Normal"/>
    <w:uiPriority w:val="99"/>
    <w:semiHidden/>
    <w:unhideWhenUsed/>
    <w:rsid w:val="005E4781"/>
    <w:pPr>
      <w:numPr>
        <w:numId w:val="25"/>
      </w:numPr>
      <w:contextualSpacing/>
    </w:pPr>
  </w:style>
  <w:style w:type="paragraph" w:styleId="ListNumber2">
    <w:name w:val="List Number 2"/>
    <w:basedOn w:val="Normal"/>
    <w:uiPriority w:val="99"/>
    <w:semiHidden/>
    <w:unhideWhenUsed/>
    <w:rsid w:val="005E4781"/>
    <w:pPr>
      <w:numPr>
        <w:numId w:val="26"/>
      </w:numPr>
      <w:contextualSpacing/>
    </w:pPr>
  </w:style>
  <w:style w:type="paragraph" w:styleId="ListNumber3">
    <w:name w:val="List Number 3"/>
    <w:basedOn w:val="Normal"/>
    <w:uiPriority w:val="99"/>
    <w:semiHidden/>
    <w:unhideWhenUsed/>
    <w:rsid w:val="005E4781"/>
    <w:pPr>
      <w:numPr>
        <w:numId w:val="27"/>
      </w:numPr>
      <w:contextualSpacing/>
    </w:pPr>
  </w:style>
  <w:style w:type="paragraph" w:styleId="ListNumber4">
    <w:name w:val="List Number 4"/>
    <w:basedOn w:val="Normal"/>
    <w:uiPriority w:val="99"/>
    <w:semiHidden/>
    <w:unhideWhenUsed/>
    <w:rsid w:val="005E4781"/>
    <w:pPr>
      <w:numPr>
        <w:numId w:val="28"/>
      </w:numPr>
      <w:contextualSpacing/>
    </w:pPr>
  </w:style>
  <w:style w:type="paragraph" w:styleId="ListNumber5">
    <w:name w:val="List Number 5"/>
    <w:basedOn w:val="Normal"/>
    <w:uiPriority w:val="99"/>
    <w:semiHidden/>
    <w:unhideWhenUsed/>
    <w:rsid w:val="005E4781"/>
    <w:pPr>
      <w:numPr>
        <w:numId w:val="29"/>
      </w:numPr>
      <w:contextualSpacing/>
    </w:pPr>
  </w:style>
  <w:style w:type="paragraph" w:styleId="MacroText">
    <w:name w:val="macro"/>
    <w:link w:val="MacroTextChar"/>
    <w:uiPriority w:val="99"/>
    <w:semiHidden/>
    <w:unhideWhenUsed/>
    <w:rsid w:val="005E4781"/>
    <w:pPr>
      <w:tabs>
        <w:tab w:val="left" w:pos="480"/>
        <w:tab w:val="left" w:pos="960"/>
        <w:tab w:val="left" w:pos="1440"/>
        <w:tab w:val="left" w:pos="1920"/>
        <w:tab w:val="left" w:pos="2400"/>
        <w:tab w:val="left" w:pos="2880"/>
        <w:tab w:val="left" w:pos="3360"/>
        <w:tab w:val="left" w:pos="3840"/>
        <w:tab w:val="left" w:pos="4320"/>
      </w:tabs>
      <w:spacing w:after="0" w:line="270" w:lineRule="auto"/>
      <w:ind w:left="447" w:hanging="10"/>
      <w:jc w:val="both"/>
    </w:pPr>
    <w:rPr>
      <w:rFonts w:ascii="Consolas" w:eastAsia="Times New Roman" w:hAnsi="Consolas" w:cs="Times New Roman"/>
      <w:color w:val="000000"/>
      <w:sz w:val="20"/>
      <w:szCs w:val="20"/>
    </w:rPr>
  </w:style>
  <w:style w:type="character" w:customStyle="1" w:styleId="MacroTextChar">
    <w:name w:val="Macro Text Char"/>
    <w:basedOn w:val="DefaultParagraphFont"/>
    <w:link w:val="MacroText"/>
    <w:uiPriority w:val="99"/>
    <w:semiHidden/>
    <w:rsid w:val="005E4781"/>
    <w:rPr>
      <w:rFonts w:ascii="Consolas" w:eastAsia="Times New Roman" w:hAnsi="Consolas" w:cs="Times New Roman"/>
      <w:color w:val="000000"/>
      <w:sz w:val="20"/>
      <w:szCs w:val="20"/>
    </w:rPr>
  </w:style>
  <w:style w:type="paragraph" w:styleId="MessageHeader">
    <w:name w:val="Message Header"/>
    <w:basedOn w:val="Normal"/>
    <w:link w:val="MessageHeaderChar"/>
    <w:uiPriority w:val="99"/>
    <w:semiHidden/>
    <w:unhideWhenUsed/>
    <w:rsid w:val="005E478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E4781"/>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5E4781"/>
    <w:pPr>
      <w:spacing w:after="0" w:line="240" w:lineRule="auto"/>
      <w:ind w:left="447" w:hanging="10"/>
      <w:jc w:val="both"/>
    </w:pPr>
    <w:rPr>
      <w:rFonts w:ascii="Times New Roman" w:eastAsia="Times New Roman" w:hAnsi="Times New Roman" w:cs="Times New Roman"/>
      <w:color w:val="000000"/>
      <w:sz w:val="28"/>
    </w:rPr>
  </w:style>
  <w:style w:type="paragraph" w:styleId="NormalIndent">
    <w:name w:val="Normal Indent"/>
    <w:basedOn w:val="Normal"/>
    <w:uiPriority w:val="99"/>
    <w:semiHidden/>
    <w:unhideWhenUsed/>
    <w:rsid w:val="005E4781"/>
    <w:pPr>
      <w:ind w:left="720"/>
    </w:pPr>
  </w:style>
  <w:style w:type="paragraph" w:styleId="NoteHeading">
    <w:name w:val="Note Heading"/>
    <w:basedOn w:val="Normal"/>
    <w:next w:val="Normal"/>
    <w:link w:val="NoteHeadingChar"/>
    <w:uiPriority w:val="99"/>
    <w:semiHidden/>
    <w:unhideWhenUsed/>
    <w:rsid w:val="005E4781"/>
    <w:pPr>
      <w:spacing w:after="0" w:line="240" w:lineRule="auto"/>
    </w:pPr>
  </w:style>
  <w:style w:type="character" w:customStyle="1" w:styleId="NoteHeadingChar">
    <w:name w:val="Note Heading Char"/>
    <w:basedOn w:val="DefaultParagraphFont"/>
    <w:link w:val="NoteHeading"/>
    <w:uiPriority w:val="99"/>
    <w:semiHidden/>
    <w:rsid w:val="005E4781"/>
    <w:rPr>
      <w:rFonts w:ascii="Times New Roman" w:eastAsia="Times New Roman" w:hAnsi="Times New Roman" w:cs="Times New Roman"/>
      <w:color w:val="000000"/>
      <w:sz w:val="28"/>
    </w:rPr>
  </w:style>
  <w:style w:type="paragraph" w:styleId="PlainText">
    <w:name w:val="Plain Text"/>
    <w:basedOn w:val="Normal"/>
    <w:link w:val="PlainTextChar"/>
    <w:uiPriority w:val="99"/>
    <w:semiHidden/>
    <w:unhideWhenUsed/>
    <w:rsid w:val="005E47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E4781"/>
    <w:rPr>
      <w:rFonts w:ascii="Consolas" w:eastAsia="Times New Roman" w:hAnsi="Consolas" w:cs="Times New Roman"/>
      <w:color w:val="000000"/>
      <w:sz w:val="21"/>
      <w:szCs w:val="21"/>
    </w:rPr>
  </w:style>
  <w:style w:type="paragraph" w:styleId="Quote">
    <w:name w:val="Quote"/>
    <w:basedOn w:val="Normal"/>
    <w:next w:val="Normal"/>
    <w:link w:val="QuoteChar"/>
    <w:uiPriority w:val="29"/>
    <w:qFormat/>
    <w:rsid w:val="005E47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E4781"/>
    <w:rPr>
      <w:rFonts w:ascii="Times New Roman" w:eastAsia="Times New Roman" w:hAnsi="Times New Roman" w:cs="Times New Roman"/>
      <w:i/>
      <w:iCs/>
      <w:color w:val="404040" w:themeColor="text1" w:themeTint="BF"/>
      <w:sz w:val="28"/>
    </w:rPr>
  </w:style>
  <w:style w:type="paragraph" w:styleId="Salutation">
    <w:name w:val="Salutation"/>
    <w:basedOn w:val="Normal"/>
    <w:next w:val="Normal"/>
    <w:link w:val="SalutationChar"/>
    <w:uiPriority w:val="99"/>
    <w:semiHidden/>
    <w:unhideWhenUsed/>
    <w:rsid w:val="005E4781"/>
  </w:style>
  <w:style w:type="character" w:customStyle="1" w:styleId="SalutationChar">
    <w:name w:val="Salutation Char"/>
    <w:basedOn w:val="DefaultParagraphFont"/>
    <w:link w:val="Salutation"/>
    <w:uiPriority w:val="99"/>
    <w:semiHidden/>
    <w:rsid w:val="005E4781"/>
    <w:rPr>
      <w:rFonts w:ascii="Times New Roman" w:eastAsia="Times New Roman" w:hAnsi="Times New Roman" w:cs="Times New Roman"/>
      <w:color w:val="000000"/>
      <w:sz w:val="28"/>
    </w:rPr>
  </w:style>
  <w:style w:type="paragraph" w:styleId="Signature">
    <w:name w:val="Signature"/>
    <w:basedOn w:val="Normal"/>
    <w:link w:val="SignatureChar"/>
    <w:uiPriority w:val="99"/>
    <w:semiHidden/>
    <w:unhideWhenUsed/>
    <w:rsid w:val="005E4781"/>
    <w:pPr>
      <w:spacing w:after="0" w:line="240" w:lineRule="auto"/>
      <w:ind w:left="4320"/>
    </w:pPr>
  </w:style>
  <w:style w:type="character" w:customStyle="1" w:styleId="SignatureChar">
    <w:name w:val="Signature Char"/>
    <w:basedOn w:val="DefaultParagraphFont"/>
    <w:link w:val="Signature"/>
    <w:uiPriority w:val="99"/>
    <w:semiHidden/>
    <w:rsid w:val="005E4781"/>
    <w:rPr>
      <w:rFonts w:ascii="Times New Roman" w:eastAsia="Times New Roman" w:hAnsi="Times New Roman" w:cs="Times New Roman"/>
      <w:color w:val="000000"/>
      <w:sz w:val="28"/>
    </w:rPr>
  </w:style>
  <w:style w:type="paragraph" w:styleId="Subtitle">
    <w:name w:val="Subtitle"/>
    <w:basedOn w:val="Normal"/>
    <w:next w:val="Normal"/>
    <w:link w:val="SubtitleChar"/>
    <w:uiPriority w:val="11"/>
    <w:qFormat/>
    <w:rsid w:val="005E4781"/>
    <w:pPr>
      <w:numPr>
        <w:ilvl w:val="1"/>
      </w:numPr>
      <w:spacing w:after="160"/>
      <w:ind w:left="447"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5E4781"/>
    <w:rPr>
      <w:color w:val="5A5A5A" w:themeColor="text1" w:themeTint="A5"/>
      <w:spacing w:val="15"/>
    </w:rPr>
  </w:style>
  <w:style w:type="paragraph" w:styleId="TableofAuthorities">
    <w:name w:val="table of authorities"/>
    <w:basedOn w:val="Normal"/>
    <w:next w:val="Normal"/>
    <w:uiPriority w:val="99"/>
    <w:semiHidden/>
    <w:unhideWhenUsed/>
    <w:rsid w:val="005E4781"/>
    <w:pPr>
      <w:spacing w:after="0"/>
      <w:ind w:left="280" w:hanging="280"/>
    </w:pPr>
  </w:style>
  <w:style w:type="paragraph" w:styleId="TableofFigures">
    <w:name w:val="table of figures"/>
    <w:basedOn w:val="Normal"/>
    <w:next w:val="Normal"/>
    <w:uiPriority w:val="99"/>
    <w:semiHidden/>
    <w:unhideWhenUsed/>
    <w:rsid w:val="005E4781"/>
    <w:pPr>
      <w:spacing w:after="0"/>
      <w:ind w:left="0"/>
    </w:pPr>
  </w:style>
  <w:style w:type="paragraph" w:styleId="Title">
    <w:name w:val="Title"/>
    <w:basedOn w:val="Normal"/>
    <w:next w:val="Normal"/>
    <w:link w:val="TitleChar"/>
    <w:uiPriority w:val="10"/>
    <w:qFormat/>
    <w:rsid w:val="005E478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78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E4781"/>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5E4781"/>
    <w:pPr>
      <w:spacing w:after="100"/>
      <w:ind w:left="840"/>
    </w:pPr>
  </w:style>
  <w:style w:type="paragraph" w:styleId="TOC5">
    <w:name w:val="toc 5"/>
    <w:basedOn w:val="Normal"/>
    <w:next w:val="Normal"/>
    <w:autoRedefine/>
    <w:uiPriority w:val="39"/>
    <w:semiHidden/>
    <w:unhideWhenUsed/>
    <w:rsid w:val="005E4781"/>
    <w:pPr>
      <w:spacing w:after="100"/>
      <w:ind w:left="1120"/>
    </w:pPr>
  </w:style>
  <w:style w:type="paragraph" w:styleId="TOC6">
    <w:name w:val="toc 6"/>
    <w:basedOn w:val="Normal"/>
    <w:next w:val="Normal"/>
    <w:autoRedefine/>
    <w:uiPriority w:val="39"/>
    <w:semiHidden/>
    <w:unhideWhenUsed/>
    <w:rsid w:val="005E4781"/>
    <w:pPr>
      <w:spacing w:after="100"/>
      <w:ind w:left="1400"/>
    </w:pPr>
  </w:style>
  <w:style w:type="paragraph" w:styleId="TOC7">
    <w:name w:val="toc 7"/>
    <w:basedOn w:val="Normal"/>
    <w:next w:val="Normal"/>
    <w:autoRedefine/>
    <w:uiPriority w:val="39"/>
    <w:semiHidden/>
    <w:unhideWhenUsed/>
    <w:rsid w:val="005E4781"/>
    <w:pPr>
      <w:spacing w:after="100"/>
      <w:ind w:left="1680"/>
    </w:pPr>
  </w:style>
  <w:style w:type="paragraph" w:styleId="TOC8">
    <w:name w:val="toc 8"/>
    <w:basedOn w:val="Normal"/>
    <w:next w:val="Normal"/>
    <w:autoRedefine/>
    <w:uiPriority w:val="39"/>
    <w:semiHidden/>
    <w:unhideWhenUsed/>
    <w:rsid w:val="005E4781"/>
    <w:pPr>
      <w:spacing w:after="100"/>
      <w:ind w:left="1960"/>
    </w:pPr>
  </w:style>
  <w:style w:type="paragraph" w:styleId="TOC9">
    <w:name w:val="toc 9"/>
    <w:basedOn w:val="Normal"/>
    <w:next w:val="Normal"/>
    <w:autoRedefine/>
    <w:uiPriority w:val="39"/>
    <w:semiHidden/>
    <w:unhideWhenUsed/>
    <w:rsid w:val="005E4781"/>
    <w:pPr>
      <w:spacing w:after="100"/>
      <w:ind w:left="2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01" Type="http://schemas.openxmlformats.org/officeDocument/2006/relationships/image" Target="media/image5.png"/><Relationship Id="rId202" Type="http://schemas.openxmlformats.org/officeDocument/2006/relationships/image" Target="media/image6.png"/><Relationship Id="rId203" Type="http://schemas.openxmlformats.org/officeDocument/2006/relationships/image" Target="media/image7.png"/><Relationship Id="rId204" Type="http://schemas.openxmlformats.org/officeDocument/2006/relationships/image" Target="media/image8.png"/><Relationship Id="rId205"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281</TotalTime>
  <Pages>20</Pages>
  <Words>4526</Words>
  <Characters>25802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75</cp:revision>
  <cp:lastPrinted>2026-04-23T13:16:00Z</cp:lastPrinted>
  <dcterms:created xsi:type="dcterms:W3CDTF">2026-04-14T20:51:00Z</dcterms:created>
  <dcterms:modified xsi:type="dcterms:W3CDTF">2026-06-25T09:58:00Z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