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DC47837" w:rsidR="009125CE" w:rsidRPr="00D51D9D" w:rsidRDefault="00112555" w:rsidP="00112555">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D51D9D">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0EB242B2">
            <wp:simplePos x="0" y="0"/>
            <wp:positionH relativeFrom="margin">
              <wp:posOffset>133350</wp:posOffset>
            </wp:positionH>
            <wp:positionV relativeFrom="margin">
              <wp:posOffset>-64770</wp:posOffset>
            </wp:positionV>
            <wp:extent cx="1533525" cy="1423199"/>
            <wp:effectExtent l="0" t="0" r="0" b="571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3525" cy="1423199"/>
                    </a:xfrm>
                    <a:prstGeom prst="rect">
                      <a:avLst/>
                    </a:prstGeom>
                  </pic:spPr>
                </pic:pic>
              </a:graphicData>
            </a:graphic>
            <wp14:sizeRelH relativeFrom="margin">
              <wp14:pctWidth>0</wp14:pctWidth>
            </wp14:sizeRelH>
            <wp14:sizeRelV relativeFrom="margin">
              <wp14:pctHeight>0</wp14:pctHeight>
            </wp14:sizeRelV>
          </wp:anchor>
        </w:drawing>
      </w:r>
      <w:r w:rsidR="009125CE" w:rsidRPr="00D51D9D">
        <w:rPr>
          <w:rFonts w:ascii="Simplified Arabic" w:hAnsi="Simplified Arabic" w:cs="Simplified Arabic"/>
          <w:b/>
          <w:bCs/>
          <w:color w:val="000000" w:themeColor="text1"/>
          <w:sz w:val="32"/>
          <w:szCs w:val="32"/>
          <w:rtl/>
          <w:lang w:bidi="ar-EG"/>
        </w:rPr>
        <w:t xml:space="preserve">جامعة ميدأوشن </w:t>
      </w:r>
    </w:p>
    <w:p w14:paraId="1E957002" w14:textId="0C7C0B26" w:rsidR="00F546CE" w:rsidRPr="00D51D9D" w:rsidRDefault="009125CE" w:rsidP="00112555">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51D9D">
        <w:rPr>
          <w:rFonts w:ascii="Simplified Arabic" w:hAnsi="Simplified Arabic" w:cs="Simplified Arabic"/>
          <w:b/>
          <w:bCs/>
          <w:color w:val="000000" w:themeColor="text1"/>
          <w:sz w:val="32"/>
          <w:szCs w:val="32"/>
          <w:rtl/>
          <w:lang w:bidi="ar-EG"/>
        </w:rPr>
        <w:t xml:space="preserve">كلية </w:t>
      </w:r>
      <w:r w:rsidR="008C42C1" w:rsidRPr="00D51D9D">
        <w:rPr>
          <w:rFonts w:ascii="Simplified Arabic" w:hAnsi="Simplified Arabic" w:cs="Simplified Arabic"/>
          <w:b/>
          <w:bCs/>
          <w:color w:val="000000" w:themeColor="text1"/>
          <w:sz w:val="32"/>
          <w:szCs w:val="32"/>
          <w:rtl/>
          <w:lang w:bidi="ar-EG"/>
        </w:rPr>
        <w:t>الإدارة</w:t>
      </w:r>
      <w:r w:rsidRPr="00D51D9D">
        <w:rPr>
          <w:rFonts w:ascii="Simplified Arabic" w:hAnsi="Simplified Arabic" w:cs="Simplified Arabic"/>
          <w:b/>
          <w:bCs/>
          <w:color w:val="000000" w:themeColor="text1"/>
          <w:sz w:val="32"/>
          <w:szCs w:val="32"/>
          <w:rtl/>
          <w:lang w:bidi="ar-EG"/>
        </w:rPr>
        <w:t xml:space="preserve"> </w:t>
      </w:r>
    </w:p>
    <w:p w14:paraId="5F6542BF" w14:textId="207E9BE5" w:rsidR="009125CE" w:rsidRPr="00D51D9D" w:rsidRDefault="00F86421" w:rsidP="00112555">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D51D9D">
        <w:rPr>
          <w:rFonts w:ascii="Simplified Arabic" w:hAnsi="Simplified Arabic" w:cs="Simplified Arabic"/>
          <w:b/>
          <w:bCs/>
          <w:color w:val="000000" w:themeColor="text1"/>
          <w:sz w:val="32"/>
          <w:szCs w:val="32"/>
          <w:rtl/>
          <w:lang w:bidi="ar-EG"/>
        </w:rPr>
        <w:t xml:space="preserve">ماجستير </w:t>
      </w:r>
      <w:r w:rsidR="000C4FA6" w:rsidRPr="00D51D9D">
        <w:rPr>
          <w:rFonts w:ascii="Simplified Arabic" w:hAnsi="Simplified Arabic" w:cs="Simplified Arabic"/>
          <w:b/>
          <w:bCs/>
          <w:color w:val="000000" w:themeColor="text1"/>
          <w:sz w:val="32"/>
          <w:szCs w:val="32"/>
          <w:rtl/>
          <w:lang w:bidi="ar-EG"/>
        </w:rPr>
        <w:t>إدارة المخاطر</w:t>
      </w:r>
    </w:p>
    <w:p w14:paraId="6B449BCF" w14:textId="77777777" w:rsidR="00CC6261" w:rsidRPr="00D51D9D" w:rsidRDefault="00CC6261" w:rsidP="00112555">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1F2C12D2" w14:textId="77777777" w:rsidR="00DC4E1F" w:rsidRPr="00D51D9D" w:rsidRDefault="00DC4E1F" w:rsidP="00112555">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D51D9D">
        <w:rPr>
          <w:rFonts w:ascii="Simplified Arabic" w:hAnsi="Simplified Arabic" w:cs="Simplified Arabic"/>
          <w:b/>
          <w:bCs/>
          <w:color w:val="000000" w:themeColor="text1"/>
          <w:sz w:val="40"/>
          <w:szCs w:val="40"/>
          <w:rtl/>
        </w:rPr>
        <w:t>أثر تطبيق الحوكمة والمخاطر والالتزام (</w:t>
      </w:r>
      <w:r w:rsidRPr="00D51D9D">
        <w:rPr>
          <w:rFonts w:ascii="Simplified Arabic" w:hAnsi="Simplified Arabic" w:cs="Simplified Arabic"/>
          <w:b/>
          <w:bCs/>
          <w:color w:val="000000" w:themeColor="text1"/>
          <w:sz w:val="40"/>
          <w:szCs w:val="40"/>
        </w:rPr>
        <w:t>GRC</w:t>
      </w:r>
      <w:r w:rsidRPr="00D51D9D">
        <w:rPr>
          <w:rFonts w:ascii="Simplified Arabic" w:hAnsi="Simplified Arabic" w:cs="Simplified Arabic"/>
          <w:b/>
          <w:bCs/>
          <w:color w:val="000000" w:themeColor="text1"/>
          <w:sz w:val="40"/>
          <w:szCs w:val="40"/>
          <w:rtl/>
        </w:rPr>
        <w:t>) رقمياً على تحسين فعالية الرقابة الداخلية وخفض المخاطر التشغيلية: دراسة ميدانية على الشركات الحكومية بمدينة الرياض</w:t>
      </w:r>
    </w:p>
    <w:p w14:paraId="751A7E65" w14:textId="411A0B30" w:rsidR="009125CE" w:rsidRPr="00D51D9D" w:rsidRDefault="009125CE" w:rsidP="0011255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51D9D">
        <w:rPr>
          <w:rFonts w:ascii="Simplified Arabic" w:hAnsi="Simplified Arabic" w:cs="Simplified Arabic"/>
          <w:b/>
          <w:bCs/>
          <w:color w:val="000000" w:themeColor="text1"/>
          <w:sz w:val="36"/>
          <w:szCs w:val="36"/>
          <w:rtl/>
          <w:lang w:bidi="ar-EG"/>
        </w:rPr>
        <w:t>إعداد الطالب/</w:t>
      </w:r>
    </w:p>
    <w:p w14:paraId="36FC8F0F" w14:textId="326DD42C" w:rsidR="00DC4E1F" w:rsidRPr="00D51D9D" w:rsidRDefault="00DC4E1F" w:rsidP="00112555">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D51D9D">
        <w:rPr>
          <w:rFonts w:ascii="Simplified Arabic" w:hAnsi="Simplified Arabic" w:cs="Simplified Arabic"/>
          <w:color w:val="000000" w:themeColor="text1"/>
          <w:sz w:val="36"/>
          <w:szCs w:val="36"/>
          <w:rtl/>
        </w:rPr>
        <w:t>لمياء بدر السبهان</w:t>
      </w:r>
    </w:p>
    <w:p w14:paraId="0EB7DC33" w14:textId="28B9E1BB" w:rsidR="006655B3" w:rsidRPr="00D51D9D" w:rsidRDefault="00DC4E1F" w:rsidP="00112555">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D51D9D">
        <w:rPr>
          <w:rFonts w:ascii="Simplified Arabic" w:hAnsi="Simplified Arabic" w:cs="Simplified Arabic"/>
          <w:color w:val="000000" w:themeColor="text1"/>
          <w:sz w:val="36"/>
          <w:szCs w:val="36"/>
          <w:rtl/>
        </w:rPr>
        <w:t>253002470</w:t>
      </w:r>
    </w:p>
    <w:p w14:paraId="138CFE20" w14:textId="77777777" w:rsidR="00112555" w:rsidRPr="00D51D9D" w:rsidRDefault="00112555" w:rsidP="00112555">
      <w:pPr>
        <w:spacing w:before="100" w:beforeAutospacing="1" w:after="100" w:afterAutospacing="1" w:line="276" w:lineRule="auto"/>
        <w:jc w:val="center"/>
        <w:rPr>
          <w:rFonts w:ascii="Simplified Arabic" w:hAnsi="Simplified Arabic" w:cs="Simplified Arabic"/>
          <w:color w:val="000000" w:themeColor="text1"/>
          <w:sz w:val="36"/>
          <w:szCs w:val="36"/>
          <w:rtl/>
        </w:rPr>
      </w:pPr>
    </w:p>
    <w:tbl>
      <w:tblPr>
        <w:bidiVisual/>
        <w:tblW w:w="0" w:type="auto"/>
        <w:tblLook w:val="04A0" w:firstRow="1" w:lastRow="0" w:firstColumn="1" w:lastColumn="0" w:noHBand="0" w:noVBand="1"/>
      </w:tblPr>
      <w:tblGrid>
        <w:gridCol w:w="4530"/>
        <w:gridCol w:w="4531"/>
      </w:tblGrid>
      <w:tr w:rsidR="00112555" w:rsidRPr="00D51D9D" w14:paraId="6C12205F" w14:textId="77777777" w:rsidTr="00923391">
        <w:tc>
          <w:tcPr>
            <w:tcW w:w="4530" w:type="dxa"/>
          </w:tcPr>
          <w:p w14:paraId="1531FE2E" w14:textId="77777777" w:rsidR="00112555" w:rsidRPr="00D51D9D" w:rsidRDefault="00112555" w:rsidP="0092339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51D9D">
              <w:rPr>
                <w:rFonts w:ascii="Simplified Arabic" w:hAnsi="Simplified Arabic" w:cs="Simplified Arabic" w:hint="cs"/>
                <w:b/>
                <w:bCs/>
                <w:color w:val="000000" w:themeColor="text1"/>
                <w:sz w:val="36"/>
                <w:szCs w:val="36"/>
                <w:rtl/>
                <w:lang w:bidi="ar-EG"/>
              </w:rPr>
              <w:t>المشرف الرئيسي/</w:t>
            </w:r>
          </w:p>
        </w:tc>
        <w:tc>
          <w:tcPr>
            <w:tcW w:w="4531" w:type="dxa"/>
          </w:tcPr>
          <w:p w14:paraId="39F0F5CA" w14:textId="77777777" w:rsidR="00112555" w:rsidRPr="00D51D9D" w:rsidRDefault="00112555" w:rsidP="0092339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51D9D">
              <w:rPr>
                <w:rFonts w:ascii="Simplified Arabic" w:hAnsi="Simplified Arabic" w:cs="Simplified Arabic" w:hint="cs"/>
                <w:b/>
                <w:bCs/>
                <w:color w:val="000000" w:themeColor="text1"/>
                <w:sz w:val="36"/>
                <w:szCs w:val="36"/>
                <w:rtl/>
                <w:lang w:bidi="ar-EG"/>
              </w:rPr>
              <w:t>المشرف الثاني/</w:t>
            </w:r>
          </w:p>
        </w:tc>
      </w:tr>
      <w:tr w:rsidR="00112555" w:rsidRPr="00D51D9D" w14:paraId="5D48051E" w14:textId="77777777" w:rsidTr="00923391">
        <w:tc>
          <w:tcPr>
            <w:tcW w:w="4530" w:type="dxa"/>
          </w:tcPr>
          <w:p w14:paraId="0E70BC20" w14:textId="77777777" w:rsidR="00112555" w:rsidRPr="00D51D9D" w:rsidRDefault="00112555" w:rsidP="00923391">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D51D9D">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5EDC269" w14:textId="77777777" w:rsidR="00112555" w:rsidRPr="00D51D9D" w:rsidRDefault="00112555" w:rsidP="00923391">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D51D9D">
              <w:rPr>
                <w:rFonts w:ascii="Simplified Arabic" w:eastAsia="Calibri" w:hAnsi="Simplified Arabic" w:cs="Simplified Arabic"/>
                <w:color w:val="000000" w:themeColor="text1"/>
                <w:kern w:val="0"/>
                <w:sz w:val="36"/>
                <w:szCs w:val="36"/>
                <w:rtl/>
                <w:lang w:bidi="ar-EG"/>
                <w14:ligatures w14:val="none"/>
              </w:rPr>
              <w:t>د.فايز جراد</w:t>
            </w:r>
          </w:p>
        </w:tc>
      </w:tr>
    </w:tbl>
    <w:p w14:paraId="2EF93AF9" w14:textId="77777777" w:rsidR="00112555" w:rsidRPr="00D51D9D" w:rsidRDefault="00112555" w:rsidP="0011255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D51D9D">
        <w:rPr>
          <w:rFonts w:ascii="Simplified Arabic" w:hAnsi="Simplified Arabic" w:cs="Simplified Arabic"/>
          <w:b/>
          <w:bCs/>
          <w:color w:val="000000" w:themeColor="text1"/>
          <w:sz w:val="36"/>
          <w:szCs w:val="36"/>
          <w:rtl/>
          <w:lang w:bidi="ar-EG"/>
        </w:rPr>
        <w:t>العام الدراسي:</w:t>
      </w:r>
    </w:p>
    <w:p w14:paraId="2A582B97" w14:textId="77777777" w:rsidR="00112555" w:rsidRPr="00D51D9D" w:rsidRDefault="00112555" w:rsidP="00112555">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D51D9D">
        <w:rPr>
          <w:rFonts w:ascii="Simplified Arabic" w:hAnsi="Simplified Arabic" w:cs="Simplified Arabic" w:hint="cs"/>
          <w:color w:val="000000" w:themeColor="text1"/>
          <w:sz w:val="36"/>
          <w:szCs w:val="36"/>
          <w:rtl/>
          <w:lang w:bidi="ar-EG"/>
        </w:rPr>
        <w:t xml:space="preserve">1448 </w:t>
      </w:r>
      <w:r w:rsidRPr="00D51D9D">
        <w:rPr>
          <w:rFonts w:ascii="Simplified Arabic" w:hAnsi="Simplified Arabic" w:cs="Simplified Arabic"/>
          <w:color w:val="000000" w:themeColor="text1"/>
          <w:sz w:val="36"/>
          <w:szCs w:val="36"/>
          <w:rtl/>
          <w:lang w:bidi="ar-EG"/>
        </w:rPr>
        <w:t>–</w:t>
      </w:r>
      <w:r w:rsidRPr="00D51D9D">
        <w:rPr>
          <w:rFonts w:ascii="Simplified Arabic" w:hAnsi="Simplified Arabic" w:cs="Simplified Arabic" w:hint="cs"/>
          <w:color w:val="000000" w:themeColor="text1"/>
          <w:sz w:val="36"/>
          <w:szCs w:val="36"/>
          <w:rtl/>
          <w:lang w:bidi="ar-EG"/>
        </w:rPr>
        <w:t xml:space="preserve"> 2026</w:t>
      </w:r>
    </w:p>
    <w:p w14:paraId="2ADC6A8F" w14:textId="77777777" w:rsidR="00112555" w:rsidRPr="00D51D9D" w:rsidRDefault="00112555" w:rsidP="00112555">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112555" w:rsidRPr="00D51D9D" w:rsidSect="00112555">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3F75EC64" w14:textId="36EAA6C4" w:rsidR="00112555" w:rsidRPr="00D51D9D" w:rsidRDefault="00D97DA4" w:rsidP="00923391">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rtl/>
          <w14:ligatures w14:val="none"/>
        </w:rPr>
      </w:pPr>
      <w:bookmarkStart w:id="0" w:name="_Hlk172151144"/>
      <w:bookmarkStart w:id="1" w:name="_Toc169790489"/>
      <w:bookmarkStart w:id="2" w:name="_Toc234226586"/>
      <w:r w:rsidRPr="00D51D9D">
        <w:rPr>
          <w:rFonts w:ascii="Simplified Arabic" w:eastAsia="Times New Roman" w:hAnsi="Simplified Arabic" w:cs="Simplified Arabic" w:hint="cs"/>
          <w:b/>
          <w:bCs/>
          <w:color w:val="000000" w:themeColor="text1"/>
          <w:kern w:val="0"/>
          <w:sz w:val="40"/>
          <w:szCs w:val="40"/>
          <w:rtl/>
          <w14:ligatures w14:val="none"/>
        </w:rPr>
        <w:lastRenderedPageBreak/>
        <w:t>الفصل الأول: الإطار العام للدراسة</w:t>
      </w:r>
      <w:bookmarkEnd w:id="2"/>
    </w:p>
    <w:p w14:paraId="630C6EC3" w14:textId="6699DE29" w:rsidR="00D97DA4" w:rsidRPr="00D51D9D" w:rsidRDefault="00D97DA4" w:rsidP="0092339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lang w:bidi="ar-EG"/>
          <w14:ligatures w14:val="none"/>
        </w:rPr>
      </w:pPr>
      <w:bookmarkStart w:id="3" w:name="_Toc234226587"/>
      <w:r w:rsidRPr="00D51D9D">
        <w:rPr>
          <w:rFonts w:ascii="Simplified Arabic" w:eastAsia="Times New Roman" w:hAnsi="Simplified Arabic" w:cs="Simplified Arabic" w:hint="cs"/>
          <w:b/>
          <w:bCs/>
          <w:color w:val="000000" w:themeColor="text1"/>
          <w:kern w:val="0"/>
          <w:sz w:val="36"/>
          <w:szCs w:val="36"/>
          <w:rtl/>
          <w14:ligatures w14:val="none"/>
        </w:rPr>
        <w:t>1.1 المقدمة</w:t>
      </w:r>
      <w:bookmarkEnd w:id="3"/>
    </w:p>
    <w:p w14:paraId="0393346B" w14:textId="3EB6BC0A" w:rsidR="00FC6586" w:rsidRPr="00D51D9D" w:rsidRDefault="00FC6586" w:rsidP="0092339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 xml:space="preserve">تشهد بيئة الأعمال المعاصرة تحولات متسارعة فرضتها الثورة الرقمية والتطور التقني المتواصل، حيث أصبحت المؤسسات بمختلف أنواعها مطالبة بتبني أطر إدارية حديثة تتجاوز الأنماط التقليدية في التنظيم والرقابة، وتستجيب لتعقيدات البيئة التشريعية والتنظيمية المتنامية. وفي خضم هذا التحول، برز مفهوم الحوكمة والمخاطر والالتزام </w:t>
      </w:r>
      <w:r w:rsidRPr="00D51D9D">
        <w:rPr>
          <w:rFonts w:ascii="Simplified Arabic" w:eastAsia="Times New Roman" w:hAnsi="Simplified Arabic" w:cs="Simplified Arabic"/>
          <w:color w:val="000000" w:themeColor="text1"/>
          <w:kern w:val="0"/>
          <w:sz w:val="28"/>
          <w:szCs w:val="28"/>
          <w14:ligatures w14:val="none"/>
        </w:rPr>
        <w:t xml:space="preserve">(Governance, Risk, and Compliance - GRC) </w:t>
      </w:r>
      <w:r w:rsidRPr="00D51D9D">
        <w:rPr>
          <w:rFonts w:ascii="Simplified Arabic" w:eastAsia="Times New Roman" w:hAnsi="Simplified Arabic" w:cs="Simplified Arabic"/>
          <w:color w:val="000000" w:themeColor="text1"/>
          <w:kern w:val="0"/>
          <w:sz w:val="28"/>
          <w:szCs w:val="28"/>
          <w:rtl/>
          <w14:ligatures w14:val="none"/>
        </w:rPr>
        <w:t>كإطار استراتيجي متكامل يهدف إلى مواءمة الهياكل المؤسسية مع المتطلبات التنظيمية وإدارة المخاطر بصورة منهجية، بما يُعزز من مسؤولية المؤسسات وسلوكها الأخلاقي ومناعتها التنظيمية في مواجهة التهديدات الداخلية والخارجية</w:t>
      </w:r>
      <w:r w:rsidRPr="00D51D9D">
        <w:rPr>
          <w:rFonts w:ascii="Simplified Arabic" w:eastAsia="Times New Roman" w:hAnsi="Simplified Arabic" w:cs="Simplified Arabic"/>
          <w:color w:val="000000" w:themeColor="text1"/>
          <w:kern w:val="0"/>
          <w:sz w:val="28"/>
          <w:szCs w:val="28"/>
          <w14:ligatures w14:val="none"/>
        </w:rPr>
        <w:t xml:space="preserve"> (Victor et al., 2024).</w:t>
      </w:r>
    </w:p>
    <w:p w14:paraId="414E9675" w14:textId="3D3AA23E" w:rsidR="00FC6586" w:rsidRPr="00D51D9D" w:rsidRDefault="00FC6586" w:rsidP="0092339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وقد تطور مفهوم</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من كونه ثلاث وظائف منفصلة تعمل بمعزل عن بعضها البعض إلى منظومة رقمية متكاملة تجمع بين حوكمة تكنولوجيا المعلومات وإدارة المخاطر الإلكترونية والالتزام التنظيمي الآلي ضمن بنية تقنية موحدة، وهو ما أصبح ضرورة حتمية في ظل التوسع في الرقمنة والاعتماد المتزايد على الأنظمة الذكية في تسيير العمليات المؤسسية. ويتيح التطبيق الرقمي لمنظومة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للمؤسسات توظيف التحليلات الآنية والنمذجة التنبؤية واتخاذ القرارات المؤتمتة، مما يمنحها قدرة تكيفية واستشرافية لم تكن متاحة في الأنظمة التقليدية</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Odedina</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2023). </w:t>
      </w:r>
    </w:p>
    <w:p w14:paraId="7EEED912" w14:textId="7D79F938" w:rsidR="00FC6586" w:rsidRPr="00D51D9D" w:rsidRDefault="00FC6586" w:rsidP="0092339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 xml:space="preserve">وتمثل الرقابة الداخلية ركيزة جوهرية في البنيان المؤسسي لأي منظمة، إذ تُعد خط الدفاع الأول الذي يضمن سلامة العمليات ودقة التقارير المالية والامتثال للأنظمة واللوائح، كما أن كفاءتها تنعكس مباشرة على جودة الأداء المؤسسي واستقرار المركز المالي من خلال الرصد المنتظم واكتشاف الأخطاء والمعالجة الفورية للانحرافات (الدردور، 2023)، </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Simplified Arabic" w:eastAsia="Times New Roman" w:hAnsi="Simplified Arabic" w:cs="Simplified Arabic"/>
          <w:color w:val="000000" w:themeColor="text1"/>
          <w:kern w:val="0"/>
          <w:sz w:val="28"/>
          <w:szCs w:val="28"/>
          <w:rtl/>
          <w14:ligatures w14:val="none"/>
        </w:rPr>
        <w:t xml:space="preserve">وتتداخل فعالية الرقابة الداخلية تداخلاً وثيقاً مع إدارة المخاطر التشغيلية التي تشمل المخاطر الناجمة عن القصور في العمليات الداخلية والأنظمة التقنية والموارد البشرية والأحداث الخارجية، وهي مخاطر تتطلب رصداً استباقياً ومنهجياً يتجاوز أساليب المتابعة التقليدية، خاصة في ظل تصاعد التهديدات السيبرانية وتعقد البيئات التشغيلية (بوعبدالله وعلمي، </w:t>
      </w:r>
      <w:r w:rsidRPr="00D51D9D">
        <w:rPr>
          <w:rFonts w:ascii="Simplified Arabic" w:eastAsia="Times New Roman" w:hAnsi="Simplified Arabic" w:cs="Simplified Arabic"/>
          <w:color w:val="000000" w:themeColor="text1"/>
          <w:kern w:val="0"/>
          <w:sz w:val="28"/>
          <w:szCs w:val="28"/>
          <w14:ligatures w14:val="none"/>
        </w:rPr>
        <w:t>2022</w:t>
      </w:r>
      <w:r w:rsidRPr="00D51D9D">
        <w:rPr>
          <w:rFonts w:ascii="Simplified Arabic" w:eastAsia="Times New Roman" w:hAnsi="Simplified Arabic" w:cs="Simplified Arabic"/>
          <w:color w:val="000000" w:themeColor="text1"/>
          <w:kern w:val="0"/>
          <w:sz w:val="28"/>
          <w:szCs w:val="28"/>
          <w:rtl/>
          <w14:ligatures w14:val="none"/>
        </w:rPr>
        <w:t>)</w:t>
      </w:r>
    </w:p>
    <w:p w14:paraId="2C0A8E30" w14:textId="77777777" w:rsidR="00FC6586" w:rsidRPr="00D51D9D" w:rsidRDefault="00FC6586" w:rsidP="0092339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ومن هذا المنطلق، تتقاطع منظومة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 xml:space="preserve">الرقمية مع فعالية الرقابة الداخلية وخفض المخاطر التشغيلية في نقطة محورية، إذ إن التكامل الرقمي بين وظائف الحوكمة وإدارة المخاطر والالتزام يُوفر بنية معلوماتية </w:t>
      </w:r>
      <w:r w:rsidRPr="00D51D9D">
        <w:rPr>
          <w:rFonts w:ascii="Simplified Arabic" w:eastAsia="Times New Roman" w:hAnsi="Simplified Arabic" w:cs="Simplified Arabic"/>
          <w:color w:val="000000" w:themeColor="text1"/>
          <w:kern w:val="0"/>
          <w:sz w:val="28"/>
          <w:szCs w:val="28"/>
          <w:rtl/>
          <w14:ligatures w14:val="none"/>
        </w:rPr>
        <w:lastRenderedPageBreak/>
        <w:t>شاملة تُمكّن الأجهزة الرقابية من الانتقال من الرقابة اللاحقة إلى الرقابة الآنية والاستباقية، ويُعزز من قدرة المؤسسة على تحديد المخاطر وتقييمها والاستجابة لها في الوقت المناسب، وهو ما يكتسب أهمية خاصة في الشركات الحكومية التي تتولى إدارة موارد عامة وتخضع لمتطلبات رقابية وتنظيمية مشددة</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Alqahtani</w:t>
      </w:r>
      <w:proofErr w:type="spellEnd"/>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Belal</w:t>
      </w:r>
      <w:proofErr w:type="spellEnd"/>
      <w:r w:rsidRPr="00D51D9D">
        <w:rPr>
          <w:rFonts w:ascii="Simplified Arabic" w:eastAsia="Times New Roman" w:hAnsi="Simplified Arabic" w:cs="Simplified Arabic"/>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color w:val="000000" w:themeColor="text1"/>
          <w:kern w:val="0"/>
          <w:sz w:val="28"/>
          <w:szCs w:val="28"/>
          <w14:ligatures w14:val="none"/>
        </w:rPr>
        <w:t>Zakri</w:t>
      </w:r>
      <w:proofErr w:type="spellEnd"/>
      <w:r w:rsidRPr="00D51D9D">
        <w:rPr>
          <w:rFonts w:ascii="Simplified Arabic" w:eastAsia="Times New Roman" w:hAnsi="Simplified Arabic" w:cs="Simplified Arabic"/>
          <w:color w:val="000000" w:themeColor="text1"/>
          <w:kern w:val="0"/>
          <w:sz w:val="28"/>
          <w:szCs w:val="28"/>
          <w14:ligatures w14:val="none"/>
        </w:rPr>
        <w:t>, 2025).</w:t>
      </w:r>
    </w:p>
    <w:p w14:paraId="2BFD8AA6" w14:textId="4B5AE1F0" w:rsidR="00FC6586" w:rsidRPr="00D51D9D" w:rsidRDefault="00FC6586" w:rsidP="0092339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وتأسيساً على ذلك، تأتي هذه الدراسة لتتناول أثر التطبيق الرقمي للحوكمة والمخاطر والالتزام</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 xml:space="preserve">بأبعاده على تحسين فعالية الرقابة الداخلية وخفض المخاطر التشغيلية في الشركات الحكومية بمدينة الرياض، وذلك في إطار التوجه الوطني نحو التحول الرقمي وتعزيز الحوكمة المؤسسية بما ينسجم مع مستهدفات رؤية المملكة العربية السعودية </w:t>
      </w:r>
      <w:r w:rsidRPr="00D51D9D">
        <w:rPr>
          <w:rFonts w:ascii="Simplified Arabic" w:eastAsia="Times New Roman" w:hAnsi="Simplified Arabic" w:cs="Simplified Arabic"/>
          <w:color w:val="000000" w:themeColor="text1"/>
          <w:kern w:val="0"/>
          <w:sz w:val="28"/>
          <w:szCs w:val="28"/>
          <w14:ligatures w14:val="none"/>
        </w:rPr>
        <w:t>2030</w:t>
      </w:r>
      <w:r w:rsidRPr="00D51D9D">
        <w:rPr>
          <w:rFonts w:ascii="Simplified Arabic" w:eastAsia="Times New Roman" w:hAnsi="Simplified Arabic" w:cs="Simplified Arabic"/>
          <w:color w:val="000000" w:themeColor="text1"/>
          <w:kern w:val="0"/>
          <w:sz w:val="28"/>
          <w:szCs w:val="28"/>
          <w:rtl/>
          <w14:ligatures w14:val="none"/>
        </w:rPr>
        <w:t>، ساعيةً إلى تقديم إطار علمي وتطبيقي يُسهم في تطوير الممارسات الإدارية والرقابية في القطاع الحكومي السعودي.</w:t>
      </w:r>
    </w:p>
    <w:p w14:paraId="76B25F2E" w14:textId="3841E6D4" w:rsidR="00923391" w:rsidRPr="00D51D9D" w:rsidRDefault="00923391" w:rsidP="00923391">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500"/>
      <w:bookmarkStart w:id="5" w:name="_Toc234226588"/>
      <w:bookmarkEnd w:id="0"/>
      <w:bookmarkEnd w:id="1"/>
      <w:r w:rsidRPr="00D51D9D">
        <w:rPr>
          <w:rFonts w:ascii="Simplified Arabic" w:hAnsi="Simplified Arabic" w:cs="Simplified Arabic"/>
          <w:b/>
          <w:bCs/>
          <w:color w:val="000000" w:themeColor="text1"/>
          <w:sz w:val="36"/>
          <w:szCs w:val="36"/>
          <w:rtl/>
        </w:rPr>
        <w:t>2.1 مشكلة الدراسة</w:t>
      </w:r>
      <w:bookmarkEnd w:id="5"/>
    </w:p>
    <w:p w14:paraId="07637E50" w14:textId="77777777" w:rsidR="00FC6586" w:rsidRPr="00D51D9D" w:rsidRDefault="00FC6586" w:rsidP="00923391">
      <w:pPr>
        <w:pStyle w:val="NormalWeb"/>
        <w:bidi/>
        <w:spacing w:line="276" w:lineRule="auto"/>
        <w:ind w:firstLine="424"/>
        <w:jc w:val="both"/>
        <w:rPr>
          <w:rFonts w:ascii="Simplified Arabic" w:hAnsi="Simplified Arabic" w:cs="Simplified Arabic"/>
          <w:color w:val="000000" w:themeColor="text1"/>
          <w:sz w:val="28"/>
          <w:szCs w:val="28"/>
        </w:rPr>
      </w:pPr>
      <w:r w:rsidRPr="00D51D9D">
        <w:rPr>
          <w:rFonts w:ascii="Simplified Arabic" w:hAnsi="Simplified Arabic" w:cs="Simplified Arabic"/>
          <w:color w:val="000000" w:themeColor="text1"/>
          <w:sz w:val="28"/>
          <w:szCs w:val="28"/>
          <w:rtl/>
        </w:rPr>
        <w:t>يشهد العالم تحولات جذرية في أنماط الإدارة المؤسسية مدفوعة بالتسارع التقني غير المسبوق والتعقيد المتنامي في البيئات التنظيمية والتشريعية، وقد أفرزت هذه التحولات تحديات هيكلية عميقة تواجه المؤسسات الحكومية على وجه الخصوص، إذ لم تعد الأساليب التقليدية في الحوكمة والرقابة وإدارة المخاطر قادرة على الاستجابة لمتطلبات بيئة تتسم بالتقلب والغموض والتشابك. وفي هذا السياق، برزت منظومة الحوكمة والمخاطر والالتزام</w:t>
      </w:r>
      <w:r w:rsidRPr="00D51D9D">
        <w:rPr>
          <w:rFonts w:ascii="Simplified Arabic" w:hAnsi="Simplified Arabic" w:cs="Simplified Arabic"/>
          <w:color w:val="000000" w:themeColor="text1"/>
          <w:sz w:val="28"/>
          <w:szCs w:val="28"/>
        </w:rPr>
        <w:t xml:space="preserve"> (GRC) </w:t>
      </w:r>
      <w:r w:rsidRPr="00D51D9D">
        <w:rPr>
          <w:rFonts w:ascii="Simplified Arabic" w:hAnsi="Simplified Arabic" w:cs="Simplified Arabic"/>
          <w:color w:val="000000" w:themeColor="text1"/>
          <w:sz w:val="28"/>
          <w:szCs w:val="28"/>
          <w:rtl/>
        </w:rPr>
        <w:t>كإطار استراتيجي متكامل يسعى إلى تجاوز النهج التجزيئي الذي طالما عانت منه المؤسسات حين تعاملت مع الحوكمة وإدارة المخاطر والالتزام كوظائف منعزلة تعمل في جزر منفصلة، مما أدى إلى ازدواجية الجهود وتضارب الأولويات وضعف التنسيق المؤسسي وتآكل القدرة على الاستجابة الاستباقية للمخاطر</w:t>
      </w:r>
      <w:r w:rsidRPr="00D51D9D">
        <w:rPr>
          <w:rFonts w:ascii="Simplified Arabic" w:hAnsi="Simplified Arabic" w:cs="Simplified Arabic"/>
          <w:color w:val="000000" w:themeColor="text1"/>
          <w:sz w:val="28"/>
          <w:szCs w:val="28"/>
        </w:rPr>
        <w:t>.</w:t>
      </w:r>
    </w:p>
    <w:p w14:paraId="0EF165D5" w14:textId="1BBF73E5" w:rsidR="00FC6586" w:rsidRPr="00D51D9D" w:rsidRDefault="00FC6586" w:rsidP="00923391">
      <w:pPr>
        <w:pStyle w:val="NormalWeb"/>
        <w:bidi/>
        <w:spacing w:line="276" w:lineRule="auto"/>
        <w:ind w:firstLine="424"/>
        <w:jc w:val="both"/>
        <w:rPr>
          <w:rFonts w:ascii="Simplified Arabic" w:hAnsi="Simplified Arabic" w:cs="Simplified Arabic"/>
          <w:color w:val="000000" w:themeColor="text1"/>
          <w:sz w:val="28"/>
          <w:szCs w:val="28"/>
        </w:rPr>
      </w:pPr>
      <w:r w:rsidRPr="00D51D9D">
        <w:rPr>
          <w:rFonts w:ascii="Simplified Arabic" w:hAnsi="Simplified Arabic" w:cs="Simplified Arabic"/>
          <w:color w:val="000000" w:themeColor="text1"/>
          <w:sz w:val="28"/>
          <w:szCs w:val="28"/>
          <w:rtl/>
        </w:rPr>
        <w:t>وتكشف المؤشرات الواقعية أن الشركات الحكومية في المملكة العربية السعودية، رغم ما تحظى به من دعم مؤسسي وتشريعي في إطار رؤية 2030، لا تزال تواجه تحديات جوهرية في تحقيق التكامل الرقمي الفعّال بين وظائف الحوكمة وإدارة المخاطر والالتزام، حيث تُشير تقارير ديوان المراقبة العامة وهيئة الحكومة الرقمية إلى وجود فجوات ملحوظة في مستوى النضج الرقمي لأنظمة الرقابة الداخلية، واستمرار الاعتماد على الإجراءات اليدوية والتقليدية في رصد المخاطر التشغيلية ومتابعة الالتزام التنظيمي، فضلاً عن محدودية التوظيف الاستراتيجي للتقنيات الحديثة كالذكاء الاصطناعي والتحليلات التنبؤية وأنظمة الإنذار المبكر في منظومة الحوكمة والرقابة</w:t>
      </w:r>
      <w:r w:rsidRPr="00D51D9D">
        <w:rPr>
          <w:rFonts w:ascii="Simplified Arabic" w:hAnsi="Simplified Arabic" w:cs="Simplified Arabic"/>
          <w:color w:val="000000" w:themeColor="text1"/>
          <w:sz w:val="28"/>
          <w:szCs w:val="28"/>
        </w:rPr>
        <w:t xml:space="preserve">. </w:t>
      </w:r>
      <w:r w:rsidRPr="00D51D9D">
        <w:rPr>
          <w:rFonts w:ascii="Simplified Arabic" w:hAnsi="Simplified Arabic" w:cs="Simplified Arabic"/>
          <w:color w:val="000000" w:themeColor="text1"/>
          <w:sz w:val="28"/>
          <w:szCs w:val="28"/>
          <w:rtl/>
        </w:rPr>
        <w:t xml:space="preserve">وقد أكدت دراسة البلوي وغيث (2021) أن واقع تطبيق الحوكمة في مؤسسات </w:t>
      </w:r>
      <w:r w:rsidRPr="00D51D9D">
        <w:rPr>
          <w:rFonts w:ascii="Simplified Arabic" w:hAnsi="Simplified Arabic" w:cs="Simplified Arabic"/>
          <w:color w:val="000000" w:themeColor="text1"/>
          <w:sz w:val="28"/>
          <w:szCs w:val="28"/>
          <w:rtl/>
        </w:rPr>
        <w:lastRenderedPageBreak/>
        <w:t>القطاع العام السعودي لا يزال ضعيفاً مقارنة بالمبادئ النظرية المطروحة، كما أوضحت دراسة العشيبي والوكيل (2023) أن مستوى الإفصاح عن المخاطر التشغيلية في المؤسسات المالية بلغ نسبة متدنية لا تتجاوز (5.51%)، وهو ما يعكس قصوراً هيكلياً في منظومة الرقابة وإدارة المخاطر. كما أشارت دراسة</w:t>
      </w:r>
      <w:r w:rsidRPr="00D51D9D">
        <w:rPr>
          <w:rFonts w:ascii="Simplified Arabic" w:hAnsi="Simplified Arabic" w:cs="Simplified Arabic"/>
          <w:color w:val="000000" w:themeColor="text1"/>
          <w:sz w:val="28"/>
          <w:szCs w:val="28"/>
        </w:rPr>
        <w:t xml:space="preserve"> </w:t>
      </w:r>
      <w:proofErr w:type="spellStart"/>
      <w:r w:rsidRPr="00D51D9D">
        <w:rPr>
          <w:rFonts w:ascii="Simplified Arabic" w:hAnsi="Simplified Arabic" w:cs="Simplified Arabic"/>
          <w:color w:val="000000" w:themeColor="text1"/>
          <w:sz w:val="28"/>
          <w:szCs w:val="28"/>
        </w:rPr>
        <w:t>Aloulou</w:t>
      </w:r>
      <w:proofErr w:type="spellEnd"/>
      <w:r w:rsidRPr="00D51D9D">
        <w:rPr>
          <w:rFonts w:ascii="Simplified Arabic" w:hAnsi="Simplified Arabic" w:cs="Simplified Arabic"/>
          <w:color w:val="000000" w:themeColor="text1"/>
          <w:sz w:val="28"/>
          <w:szCs w:val="28"/>
        </w:rPr>
        <w:t xml:space="preserve"> &amp; </w:t>
      </w:r>
      <w:proofErr w:type="spellStart"/>
      <w:r w:rsidRPr="00D51D9D">
        <w:rPr>
          <w:rFonts w:ascii="Simplified Arabic" w:hAnsi="Simplified Arabic" w:cs="Simplified Arabic"/>
          <w:color w:val="000000" w:themeColor="text1"/>
          <w:sz w:val="28"/>
          <w:szCs w:val="28"/>
        </w:rPr>
        <w:t>Alshohail</w:t>
      </w:r>
      <w:proofErr w:type="spellEnd"/>
      <w:r w:rsidRPr="00D51D9D">
        <w:rPr>
          <w:rFonts w:ascii="Simplified Arabic" w:hAnsi="Simplified Arabic" w:cs="Simplified Arabic"/>
          <w:color w:val="000000" w:themeColor="text1"/>
          <w:sz w:val="28"/>
          <w:szCs w:val="28"/>
        </w:rPr>
        <w:t xml:space="preserve"> (2026) </w:t>
      </w:r>
      <w:r w:rsidRPr="00D51D9D">
        <w:rPr>
          <w:rFonts w:ascii="Simplified Arabic" w:hAnsi="Simplified Arabic" w:cs="Simplified Arabic"/>
          <w:color w:val="000000" w:themeColor="text1"/>
          <w:sz w:val="28"/>
          <w:szCs w:val="28"/>
          <w:rtl/>
        </w:rPr>
        <w:t xml:space="preserve">إلى أن معظم المؤسسات لا تزال تتعامل مع مكونات </w:t>
      </w:r>
      <w:r w:rsidRPr="00D51D9D">
        <w:rPr>
          <w:rFonts w:ascii="Simplified Arabic" w:hAnsi="Simplified Arabic" w:cs="Simplified Arabic"/>
          <w:color w:val="000000" w:themeColor="text1"/>
          <w:sz w:val="28"/>
          <w:szCs w:val="28"/>
        </w:rPr>
        <w:t xml:space="preserve">GRC </w:t>
      </w:r>
      <w:r w:rsidRPr="00D51D9D">
        <w:rPr>
          <w:rFonts w:ascii="Simplified Arabic" w:hAnsi="Simplified Arabic" w:cs="Simplified Arabic"/>
          <w:color w:val="000000" w:themeColor="text1"/>
          <w:sz w:val="28"/>
          <w:szCs w:val="28"/>
          <w:rtl/>
        </w:rPr>
        <w:t>بشكل منفصل دون تحقيق التكامل المطلوب، رغم أن الدراسة أثبتت أن التكامل الرقمي لهذه المنظومة يُعزز الكفاءة التشغيلية بشكل جوهري</w:t>
      </w:r>
      <w:r w:rsidRPr="00D51D9D">
        <w:rPr>
          <w:rFonts w:ascii="Simplified Arabic" w:hAnsi="Simplified Arabic" w:cs="Simplified Arabic"/>
          <w:color w:val="000000" w:themeColor="text1"/>
          <w:sz w:val="28"/>
          <w:szCs w:val="28"/>
        </w:rPr>
        <w:t>.</w:t>
      </w:r>
    </w:p>
    <w:p w14:paraId="5DDC5AA5" w14:textId="77777777" w:rsidR="00FC6586" w:rsidRPr="00D51D9D" w:rsidRDefault="00FC6586" w:rsidP="00923391">
      <w:pPr>
        <w:pStyle w:val="NormalWeb"/>
        <w:bidi/>
        <w:spacing w:line="276" w:lineRule="auto"/>
        <w:ind w:firstLine="424"/>
        <w:jc w:val="both"/>
        <w:rPr>
          <w:rFonts w:ascii="Simplified Arabic" w:hAnsi="Simplified Arabic" w:cs="Simplified Arabic"/>
          <w:color w:val="000000" w:themeColor="text1"/>
          <w:sz w:val="28"/>
          <w:szCs w:val="28"/>
        </w:rPr>
      </w:pPr>
      <w:r w:rsidRPr="00D51D9D">
        <w:rPr>
          <w:rFonts w:ascii="Simplified Arabic" w:hAnsi="Simplified Arabic" w:cs="Simplified Arabic"/>
          <w:color w:val="000000" w:themeColor="text1"/>
          <w:sz w:val="28"/>
          <w:szCs w:val="28"/>
          <w:rtl/>
        </w:rPr>
        <w:t>وتتجلى المشكلة البحثية بوضوح أكبر حين يُلاحظ أن المخاطر التشغيلية في الشركات الحكومية لم تعد قاصرة على الأخطاء البشرية التقليدية أو القصور الإجرائي، بل امتدت لتشمل مخاطر سيبرانية وتقنية ومخاطر عدم الامتثال التنظيمي في بيئة رقمية متسارعة التغير، وهو ما يستوجب تحولاً نوعياً في فلسفة الرقابة وإدارة المخاطر من النهج التفاعلي الذي يعالج المخاطر بعد وقوعها إلى النهج الاستباقي الذي يتنبأ بها ويتعامل معها قبل تفاقمها. غير أن الأدبيات العربية تعاني من ندرة واضحة في الدراسات التي تتناول التطبيق الرقمي المتكامل لمنظومة</w:t>
      </w:r>
      <w:r w:rsidRPr="00D51D9D">
        <w:rPr>
          <w:rFonts w:ascii="Simplified Arabic" w:hAnsi="Simplified Arabic" w:cs="Simplified Arabic"/>
          <w:color w:val="000000" w:themeColor="text1"/>
          <w:sz w:val="28"/>
          <w:szCs w:val="28"/>
        </w:rPr>
        <w:t xml:space="preserve"> GRC </w:t>
      </w:r>
      <w:r w:rsidRPr="00D51D9D">
        <w:rPr>
          <w:rFonts w:ascii="Simplified Arabic" w:hAnsi="Simplified Arabic" w:cs="Simplified Arabic"/>
          <w:color w:val="000000" w:themeColor="text1"/>
          <w:sz w:val="28"/>
          <w:szCs w:val="28"/>
          <w:rtl/>
        </w:rPr>
        <w:t>في القطاع الحكومي وأثره على فعالية الرقابة الداخلية وخفض المخاطر التشغيلية، إذ ركزت معظم الدراسات السابقة على تناول الحوكمة أو إدارة المخاطر أو الالتزام كمتغيرات مستقلة منفصلة، وفي قطاعات مصرفية ومالية خاصة دون القطاع الحكومي</w:t>
      </w:r>
      <w:r w:rsidRPr="00D51D9D">
        <w:rPr>
          <w:rFonts w:ascii="Simplified Arabic" w:hAnsi="Simplified Arabic" w:cs="Simplified Arabic"/>
          <w:color w:val="000000" w:themeColor="text1"/>
          <w:sz w:val="28"/>
          <w:szCs w:val="28"/>
        </w:rPr>
        <w:t>.</w:t>
      </w:r>
    </w:p>
    <w:p w14:paraId="698E439B" w14:textId="77777777" w:rsidR="00FC6586" w:rsidRPr="00D51D9D" w:rsidRDefault="00FC6586" w:rsidP="00923391">
      <w:pPr>
        <w:pStyle w:val="NormalWeb"/>
        <w:bidi/>
        <w:spacing w:line="276" w:lineRule="auto"/>
        <w:ind w:firstLine="424"/>
        <w:jc w:val="both"/>
        <w:rPr>
          <w:rFonts w:ascii="Simplified Arabic" w:hAnsi="Simplified Arabic" w:cs="Simplified Arabic"/>
          <w:color w:val="000000" w:themeColor="text1"/>
          <w:sz w:val="28"/>
          <w:szCs w:val="28"/>
        </w:rPr>
      </w:pPr>
      <w:r w:rsidRPr="00D51D9D">
        <w:rPr>
          <w:rFonts w:ascii="Simplified Arabic" w:hAnsi="Simplified Arabic" w:cs="Simplified Arabic"/>
          <w:color w:val="000000" w:themeColor="text1"/>
          <w:sz w:val="28"/>
          <w:szCs w:val="28"/>
          <w:rtl/>
        </w:rPr>
        <w:t>وبناءً على ما تقدم، تتبلور مشكلة الدراسة في التساؤل الرئيسي التالي</w:t>
      </w:r>
      <w:r w:rsidRPr="00D51D9D">
        <w:rPr>
          <w:rFonts w:ascii="Simplified Arabic" w:hAnsi="Simplified Arabic" w:cs="Simplified Arabic"/>
          <w:color w:val="000000" w:themeColor="text1"/>
          <w:sz w:val="28"/>
          <w:szCs w:val="28"/>
        </w:rPr>
        <w:t xml:space="preserve">: </w:t>
      </w:r>
      <w:r w:rsidRPr="00D51D9D">
        <w:rPr>
          <w:rStyle w:val="Strong"/>
          <w:rFonts w:ascii="Simplified Arabic" w:hAnsi="Simplified Arabic" w:cs="Simplified Arabic"/>
          <w:b w:val="0"/>
          <w:bCs w:val="0"/>
          <w:color w:val="000000" w:themeColor="text1"/>
          <w:sz w:val="28"/>
          <w:szCs w:val="28"/>
          <w:rtl/>
        </w:rPr>
        <w:t>ما أثر التطبيق الرقمي للحوكمة والمخاطر والالتزام</w:t>
      </w:r>
      <w:r w:rsidRPr="00D51D9D">
        <w:rPr>
          <w:rStyle w:val="Strong"/>
          <w:rFonts w:ascii="Simplified Arabic" w:hAnsi="Simplified Arabic" w:cs="Simplified Arabic"/>
          <w:b w:val="0"/>
          <w:bCs w:val="0"/>
          <w:color w:val="000000" w:themeColor="text1"/>
          <w:sz w:val="28"/>
          <w:szCs w:val="28"/>
        </w:rPr>
        <w:t xml:space="preserve"> (GRC) </w:t>
      </w:r>
      <w:r w:rsidRPr="00D51D9D">
        <w:rPr>
          <w:rStyle w:val="Strong"/>
          <w:rFonts w:ascii="Simplified Arabic" w:hAnsi="Simplified Arabic" w:cs="Simplified Arabic"/>
          <w:b w:val="0"/>
          <w:bCs w:val="0"/>
          <w:color w:val="000000" w:themeColor="text1"/>
          <w:sz w:val="28"/>
          <w:szCs w:val="28"/>
          <w:rtl/>
        </w:rPr>
        <w:t>بأبعاده (الحوكمة الرقمية، إدارة المخاطر الإلكترونية، الالتزام التنظيمي الرقمي، التكامل التقني لأنظمة</w:t>
      </w:r>
      <w:r w:rsidRPr="00D51D9D">
        <w:rPr>
          <w:rStyle w:val="Strong"/>
          <w:rFonts w:ascii="Simplified Arabic" w:hAnsi="Simplified Arabic" w:cs="Simplified Arabic"/>
          <w:b w:val="0"/>
          <w:bCs w:val="0"/>
          <w:color w:val="000000" w:themeColor="text1"/>
          <w:sz w:val="28"/>
          <w:szCs w:val="28"/>
        </w:rPr>
        <w:t xml:space="preserve"> GRC) </w:t>
      </w:r>
      <w:r w:rsidRPr="00D51D9D">
        <w:rPr>
          <w:rStyle w:val="Strong"/>
          <w:rFonts w:ascii="Simplified Arabic" w:hAnsi="Simplified Arabic" w:cs="Simplified Arabic"/>
          <w:b w:val="0"/>
          <w:bCs w:val="0"/>
          <w:color w:val="000000" w:themeColor="text1"/>
          <w:sz w:val="28"/>
          <w:szCs w:val="28"/>
          <w:rtl/>
        </w:rPr>
        <w:t>على تحسين فعالية الرقابة الداخلية وخفض المخاطر التشغيلية في الشركات الحكومية بمدينة الرياض؟</w:t>
      </w:r>
    </w:p>
    <w:p w14:paraId="5E552801" w14:textId="3FB08074" w:rsidR="00923391" w:rsidRPr="00D51D9D" w:rsidRDefault="00923391" w:rsidP="0092339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4226589"/>
      <w:r w:rsidRPr="00D51D9D">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4A832D19" w14:textId="77777777" w:rsidR="00FC6586" w:rsidRPr="00D51D9D" w:rsidRDefault="00FC6586" w:rsidP="0092339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التطبيق الرقمي للحوكمة والمخاطر والالتزام</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 xml:space="preserve">بأبعاده (الحوكمة الرقمية، إدارة المخاطر الإلكترونية، الالتزام التنظيمي الرقمي، التكامل التقني لأنظمة </w:t>
      </w:r>
      <w:r w:rsidRPr="00D51D9D">
        <w:rPr>
          <w:rFonts w:ascii="Simplified Arabic" w:eastAsia="Times New Roman" w:hAnsi="Simplified Arabic" w:cs="Simplified Arabic"/>
          <w:color w:val="000000" w:themeColor="text1"/>
          <w:kern w:val="0"/>
          <w:sz w:val="28"/>
          <w:szCs w:val="28"/>
          <w14:ligatures w14:val="none"/>
        </w:rPr>
        <w:t xml:space="preserve">GRC) </w:t>
      </w:r>
      <w:r w:rsidRPr="00D51D9D">
        <w:rPr>
          <w:rFonts w:ascii="Simplified Arabic" w:eastAsia="Times New Roman" w:hAnsi="Simplified Arabic" w:cs="Simplified Arabic"/>
          <w:color w:val="000000" w:themeColor="text1"/>
          <w:kern w:val="0"/>
          <w:sz w:val="28"/>
          <w:szCs w:val="28"/>
          <w:rtl/>
          <w14:ligatures w14:val="none"/>
        </w:rPr>
        <w:t>على تحسين فعالية الرقابة الداخلية وخفض المخاطر التشغيلية في الشركات الحكومية بمدينة الرياض</w:t>
      </w:r>
      <w:r w:rsidRPr="00D51D9D">
        <w:rPr>
          <w:rFonts w:ascii="Simplified Arabic" w:eastAsia="Times New Roman" w:hAnsi="Simplified Arabic" w:cs="Simplified Arabic"/>
          <w:color w:val="000000" w:themeColor="text1"/>
          <w:kern w:val="0"/>
          <w:sz w:val="28"/>
          <w:szCs w:val="28"/>
          <w14:ligatures w14:val="none"/>
        </w:rPr>
        <w:t>.</w:t>
      </w:r>
    </w:p>
    <w:p w14:paraId="539CD54B" w14:textId="77777777" w:rsidR="00FC6586" w:rsidRPr="00D51D9D" w:rsidRDefault="00FC6586" w:rsidP="0011255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تتفرع من الهدف الرئيسي الأهداف الفرعية التالية</w:t>
      </w:r>
      <w:r w:rsidRPr="00D51D9D">
        <w:rPr>
          <w:rFonts w:ascii="Simplified Arabic" w:eastAsia="Times New Roman" w:hAnsi="Simplified Arabic" w:cs="Simplified Arabic"/>
          <w:b/>
          <w:bCs/>
          <w:color w:val="000000" w:themeColor="text1"/>
          <w:kern w:val="0"/>
          <w:sz w:val="28"/>
          <w:szCs w:val="28"/>
          <w14:ligatures w14:val="none"/>
        </w:rPr>
        <w:t>:</w:t>
      </w:r>
    </w:p>
    <w:p w14:paraId="42AF7B28" w14:textId="789A931E" w:rsidR="00FC6586" w:rsidRPr="00D51D9D" w:rsidRDefault="00FC6586" w:rsidP="00923391">
      <w:pPr>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lastRenderedPageBreak/>
        <w:t>التعرف على أثر تطبيق الحوكمة الرقمية على تحسين فعالية الرقابة الداخلية وخفض المخاطر التشغيلية في الشركات الحكومية بمدينة الرياض</w:t>
      </w:r>
      <w:r w:rsidRPr="00D51D9D">
        <w:rPr>
          <w:rFonts w:ascii="Simplified Arabic" w:eastAsia="Times New Roman" w:hAnsi="Simplified Arabic" w:cs="Simplified Arabic"/>
          <w:color w:val="000000" w:themeColor="text1"/>
          <w:kern w:val="0"/>
          <w:sz w:val="28"/>
          <w:szCs w:val="28"/>
          <w14:ligatures w14:val="none"/>
        </w:rPr>
        <w:t>.</w:t>
      </w:r>
    </w:p>
    <w:p w14:paraId="6114905C" w14:textId="5D0AEB6B" w:rsidR="00FC6586" w:rsidRPr="00D51D9D" w:rsidRDefault="00FC6586" w:rsidP="00923391">
      <w:pPr>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قياس أثر تطبيق إدارة المخاطر الإلكترونية على تحسين فعالية الرقابة الداخلية وخفض المخاطر التشغيلية في الشركات الحكومية بمدينة الرياض</w:t>
      </w:r>
      <w:r w:rsidRPr="00D51D9D">
        <w:rPr>
          <w:rFonts w:ascii="Simplified Arabic" w:eastAsia="Times New Roman" w:hAnsi="Simplified Arabic" w:cs="Simplified Arabic"/>
          <w:color w:val="000000" w:themeColor="text1"/>
          <w:kern w:val="0"/>
          <w:sz w:val="28"/>
          <w:szCs w:val="28"/>
          <w14:ligatures w14:val="none"/>
        </w:rPr>
        <w:t>.</w:t>
      </w:r>
    </w:p>
    <w:p w14:paraId="6CF309A9" w14:textId="06F65C17" w:rsidR="00FC6586" w:rsidRPr="00D51D9D" w:rsidRDefault="00FC6586" w:rsidP="00923391">
      <w:pPr>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تحديد أثر تطبيق الالتزام التنظيمي الرقمي على تحسين فعالية الرقابة الداخلية وخفض المخاطر التشغيلية في الشركات الحكومية بمدينة الرياض</w:t>
      </w:r>
      <w:r w:rsidRPr="00D51D9D">
        <w:rPr>
          <w:rFonts w:ascii="Simplified Arabic" w:eastAsia="Times New Roman" w:hAnsi="Simplified Arabic" w:cs="Simplified Arabic"/>
          <w:color w:val="000000" w:themeColor="text1"/>
          <w:kern w:val="0"/>
          <w:sz w:val="28"/>
          <w:szCs w:val="28"/>
          <w14:ligatures w14:val="none"/>
        </w:rPr>
        <w:t>.</w:t>
      </w:r>
    </w:p>
    <w:p w14:paraId="42C69C58" w14:textId="34378744" w:rsidR="00FC6586" w:rsidRPr="00D51D9D" w:rsidRDefault="00FC6586" w:rsidP="00923391">
      <w:pPr>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الكشف عن أثر التكامل التقني لأنظمة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على تحسين فعالية الرقابة الداخلية وخفض المخاطر التشغيلية في الشركات الحكومية بمدينة الرياض</w:t>
      </w:r>
      <w:r w:rsidRPr="00D51D9D">
        <w:rPr>
          <w:rFonts w:ascii="Simplified Arabic" w:eastAsia="Times New Roman" w:hAnsi="Simplified Arabic" w:cs="Simplified Arabic"/>
          <w:color w:val="000000" w:themeColor="text1"/>
          <w:kern w:val="0"/>
          <w:sz w:val="28"/>
          <w:szCs w:val="28"/>
          <w14:ligatures w14:val="none"/>
        </w:rPr>
        <w:t>.</w:t>
      </w:r>
    </w:p>
    <w:p w14:paraId="4FB26E94" w14:textId="77777777" w:rsidR="00923391" w:rsidRPr="00D51D9D" w:rsidRDefault="00923391" w:rsidP="0092339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4226590"/>
      <w:r w:rsidRPr="00D51D9D">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328B8061" w14:textId="0B49004E" w:rsidR="00923391" w:rsidRPr="00D51D9D" w:rsidRDefault="00923391" w:rsidP="0092339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51D9D">
        <w:rPr>
          <w:rFonts w:ascii="Simplified Arabic" w:eastAsia="Times New Roman" w:hAnsi="Simplified Arabic" w:cs="Simplified Arabic"/>
          <w:b/>
          <w:bCs/>
          <w:color w:val="000000" w:themeColor="text1"/>
          <w:kern w:val="0"/>
          <w:sz w:val="32"/>
          <w:szCs w:val="32"/>
          <w:rtl/>
          <w14:ligatures w14:val="none"/>
        </w:rPr>
        <w:t>السؤال الرئيسي</w:t>
      </w:r>
    </w:p>
    <w:p w14:paraId="1232D343" w14:textId="77777777" w:rsidR="00FC6586" w:rsidRPr="00D51D9D" w:rsidRDefault="00FC6586" w:rsidP="0092339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ما أثر التطبيق الرقمي للحوكمة والمخاطر والالتزام</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بأبعاده (الحوكمة الرقمية، إدارة المخاطر الإلكترونية، الالتزام التنظيمي الرقمي، التكامل التقني لأنظمة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على تحسين فعالية الرقابة الداخلية وخفض المخاطر التشغيلية في الشركات الحكومية بمدينة الرياض؟</w:t>
      </w:r>
    </w:p>
    <w:p w14:paraId="42DF7F57" w14:textId="77777777" w:rsidR="00FC6586" w:rsidRPr="00D51D9D" w:rsidRDefault="00FC6586" w:rsidP="0092339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5784411"/>
      <w:r w:rsidRPr="00D51D9D">
        <w:rPr>
          <w:rFonts w:ascii="Simplified Arabic" w:eastAsia="Times New Roman" w:hAnsi="Simplified Arabic" w:cs="Simplified Arabic"/>
          <w:b/>
          <w:bCs/>
          <w:color w:val="000000" w:themeColor="text1"/>
          <w:kern w:val="0"/>
          <w:sz w:val="32"/>
          <w:szCs w:val="32"/>
          <w:rtl/>
          <w14:ligatures w14:val="none"/>
        </w:rPr>
        <w:t>الأسئلة الفرعية</w:t>
      </w:r>
      <w:bookmarkEnd w:id="8"/>
    </w:p>
    <w:p w14:paraId="132509D2" w14:textId="77777777" w:rsidR="00FC6586" w:rsidRPr="00D51D9D" w:rsidRDefault="00FC6586" w:rsidP="00923391">
      <w:pPr>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ما أثر تطبيق الحوكمة الرقمية على تحسين فعالية الرقابة الداخلية وخفض المخاطر التشغيلية في الشركات الحكومية بمدينة الرياض؟</w:t>
      </w:r>
    </w:p>
    <w:p w14:paraId="0EF66F45" w14:textId="77777777" w:rsidR="00FC6586" w:rsidRPr="00D51D9D" w:rsidRDefault="00FC6586" w:rsidP="00923391">
      <w:pPr>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ما أثر تطبيق إدارة المخاطر الإلكترونية على تحسين فعالية الرقابة الداخلية وخفض المخاطر التشغيلية في الشركات الحكومية بمدينة الرياض؟</w:t>
      </w:r>
    </w:p>
    <w:p w14:paraId="1F176377" w14:textId="77777777" w:rsidR="00FC6586" w:rsidRPr="00D51D9D" w:rsidRDefault="00FC6586" w:rsidP="00923391">
      <w:pPr>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ما أثر تطبيق الالتزام التنظيمي الرقمي على تحسين فعالية الرقابة الداخلية وخفض المخاطر التشغيلية في الشركات الحكومية بمدينة الرياض؟</w:t>
      </w:r>
    </w:p>
    <w:p w14:paraId="5F4F84F3" w14:textId="77777777" w:rsidR="00FC6586" w:rsidRPr="00D51D9D" w:rsidRDefault="00FC6586" w:rsidP="00923391">
      <w:pPr>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ما أثر التكامل التقني لأنظمة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على تحسين فعالية الرقابة الداخلية وخفض المخاطر التشغيلية في الشركات الحكومية بمدينة الرياض؟</w:t>
      </w:r>
    </w:p>
    <w:p w14:paraId="5E1126B2" w14:textId="77777777" w:rsidR="00923391" w:rsidRPr="00D51D9D" w:rsidRDefault="00923391" w:rsidP="0092339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4226591"/>
      <w:r w:rsidRPr="00D51D9D">
        <w:rPr>
          <w:rFonts w:ascii="Simplified Arabic" w:eastAsia="Times New Roman" w:hAnsi="Simplified Arabic" w:cs="Simplified Arabic"/>
          <w:b/>
          <w:bCs/>
          <w:color w:val="000000" w:themeColor="text1"/>
          <w:kern w:val="0"/>
          <w:sz w:val="36"/>
          <w:szCs w:val="36"/>
          <w:rtl/>
          <w14:ligatures w14:val="none"/>
        </w:rPr>
        <w:t>5.1 فروض الدراسة</w:t>
      </w:r>
      <w:bookmarkEnd w:id="9"/>
    </w:p>
    <w:p w14:paraId="0C80696C" w14:textId="530651E1" w:rsidR="00923391" w:rsidRPr="00D51D9D" w:rsidRDefault="00923391" w:rsidP="0092339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51D9D">
        <w:rPr>
          <w:rFonts w:ascii="Simplified Arabic" w:eastAsia="Times New Roman" w:hAnsi="Simplified Arabic" w:cs="Simplified Arabic"/>
          <w:b/>
          <w:bCs/>
          <w:color w:val="000000" w:themeColor="text1"/>
          <w:kern w:val="0"/>
          <w:sz w:val="32"/>
          <w:szCs w:val="32"/>
          <w:rtl/>
          <w14:ligatures w14:val="none"/>
        </w:rPr>
        <w:lastRenderedPageBreak/>
        <w:t>الفرض الرئيسي</w:t>
      </w:r>
    </w:p>
    <w:p w14:paraId="05B8484D" w14:textId="77777777" w:rsidR="00FC6586" w:rsidRPr="00D51D9D" w:rsidRDefault="00FC6586" w:rsidP="00923391">
      <w:pPr>
        <w:pStyle w:val="ListParagraph"/>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14:ligatures w14:val="none"/>
        </w:rPr>
        <w:t xml:space="preserve">H0: </w:t>
      </w:r>
      <w:r w:rsidRPr="00D51D9D">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Cambria" w:eastAsia="Times New Roman" w:hAnsi="Cambria" w:cs="Cambria"/>
          <w:color w:val="000000" w:themeColor="text1"/>
          <w:kern w:val="0"/>
          <w:sz w:val="28"/>
          <w:szCs w:val="28"/>
          <w14:ligatures w14:val="none"/>
        </w:rPr>
        <w:t>α</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Times New Roman" w:eastAsia="Times New Roman" w:hAnsi="Times New Roman" w:cs="Times New Roman"/>
          <w:color w:val="000000" w:themeColor="text1"/>
          <w:kern w:val="0"/>
          <w:sz w:val="28"/>
          <w:szCs w:val="28"/>
          <w14:ligatures w14:val="none"/>
        </w:rPr>
        <w:t>≤</w:t>
      </w:r>
      <w:r w:rsidRPr="00D51D9D">
        <w:rPr>
          <w:rFonts w:ascii="Simplified Arabic" w:eastAsia="Times New Roman" w:hAnsi="Simplified Arabic" w:cs="Simplified Arabic"/>
          <w:color w:val="000000" w:themeColor="text1"/>
          <w:kern w:val="0"/>
          <w:sz w:val="28"/>
          <w:szCs w:val="28"/>
          <w14:ligatures w14:val="none"/>
        </w:rPr>
        <w:t xml:space="preserve"> 0.05) </w:t>
      </w:r>
      <w:r w:rsidRPr="00D51D9D">
        <w:rPr>
          <w:rFonts w:ascii="Simplified Arabic" w:eastAsia="Times New Roman" w:hAnsi="Simplified Arabic" w:cs="Simplified Arabic"/>
          <w:color w:val="000000" w:themeColor="text1"/>
          <w:kern w:val="0"/>
          <w:sz w:val="28"/>
          <w:szCs w:val="28"/>
          <w:rtl/>
          <w14:ligatures w14:val="none"/>
        </w:rPr>
        <w:t>للتطبيق الرقمي للحوكمة والمخاطر والالتزام</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بأبعاده مجتمعة على تحسين فعالية الرقابة الداخلية وخفض المخاطر التشغيلية في الشركات الحكومية بمدينة الرياض</w:t>
      </w:r>
      <w:r w:rsidRPr="00D51D9D">
        <w:rPr>
          <w:rFonts w:ascii="Simplified Arabic" w:eastAsia="Times New Roman" w:hAnsi="Simplified Arabic" w:cs="Simplified Arabic"/>
          <w:color w:val="000000" w:themeColor="text1"/>
          <w:kern w:val="0"/>
          <w:sz w:val="28"/>
          <w:szCs w:val="28"/>
          <w14:ligatures w14:val="none"/>
        </w:rPr>
        <w:t>.</w:t>
      </w:r>
    </w:p>
    <w:p w14:paraId="09BA671A" w14:textId="77777777" w:rsidR="00FC6586" w:rsidRPr="00D51D9D" w:rsidRDefault="00FC6586" w:rsidP="0011255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ويتفرع منه الفروض الفرعية التالية</w:t>
      </w:r>
      <w:r w:rsidRPr="00D51D9D">
        <w:rPr>
          <w:rFonts w:ascii="Simplified Arabic" w:eastAsia="Times New Roman" w:hAnsi="Simplified Arabic" w:cs="Simplified Arabic"/>
          <w:b/>
          <w:bCs/>
          <w:color w:val="000000" w:themeColor="text1"/>
          <w:kern w:val="0"/>
          <w:sz w:val="28"/>
          <w:szCs w:val="28"/>
          <w14:ligatures w14:val="none"/>
        </w:rPr>
        <w:t>:</w:t>
      </w:r>
    </w:p>
    <w:p w14:paraId="4F11FB9A" w14:textId="77777777" w:rsidR="00FC6586" w:rsidRPr="00D51D9D" w:rsidRDefault="00FC6586" w:rsidP="00923391">
      <w:pPr>
        <w:pStyle w:val="ListParagraph"/>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14:ligatures w14:val="none"/>
        </w:rPr>
        <w:t xml:space="preserve">H0a: </w:t>
      </w:r>
      <w:r w:rsidRPr="00D51D9D">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Cambria" w:eastAsia="Times New Roman" w:hAnsi="Cambria" w:cs="Cambria"/>
          <w:color w:val="000000" w:themeColor="text1"/>
          <w:kern w:val="0"/>
          <w:sz w:val="28"/>
          <w:szCs w:val="28"/>
          <w14:ligatures w14:val="none"/>
        </w:rPr>
        <w:t>α</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Times New Roman" w:eastAsia="Times New Roman" w:hAnsi="Times New Roman" w:cs="Times New Roman"/>
          <w:color w:val="000000" w:themeColor="text1"/>
          <w:kern w:val="0"/>
          <w:sz w:val="28"/>
          <w:szCs w:val="28"/>
          <w14:ligatures w14:val="none"/>
        </w:rPr>
        <w:t>≤</w:t>
      </w:r>
      <w:r w:rsidRPr="00D51D9D">
        <w:rPr>
          <w:rFonts w:ascii="Simplified Arabic" w:eastAsia="Times New Roman" w:hAnsi="Simplified Arabic" w:cs="Simplified Arabic"/>
          <w:color w:val="000000" w:themeColor="text1"/>
          <w:kern w:val="0"/>
          <w:sz w:val="28"/>
          <w:szCs w:val="28"/>
          <w14:ligatures w14:val="none"/>
        </w:rPr>
        <w:t xml:space="preserve"> 0.05) </w:t>
      </w:r>
      <w:r w:rsidRPr="00D51D9D">
        <w:rPr>
          <w:rFonts w:ascii="Simplified Arabic" w:eastAsia="Times New Roman" w:hAnsi="Simplified Arabic" w:cs="Simplified Arabic"/>
          <w:color w:val="000000" w:themeColor="text1"/>
          <w:kern w:val="0"/>
          <w:sz w:val="28"/>
          <w:szCs w:val="28"/>
          <w:rtl/>
          <w14:ligatures w14:val="none"/>
        </w:rPr>
        <w:t>لتطبيق الحوكمة الرقمية على تحسين فعالية الرقابة الداخلية وخفض المخاطر التشغيلية في الشركات الحكومية بمدينة الرياض</w:t>
      </w:r>
      <w:r w:rsidRPr="00D51D9D">
        <w:rPr>
          <w:rFonts w:ascii="Simplified Arabic" w:eastAsia="Times New Roman" w:hAnsi="Simplified Arabic" w:cs="Simplified Arabic"/>
          <w:color w:val="000000" w:themeColor="text1"/>
          <w:kern w:val="0"/>
          <w:sz w:val="28"/>
          <w:szCs w:val="28"/>
          <w14:ligatures w14:val="none"/>
        </w:rPr>
        <w:t>.</w:t>
      </w:r>
    </w:p>
    <w:p w14:paraId="7FEE34C2" w14:textId="77777777" w:rsidR="00FC6586" w:rsidRPr="00D51D9D" w:rsidRDefault="00FC6586" w:rsidP="00923391">
      <w:pPr>
        <w:pStyle w:val="ListParagraph"/>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14:ligatures w14:val="none"/>
        </w:rPr>
        <w:t xml:space="preserve">H0b: </w:t>
      </w:r>
      <w:r w:rsidRPr="00D51D9D">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Cambria" w:eastAsia="Times New Roman" w:hAnsi="Cambria" w:cs="Cambria"/>
          <w:color w:val="000000" w:themeColor="text1"/>
          <w:kern w:val="0"/>
          <w:sz w:val="28"/>
          <w:szCs w:val="28"/>
          <w14:ligatures w14:val="none"/>
        </w:rPr>
        <w:t>α</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Times New Roman" w:eastAsia="Times New Roman" w:hAnsi="Times New Roman" w:cs="Times New Roman"/>
          <w:color w:val="000000" w:themeColor="text1"/>
          <w:kern w:val="0"/>
          <w:sz w:val="28"/>
          <w:szCs w:val="28"/>
          <w14:ligatures w14:val="none"/>
        </w:rPr>
        <w:t>≤</w:t>
      </w:r>
      <w:r w:rsidRPr="00D51D9D">
        <w:rPr>
          <w:rFonts w:ascii="Simplified Arabic" w:eastAsia="Times New Roman" w:hAnsi="Simplified Arabic" w:cs="Simplified Arabic"/>
          <w:color w:val="000000" w:themeColor="text1"/>
          <w:kern w:val="0"/>
          <w:sz w:val="28"/>
          <w:szCs w:val="28"/>
          <w14:ligatures w14:val="none"/>
        </w:rPr>
        <w:t xml:space="preserve"> 0.05) </w:t>
      </w:r>
      <w:r w:rsidRPr="00D51D9D">
        <w:rPr>
          <w:rFonts w:ascii="Simplified Arabic" w:eastAsia="Times New Roman" w:hAnsi="Simplified Arabic" w:cs="Simplified Arabic"/>
          <w:color w:val="000000" w:themeColor="text1"/>
          <w:kern w:val="0"/>
          <w:sz w:val="28"/>
          <w:szCs w:val="28"/>
          <w:rtl/>
          <w14:ligatures w14:val="none"/>
        </w:rPr>
        <w:t>لتطبيق إدارة المخاطر الإلكترونية على تحسين فعالية الرقابة الداخلية وخفض المخاطر التشغيلية في الشركات الحكومية بمدينة الرياض</w:t>
      </w:r>
      <w:r w:rsidRPr="00D51D9D">
        <w:rPr>
          <w:rFonts w:ascii="Simplified Arabic" w:eastAsia="Times New Roman" w:hAnsi="Simplified Arabic" w:cs="Simplified Arabic"/>
          <w:color w:val="000000" w:themeColor="text1"/>
          <w:kern w:val="0"/>
          <w:sz w:val="28"/>
          <w:szCs w:val="28"/>
          <w14:ligatures w14:val="none"/>
        </w:rPr>
        <w:t>.</w:t>
      </w:r>
    </w:p>
    <w:p w14:paraId="706AF34E" w14:textId="77777777" w:rsidR="00FC6586" w:rsidRPr="00D51D9D" w:rsidRDefault="00FC6586" w:rsidP="00923391">
      <w:pPr>
        <w:pStyle w:val="ListParagraph"/>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14:ligatures w14:val="none"/>
        </w:rPr>
        <w:t xml:space="preserve">H0c: </w:t>
      </w:r>
      <w:r w:rsidRPr="00D51D9D">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Cambria" w:eastAsia="Times New Roman" w:hAnsi="Cambria" w:cs="Cambria"/>
          <w:color w:val="000000" w:themeColor="text1"/>
          <w:kern w:val="0"/>
          <w:sz w:val="28"/>
          <w:szCs w:val="28"/>
          <w14:ligatures w14:val="none"/>
        </w:rPr>
        <w:t>α</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Times New Roman" w:eastAsia="Times New Roman" w:hAnsi="Times New Roman" w:cs="Times New Roman"/>
          <w:color w:val="000000" w:themeColor="text1"/>
          <w:kern w:val="0"/>
          <w:sz w:val="28"/>
          <w:szCs w:val="28"/>
          <w14:ligatures w14:val="none"/>
        </w:rPr>
        <w:t>≤</w:t>
      </w:r>
      <w:r w:rsidRPr="00D51D9D">
        <w:rPr>
          <w:rFonts w:ascii="Simplified Arabic" w:eastAsia="Times New Roman" w:hAnsi="Simplified Arabic" w:cs="Simplified Arabic"/>
          <w:color w:val="000000" w:themeColor="text1"/>
          <w:kern w:val="0"/>
          <w:sz w:val="28"/>
          <w:szCs w:val="28"/>
          <w14:ligatures w14:val="none"/>
        </w:rPr>
        <w:t xml:space="preserve"> 0.05) </w:t>
      </w:r>
      <w:r w:rsidRPr="00D51D9D">
        <w:rPr>
          <w:rFonts w:ascii="Simplified Arabic" w:eastAsia="Times New Roman" w:hAnsi="Simplified Arabic" w:cs="Simplified Arabic"/>
          <w:color w:val="000000" w:themeColor="text1"/>
          <w:kern w:val="0"/>
          <w:sz w:val="28"/>
          <w:szCs w:val="28"/>
          <w:rtl/>
          <w14:ligatures w14:val="none"/>
        </w:rPr>
        <w:t>لتطبيق الالتزام التنظيمي الرقمي على تحسين فعالية الرقابة الداخلية وخفض المخاطر التشغيلية في الشركات الحكومية بمدينة الرياض</w:t>
      </w:r>
      <w:r w:rsidRPr="00D51D9D">
        <w:rPr>
          <w:rFonts w:ascii="Simplified Arabic" w:eastAsia="Times New Roman" w:hAnsi="Simplified Arabic" w:cs="Simplified Arabic"/>
          <w:color w:val="000000" w:themeColor="text1"/>
          <w:kern w:val="0"/>
          <w:sz w:val="28"/>
          <w:szCs w:val="28"/>
          <w14:ligatures w14:val="none"/>
        </w:rPr>
        <w:t>.</w:t>
      </w:r>
    </w:p>
    <w:p w14:paraId="5204E8DA" w14:textId="77777777" w:rsidR="00FC6586" w:rsidRPr="00D51D9D" w:rsidRDefault="00FC6586" w:rsidP="00923391">
      <w:pPr>
        <w:pStyle w:val="ListParagraph"/>
        <w:numPr>
          <w:ilvl w:val="0"/>
          <w:numId w:val="25"/>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14:ligatures w14:val="none"/>
        </w:rPr>
        <w:t xml:space="preserve">H0d: </w:t>
      </w:r>
      <w:r w:rsidRPr="00D51D9D">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Cambria" w:eastAsia="Times New Roman" w:hAnsi="Cambria" w:cs="Cambria"/>
          <w:color w:val="000000" w:themeColor="text1"/>
          <w:kern w:val="0"/>
          <w:sz w:val="28"/>
          <w:szCs w:val="28"/>
          <w14:ligatures w14:val="none"/>
        </w:rPr>
        <w:t>α</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Times New Roman" w:eastAsia="Times New Roman" w:hAnsi="Times New Roman" w:cs="Times New Roman"/>
          <w:color w:val="000000" w:themeColor="text1"/>
          <w:kern w:val="0"/>
          <w:sz w:val="28"/>
          <w:szCs w:val="28"/>
          <w14:ligatures w14:val="none"/>
        </w:rPr>
        <w:t>≤</w:t>
      </w:r>
      <w:r w:rsidRPr="00D51D9D">
        <w:rPr>
          <w:rFonts w:ascii="Simplified Arabic" w:eastAsia="Times New Roman" w:hAnsi="Simplified Arabic" w:cs="Simplified Arabic"/>
          <w:color w:val="000000" w:themeColor="text1"/>
          <w:kern w:val="0"/>
          <w:sz w:val="28"/>
          <w:szCs w:val="28"/>
          <w14:ligatures w14:val="none"/>
        </w:rPr>
        <w:t xml:space="preserve"> 0.05) </w:t>
      </w:r>
      <w:r w:rsidRPr="00D51D9D">
        <w:rPr>
          <w:rFonts w:ascii="Simplified Arabic" w:eastAsia="Times New Roman" w:hAnsi="Simplified Arabic" w:cs="Simplified Arabic"/>
          <w:color w:val="000000" w:themeColor="text1"/>
          <w:kern w:val="0"/>
          <w:sz w:val="28"/>
          <w:szCs w:val="28"/>
          <w:rtl/>
          <w14:ligatures w14:val="none"/>
        </w:rPr>
        <w:t>للتكامل التقني لأنظمة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على تحسين فعالية الرقابة الداخلية وخفض المخاطر التشغيلية في الشركات الحكومية بمدينة الرياض</w:t>
      </w:r>
      <w:r w:rsidRPr="00D51D9D">
        <w:rPr>
          <w:rFonts w:ascii="Simplified Arabic" w:eastAsia="Times New Roman" w:hAnsi="Simplified Arabic" w:cs="Simplified Arabic"/>
          <w:color w:val="000000" w:themeColor="text1"/>
          <w:kern w:val="0"/>
          <w:sz w:val="28"/>
          <w:szCs w:val="28"/>
          <w14:ligatures w14:val="none"/>
        </w:rPr>
        <w:t>.</w:t>
      </w:r>
    </w:p>
    <w:p w14:paraId="10D87937" w14:textId="77777777" w:rsidR="00923391" w:rsidRPr="00D51D9D" w:rsidRDefault="00923391" w:rsidP="0092339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4226592"/>
      <w:r w:rsidRPr="00D51D9D">
        <w:rPr>
          <w:rFonts w:ascii="Simplified Arabic" w:eastAsia="Times New Roman" w:hAnsi="Simplified Arabic" w:cs="Simplified Arabic"/>
          <w:b/>
          <w:bCs/>
          <w:color w:val="000000" w:themeColor="text1"/>
          <w:kern w:val="0"/>
          <w:sz w:val="36"/>
          <w:szCs w:val="36"/>
          <w:rtl/>
          <w14:ligatures w14:val="none"/>
        </w:rPr>
        <w:t>6.1 أهمية الدراسة</w:t>
      </w:r>
      <w:bookmarkEnd w:id="10"/>
    </w:p>
    <w:p w14:paraId="0058EC88" w14:textId="5BAEE69B" w:rsidR="00923391" w:rsidRPr="00D51D9D" w:rsidRDefault="00923391" w:rsidP="0092339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D51D9D">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2C62583E" w14:textId="30090825" w:rsidR="00FC6586" w:rsidRPr="00D51D9D" w:rsidRDefault="00FC6586" w:rsidP="00923391">
      <w:pPr>
        <w:pStyle w:val="ListParagraph"/>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تسهم هذه الدراسة في سد فجوة واضحة في الأدبيات العربية والمحلية التي تُعاني من ندرة الدراسات التي تتناول التطبيق الرقمي المتكامل لمنظومة الحوكمة والمخاطر والالتزام</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كإطار موحد، إذ أن معظم الدراسات السابقة تناولت هذه المكونات بشكل منفصل دون ربطها في إطار رقمي شامل، مما يجعل هذه الدراسة إضافة علمية نوعية للمكتبة البحثية العربية</w:t>
      </w:r>
      <w:r w:rsidRPr="00D51D9D">
        <w:rPr>
          <w:rFonts w:ascii="Simplified Arabic" w:eastAsia="Times New Roman" w:hAnsi="Simplified Arabic" w:cs="Simplified Arabic"/>
          <w:color w:val="000000" w:themeColor="text1"/>
          <w:kern w:val="0"/>
          <w:sz w:val="28"/>
          <w:szCs w:val="28"/>
          <w14:ligatures w14:val="none"/>
        </w:rPr>
        <w:t>.</w:t>
      </w:r>
    </w:p>
    <w:p w14:paraId="56A4795B" w14:textId="658A300E" w:rsidR="00FC6586" w:rsidRPr="00D51D9D" w:rsidRDefault="00FC6586" w:rsidP="00923391">
      <w:pPr>
        <w:pStyle w:val="ListParagraph"/>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lastRenderedPageBreak/>
        <w:t xml:space="preserve">تتميز الدراسة بتقديم نموذج بحثي يتضمن أربعة أبعاد للمتغير المستقل </w:t>
      </w:r>
      <w:r w:rsidRPr="00D51D9D">
        <w:rPr>
          <w:rFonts w:ascii="Simplified Arabic" w:eastAsia="Times New Roman" w:hAnsi="Simplified Arabic" w:cs="Simplified Arabic"/>
          <w:color w:val="000000" w:themeColor="text1"/>
          <w:kern w:val="0"/>
          <w:sz w:val="28"/>
          <w:szCs w:val="28"/>
          <w14:ligatures w14:val="none"/>
        </w:rPr>
        <w:t>(</w:t>
      </w:r>
      <w:r w:rsidRPr="00D51D9D">
        <w:rPr>
          <w:rFonts w:ascii="Simplified Arabic" w:eastAsia="Times New Roman" w:hAnsi="Simplified Arabic" w:cs="Simplified Arabic"/>
          <w:color w:val="000000" w:themeColor="text1"/>
          <w:kern w:val="0"/>
          <w:sz w:val="28"/>
          <w:szCs w:val="28"/>
          <w:rtl/>
          <w14:ligatures w14:val="none"/>
        </w:rPr>
        <w:t>الحوكمة الرقمية، إدارة المخاطر الإلكترونية، الالتزام التنظيمي الرقمي، التكامل التقني) ومتغير تابع أحادي المحور يجمع بين فعالية الرقابة الداخلية وخفض المخاطر التشغيلية كمنظومة متكاملة، وهو نموذج يتجاوز النماذج التقليدية المجزأة</w:t>
      </w:r>
      <w:r w:rsidRPr="00D51D9D">
        <w:rPr>
          <w:rFonts w:ascii="Simplified Arabic" w:eastAsia="Times New Roman" w:hAnsi="Simplified Arabic" w:cs="Simplified Arabic"/>
          <w:color w:val="000000" w:themeColor="text1"/>
          <w:kern w:val="0"/>
          <w:sz w:val="28"/>
          <w:szCs w:val="28"/>
          <w14:ligatures w14:val="none"/>
        </w:rPr>
        <w:t>.</w:t>
      </w:r>
    </w:p>
    <w:p w14:paraId="56077BAD" w14:textId="019BE7A7" w:rsidR="00FC6586" w:rsidRPr="00D51D9D" w:rsidRDefault="00FC6586" w:rsidP="00923391">
      <w:pPr>
        <w:pStyle w:val="ListParagraph"/>
        <w:numPr>
          <w:ilvl w:val="0"/>
          <w:numId w:val="2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تفتح الدراسة المجال أمام مزيد من البحوث المستقبلية حول التحول الرقمي في مجال الحوكمة والرقابة وإدارة المخاطر، سواء في القطاع الحكومي أو القطاعات الأخرى، وفي سياقات جغرافية وثقافية مختلفة</w:t>
      </w:r>
      <w:r w:rsidRPr="00D51D9D">
        <w:rPr>
          <w:rFonts w:ascii="Simplified Arabic" w:eastAsia="Times New Roman" w:hAnsi="Simplified Arabic" w:cs="Simplified Arabic"/>
          <w:color w:val="000000" w:themeColor="text1"/>
          <w:kern w:val="0"/>
          <w:sz w:val="28"/>
          <w:szCs w:val="28"/>
          <w14:ligatures w14:val="none"/>
        </w:rPr>
        <w:t>.</w:t>
      </w:r>
    </w:p>
    <w:p w14:paraId="782077B5" w14:textId="77777777" w:rsidR="00FC6586" w:rsidRPr="00D51D9D" w:rsidRDefault="00FC6586" w:rsidP="0092339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5784416"/>
      <w:r w:rsidRPr="00D51D9D">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1"/>
    </w:p>
    <w:p w14:paraId="109D4F1F" w14:textId="5512B507" w:rsidR="00FC6586" w:rsidRPr="00D51D9D" w:rsidRDefault="00FC6586" w:rsidP="00923391">
      <w:pPr>
        <w:pStyle w:val="ListParagraph"/>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تكتسب الدراسة أهمية عملية بالغة في ضوء توجهات رؤية المملكة العربية السعودية 2030 التي تُركز على التحول الرقمي وتعزيز الحوكمة والشفافية في القطاع الحكومي، إذ تُقدم نتائج وتوصيات قابلة للتنفيذ تدعم تحقيق مستهدفات الرؤية في مجال الحكومة الرقمية والكفاءة المؤسسية</w:t>
      </w:r>
      <w:r w:rsidRPr="00D51D9D">
        <w:rPr>
          <w:rFonts w:ascii="Simplified Arabic" w:eastAsia="Times New Roman" w:hAnsi="Simplified Arabic" w:cs="Simplified Arabic"/>
          <w:color w:val="000000" w:themeColor="text1"/>
          <w:kern w:val="0"/>
          <w:sz w:val="28"/>
          <w:szCs w:val="28"/>
          <w14:ligatures w14:val="none"/>
        </w:rPr>
        <w:t>.</w:t>
      </w:r>
    </w:p>
    <w:p w14:paraId="7DF10F2E" w14:textId="49B7B2B2" w:rsidR="00FC6586" w:rsidRPr="00D51D9D" w:rsidRDefault="00FC6586" w:rsidP="00923391">
      <w:pPr>
        <w:pStyle w:val="ListParagraph"/>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تُوفر الدراسة لصانعي القرار في الشركات الحكومية السعودية أدلة تطبيقية مبنية على بيانات ميدانية حول مدى فعالية التطبيق الرقمي لمنظومة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في تحسين الرقابة الداخلية وخفض المخاطر التشغيلية، مما يُمكّنهم من اتخاذ قرارات استراتيجية مستنيرة بشأن الاستثمار في البنية التحتية الرقمية لمنظومة الحوكمة والمخاطر والالتزام</w:t>
      </w:r>
      <w:r w:rsidRPr="00D51D9D">
        <w:rPr>
          <w:rFonts w:ascii="Simplified Arabic" w:eastAsia="Times New Roman" w:hAnsi="Simplified Arabic" w:cs="Simplified Arabic"/>
          <w:color w:val="000000" w:themeColor="text1"/>
          <w:kern w:val="0"/>
          <w:sz w:val="28"/>
          <w:szCs w:val="28"/>
          <w14:ligatures w14:val="none"/>
        </w:rPr>
        <w:t>.</w:t>
      </w:r>
    </w:p>
    <w:p w14:paraId="23E05D63" w14:textId="2B233556" w:rsidR="00FC6586" w:rsidRPr="00D51D9D" w:rsidRDefault="00FC6586" w:rsidP="00923391">
      <w:pPr>
        <w:pStyle w:val="ListParagraph"/>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تُقدم الدراسة إطاراً تطبيقياً يُمكن أن يُستخدم كخارطة طريق للشركات الحكومية الراغبة في التحول من الأنظمة التقليدية للحوكمة والرقابة وإدارة المخاطر إلى الأنظمة الرقمية المتكاملة، مع تحديد الأولويات والمتطلبات والمراحل اللازمة لتحقيق هذا التحول بنجاح</w:t>
      </w:r>
      <w:r w:rsidRPr="00D51D9D">
        <w:rPr>
          <w:rFonts w:ascii="Simplified Arabic" w:eastAsia="Times New Roman" w:hAnsi="Simplified Arabic" w:cs="Simplified Arabic"/>
          <w:color w:val="000000" w:themeColor="text1"/>
          <w:kern w:val="0"/>
          <w:sz w:val="28"/>
          <w:szCs w:val="28"/>
          <w14:ligatures w14:val="none"/>
        </w:rPr>
        <w:t>.</w:t>
      </w:r>
    </w:p>
    <w:p w14:paraId="716B543C" w14:textId="51BFB777" w:rsidR="00FC6586" w:rsidRPr="00D51D9D" w:rsidRDefault="00FC6586" w:rsidP="00923391">
      <w:pPr>
        <w:pStyle w:val="ListParagraph"/>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تسهم نتائج الدراسة في مساعدة إدارات الرقابة الداخلية والتدقيق في الشركات الحكومية على تبني الأدوات والتقنيات الرقمية التي تُعزز من كفاءة أدائها الرقابي، وتُمكّنها من الانتقال من نهج الرقابة التفاعلية إلى نهج الرقابة الاستباقية القائمة على البيانات والتحليلات الآنية</w:t>
      </w:r>
      <w:r w:rsidRPr="00D51D9D">
        <w:rPr>
          <w:rFonts w:ascii="Simplified Arabic" w:eastAsia="Times New Roman" w:hAnsi="Simplified Arabic" w:cs="Simplified Arabic"/>
          <w:color w:val="000000" w:themeColor="text1"/>
          <w:kern w:val="0"/>
          <w:sz w:val="28"/>
          <w:szCs w:val="28"/>
          <w14:ligatures w14:val="none"/>
        </w:rPr>
        <w:t>.</w:t>
      </w:r>
    </w:p>
    <w:p w14:paraId="73FE6469" w14:textId="2E64077C" w:rsidR="00FC6586" w:rsidRPr="00D51D9D" w:rsidRDefault="00FC6586" w:rsidP="00923391">
      <w:pPr>
        <w:pStyle w:val="ListParagraph"/>
        <w:numPr>
          <w:ilvl w:val="0"/>
          <w:numId w:val="2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تُساعد نتائج الدراسة الشركات الحكومية على الاستجابة لتوجيهات الجهات الرقابية والتنظيمية في المملكة العربية السعودية كهيئة الحكومة الرقمية وديوان المراقبة العامة وهيئة حقوق الإنسان وغيرها، والتي تُطالب بتعزيز الحوكمة الرقمية وتطوير أنظمة إدارة المخاطر والالتزام في المؤسسات الحكومية</w:t>
      </w:r>
    </w:p>
    <w:p w14:paraId="22A2906B" w14:textId="77777777" w:rsidR="00923391" w:rsidRPr="00D51D9D" w:rsidRDefault="00923391" w:rsidP="00724BD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169790501"/>
      <w:bookmarkStart w:id="13" w:name="_Toc234226593"/>
      <w:bookmarkEnd w:id="4"/>
      <w:r w:rsidRPr="00D51D9D">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2C1FCEDD" w14:textId="518B1A0F" w:rsidR="00923391" w:rsidRPr="00D51D9D" w:rsidRDefault="00923391" w:rsidP="0092339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51D9D">
        <w:rPr>
          <w:rFonts w:ascii="Simplified Arabic" w:eastAsia="Times New Roman" w:hAnsi="Simplified Arabic" w:cs="Simplified Arabic"/>
          <w:b/>
          <w:bCs/>
          <w:color w:val="000000" w:themeColor="text1"/>
          <w:kern w:val="0"/>
          <w:sz w:val="32"/>
          <w:szCs w:val="32"/>
          <w:rtl/>
          <w14:ligatures w14:val="none"/>
        </w:rPr>
        <w:lastRenderedPageBreak/>
        <w:t>أولاً: الدراسات العربية</w:t>
      </w:r>
    </w:p>
    <w:p w14:paraId="1A696716" w14:textId="77777777" w:rsidR="00FC6586" w:rsidRPr="00D51D9D" w:rsidRDefault="00FC6586" w:rsidP="00724BD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دراسة (قيوش ولكحل، 2022): "أثر تطبيق الحوكمة المصرفية على أداء البنوك: دراسة عينة بعض البنوك العمومية الجزائرية</w:t>
      </w:r>
      <w:r w:rsidRPr="00D51D9D">
        <w:rPr>
          <w:rFonts w:ascii="Simplified Arabic" w:eastAsia="Times New Roman" w:hAnsi="Simplified Arabic" w:cs="Simplified Arabic"/>
          <w:b/>
          <w:bCs/>
          <w:color w:val="000000" w:themeColor="text1"/>
          <w:kern w:val="0"/>
          <w:sz w:val="28"/>
          <w:szCs w:val="28"/>
          <w14:ligatures w14:val="none"/>
        </w:rPr>
        <w:t>"</w:t>
      </w:r>
    </w:p>
    <w:p w14:paraId="58A4825E"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مبادئ الحوكمة المصرفية بأبعادها (الشفافية، الإفصاح، الرقابة والإشراف وفقاً لمعايير بازل 3) على زيادة فعالية وكفاءة الأداء المصرفي في البنوك العمومية الجزائرية. واستخدمت الدراسة المنهج الوصفي التحليلي، وتكونت العينة من مجموعة من البنوك العمومية الجزائرية. وتوصلت نتائج الدراسة إلى وجود علاقة طردية بين تبني مبادئ الحوكمة المصرفية الصادرة عن لجنة بازل 3 للرقابة والإشراف وبين التحسين المستمر لأداء البنوك. وأوصت الدراسة بضرورة إضفاء المزيد من الشفافية على العمليات المصرفية من أجل تعزيز تطبيق الحوكمة في البنوك، والعمل على نشر الوعي بمبادئ الحوكمة في البنوك العمومية الجزائرية باعتبارها عنصراً مهماً لإدارة المخاطر بالبنوك وتحسين الأداء</w:t>
      </w:r>
      <w:r w:rsidRPr="00D51D9D">
        <w:rPr>
          <w:rFonts w:ascii="Simplified Arabic" w:eastAsia="Times New Roman" w:hAnsi="Simplified Arabic" w:cs="Simplified Arabic"/>
          <w:color w:val="000000" w:themeColor="text1"/>
          <w:kern w:val="0"/>
          <w:sz w:val="28"/>
          <w:szCs w:val="28"/>
          <w14:ligatures w14:val="none"/>
        </w:rPr>
        <w:t>.</w:t>
      </w:r>
    </w:p>
    <w:p w14:paraId="02CCB038" w14:textId="77777777" w:rsidR="00FC6586" w:rsidRPr="00D51D9D" w:rsidRDefault="00FC6586" w:rsidP="00724BD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دراسة (البدري وصبح، 2025): "أثر تطبيق الحوكمة على تحسين الأداء المالي لشركات المال المخاطر المدرجة بالبورصة المصرية</w:t>
      </w:r>
      <w:r w:rsidRPr="00D51D9D">
        <w:rPr>
          <w:rFonts w:ascii="Simplified Arabic" w:eastAsia="Times New Roman" w:hAnsi="Simplified Arabic" w:cs="Simplified Arabic"/>
          <w:b/>
          <w:bCs/>
          <w:color w:val="000000" w:themeColor="text1"/>
          <w:kern w:val="0"/>
          <w:sz w:val="28"/>
          <w:szCs w:val="28"/>
          <w14:ligatures w14:val="none"/>
        </w:rPr>
        <w:t>"</w:t>
      </w:r>
    </w:p>
    <w:p w14:paraId="019100A1"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آليات الحوكمة بأبعادها (هيكل الملكية، تركيبة مجلس الإدارة، الإفصاح والشفافية) على تحسين الأداء المالي لشركات رأس المال المخاطر المدرجة بالبورصة المصرية، وذلك من خلال مؤشرات الأداء المالي (العائد على حقوق الملكية، العائد على الأصول، نمو إجمالي الأصول، نسبة السيولة الحالية). واستخدمت الدراسة المنهج الوصفي التحليلي مع أسلوب التحليل القياسي، وتكونت العينة من شركات رأس المال المخاطر المدرجة بالبورصة المصرية. وتوصلت نتائج الدراسة إلى وجود أثر إيجابي لتطبيق آليات الحوكمة على تحسين مؤشرات الأداء المالي لتلك الشركات. وأوصت الدراسة بضرورة تعزيز الالتزام بمعايير الحوكمة وتفعيل دور مجالس الإدارة في الرقابة على الأداء المالي</w:t>
      </w:r>
      <w:r w:rsidRPr="00D51D9D">
        <w:rPr>
          <w:rFonts w:ascii="Simplified Arabic" w:eastAsia="Times New Roman" w:hAnsi="Simplified Arabic" w:cs="Simplified Arabic"/>
          <w:color w:val="000000" w:themeColor="text1"/>
          <w:kern w:val="0"/>
          <w:sz w:val="28"/>
          <w:szCs w:val="28"/>
          <w14:ligatures w14:val="none"/>
        </w:rPr>
        <w:t>.</w:t>
      </w:r>
    </w:p>
    <w:p w14:paraId="38C01C40" w14:textId="77777777" w:rsidR="00FC6586" w:rsidRPr="00D51D9D" w:rsidRDefault="00FC6586" w:rsidP="00724BD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دراسة (البلوي وغيث، 2021): "أثر تطبيق آليات الحوكمة على إدارة مخاطر العمل المؤسسي في القطاع العام: دراسة ميدانية على وزارة الشؤون البلدية والقروية والإسكان بمدينة الرياض</w:t>
      </w:r>
      <w:r w:rsidRPr="00D51D9D">
        <w:rPr>
          <w:rFonts w:ascii="Simplified Arabic" w:eastAsia="Times New Roman" w:hAnsi="Simplified Arabic" w:cs="Simplified Arabic"/>
          <w:b/>
          <w:bCs/>
          <w:color w:val="000000" w:themeColor="text1"/>
          <w:kern w:val="0"/>
          <w:sz w:val="28"/>
          <w:szCs w:val="28"/>
          <w14:ligatures w14:val="none"/>
        </w:rPr>
        <w:t>"</w:t>
      </w:r>
    </w:p>
    <w:p w14:paraId="3D089E07"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تطبيق آليات الحوكمة بأبعادها (أنظمة العمل، الشفافية والمساءلة، المشاركة) على إدارة مخاطر العمل المؤسسي في القطاع العام السعودي، وذلك بالتطبيق على وزارة الشؤون البلدية والقروية والإسكان بمدينة الرياض. واستخدمت الدراسة المنهج الوصفي التحليلي، واستخدمت الاستبانة كأداة رئيسية لجمع البيانات، وتكونت العينة من الموظفين الإداريين بالوزارة. وتوصلت نتائج الدراسة إلى أن واقع تطبيق الحوكمة في مؤسسات القطاع العام السعودي ضعيف مقارنة بالمبادئ النظرية المطروحة، وأن واقع تطبيق الشفافية والمساءلة والمشاركة بمؤسسات القطاع العام السعودي متوسط، مع وجود محاولات من المسؤولين لتطبيق مبادئ الحوكمة. وأوصت الدراسة بنشر ثقافة الحوكمة والتعريف بمبادئها وآليات تنفيذها من خلال عقد البرامج التدريبية للعاملين، وتطوير الهياكل التنظيمية لاستيعاب الاتجاهات الإدارية الحديثة بما فيها الحوكمة</w:t>
      </w:r>
      <w:r w:rsidRPr="00D51D9D">
        <w:rPr>
          <w:rFonts w:ascii="Simplified Arabic" w:eastAsia="Times New Roman" w:hAnsi="Simplified Arabic" w:cs="Simplified Arabic"/>
          <w:color w:val="000000" w:themeColor="text1"/>
          <w:kern w:val="0"/>
          <w:sz w:val="28"/>
          <w:szCs w:val="28"/>
          <w14:ligatures w14:val="none"/>
        </w:rPr>
        <w:t>.</w:t>
      </w:r>
    </w:p>
    <w:p w14:paraId="27299AA2" w14:textId="77777777" w:rsidR="00FC6586" w:rsidRPr="00D51D9D" w:rsidRDefault="00FC6586" w:rsidP="00724BD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دراسة (البلوى وغيث، 2022): "أثر تطبيق آليات الحوكمة على إدارة مخاطر العمل المؤسسي في القطاع العام: دراسة ميدانية على أمانة محافظة جدة</w:t>
      </w:r>
      <w:r w:rsidRPr="00D51D9D">
        <w:rPr>
          <w:rFonts w:ascii="Simplified Arabic" w:eastAsia="Times New Roman" w:hAnsi="Simplified Arabic" w:cs="Simplified Arabic"/>
          <w:b/>
          <w:bCs/>
          <w:color w:val="000000" w:themeColor="text1"/>
          <w:kern w:val="0"/>
          <w:sz w:val="28"/>
          <w:szCs w:val="28"/>
          <w14:ligatures w14:val="none"/>
        </w:rPr>
        <w:t>"</w:t>
      </w:r>
    </w:p>
    <w:p w14:paraId="021DFAA5"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آليات الحوكمة بأبعادها (أنظمة العمل، الشفافية، المشاركة) على إدارة مخاطر العمل المؤسسي في القطاع العام لدى أمانة محافظة جدة. واستخدمت الدراسة المنهج الوصفي التحليلي، واستُخدمت الاستبانة كأداة رئيسية لجمع البيانات، وتكونت العينة من (321) موظفاً وموظفة تم اختيارهم بالطريقة العشوائية البسيطة من مجتمع البحث البالغ (2000) موظف وموظفة من الموظفين الإداريين بأمانة محافظة جدة. وتوصلت نتائج الدراسة إلى أن درجة تطبيق آليات الحوكمة لدى أمانة محافظة جدة مرتفعة بمتوسط حسابي (3.76) وأهمية نسبية (75.2%)، وأن مستوى إدارة مخاطر العمل المؤسسي مرتفع بمتوسط حسابي (3.84)، مع وجود أثر ذي دلالة إحصائية لتطبيق آليات الحوكمة على إدارة مخاطر العمل المؤسسي بمعامل ارتباط قدره (0.86). وأوصت الدراسة بضرورة تعزيز أنظمة العمل لتفعيل الحوكمة وإدارة المخاطر، وزيادة تفعيل مبدأ المشاركة بين القيادات والوظائف التنفيذية في صنع القرارات، واعتماد معايير الشفافية في جميع المعاملات الإدارية</w:t>
      </w:r>
      <w:r w:rsidRPr="00D51D9D">
        <w:rPr>
          <w:rFonts w:ascii="Simplified Arabic" w:eastAsia="Times New Roman" w:hAnsi="Simplified Arabic" w:cs="Simplified Arabic"/>
          <w:color w:val="000000" w:themeColor="text1"/>
          <w:kern w:val="0"/>
          <w:sz w:val="28"/>
          <w:szCs w:val="28"/>
          <w14:ligatures w14:val="none"/>
        </w:rPr>
        <w:t>.</w:t>
      </w:r>
    </w:p>
    <w:p w14:paraId="54021FF2" w14:textId="77777777" w:rsidR="00FC6586" w:rsidRPr="00D51D9D" w:rsidRDefault="00FC6586" w:rsidP="00724BD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دراسة (الدردور، 2023): "كفاءة الرقابة الداخلية على تحسين الأداء المالي</w:t>
      </w:r>
      <w:r w:rsidRPr="00D51D9D">
        <w:rPr>
          <w:rFonts w:ascii="Simplified Arabic" w:eastAsia="Times New Roman" w:hAnsi="Simplified Arabic" w:cs="Simplified Arabic"/>
          <w:b/>
          <w:bCs/>
          <w:color w:val="000000" w:themeColor="text1"/>
          <w:kern w:val="0"/>
          <w:sz w:val="28"/>
          <w:szCs w:val="28"/>
          <w14:ligatures w14:val="none"/>
        </w:rPr>
        <w:t>"</w:t>
      </w:r>
    </w:p>
    <w:p w14:paraId="709066F8"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كفاءة الرقابة الداخلية بأبعادها (بيئة الرقابة، تقييم المخاطر، أنشطة الرقابة، المعلومات والاتصال، المتابعة والمراقبة) على تحسين الأداء المالي في المؤسسات الحكومية، وتحديد الأسس والمعايير التي يتم من خلالها قياس كفاءة الرقابة الداخلية، وتطوير دورها في إدارة المخاطر. </w:t>
      </w:r>
      <w:r w:rsidRPr="00D51D9D">
        <w:rPr>
          <w:rFonts w:ascii="Simplified Arabic" w:eastAsia="Times New Roman" w:hAnsi="Simplified Arabic" w:cs="Simplified Arabic"/>
          <w:color w:val="000000" w:themeColor="text1"/>
          <w:kern w:val="0"/>
          <w:sz w:val="28"/>
          <w:szCs w:val="28"/>
          <w:rtl/>
          <w14:ligatures w14:val="none"/>
        </w:rPr>
        <w:lastRenderedPageBreak/>
        <w:t>واستخدمت الدراسة المنهج الوصفي التحليلي. وتوصلت نتائج الدراسة إلى أن الرقابة الداخلية تؤثر في تتبع واكتشاف الأخطاء والغش، وتساعد على تطبيق النظام المحاسبي بدقة وعلى أسس علمية سليمة، مما يؤثر في كفاءة الأداء المالي، كما أن وجود الرقابة الداخلية بصورة منتظمة يؤدي إلى المتابعة والمقدرة على اكتشاف الأخطاء والمعالجة الفورية. وأوصت الدراسة بالسعي إلى تحديث القوانين واللوائح والتعليمات المتعلقة بمزاولة الرقابة الداخلية، وتطوير أنشطتها لمواكبة متطلبات إدارة المخاطر في المؤسسات الحكومية</w:t>
      </w:r>
      <w:r w:rsidRPr="00D51D9D">
        <w:rPr>
          <w:rFonts w:ascii="Simplified Arabic" w:eastAsia="Times New Roman" w:hAnsi="Simplified Arabic" w:cs="Simplified Arabic"/>
          <w:color w:val="000000" w:themeColor="text1"/>
          <w:kern w:val="0"/>
          <w:sz w:val="28"/>
          <w:szCs w:val="28"/>
          <w14:ligatures w14:val="none"/>
        </w:rPr>
        <w:t>.</w:t>
      </w:r>
    </w:p>
    <w:p w14:paraId="0472566A" w14:textId="77777777" w:rsidR="00FC6586" w:rsidRPr="00D51D9D" w:rsidRDefault="00FC6586" w:rsidP="00724BD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دراسة (فروانة وعياد، 2022): "أثر فعالية أنظمة الرقابة الداخلية في تطوير الأداء المالي لبنك فلسطين</w:t>
      </w:r>
      <w:r w:rsidRPr="00D51D9D">
        <w:rPr>
          <w:rFonts w:ascii="Simplified Arabic" w:eastAsia="Times New Roman" w:hAnsi="Simplified Arabic" w:cs="Simplified Arabic"/>
          <w:b/>
          <w:bCs/>
          <w:color w:val="000000" w:themeColor="text1"/>
          <w:kern w:val="0"/>
          <w:sz w:val="28"/>
          <w:szCs w:val="28"/>
          <w14:ligatures w14:val="none"/>
        </w:rPr>
        <w:t>"</w:t>
      </w:r>
    </w:p>
    <w:p w14:paraId="3169C825"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هدفت الدراسة إلى التعرف على مدى فعالية أنظمة الرقابة الداخلية بأبعادها (بيئة الرقابة، تقييم المخاطر، الأنشطة الرقابية، المعلومات والاتصالات، المتابعة) في تطوير الأداء المالي في بنك فلسطين، والكشف عن علاقة الخدمات البنكية عبر الإنترنت بفاعلية نظام الرقابة الداخلية. واستخدمت الدراسة المنهج الوصفي التحليلي، وتكونت العينة من العاملين في بنك فلسطين. وتوصلت نتائج الدراسة إلى أن فعالية أنظمة الرقابة الداخلية حصلت على وزن نسبي قدره (89.59%) بدرجة تقدير كبيرة جداً، وأن تطوير الأداء المالي حصل على وزن نسبي قدره (90.40%) بدرجة تقدير كبيرة جداً، مما يدل على وجود علاقة وثيقة بين فعالية الرقابة الداخلية وتطوير الأداء المالي. وأوصت الدراسة بضرورة تعزيز أنظمة الرقابة الداخلية في البنوك، وتوضيح دور نظام الرقابة الداخلية في تحقيق استقرار المعاملات والمؤسسات البنكية</w:t>
      </w:r>
      <w:r w:rsidRPr="00D51D9D">
        <w:rPr>
          <w:rFonts w:ascii="Simplified Arabic" w:eastAsia="Times New Roman" w:hAnsi="Simplified Arabic" w:cs="Simplified Arabic"/>
          <w:color w:val="000000" w:themeColor="text1"/>
          <w:kern w:val="0"/>
          <w:sz w:val="28"/>
          <w:szCs w:val="28"/>
          <w14:ligatures w14:val="none"/>
        </w:rPr>
        <w:t>.</w:t>
      </w:r>
    </w:p>
    <w:p w14:paraId="48FBAF02" w14:textId="77777777" w:rsidR="00FC6586" w:rsidRPr="00D51D9D" w:rsidRDefault="00FC6586" w:rsidP="00724BD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دراسة (بوعبدالله وعلمي، 2022): "أثر مؤشرات المخاطر الرئيسية على المخاطر التشغيلية: بالتطبيق على شركات التأمين الجزائرية</w:t>
      </w:r>
      <w:r w:rsidRPr="00D51D9D">
        <w:rPr>
          <w:rFonts w:ascii="Simplified Arabic" w:eastAsia="Times New Roman" w:hAnsi="Simplified Arabic" w:cs="Simplified Arabic"/>
          <w:b/>
          <w:bCs/>
          <w:color w:val="000000" w:themeColor="text1"/>
          <w:kern w:val="0"/>
          <w:sz w:val="28"/>
          <w:szCs w:val="28"/>
          <w14:ligatures w14:val="none"/>
        </w:rPr>
        <w:t>"</w:t>
      </w:r>
    </w:p>
    <w:p w14:paraId="7A75BF7B"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مؤشرات المخاطر الرئيسية بأبعادها (الأخطاء البشرية، أعطال الأنظمة التكنولوجية، التغيرات في ظروف السوق، العيوب الاستراتيجية) على المخاطر التشغيلية في شركات التأمين الجزائرية. واستخدمت الدراسة المنهج الوصفي التحليلي، واستُخدمت الاستبانة كأداة لجمع البيانات، وتم تحليلها باستخدام برنامج </w:t>
      </w:r>
      <w:r w:rsidRPr="00D51D9D">
        <w:rPr>
          <w:rFonts w:ascii="Simplified Arabic" w:eastAsia="Times New Roman" w:hAnsi="Simplified Arabic" w:cs="Simplified Arabic"/>
          <w:color w:val="000000" w:themeColor="text1"/>
          <w:kern w:val="0"/>
          <w:sz w:val="28"/>
          <w:szCs w:val="28"/>
          <w14:ligatures w14:val="none"/>
        </w:rPr>
        <w:t xml:space="preserve">(SPSS) </w:t>
      </w:r>
      <w:r w:rsidRPr="00D51D9D">
        <w:rPr>
          <w:rFonts w:ascii="Simplified Arabic" w:eastAsia="Times New Roman" w:hAnsi="Simplified Arabic" w:cs="Simplified Arabic"/>
          <w:color w:val="000000" w:themeColor="text1"/>
          <w:kern w:val="0"/>
          <w:sz w:val="28"/>
          <w:szCs w:val="28"/>
          <w:rtl/>
          <w14:ligatures w14:val="none"/>
        </w:rPr>
        <w:t xml:space="preserve">وطريقة المربعات الجزئية الصغرى للمعادلات الهيكلية عبر برنامج </w:t>
      </w:r>
      <w:r w:rsidRPr="00D51D9D">
        <w:rPr>
          <w:rFonts w:ascii="Simplified Arabic" w:eastAsia="Times New Roman" w:hAnsi="Simplified Arabic" w:cs="Simplified Arabic"/>
          <w:color w:val="000000" w:themeColor="text1"/>
          <w:kern w:val="0"/>
          <w:sz w:val="28"/>
          <w:szCs w:val="28"/>
          <w14:ligatures w14:val="none"/>
        </w:rPr>
        <w:t xml:space="preserve">(Smart PLS). </w:t>
      </w:r>
      <w:r w:rsidRPr="00D51D9D">
        <w:rPr>
          <w:rFonts w:ascii="Simplified Arabic" w:eastAsia="Times New Roman" w:hAnsi="Simplified Arabic" w:cs="Simplified Arabic"/>
          <w:color w:val="000000" w:themeColor="text1"/>
          <w:kern w:val="0"/>
          <w:sz w:val="28"/>
          <w:szCs w:val="28"/>
          <w:rtl/>
          <w14:ligatures w14:val="none"/>
        </w:rPr>
        <w:t>وتوصلت نتائج الدراسة إلى وجود أثر إيجابي ودال إحصائياً لجميع مؤشرات المخاطر الرئيسية على المخاطر التشغيلية ما عدا التغيرات في ظروف السوق والعيوب الاستراتيجية. وأوصت الدراسة بضرورة تفعيل وظيفة الرقابة الداخلية، وتصميم هيكل تنظيمي مرن، وتبني نظام حوكمة فعال لتدنية المخاطر التشغيلية التي تتعرض لها شركات التأمين في الجزائر</w:t>
      </w:r>
      <w:r w:rsidRPr="00D51D9D">
        <w:rPr>
          <w:rFonts w:ascii="Simplified Arabic" w:eastAsia="Times New Roman" w:hAnsi="Simplified Arabic" w:cs="Simplified Arabic"/>
          <w:color w:val="000000" w:themeColor="text1"/>
          <w:kern w:val="0"/>
          <w:sz w:val="28"/>
          <w:szCs w:val="28"/>
          <w14:ligatures w14:val="none"/>
        </w:rPr>
        <w:t>.</w:t>
      </w:r>
    </w:p>
    <w:p w14:paraId="362CFA29" w14:textId="77777777" w:rsidR="00FC6586" w:rsidRPr="00D51D9D" w:rsidRDefault="00FC6586" w:rsidP="00724BD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lastRenderedPageBreak/>
        <w:t>دراسة (العشيبي والوكيل، 2023)</w:t>
      </w:r>
      <w:r w:rsidRPr="00D51D9D">
        <w:rPr>
          <w:rFonts w:ascii="Simplified Arabic" w:eastAsia="Times New Roman" w:hAnsi="Simplified Arabic" w:cs="Simplified Arabic"/>
          <w:b/>
          <w:bCs/>
          <w:color w:val="000000" w:themeColor="text1"/>
          <w:kern w:val="0"/>
          <w:sz w:val="28"/>
          <w:szCs w:val="28"/>
          <w14:ligatures w14:val="none"/>
        </w:rPr>
        <w:t>: "</w:t>
      </w:r>
      <w:r w:rsidRPr="00D51D9D">
        <w:rPr>
          <w:rFonts w:ascii="Simplified Arabic" w:eastAsia="Times New Roman" w:hAnsi="Simplified Arabic" w:cs="Simplified Arabic"/>
          <w:b/>
          <w:bCs/>
          <w:color w:val="000000" w:themeColor="text1"/>
          <w:kern w:val="0"/>
          <w:sz w:val="28"/>
          <w:szCs w:val="28"/>
          <w:rtl/>
          <w14:ligatures w14:val="none"/>
        </w:rPr>
        <w:t>مستوى الإفصاح عن المخاطر المالية والتشغيلية بالمصارف التجارية: دراسة على القطاع المصرفي في ليبيا</w:t>
      </w:r>
      <w:r w:rsidRPr="00D51D9D">
        <w:rPr>
          <w:rFonts w:ascii="Simplified Arabic" w:eastAsia="Times New Roman" w:hAnsi="Simplified Arabic" w:cs="Simplified Arabic"/>
          <w:b/>
          <w:bCs/>
          <w:color w:val="000000" w:themeColor="text1"/>
          <w:kern w:val="0"/>
          <w:sz w:val="28"/>
          <w:szCs w:val="28"/>
          <w14:ligatures w14:val="none"/>
        </w:rPr>
        <w:t>"</w:t>
      </w:r>
    </w:p>
    <w:p w14:paraId="04A3051F" w14:textId="3003BEA9"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هدفت الدراسة إلى التعرف على مستوى الإفصاح عن المخاطر المالية والتشغيلية بأبعادها (المخاطر المالية: العائد على حقوق الملكية، العائد على الأصول، مخاطر السيولة، مخاطر الائتمان، كفاية رأس المال؛ والمخاطر التشغيلية: المؤشر الأساسي، المؤشر المعياري، المؤشر المتقدم) في المصارف التجارية الليبية وفقاً لتوصيات بازل. واستخدمت الدراسة منهج التحليل الوصفي وأسلوب تحليل المحتوى، وتكونت العينة من تسعة مصارف تجارية في ليبيا خلال الفترة من 2014 إلى 2017م. وتوصلت نتائج الدراسة إلى أن مستوى الإفصاح عن المخاطر المالية والتشغيلية بلغ</w:t>
      </w:r>
      <w:r w:rsidRPr="00D51D9D">
        <w:rPr>
          <w:rFonts w:ascii="Simplified Arabic" w:eastAsia="Times New Roman" w:hAnsi="Simplified Arabic" w:cs="Simplified Arabic"/>
          <w:color w:val="000000" w:themeColor="text1"/>
          <w:kern w:val="0"/>
          <w:sz w:val="28"/>
          <w:szCs w:val="28"/>
          <w14:ligatures w14:val="none"/>
        </w:rPr>
        <w:t xml:space="preserve"> (5.51%) </w:t>
      </w:r>
      <w:r w:rsidRPr="00D51D9D">
        <w:rPr>
          <w:rFonts w:ascii="Simplified Arabic" w:eastAsia="Times New Roman" w:hAnsi="Simplified Arabic" w:cs="Simplified Arabic"/>
          <w:color w:val="000000" w:themeColor="text1"/>
          <w:kern w:val="0"/>
          <w:sz w:val="28"/>
          <w:szCs w:val="28"/>
          <w:rtl/>
          <w14:ligatures w14:val="none"/>
        </w:rPr>
        <w:t>وهو ضعيف جداً، وأن المصارف لم تتطرق إلى توجيهات وتوصيات بازل 2 أو 3 في ما يخص الإفصاح والشفافية وكيفية إدارة المخاطر. وأوصت الدراسة بضرورة التوسع في مستويات الإفصاح عن المخاطر المالية والتشغيلية في التقارير السنوية، وزيادة الاهتمام والوعي بأهمية متطلبات بازل</w:t>
      </w:r>
      <w:r w:rsidRPr="00D51D9D">
        <w:rPr>
          <w:rFonts w:ascii="Simplified Arabic" w:eastAsia="Times New Roman" w:hAnsi="Simplified Arabic" w:cs="Simplified Arabic"/>
          <w:color w:val="000000" w:themeColor="text1"/>
          <w:kern w:val="0"/>
          <w:sz w:val="28"/>
          <w:szCs w:val="28"/>
          <w14:ligatures w14:val="none"/>
        </w:rPr>
        <w:t>.</w:t>
      </w:r>
    </w:p>
    <w:p w14:paraId="7D083220" w14:textId="77777777" w:rsidR="00FC6586" w:rsidRPr="00D51D9D" w:rsidRDefault="00FC6586" w:rsidP="00724BD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دراسة (المعايطة والمخادمة، 2023)</w:t>
      </w:r>
      <w:r w:rsidRPr="00D51D9D">
        <w:rPr>
          <w:rFonts w:ascii="Simplified Arabic" w:eastAsia="Times New Roman" w:hAnsi="Simplified Arabic" w:cs="Simplified Arabic"/>
          <w:b/>
          <w:bCs/>
          <w:color w:val="000000" w:themeColor="text1"/>
          <w:kern w:val="0"/>
          <w:sz w:val="28"/>
          <w:szCs w:val="28"/>
          <w14:ligatures w14:val="none"/>
        </w:rPr>
        <w:t>: "</w:t>
      </w:r>
      <w:r w:rsidRPr="00D51D9D">
        <w:rPr>
          <w:rFonts w:ascii="Simplified Arabic" w:eastAsia="Times New Roman" w:hAnsi="Simplified Arabic" w:cs="Simplified Arabic"/>
          <w:b/>
          <w:bCs/>
          <w:color w:val="000000" w:themeColor="text1"/>
          <w:kern w:val="0"/>
          <w:sz w:val="28"/>
          <w:szCs w:val="28"/>
          <w:rtl/>
          <w14:ligatures w14:val="none"/>
        </w:rPr>
        <w:t>أثر إدارة المخاطر التشغيلية في دعم الميزة التنافسية: دراسة تطبيقية على البنوك التجارية العاملة في الأردن</w:t>
      </w:r>
      <w:r w:rsidRPr="00D51D9D">
        <w:rPr>
          <w:rFonts w:ascii="Simplified Arabic" w:eastAsia="Times New Roman" w:hAnsi="Simplified Arabic" w:cs="Simplified Arabic"/>
          <w:b/>
          <w:bCs/>
          <w:color w:val="000000" w:themeColor="text1"/>
          <w:kern w:val="0"/>
          <w:sz w:val="28"/>
          <w:szCs w:val="28"/>
          <w14:ligatures w14:val="none"/>
        </w:rPr>
        <w:t>"</w:t>
      </w:r>
    </w:p>
    <w:p w14:paraId="3E77FAD9"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المخاطر التشغيلية بأبعادها (تحديد المخاطر، تقييم المخاطر، الاستجابة للمخاطر، مراقبة المخاطر) على دعم الميزة التنافسية في البنوك التجارية العاملة في الأردن. واستخدمت الدراسة المنهج الوصفي التحليلي، وتكونت العينة من العاملين في البنوك التجارية الأردنية. وتوصلت نتائج الدراسة إلى وجود أثر إيجابي ذي دلالة إحصائية لإدارة المخاطر التشغيلية على دعم الميزة التنافسية للبنوك التجارية. وأوصت الدراسة بضرورة تعزيز آليات إدارة المخاطر التشغيلية وتطوير أنظمة الرقابة والمتابعة المستمرة لتحقيق ميزة تنافسية مستدامة</w:t>
      </w:r>
      <w:r w:rsidRPr="00D51D9D">
        <w:rPr>
          <w:rFonts w:ascii="Simplified Arabic" w:eastAsia="Times New Roman" w:hAnsi="Simplified Arabic" w:cs="Simplified Arabic"/>
          <w:color w:val="000000" w:themeColor="text1"/>
          <w:kern w:val="0"/>
          <w:sz w:val="28"/>
          <w:szCs w:val="28"/>
          <w14:ligatures w14:val="none"/>
        </w:rPr>
        <w:t>.</w:t>
      </w:r>
    </w:p>
    <w:p w14:paraId="5C218ABE" w14:textId="44DB5311" w:rsidR="00FC6586" w:rsidRPr="00D51D9D" w:rsidRDefault="00FC6586" w:rsidP="00724BD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 xml:space="preserve">دراسة (أحمد </w:t>
      </w:r>
      <w:r w:rsidRPr="00D51D9D">
        <w:rPr>
          <w:rFonts w:ascii="Simplified Arabic" w:eastAsia="Times New Roman" w:hAnsi="Simplified Arabic" w:cs="Simplified Arabic"/>
          <w:b/>
          <w:bCs/>
          <w:color w:val="000000" w:themeColor="text1"/>
          <w:kern w:val="0"/>
          <w:sz w:val="28"/>
          <w:szCs w:val="28"/>
          <w:rtl/>
          <w:lang w:bidi="ar-EG"/>
          <w14:ligatures w14:val="none"/>
        </w:rPr>
        <w:t>واخرون</w:t>
      </w:r>
      <w:r w:rsidRPr="00D51D9D">
        <w:rPr>
          <w:rFonts w:ascii="Simplified Arabic" w:eastAsia="Times New Roman" w:hAnsi="Simplified Arabic" w:cs="Simplified Arabic"/>
          <w:b/>
          <w:bCs/>
          <w:color w:val="000000" w:themeColor="text1"/>
          <w:kern w:val="0"/>
          <w:sz w:val="28"/>
          <w:szCs w:val="28"/>
          <w:rtl/>
          <w14:ligatures w14:val="none"/>
        </w:rPr>
        <w:t xml:space="preserve">، </w:t>
      </w:r>
      <w:r w:rsidRPr="00D51D9D">
        <w:rPr>
          <w:rFonts w:ascii="Simplified Arabic" w:eastAsia="Times New Roman" w:hAnsi="Simplified Arabic" w:cs="Simplified Arabic"/>
          <w:b/>
          <w:bCs/>
          <w:color w:val="000000" w:themeColor="text1"/>
          <w:kern w:val="0"/>
          <w:sz w:val="28"/>
          <w:szCs w:val="28"/>
          <w14:ligatures w14:val="none"/>
        </w:rPr>
        <w:t xml:space="preserve"> (2023</w:t>
      </w:r>
      <w:r w:rsidRPr="00D51D9D">
        <w:rPr>
          <w:rFonts w:ascii="Simplified Arabic" w:eastAsia="Times New Roman" w:hAnsi="Simplified Arabic" w:cs="Simplified Arabic"/>
          <w:b/>
          <w:bCs/>
          <w:color w:val="000000" w:themeColor="text1"/>
          <w:kern w:val="0"/>
          <w:sz w:val="28"/>
          <w:szCs w:val="28"/>
          <w:rtl/>
          <w14:ligatures w14:val="none"/>
        </w:rPr>
        <w:t>دور التدقيق الداخلي في تحجيم المخاطر التشغيلية مع الاستثمارية</w:t>
      </w:r>
      <w:r w:rsidRPr="00D51D9D">
        <w:rPr>
          <w:rFonts w:ascii="Simplified Arabic" w:eastAsia="Times New Roman" w:hAnsi="Simplified Arabic" w:cs="Simplified Arabic"/>
          <w:b/>
          <w:bCs/>
          <w:color w:val="000000" w:themeColor="text1"/>
          <w:kern w:val="0"/>
          <w:sz w:val="28"/>
          <w:szCs w:val="28"/>
          <w14:ligatures w14:val="none"/>
        </w:rPr>
        <w:t xml:space="preserve">: </w:t>
      </w:r>
      <w:r w:rsidRPr="00D51D9D">
        <w:rPr>
          <w:rFonts w:ascii="Simplified Arabic" w:eastAsia="Times New Roman" w:hAnsi="Simplified Arabic" w:cs="Simplified Arabic"/>
          <w:b/>
          <w:bCs/>
          <w:color w:val="000000" w:themeColor="text1"/>
          <w:kern w:val="0"/>
          <w:sz w:val="28"/>
          <w:szCs w:val="28"/>
          <w:rtl/>
          <w14:ligatures w14:val="none"/>
        </w:rPr>
        <w:t>دراسة تطبيقية على عينة من المصارف الأهلية في محافظة دهوك</w:t>
      </w:r>
      <w:r w:rsidRPr="00D51D9D">
        <w:rPr>
          <w:rFonts w:ascii="Simplified Arabic" w:eastAsia="Times New Roman" w:hAnsi="Simplified Arabic" w:cs="Simplified Arabic"/>
          <w:b/>
          <w:bCs/>
          <w:color w:val="000000" w:themeColor="text1"/>
          <w:kern w:val="0"/>
          <w:sz w:val="28"/>
          <w:szCs w:val="28"/>
          <w14:ligatures w14:val="none"/>
        </w:rPr>
        <w:t>"</w:t>
      </w:r>
    </w:p>
    <w:p w14:paraId="0DD47A1C"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الرقابة والتدقيق الداخلي بأبعادها (إجراءات الرقابة، المتابعة والتقييم، الإجراءات التصحيحية) في تحجيم المخاطر التشغيلية والاستثمارية في المصارف الأهلية بمحافظة دهوك في إقليم كردستان العراق. واستخدمت الدراسة المنهج الوصفي التحليلي، واستُخدمت الاستبانة كأداة </w:t>
      </w:r>
      <w:r w:rsidRPr="00D51D9D">
        <w:rPr>
          <w:rFonts w:ascii="Simplified Arabic" w:eastAsia="Times New Roman" w:hAnsi="Simplified Arabic" w:cs="Simplified Arabic"/>
          <w:color w:val="000000" w:themeColor="text1"/>
          <w:kern w:val="0"/>
          <w:sz w:val="28"/>
          <w:szCs w:val="28"/>
          <w:rtl/>
          <w14:ligatures w14:val="none"/>
        </w:rPr>
        <w:lastRenderedPageBreak/>
        <w:t>رئيسية لجمع البيانات، وتم تحليلها باستخدام برنامج</w:t>
      </w:r>
      <w:r w:rsidRPr="00D51D9D">
        <w:rPr>
          <w:rFonts w:ascii="Simplified Arabic" w:eastAsia="Times New Roman" w:hAnsi="Simplified Arabic" w:cs="Simplified Arabic"/>
          <w:color w:val="000000" w:themeColor="text1"/>
          <w:kern w:val="0"/>
          <w:sz w:val="28"/>
          <w:szCs w:val="28"/>
          <w14:ligatures w14:val="none"/>
        </w:rPr>
        <w:t xml:space="preserve"> (SPSS)</w:t>
      </w:r>
      <w:r w:rsidRPr="00D51D9D">
        <w:rPr>
          <w:rFonts w:ascii="Simplified Arabic" w:eastAsia="Times New Roman" w:hAnsi="Simplified Arabic" w:cs="Simplified Arabic"/>
          <w:color w:val="000000" w:themeColor="text1"/>
          <w:kern w:val="0"/>
          <w:sz w:val="28"/>
          <w:szCs w:val="28"/>
          <w:rtl/>
          <w14:ligatures w14:val="none"/>
        </w:rPr>
        <w:t>، وتكونت العينة من (165) موظفاً في المصارف المبحوثة (مصرف الرافدين، مصرف الرشيد، مصرف كوردستان). وتوصلت نتائج الدراسة إلى أن الاعتماد بنسبة كبيرة على إجراءات الرقابة والتدقيق الداخلي ومتابعتها يُعد الأساس في تجنب المخاطر، وأن تبني إجراءات رقابية تعمل على تصحيح أي انحراف يُسهم في تحجيم المخاطر التشغيلية والاستثمارية. وأوصت الدراسة بضرورة مواجهة التطورات والمخاطر والظروف الراهنة، ومراقبة مستويات الخطر التي تحيط بالعمل، ووضع الإجراءات الرقابية المناسبة للسيطرة على الآثار السلبية لهذه الأخطار</w:t>
      </w:r>
      <w:r w:rsidRPr="00D51D9D">
        <w:rPr>
          <w:rFonts w:ascii="Simplified Arabic" w:eastAsia="Times New Roman" w:hAnsi="Simplified Arabic" w:cs="Simplified Arabic"/>
          <w:color w:val="000000" w:themeColor="text1"/>
          <w:kern w:val="0"/>
          <w:sz w:val="28"/>
          <w:szCs w:val="28"/>
          <w14:ligatures w14:val="none"/>
        </w:rPr>
        <w:t>.</w:t>
      </w:r>
    </w:p>
    <w:p w14:paraId="350F6BBE" w14:textId="77777777" w:rsidR="00FC6586" w:rsidRPr="00D51D9D" w:rsidRDefault="00FC6586" w:rsidP="00724B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5784419"/>
      <w:r w:rsidRPr="00D51D9D">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4"/>
    </w:p>
    <w:p w14:paraId="2BA51A1D" w14:textId="77777777" w:rsidR="00FC6586" w:rsidRPr="00D51D9D" w:rsidRDefault="00FC6586" w:rsidP="00724BD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دراسة</w:t>
      </w:r>
      <w:r w:rsidRPr="00D51D9D">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b/>
          <w:bCs/>
          <w:color w:val="000000" w:themeColor="text1"/>
          <w:kern w:val="0"/>
          <w:sz w:val="28"/>
          <w:szCs w:val="28"/>
          <w14:ligatures w14:val="none"/>
        </w:rPr>
        <w:t>Aloulou</w:t>
      </w:r>
      <w:proofErr w:type="spellEnd"/>
      <w:r w:rsidRPr="00D51D9D">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b/>
          <w:bCs/>
          <w:color w:val="000000" w:themeColor="text1"/>
          <w:kern w:val="0"/>
          <w:sz w:val="28"/>
          <w:szCs w:val="28"/>
          <w14:ligatures w14:val="none"/>
        </w:rPr>
        <w:t>Alshohail</w:t>
      </w:r>
      <w:proofErr w:type="spellEnd"/>
      <w:r w:rsidRPr="00D51D9D">
        <w:rPr>
          <w:rFonts w:ascii="Simplified Arabic" w:eastAsia="Times New Roman" w:hAnsi="Simplified Arabic" w:cs="Simplified Arabic"/>
          <w:b/>
          <w:bCs/>
          <w:color w:val="000000" w:themeColor="text1"/>
          <w:kern w:val="0"/>
          <w:sz w:val="28"/>
          <w:szCs w:val="28"/>
          <w14:ligatures w14:val="none"/>
        </w:rPr>
        <w:t>, 2026): "From Control to Value: How Governance, Risk Management and Compliance Improve Operational Efficiency and Company Reputation in Saudi Technology-Driven Firms"</w:t>
      </w:r>
    </w:p>
    <w:p w14:paraId="77E785F3"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الحوكمة وإدارة المخاطر والالتزام</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بأبعادها (الحوكمة، إدارة المخاطر، الالتزام) على الكفاءة التشغيلية وسمعة الشركة في الشركات السعودية القائمة على التكنولوجيا، مع اختبار الدور الوسيط للكفاءة التشغيلية</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الكمي القائم على الاستبانة، وتكونت العينة من </w:t>
      </w:r>
      <w:r w:rsidRPr="00D51D9D">
        <w:rPr>
          <w:rFonts w:ascii="Simplified Arabic" w:eastAsia="Times New Roman" w:hAnsi="Simplified Arabic" w:cs="Simplified Arabic"/>
          <w:color w:val="000000" w:themeColor="text1"/>
          <w:kern w:val="0"/>
          <w:sz w:val="28"/>
          <w:szCs w:val="28"/>
          <w14:ligatures w14:val="none"/>
        </w:rPr>
        <w:t xml:space="preserve">(126) </w:t>
      </w:r>
      <w:r w:rsidRPr="00D51D9D">
        <w:rPr>
          <w:rFonts w:ascii="Simplified Arabic" w:eastAsia="Times New Roman" w:hAnsi="Simplified Arabic" w:cs="Simplified Arabic"/>
          <w:color w:val="000000" w:themeColor="text1"/>
          <w:kern w:val="0"/>
          <w:sz w:val="28"/>
          <w:szCs w:val="28"/>
          <w:rtl/>
          <w14:ligatures w14:val="none"/>
        </w:rPr>
        <w:t>مديراً ومهنياً في شركات التكنولوجيا والاتصالات والقطاع المالي بالمملكة العربية السعودية، واستُخدم تحليل الانحدار الهرمي المتعدد واختبار</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Sobel</w:t>
      </w:r>
      <w:proofErr w:type="spellEnd"/>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Simplified Arabic" w:eastAsia="Times New Roman" w:hAnsi="Simplified Arabic" w:cs="Simplified Arabic"/>
          <w:color w:val="000000" w:themeColor="text1"/>
          <w:kern w:val="0"/>
          <w:sz w:val="28"/>
          <w:szCs w:val="28"/>
          <w:rtl/>
          <w14:ligatures w14:val="none"/>
        </w:rPr>
        <w:t>ونموذج</w:t>
      </w:r>
      <w:r w:rsidRPr="00D51D9D">
        <w:rPr>
          <w:rFonts w:ascii="Simplified Arabic" w:eastAsia="Times New Roman" w:hAnsi="Simplified Arabic" w:cs="Simplified Arabic"/>
          <w:color w:val="000000" w:themeColor="text1"/>
          <w:kern w:val="0"/>
          <w:sz w:val="28"/>
          <w:szCs w:val="28"/>
          <w14:ligatures w14:val="none"/>
        </w:rPr>
        <w:t xml:space="preserve"> (PROCESS) </w:t>
      </w:r>
      <w:r w:rsidRPr="00D51D9D">
        <w:rPr>
          <w:rFonts w:ascii="Simplified Arabic" w:eastAsia="Times New Roman" w:hAnsi="Simplified Arabic" w:cs="Simplified Arabic"/>
          <w:color w:val="000000" w:themeColor="text1"/>
          <w:kern w:val="0"/>
          <w:sz w:val="28"/>
          <w:szCs w:val="28"/>
          <w:rtl/>
          <w14:ligatures w14:val="none"/>
        </w:rPr>
        <w:t>لتحليل البيانات. وتوصلت نتائج الدراسة إلى أن ممارسات</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المتكاملة تعزز بشكل كبير كلاً من الكفاءة التشغيلية وسمعة الشركة، وأن الكفاءة التشغيلية تتوسط جزئياً العلاقة بين الحوكمة والسمعة، وتتوسط كلياً العلاقة بين الالتزام والسمعة، بينما لم تتوسط العلاقة بين إدارة المخاطر والسمعة. وأوصت الدراسة بضرورة تبني أطر</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متكاملة رقمياً تتماشى مع رؤية 2030، وتعزيز دمج الحوكمة والالتزام في العمليات اليومية لتحسين الأداء وبناء ثقة أصحاب المصلحة</w:t>
      </w:r>
      <w:r w:rsidRPr="00D51D9D">
        <w:rPr>
          <w:rFonts w:ascii="Simplified Arabic" w:eastAsia="Times New Roman" w:hAnsi="Simplified Arabic" w:cs="Simplified Arabic"/>
          <w:color w:val="000000" w:themeColor="text1"/>
          <w:kern w:val="0"/>
          <w:sz w:val="28"/>
          <w:szCs w:val="28"/>
          <w14:ligatures w14:val="none"/>
        </w:rPr>
        <w:t>.</w:t>
      </w:r>
    </w:p>
    <w:p w14:paraId="1F038CA4" w14:textId="77777777" w:rsidR="00FC6586" w:rsidRPr="00D51D9D" w:rsidRDefault="00FC6586" w:rsidP="00724BD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دراسة</w:t>
      </w:r>
      <w:r w:rsidRPr="00D51D9D">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b/>
          <w:bCs/>
          <w:color w:val="000000" w:themeColor="text1"/>
          <w:kern w:val="0"/>
          <w:sz w:val="28"/>
          <w:szCs w:val="28"/>
          <w14:ligatures w14:val="none"/>
        </w:rPr>
        <w:t>Odedina</w:t>
      </w:r>
      <w:proofErr w:type="spellEnd"/>
      <w:r w:rsidRPr="00D51D9D">
        <w:rPr>
          <w:rFonts w:ascii="Simplified Arabic" w:eastAsia="Times New Roman" w:hAnsi="Simplified Arabic" w:cs="Simplified Arabic"/>
          <w:b/>
          <w:bCs/>
          <w:color w:val="000000" w:themeColor="text1"/>
          <w:kern w:val="0"/>
          <w:sz w:val="28"/>
          <w:szCs w:val="28"/>
          <w14:ligatures w14:val="none"/>
        </w:rPr>
        <w:t>, 2023): "Redefining Governance, Risk, and Compliance (GRC) in the Digital Age: Integrating AI-Driven Risk Management Frameworks"</w:t>
      </w:r>
    </w:p>
    <w:p w14:paraId="707E9142" w14:textId="4F3080E9"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إعادة تعريف أطر الحوكمة وإدارة المخاطر والالتزام</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بأبعادها (الحوكمة الرقمية، إدارة المخاطر بالذكاء الاصطناعي، الالتزام الآلي) في العصر الرقمي من خلال دمج أطر إدارة المخاطر القائمة على الذكاء الاصطناعي. واستخدمت الدراسة المنهج الوصفي التحليلي القائم على المراجعة النقدية للأدبيات. وتوصلت نتائج الدراسة إلى أن الذكاء الاصطناعي يوفر قدرات غير مسبوقة في التحليل الآني والنمذجة التنبؤية واتخاذ القرارات المستقلة، مما يعزز الاستجابة التكيفية لنماذج</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التقليدية، كما أبرزت تحديات رئيسية تشمل خصوصية البيانات والتحيز الخوارزمي والحاجة إلى شفافية عمليات اتخاذ القرار. وأوصت الدراسة بتبني هيكل</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 xml:space="preserve">هجين يجمع بين التعلم الآلي والتدخل البشري لتحقيق الكفاءة والحوكمة الأخلاقية، وإجراء إصلاحات سياسية واستراتيجية للتحول نحو أنظمة </w:t>
      </w:r>
      <w:r w:rsidRPr="00D51D9D">
        <w:rPr>
          <w:rFonts w:ascii="Simplified Arabic" w:eastAsia="Times New Roman" w:hAnsi="Simplified Arabic" w:cs="Simplified Arabic"/>
          <w:color w:val="000000" w:themeColor="text1"/>
          <w:kern w:val="0"/>
          <w:sz w:val="28"/>
          <w:szCs w:val="28"/>
          <w14:ligatures w14:val="none"/>
        </w:rPr>
        <w:t xml:space="preserve">GRC </w:t>
      </w:r>
      <w:r w:rsidRPr="00D51D9D">
        <w:rPr>
          <w:rFonts w:ascii="Simplified Arabic" w:eastAsia="Times New Roman" w:hAnsi="Simplified Arabic" w:cs="Simplified Arabic"/>
          <w:color w:val="000000" w:themeColor="text1"/>
          <w:kern w:val="0"/>
          <w:sz w:val="28"/>
          <w:szCs w:val="28"/>
          <w:rtl/>
          <w14:ligatures w14:val="none"/>
        </w:rPr>
        <w:t>قائمة على الذكاء الاصطناعي</w:t>
      </w:r>
      <w:r w:rsidRPr="00D51D9D">
        <w:rPr>
          <w:rFonts w:ascii="Simplified Arabic" w:eastAsia="Times New Roman" w:hAnsi="Simplified Arabic" w:cs="Simplified Arabic"/>
          <w:color w:val="000000" w:themeColor="text1"/>
          <w:kern w:val="0"/>
          <w:sz w:val="28"/>
          <w:szCs w:val="28"/>
          <w14:ligatures w14:val="none"/>
        </w:rPr>
        <w:t>.</w:t>
      </w:r>
    </w:p>
    <w:p w14:paraId="429785DD" w14:textId="77777777" w:rsidR="00FC6586" w:rsidRPr="00D51D9D" w:rsidRDefault="00FC6586" w:rsidP="00724BD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دراسة</w:t>
      </w:r>
      <w:r w:rsidRPr="00D51D9D">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b/>
          <w:bCs/>
          <w:color w:val="000000" w:themeColor="text1"/>
          <w:kern w:val="0"/>
          <w:sz w:val="28"/>
          <w:szCs w:val="28"/>
          <w14:ligatures w14:val="none"/>
        </w:rPr>
        <w:t>Alhamami</w:t>
      </w:r>
      <w:proofErr w:type="spellEnd"/>
      <w:r w:rsidRPr="00D51D9D">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b/>
          <w:bCs/>
          <w:color w:val="000000" w:themeColor="text1"/>
          <w:kern w:val="0"/>
          <w:sz w:val="28"/>
          <w:szCs w:val="28"/>
          <w14:ligatures w14:val="none"/>
        </w:rPr>
        <w:t>Alruwaili</w:t>
      </w:r>
      <w:proofErr w:type="spellEnd"/>
      <w:r w:rsidRPr="00D51D9D">
        <w:rPr>
          <w:rFonts w:ascii="Simplified Arabic" w:eastAsia="Times New Roman" w:hAnsi="Simplified Arabic" w:cs="Simplified Arabic"/>
          <w:b/>
          <w:bCs/>
          <w:color w:val="000000" w:themeColor="text1"/>
          <w:kern w:val="0"/>
          <w:sz w:val="28"/>
          <w:szCs w:val="28"/>
          <w14:ligatures w14:val="none"/>
        </w:rPr>
        <w:t>, 2025): "Investigating the Role of Governance, Risk, and Compliance (GRC) in Investment Outcomes through Digital Transformation in Saudi Context"</w:t>
      </w:r>
    </w:p>
    <w:p w14:paraId="49F756E9"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الحوكمة وإدارة المخاطر والالتزام</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بأبعادها (الحوكمة، إدارة المخاطر، الالتزام) على نتائج الاستثمار في السياق السعودي، مع دراسة الدور الوسيط للتحول الرقمي. واستخدمت الدراسة المنهج الكمي القائم على استبانة موجهة ذاتياً لجمع البيانات الأولية، وتكونت العينة من (103) مستجيبين من المؤسسات السعودية. وتوصلت نتائج الدراسة إلى أن ممارسات</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والتحول الرقمي لهما تأثير كبير على نتائج الاستثمار في السياق السعودي، مما يشير إلى أن دمج</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مع التحول الرقمي يعزز نتائج الاستثمار ويخلق قيمة للمساهمين. وأوصت الدراسة بتعزيز نموذج</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المتكامل مع التحول الرقمي باعتباره رافعة حيوية للتنافسية المؤسسية في المملكة العربية السعودية وما بعدها، بما يتوافق مع أهداف التنمية المستدامة العالمية</w:t>
      </w:r>
      <w:r w:rsidRPr="00D51D9D">
        <w:rPr>
          <w:rFonts w:ascii="Simplified Arabic" w:eastAsia="Times New Roman" w:hAnsi="Simplified Arabic" w:cs="Simplified Arabic"/>
          <w:color w:val="000000" w:themeColor="text1"/>
          <w:kern w:val="0"/>
          <w:sz w:val="28"/>
          <w:szCs w:val="28"/>
          <w14:ligatures w14:val="none"/>
        </w:rPr>
        <w:t>.</w:t>
      </w:r>
    </w:p>
    <w:p w14:paraId="6B75B2E1" w14:textId="77777777" w:rsidR="00FC6586" w:rsidRPr="00D51D9D" w:rsidRDefault="00FC6586" w:rsidP="00724BD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دراسة</w:t>
      </w:r>
      <w:r w:rsidRPr="00D51D9D">
        <w:rPr>
          <w:rFonts w:ascii="Simplified Arabic" w:eastAsia="Times New Roman" w:hAnsi="Simplified Arabic" w:cs="Simplified Arabic"/>
          <w:b/>
          <w:bCs/>
          <w:color w:val="000000" w:themeColor="text1"/>
          <w:kern w:val="0"/>
          <w:sz w:val="28"/>
          <w:szCs w:val="28"/>
          <w14:ligatures w14:val="none"/>
        </w:rPr>
        <w:t xml:space="preserve"> (Victor et al., 2024): "The Role of IT Governance Risk and Compliance (IT GRC) in Modern Organizations"</w:t>
      </w:r>
    </w:p>
    <w:p w14:paraId="793DADB7" w14:textId="7D6F58ED"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هدفت الدراسة إلى التعرف على دور حوكمة تكنولوجيا المعلومات وإدارة المخاطر والالتزام</w:t>
      </w:r>
      <w:r w:rsidRPr="00D51D9D">
        <w:rPr>
          <w:rFonts w:ascii="Simplified Arabic" w:eastAsia="Times New Roman" w:hAnsi="Simplified Arabic" w:cs="Simplified Arabic"/>
          <w:color w:val="000000" w:themeColor="text1"/>
          <w:kern w:val="0"/>
          <w:sz w:val="28"/>
          <w:szCs w:val="28"/>
          <w14:ligatures w14:val="none"/>
        </w:rPr>
        <w:t xml:space="preserve"> (IT GRC) </w:t>
      </w:r>
      <w:r w:rsidRPr="00D51D9D">
        <w:rPr>
          <w:rFonts w:ascii="Simplified Arabic" w:eastAsia="Times New Roman" w:hAnsi="Simplified Arabic" w:cs="Simplified Arabic"/>
          <w:color w:val="000000" w:themeColor="text1"/>
          <w:kern w:val="0"/>
          <w:sz w:val="28"/>
          <w:szCs w:val="28"/>
          <w:rtl/>
          <w14:ligatures w14:val="none"/>
        </w:rPr>
        <w:t>بأبعادها (حوكمة تكنولوجيا المعلومات، إدارة مخاطر تكنولوجيا المعلومات، الالتزام التنظيمي</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Simplified Arabic" w:eastAsia="Times New Roman" w:hAnsi="Simplified Arabic" w:cs="Simplified Arabic"/>
          <w:color w:val="000000" w:themeColor="text1"/>
          <w:kern w:val="0"/>
          <w:sz w:val="28"/>
          <w:szCs w:val="28"/>
          <w:rtl/>
          <w14:ligatures w14:val="none"/>
        </w:rPr>
        <w:t xml:space="preserve">في المنظمات الحديثة في ظل التطورات التنظيمية المتسارعة والاعتماد المتزايد على أنظمة تكنولوجيا المعلومات. </w:t>
      </w:r>
      <w:r w:rsidRPr="00D51D9D">
        <w:rPr>
          <w:rFonts w:ascii="Simplified Arabic" w:eastAsia="Times New Roman" w:hAnsi="Simplified Arabic" w:cs="Simplified Arabic"/>
          <w:color w:val="000000" w:themeColor="text1"/>
          <w:kern w:val="0"/>
          <w:sz w:val="28"/>
          <w:szCs w:val="28"/>
          <w:rtl/>
          <w14:ligatures w14:val="none"/>
        </w:rPr>
        <w:lastRenderedPageBreak/>
        <w:t>واستخدمت الدراسة المنهج الوصفي التحليلي القائم على المراجعة النقدية الشاملة للأدبيات والأطر المعيارية مثل</w:t>
      </w:r>
      <w:r w:rsidRPr="00D51D9D">
        <w:rPr>
          <w:rFonts w:ascii="Simplified Arabic" w:eastAsia="Times New Roman" w:hAnsi="Simplified Arabic" w:cs="Simplified Arabic"/>
          <w:color w:val="000000" w:themeColor="text1"/>
          <w:kern w:val="0"/>
          <w:sz w:val="28"/>
          <w:szCs w:val="28"/>
          <w14:ligatures w14:val="none"/>
        </w:rPr>
        <w:t xml:space="preserve"> COBIT </w:t>
      </w:r>
      <w:r w:rsidRPr="00D51D9D">
        <w:rPr>
          <w:rFonts w:ascii="Simplified Arabic" w:eastAsia="Times New Roman" w:hAnsi="Simplified Arabic" w:cs="Simplified Arabic"/>
          <w:color w:val="000000" w:themeColor="text1"/>
          <w:kern w:val="0"/>
          <w:sz w:val="28"/>
          <w:szCs w:val="28"/>
          <w:rtl/>
          <w14:ligatures w14:val="none"/>
        </w:rPr>
        <w:t>و</w:t>
      </w:r>
      <w:r w:rsidRPr="00D51D9D">
        <w:rPr>
          <w:rFonts w:ascii="Simplified Arabic" w:eastAsia="Times New Roman" w:hAnsi="Simplified Arabic" w:cs="Simplified Arabic"/>
          <w:color w:val="000000" w:themeColor="text1"/>
          <w:kern w:val="0"/>
          <w:sz w:val="28"/>
          <w:szCs w:val="28"/>
          <w14:ligatures w14:val="none"/>
        </w:rPr>
        <w:t xml:space="preserve">ISO 27001. </w:t>
      </w:r>
      <w:r w:rsidRPr="00D51D9D">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التطبيق الفعال لإطار </w:t>
      </w:r>
      <w:r w:rsidRPr="00D51D9D">
        <w:rPr>
          <w:rFonts w:ascii="Simplified Arabic" w:eastAsia="Times New Roman" w:hAnsi="Simplified Arabic" w:cs="Simplified Arabic"/>
          <w:color w:val="000000" w:themeColor="text1"/>
          <w:kern w:val="0"/>
          <w:sz w:val="28"/>
          <w:szCs w:val="28"/>
          <w14:ligatures w14:val="none"/>
        </w:rPr>
        <w:t xml:space="preserve">IT GRC </w:t>
      </w:r>
      <w:r w:rsidRPr="00D51D9D">
        <w:rPr>
          <w:rFonts w:ascii="Simplified Arabic" w:eastAsia="Times New Roman" w:hAnsi="Simplified Arabic" w:cs="Simplified Arabic"/>
          <w:color w:val="000000" w:themeColor="text1"/>
          <w:kern w:val="0"/>
          <w:sz w:val="28"/>
          <w:szCs w:val="28"/>
          <w:rtl/>
          <w14:ligatures w14:val="none"/>
        </w:rPr>
        <w:t>يعزز الكفاءة التشغيلية ويقلل من نقاط الضعف أمام التهديدات، وأن المنظمات الحديثة بحاجة إلى تبني نهج شامل ومتكامل لحوكمة تكنولوجيا المعلومات يتماشى مع الحوكمة المؤسسية الأوسع لتحقيق أداء مستدام. وأوصت الدراسة بضرورة مواءمة أطر</w:t>
      </w:r>
      <w:r w:rsidRPr="00D51D9D">
        <w:rPr>
          <w:rFonts w:ascii="Simplified Arabic" w:eastAsia="Times New Roman" w:hAnsi="Simplified Arabic" w:cs="Simplified Arabic"/>
          <w:color w:val="000000" w:themeColor="text1"/>
          <w:kern w:val="0"/>
          <w:sz w:val="28"/>
          <w:szCs w:val="28"/>
          <w14:ligatures w14:val="none"/>
        </w:rPr>
        <w:t xml:space="preserve"> IT GRC </w:t>
      </w:r>
      <w:r w:rsidRPr="00D51D9D">
        <w:rPr>
          <w:rFonts w:ascii="Simplified Arabic" w:eastAsia="Times New Roman" w:hAnsi="Simplified Arabic" w:cs="Simplified Arabic"/>
          <w:color w:val="000000" w:themeColor="text1"/>
          <w:kern w:val="0"/>
          <w:sz w:val="28"/>
          <w:szCs w:val="28"/>
          <w:rtl/>
          <w14:ligatures w14:val="none"/>
        </w:rPr>
        <w:t>مع الأهداف الاستراتيجية للمنظمة، وتطبيق أفضل الممارسات لضمان التكامل الناجح بين الحوكمة وإدارة المخاطر والالتزام</w:t>
      </w:r>
      <w:r w:rsidRPr="00D51D9D">
        <w:rPr>
          <w:rFonts w:ascii="Simplified Arabic" w:eastAsia="Times New Roman" w:hAnsi="Simplified Arabic" w:cs="Simplified Arabic"/>
          <w:color w:val="000000" w:themeColor="text1"/>
          <w:kern w:val="0"/>
          <w:sz w:val="28"/>
          <w:szCs w:val="28"/>
          <w14:ligatures w14:val="none"/>
        </w:rPr>
        <w:t>.</w:t>
      </w:r>
    </w:p>
    <w:p w14:paraId="4E3E3E6A" w14:textId="77777777" w:rsidR="00FC6586" w:rsidRPr="00D51D9D" w:rsidRDefault="00FC6586" w:rsidP="00724BD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دراسة</w:t>
      </w:r>
      <w:r w:rsidRPr="00D51D9D">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b/>
          <w:bCs/>
          <w:color w:val="000000" w:themeColor="text1"/>
          <w:kern w:val="0"/>
          <w:sz w:val="28"/>
          <w:szCs w:val="28"/>
          <w14:ligatures w14:val="none"/>
        </w:rPr>
        <w:t>Alqahtani</w:t>
      </w:r>
      <w:proofErr w:type="spellEnd"/>
      <w:r w:rsidRPr="00D51D9D">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b/>
          <w:bCs/>
          <w:color w:val="000000" w:themeColor="text1"/>
          <w:kern w:val="0"/>
          <w:sz w:val="28"/>
          <w:szCs w:val="28"/>
          <w14:ligatures w14:val="none"/>
        </w:rPr>
        <w:t>Belal</w:t>
      </w:r>
      <w:proofErr w:type="spellEnd"/>
      <w:r w:rsidRPr="00D51D9D">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b/>
          <w:bCs/>
          <w:color w:val="000000" w:themeColor="text1"/>
          <w:kern w:val="0"/>
          <w:sz w:val="28"/>
          <w:szCs w:val="28"/>
          <w14:ligatures w14:val="none"/>
        </w:rPr>
        <w:t>Zakri</w:t>
      </w:r>
      <w:proofErr w:type="spellEnd"/>
      <w:r w:rsidRPr="00D51D9D">
        <w:rPr>
          <w:rFonts w:ascii="Simplified Arabic" w:eastAsia="Times New Roman" w:hAnsi="Simplified Arabic" w:cs="Simplified Arabic"/>
          <w:b/>
          <w:bCs/>
          <w:color w:val="000000" w:themeColor="text1"/>
          <w:kern w:val="0"/>
          <w:sz w:val="28"/>
          <w:szCs w:val="28"/>
          <w14:ligatures w14:val="none"/>
        </w:rPr>
        <w:t>, 2025): "Impact of Governance, Risk Management and Compliance on Healthcare System: A Systematic Review"</w:t>
      </w:r>
    </w:p>
    <w:p w14:paraId="44ED48F1"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الحوكمة وإدارة المخاطر والالتزام</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بأبعادها (جودة الرعاية وسلامة المرضى، الالتزام التنظيمي، الأداء المؤسسي، إدارة المخاطر، الأمن السيبراني والتكنولوجيا) على أنظمة الرعاية الصحية. واستخدمت الدراسة منهج المراجعة المنهجية وفقاً لإرشادات</w:t>
      </w:r>
      <w:r w:rsidRPr="00D51D9D">
        <w:rPr>
          <w:rFonts w:ascii="Simplified Arabic" w:eastAsia="Times New Roman" w:hAnsi="Simplified Arabic" w:cs="Simplified Arabic"/>
          <w:color w:val="000000" w:themeColor="text1"/>
          <w:kern w:val="0"/>
          <w:sz w:val="28"/>
          <w:szCs w:val="28"/>
          <w14:ligatures w14:val="none"/>
        </w:rPr>
        <w:t xml:space="preserve"> PRISMA 2020 </w:t>
      </w:r>
      <w:r w:rsidRPr="00D51D9D">
        <w:rPr>
          <w:rFonts w:ascii="Simplified Arabic" w:eastAsia="Times New Roman" w:hAnsi="Simplified Arabic" w:cs="Simplified Arabic"/>
          <w:color w:val="000000" w:themeColor="text1"/>
          <w:kern w:val="0"/>
          <w:sz w:val="28"/>
          <w:szCs w:val="28"/>
          <w:rtl/>
          <w14:ligatures w14:val="none"/>
        </w:rPr>
        <w:t>مع التسجيل في</w:t>
      </w:r>
      <w:r w:rsidRPr="00D51D9D">
        <w:rPr>
          <w:rFonts w:ascii="Simplified Arabic" w:eastAsia="Times New Roman" w:hAnsi="Simplified Arabic" w:cs="Simplified Arabic"/>
          <w:color w:val="000000" w:themeColor="text1"/>
          <w:kern w:val="0"/>
          <w:sz w:val="28"/>
          <w:szCs w:val="28"/>
          <w14:ligatures w14:val="none"/>
        </w:rPr>
        <w:t xml:space="preserve"> PROSPERO</w:t>
      </w:r>
      <w:r w:rsidRPr="00D51D9D">
        <w:rPr>
          <w:rFonts w:ascii="Simplified Arabic" w:eastAsia="Times New Roman" w:hAnsi="Simplified Arabic" w:cs="Simplified Arabic"/>
          <w:color w:val="000000" w:themeColor="text1"/>
          <w:kern w:val="0"/>
          <w:sz w:val="28"/>
          <w:szCs w:val="28"/>
          <w:rtl/>
          <w14:ligatures w14:val="none"/>
        </w:rPr>
        <w:t>، وتكونت العينة من (22) دراسة تم اختيارها من (85) سجلاً تم فرزه عبر قواعد بيانات</w:t>
      </w:r>
      <w:r w:rsidRPr="00D51D9D">
        <w:rPr>
          <w:rFonts w:ascii="Simplified Arabic" w:eastAsia="Times New Roman" w:hAnsi="Simplified Arabic" w:cs="Simplified Arabic"/>
          <w:color w:val="000000" w:themeColor="text1"/>
          <w:kern w:val="0"/>
          <w:sz w:val="28"/>
          <w:szCs w:val="28"/>
          <w14:ligatures w14:val="none"/>
        </w:rPr>
        <w:t xml:space="preserve"> PubMed </w:t>
      </w:r>
      <w:r w:rsidRPr="00D51D9D">
        <w:rPr>
          <w:rFonts w:ascii="Simplified Arabic" w:eastAsia="Times New Roman" w:hAnsi="Simplified Arabic" w:cs="Simplified Arabic"/>
          <w:color w:val="000000" w:themeColor="text1"/>
          <w:kern w:val="0"/>
          <w:sz w:val="28"/>
          <w:szCs w:val="28"/>
          <w:rtl/>
          <w14:ligatures w14:val="none"/>
        </w:rPr>
        <w:t>و</w:t>
      </w:r>
      <w:r w:rsidRPr="00D51D9D">
        <w:rPr>
          <w:rFonts w:ascii="Simplified Arabic" w:eastAsia="Times New Roman" w:hAnsi="Simplified Arabic" w:cs="Simplified Arabic"/>
          <w:color w:val="000000" w:themeColor="text1"/>
          <w:kern w:val="0"/>
          <w:sz w:val="28"/>
          <w:szCs w:val="28"/>
          <w14:ligatures w14:val="none"/>
        </w:rPr>
        <w:t xml:space="preserve">MEDLINE </w:t>
      </w:r>
      <w:r w:rsidRPr="00D51D9D">
        <w:rPr>
          <w:rFonts w:ascii="Simplified Arabic" w:eastAsia="Times New Roman" w:hAnsi="Simplified Arabic" w:cs="Simplified Arabic"/>
          <w:color w:val="000000" w:themeColor="text1"/>
          <w:kern w:val="0"/>
          <w:sz w:val="28"/>
          <w:szCs w:val="28"/>
          <w:rtl/>
          <w14:ligatures w14:val="none"/>
        </w:rPr>
        <w:t>و</w:t>
      </w:r>
      <w:r w:rsidRPr="00D51D9D">
        <w:rPr>
          <w:rFonts w:ascii="Simplified Arabic" w:eastAsia="Times New Roman" w:hAnsi="Simplified Arabic" w:cs="Simplified Arabic"/>
          <w:color w:val="000000" w:themeColor="text1"/>
          <w:kern w:val="0"/>
          <w:sz w:val="28"/>
          <w:szCs w:val="28"/>
          <w14:ligatures w14:val="none"/>
        </w:rPr>
        <w:t xml:space="preserve">Google Scholar </w:t>
      </w:r>
      <w:r w:rsidRPr="00D51D9D">
        <w:rPr>
          <w:rFonts w:ascii="Simplified Arabic" w:eastAsia="Times New Roman" w:hAnsi="Simplified Arabic" w:cs="Simplified Arabic"/>
          <w:color w:val="000000" w:themeColor="text1"/>
          <w:kern w:val="0"/>
          <w:sz w:val="28"/>
          <w:szCs w:val="28"/>
          <w:rtl/>
          <w14:ligatures w14:val="none"/>
        </w:rPr>
        <w:t xml:space="preserve">للفترة من يناير 2010 إلى مارس </w:t>
      </w:r>
      <w:r w:rsidRPr="00D51D9D">
        <w:rPr>
          <w:rFonts w:ascii="Simplified Arabic" w:eastAsia="Times New Roman" w:hAnsi="Simplified Arabic" w:cs="Simplified Arabic"/>
          <w:color w:val="000000" w:themeColor="text1"/>
          <w:kern w:val="0"/>
          <w:sz w:val="28"/>
          <w:szCs w:val="28"/>
          <w14:ligatures w14:val="none"/>
        </w:rPr>
        <w:t xml:space="preserve">2025. </w:t>
      </w:r>
      <w:r w:rsidRPr="00D51D9D">
        <w:rPr>
          <w:rFonts w:ascii="Simplified Arabic" w:eastAsia="Times New Roman" w:hAnsi="Simplified Arabic" w:cs="Simplified Arabic"/>
          <w:color w:val="000000" w:themeColor="text1"/>
          <w:kern w:val="0"/>
          <w:sz w:val="28"/>
          <w:szCs w:val="28"/>
          <w:rtl/>
          <w14:ligatures w14:val="none"/>
        </w:rPr>
        <w:t>وتوصلت نتائج الدراسة إلى أن دمج</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يرتبط إيجابياً بتحسين سلامة المرضى وجودة الرعاية والالتزام التنظيمي والكفاءة المؤسسية والنتائج المالية، وأن أبرز عوامل التمكين تشمل دعم القيادة وإشراك أصحاب المصلحة واستراتيجيات التنفيذ المخصصة، بينما شملت العوائق المقاومة الثقافية ومحدودية الموارد وغياب الأطر الموحدة. وأوصت الدراسة بضرورة تخصيص أطر</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وفقاً للسياقات المحلية، وتعزيز الحوكمة الرقمية والأمن السيبراني لدعم التحول الرقمي المستدام في القطاع الصحي</w:t>
      </w:r>
      <w:r w:rsidRPr="00D51D9D">
        <w:rPr>
          <w:rFonts w:ascii="Simplified Arabic" w:eastAsia="Times New Roman" w:hAnsi="Simplified Arabic" w:cs="Simplified Arabic"/>
          <w:color w:val="000000" w:themeColor="text1"/>
          <w:kern w:val="0"/>
          <w:sz w:val="28"/>
          <w:szCs w:val="28"/>
          <w14:ligatures w14:val="none"/>
        </w:rPr>
        <w:t>.</w:t>
      </w:r>
    </w:p>
    <w:p w14:paraId="43B4C022" w14:textId="77777777" w:rsidR="00FC6586" w:rsidRPr="00D51D9D" w:rsidRDefault="00FC6586" w:rsidP="00724BD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دراسة</w:t>
      </w:r>
      <w:r w:rsidRPr="00D51D9D">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b/>
          <w:bCs/>
          <w:color w:val="000000" w:themeColor="text1"/>
          <w:kern w:val="0"/>
          <w:sz w:val="28"/>
          <w:szCs w:val="28"/>
          <w14:ligatures w14:val="none"/>
        </w:rPr>
        <w:t>Goh</w:t>
      </w:r>
      <w:proofErr w:type="spellEnd"/>
      <w:r w:rsidRPr="00D51D9D">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b/>
          <w:bCs/>
          <w:color w:val="000000" w:themeColor="text1"/>
          <w:kern w:val="0"/>
          <w:sz w:val="28"/>
          <w:szCs w:val="28"/>
          <w14:ligatures w14:val="none"/>
        </w:rPr>
        <w:t>Kusnadi</w:t>
      </w:r>
      <w:proofErr w:type="spellEnd"/>
      <w:r w:rsidRPr="00D51D9D">
        <w:rPr>
          <w:rFonts w:ascii="Simplified Arabic" w:eastAsia="Times New Roman" w:hAnsi="Simplified Arabic" w:cs="Simplified Arabic"/>
          <w:b/>
          <w:bCs/>
          <w:color w:val="000000" w:themeColor="text1"/>
          <w:kern w:val="0"/>
          <w:sz w:val="28"/>
          <w:szCs w:val="28"/>
          <w14:ligatures w14:val="none"/>
        </w:rPr>
        <w:t xml:space="preserve">, Pan &amp; </w:t>
      </w:r>
      <w:proofErr w:type="spellStart"/>
      <w:r w:rsidRPr="00D51D9D">
        <w:rPr>
          <w:rFonts w:ascii="Simplified Arabic" w:eastAsia="Times New Roman" w:hAnsi="Simplified Arabic" w:cs="Simplified Arabic"/>
          <w:b/>
          <w:bCs/>
          <w:color w:val="000000" w:themeColor="text1"/>
          <w:kern w:val="0"/>
          <w:sz w:val="28"/>
          <w:szCs w:val="28"/>
          <w14:ligatures w14:val="none"/>
        </w:rPr>
        <w:t>Seow</w:t>
      </w:r>
      <w:proofErr w:type="spellEnd"/>
      <w:r w:rsidRPr="00D51D9D">
        <w:rPr>
          <w:rFonts w:ascii="Simplified Arabic" w:eastAsia="Times New Roman" w:hAnsi="Simplified Arabic" w:cs="Simplified Arabic"/>
          <w:b/>
          <w:bCs/>
          <w:color w:val="000000" w:themeColor="text1"/>
          <w:kern w:val="0"/>
          <w:sz w:val="28"/>
          <w:szCs w:val="28"/>
          <w14:ligatures w14:val="none"/>
        </w:rPr>
        <w:t>, 2022): "Governance, Risk and Compliance (GRC) in Digital Transformation: Investor Views"</w:t>
      </w:r>
    </w:p>
    <w:p w14:paraId="083BA130"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هدفت الدراسة إلى التعرف على تأثير ممارسات الحوكمة وإدارة المخاطر والالتزام</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 xml:space="preserve">بأبعادها (الحوكمة المؤسسية، إدارة المخاطر، الالتزام التنظيمي) على أحكام المستثمرين وقراراتهم الاستثمارية في سياق التحول الرقمي للمنظمات. واستخدمت الدراسة المنهج التجريبي القائم على السيناريوهات لقياس </w:t>
      </w:r>
      <w:r w:rsidRPr="00D51D9D">
        <w:rPr>
          <w:rFonts w:ascii="Simplified Arabic" w:eastAsia="Times New Roman" w:hAnsi="Simplified Arabic" w:cs="Simplified Arabic"/>
          <w:color w:val="000000" w:themeColor="text1"/>
          <w:kern w:val="0"/>
          <w:sz w:val="28"/>
          <w:szCs w:val="28"/>
          <w:rtl/>
          <w14:ligatures w14:val="none"/>
        </w:rPr>
        <w:lastRenderedPageBreak/>
        <w:t>إدراكات المستثمرين حول ممارسات</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وعلاقتها بقيمة الشركة. وتوصلت نتائج الدراسة إلى أن ممارسات</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الفعالة في ظل التحول الرقمي تؤثر إيجابياً على أحكام المستثمرين بشأن قيمة الشركة وسمعتها، وأن المستثمرين يولون أهمية كبيرة لكيفية تعامل الشركات مع مخاطر التحول الرقمي من خلال أطر الحوكمة والالتزام. وأوصت الدراسة بأن تعزز الشركات إفصاحها عن ممارسات</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الخاصة بالتحول الرقمي لتعزيز ثقة المستثمرين وجذب الاستثمارات</w:t>
      </w:r>
      <w:r w:rsidRPr="00D51D9D">
        <w:rPr>
          <w:rFonts w:ascii="Simplified Arabic" w:eastAsia="Times New Roman" w:hAnsi="Simplified Arabic" w:cs="Simplified Arabic"/>
          <w:color w:val="000000" w:themeColor="text1"/>
          <w:kern w:val="0"/>
          <w:sz w:val="28"/>
          <w:szCs w:val="28"/>
          <w14:ligatures w14:val="none"/>
        </w:rPr>
        <w:t>.</w:t>
      </w:r>
    </w:p>
    <w:p w14:paraId="7E60BD2A" w14:textId="77777777" w:rsidR="00FC6586" w:rsidRPr="00D51D9D" w:rsidRDefault="00FC6586" w:rsidP="00724BDB">
      <w:pPr>
        <w:pStyle w:val="ListParagraph"/>
        <w:numPr>
          <w:ilvl w:val="0"/>
          <w:numId w:val="2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دراسة</w:t>
      </w:r>
      <w:r w:rsidRPr="00D51D9D">
        <w:rPr>
          <w:rFonts w:ascii="Simplified Arabic" w:eastAsia="Times New Roman" w:hAnsi="Simplified Arabic" w:cs="Simplified Arabic"/>
          <w:b/>
          <w:bCs/>
          <w:color w:val="000000" w:themeColor="text1"/>
          <w:kern w:val="0"/>
          <w:sz w:val="28"/>
          <w:szCs w:val="28"/>
          <w14:ligatures w14:val="none"/>
        </w:rPr>
        <w:t xml:space="preserve"> (Ahmad, 2025): "Governance, Risk, and Compliance (GRC) in Banking Information Systems: The Role of IS Auditors in Maintaining Financial Integrity"</w:t>
      </w:r>
    </w:p>
    <w:p w14:paraId="6045E0AD"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هدفت الدراسة إلى التعرف على دور مدققي نظم المعلومات في تطبيق أطر الحوكمة وإدارة المخاطر والالتزام</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 xml:space="preserve">بأبعادها </w:t>
      </w:r>
      <w:r w:rsidRPr="00D51D9D">
        <w:rPr>
          <w:rFonts w:ascii="Simplified Arabic" w:eastAsia="Times New Roman" w:hAnsi="Simplified Arabic" w:cs="Simplified Arabic"/>
          <w:color w:val="000000" w:themeColor="text1"/>
          <w:kern w:val="0"/>
          <w:sz w:val="28"/>
          <w:szCs w:val="28"/>
          <w14:ligatures w14:val="none"/>
        </w:rPr>
        <w:t>(</w:t>
      </w:r>
      <w:r w:rsidRPr="00D51D9D">
        <w:rPr>
          <w:rFonts w:ascii="Simplified Arabic" w:eastAsia="Times New Roman" w:hAnsi="Simplified Arabic" w:cs="Simplified Arabic"/>
          <w:color w:val="000000" w:themeColor="text1"/>
          <w:kern w:val="0"/>
          <w:sz w:val="28"/>
          <w:szCs w:val="28"/>
          <w:rtl/>
          <w14:ligatures w14:val="none"/>
        </w:rPr>
        <w:t>حوكمة نظم المعلومات، إدارة المخاطر السيبرانية، الالتزام التنظيمي والمالي) في أنظمة المعلومات المصرفية للحفاظ على النزاهة المالية ومنع الاحتيال. واستخدمت الدراسة المنهج المختلط الذي يجمع بين التحليل الكمي لبيانات القطاع المصرفي والمقابلات النوعية مع المتخصصين في تدقيق نظم المعلومات، وتكونت العينة من (150) مؤسسة مالية على مدى خمس سنوات. وتوصلت نتائج الدراسة إلى أن المؤسسات ذات أطر</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 xml:space="preserve">الناضجة تشهد انخفاضاً بنسبة </w:t>
      </w:r>
      <w:r w:rsidRPr="00D51D9D">
        <w:rPr>
          <w:rFonts w:ascii="Simplified Arabic" w:eastAsia="Times New Roman" w:hAnsi="Simplified Arabic" w:cs="Simplified Arabic"/>
          <w:color w:val="000000" w:themeColor="text1"/>
          <w:kern w:val="0"/>
          <w:sz w:val="28"/>
          <w:szCs w:val="28"/>
          <w14:ligatures w14:val="none"/>
        </w:rPr>
        <w:t xml:space="preserve">(42%) </w:t>
      </w:r>
      <w:r w:rsidRPr="00D51D9D">
        <w:rPr>
          <w:rFonts w:ascii="Simplified Arabic" w:eastAsia="Times New Roman" w:hAnsi="Simplified Arabic" w:cs="Simplified Arabic"/>
          <w:color w:val="000000" w:themeColor="text1"/>
          <w:kern w:val="0"/>
          <w:sz w:val="28"/>
          <w:szCs w:val="28"/>
          <w:rtl/>
          <w14:ligatures w14:val="none"/>
        </w:rPr>
        <w:t>في الحوادث الأمنية وتسارعاً بنسبة (67%) في دورات إعداد تقارير الالتزام، كما قدمت الدراسة إطاراً جديداً لتقييم نضج</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يحدد العلاقة بين ممارسات تدقيق نظم المعلومات ومقاييس النزاهة المالية. وأوصت الدراسة بتعزيز الخبرة التقنية لمدققي نظم المعلومات في ضوابط الأمن السيبراني وتحليلات البيانات والمتطلبات التنظيمية لتحقيق التوافق بين حوكمة التكنولوجيا وأهداف منع الاحتيال في القطاع المصرفي</w:t>
      </w:r>
      <w:r w:rsidRPr="00D51D9D">
        <w:rPr>
          <w:rFonts w:ascii="Simplified Arabic" w:eastAsia="Times New Roman" w:hAnsi="Simplified Arabic" w:cs="Simplified Arabic"/>
          <w:color w:val="000000" w:themeColor="text1"/>
          <w:kern w:val="0"/>
          <w:sz w:val="28"/>
          <w:szCs w:val="28"/>
          <w14:ligatures w14:val="none"/>
        </w:rPr>
        <w:t>.</w:t>
      </w:r>
    </w:p>
    <w:p w14:paraId="15CDCA23" w14:textId="55CE3479" w:rsidR="00724BDB" w:rsidRPr="00D51D9D" w:rsidRDefault="00724BDB" w:rsidP="00724BDB">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5" w:name="_Toc169790502"/>
      <w:bookmarkStart w:id="16" w:name="_Toc224116803"/>
      <w:bookmarkStart w:id="17" w:name="_Toc234226594"/>
      <w:bookmarkEnd w:id="12"/>
      <w:r w:rsidRPr="00D51D9D">
        <w:rPr>
          <w:rFonts w:ascii="Simplified Arabic" w:hAnsi="Simplified Arabic" w:cs="Simplified Arabic"/>
          <w:b/>
          <w:bCs/>
          <w:color w:val="000000" w:themeColor="text1"/>
          <w:sz w:val="36"/>
          <w:szCs w:val="36"/>
          <w:rtl/>
        </w:rPr>
        <w:t>8.1 الفجوة البحثية</w:t>
      </w:r>
      <w:bookmarkEnd w:id="17"/>
    </w:p>
    <w:p w14:paraId="1DCF8F44" w14:textId="77777777" w:rsidR="00FC6586" w:rsidRPr="00D51D9D" w:rsidRDefault="00FC6586" w:rsidP="00724BDB">
      <w:pPr>
        <w:pStyle w:val="NormalWeb"/>
        <w:bidi/>
        <w:spacing w:line="276" w:lineRule="auto"/>
        <w:ind w:firstLine="424"/>
        <w:jc w:val="both"/>
        <w:rPr>
          <w:rFonts w:ascii="Simplified Arabic" w:hAnsi="Simplified Arabic" w:cs="Simplified Arabic"/>
          <w:color w:val="000000" w:themeColor="text1"/>
          <w:sz w:val="28"/>
          <w:szCs w:val="28"/>
        </w:rPr>
      </w:pPr>
      <w:r w:rsidRPr="00D51D9D">
        <w:rPr>
          <w:rFonts w:ascii="Simplified Arabic" w:hAnsi="Simplified Arabic" w:cs="Simplified Arabic"/>
          <w:color w:val="000000" w:themeColor="text1"/>
          <w:sz w:val="28"/>
          <w:szCs w:val="28"/>
          <w:rtl/>
        </w:rPr>
        <w:t>باستقراء الدراسات السابقة العربية والأجنبية ذات الصلة بموضوع الدراسة الحالية، يتضح أن الأدبيات الأكاديمية قد تناولت مكونات الحوكمة وإدارة المخاطر والالتزام</w:t>
      </w:r>
      <w:r w:rsidRPr="00D51D9D">
        <w:rPr>
          <w:rFonts w:ascii="Simplified Arabic" w:hAnsi="Simplified Arabic" w:cs="Simplified Arabic"/>
          <w:color w:val="000000" w:themeColor="text1"/>
          <w:sz w:val="28"/>
          <w:szCs w:val="28"/>
        </w:rPr>
        <w:t xml:space="preserve"> (GRC) </w:t>
      </w:r>
      <w:r w:rsidRPr="00D51D9D">
        <w:rPr>
          <w:rFonts w:ascii="Simplified Arabic" w:hAnsi="Simplified Arabic" w:cs="Simplified Arabic"/>
          <w:color w:val="000000" w:themeColor="text1"/>
          <w:sz w:val="28"/>
          <w:szCs w:val="28"/>
          <w:rtl/>
        </w:rPr>
        <w:t xml:space="preserve">من زوايا متعددة ومتنوعة، غير أنها اتسمت بعدة فجوات جوهرية تُبرر الحاجة إلى هذه الدراسة وتُعزز من قيمتها العلمية والتطبيقية. فمن حيث </w:t>
      </w:r>
      <w:r w:rsidRPr="00D51D9D">
        <w:rPr>
          <w:rStyle w:val="Strong"/>
          <w:rFonts w:ascii="Simplified Arabic" w:hAnsi="Simplified Arabic" w:cs="Simplified Arabic"/>
          <w:b w:val="0"/>
          <w:bCs w:val="0"/>
          <w:color w:val="000000" w:themeColor="text1"/>
          <w:sz w:val="28"/>
          <w:szCs w:val="28"/>
          <w:rtl/>
        </w:rPr>
        <w:t>التناول التجزيئي لمكونات</w:t>
      </w:r>
      <w:r w:rsidRPr="00D51D9D">
        <w:rPr>
          <w:rStyle w:val="Strong"/>
          <w:rFonts w:ascii="Simplified Arabic" w:hAnsi="Simplified Arabic" w:cs="Simplified Arabic"/>
          <w:b w:val="0"/>
          <w:bCs w:val="0"/>
          <w:color w:val="000000" w:themeColor="text1"/>
          <w:sz w:val="28"/>
          <w:szCs w:val="28"/>
        </w:rPr>
        <w:t xml:space="preserve"> GRC</w:t>
      </w:r>
      <w:r w:rsidRPr="00D51D9D">
        <w:rPr>
          <w:rFonts w:ascii="Simplified Arabic" w:hAnsi="Simplified Arabic" w:cs="Simplified Arabic"/>
          <w:color w:val="000000" w:themeColor="text1"/>
          <w:sz w:val="28"/>
          <w:szCs w:val="28"/>
          <w:rtl/>
        </w:rPr>
        <w:t xml:space="preserve">، يُلاحظ أن الغالبية العظمى من الدراسات السابقة تناولت الحوكمة أو إدارة المخاطر أو الالتزام كمتغيرات مستقلة منفصلة، كما في دراسة قيوش ولكحل </w:t>
      </w:r>
      <w:r w:rsidRPr="00D51D9D">
        <w:rPr>
          <w:rFonts w:ascii="Simplified Arabic" w:hAnsi="Simplified Arabic" w:cs="Simplified Arabic"/>
          <w:color w:val="000000" w:themeColor="text1"/>
          <w:sz w:val="28"/>
          <w:szCs w:val="28"/>
        </w:rPr>
        <w:t xml:space="preserve">(2022) </w:t>
      </w:r>
      <w:r w:rsidRPr="00D51D9D">
        <w:rPr>
          <w:rFonts w:ascii="Simplified Arabic" w:hAnsi="Simplified Arabic" w:cs="Simplified Arabic"/>
          <w:color w:val="000000" w:themeColor="text1"/>
          <w:sz w:val="28"/>
          <w:szCs w:val="28"/>
          <w:rtl/>
        </w:rPr>
        <w:t xml:space="preserve">التي ركزت على الحوكمة المصرفية منفردة، ودراسة بوعبدالله وعلمي </w:t>
      </w:r>
      <w:r w:rsidRPr="00D51D9D">
        <w:rPr>
          <w:rFonts w:ascii="Simplified Arabic" w:hAnsi="Simplified Arabic" w:cs="Simplified Arabic"/>
          <w:color w:val="000000" w:themeColor="text1"/>
          <w:sz w:val="28"/>
          <w:szCs w:val="28"/>
        </w:rPr>
        <w:t xml:space="preserve">(2022) </w:t>
      </w:r>
      <w:r w:rsidRPr="00D51D9D">
        <w:rPr>
          <w:rFonts w:ascii="Simplified Arabic" w:hAnsi="Simplified Arabic" w:cs="Simplified Arabic"/>
          <w:color w:val="000000" w:themeColor="text1"/>
          <w:sz w:val="28"/>
          <w:szCs w:val="28"/>
          <w:rtl/>
        </w:rPr>
        <w:t xml:space="preserve">التي اقتصرت على مؤشرات المخاطر </w:t>
      </w:r>
      <w:r w:rsidRPr="00D51D9D">
        <w:rPr>
          <w:rFonts w:ascii="Simplified Arabic" w:hAnsi="Simplified Arabic" w:cs="Simplified Arabic"/>
          <w:color w:val="000000" w:themeColor="text1"/>
          <w:sz w:val="28"/>
          <w:szCs w:val="28"/>
          <w:rtl/>
        </w:rPr>
        <w:lastRenderedPageBreak/>
        <w:t>التشغيلية، ودراسة الدردور</w:t>
      </w:r>
      <w:r w:rsidRPr="00D51D9D">
        <w:rPr>
          <w:rFonts w:ascii="Simplified Arabic" w:hAnsi="Simplified Arabic" w:cs="Simplified Arabic"/>
          <w:color w:val="000000" w:themeColor="text1"/>
          <w:sz w:val="28"/>
          <w:szCs w:val="28"/>
        </w:rPr>
        <w:t xml:space="preserve"> (2023) </w:t>
      </w:r>
      <w:r w:rsidRPr="00D51D9D">
        <w:rPr>
          <w:rFonts w:ascii="Simplified Arabic" w:hAnsi="Simplified Arabic" w:cs="Simplified Arabic"/>
          <w:color w:val="000000" w:themeColor="text1"/>
          <w:sz w:val="28"/>
          <w:szCs w:val="28"/>
          <w:rtl/>
        </w:rPr>
        <w:t>التي تناولت الرقابة الداخلية بمعزل عن إطار</w:t>
      </w:r>
      <w:r w:rsidRPr="00D51D9D">
        <w:rPr>
          <w:rFonts w:ascii="Simplified Arabic" w:hAnsi="Simplified Arabic" w:cs="Simplified Arabic"/>
          <w:color w:val="000000" w:themeColor="text1"/>
          <w:sz w:val="28"/>
          <w:szCs w:val="28"/>
        </w:rPr>
        <w:t xml:space="preserve"> GRC </w:t>
      </w:r>
      <w:r w:rsidRPr="00D51D9D">
        <w:rPr>
          <w:rFonts w:ascii="Simplified Arabic" w:hAnsi="Simplified Arabic" w:cs="Simplified Arabic"/>
          <w:color w:val="000000" w:themeColor="text1"/>
          <w:sz w:val="28"/>
          <w:szCs w:val="28"/>
          <w:rtl/>
        </w:rPr>
        <w:t xml:space="preserve">المتكامل، في حين أن الدراسة الحالية تتناول هذه المكونات الثلاثة كمنظومة رقمية متكاملة ذات أربعة أبعاد مترابطة وظيفياً. ومن حيث </w:t>
      </w:r>
      <w:r w:rsidRPr="00D51D9D">
        <w:rPr>
          <w:rStyle w:val="Strong"/>
          <w:rFonts w:ascii="Simplified Arabic" w:hAnsi="Simplified Arabic" w:cs="Simplified Arabic"/>
          <w:b w:val="0"/>
          <w:bCs w:val="0"/>
          <w:color w:val="000000" w:themeColor="text1"/>
          <w:sz w:val="28"/>
          <w:szCs w:val="28"/>
          <w:rtl/>
        </w:rPr>
        <w:t>السياق القطاعي</w:t>
      </w:r>
      <w:r w:rsidRPr="00D51D9D">
        <w:rPr>
          <w:rFonts w:ascii="Simplified Arabic" w:hAnsi="Simplified Arabic" w:cs="Simplified Arabic"/>
          <w:color w:val="000000" w:themeColor="text1"/>
          <w:sz w:val="28"/>
          <w:szCs w:val="28"/>
          <w:rtl/>
        </w:rPr>
        <w:t xml:space="preserve">، فإن معظم الدراسات السابقة طُبقت على القطاع المصرفي والمالي كدراسة فروانة وعياد (2022) على بنك فلسطين، ودراسة العشيبي والوكيل (2023) على المصارف التجارية الليبية، ودراسة المعايطة والمخادمة (2023) على البنوك التجارية الأردنية، ودراسة أحمد ومحمود وخوشناو ويابه (2023) على المصارف الأهلية في دهوك، ودراسة البدري وصبح (2025) على شركات رأس المال المخاطر بالبورصة المصرية، بينما لم تحظَ الشركات الحكومية باهتمام بحثي مماثل رغم خصوصيتها التنظيمية والتشريعية. ومن حيث </w:t>
      </w:r>
      <w:r w:rsidRPr="00D51D9D">
        <w:rPr>
          <w:rStyle w:val="Strong"/>
          <w:rFonts w:ascii="Simplified Arabic" w:hAnsi="Simplified Arabic" w:cs="Simplified Arabic"/>
          <w:b w:val="0"/>
          <w:bCs w:val="0"/>
          <w:color w:val="000000" w:themeColor="text1"/>
          <w:sz w:val="28"/>
          <w:szCs w:val="28"/>
          <w:rtl/>
        </w:rPr>
        <w:t>البُعد الرقمي والتقني</w:t>
      </w:r>
      <w:r w:rsidRPr="00D51D9D">
        <w:rPr>
          <w:rFonts w:ascii="Simplified Arabic" w:hAnsi="Simplified Arabic" w:cs="Simplified Arabic"/>
          <w:color w:val="000000" w:themeColor="text1"/>
          <w:sz w:val="28"/>
          <w:szCs w:val="28"/>
          <w:rtl/>
        </w:rPr>
        <w:t>، فإن الدراسات العربية كدراسة البلوي وغيث (2021؛ 2022) تناولت آليات الحوكمة التقليدية في القطاع العام السعودي دون التطرق للتطبيق الرقمي لمنظومة</w:t>
      </w:r>
      <w:r w:rsidRPr="00D51D9D">
        <w:rPr>
          <w:rFonts w:ascii="Simplified Arabic" w:hAnsi="Simplified Arabic" w:cs="Simplified Arabic"/>
          <w:color w:val="000000" w:themeColor="text1"/>
          <w:sz w:val="28"/>
          <w:szCs w:val="28"/>
        </w:rPr>
        <w:t xml:space="preserve"> GRC</w:t>
      </w:r>
      <w:r w:rsidRPr="00D51D9D">
        <w:rPr>
          <w:rFonts w:ascii="Simplified Arabic" w:hAnsi="Simplified Arabic" w:cs="Simplified Arabic"/>
          <w:color w:val="000000" w:themeColor="text1"/>
          <w:sz w:val="28"/>
          <w:szCs w:val="28"/>
          <w:rtl/>
        </w:rPr>
        <w:t xml:space="preserve">، وحتى الدراسات الأجنبية التي تناولت البُعد الرقمي كدراسة </w:t>
      </w:r>
      <w:proofErr w:type="spellStart"/>
      <w:r w:rsidRPr="00D51D9D">
        <w:rPr>
          <w:rFonts w:ascii="Simplified Arabic" w:hAnsi="Simplified Arabic" w:cs="Simplified Arabic"/>
          <w:color w:val="000000" w:themeColor="text1"/>
          <w:sz w:val="28"/>
          <w:szCs w:val="28"/>
        </w:rPr>
        <w:t>Odedina</w:t>
      </w:r>
      <w:proofErr w:type="spellEnd"/>
      <w:r w:rsidRPr="00D51D9D">
        <w:rPr>
          <w:rFonts w:ascii="Simplified Arabic" w:hAnsi="Simplified Arabic" w:cs="Simplified Arabic"/>
          <w:color w:val="000000" w:themeColor="text1"/>
          <w:sz w:val="28"/>
          <w:szCs w:val="28"/>
        </w:rPr>
        <w:t xml:space="preserve"> (2023) </w:t>
      </w:r>
      <w:r w:rsidRPr="00D51D9D">
        <w:rPr>
          <w:rFonts w:ascii="Simplified Arabic" w:hAnsi="Simplified Arabic" w:cs="Simplified Arabic"/>
          <w:color w:val="000000" w:themeColor="text1"/>
          <w:sz w:val="28"/>
          <w:szCs w:val="28"/>
          <w:rtl/>
        </w:rPr>
        <w:t>ودراسة</w:t>
      </w:r>
      <w:r w:rsidRPr="00D51D9D">
        <w:rPr>
          <w:rFonts w:ascii="Simplified Arabic" w:hAnsi="Simplified Arabic" w:cs="Simplified Arabic"/>
          <w:color w:val="000000" w:themeColor="text1"/>
          <w:sz w:val="28"/>
          <w:szCs w:val="28"/>
        </w:rPr>
        <w:t xml:space="preserve"> Ahmad (2025) </w:t>
      </w:r>
      <w:r w:rsidRPr="00D51D9D">
        <w:rPr>
          <w:rFonts w:ascii="Simplified Arabic" w:hAnsi="Simplified Arabic" w:cs="Simplified Arabic"/>
          <w:color w:val="000000" w:themeColor="text1"/>
          <w:sz w:val="28"/>
          <w:szCs w:val="28"/>
          <w:rtl/>
        </w:rPr>
        <w:t>ودراسة</w:t>
      </w:r>
      <w:r w:rsidRPr="00D51D9D">
        <w:rPr>
          <w:rFonts w:ascii="Simplified Arabic" w:hAnsi="Simplified Arabic" w:cs="Simplified Arabic"/>
          <w:color w:val="000000" w:themeColor="text1"/>
          <w:sz w:val="28"/>
          <w:szCs w:val="28"/>
        </w:rPr>
        <w:t xml:space="preserve"> Victor et al. (2024) </w:t>
      </w:r>
      <w:r w:rsidRPr="00D51D9D">
        <w:rPr>
          <w:rFonts w:ascii="Simplified Arabic" w:hAnsi="Simplified Arabic" w:cs="Simplified Arabic"/>
          <w:color w:val="000000" w:themeColor="text1"/>
          <w:sz w:val="28"/>
          <w:szCs w:val="28"/>
          <w:rtl/>
        </w:rPr>
        <w:t>ركزت على الجانب النظري والمراجعة الأدبية دون تطبيق ميداني على القطاع الحكومي، فيما تناولت دراسة</w:t>
      </w:r>
      <w:r w:rsidRPr="00D51D9D">
        <w:rPr>
          <w:rFonts w:ascii="Simplified Arabic" w:hAnsi="Simplified Arabic" w:cs="Simplified Arabic"/>
          <w:color w:val="000000" w:themeColor="text1"/>
          <w:sz w:val="28"/>
          <w:szCs w:val="28"/>
        </w:rPr>
        <w:t xml:space="preserve"> </w:t>
      </w:r>
      <w:proofErr w:type="spellStart"/>
      <w:r w:rsidRPr="00D51D9D">
        <w:rPr>
          <w:rFonts w:ascii="Simplified Arabic" w:hAnsi="Simplified Arabic" w:cs="Simplified Arabic"/>
          <w:color w:val="000000" w:themeColor="text1"/>
          <w:sz w:val="28"/>
          <w:szCs w:val="28"/>
        </w:rPr>
        <w:t>Aloulou</w:t>
      </w:r>
      <w:proofErr w:type="spellEnd"/>
      <w:r w:rsidRPr="00D51D9D">
        <w:rPr>
          <w:rFonts w:ascii="Simplified Arabic" w:hAnsi="Simplified Arabic" w:cs="Simplified Arabic"/>
          <w:color w:val="000000" w:themeColor="text1"/>
          <w:sz w:val="28"/>
          <w:szCs w:val="28"/>
        </w:rPr>
        <w:t xml:space="preserve"> &amp; </w:t>
      </w:r>
      <w:proofErr w:type="spellStart"/>
      <w:r w:rsidRPr="00D51D9D">
        <w:rPr>
          <w:rFonts w:ascii="Simplified Arabic" w:hAnsi="Simplified Arabic" w:cs="Simplified Arabic"/>
          <w:color w:val="000000" w:themeColor="text1"/>
          <w:sz w:val="28"/>
          <w:szCs w:val="28"/>
        </w:rPr>
        <w:t>Alshohail</w:t>
      </w:r>
      <w:proofErr w:type="spellEnd"/>
      <w:r w:rsidRPr="00D51D9D">
        <w:rPr>
          <w:rFonts w:ascii="Simplified Arabic" w:hAnsi="Simplified Arabic" w:cs="Simplified Arabic"/>
          <w:color w:val="000000" w:themeColor="text1"/>
          <w:sz w:val="28"/>
          <w:szCs w:val="28"/>
        </w:rPr>
        <w:t xml:space="preserve"> (2026) </w:t>
      </w:r>
      <w:r w:rsidRPr="00D51D9D">
        <w:rPr>
          <w:rFonts w:ascii="Simplified Arabic" w:hAnsi="Simplified Arabic" w:cs="Simplified Arabic"/>
          <w:color w:val="000000" w:themeColor="text1"/>
          <w:sz w:val="28"/>
          <w:szCs w:val="28"/>
          <w:rtl/>
        </w:rPr>
        <w:t>ودراسة</w:t>
      </w:r>
      <w:r w:rsidRPr="00D51D9D">
        <w:rPr>
          <w:rFonts w:ascii="Simplified Arabic" w:hAnsi="Simplified Arabic" w:cs="Simplified Arabic"/>
          <w:color w:val="000000" w:themeColor="text1"/>
          <w:sz w:val="28"/>
          <w:szCs w:val="28"/>
        </w:rPr>
        <w:t xml:space="preserve"> </w:t>
      </w:r>
      <w:proofErr w:type="spellStart"/>
      <w:r w:rsidRPr="00D51D9D">
        <w:rPr>
          <w:rFonts w:ascii="Simplified Arabic" w:hAnsi="Simplified Arabic" w:cs="Simplified Arabic"/>
          <w:color w:val="000000" w:themeColor="text1"/>
          <w:sz w:val="28"/>
          <w:szCs w:val="28"/>
        </w:rPr>
        <w:t>Alhamami</w:t>
      </w:r>
      <w:proofErr w:type="spellEnd"/>
      <w:r w:rsidRPr="00D51D9D">
        <w:rPr>
          <w:rFonts w:ascii="Simplified Arabic" w:hAnsi="Simplified Arabic" w:cs="Simplified Arabic"/>
          <w:color w:val="000000" w:themeColor="text1"/>
          <w:sz w:val="28"/>
          <w:szCs w:val="28"/>
        </w:rPr>
        <w:t xml:space="preserve"> &amp; </w:t>
      </w:r>
      <w:proofErr w:type="spellStart"/>
      <w:r w:rsidRPr="00D51D9D">
        <w:rPr>
          <w:rFonts w:ascii="Simplified Arabic" w:hAnsi="Simplified Arabic" w:cs="Simplified Arabic"/>
          <w:color w:val="000000" w:themeColor="text1"/>
          <w:sz w:val="28"/>
          <w:szCs w:val="28"/>
        </w:rPr>
        <w:t>Alruwaili</w:t>
      </w:r>
      <w:proofErr w:type="spellEnd"/>
      <w:r w:rsidRPr="00D51D9D">
        <w:rPr>
          <w:rFonts w:ascii="Simplified Arabic" w:hAnsi="Simplified Arabic" w:cs="Simplified Arabic"/>
          <w:color w:val="000000" w:themeColor="text1"/>
          <w:sz w:val="28"/>
          <w:szCs w:val="28"/>
        </w:rPr>
        <w:t xml:space="preserve"> (2025) </w:t>
      </w:r>
      <w:r w:rsidRPr="00D51D9D">
        <w:rPr>
          <w:rFonts w:ascii="Simplified Arabic" w:hAnsi="Simplified Arabic" w:cs="Simplified Arabic"/>
          <w:color w:val="000000" w:themeColor="text1"/>
          <w:sz w:val="28"/>
          <w:szCs w:val="28"/>
          <w:rtl/>
        </w:rPr>
        <w:t>السياق السعودي لكن في قطاع التكنولوجيا والاستثمار وليس الشركات الحكومية، ودراسة</w:t>
      </w:r>
      <w:r w:rsidRPr="00D51D9D">
        <w:rPr>
          <w:rFonts w:ascii="Simplified Arabic" w:hAnsi="Simplified Arabic" w:cs="Simplified Arabic"/>
          <w:color w:val="000000" w:themeColor="text1"/>
          <w:sz w:val="28"/>
          <w:szCs w:val="28"/>
        </w:rPr>
        <w:t xml:space="preserve"> </w:t>
      </w:r>
      <w:proofErr w:type="spellStart"/>
      <w:r w:rsidRPr="00D51D9D">
        <w:rPr>
          <w:rFonts w:ascii="Simplified Arabic" w:hAnsi="Simplified Arabic" w:cs="Simplified Arabic"/>
          <w:color w:val="000000" w:themeColor="text1"/>
          <w:sz w:val="28"/>
          <w:szCs w:val="28"/>
        </w:rPr>
        <w:t>Alqahtani</w:t>
      </w:r>
      <w:proofErr w:type="spellEnd"/>
      <w:r w:rsidRPr="00D51D9D">
        <w:rPr>
          <w:rFonts w:ascii="Simplified Arabic" w:hAnsi="Simplified Arabic" w:cs="Simplified Arabic"/>
          <w:color w:val="000000" w:themeColor="text1"/>
          <w:sz w:val="28"/>
          <w:szCs w:val="28"/>
        </w:rPr>
        <w:t xml:space="preserve"> et al. (2025) </w:t>
      </w:r>
      <w:r w:rsidRPr="00D51D9D">
        <w:rPr>
          <w:rFonts w:ascii="Simplified Arabic" w:hAnsi="Simplified Arabic" w:cs="Simplified Arabic"/>
          <w:color w:val="000000" w:themeColor="text1"/>
          <w:sz w:val="28"/>
          <w:szCs w:val="28"/>
          <w:rtl/>
        </w:rPr>
        <w:t>طُبقت على قطاع الرعاية الصحية، ودراسة</w:t>
      </w:r>
      <w:r w:rsidRPr="00D51D9D">
        <w:rPr>
          <w:rFonts w:ascii="Simplified Arabic" w:hAnsi="Simplified Arabic" w:cs="Simplified Arabic"/>
          <w:color w:val="000000" w:themeColor="text1"/>
          <w:sz w:val="28"/>
          <w:szCs w:val="28"/>
        </w:rPr>
        <w:t xml:space="preserve"> </w:t>
      </w:r>
      <w:proofErr w:type="spellStart"/>
      <w:r w:rsidRPr="00D51D9D">
        <w:rPr>
          <w:rFonts w:ascii="Simplified Arabic" w:hAnsi="Simplified Arabic" w:cs="Simplified Arabic"/>
          <w:color w:val="000000" w:themeColor="text1"/>
          <w:sz w:val="28"/>
          <w:szCs w:val="28"/>
        </w:rPr>
        <w:t>Goh</w:t>
      </w:r>
      <w:proofErr w:type="spellEnd"/>
      <w:r w:rsidRPr="00D51D9D">
        <w:rPr>
          <w:rFonts w:ascii="Simplified Arabic" w:hAnsi="Simplified Arabic" w:cs="Simplified Arabic"/>
          <w:color w:val="000000" w:themeColor="text1"/>
          <w:sz w:val="28"/>
          <w:szCs w:val="28"/>
        </w:rPr>
        <w:t xml:space="preserve"> et al. (2022) </w:t>
      </w:r>
      <w:r w:rsidRPr="00D51D9D">
        <w:rPr>
          <w:rFonts w:ascii="Simplified Arabic" w:hAnsi="Simplified Arabic" w:cs="Simplified Arabic"/>
          <w:color w:val="000000" w:themeColor="text1"/>
          <w:sz w:val="28"/>
          <w:szCs w:val="28"/>
          <w:rtl/>
        </w:rPr>
        <w:t xml:space="preserve">ركزت على وجهة نظر المستثمرين. وبذلك تتجلى الفجوة البحثية التي تسعى الدراسة الحالية إلى سدها في كونها </w:t>
      </w:r>
      <w:r w:rsidRPr="00D51D9D">
        <w:rPr>
          <w:rStyle w:val="Strong"/>
          <w:rFonts w:ascii="Simplified Arabic" w:hAnsi="Simplified Arabic" w:cs="Simplified Arabic"/>
          <w:b w:val="0"/>
          <w:bCs w:val="0"/>
          <w:color w:val="000000" w:themeColor="text1"/>
          <w:sz w:val="28"/>
          <w:szCs w:val="28"/>
          <w:rtl/>
        </w:rPr>
        <w:t>الدراسة الأولى</w:t>
      </w:r>
      <w:r w:rsidRPr="00D51D9D">
        <w:rPr>
          <w:rFonts w:ascii="Simplified Arabic" w:hAnsi="Simplified Arabic" w:cs="Simplified Arabic"/>
          <w:color w:val="000000" w:themeColor="text1"/>
          <w:sz w:val="28"/>
          <w:szCs w:val="28"/>
          <w:rtl/>
        </w:rPr>
        <w:t xml:space="preserve"> </w:t>
      </w:r>
      <w:r w:rsidRPr="00D51D9D">
        <w:rPr>
          <w:rFonts w:ascii="Simplified Arabic" w:hAnsi="Simplified Arabic" w:cs="Simplified Arabic"/>
          <w:color w:val="000000" w:themeColor="text1"/>
          <w:sz w:val="28"/>
          <w:szCs w:val="28"/>
        </w:rPr>
        <w:t xml:space="preserve">— </w:t>
      </w:r>
      <w:r w:rsidRPr="00D51D9D">
        <w:rPr>
          <w:rFonts w:ascii="Simplified Arabic" w:hAnsi="Simplified Arabic" w:cs="Simplified Arabic"/>
          <w:color w:val="000000" w:themeColor="text1"/>
          <w:sz w:val="28"/>
          <w:szCs w:val="28"/>
          <w:rtl/>
        </w:rPr>
        <w:t xml:space="preserve">في حدود علم الباحث — التي تجمع بين التناول التكاملي الرقمي لمنظومة </w:t>
      </w:r>
      <w:r w:rsidRPr="00D51D9D">
        <w:rPr>
          <w:rFonts w:ascii="Simplified Arabic" w:hAnsi="Simplified Arabic" w:cs="Simplified Arabic"/>
          <w:color w:val="000000" w:themeColor="text1"/>
          <w:sz w:val="28"/>
          <w:szCs w:val="28"/>
        </w:rPr>
        <w:t xml:space="preserve">GRC </w:t>
      </w:r>
      <w:r w:rsidRPr="00D51D9D">
        <w:rPr>
          <w:rFonts w:ascii="Simplified Arabic" w:hAnsi="Simplified Arabic" w:cs="Simplified Arabic"/>
          <w:color w:val="000000" w:themeColor="text1"/>
          <w:sz w:val="28"/>
          <w:szCs w:val="28"/>
          <w:rtl/>
        </w:rPr>
        <w:t>بأبعادها الأربعة (الحوكمة الرقمية، إدارة المخاطر الإلكترونية، الالتزام التنظيمي الرقمي، التكامل التقني لأنظمة</w:t>
      </w:r>
      <w:r w:rsidRPr="00D51D9D">
        <w:rPr>
          <w:rFonts w:ascii="Simplified Arabic" w:hAnsi="Simplified Arabic" w:cs="Simplified Arabic"/>
          <w:color w:val="000000" w:themeColor="text1"/>
          <w:sz w:val="28"/>
          <w:szCs w:val="28"/>
        </w:rPr>
        <w:t xml:space="preserve"> GRC) </w:t>
      </w:r>
      <w:r w:rsidRPr="00D51D9D">
        <w:rPr>
          <w:rFonts w:ascii="Simplified Arabic" w:hAnsi="Simplified Arabic" w:cs="Simplified Arabic"/>
          <w:color w:val="000000" w:themeColor="text1"/>
          <w:sz w:val="28"/>
          <w:szCs w:val="28"/>
          <w:rtl/>
        </w:rPr>
        <w:t>كمتغير مستقل، وبين تحسين فعالية الرقابة الداخلية وخفض المخاطر التشغيلية كمتغير تابع أحادي المحور، في سياق تطبيقي ميداني على الشركات الحكومية بمدينة الرياض، وهو ما يُمثل إسهاماً علمياً وتطبيقياً نوعياً يُثري الأدبيات العربية ويستجيب لمتطلبات التحول الرقمي في القطاع الحكومي السعودي وفقاً لرؤية 2030</w:t>
      </w:r>
      <w:r w:rsidRPr="00D51D9D">
        <w:rPr>
          <w:rFonts w:ascii="Simplified Arabic" w:hAnsi="Simplified Arabic" w:cs="Simplified Arabic"/>
          <w:color w:val="000000" w:themeColor="text1"/>
          <w:sz w:val="28"/>
          <w:szCs w:val="28"/>
        </w:rPr>
        <w:t>.</w:t>
      </w:r>
    </w:p>
    <w:p w14:paraId="7241BF78" w14:textId="77777777" w:rsidR="00724BDB" w:rsidRPr="00D51D9D" w:rsidRDefault="00724BDB" w:rsidP="00724BD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8" w:name="_Toc234226595"/>
      <w:bookmarkEnd w:id="16"/>
      <w:r w:rsidRPr="00D51D9D">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8"/>
    </w:p>
    <w:p w14:paraId="355D0235" w14:textId="5F5B483E" w:rsidR="00724BDB" w:rsidRPr="00D51D9D" w:rsidRDefault="00724BDB" w:rsidP="00724B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D51D9D">
        <w:rPr>
          <w:rFonts w:ascii="Simplified Arabic" w:eastAsia="Times New Roman" w:hAnsi="Simplified Arabic" w:cs="Simplified Arabic"/>
          <w:b/>
          <w:bCs/>
          <w:color w:val="000000" w:themeColor="text1"/>
          <w:kern w:val="0"/>
          <w:sz w:val="32"/>
          <w:szCs w:val="32"/>
          <w:rtl/>
          <w14:ligatures w14:val="none"/>
        </w:rPr>
        <w:t>أولاً: مفهوم الحوكمة والمخاطر والالتزام (</w:t>
      </w:r>
      <w:r w:rsidRPr="00D51D9D">
        <w:rPr>
          <w:rFonts w:ascii="Simplified Arabic" w:eastAsia="Times New Roman" w:hAnsi="Simplified Arabic" w:cs="Simplified Arabic"/>
          <w:b/>
          <w:bCs/>
          <w:color w:val="000000" w:themeColor="text1"/>
          <w:kern w:val="0"/>
          <w:sz w:val="32"/>
          <w:szCs w:val="32"/>
          <w14:ligatures w14:val="none"/>
        </w:rPr>
        <w:t>GRC</w:t>
      </w:r>
      <w:r w:rsidRPr="00D51D9D">
        <w:rPr>
          <w:rFonts w:ascii="Simplified Arabic" w:eastAsia="Times New Roman" w:hAnsi="Simplified Arabic" w:cs="Simplified Arabic"/>
          <w:b/>
          <w:bCs/>
          <w:color w:val="000000" w:themeColor="text1"/>
          <w:kern w:val="0"/>
          <w:sz w:val="32"/>
          <w:szCs w:val="32"/>
          <w:rtl/>
          <w14:ligatures w14:val="none"/>
        </w:rPr>
        <w:t>)</w:t>
      </w:r>
    </w:p>
    <w:p w14:paraId="5EA152A8"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 xml:space="preserve">يُعد مفهوم الحوكمة والمخاطر والالتزام </w:t>
      </w:r>
      <w:r w:rsidRPr="00D51D9D">
        <w:rPr>
          <w:rFonts w:ascii="Simplified Arabic" w:eastAsia="Times New Roman" w:hAnsi="Simplified Arabic" w:cs="Simplified Arabic"/>
          <w:color w:val="000000" w:themeColor="text1"/>
          <w:kern w:val="0"/>
          <w:sz w:val="28"/>
          <w:szCs w:val="28"/>
          <w14:ligatures w14:val="none"/>
        </w:rPr>
        <w:t xml:space="preserve">(Governance, Risk, and Compliance) </w:t>
      </w:r>
      <w:r w:rsidRPr="00D51D9D">
        <w:rPr>
          <w:rFonts w:ascii="Simplified Arabic" w:eastAsia="Times New Roman" w:hAnsi="Simplified Arabic" w:cs="Simplified Arabic"/>
          <w:color w:val="000000" w:themeColor="text1"/>
          <w:kern w:val="0"/>
          <w:sz w:val="28"/>
          <w:szCs w:val="28"/>
          <w:rtl/>
          <w14:ligatures w14:val="none"/>
        </w:rPr>
        <w:t xml:space="preserve">من المفاهيم الإدارية الحديثة التي تبلورت استجابةً للتعقيدات المتزايدة في البيئات التنظيمية والتشريعية التي تعمل فيها </w:t>
      </w:r>
      <w:r w:rsidRPr="00D51D9D">
        <w:rPr>
          <w:rFonts w:ascii="Simplified Arabic" w:eastAsia="Times New Roman" w:hAnsi="Simplified Arabic" w:cs="Simplified Arabic"/>
          <w:color w:val="000000" w:themeColor="text1"/>
          <w:kern w:val="0"/>
          <w:sz w:val="28"/>
          <w:szCs w:val="28"/>
          <w:rtl/>
          <w14:ligatures w14:val="none"/>
        </w:rPr>
        <w:lastRenderedPageBreak/>
        <w:t>المؤسسات المعاصرة. ويُشير هذا المفهوم إلى الإطار الاستراتيجي المتكامل الذي يجمع بين ثلاثة مكونات مترابطة ومتداخلة وظيفياً، تعمل بشكل تآزري لضمان أن المؤسسة تُدار وفقاً لمبادئ الشفافية والمساءلة، وتُحدد مخاطرها وتُعالجها بصورة منهجية، وتمتثل للقوانين والأنظمة واللوائح المنظمة لعملها. وقد نشأ هذا المفهوم في بداياته كثلاث وظائف مستقلة تعمل في صوامع منفصلة داخل الهياكل التنظيمية، غير أن التداخلات والتحديات المشتركة بين هذه الوظائف دفعت المنظمات الرائدة والمنظمات المهنية إلى تبني مقاربة تكاملية تُوحد هذه الوظائف ضمن منظومة واحدة متسقة، بما يُزيل الازدواجية في الجهود ويُعزز التنسيق المؤسسي ويُحسّن من جودة القرارات الاستراتيجية والتشغيلية</w:t>
      </w:r>
      <w:r w:rsidRPr="00D51D9D">
        <w:rPr>
          <w:rFonts w:ascii="Simplified Arabic" w:eastAsia="Times New Roman" w:hAnsi="Simplified Arabic" w:cs="Simplified Arabic"/>
          <w:color w:val="000000" w:themeColor="text1"/>
          <w:kern w:val="0"/>
          <w:sz w:val="28"/>
          <w:szCs w:val="28"/>
          <w14:ligatures w14:val="none"/>
        </w:rPr>
        <w:t xml:space="preserve"> (Victor et al., 2024). </w:t>
      </w:r>
      <w:r w:rsidRPr="00D51D9D">
        <w:rPr>
          <w:rFonts w:ascii="Simplified Arabic" w:eastAsia="Times New Roman" w:hAnsi="Simplified Arabic" w:cs="Simplified Arabic"/>
          <w:color w:val="000000" w:themeColor="text1"/>
          <w:kern w:val="0"/>
          <w:sz w:val="28"/>
          <w:szCs w:val="28"/>
          <w:rtl/>
          <w14:ligatures w14:val="none"/>
        </w:rPr>
        <w:t>ويتضمن هذا الإطار المتكامل ثلاثة مكونات جوهرية: الحوكمة التي تُعنى بالهياكل والعمليات التي تُوجَّه من خلالها المؤسسة وتُدار، وإدارة المخاطر التي تتضمن تحديد وتحليل وتقييم المخاطر التي قد تؤثر سلباً على تحقيق أهداف المؤسسة والاستجابة لها بصورة استباقية، والالتزام الذي يتجاوز مجرد الامتثال القانوني ليشمل الالتزام بالمعايير الأخلاقية والمسؤولية المؤسسية وقواعد السلوك المهني</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Aloulou</w:t>
      </w:r>
      <w:proofErr w:type="spellEnd"/>
      <w:r w:rsidRPr="00D51D9D">
        <w:rPr>
          <w:rFonts w:ascii="Simplified Arabic" w:eastAsia="Times New Roman" w:hAnsi="Simplified Arabic" w:cs="Simplified Arabic"/>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color w:val="000000" w:themeColor="text1"/>
          <w:kern w:val="0"/>
          <w:sz w:val="28"/>
          <w:szCs w:val="28"/>
          <w14:ligatures w14:val="none"/>
        </w:rPr>
        <w:t>Alshohail</w:t>
      </w:r>
      <w:proofErr w:type="spellEnd"/>
      <w:r w:rsidRPr="00D51D9D">
        <w:rPr>
          <w:rFonts w:ascii="Simplified Arabic" w:eastAsia="Times New Roman" w:hAnsi="Simplified Arabic" w:cs="Simplified Arabic"/>
          <w:color w:val="000000" w:themeColor="text1"/>
          <w:kern w:val="0"/>
          <w:sz w:val="28"/>
          <w:szCs w:val="28"/>
          <w14:ligatures w14:val="none"/>
        </w:rPr>
        <w:t>, 2026).</w:t>
      </w:r>
    </w:p>
    <w:p w14:paraId="6DECE207" w14:textId="77777777" w:rsidR="00FC6586" w:rsidRPr="00D51D9D" w:rsidRDefault="00FC6586" w:rsidP="0011255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19" w:name="_Toc225784423"/>
      <w:bookmarkStart w:id="20" w:name="_Toc234226596"/>
      <w:r w:rsidRPr="00D51D9D">
        <w:rPr>
          <w:rFonts w:ascii="Simplified Arabic" w:eastAsia="Times New Roman" w:hAnsi="Simplified Arabic" w:cs="Simplified Arabic"/>
          <w:b/>
          <w:bCs/>
          <w:color w:val="000000" w:themeColor="text1"/>
          <w:kern w:val="0"/>
          <w:sz w:val="32"/>
          <w:szCs w:val="32"/>
          <w:rtl/>
          <w14:ligatures w14:val="none"/>
        </w:rPr>
        <w:t>ثانياً: التطبيق الرقمي لمنظومة</w:t>
      </w:r>
      <w:r w:rsidRPr="00D51D9D">
        <w:rPr>
          <w:rFonts w:ascii="Simplified Arabic" w:eastAsia="Times New Roman" w:hAnsi="Simplified Arabic" w:cs="Simplified Arabic"/>
          <w:b/>
          <w:bCs/>
          <w:color w:val="000000" w:themeColor="text1"/>
          <w:kern w:val="0"/>
          <w:sz w:val="32"/>
          <w:szCs w:val="32"/>
          <w14:ligatures w14:val="none"/>
        </w:rPr>
        <w:t xml:space="preserve"> GRC</w:t>
      </w:r>
      <w:bookmarkEnd w:id="19"/>
      <w:bookmarkEnd w:id="20"/>
    </w:p>
    <w:p w14:paraId="33A80F12"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يُقصد بالتطبيق الرقمي لمنظومة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توظيف التقنيات الحديثة والأنظمة المعلوماتية المتقدمة في أتمتة وتكامل عمليات الحوكمة وإدارة المخاطر والالتزام، بما يشمل استخدام منصات البرمجيات المتخصصة والذكاء الاصطناعي والتحليلات التنبؤية وأنظمة الإنذار المبكر والحوسبة السحابية وتقنيات تعلم الآلة في تنفيذ هذه الوظائف ومراقبتها وتطويرها. ويُمثل هذا التحول نقلة نوعية من النموذج التقليدي القائم على الإجراءات اليدوية والوثائق الورقية والمراجعات الدورية إلى نموذج رقمي ديناميكي يتسم بالآنية والاستباقية والشمولية في رصد الأداء المؤسسي ومتابعة الامتثال التنظيمي وإدارة المخاطر</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Odedina</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2023). </w:t>
      </w:r>
      <w:r w:rsidRPr="00D51D9D">
        <w:rPr>
          <w:rFonts w:ascii="Simplified Arabic" w:eastAsia="Times New Roman" w:hAnsi="Simplified Arabic" w:cs="Simplified Arabic"/>
          <w:color w:val="000000" w:themeColor="text1"/>
          <w:kern w:val="0"/>
          <w:sz w:val="28"/>
          <w:szCs w:val="28"/>
          <w:rtl/>
          <w14:ligatures w14:val="none"/>
        </w:rPr>
        <w:t>وتتجلى القيمة المضافة للتطبيق الرقمي في قدرته على توفير رؤية شاملة وموحدة لصانعي القرار حول الوضع الراهن للحوكمة والمخاطر والالتزام في المؤسسة، مما يُمكّنهم من اتخاذ قرارات مستنيرة مبنية على بيانات دقيقة وآنية بدلاً من التقديرات والأحكام الشخصية</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Goh</w:t>
      </w:r>
      <w:proofErr w:type="spellEnd"/>
      <w:r w:rsidRPr="00D51D9D">
        <w:rPr>
          <w:rFonts w:ascii="Simplified Arabic" w:eastAsia="Times New Roman" w:hAnsi="Simplified Arabic" w:cs="Simplified Arabic"/>
          <w:color w:val="000000" w:themeColor="text1"/>
          <w:kern w:val="0"/>
          <w:sz w:val="28"/>
          <w:szCs w:val="28"/>
          <w14:ligatures w14:val="none"/>
        </w:rPr>
        <w:t xml:space="preserve"> et al., 2022).</w:t>
      </w:r>
    </w:p>
    <w:p w14:paraId="5156E800"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وتتناول الدراسة الحالية التطبيق الرقمي لمنظومة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 xml:space="preserve">من خلال أربعة أبعاد رئيسية: يتمثل البُعد الأول في الحوكمة الرقمية التي تُشير إلى توظيف الأنظمة والمنصات الإلكترونية في تفعيل آليات الحوكمة المؤسسية من شفافية ومساءلة وإفصاح ومتابعة أداء مؤسسي عبر لوحات المعلومات الرقمية وأنظمة التقارير </w:t>
      </w:r>
      <w:r w:rsidRPr="00D51D9D">
        <w:rPr>
          <w:rFonts w:ascii="Simplified Arabic" w:eastAsia="Times New Roman" w:hAnsi="Simplified Arabic" w:cs="Simplified Arabic"/>
          <w:color w:val="000000" w:themeColor="text1"/>
          <w:kern w:val="0"/>
          <w:sz w:val="28"/>
          <w:szCs w:val="28"/>
          <w:rtl/>
          <w14:ligatures w14:val="none"/>
        </w:rPr>
        <w:lastRenderedPageBreak/>
        <w:t>الإلكترونية. ويتمثل البُعد الثاني في إدارة المخاطر الإلكترونية التي تُعنى باستخدام الأدوات التقنية المتقدمة في تحديد المخاطر المؤسسية ورصدها وتحليلها والتنبؤ بها آنياً، بما في ذلك النماذج التنبؤية وأنظمة الإنذار المبكر وخرائط المخاطر الرقمية. أما البُعد الثالث فيتمثل في الالتزام التنظيمي الرقمي الذي يُشير إلى أتمتة عمليات رصد الامتثال للأنظمة واللوائح والسياسات الداخلية والخارجية عبر أدوات التتبع الرقمي والتنبيهات الآلية وأنظمة إدارة السياسات الإلكترونية. ويتمثل البُعد الرابع في التكامل التقني لأنظمة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الذي يُعبّر عن مستوى الترابط والتنسيق الرقمي بين وحدات الحوكمة وإدارة المخاطر والالتزام ضمن منصة تقنية موحدة تُتيح تدفق المعلومات وتبادلها بين هذه الوحدات بصورة سلسة ومتزامنة</w:t>
      </w:r>
      <w:r w:rsidRPr="00D51D9D">
        <w:rPr>
          <w:rFonts w:ascii="Simplified Arabic" w:eastAsia="Times New Roman" w:hAnsi="Simplified Arabic" w:cs="Simplified Arabic"/>
          <w:color w:val="000000" w:themeColor="text1"/>
          <w:kern w:val="0"/>
          <w:sz w:val="28"/>
          <w:szCs w:val="28"/>
          <w14:ligatures w14:val="none"/>
        </w:rPr>
        <w:t xml:space="preserve"> (Ahmad, 2025).</w:t>
      </w:r>
    </w:p>
    <w:p w14:paraId="0E0F2643" w14:textId="77777777" w:rsidR="00FC6586" w:rsidRPr="00D51D9D" w:rsidRDefault="00FC6586" w:rsidP="0011255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21" w:name="_Toc225784424"/>
      <w:bookmarkStart w:id="22" w:name="_Toc234226597"/>
      <w:r w:rsidRPr="00D51D9D">
        <w:rPr>
          <w:rFonts w:ascii="Simplified Arabic" w:eastAsia="Times New Roman" w:hAnsi="Simplified Arabic" w:cs="Simplified Arabic"/>
          <w:b/>
          <w:bCs/>
          <w:color w:val="000000" w:themeColor="text1"/>
          <w:kern w:val="0"/>
          <w:sz w:val="32"/>
          <w:szCs w:val="32"/>
          <w:rtl/>
          <w14:ligatures w14:val="none"/>
        </w:rPr>
        <w:t>ثالثاً: فعالية الرقابة الداخلية</w:t>
      </w:r>
      <w:bookmarkEnd w:id="21"/>
      <w:bookmarkEnd w:id="22"/>
    </w:p>
    <w:p w14:paraId="763B9F25"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 xml:space="preserve">تُعرَّف الرقابة الداخلية بأنها مجموعة من السياسات والإجراءات والأنظمة التي تتبناها المؤسسة لتحقيق أهدافها التشغيلية والمالية والتنظيمية، وضمان كفاءة استخدام الموارد وحماية الأصول ودقة السجلات والتقارير المالية والامتثال للقوانين واللوائح. ويُقصد بفعالية الرقابة الداخلية قدرة هذه المنظومة على تحقيق أهدافها المرجوة بكفاءة واقتدار، من حيث الرصد المنتظم للعمليات واكتشاف الانحرافات والأخطاء في الوقت المناسب واتخاذ الإجراءات التصحيحية اللازمة، بما يكفل سلامة المركز المالي ودقة النتائج واستمرارية العمليات المؤسسية (الدردور، </w:t>
      </w:r>
      <w:r w:rsidRPr="00D51D9D">
        <w:rPr>
          <w:rFonts w:ascii="Simplified Arabic" w:eastAsia="Times New Roman" w:hAnsi="Simplified Arabic" w:cs="Simplified Arabic"/>
          <w:color w:val="000000" w:themeColor="text1"/>
          <w:kern w:val="0"/>
          <w:sz w:val="28"/>
          <w:szCs w:val="28"/>
          <w14:ligatures w14:val="none"/>
        </w:rPr>
        <w:t xml:space="preserve">2023). </w:t>
      </w:r>
      <w:r w:rsidRPr="00D51D9D">
        <w:rPr>
          <w:rFonts w:ascii="Simplified Arabic" w:eastAsia="Times New Roman" w:hAnsi="Simplified Arabic" w:cs="Simplified Arabic"/>
          <w:color w:val="000000" w:themeColor="text1"/>
          <w:kern w:val="0"/>
          <w:sz w:val="28"/>
          <w:szCs w:val="28"/>
          <w:rtl/>
          <w14:ligatures w14:val="none"/>
        </w:rPr>
        <w:t>وقد أثبتت الأدبيات أن فعالية أنظمة الرقابة الداخلية ترتبط ارتباطاً وثيقاً بقدرة المؤسسة على تطوير أدائها وتحقيق استقرارها المؤسسي، إذ إن الرقابة الداخلية الفعالة لا تقتصر على الكشف عن الأخطاء والتلاعب بعد وقوعها، بل تمتد لتشمل بناء بيئة رقابية وقائية تحول دون حدوثها ابتداءً (فروانة وعياد، 2022)</w:t>
      </w:r>
      <w:r w:rsidRPr="00D51D9D">
        <w:rPr>
          <w:rFonts w:ascii="Simplified Arabic" w:eastAsia="Times New Roman" w:hAnsi="Simplified Arabic" w:cs="Simplified Arabic"/>
          <w:color w:val="000000" w:themeColor="text1"/>
          <w:kern w:val="0"/>
          <w:sz w:val="28"/>
          <w:szCs w:val="28"/>
          <w14:ligatures w14:val="none"/>
        </w:rPr>
        <w:t>.</w:t>
      </w:r>
    </w:p>
    <w:p w14:paraId="6855413B" w14:textId="77777777" w:rsidR="00FC6586" w:rsidRPr="00D51D9D" w:rsidRDefault="00FC6586" w:rsidP="0011255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23" w:name="_Toc225784425"/>
      <w:bookmarkStart w:id="24" w:name="_Toc234226598"/>
      <w:r w:rsidRPr="00D51D9D">
        <w:rPr>
          <w:rFonts w:ascii="Simplified Arabic" w:eastAsia="Times New Roman" w:hAnsi="Simplified Arabic" w:cs="Simplified Arabic"/>
          <w:b/>
          <w:bCs/>
          <w:color w:val="000000" w:themeColor="text1"/>
          <w:kern w:val="0"/>
          <w:sz w:val="32"/>
          <w:szCs w:val="32"/>
          <w:rtl/>
          <w14:ligatures w14:val="none"/>
        </w:rPr>
        <w:t>رابعاً: المخاطر التشغيلية</w:t>
      </w:r>
      <w:bookmarkEnd w:id="23"/>
      <w:bookmarkEnd w:id="24"/>
    </w:p>
    <w:p w14:paraId="29B458C4"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تُعرَّف المخاطر التشغيلية وفقاً لإطار بازل بأنها مخاطر الخسارة الناتجة عن عدم كفاية أو فشل العمليات الداخلية أو الأفراد أو الأنظمة، أو عن أحداث خارجية. ويشمل هذا التعريف طيفاً واسعاً من المخاطر يتضمن الأخطاء البشرية وأعطال الأنظمة التكنولوجية والاحتيال الداخلي والخارجي ومخاطر عدم الامتثال التنظيمي ومخاطر استمرارية الأعمال</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Simplified Arabic" w:eastAsia="Times New Roman" w:hAnsi="Simplified Arabic" w:cs="Simplified Arabic"/>
          <w:color w:val="000000" w:themeColor="text1"/>
          <w:kern w:val="0"/>
          <w:sz w:val="28"/>
          <w:szCs w:val="28"/>
          <w:rtl/>
          <w14:ligatures w14:val="none"/>
        </w:rPr>
        <w:t>ويُقصد بخفض المخاطر التشغيلية في سياق هذه الدراسة تقليل احتمالية حدوث هذه المخاطر وتخفيف آثارها السلبية على المؤسسة من خلال التطبيق الرقمي لمنظومة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 xml:space="preserve">التي تُوفر أدوات استباقية لرصد مؤشرات المخاطر الرئيسية وتحليلها والتعامل معها قبل تفاقمها (بوعبدالله وعلمي، 2022). وتتفاوت المؤسسات في مستوى تعرضها للمخاطر التشغيلية وفقاً لطبيعة </w:t>
      </w:r>
      <w:r w:rsidRPr="00D51D9D">
        <w:rPr>
          <w:rFonts w:ascii="Simplified Arabic" w:eastAsia="Times New Roman" w:hAnsi="Simplified Arabic" w:cs="Simplified Arabic"/>
          <w:color w:val="000000" w:themeColor="text1"/>
          <w:kern w:val="0"/>
          <w:sz w:val="28"/>
          <w:szCs w:val="28"/>
          <w:rtl/>
          <w14:ligatures w14:val="none"/>
        </w:rPr>
        <w:lastRenderedPageBreak/>
        <w:t>عملياتها وحجمها ودرجة تعقيد أنظمتها التقنية ومستوى نضج ممارساتها الرقابية، حيث أن التدقيق الداخلي الفعال والإجراءات الرقابية المنتظمة تُشكل الأساس في تجنب هذه المخاطر وتحجيمها (أحمد ومحمود وخوشناو ويابه، 2023)</w:t>
      </w:r>
      <w:r w:rsidRPr="00D51D9D">
        <w:rPr>
          <w:rFonts w:ascii="Simplified Arabic" w:eastAsia="Times New Roman" w:hAnsi="Simplified Arabic" w:cs="Simplified Arabic"/>
          <w:color w:val="000000" w:themeColor="text1"/>
          <w:kern w:val="0"/>
          <w:sz w:val="28"/>
          <w:szCs w:val="28"/>
          <w14:ligatures w14:val="none"/>
        </w:rPr>
        <w:t>.</w:t>
      </w:r>
    </w:p>
    <w:p w14:paraId="06BE1300" w14:textId="77777777" w:rsidR="00FC6586" w:rsidRPr="00D51D9D" w:rsidRDefault="00FC6586" w:rsidP="0011255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25" w:name="_Toc225784426"/>
      <w:bookmarkStart w:id="26" w:name="_Toc234226599"/>
      <w:r w:rsidRPr="00D51D9D">
        <w:rPr>
          <w:rFonts w:ascii="Simplified Arabic" w:eastAsia="Times New Roman" w:hAnsi="Simplified Arabic" w:cs="Simplified Arabic"/>
          <w:b/>
          <w:bCs/>
          <w:color w:val="000000" w:themeColor="text1"/>
          <w:kern w:val="0"/>
          <w:sz w:val="32"/>
          <w:szCs w:val="32"/>
          <w:rtl/>
          <w14:ligatures w14:val="none"/>
        </w:rPr>
        <w:t>خامساً: الشركات الحكومية</w:t>
      </w:r>
      <w:bookmarkEnd w:id="25"/>
      <w:bookmarkEnd w:id="26"/>
    </w:p>
    <w:p w14:paraId="44EB9887"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يُقصد بالشركات الحكومية في سياق هذه الدراسة تلك الكيانات الاقتصادية المملوكة كلياً أو جزئياً للدولة ممثلة في صندوق الاستثمارات العامة أو الوزارات أو الهيئات الحكومية بمدينة الرياض، والتي تعمل وفقاً لأنظمة الشركات وتخضع لمتطلبات رقابية وتنظيمية خاصة تفرضها الجهات الإشرافية المختصة. وتتميز هذه الشركات بكونها تتولى إدارة موارد عامة وتُقدم خدمات استراتيجية تمس المصلحة الوطنية، مما يجعلها أكثر حاجة لتبني أنظمة حوكمة ورقابة وإدارة مخاطر متقدمة تضمن الشفافية والمساءلة وحسن التصرف في المال العام (البلوي وغيث، 2021)</w:t>
      </w:r>
      <w:r w:rsidRPr="00D51D9D">
        <w:rPr>
          <w:rFonts w:ascii="Simplified Arabic" w:eastAsia="Times New Roman" w:hAnsi="Simplified Arabic" w:cs="Simplified Arabic"/>
          <w:color w:val="000000" w:themeColor="text1"/>
          <w:kern w:val="0"/>
          <w:sz w:val="28"/>
          <w:szCs w:val="28"/>
          <w14:ligatures w14:val="none"/>
        </w:rPr>
        <w:t>.</w:t>
      </w:r>
    </w:p>
    <w:p w14:paraId="1045CE66" w14:textId="18C65B2E" w:rsidR="00724BDB" w:rsidRPr="00D51D9D" w:rsidRDefault="00724BDB" w:rsidP="00724BD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7" w:name="_Toc169790506"/>
      <w:bookmarkStart w:id="28" w:name="_Toc234226600"/>
      <w:bookmarkEnd w:id="15"/>
      <w:r w:rsidRPr="00D51D9D">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8"/>
    </w:p>
    <w:p w14:paraId="607A34AD"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الأكثر ملاءمة لطبيعة الدراسة وأهدافها، حيث يُمكّن الباحث من وصف الظاهرة محل الدراسة وصفاً دقيقاً من خلال جمع البيانات والمعلومات من الواقع الفعلي للشركات الحكومية بمدينة الرياض، وتحليلها إحصائياً للكشف عن طبيعة العلاقة والأثر بين التطبيق الرقمي لمنظومة الحوكمة والمخاطر والالتزام</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بأبعاده الأربعة وبين تحسين فعالية الرقابة الداخلية وخفض المخاطر التشغيلية. وسيتم توظيف هذا المنهج في شقيه النظري والتطبيقي، إذ سيُستخدم الشق النظري في استعراض الأدبيات والدراسات السابقة ذات الصلة بموضوع الدراسة لبناء الإطار المفاهيمي والنظري، فيما سيُستخدم الشق التطبيقي في جمع البيانات الأولية من أفراد عينة الدراسة عبر أداة الاستبانة المصممة خصيصاً لهذا الغرض</w:t>
      </w:r>
      <w:r w:rsidRPr="00D51D9D">
        <w:rPr>
          <w:rFonts w:ascii="Simplified Arabic" w:eastAsia="Times New Roman" w:hAnsi="Simplified Arabic" w:cs="Simplified Arabic"/>
          <w:color w:val="000000" w:themeColor="text1"/>
          <w:kern w:val="0"/>
          <w:sz w:val="28"/>
          <w:szCs w:val="28"/>
          <w14:ligatures w14:val="none"/>
        </w:rPr>
        <w:t>.</w:t>
      </w:r>
    </w:p>
    <w:p w14:paraId="4B43C2E3" w14:textId="19A8F8A0"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كما ستستعين الدراسة بالمنهج الكمي في معالجة البيانات وتحليلها إحصائياً باستخدام مجموعة من الأساليب الإحصائية الوصفية والاستدلالية المتقدمة، بهدف اختبار فروض الدراسة والإجابة عن تساؤلاتها، وقياس مستوى الأثر ودلالته الإحصائية بين المتغير المستقل بأبعاده والمتغير التابع، وصولاً إلى نتائج علمية دقيقة وموثوقة يمكن تعميمها والاستفادة منها في تطوير الممارسات التطبيقية للشركات الحكومية بمدينة الرياض</w:t>
      </w:r>
      <w:r w:rsidRPr="00D51D9D">
        <w:rPr>
          <w:rFonts w:ascii="Simplified Arabic" w:eastAsia="Times New Roman" w:hAnsi="Simplified Arabic" w:cs="Simplified Arabic"/>
          <w:color w:val="000000" w:themeColor="text1"/>
          <w:kern w:val="0"/>
          <w:sz w:val="28"/>
          <w:szCs w:val="28"/>
          <w14:ligatures w14:val="none"/>
        </w:rPr>
        <w:t>.</w:t>
      </w:r>
    </w:p>
    <w:p w14:paraId="4F211BBF" w14:textId="494F61AD" w:rsidR="00FC6586" w:rsidRPr="00D51D9D" w:rsidRDefault="00724BDB" w:rsidP="00724BD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9" w:name="_Toc225784428"/>
      <w:bookmarkStart w:id="30" w:name="_Toc234226601"/>
      <w:r w:rsidRPr="00D51D9D">
        <w:rPr>
          <w:rFonts w:ascii="Simplified Arabic" w:eastAsia="Times New Roman" w:hAnsi="Simplified Arabic" w:cs="Simplified Arabic" w:hint="cs"/>
          <w:b/>
          <w:bCs/>
          <w:color w:val="000000" w:themeColor="text1"/>
          <w:kern w:val="0"/>
          <w:sz w:val="36"/>
          <w:szCs w:val="36"/>
          <w:rtl/>
          <w14:ligatures w14:val="none"/>
        </w:rPr>
        <w:lastRenderedPageBreak/>
        <w:t xml:space="preserve">11.1 </w:t>
      </w:r>
      <w:r w:rsidR="00FC6586" w:rsidRPr="00D51D9D">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9"/>
      <w:bookmarkEnd w:id="30"/>
    </w:p>
    <w:p w14:paraId="44324288"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الإدارات ذات الصلة بالحوكمة والرقابة الداخلية وإدارة المخاطر والالتزام والتدقيق وتقنية المعلومات في الشركات الحكومية بمدينة الرياض، والتي تشمل الشركات المملوكة بالكامل أو جزئياً لصندوق الاستثمارات العامة أو الجهات الحكومية، ويُقدَّر حجم المجتمع الكلي بنحو (5000) موظف وموظفة ممن يشغلون مناصب إدارية وإشرافية وتخصصية في تلك الإدارات. وقد تم اختيار هذا المجتمع تحديداً لكون أفراده هم الأكثر دراية وارتباطاً بموضوع الدراسة، حيث يمتلكون المعرفة والخبرة الكافية للإدلاء بآرائهم حول واقع التطبيق الرقمي لمنظومة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وأثره على فعالية الرقابة الداخلية والمخاطر التشغيلية في شركاتهم</w:t>
      </w:r>
      <w:r w:rsidRPr="00D51D9D">
        <w:rPr>
          <w:rFonts w:ascii="Simplified Arabic" w:eastAsia="Times New Roman" w:hAnsi="Simplified Arabic" w:cs="Simplified Arabic"/>
          <w:color w:val="000000" w:themeColor="text1"/>
          <w:kern w:val="0"/>
          <w:sz w:val="28"/>
          <w:szCs w:val="28"/>
          <w14:ligatures w14:val="none"/>
        </w:rPr>
        <w:t>.</w:t>
      </w:r>
    </w:p>
    <w:p w14:paraId="572F4009"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 xml:space="preserve">وستستخدم الدراسة أسلوب العينة العشوائية الطبقية التناسبية لضمان تمثيل متوازن لمختلف الإدارات والمستويات الوظيفية في الشركات الحكومية المستهدفة، وسيتم تحديد حجم العينة وفقاً لمعادلة </w:t>
      </w:r>
      <w:r w:rsidRPr="00D51D9D">
        <w:rPr>
          <w:rFonts w:ascii="Simplified Arabic" w:eastAsia="Times New Roman" w:hAnsi="Simplified Arabic" w:cs="Simplified Arabic"/>
          <w:color w:val="000000" w:themeColor="text1"/>
          <w:kern w:val="0"/>
          <w:sz w:val="28"/>
          <w:szCs w:val="28"/>
          <w14:ligatures w14:val="none"/>
        </w:rPr>
        <w:t>(</w:t>
      </w:r>
      <w:proofErr w:type="spellStart"/>
      <w:r w:rsidRPr="00D51D9D">
        <w:rPr>
          <w:rFonts w:ascii="Simplified Arabic" w:eastAsia="Times New Roman" w:hAnsi="Simplified Arabic" w:cs="Simplified Arabic"/>
          <w:color w:val="000000" w:themeColor="text1"/>
          <w:kern w:val="0"/>
          <w:sz w:val="28"/>
          <w:szCs w:val="28"/>
          <w14:ligatures w14:val="none"/>
        </w:rPr>
        <w:t>Krejcie</w:t>
      </w:r>
      <w:proofErr w:type="spellEnd"/>
      <w:r w:rsidRPr="00D51D9D">
        <w:rPr>
          <w:rFonts w:ascii="Simplified Arabic" w:eastAsia="Times New Roman" w:hAnsi="Simplified Arabic" w:cs="Simplified Arabic"/>
          <w:color w:val="000000" w:themeColor="text1"/>
          <w:kern w:val="0"/>
          <w:sz w:val="28"/>
          <w:szCs w:val="28"/>
          <w14:ligatures w14:val="none"/>
        </w:rPr>
        <w:t xml:space="preserve"> &amp; Morgan, 1970) </w:t>
      </w:r>
      <w:r w:rsidRPr="00D51D9D">
        <w:rPr>
          <w:rFonts w:ascii="Simplified Arabic" w:eastAsia="Times New Roman" w:hAnsi="Simplified Arabic" w:cs="Simplified Arabic"/>
          <w:color w:val="000000" w:themeColor="text1"/>
          <w:kern w:val="0"/>
          <w:sz w:val="28"/>
          <w:szCs w:val="28"/>
          <w:rtl/>
          <w14:ligatures w14:val="none"/>
        </w:rPr>
        <w:t>عند مستوى ثقة (95%) وهامش خطأ (5%)، حيث سيبلغ الحد الأدنى المطلوب للعينة (357) مفردة. وسيتم توزيع (400) استبانة لضمان الحصول على عدد كافٍ من الاستجابات الصالحة للتحليل الإحصائي بعد استبعاد الاستبانات غير المكتملة أو غير الصالحة، وسيُراعى في توزيع العينة التناسب مع حجم كل شركة حكومية ونسبة العاملين في الإدارات المستهدفة منها، مع استهداف ما لا يقل عن (8) شركات حكومية كبرى بمدينة الرياض لضمان تنوع وشمولية البيانات المُجمعة</w:t>
      </w:r>
      <w:r w:rsidRPr="00D51D9D">
        <w:rPr>
          <w:rFonts w:ascii="Simplified Arabic" w:eastAsia="Times New Roman" w:hAnsi="Simplified Arabic" w:cs="Simplified Arabic"/>
          <w:color w:val="000000" w:themeColor="text1"/>
          <w:kern w:val="0"/>
          <w:sz w:val="28"/>
          <w:szCs w:val="28"/>
          <w14:ligatures w14:val="none"/>
        </w:rPr>
        <w:t>.</w:t>
      </w:r>
    </w:p>
    <w:p w14:paraId="20D16E99" w14:textId="36489789" w:rsidR="00FC6586" w:rsidRPr="00D51D9D" w:rsidRDefault="00724BDB" w:rsidP="00724BD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1" w:name="_Toc225784429"/>
      <w:bookmarkStart w:id="32" w:name="_Toc234226602"/>
      <w:r w:rsidRPr="00D51D9D">
        <w:rPr>
          <w:rFonts w:ascii="Simplified Arabic" w:eastAsia="Times New Roman" w:hAnsi="Simplified Arabic" w:cs="Simplified Arabic" w:hint="cs"/>
          <w:b/>
          <w:bCs/>
          <w:color w:val="000000" w:themeColor="text1"/>
          <w:kern w:val="0"/>
          <w:sz w:val="36"/>
          <w:szCs w:val="36"/>
          <w:rtl/>
          <w14:ligatures w14:val="none"/>
        </w:rPr>
        <w:t xml:space="preserve">12.1 </w:t>
      </w:r>
      <w:r w:rsidR="00FC6586" w:rsidRPr="00D51D9D">
        <w:rPr>
          <w:rFonts w:ascii="Simplified Arabic" w:eastAsia="Times New Roman" w:hAnsi="Simplified Arabic" w:cs="Simplified Arabic"/>
          <w:b/>
          <w:bCs/>
          <w:color w:val="000000" w:themeColor="text1"/>
          <w:kern w:val="0"/>
          <w:sz w:val="36"/>
          <w:szCs w:val="36"/>
          <w:rtl/>
          <w14:ligatures w14:val="none"/>
        </w:rPr>
        <w:t>مصادر جمع البيانات</w:t>
      </w:r>
      <w:bookmarkEnd w:id="31"/>
      <w:bookmarkEnd w:id="32"/>
    </w:p>
    <w:p w14:paraId="1D8C9B08" w14:textId="77777777" w:rsidR="00FC6586" w:rsidRPr="00D51D9D" w:rsidRDefault="00FC6586" w:rsidP="0011255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ستعتمد الدراسة على مصدرين رئيسيين لجمع البيانات</w:t>
      </w:r>
      <w:r w:rsidRPr="00D51D9D">
        <w:rPr>
          <w:rFonts w:ascii="Simplified Arabic" w:eastAsia="Times New Roman" w:hAnsi="Simplified Arabic" w:cs="Simplified Arabic"/>
          <w:b/>
          <w:bCs/>
          <w:color w:val="000000" w:themeColor="text1"/>
          <w:kern w:val="0"/>
          <w:sz w:val="28"/>
          <w:szCs w:val="28"/>
          <w14:ligatures w14:val="none"/>
        </w:rPr>
        <w:t>:</w:t>
      </w:r>
    </w:p>
    <w:p w14:paraId="36244545" w14:textId="77777777" w:rsidR="00FC6586" w:rsidRPr="00D51D9D" w:rsidRDefault="00FC6586" w:rsidP="00724BDB">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المصادر الثانوية</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Simplified Arabic" w:eastAsia="Times New Roman" w:hAnsi="Simplified Arabic" w:cs="Simplified Arabic"/>
          <w:color w:val="000000" w:themeColor="text1"/>
          <w:kern w:val="0"/>
          <w:sz w:val="28"/>
          <w:szCs w:val="28"/>
          <w:rtl/>
          <w14:ligatures w14:val="none"/>
        </w:rPr>
        <w:t>وتشمل الكتب والمراجع العلمية العربية والأجنبية، والدوريات والمجلات المحكمة، والرسائل الجامعية (ماجستير ودكتوراه)، والتقارير والنشرات الصادرة عن الجهات الرسمية والتنظيمية في المملكة العربية السعودية، وقواعد البيانات الإلكترونية المتخصصة، وذلك لبناء الإطار النظري للدراسة ومراجعة الدراسات السابقة ذات الصلة</w:t>
      </w:r>
      <w:r w:rsidRPr="00D51D9D">
        <w:rPr>
          <w:rFonts w:ascii="Simplified Arabic" w:eastAsia="Times New Roman" w:hAnsi="Simplified Arabic" w:cs="Simplified Arabic"/>
          <w:color w:val="000000" w:themeColor="text1"/>
          <w:kern w:val="0"/>
          <w:sz w:val="28"/>
          <w:szCs w:val="28"/>
          <w14:ligatures w14:val="none"/>
        </w:rPr>
        <w:t>.</w:t>
      </w:r>
    </w:p>
    <w:p w14:paraId="288226DC" w14:textId="77777777" w:rsidR="00FC6586" w:rsidRPr="00D51D9D" w:rsidRDefault="00FC6586" w:rsidP="00724BDB">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المصادر الأولية</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أفراد عينة الدراسة عبر أداة الاستبانة الإلكترونية المصممة خصيصاً لأغراض هذه الدراسة، والتي ستُوزع على العاملين في الإدارات المعنية بالشركات الحكومية بمدينة الرياض</w:t>
      </w:r>
      <w:r w:rsidRPr="00D51D9D">
        <w:rPr>
          <w:rFonts w:ascii="Simplified Arabic" w:eastAsia="Times New Roman" w:hAnsi="Simplified Arabic" w:cs="Simplified Arabic"/>
          <w:color w:val="000000" w:themeColor="text1"/>
          <w:kern w:val="0"/>
          <w:sz w:val="28"/>
          <w:szCs w:val="28"/>
          <w14:ligatures w14:val="none"/>
        </w:rPr>
        <w:t>.</w:t>
      </w:r>
    </w:p>
    <w:p w14:paraId="018F4181" w14:textId="5CA0E34E" w:rsidR="00FC6586" w:rsidRPr="00D51D9D" w:rsidRDefault="00724BDB" w:rsidP="00724BD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3" w:name="_Toc225784430"/>
      <w:bookmarkStart w:id="34" w:name="_Toc234226603"/>
      <w:r w:rsidRPr="00D51D9D">
        <w:rPr>
          <w:rFonts w:ascii="Simplified Arabic" w:eastAsia="Times New Roman" w:hAnsi="Simplified Arabic" w:cs="Simplified Arabic" w:hint="cs"/>
          <w:b/>
          <w:bCs/>
          <w:color w:val="000000" w:themeColor="text1"/>
          <w:kern w:val="0"/>
          <w:sz w:val="36"/>
          <w:szCs w:val="36"/>
          <w:rtl/>
          <w14:ligatures w14:val="none"/>
        </w:rPr>
        <w:lastRenderedPageBreak/>
        <w:t xml:space="preserve">13.1 </w:t>
      </w:r>
      <w:r w:rsidR="00FC6586" w:rsidRPr="00D51D9D">
        <w:rPr>
          <w:rFonts w:ascii="Simplified Arabic" w:eastAsia="Times New Roman" w:hAnsi="Simplified Arabic" w:cs="Simplified Arabic"/>
          <w:b/>
          <w:bCs/>
          <w:color w:val="000000" w:themeColor="text1"/>
          <w:kern w:val="0"/>
          <w:sz w:val="36"/>
          <w:szCs w:val="36"/>
          <w:rtl/>
          <w14:ligatures w14:val="none"/>
        </w:rPr>
        <w:t>أداة الدراسة</w:t>
      </w:r>
      <w:bookmarkEnd w:id="33"/>
      <w:bookmarkEnd w:id="34"/>
    </w:p>
    <w:p w14:paraId="6FD0ABEE"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ستستخدم الدراسة الاستبانة كأداة رئيسية لجمع البيانات الأولية، وسيتم تصميمها بالاعتماد على الأدبيات النظرية والدراسات السابقة ذات الصلة، وستتكون الاستبانة من ثلاثة أقسام رئيسية على النحو التالي</w:t>
      </w:r>
      <w:r w:rsidRPr="00D51D9D">
        <w:rPr>
          <w:rFonts w:ascii="Simplified Arabic" w:eastAsia="Times New Roman" w:hAnsi="Simplified Arabic" w:cs="Simplified Arabic"/>
          <w:color w:val="000000" w:themeColor="text1"/>
          <w:kern w:val="0"/>
          <w:sz w:val="28"/>
          <w:szCs w:val="28"/>
          <w14:ligatures w14:val="none"/>
        </w:rPr>
        <w:t>:</w:t>
      </w:r>
    </w:p>
    <w:p w14:paraId="3360C0E6" w14:textId="526F9AE4"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والوظيفية، ويتضمن المعلومات الشخصية والوظيفية لأفراد العينة (المؤهل العلمي، سنوات الخبرة، المستوى الوظيفي، طبيعة الشركة الحكومية، الإدارة التي يعمل بها المستجيب).</w:t>
      </w:r>
    </w:p>
    <w:p w14:paraId="21D50B1A"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القسم الثاني: المتغير المستقل</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Simplified Arabic" w:eastAsia="Times New Roman" w:hAnsi="Simplified Arabic" w:cs="Simplified Arabic"/>
          <w:color w:val="000000" w:themeColor="text1"/>
          <w:kern w:val="0"/>
          <w:sz w:val="28"/>
          <w:szCs w:val="28"/>
          <w:rtl/>
          <w14:ligatures w14:val="none"/>
        </w:rPr>
        <w:t>التطبيق الرقمي للحوكمة والمخاطر والالتزام</w:t>
      </w:r>
      <w:r w:rsidRPr="00D51D9D">
        <w:rPr>
          <w:rFonts w:ascii="Simplified Arabic" w:eastAsia="Times New Roman" w:hAnsi="Simplified Arabic" w:cs="Simplified Arabic"/>
          <w:color w:val="000000" w:themeColor="text1"/>
          <w:kern w:val="0"/>
          <w:sz w:val="28"/>
          <w:szCs w:val="28"/>
          <w14:ligatures w14:val="none"/>
        </w:rPr>
        <w:t xml:space="preserve"> GRC)</w:t>
      </w:r>
      <w:r w:rsidRPr="00D51D9D">
        <w:rPr>
          <w:rFonts w:ascii="Simplified Arabic" w:eastAsia="Times New Roman" w:hAnsi="Simplified Arabic" w:cs="Simplified Arabic"/>
          <w:color w:val="000000" w:themeColor="text1"/>
          <w:kern w:val="0"/>
          <w:sz w:val="28"/>
          <w:szCs w:val="28"/>
          <w:rtl/>
          <w14:ligatures w14:val="none"/>
        </w:rPr>
        <w:t>، ويتكون من (16) فقرة موزعة على أربعة أبعاد</w:t>
      </w:r>
      <w:r w:rsidRPr="00D51D9D">
        <w:rPr>
          <w:rFonts w:ascii="Simplified Arabic" w:eastAsia="Times New Roman" w:hAnsi="Simplified Arabic" w:cs="Simplified Arabic"/>
          <w:color w:val="000000" w:themeColor="text1"/>
          <w:kern w:val="0"/>
          <w:sz w:val="28"/>
          <w:szCs w:val="28"/>
          <w14:ligatures w14:val="none"/>
        </w:rPr>
        <w:t>:</w:t>
      </w:r>
    </w:p>
    <w:p w14:paraId="0517AC3B" w14:textId="77777777" w:rsidR="00FC6586" w:rsidRPr="00D51D9D" w:rsidRDefault="00FC6586" w:rsidP="00724BD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البُعد الأول: الحوكمة الرقمية ويتضمن (4) فقرات تقيس مستوى تطبيق آليات الحوكمة الرقمية من حيث الشفافية والمساءلة الإلكترونية وآليات اتخاذ القرار الرقمي</w:t>
      </w:r>
      <w:r w:rsidRPr="00D51D9D">
        <w:rPr>
          <w:rFonts w:ascii="Simplified Arabic" w:eastAsia="Times New Roman" w:hAnsi="Simplified Arabic" w:cs="Simplified Arabic"/>
          <w:color w:val="000000" w:themeColor="text1"/>
          <w:kern w:val="0"/>
          <w:sz w:val="28"/>
          <w:szCs w:val="28"/>
          <w14:ligatures w14:val="none"/>
        </w:rPr>
        <w:t>.</w:t>
      </w:r>
    </w:p>
    <w:p w14:paraId="7837075B" w14:textId="77777777" w:rsidR="00FC6586" w:rsidRPr="00D51D9D" w:rsidRDefault="00FC6586" w:rsidP="00724BD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البُعد الثاني: إدارة المخاطر الإلكترونية ويتضمن (4) فقرات تقيس مستوى استخدام الأنظمة الرقمية في رصد المخاطر وتحليلها والإنذار المبكر والنمذجة التنبؤية</w:t>
      </w:r>
      <w:r w:rsidRPr="00D51D9D">
        <w:rPr>
          <w:rFonts w:ascii="Simplified Arabic" w:eastAsia="Times New Roman" w:hAnsi="Simplified Arabic" w:cs="Simplified Arabic"/>
          <w:color w:val="000000" w:themeColor="text1"/>
          <w:kern w:val="0"/>
          <w:sz w:val="28"/>
          <w:szCs w:val="28"/>
          <w14:ligatures w14:val="none"/>
        </w:rPr>
        <w:t>.</w:t>
      </w:r>
    </w:p>
    <w:p w14:paraId="7222298A" w14:textId="77777777" w:rsidR="00FC6586" w:rsidRPr="00D51D9D" w:rsidRDefault="00FC6586" w:rsidP="00724BD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البُعد الثالث: الالتزام التنظيمي الرقمي ويتضمن (4) فقرات تقيس مستوى الامتثال الآلي للأنظمة واللوائح والتتبع الرقمي للالتزام المؤسسي</w:t>
      </w:r>
      <w:r w:rsidRPr="00D51D9D">
        <w:rPr>
          <w:rFonts w:ascii="Simplified Arabic" w:eastAsia="Times New Roman" w:hAnsi="Simplified Arabic" w:cs="Simplified Arabic"/>
          <w:color w:val="000000" w:themeColor="text1"/>
          <w:kern w:val="0"/>
          <w:sz w:val="28"/>
          <w:szCs w:val="28"/>
          <w14:ligatures w14:val="none"/>
        </w:rPr>
        <w:t>.</w:t>
      </w:r>
    </w:p>
    <w:p w14:paraId="23A07A29" w14:textId="77777777" w:rsidR="00FC6586" w:rsidRPr="00D51D9D" w:rsidRDefault="00FC6586" w:rsidP="00724BDB">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البُعد الرابع: التكامل التقني لأنظمة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ويتضمن (4) فقرات تقيس مستوى التنسيق والترابط الرقمي بين وحدات الحوكمة وإدارة المخاطر والالتزام ضمن منظومة موحدة</w:t>
      </w:r>
      <w:r w:rsidRPr="00D51D9D">
        <w:rPr>
          <w:rFonts w:ascii="Simplified Arabic" w:eastAsia="Times New Roman" w:hAnsi="Simplified Arabic" w:cs="Simplified Arabic"/>
          <w:color w:val="000000" w:themeColor="text1"/>
          <w:kern w:val="0"/>
          <w:sz w:val="28"/>
          <w:szCs w:val="28"/>
          <w14:ligatures w14:val="none"/>
        </w:rPr>
        <w:t>.</w:t>
      </w:r>
    </w:p>
    <w:p w14:paraId="5E7B4771"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القسم الثالث: المتغير التابع (تحسين فعالية الرقابة الداخلية وخفض المخاطر التشغيلية)، ويتكون من (10) فقرات تقيس مستوى تحسن فعالية الرقابة الداخلية وانخفاض المخاطر التشغيلية نتيجة التطبيق الرقمي لمنظومة</w:t>
      </w:r>
      <w:r w:rsidRPr="00D51D9D">
        <w:rPr>
          <w:rFonts w:ascii="Simplified Arabic" w:eastAsia="Times New Roman" w:hAnsi="Simplified Arabic" w:cs="Simplified Arabic"/>
          <w:color w:val="000000" w:themeColor="text1"/>
          <w:kern w:val="0"/>
          <w:sz w:val="28"/>
          <w:szCs w:val="28"/>
          <w14:ligatures w14:val="none"/>
        </w:rPr>
        <w:t xml:space="preserve"> GRC.</w:t>
      </w:r>
    </w:p>
    <w:p w14:paraId="3A709E01"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وبذلك يبلغ إجمالي فقرات الاستبانة (26) فقرة بالإضافة إلى فقرات البيانات الديموغرافية والوظيفية، وسيتم استخدام مقياس ليكرت الخماسي</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Likert</w:t>
      </w:r>
      <w:proofErr w:type="spellEnd"/>
      <w:r w:rsidRPr="00D51D9D">
        <w:rPr>
          <w:rFonts w:ascii="Simplified Arabic" w:eastAsia="Times New Roman" w:hAnsi="Simplified Arabic" w:cs="Simplified Arabic"/>
          <w:color w:val="000000" w:themeColor="text1"/>
          <w:kern w:val="0"/>
          <w:sz w:val="28"/>
          <w:szCs w:val="28"/>
          <w14:ligatures w14:val="none"/>
        </w:rPr>
        <w:t xml:space="preserve"> Scale) </w:t>
      </w:r>
      <w:r w:rsidRPr="00D51D9D">
        <w:rPr>
          <w:rFonts w:ascii="Simplified Arabic" w:eastAsia="Times New Roman" w:hAnsi="Simplified Arabic" w:cs="Simplified Arabic"/>
          <w:color w:val="000000" w:themeColor="text1"/>
          <w:kern w:val="0"/>
          <w:sz w:val="28"/>
          <w:szCs w:val="28"/>
          <w:rtl/>
          <w14:ligatures w14:val="none"/>
        </w:rPr>
        <w:t xml:space="preserve">لقياس استجابات أفراد العينة، والذي يتدرج من </w:t>
      </w:r>
      <w:r w:rsidRPr="00D51D9D">
        <w:rPr>
          <w:rFonts w:ascii="Simplified Arabic" w:eastAsia="Times New Roman" w:hAnsi="Simplified Arabic" w:cs="Simplified Arabic"/>
          <w:color w:val="000000" w:themeColor="text1"/>
          <w:kern w:val="0"/>
          <w:sz w:val="28"/>
          <w:szCs w:val="28"/>
          <w14:ligatures w14:val="none"/>
        </w:rPr>
        <w:t xml:space="preserve">(1) </w:t>
      </w:r>
      <w:r w:rsidRPr="00D51D9D">
        <w:rPr>
          <w:rFonts w:ascii="Simplified Arabic" w:eastAsia="Times New Roman" w:hAnsi="Simplified Arabic" w:cs="Simplified Arabic"/>
          <w:color w:val="000000" w:themeColor="text1"/>
          <w:kern w:val="0"/>
          <w:sz w:val="28"/>
          <w:szCs w:val="28"/>
          <w:rtl/>
          <w14:ligatures w14:val="none"/>
        </w:rPr>
        <w:t xml:space="preserve">بشدة غير موافق إلى (5) موافق بشدة. كما سيتم التحقق من صدق الأداة وثباتها من خلال عرضها </w:t>
      </w:r>
      <w:r w:rsidRPr="00D51D9D">
        <w:rPr>
          <w:rFonts w:ascii="Simplified Arabic" w:eastAsia="Times New Roman" w:hAnsi="Simplified Arabic" w:cs="Simplified Arabic"/>
          <w:color w:val="000000" w:themeColor="text1"/>
          <w:kern w:val="0"/>
          <w:sz w:val="28"/>
          <w:szCs w:val="28"/>
          <w:rtl/>
          <w14:ligatures w14:val="none"/>
        </w:rPr>
        <w:lastRenderedPageBreak/>
        <w:t>على مجموعة من المحكمين المتخصصين (صدق المحتوى)، وحساب معامل ألفا كرونباخ</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Cronbach's</w:t>
      </w:r>
      <w:proofErr w:type="spellEnd"/>
      <w:r w:rsidRPr="00D51D9D">
        <w:rPr>
          <w:rFonts w:ascii="Simplified Arabic" w:eastAsia="Times New Roman" w:hAnsi="Simplified Arabic" w:cs="Simplified Arabic"/>
          <w:color w:val="000000" w:themeColor="text1"/>
          <w:kern w:val="0"/>
          <w:sz w:val="28"/>
          <w:szCs w:val="28"/>
          <w14:ligatures w14:val="none"/>
        </w:rPr>
        <w:t xml:space="preserve"> Alpha) </w:t>
      </w:r>
      <w:r w:rsidRPr="00D51D9D">
        <w:rPr>
          <w:rFonts w:ascii="Simplified Arabic" w:eastAsia="Times New Roman" w:hAnsi="Simplified Arabic" w:cs="Simplified Arabic"/>
          <w:color w:val="000000" w:themeColor="text1"/>
          <w:kern w:val="0"/>
          <w:sz w:val="28"/>
          <w:szCs w:val="28"/>
          <w:rtl/>
          <w14:ligatures w14:val="none"/>
        </w:rPr>
        <w:t>للتأكد من الاتساق الداخلي، فضلاً عن إجراء دراسة استطلاعية أولية على عينة تجريبية قوامها (30) مفردة من خارج عينة الدراسة الأساسية</w:t>
      </w:r>
      <w:r w:rsidRPr="00D51D9D">
        <w:rPr>
          <w:rFonts w:ascii="Simplified Arabic" w:eastAsia="Times New Roman" w:hAnsi="Simplified Arabic" w:cs="Simplified Arabic"/>
          <w:color w:val="000000" w:themeColor="text1"/>
          <w:kern w:val="0"/>
          <w:sz w:val="28"/>
          <w:szCs w:val="28"/>
          <w14:ligatures w14:val="none"/>
        </w:rPr>
        <w:t>.</w:t>
      </w:r>
    </w:p>
    <w:p w14:paraId="47A5D621" w14:textId="3CBB0A42" w:rsidR="00FC6586" w:rsidRPr="00D51D9D" w:rsidRDefault="00724BDB" w:rsidP="00724BD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5" w:name="_Toc225784431"/>
      <w:bookmarkStart w:id="36" w:name="_Toc234226604"/>
      <w:r w:rsidRPr="00D51D9D">
        <w:rPr>
          <w:rFonts w:ascii="Simplified Arabic" w:eastAsia="Times New Roman" w:hAnsi="Simplified Arabic" w:cs="Simplified Arabic" w:hint="cs"/>
          <w:b/>
          <w:bCs/>
          <w:color w:val="000000" w:themeColor="text1"/>
          <w:kern w:val="0"/>
          <w:sz w:val="36"/>
          <w:szCs w:val="36"/>
          <w:rtl/>
          <w14:ligatures w14:val="none"/>
        </w:rPr>
        <w:t xml:space="preserve">14.1 </w:t>
      </w:r>
      <w:r w:rsidR="00FC6586" w:rsidRPr="00D51D9D">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5"/>
      <w:bookmarkEnd w:id="36"/>
    </w:p>
    <w:p w14:paraId="40148A6D" w14:textId="77777777" w:rsidR="00FC6586" w:rsidRPr="00D51D9D" w:rsidRDefault="00FC6586" w:rsidP="00724BD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ستستعين الدراسة ببرنامج الحزمة الإحصائية للعلوم الاجتماعية</w:t>
      </w:r>
      <w:r w:rsidRPr="00D51D9D">
        <w:rPr>
          <w:rFonts w:ascii="Simplified Arabic" w:eastAsia="Times New Roman" w:hAnsi="Simplified Arabic" w:cs="Simplified Arabic"/>
          <w:color w:val="000000" w:themeColor="text1"/>
          <w:kern w:val="0"/>
          <w:sz w:val="28"/>
          <w:szCs w:val="28"/>
          <w14:ligatures w14:val="none"/>
        </w:rPr>
        <w:t xml:space="preserve"> (SPSS V.28) </w:t>
      </w:r>
      <w:r w:rsidRPr="00D51D9D">
        <w:rPr>
          <w:rFonts w:ascii="Simplified Arabic" w:eastAsia="Times New Roman" w:hAnsi="Simplified Arabic" w:cs="Simplified Arabic"/>
          <w:color w:val="000000" w:themeColor="text1"/>
          <w:kern w:val="0"/>
          <w:sz w:val="28"/>
          <w:szCs w:val="28"/>
          <w:rtl/>
          <w14:ligatures w14:val="none"/>
        </w:rPr>
        <w:t>في معالجة وتحليل البيانات، وذلك باستخدام مجموعة من الأساليب الإحصائية الوصفية والاستدلالية التالية</w:t>
      </w:r>
      <w:r w:rsidRPr="00D51D9D">
        <w:rPr>
          <w:rFonts w:ascii="Simplified Arabic" w:eastAsia="Times New Roman" w:hAnsi="Simplified Arabic" w:cs="Simplified Arabic"/>
          <w:color w:val="000000" w:themeColor="text1"/>
          <w:kern w:val="0"/>
          <w:sz w:val="28"/>
          <w:szCs w:val="28"/>
          <w14:ligatures w14:val="none"/>
        </w:rPr>
        <w:t>:</w:t>
      </w:r>
    </w:p>
    <w:p w14:paraId="6F0F5AA6" w14:textId="77777777" w:rsidR="00FC6586" w:rsidRPr="00D51D9D" w:rsidRDefault="00FC6586" w:rsidP="00724BDB">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أساليب الإحصاء الوصفي</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Simplified Arabic" w:eastAsia="Times New Roman" w:hAnsi="Simplified Arabic" w:cs="Simplified Arabic"/>
          <w:color w:val="000000" w:themeColor="text1"/>
          <w:kern w:val="0"/>
          <w:sz w:val="28"/>
          <w:szCs w:val="28"/>
          <w:rtl/>
          <w14:ligatures w14:val="none"/>
        </w:rPr>
        <w:t>التكرارات والنسب المئوية لوصف خصائص عينة الدراسة، والمتوسطات الحسابية والانحرافات المعيارية لتحديد اتجاهات استجابات أفراد العينة ومستوى تشتتها</w:t>
      </w:r>
      <w:r w:rsidRPr="00D51D9D">
        <w:rPr>
          <w:rFonts w:ascii="Simplified Arabic" w:eastAsia="Times New Roman" w:hAnsi="Simplified Arabic" w:cs="Simplified Arabic"/>
          <w:color w:val="000000" w:themeColor="text1"/>
          <w:kern w:val="0"/>
          <w:sz w:val="28"/>
          <w:szCs w:val="28"/>
          <w14:ligatures w14:val="none"/>
        </w:rPr>
        <w:t>.</w:t>
      </w:r>
    </w:p>
    <w:p w14:paraId="3B159774" w14:textId="77777777" w:rsidR="00FC6586" w:rsidRPr="00D51D9D" w:rsidRDefault="00FC6586" w:rsidP="00724BDB">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اختبارات الصدق والثبات</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Simplified Arabic" w:eastAsia="Times New Roman" w:hAnsi="Simplified Arabic" w:cs="Simplified Arabic"/>
          <w:color w:val="000000" w:themeColor="text1"/>
          <w:kern w:val="0"/>
          <w:sz w:val="28"/>
          <w:szCs w:val="28"/>
          <w:rtl/>
          <w14:ligatures w14:val="none"/>
        </w:rPr>
        <w:t>معامل ألفا كرونباخ</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Cronbach's</w:t>
      </w:r>
      <w:proofErr w:type="spellEnd"/>
      <w:r w:rsidRPr="00D51D9D">
        <w:rPr>
          <w:rFonts w:ascii="Simplified Arabic" w:eastAsia="Times New Roman" w:hAnsi="Simplified Arabic" w:cs="Simplified Arabic"/>
          <w:color w:val="000000" w:themeColor="text1"/>
          <w:kern w:val="0"/>
          <w:sz w:val="28"/>
          <w:szCs w:val="28"/>
          <w14:ligatures w14:val="none"/>
        </w:rPr>
        <w:t xml:space="preserve"> Alpha) </w:t>
      </w:r>
      <w:r w:rsidRPr="00D51D9D">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 ومعامل ارتباط بيرسون</w:t>
      </w:r>
      <w:r w:rsidRPr="00D51D9D">
        <w:rPr>
          <w:rFonts w:ascii="Simplified Arabic" w:eastAsia="Times New Roman" w:hAnsi="Simplified Arabic" w:cs="Simplified Arabic"/>
          <w:color w:val="000000" w:themeColor="text1"/>
          <w:kern w:val="0"/>
          <w:sz w:val="28"/>
          <w:szCs w:val="28"/>
          <w14:ligatures w14:val="none"/>
        </w:rPr>
        <w:t xml:space="preserve"> (Pearson Correlation) </w:t>
      </w:r>
      <w:r w:rsidRPr="00D51D9D">
        <w:rPr>
          <w:rFonts w:ascii="Simplified Arabic" w:eastAsia="Times New Roman" w:hAnsi="Simplified Arabic" w:cs="Simplified Arabic"/>
          <w:color w:val="000000" w:themeColor="text1"/>
          <w:kern w:val="0"/>
          <w:sz w:val="28"/>
          <w:szCs w:val="28"/>
          <w:rtl/>
          <w14:ligatures w14:val="none"/>
        </w:rPr>
        <w:t>للتحقق من صدق الاتساق الداخلي للفقرات مع أبعادها والدرجة الكلية</w:t>
      </w:r>
      <w:r w:rsidRPr="00D51D9D">
        <w:rPr>
          <w:rFonts w:ascii="Simplified Arabic" w:eastAsia="Times New Roman" w:hAnsi="Simplified Arabic" w:cs="Simplified Arabic"/>
          <w:color w:val="000000" w:themeColor="text1"/>
          <w:kern w:val="0"/>
          <w:sz w:val="28"/>
          <w:szCs w:val="28"/>
          <w14:ligatures w14:val="none"/>
        </w:rPr>
        <w:t>.</w:t>
      </w:r>
    </w:p>
    <w:p w14:paraId="46600E70" w14:textId="77777777" w:rsidR="00FC6586" w:rsidRPr="00D51D9D" w:rsidRDefault="00FC6586" w:rsidP="00724BDB">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تحليل الانحدار المتعدد</w:t>
      </w:r>
      <w:r w:rsidRPr="00D51D9D">
        <w:rPr>
          <w:rFonts w:ascii="Simplified Arabic" w:eastAsia="Times New Roman" w:hAnsi="Simplified Arabic" w:cs="Simplified Arabic"/>
          <w:color w:val="000000" w:themeColor="text1"/>
          <w:kern w:val="0"/>
          <w:sz w:val="28"/>
          <w:szCs w:val="28"/>
          <w14:ligatures w14:val="none"/>
        </w:rPr>
        <w:t xml:space="preserve"> (Multiple Regression Analysis): </w:t>
      </w:r>
      <w:r w:rsidRPr="00D51D9D">
        <w:rPr>
          <w:rFonts w:ascii="Simplified Arabic" w:eastAsia="Times New Roman" w:hAnsi="Simplified Arabic" w:cs="Simplified Arabic"/>
          <w:color w:val="000000" w:themeColor="text1"/>
          <w:kern w:val="0"/>
          <w:sz w:val="28"/>
          <w:szCs w:val="28"/>
          <w:rtl/>
          <w14:ligatures w14:val="none"/>
        </w:rPr>
        <w:t>لقياس أثر أبعاد المتغير المستقل مجتمعة على المتغير التابع، وتحديد الأهمية النسبية لكل بُعد في التأثير على المتغير التابع</w:t>
      </w:r>
      <w:r w:rsidRPr="00D51D9D">
        <w:rPr>
          <w:rFonts w:ascii="Simplified Arabic" w:eastAsia="Times New Roman" w:hAnsi="Simplified Arabic" w:cs="Simplified Arabic"/>
          <w:color w:val="000000" w:themeColor="text1"/>
          <w:kern w:val="0"/>
          <w:sz w:val="28"/>
          <w:szCs w:val="28"/>
          <w14:ligatures w14:val="none"/>
        </w:rPr>
        <w:t>.</w:t>
      </w:r>
    </w:p>
    <w:p w14:paraId="6E16BB99" w14:textId="77777777" w:rsidR="00FC6586" w:rsidRPr="00D51D9D" w:rsidRDefault="00FC6586" w:rsidP="00724BDB">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تحليل الانحدار البسيط</w:t>
      </w:r>
      <w:r w:rsidRPr="00D51D9D">
        <w:rPr>
          <w:rFonts w:ascii="Simplified Arabic" w:eastAsia="Times New Roman" w:hAnsi="Simplified Arabic" w:cs="Simplified Arabic"/>
          <w:color w:val="000000" w:themeColor="text1"/>
          <w:kern w:val="0"/>
          <w:sz w:val="28"/>
          <w:szCs w:val="28"/>
          <w14:ligatures w14:val="none"/>
        </w:rPr>
        <w:t xml:space="preserve"> (Simple Regression Analysis): </w:t>
      </w:r>
      <w:r w:rsidRPr="00D51D9D">
        <w:rPr>
          <w:rFonts w:ascii="Simplified Arabic" w:eastAsia="Times New Roman" w:hAnsi="Simplified Arabic" w:cs="Simplified Arabic"/>
          <w:color w:val="000000" w:themeColor="text1"/>
          <w:kern w:val="0"/>
          <w:sz w:val="28"/>
          <w:szCs w:val="28"/>
          <w:rtl/>
          <w14:ligatures w14:val="none"/>
        </w:rPr>
        <w:t>لقياس أثر كل بُعد من أبعاد المتغير المستقل على حدة على المتغير التابع</w:t>
      </w:r>
      <w:r w:rsidRPr="00D51D9D">
        <w:rPr>
          <w:rFonts w:ascii="Simplified Arabic" w:eastAsia="Times New Roman" w:hAnsi="Simplified Arabic" w:cs="Simplified Arabic"/>
          <w:color w:val="000000" w:themeColor="text1"/>
          <w:kern w:val="0"/>
          <w:sz w:val="28"/>
          <w:szCs w:val="28"/>
          <w14:ligatures w14:val="none"/>
        </w:rPr>
        <w:t>.</w:t>
      </w:r>
    </w:p>
    <w:p w14:paraId="7927BF69" w14:textId="77777777" w:rsidR="00FC6586" w:rsidRPr="00D51D9D" w:rsidRDefault="00FC6586" w:rsidP="00724BDB">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معامل ارتباط بيرسون</w:t>
      </w:r>
      <w:r w:rsidRPr="00D51D9D">
        <w:rPr>
          <w:rFonts w:ascii="Simplified Arabic" w:eastAsia="Times New Roman" w:hAnsi="Simplified Arabic" w:cs="Simplified Arabic"/>
          <w:color w:val="000000" w:themeColor="text1"/>
          <w:kern w:val="0"/>
          <w:sz w:val="28"/>
          <w:szCs w:val="28"/>
          <w14:ligatures w14:val="none"/>
        </w:rPr>
        <w:t xml:space="preserve"> (Pearson Correlation): </w:t>
      </w:r>
      <w:r w:rsidRPr="00D51D9D">
        <w:rPr>
          <w:rFonts w:ascii="Simplified Arabic" w:eastAsia="Times New Roman" w:hAnsi="Simplified Arabic" w:cs="Simplified Arabic"/>
          <w:color w:val="000000" w:themeColor="text1"/>
          <w:kern w:val="0"/>
          <w:sz w:val="28"/>
          <w:szCs w:val="28"/>
          <w:rtl/>
          <w14:ligatures w14:val="none"/>
        </w:rPr>
        <w:t>للكشف عن طبيعة العلاقة الارتباطية وقوتها واتجاهها بين المتغير المستقل بأبعاده والمتغير التابع</w:t>
      </w:r>
      <w:r w:rsidRPr="00D51D9D">
        <w:rPr>
          <w:rFonts w:ascii="Simplified Arabic" w:eastAsia="Times New Roman" w:hAnsi="Simplified Arabic" w:cs="Simplified Arabic"/>
          <w:color w:val="000000" w:themeColor="text1"/>
          <w:kern w:val="0"/>
          <w:sz w:val="28"/>
          <w:szCs w:val="28"/>
          <w14:ligatures w14:val="none"/>
        </w:rPr>
        <w:t>.</w:t>
      </w:r>
    </w:p>
    <w:p w14:paraId="04E70F77" w14:textId="77777777" w:rsidR="00FC6586" w:rsidRPr="00D51D9D" w:rsidRDefault="00FC6586" w:rsidP="00724BDB">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اختبار</w:t>
      </w:r>
      <w:r w:rsidRPr="00D51D9D">
        <w:rPr>
          <w:rFonts w:ascii="Simplified Arabic" w:eastAsia="Times New Roman" w:hAnsi="Simplified Arabic" w:cs="Simplified Arabic"/>
          <w:color w:val="000000" w:themeColor="text1"/>
          <w:kern w:val="0"/>
          <w:sz w:val="28"/>
          <w:szCs w:val="28"/>
          <w14:ligatures w14:val="none"/>
        </w:rPr>
        <w:t xml:space="preserve"> (T-Test): </w:t>
      </w:r>
      <w:r w:rsidRPr="00D51D9D">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تبعاً للمتغيرات الديموغرافية ثنائية الفئات</w:t>
      </w:r>
      <w:r w:rsidRPr="00D51D9D">
        <w:rPr>
          <w:rFonts w:ascii="Simplified Arabic" w:eastAsia="Times New Roman" w:hAnsi="Simplified Arabic" w:cs="Simplified Arabic"/>
          <w:color w:val="000000" w:themeColor="text1"/>
          <w:kern w:val="0"/>
          <w:sz w:val="28"/>
          <w:szCs w:val="28"/>
          <w14:ligatures w14:val="none"/>
        </w:rPr>
        <w:t>.</w:t>
      </w:r>
    </w:p>
    <w:p w14:paraId="2F49067F" w14:textId="77777777" w:rsidR="00FC6586" w:rsidRPr="00D51D9D" w:rsidRDefault="00FC6586" w:rsidP="00724BDB">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تحليل التباين الأحادي</w:t>
      </w:r>
      <w:r w:rsidRPr="00D51D9D">
        <w:rPr>
          <w:rFonts w:ascii="Simplified Arabic" w:eastAsia="Times New Roman" w:hAnsi="Simplified Arabic" w:cs="Simplified Arabic"/>
          <w:color w:val="000000" w:themeColor="text1"/>
          <w:kern w:val="0"/>
          <w:sz w:val="28"/>
          <w:szCs w:val="28"/>
          <w14:ligatures w14:val="none"/>
        </w:rPr>
        <w:t xml:space="preserve"> (One-Way ANOVA): </w:t>
      </w:r>
      <w:r w:rsidRPr="00D51D9D">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تبعاً للمتغيرات الديموغرافية متعددة الفئات، مع استخدام اختبار</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Scheffe</w:t>
      </w:r>
      <w:proofErr w:type="spellEnd"/>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Simplified Arabic" w:eastAsia="Times New Roman" w:hAnsi="Simplified Arabic" w:cs="Simplified Arabic"/>
          <w:color w:val="000000" w:themeColor="text1"/>
          <w:kern w:val="0"/>
          <w:sz w:val="28"/>
          <w:szCs w:val="28"/>
          <w:rtl/>
          <w14:ligatures w14:val="none"/>
        </w:rPr>
        <w:t>للمقارنات البعدية في حال وجود فروق دالة إحصائياً</w:t>
      </w:r>
      <w:r w:rsidRPr="00D51D9D">
        <w:rPr>
          <w:rFonts w:ascii="Simplified Arabic" w:eastAsia="Times New Roman" w:hAnsi="Simplified Arabic" w:cs="Simplified Arabic"/>
          <w:color w:val="000000" w:themeColor="text1"/>
          <w:kern w:val="0"/>
          <w:sz w:val="28"/>
          <w:szCs w:val="28"/>
          <w14:ligatures w14:val="none"/>
        </w:rPr>
        <w:t>.</w:t>
      </w:r>
    </w:p>
    <w:p w14:paraId="1F8B0DCE" w14:textId="77777777" w:rsidR="00FC6586" w:rsidRPr="00D51D9D" w:rsidRDefault="00FC6586" w:rsidP="00724BDB">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اختبار التوزيع الطبيعي</w:t>
      </w:r>
      <w:r w:rsidRPr="00D51D9D">
        <w:rPr>
          <w:rFonts w:ascii="Simplified Arabic" w:eastAsia="Times New Roman" w:hAnsi="Simplified Arabic" w:cs="Simplified Arabic"/>
          <w:color w:val="000000" w:themeColor="text1"/>
          <w:kern w:val="0"/>
          <w:sz w:val="28"/>
          <w:szCs w:val="28"/>
          <w14:ligatures w14:val="none"/>
        </w:rPr>
        <w:t xml:space="preserve"> (Kolmogorov-Smirnov): </w:t>
      </w:r>
      <w:r w:rsidRPr="00D51D9D">
        <w:rPr>
          <w:rFonts w:ascii="Simplified Arabic" w:eastAsia="Times New Roman" w:hAnsi="Simplified Arabic" w:cs="Simplified Arabic"/>
          <w:color w:val="000000" w:themeColor="text1"/>
          <w:kern w:val="0"/>
          <w:sz w:val="28"/>
          <w:szCs w:val="28"/>
          <w:rtl/>
          <w14:ligatures w14:val="none"/>
        </w:rPr>
        <w:t>للتحقق من اعتدالية توزيع البيانات قبل تطبيق الاختبارات المعلمية</w:t>
      </w:r>
      <w:r w:rsidRPr="00D51D9D">
        <w:rPr>
          <w:rFonts w:ascii="Simplified Arabic" w:eastAsia="Times New Roman" w:hAnsi="Simplified Arabic" w:cs="Simplified Arabic"/>
          <w:color w:val="000000" w:themeColor="text1"/>
          <w:kern w:val="0"/>
          <w:sz w:val="28"/>
          <w:szCs w:val="28"/>
          <w14:ligatures w14:val="none"/>
        </w:rPr>
        <w:t>.</w:t>
      </w:r>
    </w:p>
    <w:p w14:paraId="349D5F3E" w14:textId="77777777" w:rsidR="00FC6586" w:rsidRPr="00D51D9D" w:rsidRDefault="00FC6586" w:rsidP="00724BDB">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lastRenderedPageBreak/>
        <w:t>معامل تضخم التباين</w:t>
      </w:r>
      <w:r w:rsidRPr="00D51D9D">
        <w:rPr>
          <w:rFonts w:ascii="Simplified Arabic" w:eastAsia="Times New Roman" w:hAnsi="Simplified Arabic" w:cs="Simplified Arabic"/>
          <w:color w:val="000000" w:themeColor="text1"/>
          <w:kern w:val="0"/>
          <w:sz w:val="28"/>
          <w:szCs w:val="28"/>
          <w14:ligatures w14:val="none"/>
        </w:rPr>
        <w:t xml:space="preserve"> (VIF) </w:t>
      </w:r>
      <w:r w:rsidRPr="00D51D9D">
        <w:rPr>
          <w:rFonts w:ascii="Simplified Arabic" w:eastAsia="Times New Roman" w:hAnsi="Simplified Arabic" w:cs="Simplified Arabic"/>
          <w:color w:val="000000" w:themeColor="text1"/>
          <w:kern w:val="0"/>
          <w:sz w:val="28"/>
          <w:szCs w:val="28"/>
          <w:rtl/>
          <w14:ligatures w14:val="none"/>
        </w:rPr>
        <w:t>واختبار التباين المسموح</w:t>
      </w:r>
      <w:r w:rsidRPr="00D51D9D">
        <w:rPr>
          <w:rFonts w:ascii="Simplified Arabic" w:eastAsia="Times New Roman" w:hAnsi="Simplified Arabic" w:cs="Simplified Arabic"/>
          <w:color w:val="000000" w:themeColor="text1"/>
          <w:kern w:val="0"/>
          <w:sz w:val="28"/>
          <w:szCs w:val="28"/>
          <w14:ligatures w14:val="none"/>
        </w:rPr>
        <w:t xml:space="preserve"> (Tolerance): </w:t>
      </w:r>
      <w:r w:rsidRPr="00D51D9D">
        <w:rPr>
          <w:rFonts w:ascii="Simplified Arabic" w:eastAsia="Times New Roman" w:hAnsi="Simplified Arabic" w:cs="Simplified Arabic"/>
          <w:color w:val="000000" w:themeColor="text1"/>
          <w:kern w:val="0"/>
          <w:sz w:val="28"/>
          <w:szCs w:val="28"/>
          <w:rtl/>
          <w14:ligatures w14:val="none"/>
        </w:rPr>
        <w:t>للتحقق من عدم وجود مشكلة الارتباط الخطي المتعدد</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Multicollinearity</w:t>
      </w:r>
      <w:proofErr w:type="spellEnd"/>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Simplified Arabic" w:eastAsia="Times New Roman" w:hAnsi="Simplified Arabic" w:cs="Simplified Arabic"/>
          <w:color w:val="000000" w:themeColor="text1"/>
          <w:kern w:val="0"/>
          <w:sz w:val="28"/>
          <w:szCs w:val="28"/>
          <w:rtl/>
          <w14:ligatures w14:val="none"/>
        </w:rPr>
        <w:t>بين المتغيرات المستقلة</w:t>
      </w:r>
      <w:r w:rsidRPr="00D51D9D">
        <w:rPr>
          <w:rFonts w:ascii="Simplified Arabic" w:eastAsia="Times New Roman" w:hAnsi="Simplified Arabic" w:cs="Simplified Arabic"/>
          <w:color w:val="000000" w:themeColor="text1"/>
          <w:kern w:val="0"/>
          <w:sz w:val="28"/>
          <w:szCs w:val="28"/>
          <w14:ligatures w14:val="none"/>
        </w:rPr>
        <w:t>.</w:t>
      </w:r>
    </w:p>
    <w:p w14:paraId="1BC8C59B" w14:textId="7C0FB7A5" w:rsidR="00FC6586" w:rsidRPr="00D51D9D" w:rsidRDefault="00724BDB" w:rsidP="00724BD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7" w:name="_Toc225784432"/>
      <w:bookmarkStart w:id="38" w:name="_Toc234226605"/>
      <w:r w:rsidRPr="00D51D9D">
        <w:rPr>
          <w:rFonts w:ascii="Simplified Arabic" w:eastAsia="Times New Roman" w:hAnsi="Simplified Arabic" w:cs="Simplified Arabic" w:hint="cs"/>
          <w:b/>
          <w:bCs/>
          <w:color w:val="000000" w:themeColor="text1"/>
          <w:kern w:val="0"/>
          <w:sz w:val="36"/>
          <w:szCs w:val="36"/>
          <w:rtl/>
          <w14:ligatures w14:val="none"/>
        </w:rPr>
        <w:t xml:space="preserve">15.1 </w:t>
      </w:r>
      <w:r w:rsidR="00FC6586" w:rsidRPr="00D51D9D">
        <w:rPr>
          <w:rFonts w:ascii="Simplified Arabic" w:eastAsia="Times New Roman" w:hAnsi="Simplified Arabic" w:cs="Simplified Arabic"/>
          <w:b/>
          <w:bCs/>
          <w:color w:val="000000" w:themeColor="text1"/>
          <w:kern w:val="0"/>
          <w:sz w:val="36"/>
          <w:szCs w:val="36"/>
          <w:rtl/>
          <w14:ligatures w14:val="none"/>
        </w:rPr>
        <w:t>حدود الدراسة</w:t>
      </w:r>
      <w:bookmarkEnd w:id="37"/>
      <w:bookmarkEnd w:id="38"/>
    </w:p>
    <w:p w14:paraId="00518A1A" w14:textId="77777777" w:rsidR="00FC6586" w:rsidRPr="00D51D9D" w:rsidRDefault="00FC6586" w:rsidP="00724BDB">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الحدود الموضوعية</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Simplified Arabic" w:eastAsia="Times New Roman" w:hAnsi="Simplified Arabic" w:cs="Simplified Arabic"/>
          <w:color w:val="000000" w:themeColor="text1"/>
          <w:kern w:val="0"/>
          <w:sz w:val="28"/>
          <w:szCs w:val="28"/>
          <w:rtl/>
          <w14:ligatures w14:val="none"/>
        </w:rPr>
        <w:t>ستقتصر الدراسة على دراسة أثر التطبيق الرقمي للحوكمة والمخاطر والالتزام</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بأبعاده الأربعة (الحوكمة الرقمية، إدارة المخاطر الإلكترونية، الالتزام التنظيمي الرقمي، التكامل التقني لأنظمة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على تحسين فعالية الرقابة الداخلية وخفض المخاطر التشغيلية</w:t>
      </w:r>
      <w:r w:rsidRPr="00D51D9D">
        <w:rPr>
          <w:rFonts w:ascii="Simplified Arabic" w:eastAsia="Times New Roman" w:hAnsi="Simplified Arabic" w:cs="Simplified Arabic"/>
          <w:color w:val="000000" w:themeColor="text1"/>
          <w:kern w:val="0"/>
          <w:sz w:val="28"/>
          <w:szCs w:val="28"/>
          <w14:ligatures w14:val="none"/>
        </w:rPr>
        <w:t>.</w:t>
      </w:r>
    </w:p>
    <w:p w14:paraId="532BC32A" w14:textId="77777777" w:rsidR="00FC6586" w:rsidRPr="00D51D9D" w:rsidRDefault="00FC6586" w:rsidP="00724BDB">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الحدود المكانية</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Simplified Arabic" w:eastAsia="Times New Roman" w:hAnsi="Simplified Arabic" w:cs="Simplified Arabic"/>
          <w:color w:val="000000" w:themeColor="text1"/>
          <w:kern w:val="0"/>
          <w:sz w:val="28"/>
          <w:szCs w:val="28"/>
          <w:rtl/>
          <w14:ligatures w14:val="none"/>
        </w:rPr>
        <w:t>ستُطبق الدراسة على الشركات الحكومية بمدينة الرياض بالمملكة العربية السعودية</w:t>
      </w:r>
      <w:r w:rsidRPr="00D51D9D">
        <w:rPr>
          <w:rFonts w:ascii="Simplified Arabic" w:eastAsia="Times New Roman" w:hAnsi="Simplified Arabic" w:cs="Simplified Arabic"/>
          <w:color w:val="000000" w:themeColor="text1"/>
          <w:kern w:val="0"/>
          <w:sz w:val="28"/>
          <w:szCs w:val="28"/>
          <w14:ligatures w14:val="none"/>
        </w:rPr>
        <w:t>.</w:t>
      </w:r>
    </w:p>
    <w:p w14:paraId="50EAF32E" w14:textId="77777777" w:rsidR="00FC6586" w:rsidRPr="00D51D9D" w:rsidRDefault="00FC6586" w:rsidP="00724BDB">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الحدود الزمانية</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Simplified Arabic" w:eastAsia="Times New Roman" w:hAnsi="Simplified Arabic" w:cs="Simplified Arabic"/>
          <w:color w:val="000000" w:themeColor="text1"/>
          <w:kern w:val="0"/>
          <w:sz w:val="28"/>
          <w:szCs w:val="28"/>
          <w:rtl/>
          <w14:ligatures w14:val="none"/>
        </w:rPr>
        <w:t>سيتم جمع البيانات الميدانية خلال الفصل الدراسي الثاني من العام الجامعي 1447/1448هـ الموافق 2026م</w:t>
      </w:r>
      <w:r w:rsidRPr="00D51D9D">
        <w:rPr>
          <w:rFonts w:ascii="Simplified Arabic" w:eastAsia="Times New Roman" w:hAnsi="Simplified Arabic" w:cs="Simplified Arabic"/>
          <w:color w:val="000000" w:themeColor="text1"/>
          <w:kern w:val="0"/>
          <w:sz w:val="28"/>
          <w:szCs w:val="28"/>
          <w14:ligatures w14:val="none"/>
        </w:rPr>
        <w:t>.</w:t>
      </w:r>
    </w:p>
    <w:p w14:paraId="60801A87" w14:textId="77777777" w:rsidR="00FC6586" w:rsidRPr="00D51D9D" w:rsidRDefault="00FC6586" w:rsidP="00724BDB">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الحدود البشرية</w:t>
      </w:r>
      <w:r w:rsidRPr="00D51D9D">
        <w:rPr>
          <w:rFonts w:ascii="Simplified Arabic" w:eastAsia="Times New Roman" w:hAnsi="Simplified Arabic" w:cs="Simplified Arabic"/>
          <w:color w:val="000000" w:themeColor="text1"/>
          <w:kern w:val="0"/>
          <w:sz w:val="28"/>
          <w:szCs w:val="28"/>
          <w14:ligatures w14:val="none"/>
        </w:rPr>
        <w:t xml:space="preserve">: </w:t>
      </w:r>
      <w:r w:rsidRPr="00D51D9D">
        <w:rPr>
          <w:rFonts w:ascii="Simplified Arabic" w:eastAsia="Times New Roman" w:hAnsi="Simplified Arabic" w:cs="Simplified Arabic"/>
          <w:color w:val="000000" w:themeColor="text1"/>
          <w:kern w:val="0"/>
          <w:sz w:val="28"/>
          <w:szCs w:val="28"/>
          <w:rtl/>
          <w14:ligatures w14:val="none"/>
        </w:rPr>
        <w:t>ستقتصر الدراسة على العاملين في إدارات الحوكمة والرقابة الداخلية والتدقيق وإدارة المخاطر والالتزام وتقنية المعلومات في الشركات الحكومية بمدينة الرياض من المستويات الإدارية والإشرافية والتخصصية</w:t>
      </w:r>
      <w:r w:rsidRPr="00D51D9D">
        <w:rPr>
          <w:rFonts w:ascii="Simplified Arabic" w:eastAsia="Times New Roman" w:hAnsi="Simplified Arabic" w:cs="Simplified Arabic"/>
          <w:color w:val="000000" w:themeColor="text1"/>
          <w:kern w:val="0"/>
          <w:sz w:val="28"/>
          <w:szCs w:val="28"/>
          <w14:ligatures w14:val="none"/>
        </w:rPr>
        <w:t>.</w:t>
      </w:r>
    </w:p>
    <w:p w14:paraId="25F9FC02" w14:textId="79CC790B" w:rsidR="00CA6C39" w:rsidRPr="00D51D9D" w:rsidRDefault="00D97DA4" w:rsidP="00724BDB">
      <w:pPr>
        <w:jc w:val="center"/>
        <w:outlineLvl w:val="0"/>
        <w:rPr>
          <w:rFonts w:ascii="Simplified Arabic" w:eastAsia="Times New Roman" w:hAnsi="Simplified Arabic" w:cs="Simplified Arabic"/>
          <w:b/>
          <w:bCs/>
          <w:color w:val="000000" w:themeColor="text1"/>
          <w:kern w:val="0"/>
          <w:sz w:val="40"/>
          <w:szCs w:val="40"/>
          <w14:ligatures w14:val="none"/>
        </w:rPr>
      </w:pPr>
      <w:r w:rsidRPr="00D51D9D">
        <w:rPr>
          <w:rFonts w:ascii="Simplified Arabic" w:eastAsia="Times New Roman" w:hAnsi="Simplified Arabic" w:cs="Simplified Arabic"/>
          <w:b/>
          <w:bCs/>
          <w:color w:val="000000" w:themeColor="text1"/>
          <w:kern w:val="0"/>
          <w:sz w:val="40"/>
          <w:szCs w:val="40"/>
          <w:rtl/>
          <w:lang w:bidi="ar-EG"/>
          <w14:ligatures w14:val="none"/>
        </w:rPr>
        <w:br w:type="page"/>
      </w:r>
      <w:bookmarkStart w:id="39" w:name="_Toc234226606"/>
      <w:r w:rsidRPr="00D51D9D">
        <w:rPr>
          <w:rFonts w:ascii="Simplified Arabic" w:eastAsia="Times New Roman" w:hAnsi="Simplified Arabic" w:cs="Simplified Arabic" w:hint="cs"/>
          <w:b/>
          <w:bCs/>
          <w:color w:val="000000" w:themeColor="text1"/>
          <w:kern w:val="0"/>
          <w:sz w:val="40"/>
          <w:szCs w:val="40"/>
          <w:rtl/>
          <w:lang w:bidi="ar-EG"/>
          <w14:ligatures w14:val="none"/>
        </w:rPr>
        <w:lastRenderedPageBreak/>
        <w:t xml:space="preserve">الفصل الثاني: </w:t>
      </w:r>
      <w:r w:rsidR="00CA6C39" w:rsidRPr="00D51D9D">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9"/>
    </w:p>
    <w:p w14:paraId="024591D3" w14:textId="77777777" w:rsidR="00CA6C39" w:rsidRPr="00D51D9D" w:rsidRDefault="00CA6C39" w:rsidP="00724BDB">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0" w:name="_Toc234226607"/>
      <w:r w:rsidRPr="00D51D9D">
        <w:rPr>
          <w:rFonts w:ascii="Simplified Arabic" w:eastAsia="Times New Roman" w:hAnsi="Simplified Arabic" w:cs="Simplified Arabic"/>
          <w:b/>
          <w:bCs/>
          <w:color w:val="000000" w:themeColor="text1"/>
          <w:kern w:val="0"/>
          <w:sz w:val="36"/>
          <w:szCs w:val="36"/>
          <w:rtl/>
          <w14:ligatures w14:val="none"/>
        </w:rPr>
        <w:t>المبحث الأول: التطبيق الرقمي للحوكمة والمخاطر والالتزام</w:t>
      </w:r>
      <w:r w:rsidRPr="00D51D9D">
        <w:rPr>
          <w:rFonts w:ascii="Simplified Arabic" w:eastAsia="Times New Roman" w:hAnsi="Simplified Arabic" w:cs="Simplified Arabic"/>
          <w:b/>
          <w:bCs/>
          <w:color w:val="000000" w:themeColor="text1"/>
          <w:kern w:val="0"/>
          <w:sz w:val="36"/>
          <w:szCs w:val="36"/>
          <w14:ligatures w14:val="none"/>
        </w:rPr>
        <w:t xml:space="preserve"> (GRC)</w:t>
      </w:r>
      <w:bookmarkEnd w:id="40"/>
    </w:p>
    <w:p w14:paraId="41F80EDD" w14:textId="3599A106" w:rsidR="00CA6C39" w:rsidRPr="00D51D9D" w:rsidRDefault="00724BDB" w:rsidP="00724B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4226608"/>
      <w:r w:rsidRPr="00D51D9D">
        <w:rPr>
          <w:rFonts w:ascii="Simplified Arabic" w:eastAsia="Times New Roman" w:hAnsi="Simplified Arabic" w:cs="Simplified Arabic" w:hint="cs"/>
          <w:b/>
          <w:bCs/>
          <w:color w:val="000000" w:themeColor="text1"/>
          <w:kern w:val="0"/>
          <w:sz w:val="32"/>
          <w:szCs w:val="32"/>
          <w:rtl/>
          <w14:ligatures w14:val="none"/>
        </w:rPr>
        <w:t xml:space="preserve">1.1.2 </w:t>
      </w:r>
      <w:r w:rsidR="00CA6C39" w:rsidRPr="00D51D9D">
        <w:rPr>
          <w:rFonts w:ascii="Simplified Arabic" w:eastAsia="Times New Roman" w:hAnsi="Simplified Arabic" w:cs="Simplified Arabic"/>
          <w:b/>
          <w:bCs/>
          <w:color w:val="000000" w:themeColor="text1"/>
          <w:kern w:val="0"/>
          <w:sz w:val="32"/>
          <w:szCs w:val="32"/>
          <w:rtl/>
          <w14:ligatures w14:val="none"/>
        </w:rPr>
        <w:t>تمهيد</w:t>
      </w:r>
      <w:bookmarkEnd w:id="41"/>
    </w:p>
    <w:p w14:paraId="645F0B81"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يقف الفكر الإداري المعاصر أمام تحول بنيوي عميق أعاد تشكيل ملامح المؤسسة الحديثة، إذ لم تعد البيئة التي تعمل فيها المنظمات مجرد امتداد كمّي لبيئات ما قبل الرقمنة، بل باتت فضاءً نوعيًا مختلفًا تتشابك فيه تدفقات البيانات مع تسارع القرار، وتتقاطع فيه المخاطر السيبرانية مع التوسع التشريعي، ويتضاعف فيه ضغط أصحاب المصلحة على شفافية الممارسات المؤسسية. وفي قلب هذا التحول، برزت الحاجة إلى إعادة التفكير في الوظائف الضابطة للسلوك المؤسسي، إذ ثبت أن معالجة الحوكمة وإدارة المخاطر والامتثال بوصفها مسارات منفصلة قد أفضى إلى ازدواجية الجهد، وتشتّت البيانات، وضعف الاستجابة، بل أوجد أحيانًا تناقضات بين قرارات وحدات ينبغي أن تتحرك في نسق واحد. من هنا نشأ التصور المتكامل لمنظومة الحوكمة والمخاطر والالتزام</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بوصفها إطارًا موحّدًا يُعيد ترتيب هذه الوظائف تحت مظلة واحدة، ثم ما لبثت هذه المنظومة أن استدعت الرقمنة بوصفها شرطًا وجوديًا لبقائها فاعلة في بيئة تحوّل فيها الزمن ذاته إلى عامل حاسم في تحديد جودة القرار الرقابي</w:t>
      </w:r>
      <w:r w:rsidRPr="00D51D9D">
        <w:rPr>
          <w:rFonts w:ascii="Simplified Arabic" w:eastAsia="Times New Roman" w:hAnsi="Simplified Arabic" w:cs="Simplified Arabic"/>
          <w:color w:val="000000" w:themeColor="text1"/>
          <w:kern w:val="0"/>
          <w:sz w:val="28"/>
          <w:szCs w:val="28"/>
          <w14:ligatures w14:val="none"/>
        </w:rPr>
        <w:t>.</w:t>
      </w:r>
    </w:p>
    <w:p w14:paraId="2D492ED4"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ولا يمكن فهم التطبيق الرقمي لهذه المنظومة بمعزل عن السياق النظري الأوسع الذي أنتجها، فهو استجابة معرفية لما بات يُعرف في أدبيات الإدارة بأزمة “التعقيد الإداري”، حيث تتضاعف المتغيرات ذات الصلة بالقرار بمعدلات تفوق قدرة المعالجة البشرية التقليدية، مما يجعل الاستعانة بالتقنية ضرورة معرفية لا مجرد خيار تشغيلي</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Odedina</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2023). </w:t>
      </w:r>
      <w:r w:rsidRPr="00D51D9D">
        <w:rPr>
          <w:rFonts w:ascii="Simplified Arabic" w:eastAsia="Times New Roman" w:hAnsi="Simplified Arabic" w:cs="Simplified Arabic"/>
          <w:color w:val="000000" w:themeColor="text1"/>
          <w:kern w:val="0"/>
          <w:sz w:val="28"/>
          <w:szCs w:val="28"/>
          <w:rtl/>
          <w14:ligatures w14:val="none"/>
        </w:rPr>
        <w:t>وفي الوقت ذاته، يُعدّ هذا التطبيق نتاجًا لتطور فلسفة الحوكمة نفسها، إذ انتقلت من مفهوم “الضبط اللاحق” القائم على مراجعة القرارات بعد صدورها، إلى مفهوم “التوجيه المسبق” القائم على تشكيل بنية القرار ذاتها قبل صياغته. وفي هذا الإطار يتناول المبحث الأول تفكيك المتغير المستقل نظريًا، بدءًا بمفهومه، ثم أهميته، فأهدافه، ثم أبعاده، مع تعميق التحليل النظري في كل محور بما يخدم استواء الإطار على أسس علمية رصينة</w:t>
      </w:r>
      <w:r w:rsidRPr="00D51D9D">
        <w:rPr>
          <w:rFonts w:ascii="Simplified Arabic" w:eastAsia="Times New Roman" w:hAnsi="Simplified Arabic" w:cs="Simplified Arabic"/>
          <w:color w:val="000000" w:themeColor="text1"/>
          <w:kern w:val="0"/>
          <w:sz w:val="28"/>
          <w:szCs w:val="28"/>
          <w14:ligatures w14:val="none"/>
        </w:rPr>
        <w:t>.</w:t>
      </w:r>
    </w:p>
    <w:p w14:paraId="6B96421F" w14:textId="4D9BFF86" w:rsidR="00CA6C39" w:rsidRPr="00D51D9D" w:rsidRDefault="00724BDB" w:rsidP="00724B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4226609"/>
      <w:r w:rsidRPr="00D51D9D">
        <w:rPr>
          <w:rFonts w:ascii="Simplified Arabic" w:eastAsia="Times New Roman" w:hAnsi="Simplified Arabic" w:cs="Simplified Arabic" w:hint="cs"/>
          <w:b/>
          <w:bCs/>
          <w:color w:val="000000" w:themeColor="text1"/>
          <w:kern w:val="0"/>
          <w:sz w:val="32"/>
          <w:szCs w:val="32"/>
          <w:rtl/>
          <w14:ligatures w14:val="none"/>
        </w:rPr>
        <w:t xml:space="preserve">2.1.2 </w:t>
      </w:r>
      <w:r w:rsidR="00CA6C39" w:rsidRPr="00D51D9D">
        <w:rPr>
          <w:rFonts w:ascii="Simplified Arabic" w:eastAsia="Times New Roman" w:hAnsi="Simplified Arabic" w:cs="Simplified Arabic"/>
          <w:b/>
          <w:bCs/>
          <w:color w:val="000000" w:themeColor="text1"/>
          <w:kern w:val="0"/>
          <w:sz w:val="32"/>
          <w:szCs w:val="32"/>
          <w:rtl/>
          <w14:ligatures w14:val="none"/>
        </w:rPr>
        <w:t>مفهوم التطبيق الرقمي للحوكمة والمخاطر والالتزام</w:t>
      </w:r>
      <w:r w:rsidR="00CA6C39" w:rsidRPr="00D51D9D">
        <w:rPr>
          <w:rFonts w:ascii="Simplified Arabic" w:eastAsia="Times New Roman" w:hAnsi="Simplified Arabic" w:cs="Simplified Arabic"/>
          <w:b/>
          <w:bCs/>
          <w:color w:val="000000" w:themeColor="text1"/>
          <w:kern w:val="0"/>
          <w:sz w:val="32"/>
          <w:szCs w:val="32"/>
          <w14:ligatures w14:val="none"/>
        </w:rPr>
        <w:t xml:space="preserve"> (GRC)</w:t>
      </w:r>
      <w:bookmarkEnd w:id="42"/>
    </w:p>
    <w:p w14:paraId="7E73878F"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lastRenderedPageBreak/>
        <w:t>يتصف مفهوم التطبيق الرقمي لمنظومة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بتركيبة معرفية مركّبة، إذ يجمع بين ثلاثة حقول لكل منها جذوره النظرية المستقلة قبل أن يُعاد صهرها في منظومة واحدة تحكمها التقنية. فالحوكمة في أصلها النظري تنتمي إلى فلسفة العلاقات المؤسسية وتوزيع السلطة بين الملاك والإدارة وأصحاب المصلحة، وإدارة المخاطر تنتمي إلى تراث نظري ممتد يمزج بين علم الاحتمالات ونظرية القرار في ظل عدم اليقين، أما الالتزام فينهض على أسس قانونية وتنظيمية تربط سلوك المؤسسة بالإطار التشريعي المحيط بها. غير أن الرقمنة أحدثت في هذه الحقول الثلاثة تحولًا لا يقتصر على أدواتها، بل يمتد إلى منطقها الداخلي، إذ أصبحت البيانات هي الرابط الجوهري بين هذه الوظائف، وأصبحت الخوارزميات هي الوسيط الذي يُترجم قواعد الحوكمة إلى ممارسات، ومخرجات تقييم المخاطر إلى استجابات، ومتطلبات التشريعات إلى فحوصات آلية</w:t>
      </w:r>
      <w:r w:rsidRPr="00D51D9D">
        <w:rPr>
          <w:rFonts w:ascii="Simplified Arabic" w:eastAsia="Times New Roman" w:hAnsi="Simplified Arabic" w:cs="Simplified Arabic"/>
          <w:color w:val="000000" w:themeColor="text1"/>
          <w:kern w:val="0"/>
          <w:sz w:val="28"/>
          <w:szCs w:val="28"/>
          <w14:ligatures w14:val="none"/>
        </w:rPr>
        <w:t>.</w:t>
      </w:r>
    </w:p>
    <w:p w14:paraId="31247329"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ومن هذا المنطلق، يُعرّف</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Odedina</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2023) </w:t>
      </w:r>
      <w:r w:rsidRPr="00D51D9D">
        <w:rPr>
          <w:rFonts w:ascii="Simplified Arabic" w:eastAsia="Times New Roman" w:hAnsi="Simplified Arabic" w:cs="Simplified Arabic"/>
          <w:color w:val="000000" w:themeColor="text1"/>
          <w:kern w:val="0"/>
          <w:sz w:val="28"/>
          <w:szCs w:val="28"/>
          <w:rtl/>
          <w14:ligatures w14:val="none"/>
        </w:rPr>
        <w:t>التطبيق الرقمي لـ</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بأنه إعادة تصور جذرية للأطر التقليدية للحوكمة وإدارة المخاطر والامتثال في ضوء المستحدثات الرقمية، وعلى وجه الخصوص من خلال دمج الذكاء الاصطناعي وتحليلات البيانات الضخمة في صميم البنية المؤسسية، بما يُنتج نمطًا رقابيًا استباقيًا يتجاوز ثنائية “الحدث ثم الاستجابة” إلى ثنائية “التنبؤ ثم التدخل”. ويكشف هذا التعريف عن انزياح معرفي في طبيعة الوظيفة الرقابية ذاتها، إذ لم تعد رد فعل على انحراف وقع، بل أصبحت قراءة استشرافية للانحرافات المحتملة قبل تبلورها</w:t>
      </w:r>
      <w:r w:rsidRPr="00D51D9D">
        <w:rPr>
          <w:rFonts w:ascii="Simplified Arabic" w:eastAsia="Times New Roman" w:hAnsi="Simplified Arabic" w:cs="Simplified Arabic"/>
          <w:color w:val="000000" w:themeColor="text1"/>
          <w:kern w:val="0"/>
          <w:sz w:val="28"/>
          <w:szCs w:val="28"/>
          <w14:ligatures w14:val="none"/>
        </w:rPr>
        <w:t>.</w:t>
      </w:r>
    </w:p>
    <w:p w14:paraId="5E62A942"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وفي امتداد لهذا الطرح، يُقارب</w:t>
      </w:r>
      <w:r w:rsidRPr="00D51D9D">
        <w:rPr>
          <w:rFonts w:ascii="Simplified Arabic" w:eastAsia="Times New Roman" w:hAnsi="Simplified Arabic" w:cs="Simplified Arabic"/>
          <w:color w:val="000000" w:themeColor="text1"/>
          <w:kern w:val="0"/>
          <w:sz w:val="28"/>
          <w:szCs w:val="28"/>
          <w14:ligatures w14:val="none"/>
        </w:rPr>
        <w:t xml:space="preserve"> (Victor et al., 2024) </w:t>
      </w:r>
      <w:r w:rsidRPr="00D51D9D">
        <w:rPr>
          <w:rFonts w:ascii="Simplified Arabic" w:eastAsia="Times New Roman" w:hAnsi="Simplified Arabic" w:cs="Simplified Arabic"/>
          <w:color w:val="000000" w:themeColor="text1"/>
          <w:kern w:val="0"/>
          <w:sz w:val="28"/>
          <w:szCs w:val="28"/>
          <w:rtl/>
          <w14:ligatures w14:val="none"/>
        </w:rPr>
        <w:t>المفهوم من زاوية حوكمة تقنية المعلومات، فيصف المنظومة بأنها إطار متكامل يضمن مواءمة الاستثمارات التقنية مع الأهداف الاستراتيجية، ويُدير المخاطر التقنية، ويُحقّق الامتثال للمعايير المتصلة بتقنية المعلومات ضمن نسق واحد. وينقل هذا التعريف المفهوم من كونه “استخدامًا للتقنية في الحوكمة” إلى كونه “حوكمة للتقنية ذاتها”، وهو انتقال دلالي مهم يُبرز طبيعة التقنية بوصفها موضوعًا للحوكمة وأداة لها في الوقت نفسه، مما يُعمّق الطابع الانعكاسي للمنظومة</w:t>
      </w:r>
      <w:r w:rsidRPr="00D51D9D">
        <w:rPr>
          <w:rFonts w:ascii="Simplified Arabic" w:eastAsia="Times New Roman" w:hAnsi="Simplified Arabic" w:cs="Simplified Arabic"/>
          <w:color w:val="000000" w:themeColor="text1"/>
          <w:kern w:val="0"/>
          <w:sz w:val="28"/>
          <w:szCs w:val="28"/>
          <w14:ligatures w14:val="none"/>
        </w:rPr>
        <w:t>.</w:t>
      </w:r>
    </w:p>
    <w:p w14:paraId="0A04401E"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ويُقدّم</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Aloulou</w:t>
      </w:r>
      <w:proofErr w:type="spellEnd"/>
      <w:r w:rsidRPr="00D51D9D">
        <w:rPr>
          <w:rFonts w:ascii="Simplified Arabic" w:eastAsia="Times New Roman" w:hAnsi="Simplified Arabic" w:cs="Simplified Arabic"/>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color w:val="000000" w:themeColor="text1"/>
          <w:kern w:val="0"/>
          <w:sz w:val="28"/>
          <w:szCs w:val="28"/>
          <w14:ligatures w14:val="none"/>
        </w:rPr>
        <w:t>Alshohail</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2026) </w:t>
      </w:r>
      <w:r w:rsidRPr="00D51D9D">
        <w:rPr>
          <w:rFonts w:ascii="Simplified Arabic" w:eastAsia="Times New Roman" w:hAnsi="Simplified Arabic" w:cs="Simplified Arabic"/>
          <w:color w:val="000000" w:themeColor="text1"/>
          <w:kern w:val="0"/>
          <w:sz w:val="28"/>
          <w:szCs w:val="28"/>
          <w:rtl/>
          <w14:ligatures w14:val="none"/>
        </w:rPr>
        <w:t>قراءة مغايرة تنطلق من ثنائية “التحكم” و"القيمة"، فيرى أن الجيل الجديد من منظومات</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 xml:space="preserve">الرقمية يتجاوز البُعد الحمائي إلى بُعد إنتاجي، إذ يُسهم في تعزيز الكفاءة التشغيلية وصون السمعة المؤسسية عبر توظيف الأدوات الرقمية في توحيد ممارسات الحوكمة والمخاطر والامتثال في الشركات القائمة على التقنية. ويُلمّح هذا التعريف إلى تحول فلسفي عميق في نظرة </w:t>
      </w:r>
      <w:r w:rsidRPr="00D51D9D">
        <w:rPr>
          <w:rFonts w:ascii="Simplified Arabic" w:eastAsia="Times New Roman" w:hAnsi="Simplified Arabic" w:cs="Simplified Arabic"/>
          <w:color w:val="000000" w:themeColor="text1"/>
          <w:kern w:val="0"/>
          <w:sz w:val="28"/>
          <w:szCs w:val="28"/>
          <w:rtl/>
          <w14:ligatures w14:val="none"/>
        </w:rPr>
        <w:lastRenderedPageBreak/>
        <w:t>المؤسسات إلى وظائفها الضابطة، إذ لم تعد تُعامل بوصفها مراكز تكلفة، بل بوصفها مراكز قيمة تُسهم في التموضع التنافسي</w:t>
      </w:r>
      <w:r w:rsidRPr="00D51D9D">
        <w:rPr>
          <w:rFonts w:ascii="Simplified Arabic" w:eastAsia="Times New Roman" w:hAnsi="Simplified Arabic" w:cs="Simplified Arabic"/>
          <w:color w:val="000000" w:themeColor="text1"/>
          <w:kern w:val="0"/>
          <w:sz w:val="28"/>
          <w:szCs w:val="28"/>
          <w14:ligatures w14:val="none"/>
        </w:rPr>
        <w:t>.</w:t>
      </w:r>
    </w:p>
    <w:p w14:paraId="601C6B08"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ويُثري</w:t>
      </w:r>
      <w:r w:rsidRPr="00D51D9D">
        <w:rPr>
          <w:rFonts w:ascii="Simplified Arabic" w:eastAsia="Times New Roman" w:hAnsi="Simplified Arabic" w:cs="Simplified Arabic"/>
          <w:color w:val="000000" w:themeColor="text1"/>
          <w:kern w:val="0"/>
          <w:sz w:val="28"/>
          <w:szCs w:val="28"/>
          <w14:ligatures w14:val="none"/>
        </w:rPr>
        <w:t xml:space="preserve"> (Ahmad, 2025) </w:t>
      </w:r>
      <w:r w:rsidRPr="00D51D9D">
        <w:rPr>
          <w:rFonts w:ascii="Simplified Arabic" w:eastAsia="Times New Roman" w:hAnsi="Simplified Arabic" w:cs="Simplified Arabic"/>
          <w:color w:val="000000" w:themeColor="text1"/>
          <w:kern w:val="0"/>
          <w:sz w:val="28"/>
          <w:szCs w:val="28"/>
          <w:rtl/>
          <w14:ligatures w14:val="none"/>
        </w:rPr>
        <w:t>هذا التصور بمقاربة قطاعية دقيقة، إذ يُعرّف</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الرقمية في القطاع المصرفي بوصفها منظومة معلوماتية متكاملة تصون النزاهة المالية، وتُوفّر لمدققي نظم المعلومات بيئة عمل تُتيح تتبع المعاملات، ورصد الانحرافات، وضمان اتساق العمليات المصرفية مع الأطر التشريعية. ويكشف هذا التعريف عن أن المفهوم لا يمتلك دلالة واحدة موحدة، بل يكتسب ملامحه الخاصة بحسب طبيعة القطاع، مما يفتح الباب أمام قراءة سياقية للمنظومة تختلف بحسب البيئات التطبيقية</w:t>
      </w:r>
      <w:r w:rsidRPr="00D51D9D">
        <w:rPr>
          <w:rFonts w:ascii="Simplified Arabic" w:eastAsia="Times New Roman" w:hAnsi="Simplified Arabic" w:cs="Simplified Arabic"/>
          <w:color w:val="000000" w:themeColor="text1"/>
          <w:kern w:val="0"/>
          <w:sz w:val="28"/>
          <w:szCs w:val="28"/>
          <w14:ligatures w14:val="none"/>
        </w:rPr>
        <w:t>.</w:t>
      </w:r>
    </w:p>
    <w:p w14:paraId="3D42EB39"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وفي منظور مالي أوسع، يُقارب</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Alhamami</w:t>
      </w:r>
      <w:proofErr w:type="spellEnd"/>
      <w:r w:rsidRPr="00D51D9D">
        <w:rPr>
          <w:rFonts w:ascii="Simplified Arabic" w:eastAsia="Times New Roman" w:hAnsi="Simplified Arabic" w:cs="Simplified Arabic"/>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color w:val="000000" w:themeColor="text1"/>
          <w:kern w:val="0"/>
          <w:sz w:val="28"/>
          <w:szCs w:val="28"/>
          <w14:ligatures w14:val="none"/>
        </w:rPr>
        <w:t>Alruwaili</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2025) </w:t>
      </w:r>
      <w:r w:rsidRPr="00D51D9D">
        <w:rPr>
          <w:rFonts w:ascii="Simplified Arabic" w:eastAsia="Times New Roman" w:hAnsi="Simplified Arabic" w:cs="Simplified Arabic"/>
          <w:color w:val="000000" w:themeColor="text1"/>
          <w:kern w:val="0"/>
          <w:sz w:val="28"/>
          <w:szCs w:val="28"/>
          <w:rtl/>
          <w14:ligatures w14:val="none"/>
        </w:rPr>
        <w:t>المفهوم بربطه بمخرجات الاستثمار في ظل التحول الرقمي، فيصفانه بأنه منظومة تجمع بين الرقابة والامتثال والإدارة الاستراتيجية للمخاطر، وتُوظّف التقنيات الرقمية في تحسين مخرجات القرارات الاستثمارية. ويُضيف هذا التعريف بُعدًا نادرًا ما يُلتفت إليه في التعريفات التقليدية، وهو البُعد الاستثماري الاستشرافي، إذ يجعل من المنظومة الرقمية أداة لتوجيه رأس المال نحو الخيارات الأكثر كفاءة، لا مجرد أداة لحمايته من الضياع</w:t>
      </w:r>
      <w:r w:rsidRPr="00D51D9D">
        <w:rPr>
          <w:rFonts w:ascii="Simplified Arabic" w:eastAsia="Times New Roman" w:hAnsi="Simplified Arabic" w:cs="Simplified Arabic"/>
          <w:color w:val="000000" w:themeColor="text1"/>
          <w:kern w:val="0"/>
          <w:sz w:val="28"/>
          <w:szCs w:val="28"/>
          <w14:ligatures w14:val="none"/>
        </w:rPr>
        <w:t>.</w:t>
      </w:r>
    </w:p>
    <w:p w14:paraId="4B46B0F7"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ومن زاوية ثالثة، يُقدّم</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Goh</w:t>
      </w:r>
      <w:proofErr w:type="spellEnd"/>
      <w:r w:rsidRPr="00D51D9D">
        <w:rPr>
          <w:rFonts w:ascii="Simplified Arabic" w:eastAsia="Times New Roman" w:hAnsi="Simplified Arabic" w:cs="Simplified Arabic"/>
          <w:color w:val="000000" w:themeColor="text1"/>
          <w:kern w:val="0"/>
          <w:sz w:val="28"/>
          <w:szCs w:val="28"/>
          <w14:ligatures w14:val="none"/>
        </w:rPr>
        <w:t xml:space="preserve"> et al., 2022) </w:t>
      </w:r>
      <w:r w:rsidRPr="00D51D9D">
        <w:rPr>
          <w:rFonts w:ascii="Simplified Arabic" w:eastAsia="Times New Roman" w:hAnsi="Simplified Arabic" w:cs="Simplified Arabic"/>
          <w:color w:val="000000" w:themeColor="text1"/>
          <w:kern w:val="0"/>
          <w:sz w:val="28"/>
          <w:szCs w:val="28"/>
          <w:rtl/>
          <w14:ligatures w14:val="none"/>
        </w:rPr>
        <w:t>المفهوم عبر عدسة المستثمرين، فيصفه بأنه المنظومة الحاكمة لعمليات التحول الرقمي داخل المؤسسة، بحيث تضمن اندراج المشاريع الرقمية ضمن أطر واضحة من الشفافية والرقابة، وتُعالج المخاطر الناجمة عنها بأدوات مواكبة لطبيعتها. ويكشف هذا الطرح عن بُعد إدراكي مهم في المفهوم، مفاده أن قيمة المنظومة لا تتحدد فقط بما تُنجزه داخليًا، بل أيضًا بما تُشيره خارجيًا لأصحاب المصلحة من نضج مؤسسي وقدرة على ضبط الذات</w:t>
      </w:r>
      <w:r w:rsidRPr="00D51D9D">
        <w:rPr>
          <w:rFonts w:ascii="Simplified Arabic" w:eastAsia="Times New Roman" w:hAnsi="Simplified Arabic" w:cs="Simplified Arabic"/>
          <w:color w:val="000000" w:themeColor="text1"/>
          <w:kern w:val="0"/>
          <w:sz w:val="28"/>
          <w:szCs w:val="28"/>
          <w14:ligatures w14:val="none"/>
        </w:rPr>
        <w:t>.</w:t>
      </w:r>
    </w:p>
    <w:p w14:paraId="71FFC39A"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ويستكمل</w:t>
      </w:r>
      <w:r w:rsidRPr="00D51D9D">
        <w:rPr>
          <w:rFonts w:ascii="Simplified Arabic" w:eastAsia="Times New Roman" w:hAnsi="Simplified Arabic" w:cs="Simplified Arabic"/>
          <w:color w:val="000000" w:themeColor="text1"/>
          <w:kern w:val="0"/>
          <w:sz w:val="28"/>
          <w:szCs w:val="28"/>
          <w14:ligatures w14:val="none"/>
        </w:rPr>
        <w:t xml:space="preserve"> (Jain, 2025) </w:t>
      </w:r>
      <w:r w:rsidRPr="00D51D9D">
        <w:rPr>
          <w:rFonts w:ascii="Simplified Arabic" w:eastAsia="Times New Roman" w:hAnsi="Simplified Arabic" w:cs="Simplified Arabic"/>
          <w:color w:val="000000" w:themeColor="text1"/>
          <w:kern w:val="0"/>
          <w:sz w:val="28"/>
          <w:szCs w:val="28"/>
          <w:rtl/>
          <w14:ligatures w14:val="none"/>
        </w:rPr>
        <w:t>الصورة النظرية من زاوية التحليلات الذكية، إذ يُعرّف الأُطر الرقمية لـ</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بوصفها بيئات تحليلية متقدمة تدمج خوارزميات التعلم الآلي مع قواعد البيانات المؤسسية، بغية تحويل البيانات الخام إلى رؤى استباقية تدعم القرار. ويُبرز هذا التعريف الطابع المعرفي للمنظومة، إذ تتحول من كونها مجموعة إجراءات إلى كونها بنية تعلّم مؤسسي تتراكم فيها الخبرة الرقمية، وتتحسن قدراتها التنبؤية بمرور الزمن</w:t>
      </w:r>
      <w:r w:rsidRPr="00D51D9D">
        <w:rPr>
          <w:rFonts w:ascii="Simplified Arabic" w:eastAsia="Times New Roman" w:hAnsi="Simplified Arabic" w:cs="Simplified Arabic"/>
          <w:color w:val="000000" w:themeColor="text1"/>
          <w:kern w:val="0"/>
          <w:sz w:val="28"/>
          <w:szCs w:val="28"/>
          <w14:ligatures w14:val="none"/>
        </w:rPr>
        <w:t>.</w:t>
      </w:r>
    </w:p>
    <w:p w14:paraId="7BFFDCE8"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وفي مقاربة قطاعية أخرى، يُقدّم</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Alqahtani</w:t>
      </w:r>
      <w:proofErr w:type="spellEnd"/>
      <w:r w:rsidRPr="00D51D9D">
        <w:rPr>
          <w:rFonts w:ascii="Simplified Arabic" w:eastAsia="Times New Roman" w:hAnsi="Simplified Arabic" w:cs="Simplified Arabic"/>
          <w:color w:val="000000" w:themeColor="text1"/>
          <w:kern w:val="0"/>
          <w:sz w:val="28"/>
          <w:szCs w:val="28"/>
          <w14:ligatures w14:val="none"/>
        </w:rPr>
        <w:t xml:space="preserve"> et al., 2025) </w:t>
      </w:r>
      <w:r w:rsidRPr="00D51D9D">
        <w:rPr>
          <w:rFonts w:ascii="Simplified Arabic" w:eastAsia="Times New Roman" w:hAnsi="Simplified Arabic" w:cs="Simplified Arabic"/>
          <w:color w:val="000000" w:themeColor="text1"/>
          <w:kern w:val="0"/>
          <w:sz w:val="28"/>
          <w:szCs w:val="28"/>
          <w:rtl/>
          <w14:ligatures w14:val="none"/>
        </w:rPr>
        <w:t xml:space="preserve">المفهوم في السياق الصحي، بوصفه إطارًا حاكمًا للمنظومات الطبية يضبط الحوكمة السريرية والإدارية، ويُدير المخاطر التشغيلية والمهنية، </w:t>
      </w:r>
      <w:r w:rsidRPr="00D51D9D">
        <w:rPr>
          <w:rFonts w:ascii="Simplified Arabic" w:eastAsia="Times New Roman" w:hAnsi="Simplified Arabic" w:cs="Simplified Arabic"/>
          <w:color w:val="000000" w:themeColor="text1"/>
          <w:kern w:val="0"/>
          <w:sz w:val="28"/>
          <w:szCs w:val="28"/>
          <w:rtl/>
          <w14:ligatures w14:val="none"/>
        </w:rPr>
        <w:lastRenderedPageBreak/>
        <w:t>ويضمن الامتثال للتشريعات الصحية عبر منصات رقمية موحدة. ويُضيف هذا التعريف بُعدًا يتعلق بحساسية القطاع التطبيقي، إذ إن المخاطر في القطاعات ذات الأثر الإنساني المباشر تكتسب طابعًا أخلاقيًا يتجاوز الحسابات الاقتصادية البحتة</w:t>
      </w:r>
      <w:r w:rsidRPr="00D51D9D">
        <w:rPr>
          <w:rFonts w:ascii="Simplified Arabic" w:eastAsia="Times New Roman" w:hAnsi="Simplified Arabic" w:cs="Simplified Arabic"/>
          <w:color w:val="000000" w:themeColor="text1"/>
          <w:kern w:val="0"/>
          <w:sz w:val="28"/>
          <w:szCs w:val="28"/>
          <w14:ligatures w14:val="none"/>
        </w:rPr>
        <w:t>.</w:t>
      </w:r>
    </w:p>
    <w:p w14:paraId="21CABB20"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ويطرح</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Araberami</w:t>
      </w:r>
      <w:proofErr w:type="spellEnd"/>
      <w:r w:rsidRPr="00D51D9D">
        <w:rPr>
          <w:rFonts w:ascii="Simplified Arabic" w:eastAsia="Times New Roman" w:hAnsi="Simplified Arabic" w:cs="Simplified Arabic"/>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color w:val="000000" w:themeColor="text1"/>
          <w:kern w:val="0"/>
          <w:sz w:val="28"/>
          <w:szCs w:val="28"/>
          <w14:ligatures w14:val="none"/>
        </w:rPr>
        <w:t>Allioui</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2024) </w:t>
      </w:r>
      <w:r w:rsidRPr="00D51D9D">
        <w:rPr>
          <w:rFonts w:ascii="Simplified Arabic" w:eastAsia="Times New Roman" w:hAnsi="Simplified Arabic" w:cs="Simplified Arabic"/>
          <w:color w:val="000000" w:themeColor="text1"/>
          <w:kern w:val="0"/>
          <w:sz w:val="28"/>
          <w:szCs w:val="28"/>
          <w:rtl/>
          <w14:ligatures w14:val="none"/>
        </w:rPr>
        <w:t>المفهوم من زاوية الحوكمة المالية والابتكار الرقمي، فيصفه بأنه إطار استراتيجي يوظّف الابتكار الرقمي في تعزيز الرقابة الداخلية، وربطها بمنظومة الحوكمة الشاملة، بما يخدم استدامة الأداء المالي ونزاهة التقارير. ويُشكّل هذا التعريف جسرًا نظريًا مباشرًا بين المتغير المستقل والمتغير التابع في هذه الدراسة، إذ يضع الرقابة الداخلية بوصفها مخرجًا طبيعيًا للتطبيق الرقمي لمنظومة الحوكمة</w:t>
      </w:r>
      <w:r w:rsidRPr="00D51D9D">
        <w:rPr>
          <w:rFonts w:ascii="Simplified Arabic" w:eastAsia="Times New Roman" w:hAnsi="Simplified Arabic" w:cs="Simplified Arabic"/>
          <w:color w:val="000000" w:themeColor="text1"/>
          <w:kern w:val="0"/>
          <w:sz w:val="28"/>
          <w:szCs w:val="28"/>
          <w14:ligatures w14:val="none"/>
        </w:rPr>
        <w:t>.</w:t>
      </w:r>
    </w:p>
    <w:p w14:paraId="7979846D"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ومن استقراء الأدبيات السابقة يتّضح أن التعريفات وإن تباينت في مداخلها، إلا أنها تتقاطع عند مجموعة من العناصر المشتركة يمكن للباحث أن يبني عليها تعريفًا إجرائيًا، فالمنظومة في جوهرها تكامل بين ثلاث وظائف كانت منفصلة، وهي في وسيلتها تعتمد على البنى الرقمية والتحليلات المتقدمة، وفي منطقها استباقية لا انفعالية، وفي غايتها ثنائية الأبعاد بين الحماية وتوليد القيمة. ويرى الباحث بناءً على ذلك أن التطبيق الرقمي للحوكمة والمخاطر والالتزام</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يمكن تعريفه إجرائيًا بأنه: منظومة إدارية استراتيجية تُوظّف البنى الرقمية المتقدمة والتحليلات الذكية في توحيد الممارسات الحاكمة للقرار المؤسسي، ورصد المخاطر ومعالجتها بمنطق استباقي، وضمان الامتثال الآلي للأطر التشريعية، بحيث تعمل هذه الوظائف الثلاث في نسق تكاملي واحد يُعزّز الكفاءة، ويحمي القيمة، ويُسهم في التموضع التنافسي المستدام للمؤسسة في بيئة أعمال رقمية متسارعة التحول</w:t>
      </w:r>
      <w:r w:rsidRPr="00D51D9D">
        <w:rPr>
          <w:rFonts w:ascii="Simplified Arabic" w:eastAsia="Times New Roman" w:hAnsi="Simplified Arabic" w:cs="Simplified Arabic"/>
          <w:color w:val="000000" w:themeColor="text1"/>
          <w:kern w:val="0"/>
          <w:sz w:val="28"/>
          <w:szCs w:val="28"/>
          <w14:ligatures w14:val="none"/>
        </w:rPr>
        <w:t>.</w:t>
      </w:r>
    </w:p>
    <w:p w14:paraId="45DA4694"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وتجدر الإشارة إلى أن هذا المفهوم لا يقف عند حدود الوصف، بل يحمل في طياته أطروحة ضمنية مفادها أن الفصل التقليدي بين الحوكمة والمخاطر والامتثال لم يعد قابلًا للاستمرار في العصر الرقمي، لأن التقنية ذاتها تفرض تكاملًا موضوعيًا بين هذه الوظائف عبر البيانات المشتركة والمنصات الموحدة والمعالجات المتقاطعة، مما يجعل المؤسسات التي تُصرّ على الفصل الوظيفي بينها في وضع تنافسي أضعف من نظيراتها التي تتبنى منطق التكامل</w:t>
      </w:r>
      <w:r w:rsidRPr="00D51D9D">
        <w:rPr>
          <w:rFonts w:ascii="Simplified Arabic" w:eastAsia="Times New Roman" w:hAnsi="Simplified Arabic" w:cs="Simplified Arabic"/>
          <w:color w:val="000000" w:themeColor="text1"/>
          <w:kern w:val="0"/>
          <w:sz w:val="28"/>
          <w:szCs w:val="28"/>
          <w14:ligatures w14:val="none"/>
        </w:rPr>
        <w:t>.</w:t>
      </w:r>
    </w:p>
    <w:p w14:paraId="61D274B4" w14:textId="7ECA25E0" w:rsidR="00CA6C39" w:rsidRPr="00D51D9D" w:rsidRDefault="00724BDB" w:rsidP="00724B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4226610"/>
      <w:r w:rsidRPr="00D51D9D">
        <w:rPr>
          <w:rFonts w:ascii="Simplified Arabic" w:eastAsia="Times New Roman" w:hAnsi="Simplified Arabic" w:cs="Simplified Arabic" w:hint="cs"/>
          <w:b/>
          <w:bCs/>
          <w:color w:val="000000" w:themeColor="text1"/>
          <w:kern w:val="0"/>
          <w:sz w:val="32"/>
          <w:szCs w:val="32"/>
          <w:rtl/>
          <w14:ligatures w14:val="none"/>
        </w:rPr>
        <w:t xml:space="preserve">3.1.2 </w:t>
      </w:r>
      <w:r w:rsidR="00CA6C39" w:rsidRPr="00D51D9D">
        <w:rPr>
          <w:rFonts w:ascii="Simplified Arabic" w:eastAsia="Times New Roman" w:hAnsi="Simplified Arabic" w:cs="Simplified Arabic"/>
          <w:b/>
          <w:bCs/>
          <w:color w:val="000000" w:themeColor="text1"/>
          <w:kern w:val="0"/>
          <w:sz w:val="32"/>
          <w:szCs w:val="32"/>
          <w:rtl/>
          <w14:ligatures w14:val="none"/>
        </w:rPr>
        <w:t>أهمية التطبيق الرقمي للحوكمة والمخاطر والالتزام</w:t>
      </w:r>
      <w:r w:rsidR="00CA6C39" w:rsidRPr="00D51D9D">
        <w:rPr>
          <w:rFonts w:ascii="Simplified Arabic" w:eastAsia="Times New Roman" w:hAnsi="Simplified Arabic" w:cs="Simplified Arabic"/>
          <w:b/>
          <w:bCs/>
          <w:color w:val="000000" w:themeColor="text1"/>
          <w:kern w:val="0"/>
          <w:sz w:val="32"/>
          <w:szCs w:val="32"/>
          <w14:ligatures w14:val="none"/>
        </w:rPr>
        <w:t xml:space="preserve"> (GRC)</w:t>
      </w:r>
      <w:bookmarkEnd w:id="43"/>
    </w:p>
    <w:p w14:paraId="61D40E88"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lastRenderedPageBreak/>
        <w:t>تنبثق أهمية التطبيق الرقمي لمنظومة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من موقعها المفصلي في البنية المؤسسية المعاصرة، إذ تقع في نقطة تقاطع أربعة ضغوط متزامنة تُحيط بالمؤسسة الحديثة: ضغط التحول الرقمي الذي يفرض إعادة صياغة العمليات، وضغط التوسع التشريعي الذي يُثقل كاهل الامتثال، وضغط المخاطر السيبرانية الذي يُهدد استمرارية الأعمال، وضغط أصحاب المصلحة الذين يطلبون شفافية غير مسبوقة. وفي مواجهة هذه الضغوط، لا تُشكّل المنظومة الرقمية لـ</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ترفًا إداريًا، بل شرطًا وجوديًا لبقاء المؤسسة قادرة على أداء وظائفها في بيئة متغيرة. وقد أولى الباحثون هذه الأهمية عناية بالغة، وتعددت زوايا معالجتهم لها</w:t>
      </w:r>
      <w:r w:rsidRPr="00D51D9D">
        <w:rPr>
          <w:rFonts w:ascii="Simplified Arabic" w:eastAsia="Times New Roman" w:hAnsi="Simplified Arabic" w:cs="Simplified Arabic"/>
          <w:color w:val="000000" w:themeColor="text1"/>
          <w:kern w:val="0"/>
          <w:sz w:val="28"/>
          <w:szCs w:val="28"/>
          <w14:ligatures w14:val="none"/>
        </w:rPr>
        <w:t>.</w:t>
      </w:r>
    </w:p>
    <w:p w14:paraId="1F3E5BE3"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ويشير</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Odedina</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2023) </w:t>
      </w:r>
      <w:r w:rsidRPr="00D51D9D">
        <w:rPr>
          <w:rFonts w:ascii="Simplified Arabic" w:eastAsia="Times New Roman" w:hAnsi="Simplified Arabic" w:cs="Simplified Arabic"/>
          <w:color w:val="000000" w:themeColor="text1"/>
          <w:kern w:val="0"/>
          <w:sz w:val="28"/>
          <w:szCs w:val="28"/>
          <w:rtl/>
          <w14:ligatures w14:val="none"/>
        </w:rPr>
        <w:t>إلى أن أهمية التطبيق الرقمي للمنظومة تتجلى في اعتبارات متكاملة يُغذّي بعضها بعضًا. فأولًا، تُعيد المنظومة صياغة الأطر التقليدية بما يجعلها قادرة على استيعاب المخاطر الناشئة عن التحول الرقمي، كتهديدات الأمن السيبراني وحوادث تسرب البيانات ومخاطر الاعتماد على أطراف ثالثة رقمية، وهي مخاطر لم تكن الأطر التقليدية مُهيأة للتعامل معها بحكم اختلاف طبيعتها الزمنية والمكانية عن المخاطر التقليدية. وثانيًا، يُتيح التطبيق الرقمي توظيف الذكاء الاصطناعي في تحليل كميات ضخمة من البيانات في الوقت الفعلي، مما يرفع من جودة القرار الرقابي عبر توفير معطيات أكثر شمولًا وأدق زمنًا. وثالثًا، تُسهم المنظومة في الانتقال من نموذج المعالجة اللاحقة إلى نموذج التنبؤ الاستباقي، إذ تُصبح الإدارة قادرة على استقراء المخاطر قبل تبلورها بدلًا من الاكتفاء بمعالجة آثارها. ورابعًا، تُوفّر المنظومة مرونة تنظيمية تسمح بالاستجابة السريعة للتحديثات التشريعية المتلاحقة دون تعطيل العمليات الجوهرية للمؤسسة، وهي مرونة تكتسب قيمتها من كثافة التغيرات التنظيمية في العصر الراهن</w:t>
      </w:r>
      <w:r w:rsidRPr="00D51D9D">
        <w:rPr>
          <w:rFonts w:ascii="Simplified Arabic" w:eastAsia="Times New Roman" w:hAnsi="Simplified Arabic" w:cs="Simplified Arabic"/>
          <w:color w:val="000000" w:themeColor="text1"/>
          <w:kern w:val="0"/>
          <w:sz w:val="28"/>
          <w:szCs w:val="28"/>
          <w14:ligatures w14:val="none"/>
        </w:rPr>
        <w:t>.</w:t>
      </w:r>
    </w:p>
    <w:p w14:paraId="3657DD32"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ويُقدّم</w:t>
      </w:r>
      <w:r w:rsidRPr="00D51D9D">
        <w:rPr>
          <w:rFonts w:ascii="Simplified Arabic" w:eastAsia="Times New Roman" w:hAnsi="Simplified Arabic" w:cs="Simplified Arabic"/>
          <w:color w:val="000000" w:themeColor="text1"/>
          <w:kern w:val="0"/>
          <w:sz w:val="28"/>
          <w:szCs w:val="28"/>
          <w14:ligatures w14:val="none"/>
        </w:rPr>
        <w:t xml:space="preserve"> (Ahmad, 2025) </w:t>
      </w:r>
      <w:r w:rsidRPr="00D51D9D">
        <w:rPr>
          <w:rFonts w:ascii="Simplified Arabic" w:eastAsia="Times New Roman" w:hAnsi="Simplified Arabic" w:cs="Simplified Arabic"/>
          <w:color w:val="000000" w:themeColor="text1"/>
          <w:kern w:val="0"/>
          <w:sz w:val="28"/>
          <w:szCs w:val="28"/>
          <w:rtl/>
          <w14:ligatures w14:val="none"/>
        </w:rPr>
        <w:t>قراءة أكثر تخصصًا لأهمية المنظومة في السياق المصرفي، فيرى أن هذه الأهمية تنبثق من طبيعة العمل المصرفي ذاته، إذ إن المصارف تعمل في بيئة عالية الحساسية للثقة العامة، وأي إخلال في المنظومة الحاكمة ينعكس فورًا على سمعة المؤسسة واستقرارها المالي. ومن هذا المنطلق، تُشكّل المنظومة الرقمية لـ</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الضامن الأول لسلامة النظم المعلوماتية، وتُوفّر لمدققي نظم المعلومات بيئة عمل تُمكّنهم من تتبع المعاملات المصرفية بدقة، وكشف الانحرافات في مراحلها المبكرة، وبناء منظومة تدقيق استباقية تحول دون تفاقم المخاطر إلى أزمات نظامية. وتكتسب هذه الأهمية بُعدًا إضافيًا في ظل تصاعد التهديدات السيبرانية التي تستهدف القطاع المالي، مما يجعل من المنظومة الرقمية خط الدفاع الأول عن استقرار النظام المالي بأسره</w:t>
      </w:r>
      <w:r w:rsidRPr="00D51D9D">
        <w:rPr>
          <w:rFonts w:ascii="Simplified Arabic" w:eastAsia="Times New Roman" w:hAnsi="Simplified Arabic" w:cs="Simplified Arabic"/>
          <w:color w:val="000000" w:themeColor="text1"/>
          <w:kern w:val="0"/>
          <w:sz w:val="28"/>
          <w:szCs w:val="28"/>
          <w14:ligatures w14:val="none"/>
        </w:rPr>
        <w:t>.</w:t>
      </w:r>
    </w:p>
    <w:p w14:paraId="63CD96D0"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lastRenderedPageBreak/>
        <w:t>ويُبرز</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Aloulou</w:t>
      </w:r>
      <w:proofErr w:type="spellEnd"/>
      <w:r w:rsidRPr="00D51D9D">
        <w:rPr>
          <w:rFonts w:ascii="Simplified Arabic" w:eastAsia="Times New Roman" w:hAnsi="Simplified Arabic" w:cs="Simplified Arabic"/>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color w:val="000000" w:themeColor="text1"/>
          <w:kern w:val="0"/>
          <w:sz w:val="28"/>
          <w:szCs w:val="28"/>
          <w14:ligatures w14:val="none"/>
        </w:rPr>
        <w:t>Alshohail</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2026) </w:t>
      </w:r>
      <w:r w:rsidRPr="00D51D9D">
        <w:rPr>
          <w:rFonts w:ascii="Simplified Arabic" w:eastAsia="Times New Roman" w:hAnsi="Simplified Arabic" w:cs="Simplified Arabic"/>
          <w:color w:val="000000" w:themeColor="text1"/>
          <w:kern w:val="0"/>
          <w:sz w:val="28"/>
          <w:szCs w:val="28"/>
          <w:rtl/>
          <w14:ligatures w14:val="none"/>
        </w:rPr>
        <w:t>بُعدًا استراتيجيًا لأهمية المنظومة، مفاده أنها تُحدث تحولًا جذريًا في وظيفة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من كونها أداة تحكم إلى كونها مصدرًا لتوليد القيمة. ويستمد هذا التحول أهميته من كون الشركات القائمة على التقنية تعمل في أسواق شديدة الحساسية، حيث تُشكّل السمعة أصلًا استراتيجيًا لا يقل قيمة عن الأصول المادية، وتتحدد قدرة الشركة على المنافسة بمدى ثقة السوق في نضجها المؤسسي. ومن هذه الزاوية، تصبح المنظومة الرقمية لـ</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عاملًا فارقًا في التموضع التنافسي، إذ إنها تُنتج ما يمكن تسميته “رأس المال الرقابي” الذي يُشكّل ميزة يصعب على المنافسين محاكاتها في الأمد القصير</w:t>
      </w:r>
      <w:r w:rsidRPr="00D51D9D">
        <w:rPr>
          <w:rFonts w:ascii="Simplified Arabic" w:eastAsia="Times New Roman" w:hAnsi="Simplified Arabic" w:cs="Simplified Arabic"/>
          <w:color w:val="000000" w:themeColor="text1"/>
          <w:kern w:val="0"/>
          <w:sz w:val="28"/>
          <w:szCs w:val="28"/>
          <w14:ligatures w14:val="none"/>
        </w:rPr>
        <w:t>.</w:t>
      </w:r>
    </w:p>
    <w:p w14:paraId="611F869F"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ويُقارب</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Alhamami</w:t>
      </w:r>
      <w:proofErr w:type="spellEnd"/>
      <w:r w:rsidRPr="00D51D9D">
        <w:rPr>
          <w:rFonts w:ascii="Simplified Arabic" w:eastAsia="Times New Roman" w:hAnsi="Simplified Arabic" w:cs="Simplified Arabic"/>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color w:val="000000" w:themeColor="text1"/>
          <w:kern w:val="0"/>
          <w:sz w:val="28"/>
          <w:szCs w:val="28"/>
          <w14:ligatures w14:val="none"/>
        </w:rPr>
        <w:t>Alruwaili</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2025) </w:t>
      </w:r>
      <w:r w:rsidRPr="00D51D9D">
        <w:rPr>
          <w:rFonts w:ascii="Simplified Arabic" w:eastAsia="Times New Roman" w:hAnsi="Simplified Arabic" w:cs="Simplified Arabic"/>
          <w:color w:val="000000" w:themeColor="text1"/>
          <w:kern w:val="0"/>
          <w:sz w:val="28"/>
          <w:szCs w:val="28"/>
          <w:rtl/>
          <w14:ligatures w14:val="none"/>
        </w:rPr>
        <w:t>الأهمية من زاوية أسواق رأس المال، فيرى أن المستثمرين باتوا يُقيّمون الفرص الاستثمارية استنادًا إلى قوة البنية الحاكمة الرقمية للمؤسسة، إذ إن وجود منظومة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متطورة يُخفّف حدة عدم اليقين المرتبط بالاستثمار، ويُحسّن انطباع السوق تجاه المؤسسة، ويُوفّر ضمانات موضوعية لجودة القرار الاستثماري. ويكشف هذا الطرح عن بُعد اقتصادي كلي لأهمية المنظومة، إذ إنها تُسهم في تخفيض تكلفة رأس المال، وتوسيع نطاق المستثمرين المحتملين، وتحسين شروط التمويل، وهي مكاسب اقتصادية ملموسة تتجاوز البُعد الرقابي الضيق</w:t>
      </w:r>
      <w:r w:rsidRPr="00D51D9D">
        <w:rPr>
          <w:rFonts w:ascii="Simplified Arabic" w:eastAsia="Times New Roman" w:hAnsi="Simplified Arabic" w:cs="Simplified Arabic"/>
          <w:color w:val="000000" w:themeColor="text1"/>
          <w:kern w:val="0"/>
          <w:sz w:val="28"/>
          <w:szCs w:val="28"/>
          <w14:ligatures w14:val="none"/>
        </w:rPr>
        <w:t>.</w:t>
      </w:r>
    </w:p>
    <w:p w14:paraId="117C7288"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ويؤكد</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Alqahtani</w:t>
      </w:r>
      <w:proofErr w:type="spellEnd"/>
      <w:r w:rsidRPr="00D51D9D">
        <w:rPr>
          <w:rFonts w:ascii="Simplified Arabic" w:eastAsia="Times New Roman" w:hAnsi="Simplified Arabic" w:cs="Simplified Arabic"/>
          <w:color w:val="000000" w:themeColor="text1"/>
          <w:kern w:val="0"/>
          <w:sz w:val="28"/>
          <w:szCs w:val="28"/>
          <w14:ligatures w14:val="none"/>
        </w:rPr>
        <w:t xml:space="preserve"> et al., 2025) </w:t>
      </w:r>
      <w:r w:rsidRPr="00D51D9D">
        <w:rPr>
          <w:rFonts w:ascii="Simplified Arabic" w:eastAsia="Times New Roman" w:hAnsi="Simplified Arabic" w:cs="Simplified Arabic"/>
          <w:color w:val="000000" w:themeColor="text1"/>
          <w:kern w:val="0"/>
          <w:sz w:val="28"/>
          <w:szCs w:val="28"/>
          <w:rtl/>
          <w14:ligatures w14:val="none"/>
        </w:rPr>
        <w:t>أن أهمية المنظومة تتضاعف في القطاعات ذات الأثر المجتمعي المباشر كالقطاع الصحي، إذ إن ضبط الحوكمة الرقمية للمخاطر السريرية والإدارية يضمن سلامة المرضى، ويُعزّز جودة الخدمات، ويُقلّص الأخطاء التشغيلية، ويُوفّر بيئة امتثال متكاملة تحمي المؤسسة من التبعات القانونية والمهنية. وتكتسب هذه الأهمية عمقًا أخلاقيًا يتجاوز الاعتبارات الاقتصادية، إذ إن الإخفاق في هذه القطاعات يُترجم إلى تكلفة بشرية لا يمكن قياسها بمقاييس مالية بحتة</w:t>
      </w:r>
      <w:r w:rsidRPr="00D51D9D">
        <w:rPr>
          <w:rFonts w:ascii="Simplified Arabic" w:eastAsia="Times New Roman" w:hAnsi="Simplified Arabic" w:cs="Simplified Arabic"/>
          <w:color w:val="000000" w:themeColor="text1"/>
          <w:kern w:val="0"/>
          <w:sz w:val="28"/>
          <w:szCs w:val="28"/>
          <w14:ligatures w14:val="none"/>
        </w:rPr>
        <w:t>.</w:t>
      </w:r>
    </w:p>
    <w:p w14:paraId="6E428D0A"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ويُقدّم</w:t>
      </w:r>
      <w:r w:rsidRPr="00D51D9D">
        <w:rPr>
          <w:rFonts w:ascii="Simplified Arabic" w:eastAsia="Times New Roman" w:hAnsi="Simplified Arabic" w:cs="Simplified Arabic"/>
          <w:color w:val="000000" w:themeColor="text1"/>
          <w:kern w:val="0"/>
          <w:sz w:val="28"/>
          <w:szCs w:val="28"/>
          <w14:ligatures w14:val="none"/>
        </w:rPr>
        <w:t xml:space="preserve"> (Jain, 2025) </w:t>
      </w:r>
      <w:r w:rsidRPr="00D51D9D">
        <w:rPr>
          <w:rFonts w:ascii="Simplified Arabic" w:eastAsia="Times New Roman" w:hAnsi="Simplified Arabic" w:cs="Simplified Arabic"/>
          <w:color w:val="000000" w:themeColor="text1"/>
          <w:kern w:val="0"/>
          <w:sz w:val="28"/>
          <w:szCs w:val="28"/>
          <w:rtl/>
          <w14:ligatures w14:val="none"/>
        </w:rPr>
        <w:t>قراءة معرفية لأهمية المنظومة، فيرى أن الأُطر الرقمية لـ</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تُشكّل بنية معالجة معرفية تُحوّل البيانات المؤسسية المتناثرة إلى رؤى تحليلية موحدة، بحيث يصبح القرار مبنيًا على معطيات موضوعية لا على تقديرات فردية. ويكشف هذا الطرح عن بُعد إبستمولوجي لأهمية المنظومة، مفاده أنها تُعيد تشكيل طريقة إنتاج المعرفة داخل المؤسسة، وتُقلّص من هيمنة “الحدس التنفيذي” لصالح “التحليل المؤسسي”، مما يُنتج نمطًا جديدًا من الترشيد الإداري</w:t>
      </w:r>
      <w:r w:rsidRPr="00D51D9D">
        <w:rPr>
          <w:rFonts w:ascii="Simplified Arabic" w:eastAsia="Times New Roman" w:hAnsi="Simplified Arabic" w:cs="Simplified Arabic"/>
          <w:color w:val="000000" w:themeColor="text1"/>
          <w:kern w:val="0"/>
          <w:sz w:val="28"/>
          <w:szCs w:val="28"/>
          <w14:ligatures w14:val="none"/>
        </w:rPr>
        <w:t>.</w:t>
      </w:r>
    </w:p>
    <w:p w14:paraId="0A29BD56"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ويشير</w:t>
      </w:r>
      <w:r w:rsidRPr="00D51D9D">
        <w:rPr>
          <w:rFonts w:ascii="Simplified Arabic" w:eastAsia="Times New Roman" w:hAnsi="Simplified Arabic" w:cs="Simplified Arabic"/>
          <w:color w:val="000000" w:themeColor="text1"/>
          <w:kern w:val="0"/>
          <w:sz w:val="28"/>
          <w:szCs w:val="28"/>
          <w14:ligatures w14:val="none"/>
        </w:rPr>
        <w:t xml:space="preserve"> (Victor et al., 2024) </w:t>
      </w:r>
      <w:r w:rsidRPr="00D51D9D">
        <w:rPr>
          <w:rFonts w:ascii="Simplified Arabic" w:eastAsia="Times New Roman" w:hAnsi="Simplified Arabic" w:cs="Simplified Arabic"/>
          <w:color w:val="000000" w:themeColor="text1"/>
          <w:kern w:val="0"/>
          <w:sz w:val="28"/>
          <w:szCs w:val="28"/>
          <w:rtl/>
          <w14:ligatures w14:val="none"/>
        </w:rPr>
        <w:t xml:space="preserve">إلى بُعد تنظيمي في هذه الأهمية، مفاده أن حوكمة تقنية المعلومات ومخاطرها وامتثالها باتت شرطًا للاستدامة المؤسسية، لأنها تربط بين البنى التقنية والقرارات الاستراتيجية، </w:t>
      </w:r>
      <w:r w:rsidRPr="00D51D9D">
        <w:rPr>
          <w:rFonts w:ascii="Simplified Arabic" w:eastAsia="Times New Roman" w:hAnsi="Simplified Arabic" w:cs="Simplified Arabic"/>
          <w:color w:val="000000" w:themeColor="text1"/>
          <w:kern w:val="0"/>
          <w:sz w:val="28"/>
          <w:szCs w:val="28"/>
          <w:rtl/>
          <w14:ligatures w14:val="none"/>
        </w:rPr>
        <w:lastRenderedPageBreak/>
        <w:t>وتُنشئ منظومة مساءلة رقمية تحول دون تحول الاستثمار في التقنية إلى مصدر جديد للمخاطر بدلًا من كونه رافعة للأداء. ويُبرز هذا الطرح مفارقة مهمة في العصر الرقمي، إذ إن الأدوات ذاتها التي يُفترض أن تكون حلولًا قد تتحول إلى مشكلات إن لم تُحكم إدارتها، وهو ما يجعل من الحوكمة الرقمية شرطًا لإطلاق العائد الحقيقي للاستثمار التقني</w:t>
      </w:r>
      <w:r w:rsidRPr="00D51D9D">
        <w:rPr>
          <w:rFonts w:ascii="Simplified Arabic" w:eastAsia="Times New Roman" w:hAnsi="Simplified Arabic" w:cs="Simplified Arabic"/>
          <w:color w:val="000000" w:themeColor="text1"/>
          <w:kern w:val="0"/>
          <w:sz w:val="28"/>
          <w:szCs w:val="28"/>
          <w14:ligatures w14:val="none"/>
        </w:rPr>
        <w:t>.</w:t>
      </w:r>
    </w:p>
    <w:p w14:paraId="7E5133BA"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ويُضيف</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Araberami</w:t>
      </w:r>
      <w:proofErr w:type="spellEnd"/>
      <w:r w:rsidRPr="00D51D9D">
        <w:rPr>
          <w:rFonts w:ascii="Simplified Arabic" w:eastAsia="Times New Roman" w:hAnsi="Simplified Arabic" w:cs="Simplified Arabic"/>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color w:val="000000" w:themeColor="text1"/>
          <w:kern w:val="0"/>
          <w:sz w:val="28"/>
          <w:szCs w:val="28"/>
          <w14:ligatures w14:val="none"/>
        </w:rPr>
        <w:t>Allioui</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2024) </w:t>
      </w:r>
      <w:r w:rsidRPr="00D51D9D">
        <w:rPr>
          <w:rFonts w:ascii="Simplified Arabic" w:eastAsia="Times New Roman" w:hAnsi="Simplified Arabic" w:cs="Simplified Arabic"/>
          <w:color w:val="000000" w:themeColor="text1"/>
          <w:kern w:val="0"/>
          <w:sz w:val="28"/>
          <w:szCs w:val="28"/>
          <w:rtl/>
          <w14:ligatures w14:val="none"/>
        </w:rPr>
        <w:t>أن أهمية التطبيق الرقمي لمنظومة الحوكمة تتصل بربطها المباشر بالرقابة الداخلية، فالرقمنة تُوفّر مسارات تدقيق واضحة، وتُتيح تتبع المعاملات بدقة، وتُحسّن جودة التقارير المالية، وهي عناصر تُشكّل جوهر الأداء المؤسسي المستدام. وتكتسب هذه الأهمية دلالة خاصة في هذه الدراسة، إذ إنها تُشكّل الجسر النظري الذي يربط المتغير المستقل بالمتغير التابع، وتُوفّر التبرير النظري لفرضية العلاقة بينهما</w:t>
      </w:r>
      <w:r w:rsidRPr="00D51D9D">
        <w:rPr>
          <w:rFonts w:ascii="Simplified Arabic" w:eastAsia="Times New Roman" w:hAnsi="Simplified Arabic" w:cs="Simplified Arabic"/>
          <w:color w:val="000000" w:themeColor="text1"/>
          <w:kern w:val="0"/>
          <w:sz w:val="28"/>
          <w:szCs w:val="28"/>
          <w14:ligatures w14:val="none"/>
        </w:rPr>
        <w:t>.</w:t>
      </w:r>
    </w:p>
    <w:p w14:paraId="0C3A5C36"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ويُتوّج</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Goh</w:t>
      </w:r>
      <w:proofErr w:type="spellEnd"/>
      <w:r w:rsidRPr="00D51D9D">
        <w:rPr>
          <w:rFonts w:ascii="Simplified Arabic" w:eastAsia="Times New Roman" w:hAnsi="Simplified Arabic" w:cs="Simplified Arabic"/>
          <w:color w:val="000000" w:themeColor="text1"/>
          <w:kern w:val="0"/>
          <w:sz w:val="28"/>
          <w:szCs w:val="28"/>
          <w14:ligatures w14:val="none"/>
        </w:rPr>
        <w:t xml:space="preserve"> et al., 2022) </w:t>
      </w:r>
      <w:r w:rsidRPr="00D51D9D">
        <w:rPr>
          <w:rFonts w:ascii="Simplified Arabic" w:eastAsia="Times New Roman" w:hAnsi="Simplified Arabic" w:cs="Simplified Arabic"/>
          <w:color w:val="000000" w:themeColor="text1"/>
          <w:kern w:val="0"/>
          <w:sz w:val="28"/>
          <w:szCs w:val="28"/>
          <w:rtl/>
          <w14:ligatures w14:val="none"/>
        </w:rPr>
        <w:t>هذه المعالجات ببُعد إدراكي مهم، إذ يرى أن الأهمية تتجلى في التأثير الإشاري للمنظومة على المستثمرين وأصحاب المصلحة، فالشركات التي تتبنى</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رقمية متقدمة ترسل إشارات إيجابية إلى السوق عن نضجها المؤسسي، مما ينعكس على تكلفة رأس المال وعلى قدرتها على استقطاب الاستثمارات طويلة الأجل. ويستند هذا الطرح إلى نظرية الإشارة في الاقتصاد، التي ترى أن الممارسات المؤسسية لا تُقاس فقط بما تُنجزه فعليًا، بل أيضًا بما تُبلّغه للأسواق من معلومات عن جودة المؤسسة</w:t>
      </w:r>
      <w:r w:rsidRPr="00D51D9D">
        <w:rPr>
          <w:rFonts w:ascii="Simplified Arabic" w:eastAsia="Times New Roman" w:hAnsi="Simplified Arabic" w:cs="Simplified Arabic"/>
          <w:color w:val="000000" w:themeColor="text1"/>
          <w:kern w:val="0"/>
          <w:sz w:val="28"/>
          <w:szCs w:val="28"/>
          <w14:ligatures w14:val="none"/>
        </w:rPr>
        <w:t>.</w:t>
      </w:r>
    </w:p>
    <w:p w14:paraId="35F03DFD" w14:textId="04C454AA" w:rsidR="00CA6C39" w:rsidRPr="00D51D9D" w:rsidRDefault="00724BDB" w:rsidP="00724B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4226611"/>
      <w:r w:rsidRPr="00D51D9D">
        <w:rPr>
          <w:rFonts w:ascii="Simplified Arabic" w:eastAsia="Times New Roman" w:hAnsi="Simplified Arabic" w:cs="Simplified Arabic" w:hint="cs"/>
          <w:b/>
          <w:bCs/>
          <w:color w:val="000000" w:themeColor="text1"/>
          <w:kern w:val="0"/>
          <w:sz w:val="32"/>
          <w:szCs w:val="32"/>
          <w:rtl/>
          <w14:ligatures w14:val="none"/>
        </w:rPr>
        <w:t xml:space="preserve">4.1.2 </w:t>
      </w:r>
      <w:r w:rsidR="00CA6C39" w:rsidRPr="00D51D9D">
        <w:rPr>
          <w:rFonts w:ascii="Simplified Arabic" w:eastAsia="Times New Roman" w:hAnsi="Simplified Arabic" w:cs="Simplified Arabic"/>
          <w:b/>
          <w:bCs/>
          <w:color w:val="000000" w:themeColor="text1"/>
          <w:kern w:val="0"/>
          <w:sz w:val="32"/>
          <w:szCs w:val="32"/>
          <w:rtl/>
          <w14:ligatures w14:val="none"/>
        </w:rPr>
        <w:t>أهداف التطبيق الرقمي للحوكمة والمخاطر والالتزام</w:t>
      </w:r>
      <w:r w:rsidR="00CA6C39" w:rsidRPr="00D51D9D">
        <w:rPr>
          <w:rFonts w:ascii="Simplified Arabic" w:eastAsia="Times New Roman" w:hAnsi="Simplified Arabic" w:cs="Simplified Arabic"/>
          <w:b/>
          <w:bCs/>
          <w:color w:val="000000" w:themeColor="text1"/>
          <w:kern w:val="0"/>
          <w:sz w:val="32"/>
          <w:szCs w:val="32"/>
          <w14:ligatures w14:val="none"/>
        </w:rPr>
        <w:t xml:space="preserve"> (GRC)</w:t>
      </w:r>
      <w:bookmarkEnd w:id="44"/>
    </w:p>
    <w:p w14:paraId="5C86D97E"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تتوزع أهداف التطبيق الرقمي لمنظومة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على مستويات متعددة يُغذّي بعضها بعضًا، فمنها ما يتصل بالبُعد التشغيلي المباشر، ومنها ما يمتد إلى الأفق الاستراتيجي بعيد المدى، ومنها ما يخدم البُعد الإدراكي في علاقة المؤسسة بمحيطها. وقد صاغ الباحثون هذه الأهداف بصياغات متكاملة تُبرز ثراء المنظومة وتنوع مخرجاتها</w:t>
      </w:r>
      <w:r w:rsidRPr="00D51D9D">
        <w:rPr>
          <w:rFonts w:ascii="Simplified Arabic" w:eastAsia="Times New Roman" w:hAnsi="Simplified Arabic" w:cs="Simplified Arabic"/>
          <w:color w:val="000000" w:themeColor="text1"/>
          <w:kern w:val="0"/>
          <w:sz w:val="28"/>
          <w:szCs w:val="28"/>
          <w14:ligatures w14:val="none"/>
        </w:rPr>
        <w:t>.</w:t>
      </w:r>
    </w:p>
    <w:p w14:paraId="3C5294A9"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يذكر</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Odedina</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2023) </w:t>
      </w:r>
      <w:r w:rsidRPr="00D51D9D">
        <w:rPr>
          <w:rFonts w:ascii="Simplified Arabic" w:eastAsia="Times New Roman" w:hAnsi="Simplified Arabic" w:cs="Simplified Arabic"/>
          <w:color w:val="000000" w:themeColor="text1"/>
          <w:kern w:val="0"/>
          <w:sz w:val="28"/>
          <w:szCs w:val="28"/>
          <w:rtl/>
          <w14:ligatures w14:val="none"/>
        </w:rPr>
        <w:t xml:space="preserve">أن أبرز أهداف التطبيق الرقمي تتمثل في: إعادة هندسة إجراءات الحوكمة بحيث تتجاوز الحدود التقليدية للأقسام والوحدات، وبناء نماذج تنبؤية للمخاطر تعتمد على الذكاء الاصطناعي وتحليل الأنماط، وتقليص الفجوة الزمنية بين حدوث الحدث المخاطر واستجابة المنظومة له عبر التنبيهات الفورية، وإرساء ثقافة مؤسسية قائمة على البيانات تُقلّص من هيمنة الاجتهاد الفردي في </w:t>
      </w:r>
      <w:r w:rsidRPr="00D51D9D">
        <w:rPr>
          <w:rFonts w:ascii="Simplified Arabic" w:eastAsia="Times New Roman" w:hAnsi="Simplified Arabic" w:cs="Simplified Arabic"/>
          <w:color w:val="000000" w:themeColor="text1"/>
          <w:kern w:val="0"/>
          <w:sz w:val="28"/>
          <w:szCs w:val="28"/>
          <w:rtl/>
          <w14:ligatures w14:val="none"/>
        </w:rPr>
        <w:lastRenderedPageBreak/>
        <w:t>القرارات الحاكمة، فضلًا عن رفع مرونة الاستجابة للتحديثات التشريعية بحيث تصبح المؤسسة قادرة على الامتثال الآلي للأنظمة الجديدة</w:t>
      </w:r>
      <w:r w:rsidRPr="00D51D9D">
        <w:rPr>
          <w:rFonts w:ascii="Simplified Arabic" w:eastAsia="Times New Roman" w:hAnsi="Simplified Arabic" w:cs="Simplified Arabic"/>
          <w:color w:val="000000" w:themeColor="text1"/>
          <w:kern w:val="0"/>
          <w:sz w:val="28"/>
          <w:szCs w:val="28"/>
          <w14:ligatures w14:val="none"/>
        </w:rPr>
        <w:t>.</w:t>
      </w:r>
    </w:p>
    <w:p w14:paraId="471DE1B9"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ويرى</w:t>
      </w:r>
      <w:r w:rsidRPr="00D51D9D">
        <w:rPr>
          <w:rFonts w:ascii="Simplified Arabic" w:eastAsia="Times New Roman" w:hAnsi="Simplified Arabic" w:cs="Simplified Arabic"/>
          <w:color w:val="000000" w:themeColor="text1"/>
          <w:kern w:val="0"/>
          <w:sz w:val="28"/>
          <w:szCs w:val="28"/>
          <w14:ligatures w14:val="none"/>
        </w:rPr>
        <w:t xml:space="preserve"> (Jain, 2025) </w:t>
      </w:r>
      <w:r w:rsidRPr="00D51D9D">
        <w:rPr>
          <w:rFonts w:ascii="Simplified Arabic" w:eastAsia="Times New Roman" w:hAnsi="Simplified Arabic" w:cs="Simplified Arabic"/>
          <w:color w:val="000000" w:themeColor="text1"/>
          <w:kern w:val="0"/>
          <w:sz w:val="28"/>
          <w:szCs w:val="28"/>
          <w:rtl/>
          <w14:ligatures w14:val="none"/>
        </w:rPr>
        <w:t>أن الأهداف تتبلور في: تحويل التحليلات المؤسسية إلى أدوات دعم قرار حاكم تربط بين مؤشرات الأداء ومؤشرات المخاطر في إطار واحد، وبناء منصات موحدة لتحليل المخاطر والامتثال تُنهي حالة التشتت في مصادر البيانات، ودعم اتخاذ القرار الاستراتيجي عبر لوحات معلومات ذكية تعرض المعطيات وفق أولوياتها، ومواءمة الأنشطة الرقابية مع المؤشرات الاستراتيجية للأداء بحيث تصبح الرقابة جزءًا من مسار الأداء لا عائقًا له</w:t>
      </w:r>
      <w:r w:rsidRPr="00D51D9D">
        <w:rPr>
          <w:rFonts w:ascii="Simplified Arabic" w:eastAsia="Times New Roman" w:hAnsi="Simplified Arabic" w:cs="Simplified Arabic"/>
          <w:color w:val="000000" w:themeColor="text1"/>
          <w:kern w:val="0"/>
          <w:sz w:val="28"/>
          <w:szCs w:val="28"/>
          <w14:ligatures w14:val="none"/>
        </w:rPr>
        <w:t>.</w:t>
      </w:r>
    </w:p>
    <w:p w14:paraId="6069573D"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ويُبرز</w:t>
      </w:r>
      <w:r w:rsidRPr="00D51D9D">
        <w:rPr>
          <w:rFonts w:ascii="Simplified Arabic" w:eastAsia="Times New Roman" w:hAnsi="Simplified Arabic" w:cs="Simplified Arabic"/>
          <w:color w:val="000000" w:themeColor="text1"/>
          <w:kern w:val="0"/>
          <w:sz w:val="28"/>
          <w:szCs w:val="28"/>
          <w14:ligatures w14:val="none"/>
        </w:rPr>
        <w:t xml:space="preserve"> (Victor et al., 2024) </w:t>
      </w:r>
      <w:r w:rsidRPr="00D51D9D">
        <w:rPr>
          <w:rFonts w:ascii="Simplified Arabic" w:eastAsia="Times New Roman" w:hAnsi="Simplified Arabic" w:cs="Simplified Arabic"/>
          <w:color w:val="000000" w:themeColor="text1"/>
          <w:kern w:val="0"/>
          <w:sz w:val="28"/>
          <w:szCs w:val="28"/>
          <w:rtl/>
          <w14:ligatures w14:val="none"/>
        </w:rPr>
        <w:t>أهدافًا مرتبطة بحوكمة التقنية تتضمن: ضمان مواءمة الاستثمارات الرقمية مع الأهداف الاستراتيجية عبر ربط كل استثمار تقني بمؤشر أداء واضح، وتحقيق التوازن بين المخاطر التقنية والفوائد المرجوة بمنهجية موضوعية، وتوطيد ثقافة الامتثال الرقمي داخل بيئة العمل عبر تدريب الكوادر وترسيخ ممارسات الاستخدام الآمن، وتوفير آليات للمساءلة الرقمية عبر الوحدات المختلفة بحيث تُوثّق كل معاملة بمسؤولها ومرجعها التنظيمي</w:t>
      </w:r>
      <w:r w:rsidRPr="00D51D9D">
        <w:rPr>
          <w:rFonts w:ascii="Simplified Arabic" w:eastAsia="Times New Roman" w:hAnsi="Simplified Arabic" w:cs="Simplified Arabic"/>
          <w:color w:val="000000" w:themeColor="text1"/>
          <w:kern w:val="0"/>
          <w:sz w:val="28"/>
          <w:szCs w:val="28"/>
          <w14:ligatures w14:val="none"/>
        </w:rPr>
        <w:t>.</w:t>
      </w:r>
    </w:p>
    <w:p w14:paraId="4444A19E"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ويشير</w:t>
      </w:r>
      <w:r w:rsidRPr="00D51D9D">
        <w:rPr>
          <w:rFonts w:ascii="Simplified Arabic" w:eastAsia="Times New Roman" w:hAnsi="Simplified Arabic" w:cs="Simplified Arabic"/>
          <w:color w:val="000000" w:themeColor="text1"/>
          <w:kern w:val="0"/>
          <w:sz w:val="28"/>
          <w:szCs w:val="28"/>
          <w14:ligatures w14:val="none"/>
        </w:rPr>
        <w:t xml:space="preserve"> (Ahmad, 2025) </w:t>
      </w:r>
      <w:r w:rsidRPr="00D51D9D">
        <w:rPr>
          <w:rFonts w:ascii="Simplified Arabic" w:eastAsia="Times New Roman" w:hAnsi="Simplified Arabic" w:cs="Simplified Arabic"/>
          <w:color w:val="000000" w:themeColor="text1"/>
          <w:kern w:val="0"/>
          <w:sz w:val="28"/>
          <w:szCs w:val="28"/>
          <w:rtl/>
          <w14:ligatures w14:val="none"/>
        </w:rPr>
        <w:t>إلى أن الأهداف في القطاع المصرفي تشمل: صون النزاهة المالية للمعاملات المصرفية، وتعزيز قدرة مدققي نظم المعلومات على أداء أدوارهم عبر توفير أدوات تحليل متقدمة، وحماية البنى التحتية الرقمية من التهديدات السيبرانية عبر منظومات أمن معلوماتي متكاملة، وضمان اتساق العمليات المصرفية مع الأطر التشريعية المحلية والدولية بشكل آلي</w:t>
      </w:r>
      <w:r w:rsidRPr="00D51D9D">
        <w:rPr>
          <w:rFonts w:ascii="Simplified Arabic" w:eastAsia="Times New Roman" w:hAnsi="Simplified Arabic" w:cs="Simplified Arabic"/>
          <w:color w:val="000000" w:themeColor="text1"/>
          <w:kern w:val="0"/>
          <w:sz w:val="28"/>
          <w:szCs w:val="28"/>
          <w14:ligatures w14:val="none"/>
        </w:rPr>
        <w:t>.</w:t>
      </w:r>
    </w:p>
    <w:p w14:paraId="17F8F7CD"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ويُحدّد</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Aloulou</w:t>
      </w:r>
      <w:proofErr w:type="spellEnd"/>
      <w:r w:rsidRPr="00D51D9D">
        <w:rPr>
          <w:rFonts w:ascii="Simplified Arabic" w:eastAsia="Times New Roman" w:hAnsi="Simplified Arabic" w:cs="Simplified Arabic"/>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color w:val="000000" w:themeColor="text1"/>
          <w:kern w:val="0"/>
          <w:sz w:val="28"/>
          <w:szCs w:val="28"/>
          <w14:ligatures w14:val="none"/>
        </w:rPr>
        <w:t>Alshohail</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2026) </w:t>
      </w:r>
      <w:r w:rsidRPr="00D51D9D">
        <w:rPr>
          <w:rFonts w:ascii="Simplified Arabic" w:eastAsia="Times New Roman" w:hAnsi="Simplified Arabic" w:cs="Simplified Arabic"/>
          <w:color w:val="000000" w:themeColor="text1"/>
          <w:kern w:val="0"/>
          <w:sz w:val="28"/>
          <w:szCs w:val="28"/>
          <w:rtl/>
          <w14:ligatures w14:val="none"/>
        </w:rPr>
        <w:t>الأهداف في: الانتقال من نموذج الرقابة الجامدة إلى نموذج توليد القيمة، ورفع كفاءة العمليات التشغيلية عبر أتمتة المهام التي كانت تُستهلك وقتًا وجهدًا كبيرين، وحماية سمعة المؤسسة عبر ضبط استباقي للممارسات، وبناء ميزة تنافسية مستدامة تعتمد على النضج الرقابي بوصفه أصلًا استراتيجيًا</w:t>
      </w:r>
      <w:r w:rsidRPr="00D51D9D">
        <w:rPr>
          <w:rFonts w:ascii="Simplified Arabic" w:eastAsia="Times New Roman" w:hAnsi="Simplified Arabic" w:cs="Simplified Arabic"/>
          <w:color w:val="000000" w:themeColor="text1"/>
          <w:kern w:val="0"/>
          <w:sz w:val="28"/>
          <w:szCs w:val="28"/>
          <w14:ligatures w14:val="none"/>
        </w:rPr>
        <w:t>.</w:t>
      </w:r>
    </w:p>
    <w:p w14:paraId="45473F4D"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ويرى</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Alqahtani</w:t>
      </w:r>
      <w:proofErr w:type="spellEnd"/>
      <w:r w:rsidRPr="00D51D9D">
        <w:rPr>
          <w:rFonts w:ascii="Simplified Arabic" w:eastAsia="Times New Roman" w:hAnsi="Simplified Arabic" w:cs="Simplified Arabic"/>
          <w:color w:val="000000" w:themeColor="text1"/>
          <w:kern w:val="0"/>
          <w:sz w:val="28"/>
          <w:szCs w:val="28"/>
          <w14:ligatures w14:val="none"/>
        </w:rPr>
        <w:t xml:space="preserve"> et al., 2025) </w:t>
      </w:r>
      <w:r w:rsidRPr="00D51D9D">
        <w:rPr>
          <w:rFonts w:ascii="Simplified Arabic" w:eastAsia="Times New Roman" w:hAnsi="Simplified Arabic" w:cs="Simplified Arabic"/>
          <w:color w:val="000000" w:themeColor="text1"/>
          <w:kern w:val="0"/>
          <w:sz w:val="28"/>
          <w:szCs w:val="28"/>
          <w:rtl/>
          <w14:ligatures w14:val="none"/>
        </w:rPr>
        <w:t>أن الأهداف في القطاعات الحيوية تتضمن: تحسين جودة الخدمات المقدمة عبر ضبط استباقي لجودة العمليات، وتخفيض الأخطاء التشغيلية بمنظومة مؤشرات إنذار مبكر، وتعزيز سلامة أصحاب المصلحة عبر ضبط المخاطر المهنية، وضمان التوافق مع التشريعات القطاعية المتخصصة عبر منصات امتثال آلية</w:t>
      </w:r>
      <w:r w:rsidRPr="00D51D9D">
        <w:rPr>
          <w:rFonts w:ascii="Simplified Arabic" w:eastAsia="Times New Roman" w:hAnsi="Simplified Arabic" w:cs="Simplified Arabic"/>
          <w:color w:val="000000" w:themeColor="text1"/>
          <w:kern w:val="0"/>
          <w:sz w:val="28"/>
          <w:szCs w:val="28"/>
          <w14:ligatures w14:val="none"/>
        </w:rPr>
        <w:t>.</w:t>
      </w:r>
    </w:p>
    <w:p w14:paraId="59543FEB"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lastRenderedPageBreak/>
        <w:t>ويُضيف</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Alhamami</w:t>
      </w:r>
      <w:proofErr w:type="spellEnd"/>
      <w:r w:rsidRPr="00D51D9D">
        <w:rPr>
          <w:rFonts w:ascii="Simplified Arabic" w:eastAsia="Times New Roman" w:hAnsi="Simplified Arabic" w:cs="Simplified Arabic"/>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color w:val="000000" w:themeColor="text1"/>
          <w:kern w:val="0"/>
          <w:sz w:val="28"/>
          <w:szCs w:val="28"/>
          <w14:ligatures w14:val="none"/>
        </w:rPr>
        <w:t>Alruwaili</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2025) </w:t>
      </w:r>
      <w:r w:rsidRPr="00D51D9D">
        <w:rPr>
          <w:rFonts w:ascii="Simplified Arabic" w:eastAsia="Times New Roman" w:hAnsi="Simplified Arabic" w:cs="Simplified Arabic"/>
          <w:color w:val="000000" w:themeColor="text1"/>
          <w:kern w:val="0"/>
          <w:sz w:val="28"/>
          <w:szCs w:val="28"/>
          <w:rtl/>
          <w14:ligatures w14:val="none"/>
        </w:rPr>
        <w:t>أهدافًا استثمارية تتضمن: تخفيض عدم اليقين المرتبط بقرارات الاستثمار عبر توفير معلومات أدق وأشمل، ورفع مستوى الشفافية أمام الأسواق عبر ممارسات إفصاح رقمي، وتحسين مخرجات القرارات الاستثمارية عبر أدوات تحليل رقمية تُدمج بين معطيات المخاطر والفرص</w:t>
      </w:r>
      <w:r w:rsidRPr="00D51D9D">
        <w:rPr>
          <w:rFonts w:ascii="Simplified Arabic" w:eastAsia="Times New Roman" w:hAnsi="Simplified Arabic" w:cs="Simplified Arabic"/>
          <w:color w:val="000000" w:themeColor="text1"/>
          <w:kern w:val="0"/>
          <w:sz w:val="28"/>
          <w:szCs w:val="28"/>
          <w14:ligatures w14:val="none"/>
        </w:rPr>
        <w:t>.</w:t>
      </w:r>
    </w:p>
    <w:p w14:paraId="1024F723" w14:textId="707E8801" w:rsidR="00CA6C39" w:rsidRPr="00D51D9D" w:rsidRDefault="00724BDB" w:rsidP="00724B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4226612"/>
      <w:r w:rsidRPr="00D51D9D">
        <w:rPr>
          <w:rFonts w:ascii="Simplified Arabic" w:eastAsia="Times New Roman" w:hAnsi="Simplified Arabic" w:cs="Simplified Arabic" w:hint="cs"/>
          <w:b/>
          <w:bCs/>
          <w:color w:val="000000" w:themeColor="text1"/>
          <w:kern w:val="0"/>
          <w:sz w:val="32"/>
          <w:szCs w:val="32"/>
          <w:rtl/>
          <w14:ligatures w14:val="none"/>
        </w:rPr>
        <w:t xml:space="preserve">5.1.2 </w:t>
      </w:r>
      <w:r w:rsidR="00CA6C39" w:rsidRPr="00D51D9D">
        <w:rPr>
          <w:rFonts w:ascii="Simplified Arabic" w:eastAsia="Times New Roman" w:hAnsi="Simplified Arabic" w:cs="Simplified Arabic"/>
          <w:b/>
          <w:bCs/>
          <w:color w:val="000000" w:themeColor="text1"/>
          <w:kern w:val="0"/>
          <w:sz w:val="32"/>
          <w:szCs w:val="32"/>
          <w:rtl/>
          <w14:ligatures w14:val="none"/>
        </w:rPr>
        <w:t>أبعاد التطبيق الرقمي للحوكمة والمخاطر والالتزام</w:t>
      </w:r>
      <w:r w:rsidR="00CA6C39" w:rsidRPr="00D51D9D">
        <w:rPr>
          <w:rFonts w:ascii="Simplified Arabic" w:eastAsia="Times New Roman" w:hAnsi="Simplified Arabic" w:cs="Simplified Arabic"/>
          <w:b/>
          <w:bCs/>
          <w:color w:val="000000" w:themeColor="text1"/>
          <w:kern w:val="0"/>
          <w:sz w:val="32"/>
          <w:szCs w:val="32"/>
          <w14:ligatures w14:val="none"/>
        </w:rPr>
        <w:t xml:space="preserve"> (GRC)</w:t>
      </w:r>
      <w:bookmarkEnd w:id="45"/>
    </w:p>
    <w:p w14:paraId="7529A83E"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تم تحديد أبعاد المتغير المستقل في هذه الدراسة بناءً على استقراء الأدبيات الحديثة، ولا سيما دراسات</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Aloulou</w:t>
      </w:r>
      <w:proofErr w:type="spellEnd"/>
      <w:r w:rsidRPr="00D51D9D">
        <w:rPr>
          <w:rFonts w:ascii="Simplified Arabic" w:eastAsia="Times New Roman" w:hAnsi="Simplified Arabic" w:cs="Simplified Arabic"/>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color w:val="000000" w:themeColor="text1"/>
          <w:kern w:val="0"/>
          <w:sz w:val="28"/>
          <w:szCs w:val="28"/>
          <w14:ligatures w14:val="none"/>
        </w:rPr>
        <w:t>Alshohail</w:t>
      </w:r>
      <w:proofErr w:type="spellEnd"/>
      <w:r w:rsidRPr="00D51D9D">
        <w:rPr>
          <w:rFonts w:ascii="Simplified Arabic" w:eastAsia="Times New Roman" w:hAnsi="Simplified Arabic" w:cs="Simplified Arabic"/>
          <w:color w:val="000000" w:themeColor="text1"/>
          <w:kern w:val="0"/>
          <w:sz w:val="28"/>
          <w:szCs w:val="28"/>
          <w14:ligatures w14:val="none"/>
        </w:rPr>
        <w:t>, 2026</w:t>
      </w:r>
      <w:r w:rsidRPr="00D51D9D">
        <w:rPr>
          <w:rFonts w:ascii="Simplified Arabic" w:eastAsia="Times New Roman" w:hAnsi="Simplified Arabic" w:cs="Simplified Arabic"/>
          <w:color w:val="000000" w:themeColor="text1"/>
          <w:kern w:val="0"/>
          <w:sz w:val="28"/>
          <w:szCs w:val="28"/>
          <w:rtl/>
          <w14:ligatures w14:val="none"/>
        </w:rPr>
        <w:t>؛</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Odedina</w:t>
      </w:r>
      <w:proofErr w:type="spellEnd"/>
      <w:r w:rsidRPr="00D51D9D">
        <w:rPr>
          <w:rFonts w:ascii="Simplified Arabic" w:eastAsia="Times New Roman" w:hAnsi="Simplified Arabic" w:cs="Simplified Arabic"/>
          <w:color w:val="000000" w:themeColor="text1"/>
          <w:kern w:val="0"/>
          <w:sz w:val="28"/>
          <w:szCs w:val="28"/>
          <w14:ligatures w14:val="none"/>
        </w:rPr>
        <w:t>, 2023</w:t>
      </w:r>
      <w:r w:rsidRPr="00D51D9D">
        <w:rPr>
          <w:rFonts w:ascii="Simplified Arabic" w:eastAsia="Times New Roman" w:hAnsi="Simplified Arabic" w:cs="Simplified Arabic"/>
          <w:color w:val="000000" w:themeColor="text1"/>
          <w:kern w:val="0"/>
          <w:sz w:val="28"/>
          <w:szCs w:val="28"/>
          <w:rtl/>
          <w14:ligatures w14:val="none"/>
        </w:rPr>
        <w:t>؛</w:t>
      </w:r>
      <w:r w:rsidRPr="00D51D9D">
        <w:rPr>
          <w:rFonts w:ascii="Simplified Arabic" w:eastAsia="Times New Roman" w:hAnsi="Simplified Arabic" w:cs="Simplified Arabic"/>
          <w:color w:val="000000" w:themeColor="text1"/>
          <w:kern w:val="0"/>
          <w:sz w:val="28"/>
          <w:szCs w:val="28"/>
          <w14:ligatures w14:val="none"/>
        </w:rPr>
        <w:t xml:space="preserve"> Victor et al., 2024</w:t>
      </w:r>
      <w:r w:rsidRPr="00D51D9D">
        <w:rPr>
          <w:rFonts w:ascii="Simplified Arabic" w:eastAsia="Times New Roman" w:hAnsi="Simplified Arabic" w:cs="Simplified Arabic"/>
          <w:color w:val="000000" w:themeColor="text1"/>
          <w:kern w:val="0"/>
          <w:sz w:val="28"/>
          <w:szCs w:val="28"/>
          <w:rtl/>
          <w14:ligatures w14:val="none"/>
        </w:rPr>
        <w:t>؛</w:t>
      </w:r>
      <w:r w:rsidRPr="00D51D9D">
        <w:rPr>
          <w:rFonts w:ascii="Simplified Arabic" w:eastAsia="Times New Roman" w:hAnsi="Simplified Arabic" w:cs="Simplified Arabic"/>
          <w:color w:val="000000" w:themeColor="text1"/>
          <w:kern w:val="0"/>
          <w:sz w:val="28"/>
          <w:szCs w:val="28"/>
          <w14:ligatures w14:val="none"/>
        </w:rPr>
        <w:t xml:space="preserve"> Jain, 2025)</w:t>
      </w:r>
      <w:r w:rsidRPr="00D51D9D">
        <w:rPr>
          <w:rFonts w:ascii="Simplified Arabic" w:eastAsia="Times New Roman" w:hAnsi="Simplified Arabic" w:cs="Simplified Arabic"/>
          <w:color w:val="000000" w:themeColor="text1"/>
          <w:kern w:val="0"/>
          <w:sz w:val="28"/>
          <w:szCs w:val="28"/>
          <w:rtl/>
          <w14:ligatures w14:val="none"/>
        </w:rPr>
        <w:t>، وبما يتلاءم مع طبيعة الشركات الحكومية في مدينة الرياض بوصفها بيئة تطبيق ذات خصوصية تجمع بين الطابع الحكومي والتوجه نحو التحول الرقمي في إطار رؤية المملكة 2030. وقد تبلورت هذه الأبعاد في أربعة مكونات مترابطة تُشكّل معًا البنية النظرية للمنظومة الرقمية لـ</w:t>
      </w:r>
      <w:r w:rsidRPr="00D51D9D">
        <w:rPr>
          <w:rFonts w:ascii="Simplified Arabic" w:eastAsia="Times New Roman" w:hAnsi="Simplified Arabic" w:cs="Simplified Arabic"/>
          <w:color w:val="000000" w:themeColor="text1"/>
          <w:kern w:val="0"/>
          <w:sz w:val="28"/>
          <w:szCs w:val="28"/>
          <w14:ligatures w14:val="none"/>
        </w:rPr>
        <w:t xml:space="preserve"> GRC.</w:t>
      </w:r>
    </w:p>
    <w:p w14:paraId="5A284B02" w14:textId="77777777" w:rsidR="00CA6C39" w:rsidRPr="00D51D9D" w:rsidRDefault="00CA6C39" w:rsidP="00724B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البُعد الأول: الحوكمة الرقمية</w:t>
      </w:r>
    </w:p>
    <w:p w14:paraId="56D26890"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يُشكّل هذا البُعد النواة القيادية للمنظومة، ويُشير إلى تحويل ممارسات الحوكمة التقليدية من فضاء الوثائق الورقية والاجتماعات الدورية إلى فضاء رقمي متكامل يتّسم بالفورية والتوثيق الآلي والقابلية للتتبع. وينطلق هذا البُعد من فرضية جوهرية مفادها أن الحوكمة ليست مجرد قواعد مكتوبة، بل ممارسة يومية تتجسد في تدفقات القرار داخل المؤسسة، ومن ثم فإن رقمنتها تعني إعادة تصميم هذه التدفقات لتصبح أكثر شفافية وأقصر زمنًا وأدق توثيقًا. ويرى</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Aloulou</w:t>
      </w:r>
      <w:proofErr w:type="spellEnd"/>
      <w:r w:rsidRPr="00D51D9D">
        <w:rPr>
          <w:rFonts w:ascii="Simplified Arabic" w:eastAsia="Times New Roman" w:hAnsi="Simplified Arabic" w:cs="Simplified Arabic"/>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color w:val="000000" w:themeColor="text1"/>
          <w:kern w:val="0"/>
          <w:sz w:val="28"/>
          <w:szCs w:val="28"/>
          <w14:ligatures w14:val="none"/>
        </w:rPr>
        <w:t>Alshohail</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2026) </w:t>
      </w:r>
      <w:r w:rsidRPr="00D51D9D">
        <w:rPr>
          <w:rFonts w:ascii="Simplified Arabic" w:eastAsia="Times New Roman" w:hAnsi="Simplified Arabic" w:cs="Simplified Arabic"/>
          <w:color w:val="000000" w:themeColor="text1"/>
          <w:kern w:val="0"/>
          <w:sz w:val="28"/>
          <w:szCs w:val="28"/>
          <w:rtl/>
          <w14:ligatures w14:val="none"/>
        </w:rPr>
        <w:t>أن الحوكمة الرقمية تُعيد ترتيب هرم صنع القرار في المؤسسة، بحيث يصبح مبنيًا على تدفقات بيانات لحظية بدلًا من تقارير دورية متأخرة، مما يُقلّص من الفجوة الزمنية بين حدوث الأحداث المؤسسية وتبلور الاستجابة القيادية لها</w:t>
      </w:r>
      <w:r w:rsidRPr="00D51D9D">
        <w:rPr>
          <w:rFonts w:ascii="Simplified Arabic" w:eastAsia="Times New Roman" w:hAnsi="Simplified Arabic" w:cs="Simplified Arabic"/>
          <w:color w:val="000000" w:themeColor="text1"/>
          <w:kern w:val="0"/>
          <w:sz w:val="28"/>
          <w:szCs w:val="28"/>
          <w14:ligatures w14:val="none"/>
        </w:rPr>
        <w:t>.</w:t>
      </w:r>
    </w:p>
    <w:p w14:paraId="6102382C"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 xml:space="preserve">وتتجلى هذه الحوكمة في ثلاث ممارسات مترابطة تُشكّل قوامها التطبيقي. الممارسة الأولى هي آليات الشفافية الإلكترونية التي تُتيح لأصحاب المصلحة الاطلاع على مسارات القرار في وقتها، لا بعد وقوعها بشكل يجعل من الشفافية ذاتها آلية لضبط السلوك الإداري لا مجرد إفصاح لاحق عنه. والممارسة الثانية هي منظومات المساءلة الرقمية التي تُوثّق مسؤولية كل طرف عن قراراته وأفعاله، بحيث يترك كل مستخدم للنظام “بصمة رقمية” لا يمكن إنكارها، مما يُنشئ مسار تدقيق واضحًا يُعزّز الانضباط الذاتي للعاملين. والممارسة الثالثة هي أدوات دعم القرار التي تُوظّف التحليلات المتقدمة في عرض السيناريوهات البديلة </w:t>
      </w:r>
      <w:r w:rsidRPr="00D51D9D">
        <w:rPr>
          <w:rFonts w:ascii="Simplified Arabic" w:eastAsia="Times New Roman" w:hAnsi="Simplified Arabic" w:cs="Simplified Arabic"/>
          <w:color w:val="000000" w:themeColor="text1"/>
          <w:kern w:val="0"/>
          <w:sz w:val="28"/>
          <w:szCs w:val="28"/>
          <w:rtl/>
          <w14:ligatures w14:val="none"/>
        </w:rPr>
        <w:lastRenderedPageBreak/>
        <w:t>أمام القيادات العليا، بحيث يصبح كل قرار مسبوقًا بتحليل موضوعي لبدائله ومآلاته المحتملة. ويُبرز</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Goh</w:t>
      </w:r>
      <w:proofErr w:type="spellEnd"/>
      <w:r w:rsidRPr="00D51D9D">
        <w:rPr>
          <w:rFonts w:ascii="Simplified Arabic" w:eastAsia="Times New Roman" w:hAnsi="Simplified Arabic" w:cs="Simplified Arabic"/>
          <w:color w:val="000000" w:themeColor="text1"/>
          <w:kern w:val="0"/>
          <w:sz w:val="28"/>
          <w:szCs w:val="28"/>
          <w14:ligatures w14:val="none"/>
        </w:rPr>
        <w:t xml:space="preserve"> et al., 2022) </w:t>
      </w:r>
      <w:r w:rsidRPr="00D51D9D">
        <w:rPr>
          <w:rFonts w:ascii="Simplified Arabic" w:eastAsia="Times New Roman" w:hAnsi="Simplified Arabic" w:cs="Simplified Arabic"/>
          <w:color w:val="000000" w:themeColor="text1"/>
          <w:kern w:val="0"/>
          <w:sz w:val="28"/>
          <w:szCs w:val="28"/>
          <w:rtl/>
          <w14:ligatures w14:val="none"/>
        </w:rPr>
        <w:t>أن الحوكمة الرقمية تُنشئ قنوات تواصل جديدة مع المستثمرين وأصحاب المصلحة تتحول فيها العلاقات من نمط الإعلام الدوري إلى نمط التفاعل المستمر، وهو ما يُغيّر من طبيعة الحوكمة نفسها ويجعلها ممارسة تشاركية لا هرمية</w:t>
      </w:r>
      <w:r w:rsidRPr="00D51D9D">
        <w:rPr>
          <w:rFonts w:ascii="Simplified Arabic" w:eastAsia="Times New Roman" w:hAnsi="Simplified Arabic" w:cs="Simplified Arabic"/>
          <w:color w:val="000000" w:themeColor="text1"/>
          <w:kern w:val="0"/>
          <w:sz w:val="28"/>
          <w:szCs w:val="28"/>
          <w14:ligatures w14:val="none"/>
        </w:rPr>
        <w:t>.</w:t>
      </w:r>
    </w:p>
    <w:p w14:paraId="2D31E459" w14:textId="77777777" w:rsidR="00CA6C39" w:rsidRPr="00D51D9D" w:rsidRDefault="00CA6C39" w:rsidP="00724B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البُعد الثاني: إدارة المخاطر الإلكترونية</w:t>
      </w:r>
    </w:p>
    <w:p w14:paraId="6E12078A"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يتناول هذا البُعد توظيف الأنظمة الرقمية في رصد المخاطر وتحليلها والاستجابة لها بشكل استباقي، وينهض على فرضية مفادها أن المخاطر في العصر الرقمي أصبحت أكثر تشعبًا وأسرع تحولًا من أن تستوعبها المعالجات التقليدية، مما يستدعي بنية رقمية متخصصة تعمل بمنطق مواكب لطبيعتها. ويصف</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Odedina</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2023) </w:t>
      </w:r>
      <w:r w:rsidRPr="00D51D9D">
        <w:rPr>
          <w:rFonts w:ascii="Simplified Arabic" w:eastAsia="Times New Roman" w:hAnsi="Simplified Arabic" w:cs="Simplified Arabic"/>
          <w:color w:val="000000" w:themeColor="text1"/>
          <w:kern w:val="0"/>
          <w:sz w:val="28"/>
          <w:szCs w:val="28"/>
          <w:rtl/>
          <w14:ligatures w14:val="none"/>
        </w:rPr>
        <w:t>هذا البُعد بأنه القلب النابض للمنظومة الرقمية، إذ إنه ينقل إدارة المخاطر من نمط الاستجابة الآنية إلى نمط التنبؤ المنهجي، عبر توظيف خوارزميات التعلم الآلي في تحليل الأنماط، ورصد الشذوذات، وبناء نماذج احتمالية للمخاطر المستقبلية استنادًا إلى قواعد بيانات ضخمة تتضمن السجلات التاريخية للأحداث والمعطيات الظرفية الراهنة</w:t>
      </w:r>
      <w:r w:rsidRPr="00D51D9D">
        <w:rPr>
          <w:rFonts w:ascii="Simplified Arabic" w:eastAsia="Times New Roman" w:hAnsi="Simplified Arabic" w:cs="Simplified Arabic"/>
          <w:color w:val="000000" w:themeColor="text1"/>
          <w:kern w:val="0"/>
          <w:sz w:val="28"/>
          <w:szCs w:val="28"/>
          <w14:ligatures w14:val="none"/>
        </w:rPr>
        <w:t>.</w:t>
      </w:r>
    </w:p>
    <w:p w14:paraId="44B837D6"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وتتضمن إدارة المخاطر الإلكترونية ثلاث منظومات فرعية تعمل في تكامل. المنظومة الأولى هي أنظمة الإنذار المبكر التي تُطلق تنبيهات فورية عند تجاوز المؤشرات الحدود المسموح بها، بحيث تنقل الإدارة من موقع المتابع اللاحق إلى موقع المتدخل المبكر. والمنظومة الثانية هي النمذجة التنبؤية التي تُحاكي سيناريوهات متعددة لتقدير الخسائر المحتملة تحت افتراضات مختلفة، مما يُتيح للإدارة اختبار قرارات المعالجة قبل تنفيذها. والمنظومة الثالثة هي منصات التحليل المتقدم التي تُوحّد البيانات من مصادر متعددة، وتُقدّم صورة شاملة عن مشهد المخاطر بأبعاده المتعددة. ويؤكد</w:t>
      </w:r>
      <w:r w:rsidRPr="00D51D9D">
        <w:rPr>
          <w:rFonts w:ascii="Simplified Arabic" w:eastAsia="Times New Roman" w:hAnsi="Simplified Arabic" w:cs="Simplified Arabic"/>
          <w:color w:val="000000" w:themeColor="text1"/>
          <w:kern w:val="0"/>
          <w:sz w:val="28"/>
          <w:szCs w:val="28"/>
          <w14:ligatures w14:val="none"/>
        </w:rPr>
        <w:t xml:space="preserve"> (Jain, 2025) </w:t>
      </w:r>
      <w:r w:rsidRPr="00D51D9D">
        <w:rPr>
          <w:rFonts w:ascii="Simplified Arabic" w:eastAsia="Times New Roman" w:hAnsi="Simplified Arabic" w:cs="Simplified Arabic"/>
          <w:color w:val="000000" w:themeColor="text1"/>
          <w:kern w:val="0"/>
          <w:sz w:val="28"/>
          <w:szCs w:val="28"/>
          <w:rtl/>
          <w14:ligatures w14:val="none"/>
        </w:rPr>
        <w:t>أن التحليلات الذكية تُشكّل الركيزة المعرفية لهذا البُعد، إذ تُتيح قراءة المخاطر بمنطق شبكي متعدد الأبعاد، وتربط بين المخاطر المالية والتشغيلية والاستراتيجية والسمعية في نموذج تحليلي واحد يكشف عن الترابطات الخفية بينها، وهو ما يفتح الباب لفهم جديد لـ"شبكات المخاطر" التي تتجاوز نمط المعالجة الفردية</w:t>
      </w:r>
      <w:r w:rsidRPr="00D51D9D">
        <w:rPr>
          <w:rFonts w:ascii="Simplified Arabic" w:eastAsia="Times New Roman" w:hAnsi="Simplified Arabic" w:cs="Simplified Arabic"/>
          <w:color w:val="000000" w:themeColor="text1"/>
          <w:kern w:val="0"/>
          <w:sz w:val="28"/>
          <w:szCs w:val="28"/>
          <w14:ligatures w14:val="none"/>
        </w:rPr>
        <w:t>.</w:t>
      </w:r>
    </w:p>
    <w:p w14:paraId="6A42EC93" w14:textId="77777777" w:rsidR="00CA6C39" w:rsidRPr="00D51D9D" w:rsidRDefault="00CA6C39" w:rsidP="00724B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البُعد الثالث: الالتزام التنظيمي الرقمي</w:t>
      </w:r>
    </w:p>
    <w:p w14:paraId="247AA975"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 xml:space="preserve">يُعبّر هذا البُعد عن التحول من نموذج الامتثال اليدوي إلى نموذج الامتثال الآلي المُدمج في العمليات، وينهض على فرضية مفادها أن الامتثال بوصفه ممارسة يدوية لاحقة قد استنفد إمكاناته في ظل التوسع </w:t>
      </w:r>
      <w:r w:rsidRPr="00D51D9D">
        <w:rPr>
          <w:rFonts w:ascii="Simplified Arabic" w:eastAsia="Times New Roman" w:hAnsi="Simplified Arabic" w:cs="Simplified Arabic"/>
          <w:color w:val="000000" w:themeColor="text1"/>
          <w:kern w:val="0"/>
          <w:sz w:val="28"/>
          <w:szCs w:val="28"/>
          <w:rtl/>
          <w14:ligatures w14:val="none"/>
        </w:rPr>
        <w:lastRenderedPageBreak/>
        <w:t>التشريعي المتسارع، مما يستدعي تحويله إلى ممارسة آلية مدمجة تعمل في خلفية العمليات. ويشير</w:t>
      </w:r>
      <w:r w:rsidRPr="00D51D9D">
        <w:rPr>
          <w:rFonts w:ascii="Simplified Arabic" w:eastAsia="Times New Roman" w:hAnsi="Simplified Arabic" w:cs="Simplified Arabic"/>
          <w:color w:val="000000" w:themeColor="text1"/>
          <w:kern w:val="0"/>
          <w:sz w:val="28"/>
          <w:szCs w:val="28"/>
          <w14:ligatures w14:val="none"/>
        </w:rPr>
        <w:t xml:space="preserve"> (Ahmad, 2025) </w:t>
      </w:r>
      <w:r w:rsidRPr="00D51D9D">
        <w:rPr>
          <w:rFonts w:ascii="Simplified Arabic" w:eastAsia="Times New Roman" w:hAnsi="Simplified Arabic" w:cs="Simplified Arabic"/>
          <w:color w:val="000000" w:themeColor="text1"/>
          <w:kern w:val="0"/>
          <w:sz w:val="28"/>
          <w:szCs w:val="28"/>
          <w:rtl/>
          <w14:ligatures w14:val="none"/>
        </w:rPr>
        <w:t>إلى أن الالتزام الرقمي يُنشئ مسارات تدقيق واضحة تُوثّق كل معاملة بمرجعها التشريعي، وتُمكّن من التحقق الفوري من التزام العمليات بالأنظمة السارية، بحيث لا تعود المخالفات تُكتشف عبر تدقيق دوري بعد شهور من وقوعها، بل تُرصد لحظة حدوثها أو حتى تُمنع قبل وقوعها عبر ضوابط استباقية</w:t>
      </w:r>
      <w:r w:rsidRPr="00D51D9D">
        <w:rPr>
          <w:rFonts w:ascii="Simplified Arabic" w:eastAsia="Times New Roman" w:hAnsi="Simplified Arabic" w:cs="Simplified Arabic"/>
          <w:color w:val="000000" w:themeColor="text1"/>
          <w:kern w:val="0"/>
          <w:sz w:val="28"/>
          <w:szCs w:val="28"/>
          <w14:ligatures w14:val="none"/>
        </w:rPr>
        <w:t>.</w:t>
      </w:r>
    </w:p>
    <w:p w14:paraId="10C3B01E"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وتتضمن منظومة الالتزام الرقمي ثلاث ركائز تشغيلية. الركيزة الأولى هي أدوات التتبع الرقمي التي تُراقب التزام كل وحدة تنظيمية بالسياسات المعتمدة، وتُقدّم تقارير أداء التزام دورية تعكس الوضع الحقيقي لكل وحدة. والركيزة الثانية هي محركات القواعد التي تُحوّل التشريعات إلى معايير قابلة للفحص الآلي، بحيث يُترجم النص التشريعي إلى شفرة تنفيذية تُطبّقها الأنظمة بشكل تلقائي. والركيزة الثالثة هي منصات إدارة السياسات التي تُتيح تحديث الأطر التنظيمية بشكل ديناميكي، بحيث ينعكس أي تحديث تشريعي فورًا في الأنظمة التشغيلية للمؤسسة. ويُبرز</w:t>
      </w:r>
      <w:r w:rsidRPr="00D51D9D">
        <w:rPr>
          <w:rFonts w:ascii="Simplified Arabic" w:eastAsia="Times New Roman" w:hAnsi="Simplified Arabic" w:cs="Simplified Arabic"/>
          <w:color w:val="000000" w:themeColor="text1"/>
          <w:kern w:val="0"/>
          <w:sz w:val="28"/>
          <w:szCs w:val="28"/>
          <w14:ligatures w14:val="none"/>
        </w:rPr>
        <w:t xml:space="preserve"> (Victor et al., 2024) </w:t>
      </w:r>
      <w:r w:rsidRPr="00D51D9D">
        <w:rPr>
          <w:rFonts w:ascii="Simplified Arabic" w:eastAsia="Times New Roman" w:hAnsi="Simplified Arabic" w:cs="Simplified Arabic"/>
          <w:color w:val="000000" w:themeColor="text1"/>
          <w:kern w:val="0"/>
          <w:sz w:val="28"/>
          <w:szCs w:val="28"/>
          <w:rtl/>
          <w14:ligatures w14:val="none"/>
        </w:rPr>
        <w:t>أن الالتزام الرقمي يُعالج إشكالية متجذرة في العمل المؤسسي المعاصر، وهي تعدد الأطر التشريعية وتشابكها، إذ إن المؤسسات الكبرى تخضع في الغالب لعشرات الأطر التنظيمية الصادرة عن جهات متعددة، وقد تتعارض بعض متطلباتها. وتُتيح المنظومة الرقمية الجمع بين هذه المتطلبات ضمن منظومة واحدة تُدير التعارضات، وتُحدّد الأولويات، وتُخفّف من عبء الامتثال المتعدد</w:t>
      </w:r>
      <w:r w:rsidRPr="00D51D9D">
        <w:rPr>
          <w:rFonts w:ascii="Simplified Arabic" w:eastAsia="Times New Roman" w:hAnsi="Simplified Arabic" w:cs="Simplified Arabic"/>
          <w:color w:val="000000" w:themeColor="text1"/>
          <w:kern w:val="0"/>
          <w:sz w:val="28"/>
          <w:szCs w:val="28"/>
          <w14:ligatures w14:val="none"/>
        </w:rPr>
        <w:t>.</w:t>
      </w:r>
    </w:p>
    <w:p w14:paraId="3E4834BB" w14:textId="77777777" w:rsidR="00CA6C39" w:rsidRPr="00D51D9D" w:rsidRDefault="00CA6C39" w:rsidP="00724B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البُعد الرابع: التكامل التقني لأنظمة</w:t>
      </w:r>
      <w:r w:rsidRPr="00D51D9D">
        <w:rPr>
          <w:rFonts w:ascii="Simplified Arabic" w:eastAsia="Times New Roman" w:hAnsi="Simplified Arabic" w:cs="Simplified Arabic"/>
          <w:b/>
          <w:bCs/>
          <w:color w:val="000000" w:themeColor="text1"/>
          <w:kern w:val="0"/>
          <w:sz w:val="28"/>
          <w:szCs w:val="28"/>
          <w14:ligatures w14:val="none"/>
        </w:rPr>
        <w:t xml:space="preserve"> GRC</w:t>
      </w:r>
    </w:p>
    <w:p w14:paraId="731BCEDC"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يُعدّ هذا البُعد الحلقة الأخيرة التي تُوحّد الأبعاد السابقة في منظومة واحدة متسقة، ويُشكّل الفارق الجوهري بين الرقمنة الجزئية والتحول الرقمي الكامل. فالمؤسسات قد تمتلك أنظمة رقمية للحوكمة، وأخرى للمخاطر، وثالثة للامتثال، ومع ذلك تظل تعاني من التشتت والازدواجية إن لم تكن هذه الأنظمة متكاملة في بنية واحدة. ويرى</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Alhamami</w:t>
      </w:r>
      <w:proofErr w:type="spellEnd"/>
      <w:r w:rsidRPr="00D51D9D">
        <w:rPr>
          <w:rFonts w:ascii="Simplified Arabic" w:eastAsia="Times New Roman" w:hAnsi="Simplified Arabic" w:cs="Simplified Arabic"/>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color w:val="000000" w:themeColor="text1"/>
          <w:kern w:val="0"/>
          <w:sz w:val="28"/>
          <w:szCs w:val="28"/>
          <w14:ligatures w14:val="none"/>
        </w:rPr>
        <w:t>Alruwaili</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2025) </w:t>
      </w:r>
      <w:r w:rsidRPr="00D51D9D">
        <w:rPr>
          <w:rFonts w:ascii="Simplified Arabic" w:eastAsia="Times New Roman" w:hAnsi="Simplified Arabic" w:cs="Simplified Arabic"/>
          <w:color w:val="000000" w:themeColor="text1"/>
          <w:kern w:val="0"/>
          <w:sz w:val="28"/>
          <w:szCs w:val="28"/>
          <w:rtl/>
          <w14:ligatures w14:val="none"/>
        </w:rPr>
        <w:t>أن التكامل التقني هو ما يُميّز التطبيق الرقمي الناضج عن الرقمنة السطحية، إذ إنه يُنشئ جسورًا معلوماتية بين وحدات الحوكمة والمخاطر والامتثال، ويُلغي “الجزر التقنية” المنعزلة التي طالما أعاقت العمل المؤسسي وأفضت إلى ازدواجية البيانات وتباين نتائج التحليل بين الوحدات</w:t>
      </w:r>
      <w:r w:rsidRPr="00D51D9D">
        <w:rPr>
          <w:rFonts w:ascii="Simplified Arabic" w:eastAsia="Times New Roman" w:hAnsi="Simplified Arabic" w:cs="Simplified Arabic"/>
          <w:color w:val="000000" w:themeColor="text1"/>
          <w:kern w:val="0"/>
          <w:sz w:val="28"/>
          <w:szCs w:val="28"/>
          <w14:ligatures w14:val="none"/>
        </w:rPr>
        <w:t>.</w:t>
      </w:r>
    </w:p>
    <w:p w14:paraId="0CDBC177"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 xml:space="preserve">ويتحقق هذا التكامل عبر ثلاث بنى فنية متكاملة. البنية الأولى هي قواعد البيانات الموحدة التي تجعل من المعلومة موردًا مشتركًا بين الوحدات، بحيث يعمل الجميع على نسخة واحدة من الحقيقة تنتفي معها </w:t>
      </w:r>
      <w:r w:rsidRPr="00D51D9D">
        <w:rPr>
          <w:rFonts w:ascii="Simplified Arabic" w:eastAsia="Times New Roman" w:hAnsi="Simplified Arabic" w:cs="Simplified Arabic"/>
          <w:color w:val="000000" w:themeColor="text1"/>
          <w:kern w:val="0"/>
          <w:sz w:val="28"/>
          <w:szCs w:val="28"/>
          <w:rtl/>
          <w14:ligatures w14:val="none"/>
        </w:rPr>
        <w:lastRenderedPageBreak/>
        <w:t>إشكالية تباين المعطيات. والبنية الثانية هي واجهات التشغيل البيني التي تسمح للأنظمة المختلفة بتبادل المعطيات بسلاسة عبر بروتوكولات معيارية، بحيث لا يُعيق تنوع الحلول التقنية سلاسة العمل التكاملي. والبنية الثالثة هي لوحات المعلومات التكاملية التي تعرض مؤشرات المنظومة كافة في واجهة واحدة، تُتيح للقيادة رؤية شاملة للوضع المؤسسي دون الحاجة إلى التنقل بين أنظمة متعددة. ويُضيف</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Araberami</w:t>
      </w:r>
      <w:proofErr w:type="spellEnd"/>
      <w:r w:rsidRPr="00D51D9D">
        <w:rPr>
          <w:rFonts w:ascii="Simplified Arabic" w:eastAsia="Times New Roman" w:hAnsi="Simplified Arabic" w:cs="Simplified Arabic"/>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color w:val="000000" w:themeColor="text1"/>
          <w:kern w:val="0"/>
          <w:sz w:val="28"/>
          <w:szCs w:val="28"/>
          <w14:ligatures w14:val="none"/>
        </w:rPr>
        <w:t>Allioui</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2024) </w:t>
      </w:r>
      <w:r w:rsidRPr="00D51D9D">
        <w:rPr>
          <w:rFonts w:ascii="Simplified Arabic" w:eastAsia="Times New Roman" w:hAnsi="Simplified Arabic" w:cs="Simplified Arabic"/>
          <w:color w:val="000000" w:themeColor="text1"/>
          <w:kern w:val="0"/>
          <w:sz w:val="28"/>
          <w:szCs w:val="28"/>
          <w:rtl/>
          <w14:ligatures w14:val="none"/>
        </w:rPr>
        <w:t>أن هذا التكامل يُنتج قيمة تفوق مجموع القيم الفردية للأبعاد، إذ إن الترابط بين البيانات يكشف عن أنماط لم تكن لتظهر في المعالجة المنفصلة، ويُتيح ربط الرقابة الداخلية بمنظومة الحوكمة الشاملة على نحو يخدم استدامة الأداء المالي، وهو ما يُشكّل الأساس النظري لتوقع أثر إيجابي للمتغير المستقل على المتغير التابع في هذه الدراسة</w:t>
      </w:r>
      <w:r w:rsidRPr="00D51D9D">
        <w:rPr>
          <w:rFonts w:ascii="Simplified Arabic" w:eastAsia="Times New Roman" w:hAnsi="Simplified Arabic" w:cs="Simplified Arabic"/>
          <w:color w:val="000000" w:themeColor="text1"/>
          <w:kern w:val="0"/>
          <w:sz w:val="28"/>
          <w:szCs w:val="28"/>
          <w14:ligatures w14:val="none"/>
        </w:rPr>
        <w:t>.</w:t>
      </w:r>
    </w:p>
    <w:p w14:paraId="6599A94D" w14:textId="12917009" w:rsidR="00CA6C39" w:rsidRPr="00D51D9D" w:rsidRDefault="00724BDB" w:rsidP="00724B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4226613"/>
      <w:r w:rsidRPr="00D51D9D">
        <w:rPr>
          <w:rFonts w:ascii="Simplified Arabic" w:eastAsia="Times New Roman" w:hAnsi="Simplified Arabic" w:cs="Simplified Arabic" w:hint="cs"/>
          <w:b/>
          <w:bCs/>
          <w:color w:val="000000" w:themeColor="text1"/>
          <w:kern w:val="0"/>
          <w:sz w:val="32"/>
          <w:szCs w:val="32"/>
          <w:rtl/>
          <w14:ligatures w14:val="none"/>
        </w:rPr>
        <w:t xml:space="preserve">6.1.2 </w:t>
      </w:r>
      <w:r w:rsidR="00CA6C39" w:rsidRPr="00D51D9D">
        <w:rPr>
          <w:rFonts w:ascii="Simplified Arabic" w:eastAsia="Times New Roman" w:hAnsi="Simplified Arabic" w:cs="Simplified Arabic"/>
          <w:b/>
          <w:bCs/>
          <w:color w:val="000000" w:themeColor="text1"/>
          <w:kern w:val="0"/>
          <w:sz w:val="32"/>
          <w:szCs w:val="32"/>
          <w:rtl/>
          <w14:ligatures w14:val="none"/>
        </w:rPr>
        <w:t>مداخل معالجة التطبيق الرقمي لـ</w:t>
      </w:r>
      <w:r w:rsidR="00CA6C39" w:rsidRPr="00D51D9D">
        <w:rPr>
          <w:rFonts w:ascii="Simplified Arabic" w:eastAsia="Times New Roman" w:hAnsi="Simplified Arabic" w:cs="Simplified Arabic"/>
          <w:b/>
          <w:bCs/>
          <w:color w:val="000000" w:themeColor="text1"/>
          <w:kern w:val="0"/>
          <w:sz w:val="32"/>
          <w:szCs w:val="32"/>
          <w14:ligatures w14:val="none"/>
        </w:rPr>
        <w:t xml:space="preserve"> GRC </w:t>
      </w:r>
      <w:r w:rsidR="00CA6C39" w:rsidRPr="00D51D9D">
        <w:rPr>
          <w:rFonts w:ascii="Simplified Arabic" w:eastAsia="Times New Roman" w:hAnsi="Simplified Arabic" w:cs="Simplified Arabic"/>
          <w:b/>
          <w:bCs/>
          <w:color w:val="000000" w:themeColor="text1"/>
          <w:kern w:val="0"/>
          <w:sz w:val="32"/>
          <w:szCs w:val="32"/>
          <w:rtl/>
          <w14:ligatures w14:val="none"/>
        </w:rPr>
        <w:t>في الأدبيات</w:t>
      </w:r>
      <w:bookmarkEnd w:id="46"/>
    </w:p>
    <w:p w14:paraId="5300DC38"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اتسمت الأدبيات المتعلقة بالتطبيق الرقمي لمنظومة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بتنوع مداخل المعالجة، وهو ما يُثري الإطار النظري للدراسة الحالية ويُوفّر لها روافد فكرية متعددة تُعمّق فهم المتغير المستقل بأبعاده. فقد تناول</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Odedina</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2023) </w:t>
      </w:r>
      <w:r w:rsidRPr="00D51D9D">
        <w:rPr>
          <w:rFonts w:ascii="Simplified Arabic" w:eastAsia="Times New Roman" w:hAnsi="Simplified Arabic" w:cs="Simplified Arabic"/>
          <w:color w:val="000000" w:themeColor="text1"/>
          <w:kern w:val="0"/>
          <w:sz w:val="28"/>
          <w:szCs w:val="28"/>
          <w:rtl/>
          <w14:ligatures w14:val="none"/>
        </w:rPr>
        <w:t>الموضوع من منظور إعادة التعريف في العصر الرقمي، مركزًا على دمج الذكاء الاصطناعي في الأطر التقليدية، ووظّف متغيرات تتصل بأتمتة الحوكمة والتنبؤ بالمخاطر والامتثال الآلي، بمؤشرات نوعية تعكس نضج التحول الرقمي في المنظومة. وتُفيد هذه المعالجة الدراسة الحالية في تأصيل البُعدين الأول والثاني، وتُوفّر إطارًا لبناء مؤشرات القياس المتعلقة بالنمذجة التنبؤية والاستجابة الاستباقية</w:t>
      </w:r>
      <w:r w:rsidRPr="00D51D9D">
        <w:rPr>
          <w:rFonts w:ascii="Simplified Arabic" w:eastAsia="Times New Roman" w:hAnsi="Simplified Arabic" w:cs="Simplified Arabic"/>
          <w:color w:val="000000" w:themeColor="text1"/>
          <w:kern w:val="0"/>
          <w:sz w:val="28"/>
          <w:szCs w:val="28"/>
          <w14:ligatures w14:val="none"/>
        </w:rPr>
        <w:t>.</w:t>
      </w:r>
    </w:p>
    <w:p w14:paraId="630D23BD"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وعالج</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Aloulou</w:t>
      </w:r>
      <w:proofErr w:type="spellEnd"/>
      <w:r w:rsidRPr="00D51D9D">
        <w:rPr>
          <w:rFonts w:ascii="Simplified Arabic" w:eastAsia="Times New Roman" w:hAnsi="Simplified Arabic" w:cs="Simplified Arabic"/>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color w:val="000000" w:themeColor="text1"/>
          <w:kern w:val="0"/>
          <w:sz w:val="28"/>
          <w:szCs w:val="28"/>
          <w14:ligatures w14:val="none"/>
        </w:rPr>
        <w:t>Alshohail</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2026) </w:t>
      </w:r>
      <w:r w:rsidRPr="00D51D9D">
        <w:rPr>
          <w:rFonts w:ascii="Simplified Arabic" w:eastAsia="Times New Roman" w:hAnsi="Simplified Arabic" w:cs="Simplified Arabic"/>
          <w:color w:val="000000" w:themeColor="text1"/>
          <w:kern w:val="0"/>
          <w:sz w:val="28"/>
          <w:szCs w:val="28"/>
          <w:rtl/>
          <w14:ligatures w14:val="none"/>
        </w:rPr>
        <w:t>المتغير من منظور الانتقال من التحكم إلى القيمة، ضمن إطار الشركات القائمة على التقنية في السياق السعودي، مستخدمًا متغيرات الكفاءة التشغيلية والسمعة المؤسسية، بمؤشرات ترتبط بأبعاد الحوكمة والمخاطر والامتثال في تكاملها. وتُفيد هذه الدراسة الراهنة في بناء الجسر النظري بين المتغير المستقل والمتغير التابع، وتُوفّر إطارًا مرجعيًا لقياس أثر المنظومة على الأداء التشغيلي في السياق السعودي</w:t>
      </w:r>
      <w:r w:rsidRPr="00D51D9D">
        <w:rPr>
          <w:rFonts w:ascii="Simplified Arabic" w:eastAsia="Times New Roman" w:hAnsi="Simplified Arabic" w:cs="Simplified Arabic"/>
          <w:color w:val="000000" w:themeColor="text1"/>
          <w:kern w:val="0"/>
          <w:sz w:val="28"/>
          <w:szCs w:val="28"/>
          <w14:ligatures w14:val="none"/>
        </w:rPr>
        <w:t>.</w:t>
      </w:r>
    </w:p>
    <w:p w14:paraId="0A20E9DF"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وتناول</w:t>
      </w:r>
      <w:r w:rsidRPr="00D51D9D">
        <w:rPr>
          <w:rFonts w:ascii="Simplified Arabic" w:eastAsia="Times New Roman" w:hAnsi="Simplified Arabic" w:cs="Simplified Arabic"/>
          <w:color w:val="000000" w:themeColor="text1"/>
          <w:kern w:val="0"/>
          <w:sz w:val="28"/>
          <w:szCs w:val="28"/>
          <w14:ligatures w14:val="none"/>
        </w:rPr>
        <w:t xml:space="preserve"> (Victor et al., 2024) </w:t>
      </w:r>
      <w:r w:rsidRPr="00D51D9D">
        <w:rPr>
          <w:rFonts w:ascii="Simplified Arabic" w:eastAsia="Times New Roman" w:hAnsi="Simplified Arabic" w:cs="Simplified Arabic"/>
          <w:color w:val="000000" w:themeColor="text1"/>
          <w:kern w:val="0"/>
          <w:sz w:val="28"/>
          <w:szCs w:val="28"/>
          <w:rtl/>
          <w14:ligatures w14:val="none"/>
        </w:rPr>
        <w:t>المنظومة من زاوية حوكمة تقنية المعلومات في المنظمات الحديثة، بمتغيرات تتصل بمواءمة الاستثمار التقني والالتزام المؤسسي، وبمؤشرات تعكس نضج الحوكمة التقنية. وتُفيد هذه المعالجة في تأصيل البُعد الثالث المتعلق بالالتزام التنظيمي الرقمي، وتُوفّر أدوات نظرية لفهم العلاقة بين البنى التقنية ومنظومة الامتثال</w:t>
      </w:r>
      <w:r w:rsidRPr="00D51D9D">
        <w:rPr>
          <w:rFonts w:ascii="Simplified Arabic" w:eastAsia="Times New Roman" w:hAnsi="Simplified Arabic" w:cs="Simplified Arabic"/>
          <w:color w:val="000000" w:themeColor="text1"/>
          <w:kern w:val="0"/>
          <w:sz w:val="28"/>
          <w:szCs w:val="28"/>
          <w14:ligatures w14:val="none"/>
        </w:rPr>
        <w:t>.</w:t>
      </w:r>
    </w:p>
    <w:p w14:paraId="2BB8CC2E"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lastRenderedPageBreak/>
        <w:t>ووظّف</w:t>
      </w:r>
      <w:r w:rsidRPr="00D51D9D">
        <w:rPr>
          <w:rFonts w:ascii="Simplified Arabic" w:eastAsia="Times New Roman" w:hAnsi="Simplified Arabic" w:cs="Simplified Arabic"/>
          <w:color w:val="000000" w:themeColor="text1"/>
          <w:kern w:val="0"/>
          <w:sz w:val="28"/>
          <w:szCs w:val="28"/>
          <w14:ligatures w14:val="none"/>
        </w:rPr>
        <w:t xml:space="preserve"> (Jain, 2025) </w:t>
      </w:r>
      <w:r w:rsidRPr="00D51D9D">
        <w:rPr>
          <w:rFonts w:ascii="Simplified Arabic" w:eastAsia="Times New Roman" w:hAnsi="Simplified Arabic" w:cs="Simplified Arabic"/>
          <w:color w:val="000000" w:themeColor="text1"/>
          <w:kern w:val="0"/>
          <w:sz w:val="28"/>
          <w:szCs w:val="28"/>
          <w:rtl/>
          <w14:ligatures w14:val="none"/>
        </w:rPr>
        <w:t>مدخل التحليلات الذكية، ضمن إطار الأُطر الحاكمة، بمتغيرات ترتبط بجودة القرار وسرعة الاستجابة، بمؤشرات مستقاة من نماذج التعلم الآلي. وتُفيد هذه الدراسة الحالية في تعميق مفهوم البُعد الرابع المتعلق بالتكامل التقني، وتُوفّر إطارًا لفهم دور التحليلات المتقدمة في توحيد بيانات المنظومة</w:t>
      </w:r>
      <w:r w:rsidRPr="00D51D9D">
        <w:rPr>
          <w:rFonts w:ascii="Simplified Arabic" w:eastAsia="Times New Roman" w:hAnsi="Simplified Arabic" w:cs="Simplified Arabic"/>
          <w:color w:val="000000" w:themeColor="text1"/>
          <w:kern w:val="0"/>
          <w:sz w:val="28"/>
          <w:szCs w:val="28"/>
          <w14:ligatures w14:val="none"/>
        </w:rPr>
        <w:t>.</w:t>
      </w:r>
    </w:p>
    <w:p w14:paraId="6B7DD514"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وأسهم</w:t>
      </w:r>
      <w:r w:rsidRPr="00D51D9D">
        <w:rPr>
          <w:rFonts w:ascii="Simplified Arabic" w:eastAsia="Times New Roman" w:hAnsi="Simplified Arabic" w:cs="Simplified Arabic"/>
          <w:color w:val="000000" w:themeColor="text1"/>
          <w:kern w:val="0"/>
          <w:sz w:val="28"/>
          <w:szCs w:val="28"/>
          <w14:ligatures w14:val="none"/>
        </w:rPr>
        <w:t xml:space="preserve"> (Ahmad, 2025) </w:t>
      </w:r>
      <w:r w:rsidRPr="00D51D9D">
        <w:rPr>
          <w:rFonts w:ascii="Simplified Arabic" w:eastAsia="Times New Roman" w:hAnsi="Simplified Arabic" w:cs="Simplified Arabic"/>
          <w:color w:val="000000" w:themeColor="text1"/>
          <w:kern w:val="0"/>
          <w:sz w:val="28"/>
          <w:szCs w:val="28"/>
          <w:rtl/>
          <w14:ligatures w14:val="none"/>
        </w:rPr>
        <w:t>بمعالجة قطاعية للموضوع في السياق المصرفي، بمتغيرات تتصل بالنزاهة المالية ودور المدققين، وهو ما يُوفّر ركيزة نظرية لربط منظومة</w:t>
      </w:r>
      <w:r w:rsidRPr="00D51D9D">
        <w:rPr>
          <w:rFonts w:ascii="Simplified Arabic" w:eastAsia="Times New Roman" w:hAnsi="Simplified Arabic" w:cs="Simplified Arabic"/>
          <w:color w:val="000000" w:themeColor="text1"/>
          <w:kern w:val="0"/>
          <w:sz w:val="28"/>
          <w:szCs w:val="28"/>
          <w14:ligatures w14:val="none"/>
        </w:rPr>
        <w:t xml:space="preserve"> GRC </w:t>
      </w:r>
      <w:r w:rsidRPr="00D51D9D">
        <w:rPr>
          <w:rFonts w:ascii="Simplified Arabic" w:eastAsia="Times New Roman" w:hAnsi="Simplified Arabic" w:cs="Simplified Arabic"/>
          <w:color w:val="000000" w:themeColor="text1"/>
          <w:kern w:val="0"/>
          <w:sz w:val="28"/>
          <w:szCs w:val="28"/>
          <w:rtl/>
          <w14:ligatures w14:val="none"/>
        </w:rPr>
        <w:t>بالرقابة الداخلية، ويُغذّي الإطار النظري بفهم دقيق لدور مدققي نظم المعلومات في المنظومة الرقمية</w:t>
      </w:r>
      <w:r w:rsidRPr="00D51D9D">
        <w:rPr>
          <w:rFonts w:ascii="Simplified Arabic" w:eastAsia="Times New Roman" w:hAnsi="Simplified Arabic" w:cs="Simplified Arabic"/>
          <w:color w:val="000000" w:themeColor="text1"/>
          <w:kern w:val="0"/>
          <w:sz w:val="28"/>
          <w:szCs w:val="28"/>
          <w14:ligatures w14:val="none"/>
        </w:rPr>
        <w:t>.</w:t>
      </w:r>
    </w:p>
    <w:p w14:paraId="55644E56"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وقارب</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Alqahtani</w:t>
      </w:r>
      <w:proofErr w:type="spellEnd"/>
      <w:r w:rsidRPr="00D51D9D">
        <w:rPr>
          <w:rFonts w:ascii="Simplified Arabic" w:eastAsia="Times New Roman" w:hAnsi="Simplified Arabic" w:cs="Simplified Arabic"/>
          <w:color w:val="000000" w:themeColor="text1"/>
          <w:kern w:val="0"/>
          <w:sz w:val="28"/>
          <w:szCs w:val="28"/>
          <w14:ligatures w14:val="none"/>
        </w:rPr>
        <w:t xml:space="preserve"> et al., 2025) </w:t>
      </w:r>
      <w:r w:rsidRPr="00D51D9D">
        <w:rPr>
          <w:rFonts w:ascii="Simplified Arabic" w:eastAsia="Times New Roman" w:hAnsi="Simplified Arabic" w:cs="Simplified Arabic"/>
          <w:color w:val="000000" w:themeColor="text1"/>
          <w:kern w:val="0"/>
          <w:sz w:val="28"/>
          <w:szCs w:val="28"/>
          <w:rtl/>
          <w14:ligatures w14:val="none"/>
        </w:rPr>
        <w:t>الموضوع من زاوية القطاع الصحي عبر مراجعة منهجية، بمتغيرات تتصل بجودة الخدمات وسلامة أصحاب المصلحة، وهو ما يُثري الرؤية القطاعية للمنظومة، ويكشف عن قابليتها للتطبيق في القطاعات ذات الأثر المجتمعي المباشر، بما ينطبق قياسًا على الشركات الحكومية بوصفها قطاعًا ذا أثر مجتمعي واسع</w:t>
      </w:r>
      <w:r w:rsidRPr="00D51D9D">
        <w:rPr>
          <w:rFonts w:ascii="Simplified Arabic" w:eastAsia="Times New Roman" w:hAnsi="Simplified Arabic" w:cs="Simplified Arabic"/>
          <w:color w:val="000000" w:themeColor="text1"/>
          <w:kern w:val="0"/>
          <w:sz w:val="28"/>
          <w:szCs w:val="28"/>
          <w14:ligatures w14:val="none"/>
        </w:rPr>
        <w:t>.</w:t>
      </w:r>
    </w:p>
    <w:p w14:paraId="041E0CA4"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وتناول</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Alhamami</w:t>
      </w:r>
      <w:proofErr w:type="spellEnd"/>
      <w:r w:rsidRPr="00D51D9D">
        <w:rPr>
          <w:rFonts w:ascii="Simplified Arabic" w:eastAsia="Times New Roman" w:hAnsi="Simplified Arabic" w:cs="Simplified Arabic"/>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color w:val="000000" w:themeColor="text1"/>
          <w:kern w:val="0"/>
          <w:sz w:val="28"/>
          <w:szCs w:val="28"/>
          <w14:ligatures w14:val="none"/>
        </w:rPr>
        <w:t>Alruwaili</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2025) </w:t>
      </w:r>
      <w:r w:rsidRPr="00D51D9D">
        <w:rPr>
          <w:rFonts w:ascii="Simplified Arabic" w:eastAsia="Times New Roman" w:hAnsi="Simplified Arabic" w:cs="Simplified Arabic"/>
          <w:color w:val="000000" w:themeColor="text1"/>
          <w:kern w:val="0"/>
          <w:sz w:val="28"/>
          <w:szCs w:val="28"/>
          <w:rtl/>
          <w14:ligatures w14:val="none"/>
        </w:rPr>
        <w:t>المتغير من زاوية مخرجات الاستثمار في السياق السعودي، بمتغيرات تتصل بالتحول الرقمي وقرارات الاستثمار، وهو ما يُقدّم إطارًا سياقيًا يتقاطع مباشرة مع بيئة الدراسة الحالية، ويُوفّر أساسًا لفهم كيفية عمل المنظومة في السياق السعودي بخصوصيته التنظيمية والتشريعية</w:t>
      </w:r>
      <w:r w:rsidRPr="00D51D9D">
        <w:rPr>
          <w:rFonts w:ascii="Simplified Arabic" w:eastAsia="Times New Roman" w:hAnsi="Simplified Arabic" w:cs="Simplified Arabic"/>
          <w:color w:val="000000" w:themeColor="text1"/>
          <w:kern w:val="0"/>
          <w:sz w:val="28"/>
          <w:szCs w:val="28"/>
          <w14:ligatures w14:val="none"/>
        </w:rPr>
        <w:t>.</w:t>
      </w:r>
    </w:p>
    <w:p w14:paraId="0FD7A96D"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وعالج</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Goh</w:t>
      </w:r>
      <w:proofErr w:type="spellEnd"/>
      <w:r w:rsidRPr="00D51D9D">
        <w:rPr>
          <w:rFonts w:ascii="Simplified Arabic" w:eastAsia="Times New Roman" w:hAnsi="Simplified Arabic" w:cs="Simplified Arabic"/>
          <w:color w:val="000000" w:themeColor="text1"/>
          <w:kern w:val="0"/>
          <w:sz w:val="28"/>
          <w:szCs w:val="28"/>
          <w14:ligatures w14:val="none"/>
        </w:rPr>
        <w:t xml:space="preserve"> et al., 2022) </w:t>
      </w:r>
      <w:r w:rsidRPr="00D51D9D">
        <w:rPr>
          <w:rFonts w:ascii="Simplified Arabic" w:eastAsia="Times New Roman" w:hAnsi="Simplified Arabic" w:cs="Simplified Arabic"/>
          <w:color w:val="000000" w:themeColor="text1"/>
          <w:kern w:val="0"/>
          <w:sz w:val="28"/>
          <w:szCs w:val="28"/>
          <w:rtl/>
          <w14:ligatures w14:val="none"/>
        </w:rPr>
        <w:t>الموضوع من منظور المستثمرين تجاه التحول الرقمي، بمتغيرات ترتبط بالإدراك المؤسسي والشفافية، مما يُوفّر بُعدًا إدراكيًا مكمّلًا للإطار النظري، ويكشف عن كيفية استقبال أصحاب المصلحة للممارسات الرقمية للمنظومة</w:t>
      </w:r>
      <w:r w:rsidRPr="00D51D9D">
        <w:rPr>
          <w:rFonts w:ascii="Simplified Arabic" w:eastAsia="Times New Roman" w:hAnsi="Simplified Arabic" w:cs="Simplified Arabic"/>
          <w:color w:val="000000" w:themeColor="text1"/>
          <w:kern w:val="0"/>
          <w:sz w:val="28"/>
          <w:szCs w:val="28"/>
          <w14:ligatures w14:val="none"/>
        </w:rPr>
        <w:t>.</w:t>
      </w:r>
    </w:p>
    <w:p w14:paraId="5F8B76C3"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وأخيرًا، قدّم</w:t>
      </w:r>
      <w:r w:rsidRPr="00D51D9D">
        <w:rPr>
          <w:rFonts w:ascii="Simplified Arabic" w:eastAsia="Times New Roman" w:hAnsi="Simplified Arabic" w:cs="Simplified Arabic"/>
          <w:color w:val="000000" w:themeColor="text1"/>
          <w:kern w:val="0"/>
          <w:sz w:val="28"/>
          <w:szCs w:val="28"/>
          <w14:ligatures w14:val="none"/>
        </w:rPr>
        <w:t xml:space="preserve"> (</w:t>
      </w:r>
      <w:proofErr w:type="spellStart"/>
      <w:r w:rsidRPr="00D51D9D">
        <w:rPr>
          <w:rFonts w:ascii="Simplified Arabic" w:eastAsia="Times New Roman" w:hAnsi="Simplified Arabic" w:cs="Simplified Arabic"/>
          <w:color w:val="000000" w:themeColor="text1"/>
          <w:kern w:val="0"/>
          <w:sz w:val="28"/>
          <w:szCs w:val="28"/>
          <w14:ligatures w14:val="none"/>
        </w:rPr>
        <w:t>Araberami</w:t>
      </w:r>
      <w:proofErr w:type="spellEnd"/>
      <w:r w:rsidRPr="00D51D9D">
        <w:rPr>
          <w:rFonts w:ascii="Simplified Arabic" w:eastAsia="Times New Roman" w:hAnsi="Simplified Arabic" w:cs="Simplified Arabic"/>
          <w:color w:val="000000" w:themeColor="text1"/>
          <w:kern w:val="0"/>
          <w:sz w:val="28"/>
          <w:szCs w:val="28"/>
          <w14:ligatures w14:val="none"/>
        </w:rPr>
        <w:t xml:space="preserve"> &amp; </w:t>
      </w:r>
      <w:proofErr w:type="spellStart"/>
      <w:r w:rsidRPr="00D51D9D">
        <w:rPr>
          <w:rFonts w:ascii="Simplified Arabic" w:eastAsia="Times New Roman" w:hAnsi="Simplified Arabic" w:cs="Simplified Arabic"/>
          <w:color w:val="000000" w:themeColor="text1"/>
          <w:kern w:val="0"/>
          <w:sz w:val="28"/>
          <w:szCs w:val="28"/>
          <w14:ligatures w14:val="none"/>
        </w:rPr>
        <w:t>Allioui</w:t>
      </w:r>
      <w:proofErr w:type="spellEnd"/>
      <w:r w:rsidRPr="00D51D9D">
        <w:rPr>
          <w:rFonts w:ascii="Simplified Arabic" w:eastAsia="Times New Roman" w:hAnsi="Simplified Arabic" w:cs="Simplified Arabic"/>
          <w:color w:val="000000" w:themeColor="text1"/>
          <w:kern w:val="0"/>
          <w:sz w:val="28"/>
          <w:szCs w:val="28"/>
          <w14:ligatures w14:val="none"/>
        </w:rPr>
        <w:t xml:space="preserve">, 2024) </w:t>
      </w:r>
      <w:r w:rsidRPr="00D51D9D">
        <w:rPr>
          <w:rFonts w:ascii="Simplified Arabic" w:eastAsia="Times New Roman" w:hAnsi="Simplified Arabic" w:cs="Simplified Arabic"/>
          <w:color w:val="000000" w:themeColor="text1"/>
          <w:kern w:val="0"/>
          <w:sz w:val="28"/>
          <w:szCs w:val="28"/>
          <w:rtl/>
          <w14:ligatures w14:val="none"/>
        </w:rPr>
        <w:t>معالجة تجمع بين الحوكمة المالية والابتكار الرقمي، بمتغيرات ترتبط بالرقابة الداخلية والنجاح المؤسسي، وهو ما يُشكّل جسرًا نظريًا مباشرًا بين المتغير المستقل والمتغير التابع للدراسة الراهنة، ويُوفّر السند النظري للفرضية الرئيسية للدراسة</w:t>
      </w:r>
      <w:r w:rsidRPr="00D51D9D">
        <w:rPr>
          <w:rFonts w:ascii="Simplified Arabic" w:eastAsia="Times New Roman" w:hAnsi="Simplified Arabic" w:cs="Simplified Arabic"/>
          <w:color w:val="000000" w:themeColor="text1"/>
          <w:kern w:val="0"/>
          <w:sz w:val="28"/>
          <w:szCs w:val="28"/>
          <w14:ligatures w14:val="none"/>
        </w:rPr>
        <w:t>.</w:t>
      </w:r>
    </w:p>
    <w:p w14:paraId="41A6FC1C" w14:textId="7C4A5D1D" w:rsidR="00CA6C39" w:rsidRPr="00D51D9D" w:rsidRDefault="00724BDB" w:rsidP="00724BDB">
      <w:pPr>
        <w:jc w:val="center"/>
        <w:outlineLvl w:val="1"/>
        <w:rPr>
          <w:rFonts w:ascii="Simplified Arabic" w:eastAsia="Times New Roman" w:hAnsi="Simplified Arabic" w:cs="Simplified Arabic"/>
          <w:b/>
          <w:bCs/>
          <w:color w:val="000000" w:themeColor="text1"/>
          <w:kern w:val="0"/>
          <w:sz w:val="36"/>
          <w:szCs w:val="36"/>
          <w14:ligatures w14:val="none"/>
        </w:rPr>
      </w:pPr>
      <w:r w:rsidRPr="00D51D9D">
        <w:rPr>
          <w:rFonts w:ascii="Simplified Arabic" w:eastAsia="Times New Roman" w:hAnsi="Simplified Arabic" w:cs="Simplified Arabic"/>
          <w:b/>
          <w:bCs/>
          <w:color w:val="000000" w:themeColor="text1"/>
          <w:kern w:val="0"/>
          <w:sz w:val="36"/>
          <w:szCs w:val="36"/>
          <w14:ligatures w14:val="none"/>
        </w:rPr>
        <w:br w:type="page"/>
      </w:r>
      <w:bookmarkStart w:id="47" w:name="_Toc234226614"/>
      <w:r w:rsidR="00CA6C39" w:rsidRPr="00D51D9D">
        <w:rPr>
          <w:rFonts w:ascii="Simplified Arabic" w:eastAsia="Times New Roman" w:hAnsi="Simplified Arabic" w:cs="Simplified Arabic"/>
          <w:b/>
          <w:bCs/>
          <w:color w:val="000000" w:themeColor="text1"/>
          <w:kern w:val="0"/>
          <w:sz w:val="36"/>
          <w:szCs w:val="36"/>
          <w:rtl/>
          <w14:ligatures w14:val="none"/>
        </w:rPr>
        <w:lastRenderedPageBreak/>
        <w:t>المبحث الثاني: تحسين فعالية الرقابة الداخلية وخفض المخاطر التشغيلية</w:t>
      </w:r>
      <w:bookmarkEnd w:id="47"/>
    </w:p>
    <w:p w14:paraId="3E22917E" w14:textId="3990047C" w:rsidR="00CA6C39" w:rsidRPr="00D51D9D" w:rsidRDefault="00724BDB" w:rsidP="00724B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4226615"/>
      <w:r w:rsidRPr="00D51D9D">
        <w:rPr>
          <w:rFonts w:ascii="Simplified Arabic" w:eastAsia="Times New Roman" w:hAnsi="Simplified Arabic" w:cs="Simplified Arabic" w:hint="cs"/>
          <w:b/>
          <w:bCs/>
          <w:color w:val="000000" w:themeColor="text1"/>
          <w:kern w:val="0"/>
          <w:sz w:val="32"/>
          <w:szCs w:val="32"/>
          <w:rtl/>
          <w14:ligatures w14:val="none"/>
        </w:rPr>
        <w:t xml:space="preserve">1.2.2 </w:t>
      </w:r>
      <w:r w:rsidR="00CA6C39" w:rsidRPr="00D51D9D">
        <w:rPr>
          <w:rFonts w:ascii="Simplified Arabic" w:eastAsia="Times New Roman" w:hAnsi="Simplified Arabic" w:cs="Simplified Arabic"/>
          <w:b/>
          <w:bCs/>
          <w:color w:val="000000" w:themeColor="text1"/>
          <w:kern w:val="0"/>
          <w:sz w:val="32"/>
          <w:szCs w:val="32"/>
          <w:rtl/>
          <w14:ligatures w14:val="none"/>
        </w:rPr>
        <w:t>تمهيد</w:t>
      </w:r>
      <w:bookmarkEnd w:id="48"/>
    </w:p>
    <w:p w14:paraId="4F346803"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يُشكّل الحديث عن الرقابة الداخلية والمخاطر التشغيلية حديثًا عن الحصانة المؤسسية بمعناها الشامل، تلك الحصانة التي تحفظ للمؤسسة قدرتها على أداء وظائفها في وجه العوامل التي تُهدّد استمراريتها من داخلها وخارجها. ويستمد هذا الموضوع أهميته النظرية والتطبيقية من كون المؤسسات المعاصرة تعمل في بيئة تتضاعف فيها المخاطر التشغيلية بوتيرة تفوق قدرة الأدوات التقليدية على استيعابها، إذ إن رقمنة العمليات وإن كانت قد رفعت من كفاءتها، فقد أوجدت في الوقت ذاته أصنافًا جديدة من المخاطر لم تكن معهودة في العمل التقليدي، كمخاطر الاعتماد على الأنظمة، ومخاطر الأمن السيبراني، ومخاطر انقطاع الخدمات الرقمية، ومخاطر الطرف الثالث الرقمي. وقد استدعى هذا التحول إعادة النظر في مفهوم الرقابة الداخلية ذاتها، بحيث لم تعد مجرد فحص للسجلات المحاسبية، بل منظومة متكاملة تُغطّي الأبعاد التشغيلية والمالية والامتثالية في نسق واحد</w:t>
      </w:r>
      <w:r w:rsidRPr="00D51D9D">
        <w:rPr>
          <w:rFonts w:ascii="Simplified Arabic" w:eastAsia="Times New Roman" w:hAnsi="Simplified Arabic" w:cs="Simplified Arabic"/>
          <w:color w:val="000000" w:themeColor="text1"/>
          <w:kern w:val="0"/>
          <w:sz w:val="28"/>
          <w:szCs w:val="28"/>
          <w14:ligatures w14:val="none"/>
        </w:rPr>
        <w:t>.</w:t>
      </w:r>
    </w:p>
    <w:p w14:paraId="288721BE"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ولا يمكن فهم علاقة الرقابة الداخلية بالمخاطر التشغيلية دون إدراك الطابع التبادلي بينهما، فالرقابة الفعّالة تُشكّل الآلية التي تحول دون تبلور المخاطر التشغيلية، والمخاطر التشغيلية بدورها تكشف عن نقاط ضعف المنظومة الرقابية وتدفع إلى تطويرها. ومن هنا فإن معالجتهما بوصفهما وظيفتين مستقلتين معالجة قاصرة، والأصح تناولهما بوصفهما وجهين لعملة واحدة، أو بتعبير أدق: نتاجًا لعملية مؤسسية واحدة تستهدف صون قيمة المؤسسة وحماية مسار أدائها (فروانة وعياد، ٢٠٢٢). وفي هذا الإطار يتناول هذا المبحث المتغير التابع للدراسة بمعالجة نظرية تُغطّي مفهومه، وأهميته، وأهدافه، وأبعاده، ومداخل معالجته في الأدبيات، مع الحرص على تعميق التحليل النظري بما يخدم استواء الإطار على أسس علمية رصينة</w:t>
      </w:r>
      <w:r w:rsidRPr="00D51D9D">
        <w:rPr>
          <w:rFonts w:ascii="Simplified Arabic" w:eastAsia="Times New Roman" w:hAnsi="Simplified Arabic" w:cs="Simplified Arabic"/>
          <w:color w:val="000000" w:themeColor="text1"/>
          <w:kern w:val="0"/>
          <w:sz w:val="28"/>
          <w:szCs w:val="28"/>
          <w14:ligatures w14:val="none"/>
        </w:rPr>
        <w:t>.</w:t>
      </w:r>
    </w:p>
    <w:p w14:paraId="63264A04" w14:textId="41A4B6A8" w:rsidR="00CA6C39" w:rsidRPr="00D51D9D" w:rsidRDefault="00724BDB" w:rsidP="00724B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4226616"/>
      <w:r w:rsidRPr="00D51D9D">
        <w:rPr>
          <w:rFonts w:ascii="Simplified Arabic" w:eastAsia="Times New Roman" w:hAnsi="Simplified Arabic" w:cs="Simplified Arabic" w:hint="cs"/>
          <w:b/>
          <w:bCs/>
          <w:color w:val="000000" w:themeColor="text1"/>
          <w:kern w:val="0"/>
          <w:sz w:val="32"/>
          <w:szCs w:val="32"/>
          <w:rtl/>
          <w14:ligatures w14:val="none"/>
        </w:rPr>
        <w:t xml:space="preserve">2.2.2 </w:t>
      </w:r>
      <w:r w:rsidR="00CA6C39" w:rsidRPr="00D51D9D">
        <w:rPr>
          <w:rFonts w:ascii="Simplified Arabic" w:eastAsia="Times New Roman" w:hAnsi="Simplified Arabic" w:cs="Simplified Arabic"/>
          <w:b/>
          <w:bCs/>
          <w:color w:val="000000" w:themeColor="text1"/>
          <w:kern w:val="0"/>
          <w:sz w:val="32"/>
          <w:szCs w:val="32"/>
          <w:rtl/>
          <w14:ligatures w14:val="none"/>
        </w:rPr>
        <w:t>مفهوم تحسين فعالية الرقابة الداخلية وخفض المخاطر التشغيلية</w:t>
      </w:r>
      <w:bookmarkEnd w:id="49"/>
    </w:p>
    <w:p w14:paraId="4EF26D0B"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 xml:space="preserve">يستدعي فهم هذا المفهوم المركّب النظرَ في مكوّنيه بمنهج تكاملي، إذ إن كلًا منهما يستمد معناه ومضمونه من تفاعله مع الآخر. فالرقابة الداخلية بوصفها نظامًا يُعنى بضبط العمليات وحماية الموارد تُشكّل الحصن الأول أمام المخاطر التشغيلية، فيما تُمثّل هذه المخاطر تحديًا مستمرًا يستدعي تطوير آليات الرقابة وتحديثها. ويكشف هذا التبادل عن أن كلا المفهومين يعمل في حلقة تغذية راجعة مستمرة، فكلما </w:t>
      </w:r>
      <w:r w:rsidRPr="00D51D9D">
        <w:rPr>
          <w:rFonts w:ascii="Simplified Arabic" w:eastAsia="Times New Roman" w:hAnsi="Simplified Arabic" w:cs="Simplified Arabic"/>
          <w:color w:val="000000" w:themeColor="text1"/>
          <w:kern w:val="0"/>
          <w:sz w:val="28"/>
          <w:szCs w:val="28"/>
          <w:rtl/>
          <w14:ligatures w14:val="none"/>
        </w:rPr>
        <w:lastRenderedPageBreak/>
        <w:t>ارتفعت فعالية الرقابة انخفضت المخاطر، وكلما تطورت المخاطر استدعت رقابة أكثر تطورًا، مما يجعل المفهوم في جوهره ديناميكيًا لا ساكنًا</w:t>
      </w:r>
      <w:r w:rsidRPr="00D51D9D">
        <w:rPr>
          <w:rFonts w:ascii="Simplified Arabic" w:eastAsia="Times New Roman" w:hAnsi="Simplified Arabic" w:cs="Simplified Arabic"/>
          <w:color w:val="000000" w:themeColor="text1"/>
          <w:kern w:val="0"/>
          <w:sz w:val="28"/>
          <w:szCs w:val="28"/>
          <w14:ligatures w14:val="none"/>
        </w:rPr>
        <w:t>.</w:t>
      </w:r>
    </w:p>
    <w:p w14:paraId="454E26EC"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يُعرّف (الدردور، ٢٠٢٣) الرقابة الداخلية الفعّالة بأنها منظومة متكاملة من السياسات والإجراءات التي تضعها الإدارة لضمان تحقيق أهدافها بكفاءة، وحماية أصولها، وضبط دقة سجلاتها المحاسبية، وتعزيز الالتزام بالسياسات المعتمدة، على نحو ينعكس إيجابًا على الأداء المالي للمؤسسة. ويُقدّم هذا التعريف الرقابة الداخلية بوصفها منظومة أهداف متعددة الأبعاد لا مجرد وظيفة تدقيقية ضيقة، وهو ما ينسجم مع الاتجاه المعاصر في أدبيات المحاسبة والمراجعة الذي انتقل من النموذج الضيق للرقابة إلى النموذج الموسّع الذي يشمل الأبعاد التشغيلية والاستراتيجية</w:t>
      </w:r>
      <w:r w:rsidRPr="00D51D9D">
        <w:rPr>
          <w:rFonts w:ascii="Simplified Arabic" w:eastAsia="Times New Roman" w:hAnsi="Simplified Arabic" w:cs="Simplified Arabic"/>
          <w:color w:val="000000" w:themeColor="text1"/>
          <w:kern w:val="0"/>
          <w:sz w:val="28"/>
          <w:szCs w:val="28"/>
          <w14:ligatures w14:val="none"/>
        </w:rPr>
        <w:t>.</w:t>
      </w:r>
    </w:p>
    <w:p w14:paraId="62380319"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ويُضيف (فروانة وعياد، ٢٠٢٢) بُعدًا ديناميكيًا للمفهوم، فيرى أن فعالية الرقابة الداخلية تتحدد بمدى قدرة أنظمتها على تحقيق التوازن بين ضبط العمليات ودعم مرونتها، فالرقابة المفرطة تُعطّل الأداء وترفع تكلفة الإدارة، والرقابة المتساهلة تفتح ثغرات للمخاطر وتُضعف موقف المؤسسة. وتُصاغ الفعالية إذن بوصفها معادلة توازن دقيقة بين الضبط والانسيابية، وهو ما يمنح المفهوم طابعًا نسبيًا يتحدد بحسب طبيعة كل مؤسسة وبيئتها التشغيلية، بل قد يختلف داخل المؤسسة الواحدة بحسب الوحدة أو النشاط</w:t>
      </w:r>
      <w:r w:rsidRPr="00D51D9D">
        <w:rPr>
          <w:rFonts w:ascii="Simplified Arabic" w:eastAsia="Times New Roman" w:hAnsi="Simplified Arabic" w:cs="Simplified Arabic"/>
          <w:color w:val="000000" w:themeColor="text1"/>
          <w:kern w:val="0"/>
          <w:sz w:val="28"/>
          <w:szCs w:val="28"/>
          <w14:ligatures w14:val="none"/>
        </w:rPr>
        <w:t>.</w:t>
      </w:r>
    </w:p>
    <w:p w14:paraId="19DBCE58"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ويُقارب (المعايطة والمخادمة، ٢٠٢٣) المفهوم من زاوية المخاطر التشغيلية، فيصف هذه المخاطر بأنها احتمالات وقوع خسائر ناجمة عن قصور أو إخفاق في العمليات الداخلية، أو الأشخاص، أو الأنظمة، أو نتيجة أحداث خارجية، ويرى أن الإدارة الفعّالة لها تُشكّل ركيزة للميزة التنافسية للمؤسسة. ويكشف هذا التعريف عن البُعد التنافسي للمفهوم، إذ لم يعد ضبط المخاطر التشغيلية مسألة حماية فقط، بل عاملًا استراتيجيًا في التموضع السوقي، وهو ما يتسق مع الاتجاه الحديث في الإدارة الاستراتيجية الذي يرى في القدرات الرقابية والإدارية موردًا استراتيجيًا يُشكّل مصدرًا للميزة التنافسية</w:t>
      </w:r>
      <w:r w:rsidRPr="00D51D9D">
        <w:rPr>
          <w:rFonts w:ascii="Simplified Arabic" w:eastAsia="Times New Roman" w:hAnsi="Simplified Arabic" w:cs="Simplified Arabic"/>
          <w:color w:val="000000" w:themeColor="text1"/>
          <w:kern w:val="0"/>
          <w:sz w:val="28"/>
          <w:szCs w:val="28"/>
          <w14:ligatures w14:val="none"/>
        </w:rPr>
        <w:t>.</w:t>
      </w:r>
    </w:p>
    <w:p w14:paraId="2087CDE7"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ويُقدّم (بوعبدالله وعلمي، ٢٠٢٢) تعريفًا يُركّز على المؤشرات الرئيسية للمخاطر، فيرى أن خفض المخاطر التشغيلية يعني بناء منظومة قياس رصينة تُوفّر إنذارات مبكرة عن التحولات في مستوى التعرض للمخاطر، وتُمكّن الإدارة من التدخل قبل تفاقم الأزمات. ويُقدّم هذا الطرح المفهوم من زاوية القياس والتشغيل، ويربطه بمنطق المؤشرات الاستباقية التي تتحول فيها إدارة المخاطر من ممارسة انفعالية إلى ممارسة منهجية قابلة للقياس والمقارنة</w:t>
      </w:r>
      <w:r w:rsidRPr="00D51D9D">
        <w:rPr>
          <w:rFonts w:ascii="Simplified Arabic" w:eastAsia="Times New Roman" w:hAnsi="Simplified Arabic" w:cs="Simplified Arabic"/>
          <w:color w:val="000000" w:themeColor="text1"/>
          <w:kern w:val="0"/>
          <w:sz w:val="28"/>
          <w:szCs w:val="28"/>
          <w14:ligatures w14:val="none"/>
        </w:rPr>
        <w:t>.</w:t>
      </w:r>
    </w:p>
    <w:p w14:paraId="14F2D8C8"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lastRenderedPageBreak/>
        <w:t>ويُعرّفها (الشيخ، ٢٠٢٥) من زاوية أوسع تربطها بالأداء السوقي، بوصفها منظومة حماية تستهدف تقليل التقلبات في العوائد الناجمة عن الأحداث التشغيلية غير المتوقعة، وضبط انعكاسات هذه الأحداث على القيمة السوقية للمؤسسة. ويُبرز هذا التعريف الجسر بين المخاطر التشغيلية والأداء الخارجي، إذ إن تراكم الإخفاقات الداخلية ينعكس بالضرورة على الثقة الخارجية بالمؤسسة، وينسحب أثره على قدرتها على استقطاب رأس المال والحفاظ على مكانتها في الأسواق</w:t>
      </w:r>
      <w:r w:rsidRPr="00D51D9D">
        <w:rPr>
          <w:rFonts w:ascii="Simplified Arabic" w:eastAsia="Times New Roman" w:hAnsi="Simplified Arabic" w:cs="Simplified Arabic"/>
          <w:color w:val="000000" w:themeColor="text1"/>
          <w:kern w:val="0"/>
          <w:sz w:val="28"/>
          <w:szCs w:val="28"/>
          <w14:ligatures w14:val="none"/>
        </w:rPr>
        <w:t>.</w:t>
      </w:r>
    </w:p>
    <w:p w14:paraId="43733D88"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ويُقاربها (بوليفة وآخرون، ٢٠٢٢) من زاوية إدارية شاملة، فيرون أن إدارة المخاطر التشغيلية تعني تحديد مصادر المخاطر وقياسها ومراقبتها والاستجابة لها بشكل منظم، ضمن إطار حوكمة يضبط الأدوار والمسؤوليات ويُوجّه القرارات الرقابية. ويُبرز هذا التعريف الطابع المنهجي للمفهوم، ويربطه ببنية حوكمة داخلية تُشكّل الحاضنة التنظيمية للممارسة الرقابية، وهو ما يُقدّم صورة أكثر واقعية للمفهوم بوصفه ممارسة مؤسسية لا مجرد أداة فنية</w:t>
      </w:r>
      <w:r w:rsidRPr="00D51D9D">
        <w:rPr>
          <w:rFonts w:ascii="Simplified Arabic" w:eastAsia="Times New Roman" w:hAnsi="Simplified Arabic" w:cs="Simplified Arabic"/>
          <w:color w:val="000000" w:themeColor="text1"/>
          <w:kern w:val="0"/>
          <w:sz w:val="28"/>
          <w:szCs w:val="28"/>
          <w14:ligatures w14:val="none"/>
        </w:rPr>
        <w:t>.</w:t>
      </w:r>
    </w:p>
    <w:p w14:paraId="370C722F"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وتذهب (قلي وحسام الدين، ٢٠٢٥) إلى تعريف الإدارة الفعّالة للمخاطر التشغيلية بأنها منظومة تجمع بين الوعي المؤسسي بالمخاطر، والبنية التنظيمية الداعمة لضبطها، والأدوات الفنية اللازمة لقياسها ومعالجتها، بحيث تعمل هذه العناصر في نسق واحد. ويكشف هذا التعريف عن التركيبة الثلاثية للمفهوم بين البُعد الثقافي والتنظيمي والفني، ويُنبّه إلى أن قصور أي من هذه العناصر يُضعف المنظومة بأسرها، إذ إن الأدوات الفنية بلا وعي مؤسسي تظل قاصرة، والوعي بلا بنية تنظيمية داعمة يظل نظريًا، والبنية بلا أدوات تظل عاجزة</w:t>
      </w:r>
      <w:r w:rsidRPr="00D51D9D">
        <w:rPr>
          <w:rFonts w:ascii="Simplified Arabic" w:eastAsia="Times New Roman" w:hAnsi="Simplified Arabic" w:cs="Simplified Arabic"/>
          <w:color w:val="000000" w:themeColor="text1"/>
          <w:kern w:val="0"/>
          <w:sz w:val="28"/>
          <w:szCs w:val="28"/>
          <w14:ligatures w14:val="none"/>
        </w:rPr>
        <w:t>.</w:t>
      </w:r>
    </w:p>
    <w:p w14:paraId="73853E80"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ويُقدّم (أحمد وآخرون، ٢٠٢٣) المفهوم من زاوية التدقيق الداخلي، ويرى أن تحجيم المخاطر التشغيلية يعني توظيف وظيفة التدقيق في الكشف الاستباقي عن نقاط الضعف، وتقديم توصيات تحسين تُعزّز من قدرة المؤسسة على الحد من التعرض للمخاطر. ويكشف هذا الطرح عن العلاقة العضوية بين التدقيق الداخلي وضبط المخاطر التشغيلية، ويُبرز التدقيق بوصفه محرك تعلم مؤسسي مستمر لا مجرد وظيفة تحقّق دورية</w:t>
      </w:r>
      <w:r w:rsidRPr="00D51D9D">
        <w:rPr>
          <w:rFonts w:ascii="Simplified Arabic" w:eastAsia="Times New Roman" w:hAnsi="Simplified Arabic" w:cs="Simplified Arabic"/>
          <w:color w:val="000000" w:themeColor="text1"/>
          <w:kern w:val="0"/>
          <w:sz w:val="28"/>
          <w:szCs w:val="28"/>
          <w14:ligatures w14:val="none"/>
        </w:rPr>
        <w:t>.</w:t>
      </w:r>
    </w:p>
    <w:p w14:paraId="59BBB500"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 xml:space="preserve">ويُبرز (العشيبى والوكيل، ٢٠٢٣) بُعدًا إفصاحيًا للمفهوم، إذ يرى أن الإدارة الفعّالة للمخاطر لا تكتمل إلا بالإفصاح الشفاف عنها للأطراف ذات المصلحة، لأن هذا الإفصاح يُعزّز من مصداقية المؤسسة، ويُقوّي منظومة رقابتها الذاتية عبر تعريض الممارسات المؤسسية لرقابة الأسواق. ويُضيف هذا التعريف </w:t>
      </w:r>
      <w:r w:rsidRPr="00D51D9D">
        <w:rPr>
          <w:rFonts w:ascii="Simplified Arabic" w:eastAsia="Times New Roman" w:hAnsi="Simplified Arabic" w:cs="Simplified Arabic"/>
          <w:color w:val="000000" w:themeColor="text1"/>
          <w:kern w:val="0"/>
          <w:sz w:val="28"/>
          <w:szCs w:val="28"/>
          <w:rtl/>
          <w14:ligatures w14:val="none"/>
        </w:rPr>
        <w:lastRenderedPageBreak/>
        <w:t>بُعد الشفافية الخارجية إلى المفهوم، ويربط الإدارة الداخلية للمخاطر بمنظومة أوسع من العلاقات مع البيئة الخارجية</w:t>
      </w:r>
      <w:r w:rsidRPr="00D51D9D">
        <w:rPr>
          <w:rFonts w:ascii="Simplified Arabic" w:eastAsia="Times New Roman" w:hAnsi="Simplified Arabic" w:cs="Simplified Arabic"/>
          <w:color w:val="000000" w:themeColor="text1"/>
          <w:kern w:val="0"/>
          <w:sz w:val="28"/>
          <w:szCs w:val="28"/>
          <w14:ligatures w14:val="none"/>
        </w:rPr>
        <w:t>.</w:t>
      </w:r>
    </w:p>
    <w:p w14:paraId="111BAEA0"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وتُعرّفه (البلوي وغيث، ٢٠٢٢) من زاوية الحوكمة في القطاع العام، فيرين أن إدارة مخاطر العمل المؤسسي منظومة تُرسّخ آليات الضبط والمساءلة، وتُوجّه القرارات نحو الالتزام بالسياسات والأنظمة. ويُبرز هذا التعريف قابلية المفهوم للتكيّف مع طبيعة المؤسسات الحكومية بخصوصياتها التنظيمية، وهو ما يتقاطع مباشرة مع بيئة الدراسة الحالية</w:t>
      </w:r>
      <w:r w:rsidRPr="00D51D9D">
        <w:rPr>
          <w:rFonts w:ascii="Simplified Arabic" w:eastAsia="Times New Roman" w:hAnsi="Simplified Arabic" w:cs="Simplified Arabic"/>
          <w:color w:val="000000" w:themeColor="text1"/>
          <w:kern w:val="0"/>
          <w:sz w:val="28"/>
          <w:szCs w:val="28"/>
          <w14:ligatures w14:val="none"/>
        </w:rPr>
        <w:t>.</w:t>
      </w:r>
    </w:p>
    <w:p w14:paraId="6E06D9A2"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ومن مجمل هذه التعريفات، يرى الباحث أن تحسين فعالية الرقابة الداخلية وخفض المخاطر التشغيلية يُعرَّف إجرائيًا بأنه: منظومة إدارية متكاملة ديناميكية تسعى إلى تعزيز قدرة المؤسسة على ضبط عملياتها الداخلية بمنطق متوازن بين الرقابة والمرونة، وحماية أصولها ومواردها، وضمان دقة معلوماتها وتقاريرها، مع تقليل احتمالات وقوع الخسائر الناجمة عن قصور العمليات، أو إخفاق الأنظمة، أو الأخطاء البشرية، أو الأحداث الخارجية، وذلك عبر توظيف الوعي المؤسسي والبنية التنظيمية والأدوات الفنية في نسق واحد، بما يُعزّز الأداء المؤسسي ويدعم استدامته ويُقوّي موقعه التنافسي. ويلاحظ الباحث أن التعريفات وإن اختلفت مداخلها، تلتقي عند فكرة أن المفهوم يُشكّل معادلة تكاملية بين وظيفتين تُغذّي كل منهما الأخرى في حلقة تحسين مستمرة</w:t>
      </w:r>
      <w:r w:rsidRPr="00D51D9D">
        <w:rPr>
          <w:rFonts w:ascii="Simplified Arabic" w:eastAsia="Times New Roman" w:hAnsi="Simplified Arabic" w:cs="Simplified Arabic"/>
          <w:color w:val="000000" w:themeColor="text1"/>
          <w:kern w:val="0"/>
          <w:sz w:val="28"/>
          <w:szCs w:val="28"/>
          <w14:ligatures w14:val="none"/>
        </w:rPr>
        <w:t>.</w:t>
      </w:r>
    </w:p>
    <w:p w14:paraId="17D80DD2" w14:textId="1691DF48" w:rsidR="00CA6C39" w:rsidRPr="00D51D9D" w:rsidRDefault="00724BDB" w:rsidP="00724B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4226617"/>
      <w:r w:rsidRPr="00D51D9D">
        <w:rPr>
          <w:rFonts w:ascii="Simplified Arabic" w:eastAsia="Times New Roman" w:hAnsi="Simplified Arabic" w:cs="Simplified Arabic" w:hint="cs"/>
          <w:b/>
          <w:bCs/>
          <w:color w:val="000000" w:themeColor="text1"/>
          <w:kern w:val="0"/>
          <w:sz w:val="32"/>
          <w:szCs w:val="32"/>
          <w:rtl/>
          <w14:ligatures w14:val="none"/>
        </w:rPr>
        <w:t xml:space="preserve">3.2.2 </w:t>
      </w:r>
      <w:r w:rsidR="00CA6C39" w:rsidRPr="00D51D9D">
        <w:rPr>
          <w:rFonts w:ascii="Simplified Arabic" w:eastAsia="Times New Roman" w:hAnsi="Simplified Arabic" w:cs="Simplified Arabic"/>
          <w:b/>
          <w:bCs/>
          <w:color w:val="000000" w:themeColor="text1"/>
          <w:kern w:val="0"/>
          <w:sz w:val="32"/>
          <w:szCs w:val="32"/>
          <w:rtl/>
          <w14:ligatures w14:val="none"/>
        </w:rPr>
        <w:t>أهمية تحسين فعالية الرقابة الداخلية وخفض المخاطر التشغيلية</w:t>
      </w:r>
      <w:bookmarkEnd w:id="50"/>
    </w:p>
    <w:p w14:paraId="5696EF67"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تنبع أهمية هذا المتغير من موقعه المفصلي في صيانة الأداء المؤسسي وحمايته من الاهتزازات، إذ إن كفاءة المؤسسة لا تُقاس فقط بقدرتها على النمو، بل أيضًا بقدرتها على حماية مكتسباتها من التآكل بفعل المخاطر التشغيلية. وتزداد هذه الأهمية في البيئات المعقدة كبيئة الشركات الحكومية، حيث تتشابك المسؤوليات، وتتعدد الأطر التنظيمية، ويرتفع مستوى المساءلة العامة، مما يجعل أي إخفاق تشغيلي يحمل تبعات تتجاوز الحدود المؤسسية إلى الفضاء المجتمعي. وقد تناول الباحثون هذه الأهمية من زوايا متعددة تُبرز ثراء المفهوم وتنوع منافعه</w:t>
      </w:r>
      <w:r w:rsidRPr="00D51D9D">
        <w:rPr>
          <w:rFonts w:ascii="Simplified Arabic" w:eastAsia="Times New Roman" w:hAnsi="Simplified Arabic" w:cs="Simplified Arabic"/>
          <w:color w:val="000000" w:themeColor="text1"/>
          <w:kern w:val="0"/>
          <w:sz w:val="28"/>
          <w:szCs w:val="28"/>
          <w14:ligatures w14:val="none"/>
        </w:rPr>
        <w:t>.</w:t>
      </w:r>
    </w:p>
    <w:p w14:paraId="776B3282"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 xml:space="preserve">ويشير (الدردور، ٢٠٢٣) إلى أن أهمية الرقابة الداخلية الفعّالة تتمثل في اعتبارات متكاملة، إذ إنها أولًا تُشكّل الضمانة الأولى لدقة المعلومات المالية التي يُبنى عليها القرار، فالمعلومة غير الموثوقة تُنتج قرارًا معيبًا مهما بلغت كفاءة صانع القرار، ومن هنا فإن ضمان جودة البيانات شرط لجودة القرار. وثانيًا، </w:t>
      </w:r>
      <w:r w:rsidRPr="00D51D9D">
        <w:rPr>
          <w:rFonts w:ascii="Simplified Arabic" w:eastAsia="Times New Roman" w:hAnsi="Simplified Arabic" w:cs="Simplified Arabic"/>
          <w:color w:val="000000" w:themeColor="text1"/>
          <w:kern w:val="0"/>
          <w:sz w:val="28"/>
          <w:szCs w:val="28"/>
          <w:rtl/>
          <w14:ligatures w14:val="none"/>
        </w:rPr>
        <w:lastRenderedPageBreak/>
        <w:t>تُوفّر الحماية للأصول من التبديد أو الاختلاس، وهي وظيفة تكتسب أهمية مضاعفة في المؤسسات ذات الأصول الضخمة أو المتنوعة. وثالثًا، تدعم الالتزام بالسياسات والإجراءات المعتمدة، بحيث تُصبح الرقابة آلية لتنفيذ الاستراتيجية لا مجرد أداة لضبطها. ورابعًا، تُعزّز الكفاءة التشغيلية عبر ضبط الهدر والمعالجة الاستباقية للانحرافات، مما يُترجم مباشرة إلى تحسين النتائج المالية. وخامسًا، تُوفّر بيئة عمل تُساعد على تحقيق الأهداف الاستراتيجية للمؤسسة عبر ترسيخ ثقافة الانضباط والمساءلة في كل مستويات العمل</w:t>
      </w:r>
      <w:r w:rsidRPr="00D51D9D">
        <w:rPr>
          <w:rFonts w:ascii="Simplified Arabic" w:eastAsia="Times New Roman" w:hAnsi="Simplified Arabic" w:cs="Simplified Arabic"/>
          <w:color w:val="000000" w:themeColor="text1"/>
          <w:kern w:val="0"/>
          <w:sz w:val="28"/>
          <w:szCs w:val="28"/>
          <w14:ligatures w14:val="none"/>
        </w:rPr>
        <w:t>.</w:t>
      </w:r>
    </w:p>
    <w:p w14:paraId="667D9B3D"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ويرى (فروانة وعياد، ٢٠٢٢) أن أهمية أنظمة الرقابة الداخلية تكمن في كونها تُوفّر الإطار الحاكم للسلوك المؤسسي، وتُنشئ خطوط دفاع متعددة تحول دون تسرب المخاطر إلى صميم العمليات، وتُتيح للإدارة الاطمئنان على استمرارية الأعمال وسلامتها، فضلًا عن تعزيز ثقة أصحاب المصلحة في المؤسسة. وتكتسب هذه الأهمية بُعدًا استراتيجيًا في البيئات المصرفية والحكومية حيث تُشكّل الثقة العامة رأس المال الأهم، إذ إن أي إخلال بالمنظومة الرقابية يُترجم إلى فقدان لهذه الثقة يصعب استعادتها</w:t>
      </w:r>
      <w:r w:rsidRPr="00D51D9D">
        <w:rPr>
          <w:rFonts w:ascii="Simplified Arabic" w:eastAsia="Times New Roman" w:hAnsi="Simplified Arabic" w:cs="Simplified Arabic"/>
          <w:color w:val="000000" w:themeColor="text1"/>
          <w:kern w:val="0"/>
          <w:sz w:val="28"/>
          <w:szCs w:val="28"/>
          <w14:ligatures w14:val="none"/>
        </w:rPr>
        <w:t>.</w:t>
      </w:r>
    </w:p>
    <w:p w14:paraId="7BB9504B"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ويُبرز (المعايطة والمخادمة، ٢٠٢٣) أن أهمية إدارة المخاطر التشغيلية تتموضع في كونها أداة لبناء ميزة تنافسية مستدامة، إذ إن المؤسسات التي تُحسن ضبط مخاطرها التشغيلية تتفوق على منافسيها في الاستقرار والقدرة على استقطاب العملاء وتحقيق النمو، لأن العملاء والمستثمرين يُقدّرون المؤسسات القادرة على تسليم خدماتها بجودة ثابتة دون تعثّر. وتنسحب هذه الميزة على البيئة الحكومية بصورة خاصة، إذ إن الاستقرار في تقديم الخدمات العامة يُشكّل معيارًا لتقييم كفاءة الجهاز الحكومي وثقة المواطنين به</w:t>
      </w:r>
      <w:r w:rsidRPr="00D51D9D">
        <w:rPr>
          <w:rFonts w:ascii="Simplified Arabic" w:eastAsia="Times New Roman" w:hAnsi="Simplified Arabic" w:cs="Simplified Arabic"/>
          <w:color w:val="000000" w:themeColor="text1"/>
          <w:kern w:val="0"/>
          <w:sz w:val="28"/>
          <w:szCs w:val="28"/>
          <w14:ligatures w14:val="none"/>
        </w:rPr>
        <w:t>.</w:t>
      </w:r>
    </w:p>
    <w:p w14:paraId="0F4A44FC"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ويشير (بوعبدالله وعلمي، ٢٠٢٢) إلى أن الأهمية تتجلى في قدرة مؤشرات المخاطر الرئيسية على تحويل إدارة المخاطر من ممارسة ارتجالية إلى ممارسة مبنية على معطيات قابلة للقياس، بما يُعزّز الموضوعية في اتخاذ القرار الرقابي، ويُتيح المقارنة الزمنية والقطاعية لأداء المؤسسة. ويكشف هذا الطرح عن بُعد معرفي للأهمية، إذ إن المؤشرات الرقابية لا تُوفّر فقط أدوات ضبط، بل تُنتج معرفة تراكمية عن سلوك المؤسسة في مواجهة المخاطر، وهي معرفة تُشكّل ذاكرة مؤسسية تخدم قرارات المستقبل</w:t>
      </w:r>
      <w:r w:rsidRPr="00D51D9D">
        <w:rPr>
          <w:rFonts w:ascii="Simplified Arabic" w:eastAsia="Times New Roman" w:hAnsi="Simplified Arabic" w:cs="Simplified Arabic"/>
          <w:color w:val="000000" w:themeColor="text1"/>
          <w:kern w:val="0"/>
          <w:sz w:val="28"/>
          <w:szCs w:val="28"/>
          <w14:ligatures w14:val="none"/>
        </w:rPr>
        <w:t>.</w:t>
      </w:r>
    </w:p>
    <w:p w14:paraId="2F453537"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 xml:space="preserve">ويرى (الشيخ، ٢٠٢٥) أن أهمية خفض المخاطر التشغيلية تنعكس على العوائد المالية للمؤسسة، إذ إن الأحداث التشغيلية غير المضبوطة تُنشئ تقلبات في العوائد تُخفّض من قيمة المؤسسة وتُضعف ثقة أصحاب المصلحة، فيما تُتيح الإدارة الرشيدة للمخاطر استقرارًا في الأداء يُعزّز من موقع المؤسسة. ويُنبّه هذا الطرح إلى بُعد يُهمل أحيانًا في أدبيات المخاطر، وهو أن التقلب في حد ذاته تكلفة على المؤسسة، </w:t>
      </w:r>
      <w:r w:rsidRPr="00D51D9D">
        <w:rPr>
          <w:rFonts w:ascii="Simplified Arabic" w:eastAsia="Times New Roman" w:hAnsi="Simplified Arabic" w:cs="Simplified Arabic"/>
          <w:color w:val="000000" w:themeColor="text1"/>
          <w:kern w:val="0"/>
          <w:sz w:val="28"/>
          <w:szCs w:val="28"/>
          <w:rtl/>
          <w14:ligatures w14:val="none"/>
        </w:rPr>
        <w:lastRenderedPageBreak/>
        <w:t>حتى لو كانت المتوسطات إيجابية، إذ إن أصحاب المصلحة يُفضّلون الاستقرار في الأداء على تذبذبه ولو كان أعلى في المتوسط</w:t>
      </w:r>
      <w:r w:rsidRPr="00D51D9D">
        <w:rPr>
          <w:rFonts w:ascii="Simplified Arabic" w:eastAsia="Times New Roman" w:hAnsi="Simplified Arabic" w:cs="Simplified Arabic"/>
          <w:color w:val="000000" w:themeColor="text1"/>
          <w:kern w:val="0"/>
          <w:sz w:val="28"/>
          <w:szCs w:val="28"/>
          <w14:ligatures w14:val="none"/>
        </w:rPr>
        <w:t>.</w:t>
      </w:r>
    </w:p>
    <w:p w14:paraId="0D174544"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ويؤكد (بوليفة وآخرون، ٢٠٢٢) أن الأهمية تكمن في كون إدارة المخاطر التشغيلية شرطًا لسلامة العمل المصرفي والمؤسسي، خاصة في بيئات ذات درجات مخاطر مرتفعة، حيث تُشكّل هذه الإدارة صمّام الأمان الذي يحول دون تحول الأحداث الفردية إلى أزمات نظامية. وتكتسب هذه الأهمية دلالة خاصة في السياقات التي تكون فيها المؤسسات متشابكة بشكل عالٍ، إذ إن إخفاق مؤسسة واحدة قد ينتقل بالعدوى إلى مؤسسات أخرى في سلسلة القيمة، مما يُحوّل المشكلة الفردية إلى مشكلة قطاعية</w:t>
      </w:r>
      <w:r w:rsidRPr="00D51D9D">
        <w:rPr>
          <w:rFonts w:ascii="Simplified Arabic" w:eastAsia="Times New Roman" w:hAnsi="Simplified Arabic" w:cs="Simplified Arabic"/>
          <w:color w:val="000000" w:themeColor="text1"/>
          <w:kern w:val="0"/>
          <w:sz w:val="28"/>
          <w:szCs w:val="28"/>
          <w14:ligatures w14:val="none"/>
        </w:rPr>
        <w:t>.</w:t>
      </w:r>
    </w:p>
    <w:p w14:paraId="50C903B7"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وترى (قلي وحسام الدين، ٢٠٢٥) أن الأهمية تتصل بواقع المؤسسات الحديثة التي تعمل في بيئة عالية التعقيد، إذ إن غياب منظومة فعّالة لإدارة المخاطر التشغيلية يُعرّض المؤسسة لخسائر متعددة الأوجه، مالية وسمعية وتنظيمية، وهو ما يجعل من هذه المنظومة استثمارًا استراتيجيًا لا تكلفة تشغيلية. ويُنبّه هذا الطرح إلى ضرورة إعادة النظر في المنطق المحاسبي التقليدي الذي يُعامل الإنفاق على المنظومات الرقابية بوصفه تكلفة تُقلّص هامش الربح، بينما هو في الواقع استثمار يُنتج عائدًا يفوق تكلفته بمقدار الخسائر المُتفاداة</w:t>
      </w:r>
      <w:r w:rsidRPr="00D51D9D">
        <w:rPr>
          <w:rFonts w:ascii="Simplified Arabic" w:eastAsia="Times New Roman" w:hAnsi="Simplified Arabic" w:cs="Simplified Arabic"/>
          <w:color w:val="000000" w:themeColor="text1"/>
          <w:kern w:val="0"/>
          <w:sz w:val="28"/>
          <w:szCs w:val="28"/>
          <w14:ligatures w14:val="none"/>
        </w:rPr>
        <w:t>.</w:t>
      </w:r>
    </w:p>
    <w:p w14:paraId="4AA05E4B"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ويُبرز (أحمد وآخرون، ٢٠٢٣) أن أهمية التدقيق الداخلي في تحجيم المخاطر تتجلى في تقديم صورة مستقلة عن مستوى التعرض للمخاطر، وتوفير توصيات تحسين موضوعية، وتعزيز ثقافة الرقابة الذاتية داخل الوحدات التشغيلية. وتنبع أهمية هذا الدور من كون التدقيق الداخلي يعمل من داخل المؤسسة لكن باستقلالية عن الوحدات المُدَقَّق عليها، مما يُوفّر توازنًا فريدًا بين المعرفة الداخلية العميقة والموضوعية النقدية اللازمة</w:t>
      </w:r>
      <w:r w:rsidRPr="00D51D9D">
        <w:rPr>
          <w:rFonts w:ascii="Simplified Arabic" w:eastAsia="Times New Roman" w:hAnsi="Simplified Arabic" w:cs="Simplified Arabic"/>
          <w:color w:val="000000" w:themeColor="text1"/>
          <w:kern w:val="0"/>
          <w:sz w:val="28"/>
          <w:szCs w:val="28"/>
          <w14:ligatures w14:val="none"/>
        </w:rPr>
        <w:t>.</w:t>
      </w:r>
    </w:p>
    <w:p w14:paraId="054E42C9"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ويُضيف (العشيبى والوكيل، ٢٠٢٣) أن الأهمية تتصل بالإفصاح عن المخاطر المالية والتشغيلية، إذ إن هذا الإفصاح يُقوّي علاقة المؤسسة بأصحاب المصلحة، ويُعزّز من انضباطها الذاتي، ويرفع من مستوى الثقة العامة في القطاع الذي تنتمي إليه. ويكشف هذا البُعد عن الوظيفة الاجتماعية للرقابة الداخلية، إذ إنها لا تخدم المؤسسة وحدها، بل تُسهم في صحة النظام الاقتصادي والمؤسسي ككل عبر تعزيز الشفافية والانضباط</w:t>
      </w:r>
      <w:r w:rsidRPr="00D51D9D">
        <w:rPr>
          <w:rFonts w:ascii="Simplified Arabic" w:eastAsia="Times New Roman" w:hAnsi="Simplified Arabic" w:cs="Simplified Arabic"/>
          <w:color w:val="000000" w:themeColor="text1"/>
          <w:kern w:val="0"/>
          <w:sz w:val="28"/>
          <w:szCs w:val="28"/>
          <w14:ligatures w14:val="none"/>
        </w:rPr>
        <w:t>.</w:t>
      </w:r>
    </w:p>
    <w:p w14:paraId="2664BCD6"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lastRenderedPageBreak/>
        <w:t>ويشير (البدري وصبح، ٢٠٢٥) إلى بُعد جوهري يتصل بربط الرقابة الداخلية بالأداء المالي، إذ إن المؤسسات التي تُحسن تطبيق الحوكمة والرقابة تشهد تحسنًا ملموسًا في مؤشراتها المالية، بما ينعكس على قدرتها على الاستمرار والتوسّع. ويُشكّل هذا البُعد جسرًا نظريًا بين المتغير المستقل والمتغير التابع في هذه الدراسة، ويُوفّر السند النظري لتوقع علاقة إيجابية بينهما</w:t>
      </w:r>
      <w:r w:rsidRPr="00D51D9D">
        <w:rPr>
          <w:rFonts w:ascii="Simplified Arabic" w:eastAsia="Times New Roman" w:hAnsi="Simplified Arabic" w:cs="Simplified Arabic"/>
          <w:color w:val="000000" w:themeColor="text1"/>
          <w:kern w:val="0"/>
          <w:sz w:val="28"/>
          <w:szCs w:val="28"/>
          <w14:ligatures w14:val="none"/>
        </w:rPr>
        <w:t>.</w:t>
      </w:r>
    </w:p>
    <w:p w14:paraId="01AD30D7" w14:textId="6D940CF3" w:rsidR="00CA6C39" w:rsidRPr="00D51D9D" w:rsidRDefault="00724BDB" w:rsidP="00724B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4226618"/>
      <w:r w:rsidRPr="00D51D9D">
        <w:rPr>
          <w:rFonts w:ascii="Simplified Arabic" w:eastAsia="Times New Roman" w:hAnsi="Simplified Arabic" w:cs="Simplified Arabic" w:hint="cs"/>
          <w:b/>
          <w:bCs/>
          <w:color w:val="000000" w:themeColor="text1"/>
          <w:kern w:val="0"/>
          <w:sz w:val="32"/>
          <w:szCs w:val="32"/>
          <w:rtl/>
          <w14:ligatures w14:val="none"/>
        </w:rPr>
        <w:t xml:space="preserve">4.2.2 </w:t>
      </w:r>
      <w:r w:rsidR="00CA6C39" w:rsidRPr="00D51D9D">
        <w:rPr>
          <w:rFonts w:ascii="Simplified Arabic" w:eastAsia="Times New Roman" w:hAnsi="Simplified Arabic" w:cs="Simplified Arabic"/>
          <w:b/>
          <w:bCs/>
          <w:color w:val="000000" w:themeColor="text1"/>
          <w:kern w:val="0"/>
          <w:sz w:val="32"/>
          <w:szCs w:val="32"/>
          <w:rtl/>
          <w14:ligatures w14:val="none"/>
        </w:rPr>
        <w:t>أهداف تحسين فعالية الرقابة الداخلية وخفض المخاطر التشغيلية</w:t>
      </w:r>
      <w:bookmarkEnd w:id="51"/>
    </w:p>
    <w:p w14:paraId="6C376C70"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تتوزع الأهداف على مستويات متعددة، منها ما هو تشغيلي مباشر ومنها ما هو استراتيجي بعيد المدى ومنها ما يتصل بالبعد الإدراكي في علاقة المؤسسة بمحيطها، وقد صاغ الباحثون هذه الأهداف بصياغات تُبرز تكاملها وتشعبها</w:t>
      </w:r>
      <w:r w:rsidRPr="00D51D9D">
        <w:rPr>
          <w:rFonts w:ascii="Simplified Arabic" w:eastAsia="Times New Roman" w:hAnsi="Simplified Arabic" w:cs="Simplified Arabic"/>
          <w:color w:val="000000" w:themeColor="text1"/>
          <w:kern w:val="0"/>
          <w:sz w:val="28"/>
          <w:szCs w:val="28"/>
          <w14:ligatures w14:val="none"/>
        </w:rPr>
        <w:t>.</w:t>
      </w:r>
    </w:p>
    <w:p w14:paraId="2547F7B5"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يُحدّد (الدردور، ٢٠٢٣) الأهداف في: صون الأصول من الاختلاس والهدر عبر ضوابط الوصول والفصل بين المهام، وضمان دقة السجلات المحاسبية والتقارير المالية عبر التحقق المتقاطع والتسويات الدورية، وتعزيز الالتزام بالسياسات والإجراءات عبر منظومات المتابعة، ورفع الكفاءة التشغيلية عبر رصد الهدر والانحرافات، ودعم تحقيق الأهداف الاستراتيجية للمؤسسة عبر ربط الرقابة بمؤشرات الأداء الرئيسية</w:t>
      </w:r>
      <w:r w:rsidRPr="00D51D9D">
        <w:rPr>
          <w:rFonts w:ascii="Simplified Arabic" w:eastAsia="Times New Roman" w:hAnsi="Simplified Arabic" w:cs="Simplified Arabic"/>
          <w:color w:val="000000" w:themeColor="text1"/>
          <w:kern w:val="0"/>
          <w:sz w:val="28"/>
          <w:szCs w:val="28"/>
          <w14:ligatures w14:val="none"/>
        </w:rPr>
        <w:t>.</w:t>
      </w:r>
    </w:p>
    <w:p w14:paraId="54F69E43"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ويرى (فروانة وعياد، ٢٠٢٢) أن الأهداف تتضمن: بناء بيئة رقابية متماسكة تنطلق من نغمة القمة، وتفعيل خطوط الدفاع الثلاثة بحيث تعمل الإدارة التنفيذية والإدارة الرقابية والتدقيق الداخلي بشكل تكاملي، وتوفير معلومات موثوقة لصانعي القرار في الأوقات المناسبة، وتعزيز ثقة أصحاب المصلحة عبر إظهار جودة المنظومة الرقابية، ودعم استدامة الأداء المالي عبر ضبط استباقي للمخاطر</w:t>
      </w:r>
      <w:r w:rsidRPr="00D51D9D">
        <w:rPr>
          <w:rFonts w:ascii="Simplified Arabic" w:eastAsia="Times New Roman" w:hAnsi="Simplified Arabic" w:cs="Simplified Arabic"/>
          <w:color w:val="000000" w:themeColor="text1"/>
          <w:kern w:val="0"/>
          <w:sz w:val="28"/>
          <w:szCs w:val="28"/>
          <w14:ligatures w14:val="none"/>
        </w:rPr>
        <w:t>.</w:t>
      </w:r>
    </w:p>
    <w:p w14:paraId="1422636F"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ويُبرز (المعايطة والمخادمة، ٢٠٢٣) أهدافًا مرتبطة بالميزة التنافسية تتضمن: تحقيق التميز التشغيلي عبر جودة ثابتة في الأداء، وضمان استمرارية الأعمال عبر خطط الاستمرارية والتعافي من الكوارث، وحماية سمعة المؤسسة عبر منع الأحداث السلبية قبل تبلورها، وتعزيز قدرتها على الاستجابة السريعة للتغيرات في بيئة الأعمال</w:t>
      </w:r>
      <w:r w:rsidRPr="00D51D9D">
        <w:rPr>
          <w:rFonts w:ascii="Simplified Arabic" w:eastAsia="Times New Roman" w:hAnsi="Simplified Arabic" w:cs="Simplified Arabic"/>
          <w:color w:val="000000" w:themeColor="text1"/>
          <w:kern w:val="0"/>
          <w:sz w:val="28"/>
          <w:szCs w:val="28"/>
          <w14:ligatures w14:val="none"/>
        </w:rPr>
        <w:t>.</w:t>
      </w:r>
    </w:p>
    <w:p w14:paraId="064D4CCE"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ويذكر (بوعبدالله وعلمي، ٢٠٢٢) أهدافًا تتصل بالقياس تتضمن: بناء منظومة مؤشرات رئيسية للمخاطر تعكس مستويات التعرض الحقيقية، وتوفير أدوات إنذار مبكر تُتيح التدخل قبل تفاقم الأزمات، وتمكين المقارنة الموضوعية عبر الزمن وعبر الوحدات، ودعم القرارات الرقابية بمعطيات قابلة للتحقق تُقلّص من هامش الاجتهاد الشخصي</w:t>
      </w:r>
      <w:r w:rsidRPr="00D51D9D">
        <w:rPr>
          <w:rFonts w:ascii="Simplified Arabic" w:eastAsia="Times New Roman" w:hAnsi="Simplified Arabic" w:cs="Simplified Arabic"/>
          <w:color w:val="000000" w:themeColor="text1"/>
          <w:kern w:val="0"/>
          <w:sz w:val="28"/>
          <w:szCs w:val="28"/>
          <w14:ligatures w14:val="none"/>
        </w:rPr>
        <w:t>.</w:t>
      </w:r>
    </w:p>
    <w:p w14:paraId="5E882625"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lastRenderedPageBreak/>
        <w:t>ويرى (الشيخ، ٢٠٢٥) أن الأهداف تتضمن: تخفيض تقلبات الأداء عبر ضبط الأحداث التشغيلية غير المتوقعة، وتعزيز الاستقرار المالي بوصفه أصلًا استراتيجيًا، وتحسين تقييم المؤسسة في نظر أصحاب المصلحة، وتقوية العلاقات مع مقدمي رأس المال عبر إشارات نضج مؤسسي واضحة</w:t>
      </w:r>
      <w:r w:rsidRPr="00D51D9D">
        <w:rPr>
          <w:rFonts w:ascii="Simplified Arabic" w:eastAsia="Times New Roman" w:hAnsi="Simplified Arabic" w:cs="Simplified Arabic"/>
          <w:color w:val="000000" w:themeColor="text1"/>
          <w:kern w:val="0"/>
          <w:sz w:val="28"/>
          <w:szCs w:val="28"/>
          <w14:ligatures w14:val="none"/>
        </w:rPr>
        <w:t>.</w:t>
      </w:r>
    </w:p>
    <w:p w14:paraId="282C32D5"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ويُحدّد (بوليفة وآخرون، ٢٠٢٢) الأهداف في: تحديد مصادر المخاطر بدقة عبر الفحص المنهجي للعمليات، وقياسها كميًا ونوعيًا بمنهجيات متعددة، وبناء استجابات مناسبة تتراوح بين التجنب والتخفيف والتحويل والقبول، ومراقبة تنفيذ هذه الاستجابات بشكل مستمر، وتحديث المنظومة في ضوء التطورات في بيئة المخاطر</w:t>
      </w:r>
      <w:r w:rsidRPr="00D51D9D">
        <w:rPr>
          <w:rFonts w:ascii="Simplified Arabic" w:eastAsia="Times New Roman" w:hAnsi="Simplified Arabic" w:cs="Simplified Arabic"/>
          <w:color w:val="000000" w:themeColor="text1"/>
          <w:kern w:val="0"/>
          <w:sz w:val="28"/>
          <w:szCs w:val="28"/>
          <w14:ligatures w14:val="none"/>
        </w:rPr>
        <w:t>.</w:t>
      </w:r>
    </w:p>
    <w:p w14:paraId="42A6E39B"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وتضع (قلي وحسام الدين، ٢٠٢٥) الأهداف في إطار: نشر ثقافة الوعي بالمخاطر في كل مستويات العمل، وبناء بنية تنظيمية داعمة تتضمن أدوارًا واضحة لكل الأطراف، وتطوير أدوات فنية متقدمة قادرة على مواكبة تعقيد المخاطر، وضمان استمرارية المنظومة عبر تحديث دوري ومنهجي</w:t>
      </w:r>
      <w:r w:rsidRPr="00D51D9D">
        <w:rPr>
          <w:rFonts w:ascii="Simplified Arabic" w:eastAsia="Times New Roman" w:hAnsi="Simplified Arabic" w:cs="Simplified Arabic"/>
          <w:color w:val="000000" w:themeColor="text1"/>
          <w:kern w:val="0"/>
          <w:sz w:val="28"/>
          <w:szCs w:val="28"/>
          <w14:ligatures w14:val="none"/>
        </w:rPr>
        <w:t>.</w:t>
      </w:r>
    </w:p>
    <w:p w14:paraId="17767D10"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ويُضيف (أحمد وآخرون، ٢٠٢٣) أهدافًا تتصل بالتدقيق الداخلي تتضمن: تقديم تأكيد مستقل عن جودة المنظومة الرقابية، وتحديد نقاط الضعف قبل تحولها إلى مشكلات جوهرية، واقتراح تحسينات موضوعية تنطلق من المعرفة العميقة بالعمليات، وتعزيز المساءلة داخل الوحدات التشغيلية عبر التقارير المستقلة</w:t>
      </w:r>
      <w:r w:rsidRPr="00D51D9D">
        <w:rPr>
          <w:rFonts w:ascii="Simplified Arabic" w:eastAsia="Times New Roman" w:hAnsi="Simplified Arabic" w:cs="Simplified Arabic"/>
          <w:color w:val="000000" w:themeColor="text1"/>
          <w:kern w:val="0"/>
          <w:sz w:val="28"/>
          <w:szCs w:val="28"/>
          <w14:ligatures w14:val="none"/>
        </w:rPr>
        <w:t>.</w:t>
      </w:r>
    </w:p>
    <w:p w14:paraId="37A89ACA"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ويذكر (العشيبى والوكيل، ٢٠٢٣) أهدافًا إفصاحية تتضمن: تعزيز الشفافية أمام أصحاب المصلحة عبر إفصاح منتظم عن المخاطر ومنهجية إدارتها، وبناء الثقة العامة في المؤسسة والقطاع الذي تنتمي إليه، وتحفيز الانضباط الذاتي عبر تعريض الممارسات لرقابة الأسواق، وتوفير معلومات لصانعي القرار الخارجي تدعم قراراتهم المتعلقة بالمؤسسة</w:t>
      </w:r>
      <w:r w:rsidRPr="00D51D9D">
        <w:rPr>
          <w:rFonts w:ascii="Simplified Arabic" w:eastAsia="Times New Roman" w:hAnsi="Simplified Arabic" w:cs="Simplified Arabic"/>
          <w:color w:val="000000" w:themeColor="text1"/>
          <w:kern w:val="0"/>
          <w:sz w:val="28"/>
          <w:szCs w:val="28"/>
          <w14:ligatures w14:val="none"/>
        </w:rPr>
        <w:t>.</w:t>
      </w:r>
    </w:p>
    <w:p w14:paraId="5A471844" w14:textId="3E519BC4" w:rsidR="00CA6C39" w:rsidRPr="00D51D9D" w:rsidRDefault="00724BDB" w:rsidP="00724B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4226619"/>
      <w:r w:rsidRPr="00D51D9D">
        <w:rPr>
          <w:rFonts w:ascii="Simplified Arabic" w:eastAsia="Times New Roman" w:hAnsi="Simplified Arabic" w:cs="Simplified Arabic" w:hint="cs"/>
          <w:b/>
          <w:bCs/>
          <w:color w:val="000000" w:themeColor="text1"/>
          <w:kern w:val="0"/>
          <w:sz w:val="32"/>
          <w:szCs w:val="32"/>
          <w:rtl/>
          <w14:ligatures w14:val="none"/>
        </w:rPr>
        <w:t xml:space="preserve">5.2.2 </w:t>
      </w:r>
      <w:r w:rsidR="00CA6C39" w:rsidRPr="00D51D9D">
        <w:rPr>
          <w:rFonts w:ascii="Simplified Arabic" w:eastAsia="Times New Roman" w:hAnsi="Simplified Arabic" w:cs="Simplified Arabic"/>
          <w:b/>
          <w:bCs/>
          <w:color w:val="000000" w:themeColor="text1"/>
          <w:kern w:val="0"/>
          <w:sz w:val="32"/>
          <w:szCs w:val="32"/>
          <w:rtl/>
          <w14:ligatures w14:val="none"/>
        </w:rPr>
        <w:t>أبعاد تحسين فعالية الرقابة الداخلية وخفض المخاطر التشغيلية</w:t>
      </w:r>
      <w:bookmarkEnd w:id="52"/>
    </w:p>
    <w:p w14:paraId="747ABD38"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تم تحديد أبعاد المتغير التابع في هذه الدراسة بناءً على استقراء الأدبيات ذات الصلة، ولا سيما دراسات (الدردور، ٢٠٢٣؛ فروانة وعياد، ٢٠٢٢؛ المعايطة والمخادمة، ٢٠٢٣؛ قلي وحسام الدين، ٢٠٢٥)، بما يتلاءم مع طبيعة الشركات الحكومية بيئةً للتطبيق. وتتوزع هذه الأبعاد على محاور تُشكّل معًا منظومة قياس متكاملة للمتغير</w:t>
      </w:r>
      <w:r w:rsidRPr="00D51D9D">
        <w:rPr>
          <w:rFonts w:ascii="Simplified Arabic" w:eastAsia="Times New Roman" w:hAnsi="Simplified Arabic" w:cs="Simplified Arabic"/>
          <w:color w:val="000000" w:themeColor="text1"/>
          <w:kern w:val="0"/>
          <w:sz w:val="28"/>
          <w:szCs w:val="28"/>
          <w14:ligatures w14:val="none"/>
        </w:rPr>
        <w:t>.</w:t>
      </w:r>
    </w:p>
    <w:p w14:paraId="23BA095A" w14:textId="77777777" w:rsidR="00CA6C39" w:rsidRPr="00D51D9D" w:rsidRDefault="00CA6C39" w:rsidP="00724B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lastRenderedPageBreak/>
        <w:t>البُعد الأول: البيئة الرقابية وضبط العمليات</w:t>
      </w:r>
    </w:p>
    <w:p w14:paraId="33058CD9"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يُشكّل هذا البُعد الأساس الذي تُبنى عليه فعالية الرقابة الداخلية، إذ يُشير إلى مجموعة المكونات الثقافية والهيكلية التي تُهيّئ المؤسسة لممارسة الرقابة على نحو منتج. وينهض هذا البُعد على فرضية جوهرية مفادها أن الرقابة قبل أن تكون إجراءات وأدوات هي بيئة وثقافة، فالمؤسسة التي لا تمتلك بيئة رقابية سليمة لا يمكن للأدوات مهما بلغ تطورها أن تُنتج فيها رقابة فعّالة. ويرى (الدردور، ٢٠٢٣) أن البيئة الرقابية تُشكّل نغمة القمة التي تُوجّه سلوك العاملين، وتُرسّخ قيم النزاهة والمساءلة والالتزام، بحيث يصبح السلوك المنضبط نتاجًا للتشرّب الثقافي لا للإكراه الخارجي</w:t>
      </w:r>
      <w:r w:rsidRPr="00D51D9D">
        <w:rPr>
          <w:rFonts w:ascii="Simplified Arabic" w:eastAsia="Times New Roman" w:hAnsi="Simplified Arabic" w:cs="Simplified Arabic"/>
          <w:color w:val="000000" w:themeColor="text1"/>
          <w:kern w:val="0"/>
          <w:sz w:val="28"/>
          <w:szCs w:val="28"/>
          <w14:ligatures w14:val="none"/>
        </w:rPr>
        <w:t>.</w:t>
      </w:r>
    </w:p>
    <w:p w14:paraId="76F941C9"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وتتضمن البيئة الرقابية توزيعًا واضحًا للصلاحيات والمسؤوليات يحدد لكل موقع نطاق سلطته ومسؤولياته، وفصلًا مناسبًا للمهام يحول دون تركّز السلطة بشكل يفتح باب الإخلال، ومنظومة توثيق تُوفّر مسارًا تدقيقيًا واضحًا للعمليات يُتيح التتبع اللاحق. ويؤكد (فروانة وعياد، ٢٠٢٢) أن ضبط العمليات يقتضي وجود سياسات مكتوبة وإجراءات موثقة يعرفها العاملون ويلتزمون بها، وتحديثات دورية تُواكب التطورات في بيئة العمل، بما يضمن أن تظل المنظومة الرقابية حيّة ومتجاوبة مع المستجدات لا جامدة وقاصرة عن مواكبة التحولات</w:t>
      </w:r>
      <w:r w:rsidRPr="00D51D9D">
        <w:rPr>
          <w:rFonts w:ascii="Simplified Arabic" w:eastAsia="Times New Roman" w:hAnsi="Simplified Arabic" w:cs="Simplified Arabic"/>
          <w:color w:val="000000" w:themeColor="text1"/>
          <w:kern w:val="0"/>
          <w:sz w:val="28"/>
          <w:szCs w:val="28"/>
          <w14:ligatures w14:val="none"/>
        </w:rPr>
        <w:t>.</w:t>
      </w:r>
    </w:p>
    <w:p w14:paraId="535DBDDF" w14:textId="77777777" w:rsidR="00CA6C39" w:rsidRPr="00D51D9D" w:rsidRDefault="00CA6C39" w:rsidP="00724B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البُعد الثاني: تقييم المخاطر والاستجابة لها</w:t>
      </w:r>
    </w:p>
    <w:p w14:paraId="4E49E59C"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يُعبّر هذا البُعد عن قدرة المؤسسة على تحديد المخاطر التي تُهدّد تحقيق أهدافها، وتحليلها من حيث الاحتمالية والأثر، وبناء استجابات مناسبة لها. ويُشكّل هذا البُعد “العقل التحليلي” للمنظومة، إذ ينقل الإدارة من نمط الاستجابة الاعتباطية إلى نمط الإدارة المخطط لها. ويصف (المعايطة والمخادمة، ٢٠٢٣) عملية تقييم المخاطر بأنها ممارسة منهجية تبدأ بحصر المخاطر الممكنة عبر آليات متعددة تشمل الفحص التاريخي والاستشراف المستقبلي، ثم تنتقل إلى تحليل هذه المخاطر بمقياسين رئيسيين هما احتمالية الوقوع وحجم الأثر، لتنتهي بترتيب هذه المخاطر وفق أولويات المعالجة</w:t>
      </w:r>
      <w:r w:rsidRPr="00D51D9D">
        <w:rPr>
          <w:rFonts w:ascii="Simplified Arabic" w:eastAsia="Times New Roman" w:hAnsi="Simplified Arabic" w:cs="Simplified Arabic"/>
          <w:color w:val="000000" w:themeColor="text1"/>
          <w:kern w:val="0"/>
          <w:sz w:val="28"/>
          <w:szCs w:val="28"/>
          <w14:ligatures w14:val="none"/>
        </w:rPr>
        <w:t>.</w:t>
      </w:r>
    </w:p>
    <w:p w14:paraId="03FA6419"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 xml:space="preserve">وتتضمن الاستجابة للمخاطر خيارات متعددة يقع على الإدارة اختيار الأنسب منها بحسب طبيعة كل مخاطر وسياقها، فمنها تجنب المخاطر بالتوقف عن النشاط المرتبط بها، ومنها تخفيفها بضوابط تُقلّص من احتمالية الوقوع أو حجم الأثر، ومنها تحويلها إلى أطراف ثالثة عبر التأمين أو التعاقد، ومنها قبولها ضمن حدود مقبولة إذا كانت تكلفة معالجتها تفوق أثرها المحتمل. ويتوقف الاختيار على شهية المؤسسة </w:t>
      </w:r>
      <w:r w:rsidRPr="00D51D9D">
        <w:rPr>
          <w:rFonts w:ascii="Simplified Arabic" w:eastAsia="Times New Roman" w:hAnsi="Simplified Arabic" w:cs="Simplified Arabic"/>
          <w:color w:val="000000" w:themeColor="text1"/>
          <w:kern w:val="0"/>
          <w:sz w:val="28"/>
          <w:szCs w:val="28"/>
          <w:rtl/>
          <w14:ligatures w14:val="none"/>
        </w:rPr>
        <w:lastRenderedPageBreak/>
        <w:t>للمخاطر، وهي معطى استراتيجي يُحدّده مجلس الإدارة ويعكس رؤيتها للتوازن بين الحماية والفرص. ويُضيف (بوعبدالله وعلمي، ٢٠٢٢) أن نجاح هذا البُعد يستدعي بناء منظومة مؤشرات رئيسية للمخاطر</w:t>
      </w:r>
      <w:r w:rsidRPr="00D51D9D">
        <w:rPr>
          <w:rFonts w:ascii="Simplified Arabic" w:eastAsia="Times New Roman" w:hAnsi="Simplified Arabic" w:cs="Simplified Arabic"/>
          <w:color w:val="000000" w:themeColor="text1"/>
          <w:kern w:val="0"/>
          <w:sz w:val="28"/>
          <w:szCs w:val="28"/>
          <w14:ligatures w14:val="none"/>
        </w:rPr>
        <w:t xml:space="preserve"> (KRIs) </w:t>
      </w:r>
      <w:r w:rsidRPr="00D51D9D">
        <w:rPr>
          <w:rFonts w:ascii="Simplified Arabic" w:eastAsia="Times New Roman" w:hAnsi="Simplified Arabic" w:cs="Simplified Arabic"/>
          <w:color w:val="000000" w:themeColor="text1"/>
          <w:kern w:val="0"/>
          <w:sz w:val="28"/>
          <w:szCs w:val="28"/>
          <w:rtl/>
          <w14:ligatures w14:val="none"/>
        </w:rPr>
        <w:t>تُوفّر قياسًا موضوعيًا لمستويات التعرض، وتُتيح رصد التحولات في الوقت المناسب، بحيث يصبح تقييم المخاطر ممارسة مستمرة لا حدثًا دوريًا، وتنسحب معه إدارة المخاطر من حيّز الفحص السنوي إلى حيّز المراقبة اللحظية</w:t>
      </w:r>
      <w:r w:rsidRPr="00D51D9D">
        <w:rPr>
          <w:rFonts w:ascii="Simplified Arabic" w:eastAsia="Times New Roman" w:hAnsi="Simplified Arabic" w:cs="Simplified Arabic"/>
          <w:color w:val="000000" w:themeColor="text1"/>
          <w:kern w:val="0"/>
          <w:sz w:val="28"/>
          <w:szCs w:val="28"/>
          <w14:ligatures w14:val="none"/>
        </w:rPr>
        <w:t>.</w:t>
      </w:r>
    </w:p>
    <w:p w14:paraId="37DEBF11" w14:textId="77777777" w:rsidR="00CA6C39" w:rsidRPr="00D51D9D" w:rsidRDefault="00CA6C39" w:rsidP="00724B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البُعد الثالث: أنشطة الرقابة والمتابعة</w:t>
      </w:r>
    </w:p>
    <w:p w14:paraId="7754BA8D"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يتناول هذا البُعد الآليات التشغيلية التي تُترجم السياسات الرقابية إلى ممارسة يومية، وهو ما يُميّز الرقابة الفعّالة عن الرقابة الشكلية. ويرى (الدردور، ٢٠٢٣) أن أنشطة الرقابة تتضمن الموافقات المسبقة على المعاملات ضمن حدود صلاحيات محددة، والمراجعات الدورية للأداء والمقارنة مع الخطط الموضوعة، والتسويات الحسابية بين السجلات والمصادر المستقلة، وضوابط الوصول للأصول والمعلومات بحيث يحصل كل شخص على ما يحتاجه فقط لأداء عمله، وضوابط تقنية على الأنظمة تحول دون التجاوز غير المصرح به. وتُشكّل هذه الأنشطة معًا نسيج الرقابة اليومي الذي يحمي المؤسسة من التآكل التدريجي</w:t>
      </w:r>
      <w:r w:rsidRPr="00D51D9D">
        <w:rPr>
          <w:rFonts w:ascii="Simplified Arabic" w:eastAsia="Times New Roman" w:hAnsi="Simplified Arabic" w:cs="Simplified Arabic"/>
          <w:color w:val="000000" w:themeColor="text1"/>
          <w:kern w:val="0"/>
          <w:sz w:val="28"/>
          <w:szCs w:val="28"/>
          <w14:ligatures w14:val="none"/>
        </w:rPr>
        <w:t>.</w:t>
      </w:r>
    </w:p>
    <w:p w14:paraId="0885A917"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ويُبرز (أحمد وآخرون، ٢٠٢٣) أن التدقيق الداخلي يُشكّل ركيزة أساسية في هذا البُعد، إذ يُوفّر تقييمًا مستقلًا لكفاءة الأنشطة الرقابية، ويُقدّم توصيات تحسين موضوعية استنادًا إلى معايير مهنية دولية معتمدة. وتُميّز وظيفة التدقيق عن غيرها من الوظائف الرقابية بكونها تعمل من خارج خطوط السلطة التنفيذية، مما يمنحها استقلالية تُعزّز من موضوعيتها ومصداقية تقاريرها. وتُكمّل المتابعة المستمرة هذا البُعد، إذ إنها تضمن أن تظل الأنشطة الرقابية فاعلة، وتكشف عن أي قصور فيها في الوقت المناسب، بحيث لا تُترك الرقابة تتآكل بمرور الزمن بفعل تبدل الظروف أو تغيّر الأشخاص أو تراكم الاستثناءات</w:t>
      </w:r>
      <w:r w:rsidRPr="00D51D9D">
        <w:rPr>
          <w:rFonts w:ascii="Simplified Arabic" w:eastAsia="Times New Roman" w:hAnsi="Simplified Arabic" w:cs="Simplified Arabic"/>
          <w:color w:val="000000" w:themeColor="text1"/>
          <w:kern w:val="0"/>
          <w:sz w:val="28"/>
          <w:szCs w:val="28"/>
          <w14:ligatures w14:val="none"/>
        </w:rPr>
        <w:t>.</w:t>
      </w:r>
    </w:p>
    <w:p w14:paraId="0AB48032" w14:textId="77777777" w:rsidR="00CA6C39" w:rsidRPr="00D51D9D" w:rsidRDefault="00CA6C39" w:rsidP="00724B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البُعد الرابع: المعلومات والاتصال والإفصاح</w:t>
      </w:r>
    </w:p>
    <w:p w14:paraId="49A6B16A"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يُعبّر هذا البُعد عن تدفق المعلومات داخل المؤسسة وخارجها بشكل يخدم منظومة الرقابة، ويُشكّل الجهاز العصبي الذي يربط بقية الأبعاد. ويرى (العشيبى والوكيل، ٢٠٢٣) أن الإفصاح عن المخاطر المالية والتشغيلية يُشكّل بُعدًا محوريًا في نضج المنظومة الرقابية، إذ يعكس شفافية المؤسسة ومصداقيتها في التعامل مع أصحاب المصلحة، ويُنشئ آلية ضغط إيجابي تدفع الإدارة نحو مزيد من الانضباط</w:t>
      </w:r>
      <w:r w:rsidRPr="00D51D9D">
        <w:rPr>
          <w:rFonts w:ascii="Simplified Arabic" w:eastAsia="Times New Roman" w:hAnsi="Simplified Arabic" w:cs="Simplified Arabic"/>
          <w:color w:val="000000" w:themeColor="text1"/>
          <w:kern w:val="0"/>
          <w:sz w:val="28"/>
          <w:szCs w:val="28"/>
          <w14:ligatures w14:val="none"/>
        </w:rPr>
        <w:t>.</w:t>
      </w:r>
    </w:p>
    <w:p w14:paraId="1AF112A4"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lastRenderedPageBreak/>
        <w:t>وتتضمن هذه المنظومة قنوات اتصال داخلية تنقل المعلومات الرقابية عبر المستويات التنظيمية بسلاسة، بحيث لا تُحجب المعلومات المهمة عن مستوياتها المناسبة، ولا تُثقل المستويات العليا ببيانات تفصيلية تُعطّل قدرتها على التركيز على الجوهر. كما تشمل أنظمة تقارير تُوفّر لصانعي القرار البيانات اللازمة في الوقت المناسب وبالشكل الملائم، وممارسات إفصاح خارجي تُعزّز الثقة مع أصحاب المصلحة عبر تقارير المخاطر والاستدامة والحوكمة. ويُضيف (بوليفة وآخرون، ٢٠٢٢) أن هذا البُعد يُشكّل شرطًا لعمل بقية الأبعاد، إذ إن انقطاع تدفق المعلومات أو تشويهه يُضعف كل الأبعاد الأخرى مهما بلغ نضجها، لأن الرقابة في جوهرها تعتمد على المعلومة الموثوقة السريعة في الوقت الصحيح</w:t>
      </w:r>
      <w:r w:rsidRPr="00D51D9D">
        <w:rPr>
          <w:rFonts w:ascii="Simplified Arabic" w:eastAsia="Times New Roman" w:hAnsi="Simplified Arabic" w:cs="Simplified Arabic"/>
          <w:color w:val="000000" w:themeColor="text1"/>
          <w:kern w:val="0"/>
          <w:sz w:val="28"/>
          <w:szCs w:val="28"/>
          <w14:ligatures w14:val="none"/>
        </w:rPr>
        <w:t>.</w:t>
      </w:r>
    </w:p>
    <w:p w14:paraId="2D64DCF8" w14:textId="77777777" w:rsidR="00CA6C39" w:rsidRPr="00D51D9D" w:rsidRDefault="00CA6C39" w:rsidP="00724BD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D51D9D">
        <w:rPr>
          <w:rFonts w:ascii="Simplified Arabic" w:eastAsia="Times New Roman" w:hAnsi="Simplified Arabic" w:cs="Simplified Arabic"/>
          <w:b/>
          <w:bCs/>
          <w:color w:val="000000" w:themeColor="text1"/>
          <w:kern w:val="0"/>
          <w:sz w:val="28"/>
          <w:szCs w:val="28"/>
          <w:rtl/>
          <w14:ligatures w14:val="none"/>
        </w:rPr>
        <w:t>البُعد الخامس: خفض المخاطر التشغيلية</w:t>
      </w:r>
    </w:p>
    <w:p w14:paraId="117DE333"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يُشكّل هذا البُعد المخرج النهائي للمنظومة، ويُعبّر عن قدرة المؤسسة على تقليص وقوع الأحداث التشغيلية غير المرغوبة، والحد من أثرها حال وقوعها. وترى (قلي وحسام الدين، ٢٠٢٥) أن خفض المخاطر التشغيلية يتحقق عبر تكامل ثلاثة عناصر: الوعي المؤسسي بمصادر المخاطر بحيث يعرف كل عامل الأخطار التي يحملها موقعه، والبنية التنظيمية الداعمة لضبطها بحيث تكون الأدوار واضحة والمسؤوليات محددة، والأدوات الفنية اللازمة لمعالجتها بحيث تمتلك المؤسسة القدرة التقنية على تنفيذ استجاباتها</w:t>
      </w:r>
      <w:r w:rsidRPr="00D51D9D">
        <w:rPr>
          <w:rFonts w:ascii="Simplified Arabic" w:eastAsia="Times New Roman" w:hAnsi="Simplified Arabic" w:cs="Simplified Arabic"/>
          <w:color w:val="000000" w:themeColor="text1"/>
          <w:kern w:val="0"/>
          <w:sz w:val="28"/>
          <w:szCs w:val="28"/>
          <w14:ligatures w14:val="none"/>
        </w:rPr>
        <w:t>.</w:t>
      </w:r>
    </w:p>
    <w:p w14:paraId="2581CB7C"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ويُبرز (الشيخ، ٢٠٢٥) أن نجاح هذا البُعد ينعكس على استقرار الأداء المالي للمؤسسة، ويُخفّض من التقلبات التي تُضعف قيمتها المؤسسية والسوقية. ويشمل هذا البُعد ضبط مخاطر الأخطاء البشرية عبر التدريب المستمر وتحسين الإجراءات وتصميم الأنظمة بما يُقلّص من فرص الخطأ، ومخاطر الأنظمة عبر تعزيز البنى التقنية وخطط التعافي من الأعطال، ومخاطر الأحداث الخارجية عبر بناء خطط الاستمرارية وسيناريوهات إدارة الأزمات، ومخاطر التلاعب عبر ضوابط الفصل بين المهام والتدقيق الدوري والأنظمة الآلية لكشف الشذوذات. وتتحقق فعالية خفض المخاطر التشغيلية في نهاية المطاف عبر تفاعل كل الأبعاد السابقة، فالبيئة الرقابية توفر الحاضنة، والتقييم يُحدّد المخاطر، والأنشطة الرقابية تُضبطها، والمعلومات تربطها في نسق واحد، ليصبح خفض المخاطر مخرجًا طبيعيًا لمنظومة متكاملة لا هدفًا مستقلًا يُسعى إليه بمعزل عن غيره</w:t>
      </w:r>
      <w:r w:rsidRPr="00D51D9D">
        <w:rPr>
          <w:rFonts w:ascii="Simplified Arabic" w:eastAsia="Times New Roman" w:hAnsi="Simplified Arabic" w:cs="Simplified Arabic"/>
          <w:color w:val="000000" w:themeColor="text1"/>
          <w:kern w:val="0"/>
          <w:sz w:val="28"/>
          <w:szCs w:val="28"/>
          <w14:ligatures w14:val="none"/>
        </w:rPr>
        <w:t>.</w:t>
      </w:r>
    </w:p>
    <w:p w14:paraId="7F68111C" w14:textId="6DECD458" w:rsidR="00CA6C39" w:rsidRPr="00D51D9D" w:rsidRDefault="00724BDB" w:rsidP="00724BD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4226620"/>
      <w:r w:rsidRPr="00D51D9D">
        <w:rPr>
          <w:rFonts w:ascii="Simplified Arabic" w:eastAsia="Times New Roman" w:hAnsi="Simplified Arabic" w:cs="Simplified Arabic" w:hint="cs"/>
          <w:b/>
          <w:bCs/>
          <w:color w:val="000000" w:themeColor="text1"/>
          <w:kern w:val="0"/>
          <w:sz w:val="32"/>
          <w:szCs w:val="32"/>
          <w:rtl/>
          <w14:ligatures w14:val="none"/>
        </w:rPr>
        <w:t xml:space="preserve">6.2.2 </w:t>
      </w:r>
      <w:r w:rsidR="00CA6C39" w:rsidRPr="00D51D9D">
        <w:rPr>
          <w:rFonts w:ascii="Simplified Arabic" w:eastAsia="Times New Roman" w:hAnsi="Simplified Arabic" w:cs="Simplified Arabic"/>
          <w:b/>
          <w:bCs/>
          <w:color w:val="000000" w:themeColor="text1"/>
          <w:kern w:val="0"/>
          <w:sz w:val="32"/>
          <w:szCs w:val="32"/>
          <w:rtl/>
          <w14:ligatures w14:val="none"/>
        </w:rPr>
        <w:t>مداخل معالجة المتغير التابع في الأدبيات</w:t>
      </w:r>
      <w:bookmarkEnd w:id="53"/>
    </w:p>
    <w:p w14:paraId="566560CC"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lastRenderedPageBreak/>
        <w:t>تنوّعت زوايا معالجة المتغير التابع في الأدبيات على نحو يُثري الإطار النظري للدراسة الحالية ويُوفّر لها روافد فكرية متعددة. فقد تناول (الدردور، ٢٠٢٣) الموضوع من زاوية كفاءة الرقابة الداخلية وأثرها على الأداء المالي، ضمن إطار المؤسسات المالية، بمتغيرات تتصل بمكونات الرقابة الداخلية ومؤشرات الأداء، وبمؤشرات نوعية تعكس نضج المنظومة الرقابية. وتُفيد هذه المعالجة الدراسة الراهنة في بناء مؤشرات القياس للبُعدين الأول والثاني، وفي فهم الآلية التي تنتقل عبرها فعالية الرقابة إلى تحسين الأداء المالي</w:t>
      </w:r>
      <w:r w:rsidRPr="00D51D9D">
        <w:rPr>
          <w:rFonts w:ascii="Simplified Arabic" w:eastAsia="Times New Roman" w:hAnsi="Simplified Arabic" w:cs="Simplified Arabic"/>
          <w:color w:val="000000" w:themeColor="text1"/>
          <w:kern w:val="0"/>
          <w:sz w:val="28"/>
          <w:szCs w:val="28"/>
          <w14:ligatures w14:val="none"/>
        </w:rPr>
        <w:t>.</w:t>
      </w:r>
    </w:p>
    <w:p w14:paraId="0A3F553E"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وعالج (فروانة وعياد، ٢٠٢٢) الموضوع من زاوية فعالية أنظمة الرقابة الداخلية في تطوير الأداء المالي، ضمن إطار قطاع مصرفي في بيئة عربية، بمتغيرات تتصل بأنظمة الرقابة والأداء المالي، وبمؤشرات تعكس مكونات المنظومة الرقابية بحسب المعايير المهنية الدولية. وتُوفّر هذه الدراسة إطارًا مرجعيًا لقياس أبعاد المتغير التابع، ونموذجًا لكيفية تشغيل المنظومة الرقابية في السياقات المصرفية</w:t>
      </w:r>
      <w:r w:rsidRPr="00D51D9D">
        <w:rPr>
          <w:rFonts w:ascii="Simplified Arabic" w:eastAsia="Times New Roman" w:hAnsi="Simplified Arabic" w:cs="Simplified Arabic"/>
          <w:color w:val="000000" w:themeColor="text1"/>
          <w:kern w:val="0"/>
          <w:sz w:val="28"/>
          <w:szCs w:val="28"/>
          <w14:ligatures w14:val="none"/>
        </w:rPr>
        <w:t>.</w:t>
      </w:r>
    </w:p>
    <w:p w14:paraId="3AB5EAEA"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وتناول (المعايطة والمخادمة، ٢٠٢٣) المتغير من زاوية أثر إدارة المخاطر التشغيلية في دعم الميزة التنافسية، ضمن إطار البنوك التجارية الأردنية، بمتغيرات تربط بين إدارة المخاطر والأداء التنافسي، وبمؤشرات تعكس نضج ممارسات إدارة المخاطر ومستوى الميزة التنافسية. وتُثري هذه المعالجة الرؤية النظرية لعلاقة خفض المخاطر التشغيلية بالأداء المؤسسي في بُعده التنافسي، وتُوفّر أساسًا لبناء الجسر النظري بين متغيرات الدراسة الحالية</w:t>
      </w:r>
      <w:r w:rsidRPr="00D51D9D">
        <w:rPr>
          <w:rFonts w:ascii="Simplified Arabic" w:eastAsia="Times New Roman" w:hAnsi="Simplified Arabic" w:cs="Simplified Arabic"/>
          <w:color w:val="000000" w:themeColor="text1"/>
          <w:kern w:val="0"/>
          <w:sz w:val="28"/>
          <w:szCs w:val="28"/>
          <w14:ligatures w14:val="none"/>
        </w:rPr>
        <w:t>.</w:t>
      </w:r>
    </w:p>
    <w:p w14:paraId="7001E01B"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ووظّف (بوعبدالله وعلمي، ٢٠٢٢) مدخل مؤشرات المخاطر الرئيسية، ضمن إطار قطاع التأمين الجزائري، بمتغيرات تتصل بالمؤشرات الاستباقية والمخاطر التشغيلية، وبمنهجيات قياس تعكس المدرسة الحديثة في إدارة المخاطر. وتُوفّر هذه المعالجة أساسًا نظريًا لبناء مؤشرات القياس الاستباقية في الدراسة، وتُثري فهم البُعد الثاني المتعلق بتقييم المخاطر والاستجابة لها</w:t>
      </w:r>
      <w:r w:rsidRPr="00D51D9D">
        <w:rPr>
          <w:rFonts w:ascii="Simplified Arabic" w:eastAsia="Times New Roman" w:hAnsi="Simplified Arabic" w:cs="Simplified Arabic"/>
          <w:color w:val="000000" w:themeColor="text1"/>
          <w:kern w:val="0"/>
          <w:sz w:val="28"/>
          <w:szCs w:val="28"/>
          <w14:ligatures w14:val="none"/>
        </w:rPr>
        <w:t>.</w:t>
      </w:r>
    </w:p>
    <w:p w14:paraId="12FF687E"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وقدّم (الشيخ، ٢٠٢٥) معالجة تربط بين المخاطر التشغيلية والأداء السوقي، ضمن إطار المصارف المدرجة في سوق مالي، بمتغيرات تتصل بالمخاطر التشغيلية وعوائد الأسهم، وبمنهجيات قياس مستقاة من أدبيات التمويل. وتُثري هذه المعالجة البُعد الاستراتيجي للمتغير التابع، وتكشف عن انعكاس ضبط المخاطر التشغيلية على القيمة السوقية للمؤسسة</w:t>
      </w:r>
      <w:r w:rsidRPr="00D51D9D">
        <w:rPr>
          <w:rFonts w:ascii="Simplified Arabic" w:eastAsia="Times New Roman" w:hAnsi="Simplified Arabic" w:cs="Simplified Arabic"/>
          <w:color w:val="000000" w:themeColor="text1"/>
          <w:kern w:val="0"/>
          <w:sz w:val="28"/>
          <w:szCs w:val="28"/>
          <w14:ligatures w14:val="none"/>
        </w:rPr>
        <w:t>.</w:t>
      </w:r>
    </w:p>
    <w:p w14:paraId="6B5866D6"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lastRenderedPageBreak/>
        <w:t>وعالج (بوليفة وآخرون، ٢٠٢٢) الموضوع ضمن إطار الوكالات البنكية، بمتغيرات تتصل بمنهجيات إدارة المخاطر التشغيلية وضوابطها التنظيمية. وتُوفّر هذه المعالجة مادة نظرية لبناء منظومة إدارة المخاطر في الدراسة، وتُقدّم نموذجًا لكيفية تشغيل هذه المنظومة على المستوى التنفيذي</w:t>
      </w:r>
      <w:r w:rsidRPr="00D51D9D">
        <w:rPr>
          <w:rFonts w:ascii="Simplified Arabic" w:eastAsia="Times New Roman" w:hAnsi="Simplified Arabic" w:cs="Simplified Arabic"/>
          <w:color w:val="000000" w:themeColor="text1"/>
          <w:kern w:val="0"/>
          <w:sz w:val="28"/>
          <w:szCs w:val="28"/>
          <w14:ligatures w14:val="none"/>
        </w:rPr>
        <w:t>.</w:t>
      </w:r>
    </w:p>
    <w:p w14:paraId="396E215E"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وتناولت (قلي وحسام الدين، ٢٠٢٥) واقع إدارة المخاطر التشغيلية في القطاع المصرفي، بمتغيرات تتصل بالوعي المؤسسي والبنية التنظيمية والأدوات الفنية، وبمؤشرات تعكس نضج كل عنصر من هذه العناصر. وتُثري هذه المعالجة الرؤية النظرية للتكامل بين مكونات المنظومة، وتُوفّر إطارًا لفهم البُعد الخامس المتعلق بخفض المخاطر التشغيلية</w:t>
      </w:r>
      <w:r w:rsidRPr="00D51D9D">
        <w:rPr>
          <w:rFonts w:ascii="Simplified Arabic" w:eastAsia="Times New Roman" w:hAnsi="Simplified Arabic" w:cs="Simplified Arabic"/>
          <w:color w:val="000000" w:themeColor="text1"/>
          <w:kern w:val="0"/>
          <w:sz w:val="28"/>
          <w:szCs w:val="28"/>
          <w14:ligatures w14:val="none"/>
        </w:rPr>
        <w:t>.</w:t>
      </w:r>
    </w:p>
    <w:p w14:paraId="5102F647"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وتناول (أحمد وآخرون، ٢٠٢٣) الموضوع من زاوية دور التدقيق الداخلي في تحجيم المخاطر التشغيلية والاستثمارية، ضمن إطار المصارف الأهلية، بمتغيرات تتصل بوظيفة التدقيق الداخلي وإدارة المخاطر. وتُوفّر هذه المعالجة ركيزة نظرية للبُعد الثالث المتعلق بأنشطة الرقابة، وتكشف عن الدور المحوري للتدقيق الداخلي في المنظومة الرقابية الشاملة</w:t>
      </w:r>
      <w:r w:rsidRPr="00D51D9D">
        <w:rPr>
          <w:rFonts w:ascii="Simplified Arabic" w:eastAsia="Times New Roman" w:hAnsi="Simplified Arabic" w:cs="Simplified Arabic"/>
          <w:color w:val="000000" w:themeColor="text1"/>
          <w:kern w:val="0"/>
          <w:sz w:val="28"/>
          <w:szCs w:val="28"/>
          <w14:ligatures w14:val="none"/>
        </w:rPr>
        <w:t>.</w:t>
      </w:r>
    </w:p>
    <w:p w14:paraId="79AEE78B"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وقدّم (العشيبى والوكيل، ٢٠٢٣) معالجة من زاوية الإفصاح عن المخاطر المالية والتشغيلية، ضمن إطار القطاع المصرفي، بمتغيرات تتصل بمستوى الإفصاح والشفافية، وبمؤشرات مستقاة من متطلبات الإفصاح الدولية. وتُثري هذه المعالجة البُعد الرابع المتعلق بالمعلومات والاتصال، وتكشف عن الوظيفة الاتصالية للرقابة الداخلية في علاقة المؤسسة بأصحاب المصلحة</w:t>
      </w:r>
      <w:r w:rsidRPr="00D51D9D">
        <w:rPr>
          <w:rFonts w:ascii="Simplified Arabic" w:eastAsia="Times New Roman" w:hAnsi="Simplified Arabic" w:cs="Simplified Arabic"/>
          <w:color w:val="000000" w:themeColor="text1"/>
          <w:kern w:val="0"/>
          <w:sz w:val="28"/>
          <w:szCs w:val="28"/>
          <w14:ligatures w14:val="none"/>
        </w:rPr>
        <w:t>.</w:t>
      </w:r>
    </w:p>
    <w:p w14:paraId="45F5B2F6"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وتناول (البدري وصبح، ٢٠٢٥) الموضوع من زاوية أثر الحوكمة على الأداء المالي لشركات ذات طبيعة مخاطر مرتفعة، ضمن إطار السوق المالية المصرية، بمتغيرات تربط بين تطبيق الحوكمة والأداء. وتُشكّل هذه المعالجة جسرًا نظريًا بين المتغير المستقل والمتغير التابع في الدراسة الراهنة، وتُوفّر السند النظري لتوقع علاقة إيجابية بينهما</w:t>
      </w:r>
      <w:r w:rsidRPr="00D51D9D">
        <w:rPr>
          <w:rFonts w:ascii="Simplified Arabic" w:eastAsia="Times New Roman" w:hAnsi="Simplified Arabic" w:cs="Simplified Arabic"/>
          <w:color w:val="000000" w:themeColor="text1"/>
          <w:kern w:val="0"/>
          <w:sz w:val="28"/>
          <w:szCs w:val="28"/>
          <w14:ligatures w14:val="none"/>
        </w:rPr>
        <w:t>.</w:t>
      </w:r>
    </w:p>
    <w:p w14:paraId="7DDF5DC2" w14:textId="77777777"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وأسهم (قيوش ولكحل، ٢٠٢٢) بمعالجة تربط بين الحوكمة المصرفية وأداء البنوك، ضمن إطار البنوك العمومية، بمتغيرات تتصل بآليات الحوكمة والأداء البنكي. وتُدعّم هذه المعالجة الأساس النظري لعلاقة المتغيرين، وتُوفّر نموذجًا لقياس أثر الحوكمة على الأداء المؤسسي</w:t>
      </w:r>
      <w:r w:rsidRPr="00D51D9D">
        <w:rPr>
          <w:rFonts w:ascii="Simplified Arabic" w:eastAsia="Times New Roman" w:hAnsi="Simplified Arabic" w:cs="Simplified Arabic"/>
          <w:color w:val="000000" w:themeColor="text1"/>
          <w:kern w:val="0"/>
          <w:sz w:val="28"/>
          <w:szCs w:val="28"/>
          <w14:ligatures w14:val="none"/>
        </w:rPr>
        <w:t>.</w:t>
      </w:r>
    </w:p>
    <w:p w14:paraId="52742062" w14:textId="17CD661A" w:rsidR="00CA6C39" w:rsidRPr="00D51D9D" w:rsidRDefault="00CA6C39" w:rsidP="00D97DA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D51D9D">
        <w:rPr>
          <w:rFonts w:ascii="Simplified Arabic" w:eastAsia="Times New Roman" w:hAnsi="Simplified Arabic" w:cs="Simplified Arabic"/>
          <w:color w:val="000000" w:themeColor="text1"/>
          <w:kern w:val="0"/>
          <w:sz w:val="28"/>
          <w:szCs w:val="28"/>
          <w:rtl/>
          <w14:ligatures w14:val="none"/>
        </w:rPr>
        <w:t xml:space="preserve">وأخيرًا، قدّمت (البلوي وغيث، ٢٠٢١) معالجة لأثر آليات الحوكمة على إدارة المخاطر في القطاع العام، ضمن إطار مؤسسات حكومية في السياق السعودي، بمتغيرات تتصل بآليات الحوكمة وإدارة المخاطر </w:t>
      </w:r>
      <w:r w:rsidRPr="00D51D9D">
        <w:rPr>
          <w:rFonts w:ascii="Simplified Arabic" w:eastAsia="Times New Roman" w:hAnsi="Simplified Arabic" w:cs="Simplified Arabic"/>
          <w:color w:val="000000" w:themeColor="text1"/>
          <w:kern w:val="0"/>
          <w:sz w:val="28"/>
          <w:szCs w:val="28"/>
          <w:rtl/>
          <w14:ligatures w14:val="none"/>
        </w:rPr>
        <w:lastRenderedPageBreak/>
        <w:t xml:space="preserve">المؤسسية. وتُوفّر هذه المعالجة إطارًا سياقيًا يتقاطع مباشرة مع بيئة الدراسة الحالية المتعلقة بالشركات الحكومية بمدينة الرياض، وتكشف عن خصوصية العمل الحكومي في تطبيق منظومات الحوكمة وإدارة </w:t>
      </w:r>
    </w:p>
    <w:p w14:paraId="7982E2E7" w14:textId="29AD0878" w:rsidR="00412E44" w:rsidRPr="00D51D9D" w:rsidRDefault="00724BDB" w:rsidP="00F91F7C">
      <w:pPr>
        <w:jc w:val="center"/>
        <w:outlineLvl w:val="0"/>
        <w:rPr>
          <w:rFonts w:ascii="Simplified Arabic" w:hAnsi="Simplified Arabic" w:cs="Simplified Arabic"/>
          <w:b/>
          <w:bCs/>
          <w:color w:val="000000" w:themeColor="text1"/>
          <w:szCs w:val="28"/>
          <w:rtl/>
        </w:rPr>
        <w:sectPr w:rsidR="00412E44" w:rsidRPr="00D51D9D" w:rsidSect="00D97DA4">
          <w:footerReference w:type="default" r:id="rId10"/>
          <w:pgSz w:w="11906" w:h="16838" w:code="9"/>
          <w:pgMar w:top="1134" w:right="1701" w:bottom="1134" w:left="1134" w:header="720" w:footer="720" w:gutter="0"/>
          <w:pgNumType w:start="1"/>
          <w:cols w:space="708"/>
          <w:bidi/>
          <w:rtlGutter/>
          <w:docGrid w:linePitch="360"/>
        </w:sectPr>
      </w:pPr>
      <w:r w:rsidRPr="00D51D9D">
        <w:rPr>
          <w:rFonts w:ascii="Simplified Arabic" w:eastAsia="Times New Roman" w:hAnsi="Simplified Arabic" w:cs="Simplified Arabic"/>
          <w:b/>
          <w:bCs/>
          <w:color w:val="000000" w:themeColor="text1"/>
          <w:kern w:val="0"/>
          <w:sz w:val="40"/>
          <w:szCs w:val="40"/>
          <w:rtl/>
          <w14:ligatures w14:val="none"/>
        </w:rPr>
        <w:br w:type="page"/>
      </w:r>
      <w:bookmarkStart w:id="54" w:name="_GoBack"/>
      <w:bookmarkEnd w:id="27"/>
      <w:bookmarkEnd w:id="54"/>
    </w:p>
    <w:p w14:paraId="29D4231B" w14:textId="1A581B19" w:rsidR="0081623B" w:rsidRPr="00D51D9D" w:rsidRDefault="00E27D3B" w:rsidP="00112555">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51D9D">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3F00EEC3">
            <wp:simplePos x="0" y="0"/>
            <wp:positionH relativeFrom="column">
              <wp:posOffset>4271010</wp:posOffset>
            </wp:positionH>
            <wp:positionV relativeFrom="paragraph">
              <wp:posOffset>0</wp:posOffset>
            </wp:positionV>
            <wp:extent cx="1369695" cy="1268730"/>
            <wp:effectExtent l="0" t="0" r="1905" b="7620"/>
            <wp:wrapTight wrapText="bothSides">
              <wp:wrapPolygon edited="0">
                <wp:start x="0" y="0"/>
                <wp:lineTo x="0" y="21405"/>
                <wp:lineTo x="21330" y="21405"/>
                <wp:lineTo x="2133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69695" cy="126873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D51D9D">
        <w:rPr>
          <w:rFonts w:asciiTheme="majorBidi" w:eastAsia="Calibri" w:hAnsiTheme="majorBidi" w:cstheme="majorBidi"/>
          <w:b/>
          <w:bCs/>
          <w:color w:val="000000" w:themeColor="text1"/>
          <w:kern w:val="0"/>
          <w:sz w:val="32"/>
          <w:szCs w:val="32"/>
          <w:lang w:bidi="ar-EG"/>
          <w14:ligatures w14:val="none"/>
        </w:rPr>
        <w:t>Mid</w:t>
      </w:r>
      <w:r w:rsidR="000D353F" w:rsidRPr="00D51D9D">
        <w:rPr>
          <w:rFonts w:asciiTheme="majorBidi" w:eastAsia="Calibri" w:hAnsiTheme="majorBidi" w:cstheme="majorBidi"/>
          <w:b/>
          <w:bCs/>
          <w:color w:val="000000" w:themeColor="text1"/>
          <w:kern w:val="0"/>
          <w:sz w:val="32"/>
          <w:szCs w:val="32"/>
          <w:lang w:bidi="ar-EG"/>
          <w14:ligatures w14:val="none"/>
        </w:rPr>
        <w:t xml:space="preserve"> </w:t>
      </w:r>
      <w:r w:rsidR="0081623B" w:rsidRPr="00D51D9D">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D51D9D" w:rsidRDefault="0081623B" w:rsidP="00112555">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D51D9D">
        <w:rPr>
          <w:rFonts w:asciiTheme="majorBidi" w:eastAsia="Calibri" w:hAnsiTheme="majorBidi" w:cstheme="majorBidi"/>
          <w:b/>
          <w:bCs/>
          <w:color w:val="000000" w:themeColor="text1"/>
          <w:kern w:val="0"/>
          <w:sz w:val="32"/>
          <w:szCs w:val="32"/>
          <w:lang w:bidi="ar-EG"/>
          <w14:ligatures w14:val="none"/>
        </w:rPr>
        <w:t>College of Management</w:t>
      </w:r>
    </w:p>
    <w:p w14:paraId="0479A04F" w14:textId="21D48A2E" w:rsidR="0081623B" w:rsidRPr="00D51D9D" w:rsidRDefault="00857739" w:rsidP="00412E4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D51D9D">
        <w:rPr>
          <w:rFonts w:asciiTheme="majorBidi" w:eastAsia="Calibri" w:hAnsiTheme="majorBidi" w:cstheme="majorBidi"/>
          <w:b/>
          <w:bCs/>
          <w:color w:val="000000" w:themeColor="text1"/>
          <w:kern w:val="0"/>
          <w:sz w:val="32"/>
          <w:szCs w:val="32"/>
          <w:lang w:bidi="ar-EG"/>
          <w14:ligatures w14:val="none"/>
        </w:rPr>
        <w:t xml:space="preserve">Department of </w:t>
      </w:r>
      <w:r w:rsidR="003E2102" w:rsidRPr="00D51D9D">
        <w:rPr>
          <w:rFonts w:asciiTheme="majorBidi" w:eastAsia="Calibri" w:hAnsiTheme="majorBidi" w:cstheme="majorBidi"/>
          <w:b/>
          <w:bCs/>
          <w:color w:val="000000" w:themeColor="text1"/>
          <w:kern w:val="0"/>
          <w:sz w:val="32"/>
          <w:szCs w:val="32"/>
          <w14:ligatures w14:val="none"/>
        </w:rPr>
        <w:t xml:space="preserve">risk management </w:t>
      </w:r>
    </w:p>
    <w:p w14:paraId="04411127" w14:textId="77777777" w:rsidR="00E27D3B" w:rsidRPr="00D51D9D" w:rsidRDefault="00E27D3B" w:rsidP="00112555">
      <w:pPr>
        <w:bidi w:val="0"/>
        <w:spacing w:before="100" w:beforeAutospacing="1" w:after="100" w:afterAutospacing="1" w:line="276" w:lineRule="auto"/>
        <w:jc w:val="both"/>
        <w:rPr>
          <w:rFonts w:asciiTheme="majorBidi" w:eastAsia="Calibri" w:hAnsiTheme="majorBidi" w:cstheme="majorBidi"/>
          <w:color w:val="000000" w:themeColor="text1"/>
          <w:kern w:val="0"/>
          <w:sz w:val="32"/>
          <w:szCs w:val="32"/>
          <w14:ligatures w14:val="none"/>
        </w:rPr>
      </w:pPr>
    </w:p>
    <w:p w14:paraId="41F8D0B6" w14:textId="77777777" w:rsidR="00DC4E1F" w:rsidRPr="00D51D9D" w:rsidRDefault="00DC4E1F" w:rsidP="00412E44">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D51D9D">
        <w:rPr>
          <w:rFonts w:asciiTheme="majorBidi" w:eastAsia="Calibri" w:hAnsiTheme="majorBidi" w:cstheme="majorBidi"/>
          <w:b/>
          <w:bCs/>
          <w:color w:val="000000" w:themeColor="text1"/>
          <w:kern w:val="0"/>
          <w:sz w:val="40"/>
          <w:szCs w:val="40"/>
          <w:lang w:bidi="ar-EG"/>
          <w14:ligatures w14:val="none"/>
        </w:rPr>
        <w:t>The impact of implementing governance, risk, and compliance (GRC) digitally on improving the effectiveness of internal control and reducing operational risks: a field study on government companies in Riyadh.</w:t>
      </w:r>
    </w:p>
    <w:p w14:paraId="71C5CA4B" w14:textId="77777777" w:rsidR="00412E44" w:rsidRPr="00D51D9D" w:rsidRDefault="00412E44" w:rsidP="00412E4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76883000" w14:textId="27534E8A" w:rsidR="002C4915" w:rsidRPr="00D51D9D" w:rsidRDefault="002C4915" w:rsidP="00412E4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51D9D">
        <w:rPr>
          <w:rFonts w:asciiTheme="majorBidi" w:eastAsia="Calibri" w:hAnsiTheme="majorBidi" w:cstheme="majorBidi"/>
          <w:b/>
          <w:bCs/>
          <w:color w:val="000000" w:themeColor="text1"/>
          <w:kern w:val="0"/>
          <w:sz w:val="36"/>
          <w:szCs w:val="36"/>
          <w:lang w:bidi="ar-EG"/>
          <w14:ligatures w14:val="none"/>
        </w:rPr>
        <w:t>Prepared by:</w:t>
      </w:r>
    </w:p>
    <w:p w14:paraId="2A157BC5" w14:textId="77777777" w:rsidR="00DC4E1F" w:rsidRPr="00D51D9D" w:rsidRDefault="00DC4E1F" w:rsidP="00412E4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D51D9D">
        <w:rPr>
          <w:rFonts w:asciiTheme="majorBidi" w:eastAsia="Calibri" w:hAnsiTheme="majorBidi" w:cstheme="majorBidi"/>
          <w:color w:val="000000" w:themeColor="text1"/>
          <w:kern w:val="0"/>
          <w:sz w:val="36"/>
          <w:szCs w:val="36"/>
          <w:lang w:bidi="ar-EG"/>
          <w14:ligatures w14:val="none"/>
        </w:rPr>
        <w:t xml:space="preserve">Lamia Bader </w:t>
      </w:r>
      <w:proofErr w:type="spellStart"/>
      <w:r w:rsidRPr="00D51D9D">
        <w:rPr>
          <w:rFonts w:asciiTheme="majorBidi" w:eastAsia="Calibri" w:hAnsiTheme="majorBidi" w:cstheme="majorBidi"/>
          <w:color w:val="000000" w:themeColor="text1"/>
          <w:kern w:val="0"/>
          <w:sz w:val="36"/>
          <w:szCs w:val="36"/>
          <w:lang w:bidi="ar-EG"/>
          <w14:ligatures w14:val="none"/>
        </w:rPr>
        <w:t>Alsabhan</w:t>
      </w:r>
      <w:proofErr w:type="spellEnd"/>
    </w:p>
    <w:p w14:paraId="45D8ED94" w14:textId="6BC0E60F" w:rsidR="00D764F3" w:rsidRPr="00D51D9D" w:rsidRDefault="00DC4E1F" w:rsidP="00412E4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D51D9D">
        <w:rPr>
          <w:rFonts w:asciiTheme="majorBidi" w:eastAsia="Calibri" w:hAnsiTheme="majorBidi" w:cstheme="majorBidi"/>
          <w:color w:val="000000" w:themeColor="text1"/>
          <w:kern w:val="0"/>
          <w:sz w:val="36"/>
          <w:szCs w:val="36"/>
          <w:lang w:bidi="ar-EG"/>
          <w14:ligatures w14:val="none"/>
        </w:rPr>
        <w:t>253002470</w:t>
      </w:r>
    </w:p>
    <w:p w14:paraId="62DFE7E8" w14:textId="77777777" w:rsidR="00412E44" w:rsidRPr="00D51D9D" w:rsidRDefault="00412E44" w:rsidP="00412E4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12E44" w:rsidRPr="00D51D9D" w14:paraId="1B3A5A67" w14:textId="77777777" w:rsidTr="00605EEB">
        <w:tc>
          <w:tcPr>
            <w:tcW w:w="4530" w:type="dxa"/>
          </w:tcPr>
          <w:p w14:paraId="45060D98" w14:textId="77777777" w:rsidR="00412E44" w:rsidRPr="00D51D9D" w:rsidRDefault="00412E44" w:rsidP="00605EE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51D9D">
              <w:rPr>
                <w:rFonts w:asciiTheme="majorBidi" w:eastAsia="Calibri" w:hAnsiTheme="majorBidi" w:cstheme="majorBidi"/>
                <w:b/>
                <w:bCs/>
                <w:color w:val="000000" w:themeColor="text1"/>
                <w:kern w:val="0"/>
                <w:sz w:val="36"/>
                <w:szCs w:val="36"/>
                <w:lang w:bidi="ar-EG"/>
                <w14:ligatures w14:val="none"/>
              </w:rPr>
              <w:t>Main supervisor</w:t>
            </w:r>
            <w:r w:rsidRPr="00D51D9D">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14444C93" w14:textId="77777777" w:rsidR="00412E44" w:rsidRPr="00D51D9D" w:rsidRDefault="00412E44" w:rsidP="00605EE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51D9D">
              <w:rPr>
                <w:rFonts w:asciiTheme="majorBidi" w:eastAsia="Calibri" w:hAnsiTheme="majorBidi" w:cstheme="majorBidi"/>
                <w:b/>
                <w:bCs/>
                <w:color w:val="000000" w:themeColor="text1"/>
                <w:kern w:val="0"/>
                <w:sz w:val="36"/>
                <w:szCs w:val="36"/>
                <w:lang w:bidi="ar-EG"/>
                <w14:ligatures w14:val="none"/>
              </w:rPr>
              <w:t>Second supervisor</w:t>
            </w:r>
            <w:r w:rsidRPr="00D51D9D">
              <w:rPr>
                <w:rFonts w:asciiTheme="majorBidi" w:eastAsia="Calibri" w:hAnsiTheme="majorBidi" w:cstheme="majorBidi"/>
                <w:b/>
                <w:bCs/>
                <w:color w:val="000000" w:themeColor="text1"/>
                <w:kern w:val="0"/>
                <w:sz w:val="36"/>
                <w:szCs w:val="36"/>
                <w:rtl/>
                <w:lang w:bidi="ar-EG"/>
                <w14:ligatures w14:val="none"/>
              </w:rPr>
              <w:t>/</w:t>
            </w:r>
          </w:p>
        </w:tc>
      </w:tr>
      <w:tr w:rsidR="00412E44" w:rsidRPr="00D51D9D" w14:paraId="34A66F87" w14:textId="77777777" w:rsidTr="00605EEB">
        <w:tc>
          <w:tcPr>
            <w:tcW w:w="4530" w:type="dxa"/>
          </w:tcPr>
          <w:p w14:paraId="28AAE155" w14:textId="77777777" w:rsidR="00412E44" w:rsidRPr="00D51D9D" w:rsidRDefault="00412E44" w:rsidP="00605EE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51D9D">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D51D9D">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3E935165" w14:textId="77777777" w:rsidR="00412E44" w:rsidRPr="00D51D9D" w:rsidRDefault="00412E44" w:rsidP="00605EE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D51D9D">
              <w:rPr>
                <w:rFonts w:asciiTheme="majorBidi" w:eastAsia="Calibri" w:hAnsiTheme="majorBidi" w:cstheme="majorBidi"/>
                <w:color w:val="000000" w:themeColor="text1"/>
                <w:kern w:val="0"/>
                <w:sz w:val="36"/>
                <w:szCs w:val="36"/>
                <w:lang w:bidi="ar-EG"/>
                <w14:ligatures w14:val="none"/>
              </w:rPr>
              <w:t xml:space="preserve">Dr. Fayez </w:t>
            </w:r>
            <w:proofErr w:type="spellStart"/>
            <w:r w:rsidRPr="00D51D9D">
              <w:rPr>
                <w:rFonts w:asciiTheme="majorBidi" w:eastAsia="Calibri" w:hAnsiTheme="majorBidi" w:cstheme="majorBidi"/>
                <w:color w:val="000000" w:themeColor="text1"/>
                <w:kern w:val="0"/>
                <w:sz w:val="36"/>
                <w:szCs w:val="36"/>
                <w:lang w:bidi="ar-EG"/>
                <w14:ligatures w14:val="none"/>
              </w:rPr>
              <w:t>Jarad</w:t>
            </w:r>
            <w:proofErr w:type="spellEnd"/>
          </w:p>
        </w:tc>
      </w:tr>
    </w:tbl>
    <w:p w14:paraId="70114DBB" w14:textId="77777777" w:rsidR="00412E44" w:rsidRPr="00D51D9D" w:rsidRDefault="00412E44" w:rsidP="00412E44">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D51D9D">
        <w:rPr>
          <w:rFonts w:asciiTheme="majorBidi" w:eastAsia="Calibri" w:hAnsiTheme="majorBidi" w:cstheme="majorBidi"/>
          <w:color w:val="000000" w:themeColor="text1"/>
          <w:kern w:val="0"/>
          <w:sz w:val="36"/>
          <w:szCs w:val="36"/>
          <w:rtl/>
          <w:lang w:bidi="ar-EG"/>
          <w14:ligatures w14:val="none"/>
        </w:rPr>
        <w:t>1448 – 2026</w:t>
      </w:r>
    </w:p>
    <w:p w14:paraId="7901617E" w14:textId="77777777" w:rsidR="00412E44" w:rsidRPr="00D51D9D" w:rsidRDefault="00412E44" w:rsidP="00412E4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6E52896B" w14:textId="1A80A970" w:rsidR="009125CE" w:rsidRPr="00D51D9D" w:rsidRDefault="009125CE" w:rsidP="00112555">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D51D9D" w:rsidSect="00D97DA4">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AF0CB9" w14:textId="77777777" w:rsidR="0082464C" w:rsidRDefault="0082464C" w:rsidP="009125CE">
      <w:pPr>
        <w:spacing w:after="0" w:line="240" w:lineRule="auto"/>
      </w:pPr>
      <w:r>
        <w:separator/>
      </w:r>
    </w:p>
  </w:endnote>
  <w:endnote w:type="continuationSeparator" w:id="0">
    <w:p w14:paraId="1B1EB13C" w14:textId="77777777" w:rsidR="0082464C" w:rsidRDefault="0082464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1473742553"/>
      <w:docPartObj>
        <w:docPartGallery w:val="Page Numbers (Bottom of Page)"/>
        <w:docPartUnique/>
      </w:docPartObj>
    </w:sdtPr>
    <w:sdtEndPr>
      <w:rPr>
        <w:noProof/>
      </w:rPr>
    </w:sdtEndPr>
    <w:sdtContent>
      <w:p w14:paraId="13047AE1" w14:textId="111169DD" w:rsidR="00605EEB" w:rsidRPr="00112555" w:rsidRDefault="00605EEB" w:rsidP="00112555">
        <w:pPr>
          <w:pStyle w:val="Footer"/>
          <w:tabs>
            <w:tab w:val="left" w:pos="4355"/>
            <w:tab w:val="center" w:pos="4535"/>
          </w:tabs>
          <w:rPr>
            <w:rFonts w:ascii="Simplified Arabic" w:hAnsi="Simplified Arabic" w:cs="Simplified Arabic"/>
            <w:b/>
            <w:bCs/>
            <w:sz w:val="24"/>
            <w:szCs w:val="24"/>
          </w:rPr>
        </w:pPr>
        <w:r w:rsidRPr="00112555">
          <w:rPr>
            <w:rFonts w:ascii="Simplified Arabic" w:hAnsi="Simplified Arabic" w:cs="Simplified Arabic"/>
            <w:b/>
            <w:bCs/>
            <w:sz w:val="24"/>
            <w:szCs w:val="24"/>
            <w:rtl/>
          </w:rPr>
          <w:tab/>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688800950"/>
      <w:docPartObj>
        <w:docPartGallery w:val="Page Numbers (Bottom of Page)"/>
        <w:docPartUnique/>
      </w:docPartObj>
    </w:sdtPr>
    <w:sdtEndPr>
      <w:rPr>
        <w:noProof/>
      </w:rPr>
    </w:sdtEndPr>
    <w:sdtContent>
      <w:p w14:paraId="227BCA84" w14:textId="5DC1D865" w:rsidR="00605EEB" w:rsidRPr="00112555" w:rsidRDefault="00605EEB" w:rsidP="00112555">
        <w:pPr>
          <w:pStyle w:val="Footer"/>
          <w:tabs>
            <w:tab w:val="left" w:pos="4355"/>
            <w:tab w:val="center" w:pos="4535"/>
          </w:tabs>
          <w:rPr>
            <w:rFonts w:ascii="Simplified Arabic" w:hAnsi="Simplified Arabic" w:cs="Simplified Arabic"/>
            <w:b/>
            <w:bCs/>
            <w:sz w:val="24"/>
            <w:szCs w:val="24"/>
          </w:rPr>
        </w:pPr>
        <w:r w:rsidRPr="00112555">
          <w:rPr>
            <w:rFonts w:ascii="Simplified Arabic" w:hAnsi="Simplified Arabic" w:cs="Simplified Arabic"/>
            <w:b/>
            <w:bCs/>
            <w:sz w:val="24"/>
            <w:szCs w:val="24"/>
            <w:rtl/>
          </w:rPr>
          <w:tab/>
        </w:r>
        <w:r w:rsidRPr="00112555">
          <w:rPr>
            <w:rFonts w:ascii="Simplified Arabic" w:hAnsi="Simplified Arabic" w:cs="Simplified Arabic"/>
            <w:b/>
            <w:bCs/>
            <w:sz w:val="24"/>
            <w:szCs w:val="24"/>
            <w:rtl/>
          </w:rPr>
          <w:tab/>
        </w:r>
        <w:r w:rsidRPr="00112555">
          <w:rPr>
            <w:rFonts w:ascii="Simplified Arabic" w:hAnsi="Simplified Arabic" w:cs="Simplified Arabic"/>
            <w:b/>
            <w:bCs/>
            <w:sz w:val="24"/>
            <w:szCs w:val="24"/>
          </w:rPr>
          <w:fldChar w:fldCharType="begin"/>
        </w:r>
        <w:r w:rsidRPr="00112555">
          <w:rPr>
            <w:rFonts w:ascii="Simplified Arabic" w:hAnsi="Simplified Arabic" w:cs="Simplified Arabic"/>
            <w:b/>
            <w:bCs/>
            <w:sz w:val="24"/>
            <w:szCs w:val="24"/>
          </w:rPr>
          <w:instrText xml:space="preserve"> PAGE   \* MERGEFORMAT </w:instrText>
        </w:r>
        <w:r w:rsidRPr="00112555">
          <w:rPr>
            <w:rFonts w:ascii="Simplified Arabic" w:hAnsi="Simplified Arabic" w:cs="Simplified Arabic"/>
            <w:b/>
            <w:bCs/>
            <w:sz w:val="24"/>
            <w:szCs w:val="24"/>
          </w:rPr>
          <w:fldChar w:fldCharType="separate"/>
        </w:r>
        <w:r w:rsidR="00F91F7C">
          <w:rPr>
            <w:rFonts w:ascii="Simplified Arabic" w:hAnsi="Simplified Arabic" w:cs="Simplified Arabic"/>
            <w:b/>
            <w:bCs/>
            <w:noProof/>
            <w:sz w:val="24"/>
            <w:szCs w:val="24"/>
            <w:rtl/>
          </w:rPr>
          <w:t>49</w:t>
        </w:r>
        <w:r w:rsidRPr="00112555">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1563010868"/>
      <w:docPartObj>
        <w:docPartGallery w:val="Page Numbers (Bottom of Page)"/>
        <w:docPartUnique/>
      </w:docPartObj>
    </w:sdtPr>
    <w:sdtEndPr>
      <w:rPr>
        <w:noProof/>
      </w:rPr>
    </w:sdtEndPr>
    <w:sdtContent>
      <w:p w14:paraId="7198ECC4" w14:textId="12C01C4F" w:rsidR="00605EEB" w:rsidRPr="00112555" w:rsidRDefault="00605EEB" w:rsidP="00412E44">
        <w:pPr>
          <w:pStyle w:val="Footer"/>
          <w:tabs>
            <w:tab w:val="left" w:pos="4355"/>
            <w:tab w:val="center" w:pos="4535"/>
          </w:tabs>
          <w:rPr>
            <w:rFonts w:ascii="Simplified Arabic" w:hAnsi="Simplified Arabic" w:cs="Simplified Arabic"/>
            <w:b/>
            <w:bCs/>
            <w:sz w:val="24"/>
            <w:szCs w:val="24"/>
          </w:rPr>
        </w:pPr>
        <w:r w:rsidRPr="00112555">
          <w:rPr>
            <w:rFonts w:ascii="Simplified Arabic" w:hAnsi="Simplified Arabic" w:cs="Simplified Arabic"/>
            <w:b/>
            <w:bCs/>
            <w:sz w:val="24"/>
            <w:szCs w:val="24"/>
            <w:rtl/>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6FDB00" w14:textId="77777777" w:rsidR="0082464C" w:rsidRDefault="0082464C" w:rsidP="009125CE">
      <w:pPr>
        <w:spacing w:after="0" w:line="240" w:lineRule="auto"/>
      </w:pPr>
      <w:r>
        <w:separator/>
      </w:r>
    </w:p>
  </w:footnote>
  <w:footnote w:type="continuationSeparator" w:id="0">
    <w:p w14:paraId="6B9E8826" w14:textId="77777777" w:rsidR="0082464C" w:rsidRDefault="0082464C"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157A4"/>
    <w:multiLevelType w:val="multilevel"/>
    <w:tmpl w:val="FC46B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786CA5"/>
    <w:multiLevelType w:val="multilevel"/>
    <w:tmpl w:val="AF04A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2A17B2B"/>
    <w:multiLevelType w:val="hybridMultilevel"/>
    <w:tmpl w:val="DDDCF56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2AC2682"/>
    <w:multiLevelType w:val="multilevel"/>
    <w:tmpl w:val="1E528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3F32897"/>
    <w:multiLevelType w:val="multilevel"/>
    <w:tmpl w:val="BC105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EA7369"/>
    <w:multiLevelType w:val="multilevel"/>
    <w:tmpl w:val="8DFEE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C365E6"/>
    <w:multiLevelType w:val="multilevel"/>
    <w:tmpl w:val="E0189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E9347BD"/>
    <w:multiLevelType w:val="multilevel"/>
    <w:tmpl w:val="AA167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305C09"/>
    <w:multiLevelType w:val="multilevel"/>
    <w:tmpl w:val="F06C1F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3EC66C2"/>
    <w:multiLevelType w:val="multilevel"/>
    <w:tmpl w:val="F06C1F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8A7A60"/>
    <w:multiLevelType w:val="multilevel"/>
    <w:tmpl w:val="F454E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8942BE"/>
    <w:multiLevelType w:val="hybridMultilevel"/>
    <w:tmpl w:val="49E43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D72818"/>
    <w:multiLevelType w:val="multilevel"/>
    <w:tmpl w:val="1046BE2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D627072"/>
    <w:multiLevelType w:val="hybridMultilevel"/>
    <w:tmpl w:val="1F08D6E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EF84DAE"/>
    <w:multiLevelType w:val="hybridMultilevel"/>
    <w:tmpl w:val="BA608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1D936C9"/>
    <w:multiLevelType w:val="multilevel"/>
    <w:tmpl w:val="042A2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4521801"/>
    <w:multiLevelType w:val="hybridMultilevel"/>
    <w:tmpl w:val="09708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606005A"/>
    <w:multiLevelType w:val="hybridMultilevel"/>
    <w:tmpl w:val="AA724D08"/>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F94B48"/>
    <w:multiLevelType w:val="multilevel"/>
    <w:tmpl w:val="1046BE2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BEF383B"/>
    <w:multiLevelType w:val="multilevel"/>
    <w:tmpl w:val="F06C1F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71854AC"/>
    <w:multiLevelType w:val="hybridMultilevel"/>
    <w:tmpl w:val="4948D70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D87193C"/>
    <w:multiLevelType w:val="multilevel"/>
    <w:tmpl w:val="9B9AF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4A057B"/>
    <w:multiLevelType w:val="hybridMultilevel"/>
    <w:tmpl w:val="DDF6A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EF4CE5"/>
    <w:multiLevelType w:val="hybridMultilevel"/>
    <w:tmpl w:val="4AECA18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C8672FB"/>
    <w:multiLevelType w:val="hybridMultilevel"/>
    <w:tmpl w:val="CCBCF13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D253E11"/>
    <w:multiLevelType w:val="multilevel"/>
    <w:tmpl w:val="1046BE2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3CE45C1"/>
    <w:multiLevelType w:val="hybridMultilevel"/>
    <w:tmpl w:val="82D8F9B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4093333"/>
    <w:multiLevelType w:val="multilevel"/>
    <w:tmpl w:val="F06C1FB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080" w:hanging="360"/>
      </w:pPr>
      <w:rPr>
        <w:rFonts w:hint="default"/>
        <w:b/>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nsid w:val="58991F48"/>
    <w:multiLevelType w:val="multilevel"/>
    <w:tmpl w:val="A2842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2041126"/>
    <w:multiLevelType w:val="multilevel"/>
    <w:tmpl w:val="1046BE2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2">
    <w:nsid w:val="72211AE0"/>
    <w:multiLevelType w:val="hybridMultilevel"/>
    <w:tmpl w:val="924CD656"/>
    <w:lvl w:ilvl="0" w:tplc="05C6F0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22C5BCB"/>
    <w:multiLevelType w:val="multilevel"/>
    <w:tmpl w:val="8698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AA900F9"/>
    <w:multiLevelType w:val="multilevel"/>
    <w:tmpl w:val="FFE83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29"/>
  </w:num>
  <w:num w:numId="3">
    <w:abstractNumId w:val="3"/>
  </w:num>
  <w:num w:numId="4">
    <w:abstractNumId w:val="13"/>
  </w:num>
  <w:num w:numId="5">
    <w:abstractNumId w:val="32"/>
  </w:num>
  <w:num w:numId="6">
    <w:abstractNumId w:val="28"/>
  </w:num>
  <w:num w:numId="7">
    <w:abstractNumId w:val="9"/>
  </w:num>
  <w:num w:numId="8">
    <w:abstractNumId w:val="20"/>
  </w:num>
  <w:num w:numId="9">
    <w:abstractNumId w:val="34"/>
  </w:num>
  <w:num w:numId="10">
    <w:abstractNumId w:val="6"/>
  </w:num>
  <w:num w:numId="11">
    <w:abstractNumId w:val="22"/>
  </w:num>
  <w:num w:numId="12">
    <w:abstractNumId w:val="5"/>
  </w:num>
  <w:num w:numId="13">
    <w:abstractNumId w:val="10"/>
  </w:num>
  <w:num w:numId="14">
    <w:abstractNumId w:val="15"/>
  </w:num>
  <w:num w:numId="15">
    <w:abstractNumId w:val="4"/>
  </w:num>
  <w:num w:numId="16">
    <w:abstractNumId w:val="33"/>
  </w:num>
  <w:num w:numId="17">
    <w:abstractNumId w:val="0"/>
  </w:num>
  <w:num w:numId="18">
    <w:abstractNumId w:val="16"/>
  </w:num>
  <w:num w:numId="19">
    <w:abstractNumId w:val="23"/>
  </w:num>
  <w:num w:numId="20">
    <w:abstractNumId w:val="11"/>
  </w:num>
  <w:num w:numId="21">
    <w:abstractNumId w:val="7"/>
  </w:num>
  <w:num w:numId="22">
    <w:abstractNumId w:val="1"/>
  </w:num>
  <w:num w:numId="23">
    <w:abstractNumId w:val="30"/>
  </w:num>
  <w:num w:numId="24">
    <w:abstractNumId w:val="14"/>
  </w:num>
  <w:num w:numId="25">
    <w:abstractNumId w:val="19"/>
  </w:num>
  <w:num w:numId="26">
    <w:abstractNumId w:val="12"/>
  </w:num>
  <w:num w:numId="27">
    <w:abstractNumId w:val="26"/>
  </w:num>
  <w:num w:numId="28">
    <w:abstractNumId w:val="17"/>
  </w:num>
  <w:num w:numId="29">
    <w:abstractNumId w:val="2"/>
  </w:num>
  <w:num w:numId="30">
    <w:abstractNumId w:val="24"/>
  </w:num>
  <w:num w:numId="31">
    <w:abstractNumId w:val="21"/>
  </w:num>
  <w:num w:numId="32">
    <w:abstractNumId w:val="25"/>
  </w:num>
  <w:num w:numId="33">
    <w:abstractNumId w:val="27"/>
  </w:num>
  <w:num w:numId="34">
    <w:abstractNumId w:val="18"/>
  </w:num>
  <w:num w:numId="35">
    <w:abstractNumId w:val="3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C4FA6"/>
    <w:rsid w:val="000D03ED"/>
    <w:rsid w:val="000D2E22"/>
    <w:rsid w:val="000D353F"/>
    <w:rsid w:val="000D7A52"/>
    <w:rsid w:val="000E0212"/>
    <w:rsid w:val="000E2A00"/>
    <w:rsid w:val="000E3680"/>
    <w:rsid w:val="000E503B"/>
    <w:rsid w:val="000F44B4"/>
    <w:rsid w:val="00110487"/>
    <w:rsid w:val="00112555"/>
    <w:rsid w:val="001138AC"/>
    <w:rsid w:val="00114794"/>
    <w:rsid w:val="0012342D"/>
    <w:rsid w:val="001306F3"/>
    <w:rsid w:val="00131E44"/>
    <w:rsid w:val="00143989"/>
    <w:rsid w:val="00147FD3"/>
    <w:rsid w:val="00150B32"/>
    <w:rsid w:val="001510C1"/>
    <w:rsid w:val="00152611"/>
    <w:rsid w:val="00153B41"/>
    <w:rsid w:val="00167D89"/>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3D39"/>
    <w:rsid w:val="001F46A5"/>
    <w:rsid w:val="0021718D"/>
    <w:rsid w:val="00217ADA"/>
    <w:rsid w:val="00223AE0"/>
    <w:rsid w:val="002304C2"/>
    <w:rsid w:val="00234450"/>
    <w:rsid w:val="00250D99"/>
    <w:rsid w:val="00251BCA"/>
    <w:rsid w:val="002561A0"/>
    <w:rsid w:val="00256363"/>
    <w:rsid w:val="00260558"/>
    <w:rsid w:val="0026283D"/>
    <w:rsid w:val="00270A0B"/>
    <w:rsid w:val="00270FB5"/>
    <w:rsid w:val="00271729"/>
    <w:rsid w:val="00274BDE"/>
    <w:rsid w:val="002766BC"/>
    <w:rsid w:val="00280068"/>
    <w:rsid w:val="002828EF"/>
    <w:rsid w:val="00286958"/>
    <w:rsid w:val="0029680E"/>
    <w:rsid w:val="002A32D6"/>
    <w:rsid w:val="002A365A"/>
    <w:rsid w:val="002A3CC8"/>
    <w:rsid w:val="002A76B5"/>
    <w:rsid w:val="002B1274"/>
    <w:rsid w:val="002C04F8"/>
    <w:rsid w:val="002C205F"/>
    <w:rsid w:val="002C212F"/>
    <w:rsid w:val="002C21BB"/>
    <w:rsid w:val="002C4915"/>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5D0C"/>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08CE"/>
    <w:rsid w:val="0038272F"/>
    <w:rsid w:val="0038357B"/>
    <w:rsid w:val="00384D34"/>
    <w:rsid w:val="003873E8"/>
    <w:rsid w:val="00391098"/>
    <w:rsid w:val="00396510"/>
    <w:rsid w:val="003A0B23"/>
    <w:rsid w:val="003A5312"/>
    <w:rsid w:val="003A757C"/>
    <w:rsid w:val="003B30A9"/>
    <w:rsid w:val="003B48BD"/>
    <w:rsid w:val="003B51C3"/>
    <w:rsid w:val="003C2495"/>
    <w:rsid w:val="003C37EF"/>
    <w:rsid w:val="003D5D45"/>
    <w:rsid w:val="003D6376"/>
    <w:rsid w:val="003D7804"/>
    <w:rsid w:val="003E2102"/>
    <w:rsid w:val="003E29FB"/>
    <w:rsid w:val="003E3EBB"/>
    <w:rsid w:val="003E7CB6"/>
    <w:rsid w:val="00401DBE"/>
    <w:rsid w:val="00402123"/>
    <w:rsid w:val="00403383"/>
    <w:rsid w:val="00412E44"/>
    <w:rsid w:val="004130C0"/>
    <w:rsid w:val="00413CBD"/>
    <w:rsid w:val="00413DF8"/>
    <w:rsid w:val="00413F36"/>
    <w:rsid w:val="004163C7"/>
    <w:rsid w:val="004215C5"/>
    <w:rsid w:val="004245F4"/>
    <w:rsid w:val="004260FE"/>
    <w:rsid w:val="00433FD4"/>
    <w:rsid w:val="0043649D"/>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82E74"/>
    <w:rsid w:val="00491EAB"/>
    <w:rsid w:val="004A035D"/>
    <w:rsid w:val="004A1755"/>
    <w:rsid w:val="004B118D"/>
    <w:rsid w:val="004B1EF3"/>
    <w:rsid w:val="004B352F"/>
    <w:rsid w:val="004C0303"/>
    <w:rsid w:val="004C3BAD"/>
    <w:rsid w:val="004C4331"/>
    <w:rsid w:val="004D1DC4"/>
    <w:rsid w:val="004D23E7"/>
    <w:rsid w:val="004D5DB9"/>
    <w:rsid w:val="004D6581"/>
    <w:rsid w:val="004D6B08"/>
    <w:rsid w:val="004E439C"/>
    <w:rsid w:val="004F1444"/>
    <w:rsid w:val="004F2475"/>
    <w:rsid w:val="004F3AF6"/>
    <w:rsid w:val="00510B90"/>
    <w:rsid w:val="00513B3A"/>
    <w:rsid w:val="005146DA"/>
    <w:rsid w:val="0051585E"/>
    <w:rsid w:val="00522010"/>
    <w:rsid w:val="0052581D"/>
    <w:rsid w:val="005260C9"/>
    <w:rsid w:val="005423FA"/>
    <w:rsid w:val="00544E3F"/>
    <w:rsid w:val="00545455"/>
    <w:rsid w:val="005459E0"/>
    <w:rsid w:val="00545E45"/>
    <w:rsid w:val="00550EC8"/>
    <w:rsid w:val="005527F0"/>
    <w:rsid w:val="00557A05"/>
    <w:rsid w:val="00557B85"/>
    <w:rsid w:val="0058285E"/>
    <w:rsid w:val="0058591B"/>
    <w:rsid w:val="00586EC7"/>
    <w:rsid w:val="00586F13"/>
    <w:rsid w:val="00590B27"/>
    <w:rsid w:val="00596E59"/>
    <w:rsid w:val="00597F74"/>
    <w:rsid w:val="005A243A"/>
    <w:rsid w:val="005A4FB6"/>
    <w:rsid w:val="005A755A"/>
    <w:rsid w:val="005B112C"/>
    <w:rsid w:val="005B2F92"/>
    <w:rsid w:val="005B5824"/>
    <w:rsid w:val="005B7D85"/>
    <w:rsid w:val="005C5F40"/>
    <w:rsid w:val="005D0E3A"/>
    <w:rsid w:val="005D15E3"/>
    <w:rsid w:val="005D25AE"/>
    <w:rsid w:val="005D2620"/>
    <w:rsid w:val="005D5D93"/>
    <w:rsid w:val="005D5DB7"/>
    <w:rsid w:val="005E37C2"/>
    <w:rsid w:val="005E4AF3"/>
    <w:rsid w:val="005F2722"/>
    <w:rsid w:val="006020A6"/>
    <w:rsid w:val="006044AD"/>
    <w:rsid w:val="00605EEB"/>
    <w:rsid w:val="006112DD"/>
    <w:rsid w:val="0061146E"/>
    <w:rsid w:val="00617C5B"/>
    <w:rsid w:val="006215F2"/>
    <w:rsid w:val="00625CAD"/>
    <w:rsid w:val="0062761F"/>
    <w:rsid w:val="00633F50"/>
    <w:rsid w:val="006344B4"/>
    <w:rsid w:val="00642229"/>
    <w:rsid w:val="006450DB"/>
    <w:rsid w:val="00646233"/>
    <w:rsid w:val="00647482"/>
    <w:rsid w:val="00657A51"/>
    <w:rsid w:val="0066191A"/>
    <w:rsid w:val="00663FD3"/>
    <w:rsid w:val="006655B3"/>
    <w:rsid w:val="00666183"/>
    <w:rsid w:val="00667140"/>
    <w:rsid w:val="006716C2"/>
    <w:rsid w:val="00680F37"/>
    <w:rsid w:val="00681671"/>
    <w:rsid w:val="00681F47"/>
    <w:rsid w:val="00686D49"/>
    <w:rsid w:val="006904F6"/>
    <w:rsid w:val="006910C9"/>
    <w:rsid w:val="006948DE"/>
    <w:rsid w:val="006A0FBC"/>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1590"/>
    <w:rsid w:val="0070333D"/>
    <w:rsid w:val="00705AF7"/>
    <w:rsid w:val="00706E7F"/>
    <w:rsid w:val="0071504C"/>
    <w:rsid w:val="007178EE"/>
    <w:rsid w:val="0072121F"/>
    <w:rsid w:val="00724BDB"/>
    <w:rsid w:val="007253AA"/>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D6F69"/>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64C"/>
    <w:rsid w:val="00830114"/>
    <w:rsid w:val="0083081C"/>
    <w:rsid w:val="00831F14"/>
    <w:rsid w:val="008332E4"/>
    <w:rsid w:val="0083662A"/>
    <w:rsid w:val="00837147"/>
    <w:rsid w:val="0084024D"/>
    <w:rsid w:val="008501B7"/>
    <w:rsid w:val="00850760"/>
    <w:rsid w:val="0085226F"/>
    <w:rsid w:val="00854A80"/>
    <w:rsid w:val="00854B0B"/>
    <w:rsid w:val="00854D73"/>
    <w:rsid w:val="00857739"/>
    <w:rsid w:val="00857D1D"/>
    <w:rsid w:val="00871660"/>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438F"/>
    <w:rsid w:val="00905FD8"/>
    <w:rsid w:val="009125CE"/>
    <w:rsid w:val="00914D5B"/>
    <w:rsid w:val="0092004E"/>
    <w:rsid w:val="0092088B"/>
    <w:rsid w:val="009216A4"/>
    <w:rsid w:val="00923391"/>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64D4"/>
    <w:rsid w:val="0098768E"/>
    <w:rsid w:val="00994120"/>
    <w:rsid w:val="009952EA"/>
    <w:rsid w:val="009A40BE"/>
    <w:rsid w:val="009A62C5"/>
    <w:rsid w:val="009A6DA0"/>
    <w:rsid w:val="009B37BE"/>
    <w:rsid w:val="009B37F5"/>
    <w:rsid w:val="009B45B6"/>
    <w:rsid w:val="009B5162"/>
    <w:rsid w:val="009B5256"/>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4EBE"/>
    <w:rsid w:val="00A4659A"/>
    <w:rsid w:val="00A506EE"/>
    <w:rsid w:val="00A50745"/>
    <w:rsid w:val="00A53397"/>
    <w:rsid w:val="00A53CB9"/>
    <w:rsid w:val="00A55EF3"/>
    <w:rsid w:val="00A57461"/>
    <w:rsid w:val="00A651D7"/>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5DBF"/>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2524"/>
    <w:rsid w:val="00B9286F"/>
    <w:rsid w:val="00BA0E1B"/>
    <w:rsid w:val="00BA1572"/>
    <w:rsid w:val="00BA1B67"/>
    <w:rsid w:val="00BA3D6A"/>
    <w:rsid w:val="00BA421F"/>
    <w:rsid w:val="00BA5817"/>
    <w:rsid w:val="00BB1144"/>
    <w:rsid w:val="00BB3514"/>
    <w:rsid w:val="00BB4C84"/>
    <w:rsid w:val="00BC24EE"/>
    <w:rsid w:val="00BC454D"/>
    <w:rsid w:val="00BC61BD"/>
    <w:rsid w:val="00BC78F0"/>
    <w:rsid w:val="00BD03D1"/>
    <w:rsid w:val="00BD590D"/>
    <w:rsid w:val="00BE2024"/>
    <w:rsid w:val="00BF35D5"/>
    <w:rsid w:val="00BF6E9C"/>
    <w:rsid w:val="00C01C2B"/>
    <w:rsid w:val="00C05308"/>
    <w:rsid w:val="00C1175F"/>
    <w:rsid w:val="00C15EAD"/>
    <w:rsid w:val="00C16713"/>
    <w:rsid w:val="00C16D65"/>
    <w:rsid w:val="00C20072"/>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0B6"/>
    <w:rsid w:val="00C77324"/>
    <w:rsid w:val="00C77A43"/>
    <w:rsid w:val="00C80FEB"/>
    <w:rsid w:val="00C83C91"/>
    <w:rsid w:val="00C83DD5"/>
    <w:rsid w:val="00C83F6A"/>
    <w:rsid w:val="00C86842"/>
    <w:rsid w:val="00C9427A"/>
    <w:rsid w:val="00C9690C"/>
    <w:rsid w:val="00C96BB5"/>
    <w:rsid w:val="00CA0736"/>
    <w:rsid w:val="00CA24A2"/>
    <w:rsid w:val="00CA49E9"/>
    <w:rsid w:val="00CA6C39"/>
    <w:rsid w:val="00CA6DC7"/>
    <w:rsid w:val="00CB2A94"/>
    <w:rsid w:val="00CB4A76"/>
    <w:rsid w:val="00CC4484"/>
    <w:rsid w:val="00CC6261"/>
    <w:rsid w:val="00CC6705"/>
    <w:rsid w:val="00CC7877"/>
    <w:rsid w:val="00CD105C"/>
    <w:rsid w:val="00CE2A85"/>
    <w:rsid w:val="00CF1F0B"/>
    <w:rsid w:val="00CF4901"/>
    <w:rsid w:val="00CF552E"/>
    <w:rsid w:val="00CF6CEC"/>
    <w:rsid w:val="00CF7243"/>
    <w:rsid w:val="00D043D4"/>
    <w:rsid w:val="00D1053F"/>
    <w:rsid w:val="00D10A37"/>
    <w:rsid w:val="00D10F38"/>
    <w:rsid w:val="00D1454F"/>
    <w:rsid w:val="00D216C5"/>
    <w:rsid w:val="00D22171"/>
    <w:rsid w:val="00D274B5"/>
    <w:rsid w:val="00D27AED"/>
    <w:rsid w:val="00D30845"/>
    <w:rsid w:val="00D3121B"/>
    <w:rsid w:val="00D3210F"/>
    <w:rsid w:val="00D32470"/>
    <w:rsid w:val="00D417B5"/>
    <w:rsid w:val="00D4565B"/>
    <w:rsid w:val="00D51D9D"/>
    <w:rsid w:val="00D5353E"/>
    <w:rsid w:val="00D5653F"/>
    <w:rsid w:val="00D57D04"/>
    <w:rsid w:val="00D60743"/>
    <w:rsid w:val="00D764F3"/>
    <w:rsid w:val="00D86584"/>
    <w:rsid w:val="00D921FA"/>
    <w:rsid w:val="00D92BC0"/>
    <w:rsid w:val="00D92F77"/>
    <w:rsid w:val="00D965B5"/>
    <w:rsid w:val="00D97DA4"/>
    <w:rsid w:val="00DA0EBA"/>
    <w:rsid w:val="00DA1C1B"/>
    <w:rsid w:val="00DA3C05"/>
    <w:rsid w:val="00DA4EAA"/>
    <w:rsid w:val="00DA61E2"/>
    <w:rsid w:val="00DB1F25"/>
    <w:rsid w:val="00DB43B3"/>
    <w:rsid w:val="00DB5D03"/>
    <w:rsid w:val="00DB60D5"/>
    <w:rsid w:val="00DC10F4"/>
    <w:rsid w:val="00DC40DA"/>
    <w:rsid w:val="00DC4E1F"/>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E0124F"/>
    <w:rsid w:val="00E01CE8"/>
    <w:rsid w:val="00E042AB"/>
    <w:rsid w:val="00E04D94"/>
    <w:rsid w:val="00E07C45"/>
    <w:rsid w:val="00E114AA"/>
    <w:rsid w:val="00E11F17"/>
    <w:rsid w:val="00E13A5D"/>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1733"/>
    <w:rsid w:val="00EF369D"/>
    <w:rsid w:val="00EF5F43"/>
    <w:rsid w:val="00F00FB8"/>
    <w:rsid w:val="00F023A5"/>
    <w:rsid w:val="00F10C89"/>
    <w:rsid w:val="00F11345"/>
    <w:rsid w:val="00F12EEC"/>
    <w:rsid w:val="00F152CE"/>
    <w:rsid w:val="00F1646F"/>
    <w:rsid w:val="00F27025"/>
    <w:rsid w:val="00F30BD7"/>
    <w:rsid w:val="00F310F2"/>
    <w:rsid w:val="00F33937"/>
    <w:rsid w:val="00F3442D"/>
    <w:rsid w:val="00F450D5"/>
    <w:rsid w:val="00F454CF"/>
    <w:rsid w:val="00F540A1"/>
    <w:rsid w:val="00F546CE"/>
    <w:rsid w:val="00F563E2"/>
    <w:rsid w:val="00F600C6"/>
    <w:rsid w:val="00F60BB7"/>
    <w:rsid w:val="00F66109"/>
    <w:rsid w:val="00F72CBB"/>
    <w:rsid w:val="00F733B2"/>
    <w:rsid w:val="00F86421"/>
    <w:rsid w:val="00F86761"/>
    <w:rsid w:val="00F91846"/>
    <w:rsid w:val="00F91F7C"/>
    <w:rsid w:val="00F95872"/>
    <w:rsid w:val="00FA0A03"/>
    <w:rsid w:val="00FA24AF"/>
    <w:rsid w:val="00FA4282"/>
    <w:rsid w:val="00FA44AF"/>
    <w:rsid w:val="00FB11CC"/>
    <w:rsid w:val="00FB22B3"/>
    <w:rsid w:val="00FB4F4E"/>
    <w:rsid w:val="00FB7A83"/>
    <w:rsid w:val="00FC20BB"/>
    <w:rsid w:val="00FC31E7"/>
    <w:rsid w:val="00FC4E54"/>
    <w:rsid w:val="00FC6586"/>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paragraph" w:customStyle="1" w:styleId="msonormal0">
    <w:name w:val="msonormal"/>
    <w:basedOn w:val="Normal"/>
    <w:rsid w:val="00CA6C3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1">
    <w:name w:val="Grid Table 1 Light Accent 1"/>
    <w:basedOn w:val="TableNormal"/>
    <w:uiPriority w:val="46"/>
    <w:rsid w:val="00D97DA4"/>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412E44"/>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7334092">
      <w:bodyDiv w:val="1"/>
      <w:marLeft w:val="0"/>
      <w:marRight w:val="0"/>
      <w:marTop w:val="0"/>
      <w:marBottom w:val="0"/>
      <w:divBdr>
        <w:top w:val="none" w:sz="0" w:space="0" w:color="auto"/>
        <w:left w:val="none" w:sz="0" w:space="0" w:color="auto"/>
        <w:bottom w:val="none" w:sz="0" w:space="0" w:color="auto"/>
        <w:right w:val="none" w:sz="0" w:space="0" w:color="auto"/>
      </w:divBdr>
    </w:div>
    <w:div w:id="79254520">
      <w:bodyDiv w:val="1"/>
      <w:marLeft w:val="0"/>
      <w:marRight w:val="0"/>
      <w:marTop w:val="0"/>
      <w:marBottom w:val="0"/>
      <w:divBdr>
        <w:top w:val="none" w:sz="0" w:space="0" w:color="auto"/>
        <w:left w:val="none" w:sz="0" w:space="0" w:color="auto"/>
        <w:bottom w:val="none" w:sz="0" w:space="0" w:color="auto"/>
        <w:right w:val="none" w:sz="0" w:space="0" w:color="auto"/>
      </w:divBdr>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7880636">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37907907">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12566925">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75032328">
      <w:bodyDiv w:val="1"/>
      <w:marLeft w:val="0"/>
      <w:marRight w:val="0"/>
      <w:marTop w:val="0"/>
      <w:marBottom w:val="0"/>
      <w:divBdr>
        <w:top w:val="none" w:sz="0" w:space="0" w:color="auto"/>
        <w:left w:val="none" w:sz="0" w:space="0" w:color="auto"/>
        <w:bottom w:val="none" w:sz="0" w:space="0" w:color="auto"/>
        <w:right w:val="none" w:sz="0" w:space="0" w:color="auto"/>
      </w:divBdr>
    </w:div>
    <w:div w:id="477308309">
      <w:bodyDiv w:val="1"/>
      <w:marLeft w:val="0"/>
      <w:marRight w:val="0"/>
      <w:marTop w:val="0"/>
      <w:marBottom w:val="0"/>
      <w:divBdr>
        <w:top w:val="none" w:sz="0" w:space="0" w:color="auto"/>
        <w:left w:val="none" w:sz="0" w:space="0" w:color="auto"/>
        <w:bottom w:val="none" w:sz="0" w:space="0" w:color="auto"/>
        <w:right w:val="none" w:sz="0" w:space="0" w:color="auto"/>
      </w:divBdr>
    </w:div>
    <w:div w:id="48301228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71234137">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7277005">
      <w:bodyDiv w:val="1"/>
      <w:marLeft w:val="0"/>
      <w:marRight w:val="0"/>
      <w:marTop w:val="0"/>
      <w:marBottom w:val="0"/>
      <w:divBdr>
        <w:top w:val="none" w:sz="0" w:space="0" w:color="auto"/>
        <w:left w:val="none" w:sz="0" w:space="0" w:color="auto"/>
        <w:bottom w:val="none" w:sz="0" w:space="0" w:color="auto"/>
        <w:right w:val="none" w:sz="0" w:space="0" w:color="auto"/>
      </w:divBdr>
    </w:div>
    <w:div w:id="595553178">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8970592">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897011186">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4898815">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8380582">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5494857">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359127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2584069">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0277784">
      <w:bodyDiv w:val="1"/>
      <w:marLeft w:val="0"/>
      <w:marRight w:val="0"/>
      <w:marTop w:val="0"/>
      <w:marBottom w:val="0"/>
      <w:divBdr>
        <w:top w:val="none" w:sz="0" w:space="0" w:color="auto"/>
        <w:left w:val="none" w:sz="0" w:space="0" w:color="auto"/>
        <w:bottom w:val="none" w:sz="0" w:space="0" w:color="auto"/>
        <w:right w:val="none" w:sz="0" w:space="0" w:color="auto"/>
      </w:divBdr>
      <w:divsChild>
        <w:div w:id="517933735">
          <w:marLeft w:val="0"/>
          <w:marRight w:val="0"/>
          <w:marTop w:val="0"/>
          <w:marBottom w:val="0"/>
          <w:divBdr>
            <w:top w:val="none" w:sz="0" w:space="0" w:color="auto"/>
            <w:left w:val="none" w:sz="0" w:space="0" w:color="auto"/>
            <w:bottom w:val="none" w:sz="0" w:space="0" w:color="auto"/>
            <w:right w:val="none" w:sz="0" w:space="0" w:color="auto"/>
          </w:divBdr>
        </w:div>
      </w:divsChild>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398457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4085830">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48889499">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897588">
      <w:bodyDiv w:val="1"/>
      <w:marLeft w:val="0"/>
      <w:marRight w:val="0"/>
      <w:marTop w:val="0"/>
      <w:marBottom w:val="0"/>
      <w:divBdr>
        <w:top w:val="none" w:sz="0" w:space="0" w:color="auto"/>
        <w:left w:val="none" w:sz="0" w:space="0" w:color="auto"/>
        <w:bottom w:val="none" w:sz="0" w:space="0" w:color="auto"/>
        <w:right w:val="none" w:sz="0" w:space="0" w:color="auto"/>
      </w:divBdr>
    </w:div>
    <w:div w:id="1476684485">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81720462">
      <w:bodyDiv w:val="1"/>
      <w:marLeft w:val="0"/>
      <w:marRight w:val="0"/>
      <w:marTop w:val="0"/>
      <w:marBottom w:val="0"/>
      <w:divBdr>
        <w:top w:val="none" w:sz="0" w:space="0" w:color="auto"/>
        <w:left w:val="none" w:sz="0" w:space="0" w:color="auto"/>
        <w:bottom w:val="none" w:sz="0" w:space="0" w:color="auto"/>
        <w:right w:val="none" w:sz="0" w:space="0" w:color="auto"/>
      </w:divBdr>
      <w:divsChild>
        <w:div w:id="1980333104">
          <w:marLeft w:val="0"/>
          <w:marRight w:val="0"/>
          <w:marTop w:val="0"/>
          <w:marBottom w:val="0"/>
          <w:divBdr>
            <w:top w:val="none" w:sz="0" w:space="0" w:color="auto"/>
            <w:left w:val="none" w:sz="0" w:space="0" w:color="auto"/>
            <w:bottom w:val="none" w:sz="0" w:space="0" w:color="auto"/>
            <w:right w:val="none" w:sz="0" w:space="0" w:color="auto"/>
          </w:divBdr>
          <w:divsChild>
            <w:div w:id="809320535">
              <w:marLeft w:val="0"/>
              <w:marRight w:val="0"/>
              <w:marTop w:val="0"/>
              <w:marBottom w:val="0"/>
              <w:divBdr>
                <w:top w:val="none" w:sz="0" w:space="0" w:color="auto"/>
                <w:left w:val="none" w:sz="0" w:space="0" w:color="auto"/>
                <w:bottom w:val="none" w:sz="0" w:space="0" w:color="auto"/>
                <w:right w:val="none" w:sz="0" w:space="0" w:color="auto"/>
              </w:divBdr>
              <w:divsChild>
                <w:div w:id="167059219">
                  <w:marLeft w:val="0"/>
                  <w:marRight w:val="0"/>
                  <w:marTop w:val="0"/>
                  <w:marBottom w:val="0"/>
                  <w:divBdr>
                    <w:top w:val="none" w:sz="0" w:space="0" w:color="auto"/>
                    <w:left w:val="none" w:sz="0" w:space="0" w:color="auto"/>
                    <w:bottom w:val="none" w:sz="0" w:space="0" w:color="auto"/>
                    <w:right w:val="none" w:sz="0" w:space="0" w:color="auto"/>
                  </w:divBdr>
                  <w:divsChild>
                    <w:div w:id="132443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1456040">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5161309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78539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0419856">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F6BF19-38FD-427B-AD59-4B8ED8FC3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14091</Words>
  <Characters>80319</Characters>
  <Application>Microsoft Office Word</Application>
  <DocSecurity>0</DocSecurity>
  <Lines>669</Lines>
  <Paragraphs>188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94222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2026-07-06T07:42:00Z</cp:lastPrinted>
  <dcterms:created xsi:type="dcterms:W3CDTF">2026-07-06T07:41:00Z</dcterms:created>
  <dcterms:modified xsi:type="dcterms:W3CDTF">2026-07-06T07:42:00Z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