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F2186" w14:textId="77777777" w:rsidR="00FA19B4" w:rsidRPr="0047030F" w:rsidRDefault="00622D0D" w:rsidP="0047030F">
      <w:pPr>
        <w:bidi/>
        <w:spacing w:after="40" w:line="252" w:lineRule="auto"/>
        <w:jc w:val="center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نموذج مراجعة الاستبانة قبل التحكيم الخارجي - عادل علي حماص</w:t>
      </w:r>
    </w:p>
    <w:p w14:paraId="4255C4A2" w14:textId="77777777" w:rsidR="00FA19B4" w:rsidRPr="0047030F" w:rsidRDefault="00622D0D" w:rsidP="0047030F">
      <w:pPr>
        <w:bidi/>
        <w:spacing w:after="40" w:line="252" w:lineRule="auto"/>
        <w:jc w:val="center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نموذج مراجعة مشرف الرسالة قبل إرسال الاستبانة إلى المحكمين الخارجيين</w:t>
      </w:r>
    </w:p>
    <w:p w14:paraId="6F65421B" w14:textId="77777777" w:rsidR="00FA19B4" w:rsidRPr="0047030F" w:rsidRDefault="00622D0D" w:rsidP="0047030F">
      <w:pPr>
        <w:bidi/>
        <w:spacing w:after="80" w:line="252" w:lineRule="auto"/>
        <w:jc w:val="center"/>
        <w:rPr>
          <w:rFonts w:ascii="Simplified Arabic" w:hAnsi="Simplified Arabic" w:cs="Simplified Arabic"/>
          <w:szCs w:val="20"/>
        </w:rPr>
      </w:pPr>
      <w:r w:rsidRPr="0047030F">
        <w:rPr>
          <w:rFonts w:ascii="Simplified Arabic" w:hAnsi="Simplified Arabic" w:cs="Simplified Arabic"/>
          <w:b/>
          <w:szCs w:val="20"/>
          <w:rtl/>
        </w:rPr>
        <w:t>ملاحظة: يُترك عمود رد الطالب/التعديل المنجز للطالب لاستكماله بعد مراجعة النسخة المعدلة، مع إرفاق نسخة محدثة تُظهر التعديلات الجوهرية قبل الإرسال للمحكمين.</w:t>
      </w:r>
    </w:p>
    <w:p w14:paraId="1AA5FC0C" w14:textId="77777777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  <w:r w:rsidRPr="0047030F">
        <w:rPr>
          <w:rFonts w:ascii="Simplified Arabic" w:hAnsi="Simplified Arabic" w:cs="Simplified Arabic"/>
          <w:b/>
          <w:szCs w:val="20"/>
          <w:rtl/>
        </w:rPr>
        <w:t>أولاً: بيانات عامة عن الاستبانة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593"/>
        <w:gridCol w:w="13223"/>
      </w:tblGrid>
      <w:tr w:rsidR="00FA19B4" w:rsidRPr="0047030F" w14:paraId="4E7DDA9F" w14:textId="77777777" w:rsidTr="0047030F">
        <w:tc>
          <w:tcPr>
            <w:tcW w:w="2617" w:type="dxa"/>
            <w:vAlign w:val="center"/>
          </w:tcPr>
          <w:p w14:paraId="6CC3241C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البند</w:t>
            </w:r>
          </w:p>
        </w:tc>
        <w:tc>
          <w:tcPr>
            <w:tcW w:w="13425" w:type="dxa"/>
            <w:vAlign w:val="center"/>
          </w:tcPr>
          <w:p w14:paraId="154D3884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التفاصيل</w:t>
            </w:r>
          </w:p>
        </w:tc>
      </w:tr>
      <w:tr w:rsidR="00FA19B4" w:rsidRPr="0047030F" w14:paraId="54186037" w14:textId="77777777" w:rsidTr="0047030F">
        <w:tc>
          <w:tcPr>
            <w:tcW w:w="2617" w:type="dxa"/>
            <w:vAlign w:val="center"/>
          </w:tcPr>
          <w:p w14:paraId="4D38E83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اسم الطالب/الطالبة</w:t>
            </w:r>
          </w:p>
        </w:tc>
        <w:tc>
          <w:tcPr>
            <w:tcW w:w="13425" w:type="dxa"/>
            <w:vAlign w:val="center"/>
          </w:tcPr>
          <w:p w14:paraId="1B3179BF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عادل علي حماص</w:t>
            </w:r>
          </w:p>
        </w:tc>
      </w:tr>
      <w:tr w:rsidR="00FA19B4" w:rsidRPr="0047030F" w14:paraId="39D41CD1" w14:textId="77777777" w:rsidTr="0047030F">
        <w:tc>
          <w:tcPr>
            <w:tcW w:w="2617" w:type="dxa"/>
            <w:vAlign w:val="center"/>
          </w:tcPr>
          <w:p w14:paraId="462FF0E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عنوان الرسالة</w:t>
            </w:r>
          </w:p>
        </w:tc>
        <w:tc>
          <w:tcPr>
            <w:tcW w:w="13425" w:type="dxa"/>
            <w:vAlign w:val="center"/>
          </w:tcPr>
          <w:p w14:paraId="383A90D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تحليل واقع الشراكات بين القطاعين العام والخاص في قطاع البيئة وتطوير نموذج مقترح للحوكمة البيئية وإدارة الأداء في المملكة العربية السعودية (دراسة حالة للتفتيش البيئي)</w:t>
            </w:r>
          </w:p>
        </w:tc>
      </w:tr>
      <w:tr w:rsidR="00FA19B4" w:rsidRPr="0047030F" w14:paraId="4FBE8F07" w14:textId="77777777" w:rsidTr="0047030F">
        <w:tc>
          <w:tcPr>
            <w:tcW w:w="2617" w:type="dxa"/>
            <w:vAlign w:val="center"/>
          </w:tcPr>
          <w:p w14:paraId="1962500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نوع الأداة</w:t>
            </w:r>
          </w:p>
        </w:tc>
        <w:tc>
          <w:tcPr>
            <w:tcW w:w="13425" w:type="dxa"/>
            <w:vAlign w:val="center"/>
          </w:tcPr>
          <w:p w14:paraId="6BA5B93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استبانة موجهة للتحكيم العلمي ثم للتطبيق الميداني</w:t>
            </w:r>
          </w:p>
        </w:tc>
      </w:tr>
      <w:tr w:rsidR="00FA19B4" w:rsidRPr="0047030F" w14:paraId="3C7B0DE0" w14:textId="77777777" w:rsidTr="0047030F">
        <w:tc>
          <w:tcPr>
            <w:tcW w:w="2617" w:type="dxa"/>
            <w:vAlign w:val="center"/>
          </w:tcPr>
          <w:p w14:paraId="5C81CDB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الغرض من المراجعة</w:t>
            </w:r>
          </w:p>
        </w:tc>
        <w:tc>
          <w:tcPr>
            <w:tcW w:w="13425" w:type="dxa"/>
            <w:vAlign w:val="center"/>
          </w:tcPr>
          <w:p w14:paraId="7ABCEA7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التأكد من وضوح الفقرات، واتساقها مع متغيرات الدراسة وأبعادها، وتمييز أبعاد الشراكة عن مخرجات الحوكمة وإدارة الأداء قبل إرسالها إلى المحكمين.</w:t>
            </w:r>
          </w:p>
        </w:tc>
      </w:tr>
      <w:tr w:rsidR="00FA19B4" w:rsidRPr="0047030F" w14:paraId="4FC7D137" w14:textId="77777777" w:rsidTr="0047030F">
        <w:tc>
          <w:tcPr>
            <w:tcW w:w="2617" w:type="dxa"/>
            <w:vAlign w:val="center"/>
          </w:tcPr>
          <w:p w14:paraId="57D02AF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قرار المشرف قبل التحكيم الخارجي</w:t>
            </w:r>
          </w:p>
        </w:tc>
        <w:tc>
          <w:tcPr>
            <w:tcW w:w="13425" w:type="dxa"/>
            <w:vAlign w:val="center"/>
          </w:tcPr>
          <w:p w14:paraId="680CD803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تحتاج الاستبانة إلى مراجعة منهجية وتنظيمية قبل إرسالها للتحكيم الخارجي.</w:t>
            </w:r>
          </w:p>
        </w:tc>
      </w:tr>
    </w:tbl>
    <w:p w14:paraId="3FB21AEC" w14:textId="77777777" w:rsidR="00FA19B4" w:rsidRPr="0047030F" w:rsidRDefault="00FA19B4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</w:p>
    <w:p w14:paraId="2EBFB7D0" w14:textId="77777777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ثانياً: ملخص نقاط القوة والجوانب التي تحتاج إلى عناية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7908"/>
        <w:gridCol w:w="7908"/>
      </w:tblGrid>
      <w:tr w:rsidR="00FA19B4" w:rsidRPr="0047030F" w14:paraId="1732EA00" w14:textId="77777777" w:rsidTr="0047030F">
        <w:tc>
          <w:tcPr>
            <w:tcW w:w="7913" w:type="dxa"/>
            <w:vAlign w:val="center"/>
          </w:tcPr>
          <w:p w14:paraId="0BFB6581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نقاط قوة أولية</w:t>
            </w:r>
          </w:p>
        </w:tc>
        <w:tc>
          <w:tcPr>
            <w:tcW w:w="7913" w:type="dxa"/>
            <w:vAlign w:val="center"/>
          </w:tcPr>
          <w:p w14:paraId="4671CF85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ملاحظات تطويرية عامة</w:t>
            </w:r>
          </w:p>
        </w:tc>
      </w:tr>
      <w:tr w:rsidR="00FA19B4" w:rsidRPr="0047030F" w14:paraId="0D17A4F4" w14:textId="77777777" w:rsidTr="0047030F">
        <w:tc>
          <w:tcPr>
            <w:tcW w:w="7776" w:type="dxa"/>
            <w:vAlign w:val="center"/>
          </w:tcPr>
          <w:p w14:paraId="1747BCD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• الموضوع تطبيقي ومهم ويرتبط بالشراكات والحوكمة البيئية في سياق التفتيش البيئي.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تقسيم المتغيرات إلى أبعاد متعددة يساعد في قياس أكثر تفصيلاً للظاهرة.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توجد نسخة تحكيم ونسخة مستجيب، وتعريفات إجرائية لعدد من الأبعاد.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تضمين بيانات شخصية ووظيفية يساعد في وصف العينة وتحليل الفروق عند الحاجة.</w:t>
            </w:r>
          </w:p>
        </w:tc>
        <w:tc>
          <w:tcPr>
            <w:tcW w:w="7776" w:type="dxa"/>
            <w:vAlign w:val="center"/>
          </w:tcPr>
          <w:p w14:paraId="36238E5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• يوجد تداخل محتمل بين آليات التمويل في المتغير المستقل والاستدامة المالية في المتغير التابع.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بعض الجداول الأولى تحتاج إلى استكمال عمود التعديل وتسمية الأبعاد بدلاً من الحروف.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نموذج التحكيم يحتاج إلى توحيد أعمدة التقييم في جميع الأبعاد.</w:t>
            </w:r>
            <w:r w:rsidRPr="0047030F">
              <w:rPr>
                <w:rFonts w:ascii="Simplified Arabic" w:hAnsi="Simplified Arabic" w:cs="Simplified Arabic"/>
                <w:szCs w:val="20"/>
                <w:rtl/>
              </w:rPr>
              <w:br/>
              <w:t>• تحتاج الأداة إلى إضافة سؤال فلترة للعينة ومراجعة قائمة المراجع النهائية.</w:t>
            </w:r>
          </w:p>
        </w:tc>
      </w:tr>
    </w:tbl>
    <w:p w14:paraId="5F1FCADA" w14:textId="77777777" w:rsidR="00FA19B4" w:rsidRPr="0047030F" w:rsidRDefault="00FA19B4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</w:p>
    <w:p w14:paraId="61B5FF76" w14:textId="77777777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ثالثاً: جدول المراجعة التفصيلية والتوجيهات المطلوبة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628"/>
        <w:gridCol w:w="1686"/>
        <w:gridCol w:w="1882"/>
        <w:gridCol w:w="4972"/>
        <w:gridCol w:w="3148"/>
        <w:gridCol w:w="1437"/>
        <w:gridCol w:w="2063"/>
      </w:tblGrid>
      <w:tr w:rsidR="00FA19B4" w:rsidRPr="0047030F" w14:paraId="4BD12B1F" w14:textId="77777777" w:rsidTr="0047030F">
        <w:tc>
          <w:tcPr>
            <w:tcW w:w="633" w:type="dxa"/>
            <w:vAlign w:val="center"/>
          </w:tcPr>
          <w:p w14:paraId="1E162BC9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م</w:t>
            </w:r>
          </w:p>
        </w:tc>
        <w:tc>
          <w:tcPr>
            <w:tcW w:w="1701" w:type="dxa"/>
            <w:vAlign w:val="center"/>
          </w:tcPr>
          <w:p w14:paraId="539A704C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القسم/الفقرة محل المراجعة</w:t>
            </w:r>
          </w:p>
        </w:tc>
        <w:tc>
          <w:tcPr>
            <w:tcW w:w="1905" w:type="dxa"/>
            <w:vAlign w:val="center"/>
          </w:tcPr>
          <w:p w14:paraId="66D2E8E0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نوع الملاحظة</w:t>
            </w:r>
          </w:p>
        </w:tc>
        <w:tc>
          <w:tcPr>
            <w:tcW w:w="5066" w:type="dxa"/>
            <w:vAlign w:val="center"/>
          </w:tcPr>
          <w:p w14:paraId="443CCE57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تعليق المشرف والتوجيه التفصيلي</w:t>
            </w:r>
          </w:p>
        </w:tc>
        <w:tc>
          <w:tcPr>
            <w:tcW w:w="3200" w:type="dxa"/>
            <w:vAlign w:val="center"/>
          </w:tcPr>
          <w:p w14:paraId="6BC4A7D6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الإجراء المطلوب من الطالب</w:t>
            </w:r>
          </w:p>
        </w:tc>
        <w:tc>
          <w:tcPr>
            <w:tcW w:w="1453" w:type="dxa"/>
            <w:vAlign w:val="center"/>
          </w:tcPr>
          <w:p w14:paraId="72679A7A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الحالة</w:t>
            </w:r>
          </w:p>
        </w:tc>
        <w:tc>
          <w:tcPr>
            <w:tcW w:w="2084" w:type="dxa"/>
            <w:vAlign w:val="center"/>
          </w:tcPr>
          <w:p w14:paraId="0B9E1D27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رد الطالب/التعديل المنجز</w:t>
            </w:r>
          </w:p>
        </w:tc>
      </w:tr>
      <w:tr w:rsidR="00FA19B4" w:rsidRPr="0047030F" w14:paraId="3B2E438B" w14:textId="77777777" w:rsidTr="0047030F">
        <w:tc>
          <w:tcPr>
            <w:tcW w:w="633" w:type="dxa"/>
            <w:vAlign w:val="center"/>
          </w:tcPr>
          <w:p w14:paraId="327028D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</w:t>
            </w:r>
          </w:p>
        </w:tc>
        <w:tc>
          <w:tcPr>
            <w:tcW w:w="1701" w:type="dxa"/>
            <w:vAlign w:val="center"/>
          </w:tcPr>
          <w:p w14:paraId="13DAAAA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بيانات الغلاف والعنوان</w:t>
            </w:r>
          </w:p>
        </w:tc>
        <w:tc>
          <w:tcPr>
            <w:tcW w:w="1905" w:type="dxa"/>
            <w:vAlign w:val="center"/>
          </w:tcPr>
          <w:p w14:paraId="46D087A7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تنظيم ومنهجية</w:t>
            </w:r>
          </w:p>
        </w:tc>
        <w:tc>
          <w:tcPr>
            <w:tcW w:w="5066" w:type="dxa"/>
            <w:vAlign w:val="center"/>
          </w:tcPr>
          <w:p w14:paraId="48F0EF1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العنوان واضح ويعكس موضوع الشراكة بين القطاعين، لكن ينبغي التأكد من توافقه حرفياً في نموذج التحكيم ونسخة المستجيب وصفحة البيانات.</w:t>
            </w:r>
          </w:p>
        </w:tc>
        <w:tc>
          <w:tcPr>
            <w:tcW w:w="3200" w:type="dxa"/>
            <w:vAlign w:val="center"/>
          </w:tcPr>
          <w:p w14:paraId="5E11A5B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توحيد العنوان وبيانات الباحث والتاريخ في جميع المواضع، ومراجعة الصياغة النهائية قبل التحكيم.</w:t>
            </w:r>
          </w:p>
        </w:tc>
        <w:tc>
          <w:tcPr>
            <w:tcW w:w="1453" w:type="dxa"/>
            <w:vAlign w:val="center"/>
          </w:tcPr>
          <w:p w14:paraId="660E4AB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ضبط</w:t>
            </w:r>
          </w:p>
        </w:tc>
        <w:tc>
          <w:tcPr>
            <w:tcW w:w="2084" w:type="dxa"/>
            <w:vAlign w:val="center"/>
          </w:tcPr>
          <w:p w14:paraId="4D546EDF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560E1AFB" w14:textId="77777777" w:rsidTr="0047030F">
        <w:tc>
          <w:tcPr>
            <w:tcW w:w="633" w:type="dxa"/>
            <w:vAlign w:val="center"/>
          </w:tcPr>
          <w:p w14:paraId="78E1FFD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2</w:t>
            </w:r>
          </w:p>
        </w:tc>
        <w:tc>
          <w:tcPr>
            <w:tcW w:w="1701" w:type="dxa"/>
            <w:vAlign w:val="center"/>
          </w:tcPr>
          <w:p w14:paraId="1121AF5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جدول الفقرات من الدراسات السابقة</w:t>
            </w:r>
          </w:p>
        </w:tc>
        <w:tc>
          <w:tcPr>
            <w:tcW w:w="1905" w:type="dxa"/>
            <w:vAlign w:val="center"/>
          </w:tcPr>
          <w:p w14:paraId="5451097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توثيق ومنهجية</w:t>
            </w:r>
          </w:p>
        </w:tc>
        <w:tc>
          <w:tcPr>
            <w:tcW w:w="5066" w:type="dxa"/>
            <w:vAlign w:val="center"/>
          </w:tcPr>
          <w:p w14:paraId="43E4875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عمود "التعديل" في الجداول الأولى يبدو غير مستكمل، كما أن المتغيرات تظهر بحروف مثل أ، ب، ج دون تسمية واضحة للأبعاد.</w:t>
            </w:r>
          </w:p>
        </w:tc>
        <w:tc>
          <w:tcPr>
            <w:tcW w:w="3200" w:type="dxa"/>
            <w:vAlign w:val="center"/>
          </w:tcPr>
          <w:p w14:paraId="312943D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استكمال عمود التعديل أو إعادة تسميته إلى "الصياغة المعدلة"، واستبدال الرموز بأسماء الأبعاد الكاملة.</w:t>
            </w:r>
          </w:p>
        </w:tc>
        <w:tc>
          <w:tcPr>
            <w:tcW w:w="1453" w:type="dxa"/>
            <w:vAlign w:val="center"/>
          </w:tcPr>
          <w:p w14:paraId="171D49A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تعديل</w:t>
            </w:r>
          </w:p>
        </w:tc>
        <w:tc>
          <w:tcPr>
            <w:tcW w:w="2084" w:type="dxa"/>
            <w:vAlign w:val="center"/>
          </w:tcPr>
          <w:p w14:paraId="599F79BD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67EC4353" w14:textId="77777777" w:rsidTr="0047030F">
        <w:tc>
          <w:tcPr>
            <w:tcW w:w="633" w:type="dxa"/>
            <w:vAlign w:val="center"/>
          </w:tcPr>
          <w:p w14:paraId="762DE86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3</w:t>
            </w:r>
          </w:p>
        </w:tc>
        <w:tc>
          <w:tcPr>
            <w:tcW w:w="1701" w:type="dxa"/>
            <w:vAlign w:val="center"/>
          </w:tcPr>
          <w:p w14:paraId="5A3A5DE3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 xml:space="preserve">المتغير المستقل: الشراكة بين القطاعين </w:t>
            </w: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lastRenderedPageBreak/>
              <w:t>العام والخاص</w:t>
            </w:r>
          </w:p>
        </w:tc>
        <w:tc>
          <w:tcPr>
            <w:tcW w:w="1905" w:type="dxa"/>
            <w:vAlign w:val="center"/>
          </w:tcPr>
          <w:p w14:paraId="0C30A19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lastRenderedPageBreak/>
              <w:t>اتساق مفاهيمي</w:t>
            </w:r>
          </w:p>
        </w:tc>
        <w:tc>
          <w:tcPr>
            <w:tcW w:w="5066" w:type="dxa"/>
            <w:vAlign w:val="center"/>
          </w:tcPr>
          <w:p w14:paraId="40B4B6D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المتغير مناسب للموضوع، إلا أن بعض الفقرات تجمع بين البنية التنظيمية والنتائج المتوقعة؛ مما قد يسبب تداخلاً بين السبب والنتيجة.</w:t>
            </w:r>
          </w:p>
        </w:tc>
        <w:tc>
          <w:tcPr>
            <w:tcW w:w="3200" w:type="dxa"/>
            <w:vAlign w:val="center"/>
          </w:tcPr>
          <w:p w14:paraId="6FD70F6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مراجعة الفقرات بحيث تقيس ترتيبات الشراكة ذاتها لا نتائج الأداء أو الحوكمة الناتجة عنها.</w:t>
            </w:r>
          </w:p>
        </w:tc>
        <w:tc>
          <w:tcPr>
            <w:tcW w:w="1453" w:type="dxa"/>
            <w:vAlign w:val="center"/>
          </w:tcPr>
          <w:p w14:paraId="2877A0B7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مراجعة</w:t>
            </w:r>
          </w:p>
        </w:tc>
        <w:tc>
          <w:tcPr>
            <w:tcW w:w="2084" w:type="dxa"/>
            <w:vAlign w:val="center"/>
          </w:tcPr>
          <w:p w14:paraId="105D5756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01C84723" w14:textId="77777777" w:rsidTr="0047030F">
        <w:tc>
          <w:tcPr>
            <w:tcW w:w="633" w:type="dxa"/>
            <w:vAlign w:val="center"/>
          </w:tcPr>
          <w:p w14:paraId="6DDFB31F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4</w:t>
            </w:r>
          </w:p>
        </w:tc>
        <w:tc>
          <w:tcPr>
            <w:tcW w:w="1701" w:type="dxa"/>
            <w:vAlign w:val="center"/>
          </w:tcPr>
          <w:p w14:paraId="39E7A2A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الإطار التشريعي والتنظيمي</w:t>
            </w:r>
          </w:p>
        </w:tc>
        <w:tc>
          <w:tcPr>
            <w:tcW w:w="1905" w:type="dxa"/>
            <w:vAlign w:val="center"/>
          </w:tcPr>
          <w:p w14:paraId="065793D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صياغة وقياس</w:t>
            </w:r>
          </w:p>
        </w:tc>
        <w:tc>
          <w:tcPr>
            <w:tcW w:w="5066" w:type="dxa"/>
            <w:vAlign w:val="center"/>
          </w:tcPr>
          <w:p w14:paraId="68CFA1A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البعد مهم، لكن بعض العبارات عامة وقد لا تميز بين وجود التشريعات وفاعلية تطبيقها في خدمات التفتيش البيئي.</w:t>
            </w:r>
          </w:p>
        </w:tc>
        <w:tc>
          <w:tcPr>
            <w:tcW w:w="3200" w:type="dxa"/>
            <w:vAlign w:val="center"/>
          </w:tcPr>
          <w:p w14:paraId="0078875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عبارات تقيس وضوح اللوائح، سهولة الإجراءات، وآلية التطبيق العملي في التفتيش البيئي.</w:t>
            </w:r>
          </w:p>
        </w:tc>
        <w:tc>
          <w:tcPr>
            <w:tcW w:w="1453" w:type="dxa"/>
            <w:vAlign w:val="center"/>
          </w:tcPr>
          <w:p w14:paraId="2AEDC783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تحسين</w:t>
            </w:r>
          </w:p>
        </w:tc>
        <w:tc>
          <w:tcPr>
            <w:tcW w:w="2084" w:type="dxa"/>
            <w:vAlign w:val="center"/>
          </w:tcPr>
          <w:p w14:paraId="7F0BC66D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282DA800" w14:textId="77777777" w:rsidTr="0047030F">
        <w:tc>
          <w:tcPr>
            <w:tcW w:w="633" w:type="dxa"/>
            <w:vAlign w:val="center"/>
          </w:tcPr>
          <w:p w14:paraId="7B5DCB6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5</w:t>
            </w:r>
          </w:p>
        </w:tc>
        <w:tc>
          <w:tcPr>
            <w:tcW w:w="1701" w:type="dxa"/>
            <w:vAlign w:val="center"/>
          </w:tcPr>
          <w:p w14:paraId="5851F9E7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توزيع المخاطر والمسؤوليات</w:t>
            </w:r>
          </w:p>
        </w:tc>
        <w:tc>
          <w:tcPr>
            <w:tcW w:w="1905" w:type="dxa"/>
            <w:vAlign w:val="center"/>
          </w:tcPr>
          <w:p w14:paraId="5BECF3A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اتساق مفاهيمي</w:t>
            </w:r>
          </w:p>
        </w:tc>
        <w:tc>
          <w:tcPr>
            <w:tcW w:w="5066" w:type="dxa"/>
            <w:vAlign w:val="center"/>
          </w:tcPr>
          <w:p w14:paraId="2C4C144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الفقرات مناسبة، لكنها تحتاج إلى تحديد طبيعة المخاطر المقصودة: تشغيلية، مالية، قانونية، أو بيئية.</w:t>
            </w:r>
          </w:p>
        </w:tc>
        <w:tc>
          <w:tcPr>
            <w:tcW w:w="3200" w:type="dxa"/>
            <w:vAlign w:val="center"/>
          </w:tcPr>
          <w:p w14:paraId="7DB1B92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تعديل الصياغة لتوضيح نوع المخاطر وربطها بعقود وخدمات التفتيش البيئي.</w:t>
            </w:r>
          </w:p>
        </w:tc>
        <w:tc>
          <w:tcPr>
            <w:tcW w:w="1453" w:type="dxa"/>
            <w:vAlign w:val="center"/>
          </w:tcPr>
          <w:p w14:paraId="26183E0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توضيح</w:t>
            </w:r>
          </w:p>
        </w:tc>
        <w:tc>
          <w:tcPr>
            <w:tcW w:w="2084" w:type="dxa"/>
            <w:vAlign w:val="center"/>
          </w:tcPr>
          <w:p w14:paraId="0B110D08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70A4C32C" w14:textId="77777777" w:rsidTr="0047030F">
        <w:tc>
          <w:tcPr>
            <w:tcW w:w="633" w:type="dxa"/>
            <w:vAlign w:val="center"/>
          </w:tcPr>
          <w:p w14:paraId="7A92D56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6</w:t>
            </w:r>
          </w:p>
        </w:tc>
        <w:tc>
          <w:tcPr>
            <w:tcW w:w="1701" w:type="dxa"/>
            <w:vAlign w:val="center"/>
          </w:tcPr>
          <w:p w14:paraId="6E119C3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آليات التمويل والاستدامة المالية</w:t>
            </w:r>
          </w:p>
        </w:tc>
        <w:tc>
          <w:tcPr>
            <w:tcW w:w="1905" w:type="dxa"/>
            <w:vAlign w:val="center"/>
          </w:tcPr>
          <w:p w14:paraId="34A3EFD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تداخل مفاهيمي</w:t>
            </w:r>
          </w:p>
        </w:tc>
        <w:tc>
          <w:tcPr>
            <w:tcW w:w="5066" w:type="dxa"/>
            <w:vAlign w:val="center"/>
          </w:tcPr>
          <w:p w14:paraId="10349B3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هذا البعد قريب من بعد الاستدامة المالية في المتغير التابع، مما قد يضعف التمييز بين المتغيرين.</w:t>
            </w:r>
          </w:p>
        </w:tc>
        <w:tc>
          <w:tcPr>
            <w:tcW w:w="3200" w:type="dxa"/>
            <w:vAlign w:val="center"/>
          </w:tcPr>
          <w:p w14:paraId="4D3368D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حصر هذا البعد في آليات تمويل الشراكة، وترك أثر الاستدامة المالية للمتغير التابع.</w:t>
            </w:r>
          </w:p>
        </w:tc>
        <w:tc>
          <w:tcPr>
            <w:tcW w:w="1453" w:type="dxa"/>
            <w:vAlign w:val="center"/>
          </w:tcPr>
          <w:p w14:paraId="4849F47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فصل</w:t>
            </w:r>
          </w:p>
        </w:tc>
        <w:tc>
          <w:tcPr>
            <w:tcW w:w="2084" w:type="dxa"/>
            <w:vAlign w:val="center"/>
          </w:tcPr>
          <w:p w14:paraId="58347CCE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7CB013D9" w14:textId="77777777" w:rsidTr="0047030F">
        <w:tc>
          <w:tcPr>
            <w:tcW w:w="633" w:type="dxa"/>
            <w:vAlign w:val="center"/>
          </w:tcPr>
          <w:p w14:paraId="7BE0751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7</w:t>
            </w:r>
          </w:p>
        </w:tc>
        <w:tc>
          <w:tcPr>
            <w:tcW w:w="1701" w:type="dxa"/>
            <w:vAlign w:val="center"/>
          </w:tcPr>
          <w:p w14:paraId="6CF96C0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إدارة الأداء وربط المدفوعات بالمؤشرات</w:t>
            </w:r>
          </w:p>
        </w:tc>
        <w:tc>
          <w:tcPr>
            <w:tcW w:w="1905" w:type="dxa"/>
            <w:vAlign w:val="center"/>
          </w:tcPr>
          <w:p w14:paraId="37B2B6B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أولوية منهجية</w:t>
            </w:r>
          </w:p>
        </w:tc>
        <w:tc>
          <w:tcPr>
            <w:tcW w:w="5066" w:type="dxa"/>
            <w:vAlign w:val="center"/>
          </w:tcPr>
          <w:p w14:paraId="5E195B4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البعد مهم لكنه يتداخل مع إدارة الأداء في المتغير التابع؛ لذلك يحتاج إلى صياغة تقيس تصميم عقود الشراكة وليس جودة الأداء النهائي.</w:t>
            </w:r>
          </w:p>
        </w:tc>
        <w:tc>
          <w:tcPr>
            <w:tcW w:w="3200" w:type="dxa"/>
            <w:vAlign w:val="center"/>
          </w:tcPr>
          <w:p w14:paraId="0DCFC53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استخدام صياغات مثل: "تنص عقود الشراكة على مؤشرات أداء محددة لقياس التزامات الشريك الخاص".</w:t>
            </w:r>
          </w:p>
        </w:tc>
        <w:tc>
          <w:tcPr>
            <w:tcW w:w="1453" w:type="dxa"/>
            <w:vAlign w:val="center"/>
          </w:tcPr>
          <w:p w14:paraId="76CD32E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تعديل</w:t>
            </w:r>
          </w:p>
        </w:tc>
        <w:tc>
          <w:tcPr>
            <w:tcW w:w="2084" w:type="dxa"/>
            <w:vAlign w:val="center"/>
          </w:tcPr>
          <w:p w14:paraId="3925DD85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19611F9D" w14:textId="77777777" w:rsidTr="0047030F">
        <w:tc>
          <w:tcPr>
            <w:tcW w:w="633" w:type="dxa"/>
            <w:vAlign w:val="center"/>
          </w:tcPr>
          <w:p w14:paraId="09F6788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8</w:t>
            </w:r>
          </w:p>
        </w:tc>
        <w:tc>
          <w:tcPr>
            <w:tcW w:w="1701" w:type="dxa"/>
            <w:vAlign w:val="center"/>
          </w:tcPr>
          <w:p w14:paraId="4F7B717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المتغير التابع: الحوكمة البيئية وإدارة الأداء</w:t>
            </w:r>
          </w:p>
        </w:tc>
        <w:tc>
          <w:tcPr>
            <w:tcW w:w="1905" w:type="dxa"/>
            <w:vAlign w:val="center"/>
          </w:tcPr>
          <w:p w14:paraId="4DBDD86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بناء المتغير</w:t>
            </w:r>
          </w:p>
        </w:tc>
        <w:tc>
          <w:tcPr>
            <w:tcW w:w="5066" w:type="dxa"/>
            <w:vAlign w:val="center"/>
          </w:tcPr>
          <w:p w14:paraId="0724856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المتغير واسع ويجمع بين الحوكمة والشفافية والمساءلة والأداء؛ والتقسيم الحالي جيد مبدئياً لكنه يحتاج إلى تبرير نظري في التعريف الإجرائي العام.</w:t>
            </w:r>
          </w:p>
        </w:tc>
        <w:tc>
          <w:tcPr>
            <w:tcW w:w="3200" w:type="dxa"/>
            <w:vAlign w:val="center"/>
          </w:tcPr>
          <w:p w14:paraId="1F1F4013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فقرة موجزة توضح لماذا جُمعت الحوكمة وإدارة الأداء في متغير تابع واحد.</w:t>
            </w:r>
          </w:p>
        </w:tc>
        <w:tc>
          <w:tcPr>
            <w:tcW w:w="1453" w:type="dxa"/>
            <w:vAlign w:val="center"/>
          </w:tcPr>
          <w:p w14:paraId="0CE9E97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تعزيز</w:t>
            </w:r>
          </w:p>
        </w:tc>
        <w:tc>
          <w:tcPr>
            <w:tcW w:w="2084" w:type="dxa"/>
            <w:vAlign w:val="center"/>
          </w:tcPr>
          <w:p w14:paraId="04ADC4BC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2FF31802" w14:textId="77777777" w:rsidTr="0047030F">
        <w:tc>
          <w:tcPr>
            <w:tcW w:w="633" w:type="dxa"/>
            <w:vAlign w:val="center"/>
          </w:tcPr>
          <w:p w14:paraId="3E06902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9</w:t>
            </w:r>
          </w:p>
        </w:tc>
        <w:tc>
          <w:tcPr>
            <w:tcW w:w="1701" w:type="dxa"/>
            <w:vAlign w:val="center"/>
          </w:tcPr>
          <w:p w14:paraId="1CD59C1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الكفاءة التشغيلية</w:t>
            </w:r>
          </w:p>
        </w:tc>
        <w:tc>
          <w:tcPr>
            <w:tcW w:w="1905" w:type="dxa"/>
            <w:vAlign w:val="center"/>
          </w:tcPr>
          <w:p w14:paraId="49D0CE8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قياس ووضوح</w:t>
            </w:r>
          </w:p>
        </w:tc>
        <w:tc>
          <w:tcPr>
            <w:tcW w:w="5066" w:type="dxa"/>
            <w:vAlign w:val="center"/>
          </w:tcPr>
          <w:p w14:paraId="6A8F09A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الفقرات مناسبة لكنها قد تعتمد على معلومات تشغيلية لا يمتلكها كل مستجيب.</w:t>
            </w:r>
          </w:p>
        </w:tc>
        <w:tc>
          <w:tcPr>
            <w:tcW w:w="3200" w:type="dxa"/>
            <w:vAlign w:val="center"/>
          </w:tcPr>
          <w:p w14:paraId="0C71F68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سؤال فلترة أو توجيه العينة لمن لديهم معرفة مباشرة بأداء التفتيش أو عقود الشراكة.</w:t>
            </w:r>
          </w:p>
        </w:tc>
        <w:tc>
          <w:tcPr>
            <w:tcW w:w="1453" w:type="dxa"/>
            <w:vAlign w:val="center"/>
          </w:tcPr>
          <w:p w14:paraId="0B0B6EF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ضبط عينة</w:t>
            </w:r>
          </w:p>
        </w:tc>
        <w:tc>
          <w:tcPr>
            <w:tcW w:w="2084" w:type="dxa"/>
            <w:vAlign w:val="center"/>
          </w:tcPr>
          <w:p w14:paraId="50ADA07F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1023DB37" w14:textId="77777777" w:rsidTr="0047030F">
        <w:tc>
          <w:tcPr>
            <w:tcW w:w="633" w:type="dxa"/>
            <w:vAlign w:val="center"/>
          </w:tcPr>
          <w:p w14:paraId="1BECBF7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10</w:t>
            </w:r>
          </w:p>
        </w:tc>
        <w:tc>
          <w:tcPr>
            <w:tcW w:w="1701" w:type="dxa"/>
            <w:vAlign w:val="center"/>
          </w:tcPr>
          <w:p w14:paraId="647A480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جودة مخرجات التفتيش البيئي</w:t>
            </w:r>
          </w:p>
        </w:tc>
        <w:tc>
          <w:tcPr>
            <w:tcW w:w="1905" w:type="dxa"/>
            <w:vAlign w:val="center"/>
          </w:tcPr>
          <w:p w14:paraId="4229B11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اتساق الفقرات</w:t>
            </w:r>
          </w:p>
        </w:tc>
        <w:tc>
          <w:tcPr>
            <w:tcW w:w="5066" w:type="dxa"/>
            <w:vAlign w:val="center"/>
          </w:tcPr>
          <w:p w14:paraId="547BD84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الفقرات تقيس الدقة والموثوقية والالتزام البيئي، وهي مناسبة، لكن يفضل إضافة بعد أو فقرة عن قابلية استخدام نتائج التفتيش في القرار الرقابي.</w:t>
            </w:r>
          </w:p>
        </w:tc>
        <w:tc>
          <w:tcPr>
            <w:tcW w:w="3200" w:type="dxa"/>
            <w:vAlign w:val="center"/>
          </w:tcPr>
          <w:p w14:paraId="2E2537F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أو تعديل فقرة تعكس استخدام مخرجات التفتيش في التحسين والرقابة وليس فقط الدقة.</w:t>
            </w:r>
          </w:p>
        </w:tc>
        <w:tc>
          <w:tcPr>
            <w:tcW w:w="1453" w:type="dxa"/>
            <w:vAlign w:val="center"/>
          </w:tcPr>
          <w:p w14:paraId="64E0071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تحسين</w:t>
            </w:r>
          </w:p>
        </w:tc>
        <w:tc>
          <w:tcPr>
            <w:tcW w:w="2084" w:type="dxa"/>
            <w:vAlign w:val="center"/>
          </w:tcPr>
          <w:p w14:paraId="017C144F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6B72F0B5" w14:textId="77777777" w:rsidTr="0047030F">
        <w:tc>
          <w:tcPr>
            <w:tcW w:w="633" w:type="dxa"/>
            <w:vAlign w:val="center"/>
          </w:tcPr>
          <w:p w14:paraId="4A9D8F8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11</w:t>
            </w:r>
          </w:p>
        </w:tc>
        <w:tc>
          <w:tcPr>
            <w:tcW w:w="1701" w:type="dxa"/>
            <w:vAlign w:val="center"/>
          </w:tcPr>
          <w:p w14:paraId="1997ABAF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الاستدامة المالية</w:t>
            </w:r>
          </w:p>
        </w:tc>
        <w:tc>
          <w:tcPr>
            <w:tcW w:w="1905" w:type="dxa"/>
            <w:vAlign w:val="center"/>
          </w:tcPr>
          <w:p w14:paraId="6AA229F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تكرار محتمل</w:t>
            </w:r>
          </w:p>
        </w:tc>
        <w:tc>
          <w:tcPr>
            <w:tcW w:w="5066" w:type="dxa"/>
            <w:vAlign w:val="center"/>
          </w:tcPr>
          <w:p w14:paraId="6A300CC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يتكرر المعنى مع بعد التمويل في المتغير المستقل، خاصة في العبارات المرتبطة بكفاءة الموارد والعوائد.</w:t>
            </w:r>
          </w:p>
        </w:tc>
        <w:tc>
          <w:tcPr>
            <w:tcW w:w="3200" w:type="dxa"/>
            <w:vAlign w:val="center"/>
          </w:tcPr>
          <w:p w14:paraId="5067A67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تقليل التكرار وصياغة هذا البعد بوصفه نتيجة للحوكمة وإدارة الأداء في الخدمة.</w:t>
            </w:r>
          </w:p>
        </w:tc>
        <w:tc>
          <w:tcPr>
            <w:tcW w:w="1453" w:type="dxa"/>
            <w:vAlign w:val="center"/>
          </w:tcPr>
          <w:p w14:paraId="3369A0C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تعديل</w:t>
            </w:r>
          </w:p>
        </w:tc>
        <w:tc>
          <w:tcPr>
            <w:tcW w:w="2084" w:type="dxa"/>
            <w:vAlign w:val="center"/>
          </w:tcPr>
          <w:p w14:paraId="76490C8A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4E0C511E" w14:textId="77777777" w:rsidTr="0047030F">
        <w:tc>
          <w:tcPr>
            <w:tcW w:w="633" w:type="dxa"/>
            <w:vAlign w:val="center"/>
          </w:tcPr>
          <w:p w14:paraId="3389433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12</w:t>
            </w:r>
          </w:p>
        </w:tc>
        <w:tc>
          <w:tcPr>
            <w:tcW w:w="1701" w:type="dxa"/>
            <w:vAlign w:val="center"/>
          </w:tcPr>
          <w:p w14:paraId="33E491B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نموذج التحكيم</w:t>
            </w:r>
          </w:p>
        </w:tc>
        <w:tc>
          <w:tcPr>
            <w:tcW w:w="1905" w:type="dxa"/>
            <w:vAlign w:val="center"/>
          </w:tcPr>
          <w:p w14:paraId="62B7C3B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تنظيم الأداة</w:t>
            </w:r>
          </w:p>
        </w:tc>
        <w:tc>
          <w:tcPr>
            <w:tcW w:w="5066" w:type="dxa"/>
            <w:vAlign w:val="center"/>
          </w:tcPr>
          <w:p w14:paraId="3EDB5AC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نموذج التحكيم موجود، لكنه يحتاج إلى توحيد أعمدة التقييم في جميع الأبعاد بحيث تشمل الملاءمة والوضوح والانتماء والتعديل المقترح.</w:t>
            </w:r>
          </w:p>
        </w:tc>
        <w:tc>
          <w:tcPr>
            <w:tcW w:w="3200" w:type="dxa"/>
            <w:vAlign w:val="center"/>
          </w:tcPr>
          <w:p w14:paraId="0037743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اعتماد نموذج موحد لكل بعد وتجنب اختلاف عناوين الأعمدة بين الجداول.</w:t>
            </w:r>
          </w:p>
        </w:tc>
        <w:tc>
          <w:tcPr>
            <w:tcW w:w="1453" w:type="dxa"/>
            <w:vAlign w:val="center"/>
          </w:tcPr>
          <w:p w14:paraId="6A71501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تطوير</w:t>
            </w:r>
          </w:p>
        </w:tc>
        <w:tc>
          <w:tcPr>
            <w:tcW w:w="2084" w:type="dxa"/>
            <w:vAlign w:val="center"/>
          </w:tcPr>
          <w:p w14:paraId="181A8FD3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1F9EB5D5" w14:textId="77777777" w:rsidTr="0047030F">
        <w:tc>
          <w:tcPr>
            <w:tcW w:w="633" w:type="dxa"/>
            <w:vAlign w:val="center"/>
          </w:tcPr>
          <w:p w14:paraId="4990BFF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13</w:t>
            </w:r>
          </w:p>
        </w:tc>
        <w:tc>
          <w:tcPr>
            <w:tcW w:w="1701" w:type="dxa"/>
            <w:vAlign w:val="center"/>
          </w:tcPr>
          <w:p w14:paraId="51215F4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مقياس ليكرت</w:t>
            </w:r>
          </w:p>
        </w:tc>
        <w:tc>
          <w:tcPr>
            <w:tcW w:w="1905" w:type="dxa"/>
            <w:vAlign w:val="center"/>
          </w:tcPr>
          <w:p w14:paraId="08517DB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وضوح للمستجيب</w:t>
            </w:r>
          </w:p>
        </w:tc>
        <w:tc>
          <w:tcPr>
            <w:tcW w:w="5066" w:type="dxa"/>
            <w:vAlign w:val="center"/>
          </w:tcPr>
          <w:p w14:paraId="394FA0A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مقياس الإجابة واضح إجمالاً، لكن يجب التأكد من ثبات ترتيب الدرجات في جميع الجداول الإلكترونية أو الورقية.</w:t>
            </w:r>
          </w:p>
        </w:tc>
        <w:tc>
          <w:tcPr>
            <w:tcW w:w="3200" w:type="dxa"/>
            <w:vAlign w:val="center"/>
          </w:tcPr>
          <w:p w14:paraId="3ED4019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تثبيت الترميز: 5 = موافق بشدة، 1 = غير موافق بشدة، وإضافة تعليمات مختصرة قبل كل محور.</w:t>
            </w:r>
          </w:p>
        </w:tc>
        <w:tc>
          <w:tcPr>
            <w:tcW w:w="1453" w:type="dxa"/>
            <w:vAlign w:val="center"/>
          </w:tcPr>
          <w:p w14:paraId="664DB12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تأكيد</w:t>
            </w:r>
          </w:p>
        </w:tc>
        <w:tc>
          <w:tcPr>
            <w:tcW w:w="2084" w:type="dxa"/>
            <w:vAlign w:val="center"/>
          </w:tcPr>
          <w:p w14:paraId="4D931BCF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50E603B0" w14:textId="77777777" w:rsidTr="0047030F">
        <w:tc>
          <w:tcPr>
            <w:tcW w:w="633" w:type="dxa"/>
            <w:vAlign w:val="center"/>
          </w:tcPr>
          <w:p w14:paraId="26B279D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14</w:t>
            </w:r>
          </w:p>
        </w:tc>
        <w:tc>
          <w:tcPr>
            <w:tcW w:w="1701" w:type="dxa"/>
            <w:vAlign w:val="center"/>
          </w:tcPr>
          <w:p w14:paraId="27F9995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البيانات الشخصية والوظيفية</w:t>
            </w:r>
          </w:p>
        </w:tc>
        <w:tc>
          <w:tcPr>
            <w:tcW w:w="1905" w:type="dxa"/>
            <w:vAlign w:val="center"/>
          </w:tcPr>
          <w:p w14:paraId="2D7D06E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ملاءمة العينة</w:t>
            </w:r>
          </w:p>
        </w:tc>
        <w:tc>
          <w:tcPr>
            <w:tcW w:w="5066" w:type="dxa"/>
            <w:vAlign w:val="center"/>
          </w:tcPr>
          <w:p w14:paraId="307DE93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البيانات مناسبة، لكن يفضل إضافة متغير يحدد علاقة المستجيب المباشرة بالتفتيش البيئي أو بالشراكات.</w:t>
            </w:r>
          </w:p>
        </w:tc>
        <w:tc>
          <w:tcPr>
            <w:tcW w:w="3200" w:type="dxa"/>
            <w:vAlign w:val="center"/>
          </w:tcPr>
          <w:p w14:paraId="69699A8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سؤال عن طبيعة الخبرة: تفتيش بيئي، عقود شراكة، جهة رقابية، شريك خاص، استشارات.</w:t>
            </w:r>
          </w:p>
        </w:tc>
        <w:tc>
          <w:tcPr>
            <w:tcW w:w="1453" w:type="dxa"/>
            <w:vAlign w:val="center"/>
          </w:tcPr>
          <w:p w14:paraId="135A374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إضافة</w:t>
            </w:r>
          </w:p>
        </w:tc>
        <w:tc>
          <w:tcPr>
            <w:tcW w:w="2084" w:type="dxa"/>
            <w:vAlign w:val="center"/>
          </w:tcPr>
          <w:p w14:paraId="0707CA3C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2D681148" w14:textId="77777777" w:rsidTr="0047030F">
        <w:tc>
          <w:tcPr>
            <w:tcW w:w="633" w:type="dxa"/>
            <w:vAlign w:val="center"/>
          </w:tcPr>
          <w:p w14:paraId="2328510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15</w:t>
            </w:r>
          </w:p>
        </w:tc>
        <w:tc>
          <w:tcPr>
            <w:tcW w:w="1701" w:type="dxa"/>
            <w:vAlign w:val="center"/>
          </w:tcPr>
          <w:p w14:paraId="5CB85393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المراجع العلمية</w:t>
            </w:r>
          </w:p>
        </w:tc>
        <w:tc>
          <w:tcPr>
            <w:tcW w:w="1905" w:type="dxa"/>
            <w:vAlign w:val="center"/>
          </w:tcPr>
          <w:p w14:paraId="266B21C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توثيق علمي</w:t>
            </w:r>
          </w:p>
        </w:tc>
        <w:tc>
          <w:tcPr>
            <w:tcW w:w="5066" w:type="dxa"/>
            <w:vAlign w:val="center"/>
          </w:tcPr>
          <w:p w14:paraId="76FC381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توجد مصادر داخل الجداول، لكن يلزم تضمين قائمة مراجع كاملة ومنظمة في نهاية الأداة قبل التحكيم.</w:t>
            </w:r>
          </w:p>
        </w:tc>
        <w:tc>
          <w:tcPr>
            <w:tcW w:w="3200" w:type="dxa"/>
            <w:vAlign w:val="center"/>
          </w:tcPr>
          <w:p w14:paraId="4500D84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إضافة قائمة مراجع وفق نمط توثيق موحد، وربط كل بعد بمصادره الأساسية.</w:t>
            </w:r>
          </w:p>
        </w:tc>
        <w:tc>
          <w:tcPr>
            <w:tcW w:w="1453" w:type="dxa"/>
            <w:vAlign w:val="center"/>
          </w:tcPr>
          <w:p w14:paraId="4C75AA1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يحتاج استكمال</w:t>
            </w:r>
          </w:p>
        </w:tc>
        <w:tc>
          <w:tcPr>
            <w:tcW w:w="2084" w:type="dxa"/>
            <w:vAlign w:val="center"/>
          </w:tcPr>
          <w:p w14:paraId="590B9BE2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</w:tbl>
    <w:p w14:paraId="0C6BCB61" w14:textId="77777777" w:rsidR="00FA19B4" w:rsidRPr="0047030F" w:rsidRDefault="00FA19B4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</w:p>
    <w:p w14:paraId="5CEEC68B" w14:textId="77777777" w:rsidR="00653B5D" w:rsidRPr="0047030F" w:rsidRDefault="00653B5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b/>
          <w:szCs w:val="20"/>
          <w:rtl/>
        </w:rPr>
      </w:pPr>
    </w:p>
    <w:p w14:paraId="1E660203" w14:textId="118CADA8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رابعاً: أمثلة لصياغات أو معالجات مقترحة يمكن اعتمادها أو البناء عليها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51"/>
        <w:gridCol w:w="4613"/>
        <w:gridCol w:w="6421"/>
        <w:gridCol w:w="3031"/>
      </w:tblGrid>
      <w:tr w:rsidR="00FA19B4" w:rsidRPr="0047030F" w14:paraId="35905591" w14:textId="77777777" w:rsidTr="0047030F">
        <w:tc>
          <w:tcPr>
            <w:tcW w:w="1767" w:type="dxa"/>
            <w:vAlign w:val="center"/>
          </w:tcPr>
          <w:p w14:paraId="4A67E24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القسم/البعد</w:t>
            </w:r>
          </w:p>
        </w:tc>
        <w:tc>
          <w:tcPr>
            <w:tcW w:w="4677" w:type="dxa"/>
            <w:vAlign w:val="center"/>
          </w:tcPr>
          <w:p w14:paraId="0E61096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الصياغة الحالية/الملاحظة</w:t>
            </w:r>
          </w:p>
        </w:tc>
        <w:tc>
          <w:tcPr>
            <w:tcW w:w="6525" w:type="dxa"/>
            <w:vAlign w:val="center"/>
          </w:tcPr>
          <w:p w14:paraId="3BB16F3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الصياغة أو المعالجة المقترحة</w:t>
            </w:r>
          </w:p>
        </w:tc>
        <w:tc>
          <w:tcPr>
            <w:tcW w:w="3073" w:type="dxa"/>
            <w:vAlign w:val="center"/>
          </w:tcPr>
          <w:p w14:paraId="21041B1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سبب التعديل</w:t>
            </w:r>
          </w:p>
        </w:tc>
      </w:tr>
      <w:tr w:rsidR="00FA19B4" w:rsidRPr="0047030F" w14:paraId="44E77269" w14:textId="77777777" w:rsidTr="0047030F">
        <w:tc>
          <w:tcPr>
            <w:tcW w:w="1767" w:type="dxa"/>
            <w:vAlign w:val="center"/>
          </w:tcPr>
          <w:p w14:paraId="7D2F5A1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تسمية الأبعاد</w:t>
            </w:r>
          </w:p>
        </w:tc>
        <w:tc>
          <w:tcPr>
            <w:tcW w:w="4677" w:type="dxa"/>
            <w:vAlign w:val="center"/>
          </w:tcPr>
          <w:p w14:paraId="1CA009F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استخدام حروف مثل: أ، ب، ج في خانة المتغير.</w:t>
            </w:r>
          </w:p>
        </w:tc>
        <w:tc>
          <w:tcPr>
            <w:tcW w:w="6525" w:type="dxa"/>
            <w:vAlign w:val="center"/>
          </w:tcPr>
          <w:p w14:paraId="42AAE18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استبدالها بأسماء الأبعاد: الإطار التشريعي والتنظيمي، توزيع المخاطر والمسؤوليات، آليات التمويل، إدارة الأداء.</w:t>
            </w:r>
          </w:p>
        </w:tc>
        <w:tc>
          <w:tcPr>
            <w:tcW w:w="3073" w:type="dxa"/>
            <w:vAlign w:val="center"/>
          </w:tcPr>
          <w:p w14:paraId="309AFCF8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زيادة وضوح الأداة للمحكمين.</w:t>
            </w:r>
          </w:p>
        </w:tc>
      </w:tr>
      <w:tr w:rsidR="00FA19B4" w:rsidRPr="0047030F" w14:paraId="39C52A05" w14:textId="77777777" w:rsidTr="0047030F">
        <w:tc>
          <w:tcPr>
            <w:tcW w:w="1767" w:type="dxa"/>
            <w:vAlign w:val="center"/>
          </w:tcPr>
          <w:p w14:paraId="7E1D087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تداخل التمويل والاستدامة</w:t>
            </w:r>
          </w:p>
        </w:tc>
        <w:tc>
          <w:tcPr>
            <w:tcW w:w="4677" w:type="dxa"/>
            <w:vAlign w:val="center"/>
          </w:tcPr>
          <w:p w14:paraId="3ADA099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تسهم الشراكة في توفير مصادر تمويل أكثر استدامة للخدمة.</w:t>
            </w:r>
          </w:p>
        </w:tc>
        <w:tc>
          <w:tcPr>
            <w:tcW w:w="6525" w:type="dxa"/>
            <w:vAlign w:val="center"/>
          </w:tcPr>
          <w:p w14:paraId="59AF537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توفر عقود الشراكة قنوات تمويل محددة ومناسبة لطبيعة خدمات التفتيش البيئي.</w:t>
            </w:r>
          </w:p>
        </w:tc>
        <w:tc>
          <w:tcPr>
            <w:tcW w:w="3073" w:type="dxa"/>
            <w:vAlign w:val="center"/>
          </w:tcPr>
          <w:p w14:paraId="3621624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قياس آلية الشراكة لا نتيجة الاستدامة.</w:t>
            </w:r>
          </w:p>
        </w:tc>
      </w:tr>
      <w:tr w:rsidR="00FA19B4" w:rsidRPr="0047030F" w14:paraId="322DE15E" w14:textId="77777777" w:rsidTr="0047030F">
        <w:tc>
          <w:tcPr>
            <w:tcW w:w="1767" w:type="dxa"/>
            <w:vAlign w:val="center"/>
          </w:tcPr>
          <w:p w14:paraId="5BE9D9E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ربط المدفوعات بالأداء</w:t>
            </w:r>
          </w:p>
        </w:tc>
        <w:tc>
          <w:tcPr>
            <w:tcW w:w="4677" w:type="dxa"/>
            <w:vAlign w:val="center"/>
          </w:tcPr>
          <w:p w14:paraId="355A70A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ترتبط المدفوعات المقدمة للشريك الخاص بمؤشرات الأداء المتفق عليها.</w:t>
            </w:r>
          </w:p>
        </w:tc>
        <w:tc>
          <w:tcPr>
            <w:tcW w:w="6525" w:type="dxa"/>
            <w:vAlign w:val="center"/>
          </w:tcPr>
          <w:p w14:paraId="69A1884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تنص عقود الشراكة على مؤشرات أداء واضحة لربط مستحقات الشريك الخاص بجودة تنفيذ خدمات التفتيش.</w:t>
            </w:r>
          </w:p>
        </w:tc>
        <w:tc>
          <w:tcPr>
            <w:tcW w:w="3073" w:type="dxa"/>
            <w:vAlign w:val="center"/>
          </w:tcPr>
          <w:p w14:paraId="74F69137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تحديد مصدر القياس وربطه بالعقود.</w:t>
            </w:r>
          </w:p>
        </w:tc>
      </w:tr>
      <w:tr w:rsidR="00FA19B4" w:rsidRPr="0047030F" w14:paraId="4732F6C6" w14:textId="77777777" w:rsidTr="0047030F">
        <w:tc>
          <w:tcPr>
            <w:tcW w:w="1767" w:type="dxa"/>
            <w:vAlign w:val="center"/>
          </w:tcPr>
          <w:p w14:paraId="252BACB1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فلترة العينة</w:t>
            </w:r>
          </w:p>
        </w:tc>
        <w:tc>
          <w:tcPr>
            <w:tcW w:w="4677" w:type="dxa"/>
            <w:vAlign w:val="center"/>
          </w:tcPr>
          <w:p w14:paraId="178CB81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لا يظهر شرط معرفة المستجيب بخدمات التفتيش أو الشراكات.</w:t>
            </w:r>
          </w:p>
        </w:tc>
        <w:tc>
          <w:tcPr>
            <w:tcW w:w="6525" w:type="dxa"/>
            <w:vAlign w:val="center"/>
          </w:tcPr>
          <w:p w14:paraId="0C7F80F6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هل لديك خبرة مباشرة أو معرفة عملية بخدمات التفتيش البيئي أو عقود الشراكة؟ نعم/لا.</w:t>
            </w:r>
          </w:p>
        </w:tc>
        <w:tc>
          <w:tcPr>
            <w:tcW w:w="3073" w:type="dxa"/>
            <w:vAlign w:val="center"/>
          </w:tcPr>
          <w:p w14:paraId="128303B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implified Arabic" w:hAnsi="Simplified Arabic" w:cs="Simplified Arabic"/>
                <w:szCs w:val="20"/>
                <w:rtl/>
              </w:rPr>
              <w:t>رفع جودة البيانات وتقليل الإجابات العشوائية.</w:t>
            </w:r>
          </w:p>
        </w:tc>
      </w:tr>
    </w:tbl>
    <w:p w14:paraId="0931DB9B" w14:textId="77777777" w:rsidR="00FA19B4" w:rsidRPr="0047030F" w:rsidRDefault="00FA19B4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</w:p>
    <w:p w14:paraId="58C27C55" w14:textId="77777777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bCs/>
          <w:szCs w:val="20"/>
        </w:rPr>
      </w:pPr>
      <w:r w:rsidRPr="0047030F">
        <w:rPr>
          <w:rFonts w:ascii="Simplified Arabic" w:hAnsi="Simplified Arabic" w:cs="Simplified Arabic"/>
          <w:bCs/>
          <w:szCs w:val="20"/>
          <w:rtl/>
        </w:rPr>
        <w:t>خامساً: قائمة تحقق قبل إعادة الإرسال للمشرف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617"/>
        <w:gridCol w:w="1057"/>
        <w:gridCol w:w="1057"/>
        <w:gridCol w:w="3085"/>
      </w:tblGrid>
      <w:tr w:rsidR="00FA19B4" w:rsidRPr="0047030F" w14:paraId="044585A7" w14:textId="77777777" w:rsidTr="0047030F">
        <w:tc>
          <w:tcPr>
            <w:tcW w:w="10944" w:type="dxa"/>
            <w:vAlign w:val="center"/>
          </w:tcPr>
          <w:p w14:paraId="3828BD78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البند</w:t>
            </w:r>
          </w:p>
        </w:tc>
        <w:tc>
          <w:tcPr>
            <w:tcW w:w="1080" w:type="dxa"/>
            <w:vAlign w:val="center"/>
          </w:tcPr>
          <w:p w14:paraId="0DF9705A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تم</w:t>
            </w:r>
          </w:p>
        </w:tc>
        <w:tc>
          <w:tcPr>
            <w:tcW w:w="1080" w:type="dxa"/>
            <w:vAlign w:val="center"/>
          </w:tcPr>
          <w:p w14:paraId="3557D24F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لم يتم</w:t>
            </w:r>
          </w:p>
        </w:tc>
        <w:tc>
          <w:tcPr>
            <w:tcW w:w="3168" w:type="dxa"/>
            <w:vAlign w:val="center"/>
          </w:tcPr>
          <w:p w14:paraId="052C0196" w14:textId="77777777" w:rsidR="00FA19B4" w:rsidRPr="0047030F" w:rsidRDefault="00622D0D" w:rsidP="0047030F">
            <w:pPr>
              <w:bidi/>
              <w:spacing w:line="252" w:lineRule="auto"/>
              <w:jc w:val="center"/>
              <w:rPr>
                <w:rFonts w:ascii="Simplified Arabic" w:hAnsi="Simplified Arabic" w:cs="Simplified Arabic"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Cs/>
                <w:szCs w:val="20"/>
                <w:rtl/>
              </w:rPr>
              <w:t>ملاحظة الطالب</w:t>
            </w:r>
          </w:p>
        </w:tc>
      </w:tr>
      <w:tr w:rsidR="00FA19B4" w:rsidRPr="0047030F" w14:paraId="188EE1E6" w14:textId="77777777" w:rsidTr="0047030F">
        <w:tc>
          <w:tcPr>
            <w:tcW w:w="10944" w:type="dxa"/>
            <w:vAlign w:val="center"/>
          </w:tcPr>
          <w:p w14:paraId="7A2506F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استكمال عمود التعديل/الصياغة المعدلة في جداول الدراسات السابقة.</w:t>
            </w:r>
          </w:p>
        </w:tc>
        <w:tc>
          <w:tcPr>
            <w:tcW w:w="1080" w:type="dxa"/>
            <w:vAlign w:val="center"/>
          </w:tcPr>
          <w:p w14:paraId="7988635A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0058743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5C6E8FC8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15EAA3F8" w14:textId="77777777" w:rsidTr="0047030F">
        <w:tc>
          <w:tcPr>
            <w:tcW w:w="10944" w:type="dxa"/>
            <w:vAlign w:val="center"/>
          </w:tcPr>
          <w:p w14:paraId="3C7CE82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استبدال الرموز الحرفية للأبعاد بأسماء واضحة ومباشرة.</w:t>
            </w:r>
          </w:p>
        </w:tc>
        <w:tc>
          <w:tcPr>
            <w:tcW w:w="1080" w:type="dxa"/>
            <w:vAlign w:val="center"/>
          </w:tcPr>
          <w:p w14:paraId="1EE40C5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2DB976F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3F14A42A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6EF5B946" w14:textId="77777777" w:rsidTr="0047030F">
        <w:tc>
          <w:tcPr>
            <w:tcW w:w="10944" w:type="dxa"/>
            <w:vAlign w:val="center"/>
          </w:tcPr>
          <w:p w14:paraId="65A12A3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فصل فقرات آليات التمويل عن فقرات الاستدامة المالية في المتغير التابع.</w:t>
            </w:r>
          </w:p>
        </w:tc>
        <w:tc>
          <w:tcPr>
            <w:tcW w:w="1080" w:type="dxa"/>
            <w:vAlign w:val="center"/>
          </w:tcPr>
          <w:p w14:paraId="72DDB15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3DE907E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2FE13D34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3859B5DF" w14:textId="77777777" w:rsidTr="0047030F">
        <w:tc>
          <w:tcPr>
            <w:tcW w:w="10944" w:type="dxa"/>
            <w:vAlign w:val="center"/>
          </w:tcPr>
          <w:p w14:paraId="63D193E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مراجعة التداخل بين إدارة الأداء في الشراكة وإدارة الأداء في المتغير التابع.</w:t>
            </w:r>
          </w:p>
        </w:tc>
        <w:tc>
          <w:tcPr>
            <w:tcW w:w="1080" w:type="dxa"/>
            <w:vAlign w:val="center"/>
          </w:tcPr>
          <w:p w14:paraId="7A24379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5A76B0C4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16683F86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506028A8" w14:textId="77777777" w:rsidTr="0047030F">
        <w:tc>
          <w:tcPr>
            <w:tcW w:w="10944" w:type="dxa"/>
            <w:vAlign w:val="center"/>
          </w:tcPr>
          <w:p w14:paraId="64A2FCB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توحيد نموذج التحكيم وأعمدة التقييم في جميع الأبعاد.</w:t>
            </w:r>
          </w:p>
        </w:tc>
        <w:tc>
          <w:tcPr>
            <w:tcW w:w="1080" w:type="dxa"/>
            <w:vAlign w:val="center"/>
          </w:tcPr>
          <w:p w14:paraId="5BC59DA5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473DA06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223E701F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34502E32" w14:textId="77777777" w:rsidTr="0047030F">
        <w:tc>
          <w:tcPr>
            <w:tcW w:w="10944" w:type="dxa"/>
            <w:vAlign w:val="center"/>
          </w:tcPr>
          <w:p w14:paraId="1404953E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إضافة سؤال فلترة يثبت علاقة المستجيب بالتفتيش البيئي أو بالشراكات.</w:t>
            </w:r>
          </w:p>
        </w:tc>
        <w:tc>
          <w:tcPr>
            <w:tcW w:w="1080" w:type="dxa"/>
            <w:vAlign w:val="center"/>
          </w:tcPr>
          <w:p w14:paraId="0EDE27B2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7BA585A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1805DF32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4ED51F2D" w14:textId="77777777" w:rsidTr="0047030F">
        <w:tc>
          <w:tcPr>
            <w:tcW w:w="10944" w:type="dxa"/>
            <w:vAlign w:val="center"/>
          </w:tcPr>
          <w:p w14:paraId="03091460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إضافة قائمة مراجع كاملة وموحدة في نهاية الأداة.</w:t>
            </w:r>
          </w:p>
        </w:tc>
        <w:tc>
          <w:tcPr>
            <w:tcW w:w="1080" w:type="dxa"/>
            <w:vAlign w:val="center"/>
          </w:tcPr>
          <w:p w14:paraId="0E5F630C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7C67715D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277501DC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  <w:tr w:rsidR="00FA19B4" w:rsidRPr="0047030F" w14:paraId="5F831711" w14:textId="77777777" w:rsidTr="0047030F">
        <w:tc>
          <w:tcPr>
            <w:tcW w:w="10944" w:type="dxa"/>
            <w:vAlign w:val="center"/>
          </w:tcPr>
          <w:p w14:paraId="6119DB6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b/>
                <w:bCs/>
                <w:szCs w:val="20"/>
              </w:rPr>
            </w:pPr>
            <w:r w:rsidRPr="0047030F">
              <w:rPr>
                <w:rFonts w:ascii="Simplified Arabic" w:hAnsi="Simplified Arabic" w:cs="Simplified Arabic"/>
                <w:b/>
                <w:bCs/>
                <w:szCs w:val="20"/>
                <w:rtl/>
              </w:rPr>
              <w:t>التأكد من ثبات ترميز مقياس ليكرت في النسخة الورقية والإلكترونية.</w:t>
            </w:r>
          </w:p>
        </w:tc>
        <w:tc>
          <w:tcPr>
            <w:tcW w:w="1080" w:type="dxa"/>
            <w:vAlign w:val="center"/>
          </w:tcPr>
          <w:p w14:paraId="380331B9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1080" w:type="dxa"/>
            <w:vAlign w:val="center"/>
          </w:tcPr>
          <w:p w14:paraId="6D97533B" w14:textId="77777777" w:rsidR="00FA19B4" w:rsidRPr="0047030F" w:rsidRDefault="00622D0D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  <w:r w:rsidRPr="0047030F">
              <w:rPr>
                <w:rFonts w:ascii="Segoe UI Symbol" w:hAnsi="Segoe UI Symbol" w:cs="Segoe UI Symbol" w:hint="cs"/>
                <w:szCs w:val="20"/>
                <w:rtl/>
              </w:rPr>
              <w:t>☐</w:t>
            </w:r>
          </w:p>
        </w:tc>
        <w:tc>
          <w:tcPr>
            <w:tcW w:w="3168" w:type="dxa"/>
            <w:vAlign w:val="center"/>
          </w:tcPr>
          <w:p w14:paraId="6160F425" w14:textId="77777777" w:rsidR="00FA19B4" w:rsidRPr="0047030F" w:rsidRDefault="00FA19B4" w:rsidP="0047030F">
            <w:pPr>
              <w:bidi/>
              <w:spacing w:line="252" w:lineRule="auto"/>
              <w:jc w:val="both"/>
              <w:rPr>
                <w:rFonts w:ascii="Simplified Arabic" w:hAnsi="Simplified Arabic" w:cs="Simplified Arabic"/>
                <w:szCs w:val="20"/>
              </w:rPr>
            </w:pPr>
          </w:p>
        </w:tc>
      </w:tr>
    </w:tbl>
    <w:p w14:paraId="4318C908" w14:textId="77777777" w:rsidR="00FA19B4" w:rsidRPr="0047030F" w:rsidRDefault="00622D0D" w:rsidP="0047030F">
      <w:pPr>
        <w:bidi/>
        <w:spacing w:after="80" w:line="252" w:lineRule="auto"/>
        <w:jc w:val="both"/>
        <w:rPr>
          <w:rFonts w:ascii="Simplified Arabic" w:hAnsi="Simplified Arabic" w:cs="Simplified Arabic"/>
          <w:szCs w:val="20"/>
        </w:rPr>
      </w:pPr>
      <w:r w:rsidRPr="0047030F">
        <w:rPr>
          <w:rFonts w:ascii="Simplified Arabic" w:hAnsi="Simplified Arabic" w:cs="Simplified Arabic"/>
          <w:b/>
          <w:szCs w:val="20"/>
          <w:rtl/>
        </w:rPr>
        <w:t xml:space="preserve">اعتماد المشرف بعد المراجعة الثانية:   </w:t>
      </w:r>
      <w:r w:rsidRPr="0047030F">
        <w:rPr>
          <w:rFonts w:ascii="Segoe UI Symbol" w:hAnsi="Segoe UI Symbol" w:cs="Segoe UI Symbol" w:hint="cs"/>
          <w:b/>
          <w:szCs w:val="20"/>
          <w:rtl/>
        </w:rPr>
        <w:t>☐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معتمد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للإرسال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للمحكمين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  </w:t>
      </w:r>
      <w:r w:rsidRPr="0047030F">
        <w:rPr>
          <w:rFonts w:ascii="Segoe UI Symbol" w:hAnsi="Segoe UI Symbol" w:cs="Segoe UI Symbol" w:hint="cs"/>
          <w:b/>
          <w:szCs w:val="20"/>
          <w:rtl/>
        </w:rPr>
        <w:t>☐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يحتاج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إلى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مراجعة</w:t>
      </w:r>
      <w:r w:rsidRPr="0047030F">
        <w:rPr>
          <w:rFonts w:ascii="Simplified Arabic" w:hAnsi="Simplified Arabic" w:cs="Simplified Arabic"/>
          <w:b/>
          <w:szCs w:val="20"/>
          <w:rtl/>
        </w:rPr>
        <w:t xml:space="preserve"> </w:t>
      </w:r>
      <w:r w:rsidRPr="0047030F">
        <w:rPr>
          <w:rFonts w:ascii="Simplified Arabic" w:hAnsi="Simplified Arabic" w:cs="Simplified Arabic" w:hint="cs"/>
          <w:b/>
          <w:szCs w:val="20"/>
          <w:rtl/>
        </w:rPr>
        <w:t>إضافية</w:t>
      </w:r>
    </w:p>
    <w:p w14:paraId="28E51A4A" w14:textId="77777777" w:rsidR="00FA19B4" w:rsidRPr="0047030F" w:rsidRDefault="00622D0D" w:rsidP="0047030F">
      <w:pPr>
        <w:bidi/>
        <w:jc w:val="both"/>
        <w:rPr>
          <w:rFonts w:ascii="Simplified Arabic" w:hAnsi="Simplified Arabic" w:cs="Simplified Arabic"/>
          <w:szCs w:val="20"/>
        </w:rPr>
      </w:pPr>
      <w:r w:rsidRPr="0047030F">
        <w:rPr>
          <w:rFonts w:ascii="Simplified Arabic" w:hAnsi="Simplified Arabic" w:cs="Simplified Arabic"/>
          <w:szCs w:val="20"/>
        </w:rPr>
        <w:br w:type="page"/>
      </w:r>
    </w:p>
    <w:sectPr w:rsidR="00FA19B4" w:rsidRPr="0047030F" w:rsidSect="00034616">
      <w:pgSz w:w="16834" w:h="11909" w:orient="landscape"/>
      <w:pgMar w:top="504" w:right="504" w:bottom="504" w:left="5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E321E" w14:textId="77777777" w:rsidR="00A16BBB" w:rsidRDefault="00A16BBB">
      <w:pPr>
        <w:spacing w:after="0" w:line="240" w:lineRule="auto"/>
      </w:pPr>
      <w:r>
        <w:separator/>
      </w:r>
    </w:p>
  </w:endnote>
  <w:endnote w:type="continuationSeparator" w:id="0">
    <w:p w14:paraId="5C91FC01" w14:textId="77777777" w:rsidR="00A16BBB" w:rsidRDefault="00A16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ECE80" w14:textId="77777777" w:rsidR="00A16BBB" w:rsidRDefault="00A16BBB">
      <w:pPr>
        <w:spacing w:after="0" w:line="240" w:lineRule="auto"/>
      </w:pPr>
      <w:r>
        <w:separator/>
      </w:r>
    </w:p>
  </w:footnote>
  <w:footnote w:type="continuationSeparator" w:id="0">
    <w:p w14:paraId="1197E5C0" w14:textId="77777777" w:rsidR="00A16BBB" w:rsidRDefault="00A16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147113">
    <w:abstractNumId w:val="8"/>
  </w:num>
  <w:num w:numId="2" w16cid:durableId="651564810">
    <w:abstractNumId w:val="6"/>
  </w:num>
  <w:num w:numId="3" w16cid:durableId="1944192730">
    <w:abstractNumId w:val="5"/>
  </w:num>
  <w:num w:numId="4" w16cid:durableId="421419608">
    <w:abstractNumId w:val="4"/>
  </w:num>
  <w:num w:numId="5" w16cid:durableId="1729377492">
    <w:abstractNumId w:val="7"/>
  </w:num>
  <w:num w:numId="6" w16cid:durableId="2107652993">
    <w:abstractNumId w:val="3"/>
  </w:num>
  <w:num w:numId="7" w16cid:durableId="1215964344">
    <w:abstractNumId w:val="2"/>
  </w:num>
  <w:num w:numId="8" w16cid:durableId="1193231395">
    <w:abstractNumId w:val="1"/>
  </w:num>
  <w:num w:numId="9" w16cid:durableId="811748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sDQ3MrO0tDAztbRQ0lEKTi0uzszPAykwrAUAD1qWbywAAAA="/>
  </w:docVars>
  <w:rsids>
    <w:rsidRoot w:val="00B47730"/>
    <w:rsid w:val="00034616"/>
    <w:rsid w:val="0006063C"/>
    <w:rsid w:val="0015074B"/>
    <w:rsid w:val="0029639D"/>
    <w:rsid w:val="00300968"/>
    <w:rsid w:val="00326F90"/>
    <w:rsid w:val="0047030F"/>
    <w:rsid w:val="004B3750"/>
    <w:rsid w:val="00622D0D"/>
    <w:rsid w:val="00650F0C"/>
    <w:rsid w:val="00653B5D"/>
    <w:rsid w:val="00A16BBB"/>
    <w:rsid w:val="00AA1D8D"/>
    <w:rsid w:val="00B47730"/>
    <w:rsid w:val="00CB0664"/>
    <w:rsid w:val="00FA19B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71CA09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7163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2</cp:revision>
  <dcterms:created xsi:type="dcterms:W3CDTF">2026-07-01T07:55:00Z</dcterms:created>
  <dcterms:modified xsi:type="dcterms:W3CDTF">2026-07-01T07:55:00Z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1451775614</vt:i4>
  </property>
</Properties>
</file>