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88AE" w14:textId="285C3CE8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20966BA7" w14:textId="008365E0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Department of</w:t>
      </w:r>
      <w:r w:rsidR="0041527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 projects management</w:t>
      </w:r>
    </w:p>
    <w:p w14:paraId="0544D210" w14:textId="1ACEFC18" w:rsidR="009125CE" w:rsidRP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6412528" w14:textId="010A6449" w:rsidR="0041527E" w:rsidRPr="006A3D41" w:rsidRDefault="0041527E" w:rsidP="0041527E">
      <w:pPr>
        <w:jc w:val="center"/>
      </w:pPr>
      <w:r w:rsidRPr="006A3D41">
        <w:rPr>
          <w:b/>
          <w:bCs/>
        </w:rPr>
        <w:t>Cost Estimation in Project Management: Addressing Challenges, Risks, and Solutions in Saudi Arabian Infrastructure Projects</w:t>
      </w:r>
    </w:p>
    <w:p w14:paraId="4902DBD3" w14:textId="2C3B29E7" w:rsidR="009125CE" w:rsidRPr="0041527E" w:rsidRDefault="009125CE" w:rsidP="0041527E">
      <w:pPr>
        <w:tabs>
          <w:tab w:val="left" w:pos="5292"/>
        </w:tabs>
        <w:jc w:val="center"/>
        <w:rPr>
          <w:rFonts w:ascii="Sakkal Majalla" w:hAnsi="Sakkal Majalla" w:cs="Sakkal Majalla"/>
          <w:sz w:val="28"/>
          <w:szCs w:val="28"/>
        </w:rPr>
      </w:pPr>
    </w:p>
    <w:p w14:paraId="692F30FE" w14:textId="5277796F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</w:p>
    <w:p w14:paraId="0EAD9CF2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55C6339D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08C14D5F" w:rsidR="009125CE" w:rsidRPr="009125CE" w:rsidRDefault="0041527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6A3D41">
        <w:t>Sultan Gulam</w:t>
      </w:r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56DCC5CC" w14:textId="77777777" w:rsidR="0041527E" w:rsidRDefault="0041527E" w:rsidP="0041527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Dr. Alfaisal Abdelhameed</w:t>
      </w:r>
    </w:p>
    <w:p w14:paraId="6E9D129A" w14:textId="77777777" w:rsidR="0041527E" w:rsidRPr="009125CE" w:rsidRDefault="0041527E" w:rsidP="0041527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Dr. Fayz Jrad</w:t>
      </w:r>
    </w:p>
    <w:p w14:paraId="0BC0F18B" w14:textId="77777777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0C2BD801" w14:textId="77777777" w:rsidR="0041527E" w:rsidRDefault="0041527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AE6749" w14:textId="77777777" w:rsidR="0041527E" w:rsidRDefault="0041527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E9C1648" w14:textId="77777777" w:rsidR="0041527E" w:rsidRPr="0041527E" w:rsidRDefault="0041527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3EBD5CA3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Year:202</w:t>
      </w:r>
      <w:r w:rsidR="004163C7">
        <w:rPr>
          <w:rFonts w:ascii="Sakkal Majalla" w:hAnsi="Sakkal Majalla" w:cs="Sakkal Majalla"/>
          <w:b/>
          <w:bCs/>
          <w:sz w:val="28"/>
          <w:szCs w:val="28"/>
        </w:rPr>
        <w:t>4</w:t>
      </w:r>
    </w:p>
    <w:p w14:paraId="3E1984EF" w14:textId="77777777" w:rsidR="00E37A4D" w:rsidRDefault="00E37A4D" w:rsidP="00E37A4D">
      <w:pPr>
        <w:bidi w:val="0"/>
        <w:spacing w:after="0" w:line="240" w:lineRule="auto"/>
        <w:rPr>
          <w:rFonts w:ascii="Sakkal Majalla" w:hAnsi="Sakkal Majalla" w:cs="Sakkal Majalla"/>
          <w:b/>
          <w:bCs/>
          <w:sz w:val="28"/>
          <w:szCs w:val="28"/>
        </w:rPr>
      </w:pPr>
    </w:p>
    <w:p w14:paraId="7D757935" w14:textId="77777777" w:rsidR="00CD5D2D" w:rsidRDefault="00CD5D2D" w:rsidP="00CD5D2D">
      <w:pPr>
        <w:bidi w:val="0"/>
        <w:spacing w:after="0" w:line="240" w:lineRule="auto"/>
      </w:pPr>
    </w:p>
    <w:p w14:paraId="4967531C" w14:textId="77777777" w:rsidR="00E37A4D" w:rsidRDefault="00E37A4D" w:rsidP="00E37A4D">
      <w:pPr>
        <w:bidi w:val="0"/>
        <w:spacing w:after="0" w:line="240" w:lineRule="auto"/>
      </w:pPr>
    </w:p>
    <w:p w14:paraId="51A6F228" w14:textId="77777777" w:rsidR="00E37A4D" w:rsidRDefault="00E37A4D" w:rsidP="00E37A4D">
      <w:pPr>
        <w:bidi w:val="0"/>
        <w:spacing w:after="0" w:line="240" w:lineRule="auto"/>
      </w:pPr>
    </w:p>
    <w:p w14:paraId="26239ACF" w14:textId="77777777" w:rsidR="00E37A4D" w:rsidRDefault="00E37A4D" w:rsidP="00E37A4D">
      <w:pPr>
        <w:bidi w:val="0"/>
        <w:spacing w:after="0" w:line="240" w:lineRule="auto"/>
        <w:rPr>
          <w:b/>
          <w:bCs/>
        </w:rPr>
      </w:pPr>
    </w:p>
    <w:p w14:paraId="7894B4A5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lastRenderedPageBreak/>
        <w:t>Midocean University</w:t>
      </w:r>
    </w:p>
    <w:p w14:paraId="7BE30723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College of Management</w:t>
      </w:r>
    </w:p>
    <w:p w14:paraId="4F95CAD1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Department of Projects Management</w:t>
      </w:r>
    </w:p>
    <w:p w14:paraId="40928C91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Cost Estimation in Project Management: Addressing Challenges, Risks, and Solutions in Saudi Arabian Infrastructure Projects</w:t>
      </w:r>
    </w:p>
    <w:p w14:paraId="51276BF2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Prepared by: Sultan Gulam</w:t>
      </w:r>
    </w:p>
    <w:p w14:paraId="7064F183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Supervised by: Dr. Alfaisal Abdelhameed Dr. Fayz Jrad</w:t>
      </w:r>
    </w:p>
    <w:p w14:paraId="6B921D2F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Year: 2024</w:t>
      </w:r>
    </w:p>
    <w:p w14:paraId="5F7671CF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pict w14:anchorId="47E3D55E">
          <v:rect id="_x0000_i1043" style="width:0;height:1.5pt" o:hralign="center" o:hrstd="t" o:hr="t" fillcolor="#a0a0a0" stroked="f"/>
        </w:pict>
      </w:r>
    </w:p>
    <w:p w14:paraId="5DF8F507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Chapter One: Introduction and Theoretical Framework</w:t>
      </w:r>
    </w:p>
    <w:p w14:paraId="32DCFDC9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ind w:left="720"/>
      </w:pPr>
      <w:r w:rsidRPr="003E3729">
        <w:t>This study examines the challenges in cost estimation for infrastructure projects in Saudi Arabia, with a focus on how outdated pricing models, insufficient stakeholder engagement, and inadequate risk management contribute to inefficiencies. Through case studies and real-life scenarios, the research identifies practical risk mitigation strategies and solutions to improve project outcomes. Recommendations align with Saudi Arabia’s Vision 2030, emphasizing project efficiency, stakeholder satisfaction, and financial sustainability.</w:t>
      </w:r>
    </w:p>
    <w:p w14:paraId="6300E59A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Theoretical Framework:</w:t>
      </w:r>
    </w:p>
    <w:p w14:paraId="34754021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1. Defining Key Concepts</w:t>
      </w:r>
    </w:p>
    <w:p w14:paraId="1129FD25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ind w:left="720"/>
      </w:pPr>
      <w:r w:rsidRPr="003E3729">
        <w:rPr>
          <w:b/>
          <w:bCs/>
        </w:rPr>
        <w:t xml:space="preserve">Cost Estimation: </w:t>
      </w:r>
      <w:r w:rsidRPr="003E3729">
        <w:t>Cost estimation involves predicting the resources, time, and financial investment required to complete a project. This includes detailed calculations and modeling to ensure projects are delivered within budget and scope.</w:t>
      </w:r>
    </w:p>
    <w:p w14:paraId="12E12F0A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ind w:left="720"/>
      </w:pPr>
      <w:r w:rsidRPr="003E3729">
        <w:rPr>
          <w:b/>
          <w:bCs/>
        </w:rPr>
        <w:t>Infrastructure Projects:</w:t>
      </w:r>
      <w:r w:rsidRPr="003E3729">
        <w:t xml:space="preserve"> These refer to large-scale public works that include transportation, utilities, and energy projects vital for economic development.</w:t>
      </w:r>
    </w:p>
    <w:p w14:paraId="63D647C1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ind w:left="720"/>
      </w:pPr>
      <w:r w:rsidRPr="003E3729">
        <w:rPr>
          <w:b/>
          <w:bCs/>
        </w:rPr>
        <w:t xml:space="preserve">Challenges in Cost Estimation: </w:t>
      </w:r>
      <w:r w:rsidRPr="003E3729">
        <w:t>Challenges arise from inaccurate pricing models, stakeholder exclusions, and limited risk management practices.</w:t>
      </w:r>
    </w:p>
    <w:p w14:paraId="2E8BAF00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2. Risk Overview</w:t>
      </w:r>
    </w:p>
    <w:p w14:paraId="3FC55E74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ind w:left="720"/>
      </w:pPr>
      <w:r w:rsidRPr="003E3729">
        <w:rPr>
          <w:b/>
          <w:bCs/>
        </w:rPr>
        <w:t>Risk Definition:</w:t>
      </w:r>
      <w:r w:rsidRPr="003E3729">
        <w:t xml:space="preserve"> A risk is an uncertain event or condition that, if it occurs, can have a positive or negative impact on project objectives.</w:t>
      </w:r>
    </w:p>
    <w:p w14:paraId="11C55E9C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Types of Risks:</w:t>
      </w:r>
    </w:p>
    <w:p w14:paraId="5BCB51AC" w14:textId="77777777" w:rsidR="003E3729" w:rsidRPr="003E3729" w:rsidRDefault="003E3729" w:rsidP="003E3729">
      <w:pPr>
        <w:numPr>
          <w:ilvl w:val="0"/>
          <w:numId w:val="3"/>
        </w:numPr>
        <w:shd w:val="clear" w:color="auto" w:fill="FFFFFF"/>
        <w:bidi w:val="0"/>
        <w:spacing w:after="0" w:line="240" w:lineRule="auto"/>
      </w:pPr>
      <w:r w:rsidRPr="003E3729">
        <w:t>Financial Risks: Budget overruns, inflation, and price volatility.</w:t>
      </w:r>
    </w:p>
    <w:p w14:paraId="22092CDF" w14:textId="77777777" w:rsidR="003E3729" w:rsidRPr="003E3729" w:rsidRDefault="003E3729" w:rsidP="003E3729">
      <w:pPr>
        <w:numPr>
          <w:ilvl w:val="0"/>
          <w:numId w:val="3"/>
        </w:numPr>
        <w:shd w:val="clear" w:color="auto" w:fill="FFFFFF"/>
        <w:bidi w:val="0"/>
        <w:spacing w:after="0" w:line="240" w:lineRule="auto"/>
      </w:pPr>
      <w:r w:rsidRPr="003E3729">
        <w:t>Operational Risks: Delays, resource shortages, and design flaws.</w:t>
      </w:r>
    </w:p>
    <w:p w14:paraId="550B2461" w14:textId="77777777" w:rsidR="003E3729" w:rsidRPr="003E3729" w:rsidRDefault="003E3729" w:rsidP="003E3729">
      <w:pPr>
        <w:numPr>
          <w:ilvl w:val="0"/>
          <w:numId w:val="3"/>
        </w:numPr>
        <w:shd w:val="clear" w:color="auto" w:fill="FFFFFF"/>
        <w:bidi w:val="0"/>
        <w:spacing w:after="0" w:line="240" w:lineRule="auto"/>
      </w:pPr>
      <w:r w:rsidRPr="003E3729">
        <w:t>External Risks: Regulatory changes, natural disasters, and market instability.</w:t>
      </w:r>
    </w:p>
    <w:p w14:paraId="277F6E03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Classification of Risks by Project Type:</w:t>
      </w:r>
    </w:p>
    <w:p w14:paraId="5EAC3B96" w14:textId="77777777" w:rsidR="003E3729" w:rsidRPr="003E3729" w:rsidRDefault="003E3729" w:rsidP="003E3729">
      <w:pPr>
        <w:numPr>
          <w:ilvl w:val="0"/>
          <w:numId w:val="4"/>
        </w:numPr>
        <w:shd w:val="clear" w:color="auto" w:fill="FFFFFF"/>
        <w:bidi w:val="0"/>
        <w:spacing w:after="0" w:line="240" w:lineRule="auto"/>
      </w:pPr>
      <w:r w:rsidRPr="003E3729">
        <w:t>Transportation Projects: Typically face delays due to procurement and weather conditions.</w:t>
      </w:r>
    </w:p>
    <w:p w14:paraId="1076C2CF" w14:textId="77777777" w:rsidR="003E3729" w:rsidRPr="003E3729" w:rsidRDefault="003E3729" w:rsidP="003E3729">
      <w:pPr>
        <w:numPr>
          <w:ilvl w:val="0"/>
          <w:numId w:val="4"/>
        </w:numPr>
        <w:shd w:val="clear" w:color="auto" w:fill="FFFFFF"/>
        <w:bidi w:val="0"/>
        <w:spacing w:after="0" w:line="240" w:lineRule="auto"/>
      </w:pPr>
      <w:r w:rsidRPr="003E3729">
        <w:t>Energy Projects: More susceptible to equipment and material price volatility.</w:t>
      </w:r>
    </w:p>
    <w:p w14:paraId="371C4675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Sources of Risk:</w:t>
      </w:r>
    </w:p>
    <w:p w14:paraId="52C7C660" w14:textId="77777777" w:rsidR="003E3729" w:rsidRPr="003E3729" w:rsidRDefault="003E3729" w:rsidP="003E3729">
      <w:pPr>
        <w:numPr>
          <w:ilvl w:val="0"/>
          <w:numId w:val="5"/>
        </w:numPr>
        <w:shd w:val="clear" w:color="auto" w:fill="FFFFFF"/>
        <w:bidi w:val="0"/>
        <w:spacing w:after="0" w:line="240" w:lineRule="auto"/>
      </w:pPr>
      <w:r w:rsidRPr="003E3729">
        <w:t>Internal sources such as design errors and mismanagement.</w:t>
      </w:r>
    </w:p>
    <w:p w14:paraId="551242D7" w14:textId="77777777" w:rsidR="003E3729" w:rsidRPr="003E3729" w:rsidRDefault="003E3729" w:rsidP="003E3729">
      <w:pPr>
        <w:numPr>
          <w:ilvl w:val="0"/>
          <w:numId w:val="5"/>
        </w:numPr>
        <w:shd w:val="clear" w:color="auto" w:fill="FFFFFF"/>
        <w:bidi w:val="0"/>
        <w:spacing w:after="0" w:line="240" w:lineRule="auto"/>
      </w:pPr>
      <w:r w:rsidRPr="003E3729">
        <w:t>External sources like legal challenges and geopolitical factors.</w:t>
      </w:r>
    </w:p>
    <w:p w14:paraId="389B1683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3. Steps in Risk Management:</w:t>
      </w:r>
    </w:p>
    <w:p w14:paraId="30BB625A" w14:textId="77777777" w:rsidR="003E3729" w:rsidRPr="003E3729" w:rsidRDefault="003E3729" w:rsidP="003E3729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</w:pPr>
      <w:r w:rsidRPr="003E3729">
        <w:t>Risk Identification: Determining potential events that may disrupt the project.</w:t>
      </w:r>
    </w:p>
    <w:p w14:paraId="1FB8EA78" w14:textId="77777777" w:rsidR="003E3729" w:rsidRPr="003E3729" w:rsidRDefault="003E3729" w:rsidP="003E3729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</w:pPr>
      <w:r w:rsidRPr="003E3729">
        <w:t>Risk Analysis: Evaluating the likelihood and impact of risks using qualitative and quantitative methods.</w:t>
      </w:r>
    </w:p>
    <w:p w14:paraId="1407B3EB" w14:textId="77777777" w:rsidR="003E3729" w:rsidRPr="003E3729" w:rsidRDefault="003E3729" w:rsidP="003E3729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</w:pPr>
      <w:r w:rsidRPr="003E3729">
        <w:t>Risk Response Planning: Developing strategies to mitigate, transfer, accept, or avoid risks.</w:t>
      </w:r>
    </w:p>
    <w:p w14:paraId="068E0C4D" w14:textId="77777777" w:rsidR="003E3729" w:rsidRPr="003E3729" w:rsidRDefault="003E3729" w:rsidP="003E3729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</w:pPr>
      <w:r w:rsidRPr="003E3729">
        <w:t>Risk Monitoring and Control: Continuously tracking and updating risk responses throughout the project lifecycle.</w:t>
      </w:r>
    </w:p>
    <w:p w14:paraId="127A95DB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pict w14:anchorId="0A7D5663">
          <v:rect id="_x0000_i1044" style="width:0;height:1.5pt" o:hralign="center" o:hrstd="t" o:hr="t" fillcolor="#a0a0a0" stroked="f"/>
        </w:pict>
      </w:r>
    </w:p>
    <w:p w14:paraId="4BEC48B9" w14:textId="77777777" w:rsid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</w:p>
    <w:p w14:paraId="422B4579" w14:textId="77777777" w:rsid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</w:p>
    <w:p w14:paraId="0295BE76" w14:textId="77777777" w:rsidR="00BB0B7C" w:rsidRDefault="00BB0B7C" w:rsidP="00BB0B7C">
      <w:pPr>
        <w:shd w:val="clear" w:color="auto" w:fill="FFFFFF"/>
        <w:bidi w:val="0"/>
        <w:spacing w:after="0" w:line="240" w:lineRule="auto"/>
        <w:rPr>
          <w:b/>
          <w:bCs/>
        </w:rPr>
      </w:pPr>
    </w:p>
    <w:p w14:paraId="71450C82" w14:textId="77777777" w:rsid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</w:p>
    <w:p w14:paraId="252489F3" w14:textId="77777777" w:rsid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</w:p>
    <w:p w14:paraId="03D3A8A9" w14:textId="00FDD6C2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  <w:sz w:val="28"/>
          <w:szCs w:val="28"/>
        </w:rPr>
        <w:lastRenderedPageBreak/>
        <w:t>Chapter Two:</w:t>
      </w:r>
      <w:r w:rsidRPr="003E3729">
        <w:rPr>
          <w:b/>
          <w:bCs/>
        </w:rPr>
        <w:t xml:space="preserve"> Review of Related Studies</w:t>
      </w:r>
    </w:p>
    <w:p w14:paraId="69FA146A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ind w:left="360"/>
      </w:pPr>
      <w:r w:rsidRPr="003E3729">
        <w:t>The literature review explores various studies to contextualize the challenges and innovations in cost estimation within Saudi Arabian infrastructure projects.</w:t>
      </w:r>
    </w:p>
    <w:p w14:paraId="71E129FE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</w:pPr>
    </w:p>
    <w:p w14:paraId="39EE091D" w14:textId="77777777" w:rsidR="003E3729" w:rsidRPr="003E3729" w:rsidRDefault="003E3729" w:rsidP="003E3729">
      <w:pPr>
        <w:numPr>
          <w:ilvl w:val="0"/>
          <w:numId w:val="6"/>
        </w:num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Outdated Pricing Systems</w:t>
      </w:r>
    </w:p>
    <w:p w14:paraId="7BE078DF" w14:textId="77777777" w:rsidR="003E3729" w:rsidRPr="003E3729" w:rsidRDefault="003E3729" w:rsidP="003E3729">
      <w:pPr>
        <w:numPr>
          <w:ilvl w:val="0"/>
          <w:numId w:val="7"/>
        </w:numPr>
        <w:shd w:val="clear" w:color="auto" w:fill="FFFFFF"/>
        <w:tabs>
          <w:tab w:val="num" w:pos="720"/>
        </w:tabs>
        <w:bidi w:val="0"/>
        <w:spacing w:after="0" w:line="240" w:lineRule="auto"/>
      </w:pPr>
      <w:r w:rsidRPr="003E3729">
        <w:t>A study by Al-Omran (2020) showed that reliance on outdated databases led to consistent cost overruns in urban development projects in Riyadh. For example, a metro expansion exceeded its budget by 25% due to inaccuracies in steel price forecasts.</w:t>
      </w:r>
    </w:p>
    <w:p w14:paraId="6D89ECF5" w14:textId="77777777" w:rsidR="003E3729" w:rsidRPr="003E3729" w:rsidRDefault="003E3729" w:rsidP="003E3729">
      <w:pPr>
        <w:numPr>
          <w:ilvl w:val="0"/>
          <w:numId w:val="8"/>
        </w:num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Stakeholder Engagement</w:t>
      </w:r>
    </w:p>
    <w:p w14:paraId="5F546D36" w14:textId="77777777" w:rsidR="003E3729" w:rsidRPr="003E3729" w:rsidRDefault="003E3729" w:rsidP="003E3729">
      <w:pPr>
        <w:numPr>
          <w:ilvl w:val="0"/>
          <w:numId w:val="9"/>
        </w:numPr>
        <w:shd w:val="clear" w:color="auto" w:fill="FFFFFF"/>
        <w:tabs>
          <w:tab w:val="num" w:pos="720"/>
        </w:tabs>
        <w:bidi w:val="0"/>
        <w:spacing w:after="0" w:line="240" w:lineRule="auto"/>
      </w:pPr>
      <w:r w:rsidRPr="003E3729">
        <w:t>Research by Bader and Fahd (2019) emphasized the importance of early stakeholder involvement. A smart city project in Jeddah reported an 18% reduction in delays when collaborative planning workshops were implemented.</w:t>
      </w:r>
    </w:p>
    <w:p w14:paraId="44EE9459" w14:textId="77777777" w:rsidR="003E3729" w:rsidRPr="003E3729" w:rsidRDefault="003E3729" w:rsidP="003E3729">
      <w:pPr>
        <w:numPr>
          <w:ilvl w:val="0"/>
          <w:numId w:val="10"/>
        </w:num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t>Risk Management Techniques</w:t>
      </w:r>
    </w:p>
    <w:p w14:paraId="0FBDEB1C" w14:textId="77777777" w:rsidR="003E3729" w:rsidRPr="003E3729" w:rsidRDefault="003E3729" w:rsidP="003E3729">
      <w:pPr>
        <w:numPr>
          <w:ilvl w:val="0"/>
          <w:numId w:val="11"/>
        </w:numPr>
        <w:shd w:val="clear" w:color="auto" w:fill="FFFFFF"/>
        <w:tabs>
          <w:tab w:val="num" w:pos="720"/>
        </w:tabs>
        <w:bidi w:val="0"/>
        <w:spacing w:after="0" w:line="240" w:lineRule="auto"/>
      </w:pPr>
      <w:r w:rsidRPr="003E3729">
        <w:t>A comparative analysis by Kamal et al. (2021) highlighted Monte Carlo simulations and parametric models as effective tools for reducing uncertainty in cost estimation.</w:t>
      </w:r>
    </w:p>
    <w:p w14:paraId="4CD777ED" w14:textId="77777777" w:rsidR="003E3729" w:rsidRPr="003E3729" w:rsidRDefault="003E3729" w:rsidP="003E3729">
      <w:pPr>
        <w:shd w:val="clear" w:color="auto" w:fill="FFFFFF"/>
        <w:bidi w:val="0"/>
        <w:spacing w:after="0" w:line="240" w:lineRule="auto"/>
        <w:rPr>
          <w:b/>
          <w:bCs/>
        </w:rPr>
      </w:pPr>
      <w:r w:rsidRPr="003E3729">
        <w:rPr>
          <w:b/>
          <w:bCs/>
        </w:rPr>
        <w:pict w14:anchorId="0567C246">
          <v:rect id="_x0000_i1045" style="width:0;height:1.5pt" o:hralign="center" o:hrstd="t" o:hr="t" fillcolor="#a0a0a0" stroked="f"/>
        </w:pict>
      </w:r>
    </w:p>
    <w:p w14:paraId="2DCF658C" w14:textId="381C9948" w:rsidR="00E37A4D" w:rsidRPr="003E3729" w:rsidRDefault="00E37A4D" w:rsidP="003E3729">
      <w:pPr>
        <w:shd w:val="clear" w:color="auto" w:fill="FFFFFF"/>
        <w:bidi w:val="0"/>
        <w:spacing w:after="0" w:line="240" w:lineRule="auto"/>
        <w:rPr>
          <w:b/>
          <w:bCs/>
        </w:rPr>
      </w:pPr>
    </w:p>
    <w:sectPr w:rsidR="00E37A4D" w:rsidRPr="003E3729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94920" w14:textId="77777777" w:rsidR="003459E1" w:rsidRDefault="003459E1" w:rsidP="009125CE">
      <w:pPr>
        <w:spacing w:after="0" w:line="240" w:lineRule="auto"/>
      </w:pPr>
      <w:r>
        <w:separator/>
      </w:r>
    </w:p>
  </w:endnote>
  <w:endnote w:type="continuationSeparator" w:id="0">
    <w:p w14:paraId="6338A693" w14:textId="77777777" w:rsidR="003459E1" w:rsidRDefault="003459E1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E3C8D" w14:textId="77777777" w:rsidR="003459E1" w:rsidRDefault="003459E1" w:rsidP="009125CE">
      <w:pPr>
        <w:spacing w:after="0" w:line="240" w:lineRule="auto"/>
      </w:pPr>
      <w:r>
        <w:separator/>
      </w:r>
    </w:p>
  </w:footnote>
  <w:footnote w:type="continuationSeparator" w:id="0">
    <w:p w14:paraId="3C0E9327" w14:textId="77777777" w:rsidR="003459E1" w:rsidRDefault="003459E1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50384"/>
    <w:multiLevelType w:val="hybridMultilevel"/>
    <w:tmpl w:val="99C6B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F4C6E"/>
    <w:multiLevelType w:val="multilevel"/>
    <w:tmpl w:val="C256FCF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C8614D"/>
    <w:multiLevelType w:val="multilevel"/>
    <w:tmpl w:val="44D8A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36643E"/>
    <w:multiLevelType w:val="multilevel"/>
    <w:tmpl w:val="FB9A09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EB6F35"/>
    <w:multiLevelType w:val="multilevel"/>
    <w:tmpl w:val="342C01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E753F2"/>
    <w:multiLevelType w:val="multilevel"/>
    <w:tmpl w:val="7226AC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BF0819"/>
    <w:multiLevelType w:val="multilevel"/>
    <w:tmpl w:val="9FCC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5A7390"/>
    <w:multiLevelType w:val="multilevel"/>
    <w:tmpl w:val="595A62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BA42FE"/>
    <w:multiLevelType w:val="multilevel"/>
    <w:tmpl w:val="7F06A4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D91FD6"/>
    <w:multiLevelType w:val="multilevel"/>
    <w:tmpl w:val="2750A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752A2F"/>
    <w:multiLevelType w:val="hybridMultilevel"/>
    <w:tmpl w:val="8ACE6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3476D"/>
    <w:multiLevelType w:val="multilevel"/>
    <w:tmpl w:val="B29820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61890440"/>
    <w:multiLevelType w:val="multilevel"/>
    <w:tmpl w:val="5D40FE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563050"/>
    <w:multiLevelType w:val="multilevel"/>
    <w:tmpl w:val="436CE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543267">
    <w:abstractNumId w:val="11"/>
  </w:num>
  <w:num w:numId="2" w16cid:durableId="1095443599">
    <w:abstractNumId w:val="0"/>
  </w:num>
  <w:num w:numId="3" w16cid:durableId="1795709750">
    <w:abstractNumId w:val="2"/>
  </w:num>
  <w:num w:numId="4" w16cid:durableId="1265963943">
    <w:abstractNumId w:val="13"/>
  </w:num>
  <w:num w:numId="5" w16cid:durableId="1283419157">
    <w:abstractNumId w:val="6"/>
  </w:num>
  <w:num w:numId="6" w16cid:durableId="788937747">
    <w:abstractNumId w:val="9"/>
  </w:num>
  <w:num w:numId="7" w16cid:durableId="78064170">
    <w:abstractNumId w:val="12"/>
  </w:num>
  <w:num w:numId="8" w16cid:durableId="1035928409">
    <w:abstractNumId w:val="8"/>
  </w:num>
  <w:num w:numId="9" w16cid:durableId="799811329">
    <w:abstractNumId w:val="1"/>
  </w:num>
  <w:num w:numId="10" w16cid:durableId="1447264035">
    <w:abstractNumId w:val="3"/>
  </w:num>
  <w:num w:numId="11" w16cid:durableId="812137917">
    <w:abstractNumId w:val="4"/>
  </w:num>
  <w:num w:numId="12" w16cid:durableId="946426349">
    <w:abstractNumId w:val="7"/>
  </w:num>
  <w:num w:numId="13" w16cid:durableId="1706516371">
    <w:abstractNumId w:val="5"/>
  </w:num>
  <w:num w:numId="14" w16cid:durableId="19476187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90F21"/>
    <w:rsid w:val="000F44B4"/>
    <w:rsid w:val="001902DB"/>
    <w:rsid w:val="001C2162"/>
    <w:rsid w:val="00303971"/>
    <w:rsid w:val="003459E1"/>
    <w:rsid w:val="003E3729"/>
    <w:rsid w:val="0041527E"/>
    <w:rsid w:val="004163C7"/>
    <w:rsid w:val="00477D79"/>
    <w:rsid w:val="0052378A"/>
    <w:rsid w:val="005608B9"/>
    <w:rsid w:val="006878B6"/>
    <w:rsid w:val="006948DE"/>
    <w:rsid w:val="007B0E54"/>
    <w:rsid w:val="007E3A20"/>
    <w:rsid w:val="00877AAC"/>
    <w:rsid w:val="00896FE4"/>
    <w:rsid w:val="008F1EAE"/>
    <w:rsid w:val="009125CE"/>
    <w:rsid w:val="00946F5F"/>
    <w:rsid w:val="009B6888"/>
    <w:rsid w:val="009C0161"/>
    <w:rsid w:val="009D108D"/>
    <w:rsid w:val="009E1436"/>
    <w:rsid w:val="009E5668"/>
    <w:rsid w:val="00AA79E9"/>
    <w:rsid w:val="00AB0A70"/>
    <w:rsid w:val="00B3015C"/>
    <w:rsid w:val="00B63B0F"/>
    <w:rsid w:val="00B7678A"/>
    <w:rsid w:val="00BB0B7C"/>
    <w:rsid w:val="00BC094B"/>
    <w:rsid w:val="00C16A9C"/>
    <w:rsid w:val="00C72744"/>
    <w:rsid w:val="00CB2A44"/>
    <w:rsid w:val="00CD5D2D"/>
    <w:rsid w:val="00D04F62"/>
    <w:rsid w:val="00D22171"/>
    <w:rsid w:val="00D52480"/>
    <w:rsid w:val="00DB0FEE"/>
    <w:rsid w:val="00E37A4D"/>
    <w:rsid w:val="00E80FD9"/>
    <w:rsid w:val="00F546CE"/>
    <w:rsid w:val="00F9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34"/>
    <w:qFormat/>
    <w:rsid w:val="0041527E"/>
    <w:pPr>
      <w:bidi w:val="0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527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152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9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3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Sultan Gulam</cp:lastModifiedBy>
  <cp:revision>5</cp:revision>
  <dcterms:created xsi:type="dcterms:W3CDTF">2024-12-25T17:47:00Z</dcterms:created>
  <dcterms:modified xsi:type="dcterms:W3CDTF">2024-12-25T17:51:00Z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