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0" w:before="0"/>
      </w:pPr>
      <w:r>
        <w:t xml:space="preserve"/>
      </w:r>
    </w:p>
    <w:p>
      <w:pPr>
        <w:spacing w:after="200" w:before="0"/>
        <w:jc w:val="center"/>
      </w:pPr>
      <w:r>
        <w:rPr>
          <w:rFonts w:ascii="Calibri" w:cs="Calibri" w:eastAsia="Calibri" w:hAnsi="Calibri"/>
          <w:b/>
          <w:bCs/>
          <w:color w:val="C0392B"/>
          <w:sz w:val="40"/>
          <w:szCs w:val="40"/>
        </w:rPr>
        <w:t xml:space="preserve">ACADEMIC CRISIS COMMUNICATION ANALYSIS</w:t>
      </w:r>
    </w:p>
    <w:p>
      <w:pPr>
        <w:spacing w:after="160" w:before="0"/>
        <w:jc w:val="center"/>
      </w:pPr>
      <w:r>
        <w:rPr>
          <w:rFonts w:ascii="Calibri" w:cs="Calibri" w:eastAsia="Calibri" w:hAnsi="Calibri"/>
          <w:b/>
          <w:bCs/>
          <w:color w:val="1B2A4A"/>
          <w:sz w:val="52"/>
          <w:szCs w:val="52"/>
        </w:rPr>
        <w:t xml:space="preserve">The Great KitKat Heist of 2026</w:t>
      </w:r>
    </w:p>
    <w:p>
      <w:pPr>
        <w:spacing w:after="500" w:before="0"/>
        <w:jc w:val="center"/>
      </w:pPr>
      <w:r>
        <w:rPr>
          <w:rFonts w:ascii="Calibri" w:cs="Calibri" w:eastAsia="Calibri" w:hAnsi="Calibri"/>
          <w:i/>
          <w:iCs/>
          <w:color w:val="444444"/>
          <w:sz w:val="26"/>
          <w:szCs w:val="26"/>
        </w:rPr>
        <w:t xml:space="preserve">A Comprehensive Study in Digital Crisis Management, Brand Agility, and Supply-Chain Vulnerability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0392B" w:sz="6"/>
              <w:left w:val="none" w:color="FFFFFF" w:sz="0"/>
              <w:bottom w:val="single" w:color="C0392B" w:sz="6"/>
              <w:right w:val="none" w:color="FFFFFF" w:sz="0"/>
            </w:tcBorders>
            <w:shd w:fill="FBEAEA" w:val="clear"/>
            <w:tcMar>
              <w:top w:type="dxa" w:w="200"/>
              <w:left w:type="dxa" w:w="300"/>
              <w:bottom w:type="dxa" w:w="200"/>
              <w:right w:type="dxa" w:w="300"/>
            </w:tcMar>
          </w:tcPr>
          <w:p>
            <w:pPr>
              <w:spacing w:after="80" w:before="0"/>
              <w:jc w:val="center"/>
            </w:pPr>
            <w:r>
              <w:rPr>
                <w:rFonts w:ascii="Calibri" w:cs="Calibri" w:eastAsia="Calibri" w:hAnsi="Calibri"/>
                <w:b/>
                <w:bCs/>
                <w:color w:val="1B2A4A"/>
                <w:sz w:val="22"/>
                <w:szCs w:val="22"/>
              </w:rPr>
              <w:t xml:space="preserve">Prepared by: Crisis Communication Expert</w:t>
            </w:r>
          </w:p>
          <w:p>
            <w:pPr>
              <w:spacing w:after="80" w:before="0"/>
              <w:jc w:val="center"/>
            </w:pPr>
            <w:r>
              <w:rPr>
                <w:rFonts w:ascii="Calibri" w:cs="Calibri" w:eastAsia="Calibri" w:hAnsi="Calibri"/>
                <w:color w:val="1B2A4A"/>
                <w:sz w:val="22"/>
                <w:szCs w:val="22"/>
              </w:rPr>
              <w:t xml:space="preserve">Specialization: Digital Media Crisis Analysis</w:t>
            </w:r>
          </w:p>
          <w:p>
            <w:pPr>
              <w:spacing w:after="80" w:before="0"/>
              <w:jc w:val="center"/>
            </w:pPr>
            <w:r>
              <w:rPr>
                <w:rFonts w:ascii="Calibri" w:cs="Calibri" w:eastAsia="Calibri" w:hAnsi="Calibri"/>
                <w:color w:val="1B2A4A"/>
                <w:sz w:val="22"/>
                <w:szCs w:val="22"/>
              </w:rPr>
              <w:t xml:space="preserve">Date of Report: April 12, 2026</w:t>
            </w:r>
          </w:p>
          <w:p>
            <w:pPr>
              <w:spacing w:after="0" w:before="0"/>
              <w:jc w:val="center"/>
            </w:pPr>
            <w:r>
              <w:rPr>
                <w:rFonts w:ascii="Calibri" w:cs="Calibri" w:eastAsia="Calibri" w:hAnsi="Calibri"/>
                <w:color w:val="1B2A4A"/>
                <w:sz w:val="22"/>
                <w:szCs w:val="22"/>
              </w:rPr>
              <w:t xml:space="preserve">Classification: Academic / Graduate-Level Research</w:t>
            </w:r>
          </w:p>
        </w:tc>
      </w:tr>
    </w:tbl>
    <w:p>
      <w:pPr>
        <w:spacing w:after="400" w:before="0"/>
      </w:pPr>
      <w:r>
        <w:t xml:space="preserve"/>
      </w:r>
    </w:p>
    <w:p>
      <w:pPr>
        <w:spacing w:after="0" w:before="0"/>
        <w:jc w:val="center"/>
      </w:pPr>
      <w:r>
        <w:rPr>
          <w:rFonts w:ascii="Calibri" w:cs="Calibri" w:eastAsia="Calibri" w:hAnsi="Calibri"/>
          <w:i/>
          <w:iCs/>
          <w:color w:val="444444"/>
          <w:sz w:val="20"/>
          <w:szCs w:val="20"/>
        </w:rPr>
        <w:t xml:space="preserve">Applied Frameworks: Situational Crisis Communication Theory (SCCT) | Image Repair Theory | Apologia Strategy</w:t>
      </w:r>
    </w:p>
    <w:p>
      <w:pPr>
        <w:spacing w:after="0" w:before="0"/>
      </w:pPr>
      <w:r>
        <w:br w:type="pag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Executive Summary  </w:t>
      </w:r>
    </w:p>
    <w:p>
      <w:pPr>
        <w:spacing w:after="100" w:before="60" w:line="276"/>
        <w:jc w:val="both"/>
      </w:pPr>
      <w:r>
        <w:rPr>
          <w:rFonts w:ascii="Calibri" w:cs="Calibri" w:eastAsia="Calibri" w:hAnsi="Calibri"/>
          <w:b w:val="false"/>
          <w:bCs w:val="false"/>
          <w:i w:val="false"/>
          <w:iCs w:val="false"/>
          <w:color w:val="000000"/>
          <w:sz w:val="22"/>
          <w:szCs w:val="22"/>
        </w:rPr>
        <w:t xml:space="preserve">In late March 2026, a supply-chain incident involving the theft of 413,793 KitKat chocolate bars—weighing approximately 12 tonnes and valued in the hundreds of thousands of dollars—unfolded across European freight corridors and rapidly evolved into one of the most closely studied brand-communication moments of the decade. What began as a straightforward cargo theft became, within 72 hours, a globally discussed cultural phenomenon, a textbook case of reactive digital marketing, and a powerful demonstration of crisis communication agility.</w:t>
      </w:r>
    </w:p>
    <w:p>
      <w:pPr>
        <w:spacing w:after="100" w:before="60" w:line="276"/>
        <w:jc w:val="both"/>
      </w:pPr>
      <w:r>
        <w:rPr>
          <w:rFonts w:ascii="Calibri" w:cs="Calibri" w:eastAsia="Calibri" w:hAnsi="Calibri"/>
          <w:b w:val="false"/>
          <w:bCs w:val="false"/>
          <w:i w:val="false"/>
          <w:iCs w:val="false"/>
          <w:color w:val="000000"/>
          <w:sz w:val="22"/>
          <w:szCs w:val="22"/>
        </w:rPr>
        <w:t xml:space="preserve">This report presents a comprehensive academic analysis of the crisis from the perspective of media and communication studies, applying the principal theoretical frameworks of Situational Crisis Communication Theory (SCCT) (Coombs, 2007), Image Repair Theory (Benoit, 1995), and the Apologia Strategy (Hearit, 2006). Each section draws on verified, real-time data gathered up to April 12, 2026.</w:t>
      </w:r>
    </w:p>
    <w:p>
      <w:pPr>
        <w:spacing w:after="100" w:before="60" w:line="276"/>
        <w:jc w:val="both"/>
      </w:pPr>
      <w:r>
        <w:rPr>
          <w:rFonts w:ascii="Calibri" w:cs="Calibri" w:eastAsia="Calibri" w:hAnsi="Calibri"/>
          <w:b w:val="false"/>
          <w:bCs w:val="false"/>
          <w:i w:val="false"/>
          <w:iCs w:val="false"/>
          <w:color w:val="000000"/>
          <w:sz w:val="22"/>
          <w:szCs w:val="22"/>
        </w:rPr>
        <w:t xml:space="preserve">The analysis reveals that Nestlé/KitKat's response constitutes a rare instance of a 'Victim Crisis' that was transmuted into a net reputational gain through four key pillars: radical transparency, brand-consistent humour, rapid deployment of a consumer-facing digital tool (the Stolen KitKat Tracker), and the strategic permission granted to other brands to co-author the viral moment. The case carries significant pedagogical value for graduate students and practitioners in media crisis management, digital journalism, and corporate communication strategy.</w:t>
      </w:r>
    </w:p>
    <w:p>
      <w:pPr>
        <w:spacing w:after="1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I: Crisis Definition  </w:t>
      </w:r>
    </w:p>
    <w:p>
      <w:pPr>
        <w:pStyle w:val="Heading2"/>
        <w:pBdr>
          <w:bottom w:val="single" w:color="C0392B" w:sz="2" w:space="1"/>
        </w:pBdr>
        <w:spacing w:after="120" w:before="280"/>
      </w:pPr>
      <w:r>
        <w:rPr>
          <w:rFonts w:ascii="Calibri" w:cs="Calibri" w:eastAsia="Calibri" w:hAnsi="Calibri"/>
          <w:b/>
          <w:bCs/>
          <w:color w:val="1B2A4A"/>
          <w:sz w:val="26"/>
          <w:szCs w:val="26"/>
        </w:rPr>
        <w:t xml:space="preserve">1.1 What Is the Most Recent Crisis Associated with the KitKat Brand?</w:t>
      </w:r>
    </w:p>
    <w:p>
      <w:pPr>
        <w:spacing w:after="100" w:before="60" w:line="276"/>
        <w:jc w:val="both"/>
      </w:pPr>
      <w:r>
        <w:rPr>
          <w:rFonts w:ascii="Calibri" w:cs="Calibri" w:eastAsia="Calibri" w:hAnsi="Calibri"/>
          <w:b w:val="false"/>
          <w:bCs w:val="false"/>
          <w:i w:val="false"/>
          <w:iCs w:val="false"/>
          <w:color w:val="000000"/>
          <w:sz w:val="22"/>
          <w:szCs w:val="22"/>
        </w:rPr>
        <w:t xml:space="preserve">The crisis under analysis—colloquially dubbed 'The Great KitKat Heist'—centres on the organised theft of a lorry transporting 413,793 units of KitKat's newly launched Formula One-themed chocolate bars during transit across Europe. The incident represents an intersection of three distinct crisis typologies: a supply-chain security failure, a product-availability threat in a commercially critical retail window (pre-Easter), and a brand-integrity test tied to KitKat's high-profile partnership as the Official Chocolate Bar of Formula 1 (F1).</w:t>
      </w:r>
    </w:p>
    <w:p>
      <w:pPr>
        <w:spacing w:after="100" w:before="60" w:line="276"/>
        <w:jc w:val="both"/>
      </w:pPr>
      <w:r>
        <w:rPr>
          <w:rFonts w:ascii="Calibri" w:cs="Calibri" w:eastAsia="Calibri" w:hAnsi="Calibri"/>
          <w:b w:val="false"/>
          <w:bCs w:val="false"/>
          <w:i w:val="false"/>
          <w:iCs w:val="false"/>
          <w:color w:val="000000"/>
          <w:sz w:val="22"/>
          <w:szCs w:val="22"/>
        </w:rPr>
        <w:t xml:space="preserve">The scale of the theft—12 metric tonnes of a single, uniquely identifiable product—ensured it exceeded the threshold of an internally manageable logistics incident and entered the realm of public discourse. The specificity and absurdity of the crime (stealing hundreds of thousands of chocolate bars) imbued the story with the qualities the internet values most: recognisability, humour, and shareable scale.</w:t>
      </w:r>
    </w:p>
    <w:p>
      <w:pPr>
        <w:pStyle w:val="Heading2"/>
        <w:pBdr>
          <w:bottom w:val="single" w:color="C0392B" w:sz="2" w:space="1"/>
        </w:pBdr>
        <w:spacing w:after="120" w:before="280"/>
      </w:pPr>
      <w:r>
        <w:rPr>
          <w:rFonts w:ascii="Calibri" w:cs="Calibri" w:eastAsia="Calibri" w:hAnsi="Calibri"/>
          <w:b/>
          <w:bCs/>
          <w:color w:val="1B2A4A"/>
          <w:sz w:val="26"/>
          <w:szCs w:val="26"/>
        </w:rPr>
        <w:t xml:space="preserve">1.2 When Did the Crisis Begin?</w:t>
      </w:r>
    </w:p>
    <w:p>
      <w:pPr>
        <w:spacing w:after="100" w:before="60" w:line="276"/>
        <w:jc w:val="both"/>
      </w:pPr>
      <w:r>
        <w:rPr>
          <w:rFonts w:ascii="Calibri" w:cs="Calibri" w:eastAsia="Calibri" w:hAnsi="Calibri"/>
          <w:b w:val="false"/>
          <w:bCs w:val="false"/>
          <w:i w:val="false"/>
          <w:iCs w:val="false"/>
          <w:color w:val="000000"/>
          <w:sz w:val="22"/>
          <w:szCs w:val="22"/>
        </w:rPr>
        <w:t xml:space="preserve">The theft occurred during the week of 23 March 2026, with the specific incident confirmed to have taken place on or around 26 March 2026. The lorry departed from a production facility in central Italy en route to distribution partners in Poland, a journey of approximately 1,250–1,350 kilometres. The vehicle—along with its entire cargo—was reported missing before reaching its destination, with Italian authorities subsequently confirming that the truck was intercepted outside Turin by individuals impersonating law enforcement officers. The driver was restrained and the vehicle stolen. No physical injuries were reported.</w:t>
      </w:r>
    </w:p>
    <w:p>
      <w:pPr>
        <w:spacing w:after="100" w:before="60" w:line="276"/>
        <w:jc w:val="both"/>
      </w:pPr>
      <w:r>
        <w:rPr>
          <w:rFonts w:ascii="Calibri" w:cs="Calibri" w:eastAsia="Calibri" w:hAnsi="Calibri"/>
          <w:b w:val="false"/>
          <w:bCs w:val="false"/>
          <w:i w:val="false"/>
          <w:iCs w:val="false"/>
          <w:color w:val="000000"/>
          <w:sz w:val="22"/>
          <w:szCs w:val="22"/>
        </w:rPr>
        <w:t xml:space="preserve">Nestlé publicly confirmed the theft on 28–29 March 2026, initially to The Athletic and The Guardian, before issuing a formal PR Newswire statement on 28 March 2026. The public-facing digital response (the Stolen KitKat Tracker) launched on 1 April 2026, meaning the company managed a compressed but effective 3–5 day window from incident to full crisis-communication deployment.</w:t>
      </w:r>
    </w:p>
    <w:p>
      <w:pPr>
        <w:pStyle w:val="Heading2"/>
        <w:pBdr>
          <w:bottom w:val="single" w:color="C0392B" w:sz="2" w:space="1"/>
        </w:pBdr>
        <w:spacing w:after="120" w:before="280"/>
      </w:pPr>
      <w:r>
        <w:rPr>
          <w:rFonts w:ascii="Calibri" w:cs="Calibri" w:eastAsia="Calibri" w:hAnsi="Calibri"/>
          <w:b/>
          <w:bCs/>
          <w:color w:val="1B2A4A"/>
          <w:sz w:val="26"/>
          <w:szCs w:val="26"/>
        </w:rPr>
        <w:t xml:space="preserve">1.3 In What Context Did the Crisis Emerge?</w:t>
      </w:r>
    </w:p>
    <w:p>
      <w:pPr>
        <w:spacing w:after="100" w:before="60" w:line="276"/>
        <w:jc w:val="both"/>
      </w:pPr>
      <w:r>
        <w:rPr>
          <w:rFonts w:ascii="Calibri" w:cs="Calibri" w:eastAsia="Calibri" w:hAnsi="Calibri"/>
          <w:b w:val="false"/>
          <w:bCs w:val="false"/>
          <w:i w:val="false"/>
          <w:iCs w:val="false"/>
          <w:color w:val="000000"/>
          <w:sz w:val="22"/>
          <w:szCs w:val="22"/>
        </w:rPr>
        <w:t xml:space="preserve">The crisis emerged at the confluence of three contextual vectors that amplified its public profile substantially:</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Commercial context: The theft occurred just one week before Easter Sunday—one of the most commercially significant periods in the confectionery industry's annual calendar. Any supply disruption would have carried serious retail implications. Nestlé moved swiftly to correct an initial erroneous press report suggesting a supply shortage, clarifying via PR Newswire that the incident would have no impact on consumer supply or trade.</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Promotional context: The stolen bars were specifically part of KitKat's new Formula One product line—a limited-edition range (including a chocolate-moulded F1 car and an F1 KitKat Chunky bar) produced to celebrate both Formula 1's 75th anniversary and KitKat's 90th anniversary. The F1 partnership, which had been announced in late 2024 and expanded to a full global season in 2026, had already generated significant media and consumer interest. The theft thus disrupted a carefully planned product launch, transforming an anticipated marketing moment into a crisis narrative.</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Macro-contextual backdrop: The theft occurred against the backdrop of a documented surge in organised cargo theft across Europe. Industry data cited in Nestlé's own statement referenced a joint report from TAPA EMEA and the International Union of Marine Insurance (IUMI) noting over 50,000 cargo theft incidents in Europe in 2023 alone, with total annual losses estimated at $8.9 billion. Trucks account for approximately 75% of these thefts, with increasingly sophisticated schemes—such as impersonating law enforcement—becoming prevalent.</w:t>
      </w:r>
    </w:p>
    <w:p>
      <w:pPr>
        <w:spacing w:after="100" w:before="0"/>
      </w:pPr>
      <w:r>
        <w:t xml:space="preserve"/>
      </w:r>
    </w:p>
    <w:p>
      <w:pPr>
        <w:pStyle w:val="Heading2"/>
        <w:pBdr>
          <w:bottom w:val="single" w:color="C0392B" w:sz="2" w:space="1"/>
        </w:pBdr>
        <w:spacing w:after="120" w:before="280"/>
      </w:pPr>
      <w:r>
        <w:rPr>
          <w:rFonts w:ascii="Calibri" w:cs="Calibri" w:eastAsia="Calibri" w:hAnsi="Calibri"/>
          <w:b/>
          <w:bCs/>
          <w:color w:val="1B2A4A"/>
          <w:sz w:val="26"/>
          <w:szCs w:val="26"/>
        </w:rPr>
        <w:t xml:space="preserve">1.4 Who Are the Stakeholders Involved?</w:t>
      </w:r>
    </w:p>
    <w:p>
      <w:pPr>
        <w:spacing w:after="100" w:before="60" w:line="276"/>
        <w:jc w:val="both"/>
      </w:pPr>
      <w:r>
        <w:rPr>
          <w:rFonts w:ascii="Calibri" w:cs="Calibri" w:eastAsia="Calibri" w:hAnsi="Calibri"/>
          <w:b w:val="false"/>
          <w:bCs w:val="false"/>
          <w:i w:val="false"/>
          <w:iCs w:val="false"/>
          <w:color w:val="000000"/>
          <w:sz w:val="22"/>
          <w:szCs w:val="22"/>
        </w:rPr>
        <w:t xml:space="preserve">Crisis communication theory consistently identifies multi-layered stakeholder ecosystems as a defining feature of complex crises. The KitKat Heist engaged the following stakeholder groups:</w:t>
      </w:r>
    </w:p>
    <w:p>
      <w:pPr>
        <w:pStyle w:val="Heading3"/>
        <w:spacing w:after="80" w:before="200"/>
      </w:pPr>
      <w:r>
        <w:rPr>
          <w:rFonts w:ascii="Calibri" w:cs="Calibri" w:eastAsia="Calibri" w:hAnsi="Calibri"/>
          <w:b/>
          <w:bCs/>
          <w:i/>
          <w:iCs/>
          <w:color w:val="922B21"/>
          <w:sz w:val="22"/>
          <w:szCs w:val="22"/>
        </w:rPr>
        <w:t xml:space="preserve">The Company (Nestlé / KitKat)</w:t>
      </w:r>
    </w:p>
    <w:p>
      <w:pPr>
        <w:spacing w:after="100" w:before="60" w:line="276"/>
        <w:jc w:val="both"/>
      </w:pPr>
      <w:r>
        <w:rPr>
          <w:rFonts w:ascii="Calibri" w:cs="Calibri" w:eastAsia="Calibri" w:hAnsi="Calibri"/>
          <w:b w:val="false"/>
          <w:bCs w:val="false"/>
          <w:i w:val="false"/>
          <w:iCs w:val="false"/>
          <w:color w:val="000000"/>
          <w:sz w:val="22"/>
          <w:szCs w:val="22"/>
        </w:rPr>
        <w:t xml:space="preserve">As the primary crisis actor, Nestlé's corporate communication team—in collaboration with creative agency VML—was responsible for defining the narrative, sequencing the response, and deploying digital assets. The company operated at two registers simultaneously: a formal corporate level (legal, logistics, law enforcement coordination) and a brand-communication level (consumer-facing social media, tone of voice, digital tools).</w:t>
      </w:r>
    </w:p>
    <w:p>
      <w:pPr>
        <w:pStyle w:val="Heading3"/>
        <w:spacing w:after="80" w:before="200"/>
      </w:pPr>
      <w:r>
        <w:rPr>
          <w:rFonts w:ascii="Calibri" w:cs="Calibri" w:eastAsia="Calibri" w:hAnsi="Calibri"/>
          <w:b/>
          <w:bCs/>
          <w:i/>
          <w:iCs/>
          <w:color w:val="922B21"/>
          <w:sz w:val="22"/>
          <w:szCs w:val="22"/>
        </w:rPr>
        <w:t xml:space="preserve">Consumers</w:t>
      </w:r>
    </w:p>
    <w:p>
      <w:pPr>
        <w:spacing w:after="100" w:before="60" w:line="276"/>
        <w:jc w:val="both"/>
      </w:pPr>
      <w:r>
        <w:rPr>
          <w:rFonts w:ascii="Calibri" w:cs="Calibri" w:eastAsia="Calibri" w:hAnsi="Calibri"/>
          <w:b w:val="false"/>
          <w:bCs w:val="false"/>
          <w:i w:val="false"/>
          <w:iCs w:val="false"/>
          <w:color w:val="000000"/>
          <w:sz w:val="22"/>
          <w:szCs w:val="22"/>
        </w:rPr>
        <w:t xml:space="preserve">Consumers globally engaged not as victims of a product-safety failure, but as curious participants in a mystery narrative. The Stolen KitKat Tracker gamified consumer participation, inviting anyone holding a KitKat bar to verify whether their product was part of the stolen batch. This transformed a passive audience into active stakeholders in the resolution of the incident.</w:t>
      </w:r>
    </w:p>
    <w:p>
      <w:pPr>
        <w:pStyle w:val="Heading3"/>
        <w:spacing w:after="80" w:before="200"/>
      </w:pPr>
      <w:r>
        <w:rPr>
          <w:rFonts w:ascii="Calibri" w:cs="Calibri" w:eastAsia="Calibri" w:hAnsi="Calibri"/>
          <w:b/>
          <w:bCs/>
          <w:i/>
          <w:iCs/>
          <w:color w:val="922B21"/>
          <w:sz w:val="22"/>
          <w:szCs w:val="22"/>
        </w:rPr>
        <w:t xml:space="preserve">Digital and Traditional Media</w:t>
      </w:r>
    </w:p>
    <w:p>
      <w:pPr>
        <w:spacing w:after="100" w:before="60" w:line="276"/>
        <w:jc w:val="both"/>
      </w:pPr>
      <w:r>
        <w:rPr>
          <w:rFonts w:ascii="Calibri" w:cs="Calibri" w:eastAsia="Calibri" w:hAnsi="Calibri"/>
          <w:b w:val="false"/>
          <w:bCs w:val="false"/>
          <w:i w:val="false"/>
          <w:iCs w:val="false"/>
          <w:color w:val="000000"/>
          <w:sz w:val="22"/>
          <w:szCs w:val="22"/>
        </w:rPr>
        <w:t xml:space="preserve">Initial coverage originated in specialist sports journalism (The Athletic) due to the F1 connection, before rapidly migrating to mainstream media including The Guardian, Forbes, TIME, Fast Company, and major broadcast outlets globally. Digital media platforms—particularly Instagram, X (Twitter), LinkedIn, and TikTok—served as the primary amplification vectors, hosting both KitKat's official communications and the viral brand-banter ecosystem that proliferated in the incident's aftermath.</w:t>
      </w:r>
    </w:p>
    <w:p>
      <w:pPr>
        <w:pStyle w:val="Heading3"/>
        <w:spacing w:after="80" w:before="200"/>
      </w:pPr>
      <w:r>
        <w:rPr>
          <w:rFonts w:ascii="Calibri" w:cs="Calibri" w:eastAsia="Calibri" w:hAnsi="Calibri"/>
          <w:b/>
          <w:bCs/>
          <w:i/>
          <w:iCs/>
          <w:color w:val="922B21"/>
          <w:sz w:val="22"/>
          <w:szCs w:val="22"/>
        </w:rPr>
        <w:t xml:space="preserve">Governments and Law Enforcement</w:t>
      </w:r>
    </w:p>
    <w:p>
      <w:pPr>
        <w:spacing w:after="100" w:before="60" w:line="276"/>
        <w:jc w:val="both"/>
      </w:pPr>
      <w:r>
        <w:rPr>
          <w:rFonts w:ascii="Calibri" w:cs="Calibri" w:eastAsia="Calibri" w:hAnsi="Calibri"/>
          <w:b w:val="false"/>
          <w:bCs w:val="false"/>
          <w:i w:val="false"/>
          <w:iCs w:val="false"/>
          <w:color w:val="000000"/>
          <w:sz w:val="22"/>
          <w:szCs w:val="22"/>
        </w:rPr>
        <w:t xml:space="preserve">Italian authorities confirmed the incident and initiated an investigation. The case subsequently gained legislative attention in the United States, where the Senate Judiciary Committee referenced the KitKat heist as a prominent example while advocating for a bipartisan retail crime bill—an unusual instance of a confectionery brand's logistics incident reaching the legislative floor of a foreign government.</w:t>
      </w:r>
    </w:p>
    <w:p>
      <w:pPr>
        <w:pStyle w:val="Heading3"/>
        <w:spacing w:after="80" w:before="200"/>
      </w:pPr>
      <w:r>
        <w:rPr>
          <w:rFonts w:ascii="Calibri" w:cs="Calibri" w:eastAsia="Calibri" w:hAnsi="Calibri"/>
          <w:b/>
          <w:bCs/>
          <w:i/>
          <w:iCs/>
          <w:color w:val="922B21"/>
          <w:sz w:val="22"/>
          <w:szCs w:val="22"/>
        </w:rPr>
        <w:t xml:space="preserve">Other Brands and the Business Ecosystem</w:t>
      </w:r>
    </w:p>
    <w:p>
      <w:pPr>
        <w:spacing w:after="100" w:before="60" w:line="276"/>
        <w:jc w:val="both"/>
      </w:pPr>
      <w:r>
        <w:rPr>
          <w:rFonts w:ascii="Calibri" w:cs="Calibri" w:eastAsia="Calibri" w:hAnsi="Calibri"/>
          <w:b w:val="false"/>
          <w:bCs w:val="false"/>
          <w:i w:val="false"/>
          <w:iCs w:val="false"/>
          <w:color w:val="000000"/>
          <w:sz w:val="22"/>
          <w:szCs w:val="22"/>
        </w:rPr>
        <w:t xml:space="preserve">An unprecedented number of competing and adjacent brands—including Domino's UK, Ryanair, KFC, DoorDash, McDonald's, Microsoft Edge, British Airways, Crumbl Cookies, Outback Steakhouse, and many others—issued playful 'alibi' statements on social media. Collectively, these responses transformed the incident from a brand-specific crisis into a shared cultural moment, generating tens of millions of impressions of earned media value.</w:t>
      </w:r>
    </w:p>
    <w:p>
      <w:pPr>
        <w:pStyle w:val="Heading3"/>
        <w:spacing w:after="80" w:before="200"/>
      </w:pPr>
      <w:r>
        <w:rPr>
          <w:rFonts w:ascii="Calibri" w:cs="Calibri" w:eastAsia="Calibri" w:hAnsi="Calibri"/>
          <w:b/>
          <w:bCs/>
          <w:i/>
          <w:iCs/>
          <w:color w:val="922B21"/>
          <w:sz w:val="22"/>
          <w:szCs w:val="22"/>
        </w:rPr>
        <w:t xml:space="preserve">Human Rights and Ethical Advocacy Organisations</w:t>
      </w:r>
    </w:p>
    <w:p>
      <w:pPr>
        <w:spacing w:after="100" w:before="60" w:line="276"/>
        <w:jc w:val="both"/>
      </w:pPr>
      <w:r>
        <w:rPr>
          <w:rFonts w:ascii="Calibri" w:cs="Calibri" w:eastAsia="Calibri" w:hAnsi="Calibri"/>
          <w:b w:val="false"/>
          <w:bCs w:val="false"/>
          <w:i w:val="false"/>
          <w:iCs w:val="false"/>
          <w:color w:val="000000"/>
          <w:sz w:val="22"/>
          <w:szCs w:val="22"/>
        </w:rPr>
        <w:t xml:space="preserve">Unlike Nestlé's other historical crises (e.g., infant formula marketing controversies, cocoa supply chain labour issues, and water privatisation debates), the KitKat Heist did not activate human rights or ethical advocacy stakeholders in an adversarial capacity. The absence of consumer harm and the clear framing of the company as a victim rather than a perpetrator insulated Nestlé from NGO criticism during this specific incident. However, it is academically important to note that Nestlé's broader reputational legacy from prior crises formed a crucial backdrop to how this event was received.</w:t>
      </w:r>
    </w:p>
    <w:p>
      <w:pPr>
        <w:pStyle w:val="Heading3"/>
        <w:spacing w:after="80" w:before="200"/>
      </w:pPr>
      <w:r>
        <w:rPr>
          <w:rFonts w:ascii="Calibri" w:cs="Calibri" w:eastAsia="Calibri" w:hAnsi="Calibri"/>
          <w:b/>
          <w:bCs/>
          <w:i/>
          <w:iCs/>
          <w:color w:val="922B21"/>
          <w:sz w:val="22"/>
          <w:szCs w:val="22"/>
        </w:rPr>
        <w:t xml:space="preserve">Investors</w:t>
      </w:r>
    </w:p>
    <w:p>
      <w:pPr>
        <w:spacing w:after="100" w:before="60" w:line="276"/>
        <w:jc w:val="both"/>
      </w:pPr>
      <w:r>
        <w:rPr>
          <w:rFonts w:ascii="Calibri" w:cs="Calibri" w:eastAsia="Calibri" w:hAnsi="Calibri"/>
          <w:b w:val="false"/>
          <w:bCs w:val="false"/>
          <w:i w:val="false"/>
          <w:iCs w:val="false"/>
          <w:color w:val="000000"/>
          <w:sz w:val="22"/>
          <w:szCs w:val="22"/>
        </w:rPr>
        <w:t xml:space="preserve">Nestlé's share price showed no material negative movement attributable to the incident, consistent with analyst consensus that the commercial loss (approximately $500,000–$750,000 in estimated replacement value for 12 tonnes of premium product) was immaterial against the company's revenue base. The positive media coverage and brand-equity enhancement were noted in several investor and analyst communications as net positives.</w:t>
      </w:r>
    </w:p>
    <w:p>
      <w:pPr>
        <w:spacing w:after="1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II: Crisis Timeline  </w:t>
      </w:r>
    </w:p>
    <w:p>
      <w:pPr>
        <w:pStyle w:val="Heading2"/>
        <w:pBdr>
          <w:bottom w:val="single" w:color="C0392B" w:sz="2" w:space="1"/>
        </w:pBdr>
        <w:spacing w:after="120" w:before="280"/>
      </w:pPr>
      <w:r>
        <w:rPr>
          <w:rFonts w:ascii="Calibri" w:cs="Calibri" w:eastAsia="Calibri" w:hAnsi="Calibri"/>
          <w:b/>
          <w:bCs/>
          <w:color w:val="1B2A4A"/>
          <w:sz w:val="26"/>
          <w:szCs w:val="26"/>
        </w:rPr>
        <w:t xml:space="preserve">2.1 Comprehensive Chronological Reconstruction</w:t>
      </w:r>
    </w:p>
    <w:p>
      <w:pPr>
        <w:spacing w:after="60" w:before="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7160"/>
      </w:tblGrid>
      <w:tr>
        <w:tc>
          <w:tcPr>
            <w:tcW w:type="dxa" w:w="2200"/>
            <w:tcBorders>
              <w:top w:val="single" w:color="CCCCCC" w:sz="1"/>
              <w:left w:val="none" w:color="FFFFFF" w:sz="0"/>
              <w:bottom w:val="single" w:color="C0392B" w:sz="4"/>
              <w:right w:val="none" w:color="FFFFFF" w:sz="0"/>
            </w:tcBorders>
            <w:shd w:fill="1B2A4A" w:val="clear"/>
            <w:tcMar>
              <w:top w:type="dxa" w:w="80"/>
              <w:left w:type="dxa" w:w="120"/>
              <w:bottom w:type="dxa" w:w="80"/>
              <w:right w:type="dxa" w:w="120"/>
            </w:tcMar>
          </w:tcPr>
          <w:p>
            <w:pPr>
              <w:spacing w:after="0" w:before="0"/>
            </w:pPr>
            <w:r>
              <w:rPr>
                <w:rFonts w:ascii="Calibri" w:cs="Calibri" w:eastAsia="Calibri" w:hAnsi="Calibri"/>
                <w:b/>
                <w:bCs/>
                <w:color w:val="FFFFFF"/>
                <w:sz w:val="22"/>
                <w:szCs w:val="22"/>
              </w:rPr>
              <w:t xml:space="preserve">Date</w:t>
            </w:r>
          </w:p>
        </w:tc>
        <w:tc>
          <w:tcPr>
            <w:tcW w:type="dxa" w:w="7160"/>
            <w:tcBorders>
              <w:top w:val="single" w:color="CCCCCC" w:sz="1"/>
              <w:left w:val="none" w:color="FFFFFF" w:sz="0"/>
              <w:bottom w:val="single" w:color="C0392B" w:sz="4"/>
              <w:right w:val="none" w:color="FFFFFF" w:sz="0"/>
            </w:tcBorders>
            <w:shd w:fill="1B2A4A" w:val="clear"/>
            <w:tcMar>
              <w:top w:type="dxa" w:w="80"/>
              <w:left w:type="dxa" w:w="120"/>
              <w:bottom w:type="dxa" w:w="80"/>
              <w:right w:type="dxa" w:w="120"/>
            </w:tcMar>
          </w:tcPr>
          <w:p>
            <w:pPr>
              <w:spacing w:after="0" w:before="0"/>
            </w:pPr>
            <w:r>
              <w:rPr>
                <w:rFonts w:ascii="Calibri" w:cs="Calibri" w:eastAsia="Calibri" w:hAnsi="Calibri"/>
                <w:b/>
                <w:bCs/>
                <w:color w:val="FFFFFF"/>
                <w:sz w:val="22"/>
                <w:szCs w:val="22"/>
              </w:rPr>
              <w:t xml:space="preserve">Event</w:t>
            </w:r>
          </w:p>
        </w:tc>
      </w:tr>
      <w:tr>
        <w:tc>
          <w:tcPr>
            <w:tcW w:type="dxa" w:w="2200"/>
            <w:tcBorders>
              <w:top w:val="single" w:color="CCCCCC" w:sz="1"/>
              <w:left w:val="none" w:color="FFFFFF" w:sz="0"/>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b/>
                <w:bCs/>
                <w:color w:val="C0392B"/>
                <w:sz w:val="20"/>
                <w:szCs w:val="20"/>
              </w:rPr>
              <w:t xml:space="preserve">c. 23–26 Mar 2026</w:t>
            </w:r>
          </w:p>
        </w:tc>
        <w:tc>
          <w:tcPr>
            <w:tcW w:type="dxa" w:w="7160"/>
            <w:tcBorders>
              <w:top w:val="single" w:color="CCCCCC" w:sz="1"/>
              <w:left w:val="single" w:color="CCCCCC" w:sz="1"/>
              <w:bottom w:val="single" w:color="CCCCCC" w:sz="1"/>
              <w:right w:val="none" w:color="FFFFFF" w:sz="0"/>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A lorry transporting 413,793 KitKat F1-themed bars departs from a production facility in Central Italy bound for Poland. Organised thieves intercept the vehicle near Turin, impersonating law enforcement officers, restrain the driver (unharmed), and steal the truck and its entire cargo. The vehicle and shipment immediately become untraceable.</w:t>
            </w:r>
          </w:p>
        </w:tc>
      </w:tr>
      <w:tr>
        <w:tc>
          <w:tcPr>
            <w:tcW w:type="dxa" w:w="2200"/>
            <w:tcBorders>
              <w:top w:val="single" w:color="CCCCCC" w:sz="1"/>
              <w:left w:val="none" w:color="FFFFFF" w:sz="0"/>
              <w:bottom w:val="single" w:color="CCCCCC" w:sz="1"/>
              <w:right w:val="single" w:color="CCCCCC" w:sz="1"/>
            </w:tcBorders>
            <w:shd w:fill="FBEAEA" w:val="clear"/>
            <w:tcMar>
              <w:top w:type="dxa" w:w="80"/>
              <w:left w:type="dxa" w:w="120"/>
              <w:bottom w:type="dxa" w:w="80"/>
              <w:right w:type="dxa" w:w="120"/>
            </w:tcMar>
          </w:tcPr>
          <w:p>
            <w:pPr>
              <w:spacing w:after="0" w:before="0"/>
            </w:pPr>
            <w:r>
              <w:rPr>
                <w:rFonts w:ascii="Calibri" w:cs="Calibri" w:eastAsia="Calibri" w:hAnsi="Calibri"/>
                <w:b/>
                <w:bCs/>
                <w:color w:val="C0392B"/>
                <w:sz w:val="20"/>
                <w:szCs w:val="20"/>
              </w:rPr>
              <w:t xml:space="preserve">27 Mar 2026</w:t>
            </w:r>
          </w:p>
        </w:tc>
        <w:tc>
          <w:tcPr>
            <w:tcW w:type="dxa" w:w="7160"/>
            <w:tcBorders>
              <w:top w:val="single" w:color="CCCCCC" w:sz="1"/>
              <w:left w:val="single" w:color="CCCCCC" w:sz="1"/>
              <w:bottom w:val="single" w:color="CCCCCC" w:sz="1"/>
              <w:right w:val="none" w:color="FFFFFF" w:sz="0"/>
            </w:tcBorders>
            <w:shd w:fill="FBEAEA"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Nestlé and KitKat's logistics partners become aware the shipment is missing. Internal crisis protocols are activated. Law enforcement in Italy and across relevant European jurisdictions are notified. A preliminary PR Newswire release (later corrected) is prepared.</w:t>
            </w:r>
          </w:p>
        </w:tc>
      </w:tr>
      <w:tr>
        <w:tc>
          <w:tcPr>
            <w:tcW w:type="dxa" w:w="2200"/>
            <w:tcBorders>
              <w:top w:val="single" w:color="CCCCCC" w:sz="1"/>
              <w:left w:val="none" w:color="FFFFFF" w:sz="0"/>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b/>
                <w:bCs/>
                <w:color w:val="C0392B"/>
                <w:sz w:val="20"/>
                <w:szCs w:val="20"/>
              </w:rPr>
              <w:t xml:space="preserve">28 Mar 2026</w:t>
            </w:r>
          </w:p>
        </w:tc>
        <w:tc>
          <w:tcPr>
            <w:tcW w:type="dxa" w:w="7160"/>
            <w:tcBorders>
              <w:top w:val="single" w:color="CCCCCC" w:sz="1"/>
              <w:left w:val="single" w:color="CCCCCC" w:sz="1"/>
              <w:bottom w:val="single" w:color="CCCCCC" w:sz="1"/>
              <w:right w:val="none" w:color="FFFFFF" w:sz="0"/>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Nestlé officially confirms the theft to The Athletic, which publishes the initial mainstream media report. The Guardian publishes contemporaneous coverage. KitKat's spokesperson issues the now-famous 'Have a Break' statement, acknowledging the theft with wit while advocating for awareness of cargo crime. A corrected PR Newswire release is issued, clarifying there is no supply shortage or consumer safety risk.</w:t>
            </w:r>
          </w:p>
        </w:tc>
      </w:tr>
      <w:tr>
        <w:tc>
          <w:tcPr>
            <w:tcW w:type="dxa" w:w="2200"/>
            <w:tcBorders>
              <w:top w:val="single" w:color="CCCCCC" w:sz="1"/>
              <w:left w:val="none" w:color="FFFFFF" w:sz="0"/>
              <w:bottom w:val="single" w:color="CCCCCC" w:sz="1"/>
              <w:right w:val="single" w:color="CCCCCC" w:sz="1"/>
            </w:tcBorders>
            <w:shd w:fill="FBEAEA" w:val="clear"/>
            <w:tcMar>
              <w:top w:type="dxa" w:w="80"/>
              <w:left w:type="dxa" w:w="120"/>
              <w:bottom w:type="dxa" w:w="80"/>
              <w:right w:type="dxa" w:w="120"/>
            </w:tcMar>
          </w:tcPr>
          <w:p>
            <w:pPr>
              <w:spacing w:after="0" w:before="0"/>
            </w:pPr>
            <w:r>
              <w:rPr>
                <w:rFonts w:ascii="Calibri" w:cs="Calibri" w:eastAsia="Calibri" w:hAnsi="Calibri"/>
                <w:b/>
                <w:bCs/>
                <w:color w:val="C0392B"/>
                <w:sz w:val="20"/>
                <w:szCs w:val="20"/>
              </w:rPr>
              <w:t xml:space="preserve">29–30 Mar 2026</w:t>
            </w:r>
          </w:p>
        </w:tc>
        <w:tc>
          <w:tcPr>
            <w:tcW w:type="dxa" w:w="7160"/>
            <w:tcBorders>
              <w:top w:val="single" w:color="CCCCCC" w:sz="1"/>
              <w:left w:val="single" w:color="CCCCCC" w:sz="1"/>
              <w:bottom w:val="single" w:color="CCCCCC" w:sz="1"/>
              <w:right w:val="none" w:color="FFFFFF" w:sz="0"/>
            </w:tcBorders>
            <w:shd w:fill="FBEAEA"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Social media engagement begins to accelerate. KitKat's official X / Instagram accounts post branded content acknowledging the theft. First wave of brand 'alibi' posts emerges, with Domino's UK, Ryanair, British Airways, and others issuing humorous statements. The hashtag ecosystem around the 'KitKat Heist' begins to trend across multiple platforms.</w:t>
            </w:r>
          </w:p>
        </w:tc>
      </w:tr>
      <w:tr>
        <w:tc>
          <w:tcPr>
            <w:tcW w:type="dxa" w:w="2200"/>
            <w:tcBorders>
              <w:top w:val="single" w:color="CCCCCC" w:sz="1"/>
              <w:left w:val="none" w:color="FFFFFF" w:sz="0"/>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b/>
                <w:bCs/>
                <w:color w:val="C0392B"/>
                <w:sz w:val="20"/>
                <w:szCs w:val="20"/>
              </w:rPr>
              <w:t xml:space="preserve">31 Mar 2026</w:t>
            </w:r>
          </w:p>
        </w:tc>
        <w:tc>
          <w:tcPr>
            <w:tcW w:type="dxa" w:w="7160"/>
            <w:tcBorders>
              <w:top w:val="single" w:color="CCCCCC" w:sz="1"/>
              <w:left w:val="single" w:color="CCCCCC" w:sz="1"/>
              <w:bottom w:val="single" w:color="CCCCCC" w:sz="1"/>
              <w:right w:val="none" w:color="FFFFFF" w:sz="0"/>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The story achieves global mainstream media saturation. Coverage appears across television networks, digital publications, and international press across North America, Europe, Asia-Pacific, and the Middle East. The Darden School of Business at the University of Virginia publishes an early academic commentary on the crisis response. Brand-banter volume peaks.</w:t>
            </w:r>
          </w:p>
        </w:tc>
      </w:tr>
      <w:tr>
        <w:tc>
          <w:tcPr>
            <w:tcW w:type="dxa" w:w="2200"/>
            <w:tcBorders>
              <w:top w:val="single" w:color="CCCCCC" w:sz="1"/>
              <w:left w:val="none" w:color="FFFFFF" w:sz="0"/>
              <w:bottom w:val="single" w:color="CCCCCC" w:sz="1"/>
              <w:right w:val="single" w:color="CCCCCC" w:sz="1"/>
            </w:tcBorders>
            <w:shd w:fill="FBEAEA" w:val="clear"/>
            <w:tcMar>
              <w:top w:type="dxa" w:w="80"/>
              <w:left w:type="dxa" w:w="120"/>
              <w:bottom w:type="dxa" w:w="80"/>
              <w:right w:type="dxa" w:w="120"/>
            </w:tcMar>
          </w:tcPr>
          <w:p>
            <w:pPr>
              <w:spacing w:after="0" w:before="0"/>
            </w:pPr>
            <w:r>
              <w:rPr>
                <w:rFonts w:ascii="Calibri" w:cs="Calibri" w:eastAsia="Calibri" w:hAnsi="Calibri"/>
                <w:b/>
                <w:bCs/>
                <w:color w:val="C0392B"/>
                <w:sz w:val="20"/>
                <w:szCs w:val="20"/>
              </w:rPr>
              <w:t xml:space="preserve">1 Apr 2026</w:t>
            </w:r>
          </w:p>
        </w:tc>
        <w:tc>
          <w:tcPr>
            <w:tcW w:type="dxa" w:w="7160"/>
            <w:tcBorders>
              <w:top w:val="single" w:color="CCCCCC" w:sz="1"/>
              <w:left w:val="single" w:color="CCCCCC" w:sz="1"/>
              <w:bottom w:val="single" w:color="CCCCCC" w:sz="1"/>
              <w:right w:val="none" w:color="FFFFFF" w:sz="0"/>
            </w:tcBorders>
            <w:shd w:fill="FBEAEA"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Nestlé launches the 'Stolen KitKat Tracker'—a purpose-built digital tool developed in collaboration with creative agency VML—hosted on an official Nestlé corporate website. The tool allows consumers to enter the 8-digit batch code from any KitKat bar to verify whether it is part of the stolen shipment. KitKat's Instagram clarifies explicitly: 'Just to clarify, this is not a stunt, or an April Fool's joke. Someone really stole 12 tonnes of KitKats.' The US Stolen KitKat social accounts begin posting meme content including an 'evidence board' and Ocean's Eleven references.</w:t>
            </w:r>
          </w:p>
        </w:tc>
      </w:tr>
      <w:tr>
        <w:tc>
          <w:tcPr>
            <w:tcW w:type="dxa" w:w="2200"/>
            <w:tcBorders>
              <w:top w:val="single" w:color="CCCCCC" w:sz="1"/>
              <w:left w:val="none" w:color="FFFFFF" w:sz="0"/>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b/>
                <w:bCs/>
                <w:color w:val="C0392B"/>
                <w:sz w:val="20"/>
                <w:szCs w:val="20"/>
              </w:rPr>
              <w:t xml:space="preserve">1–2 Apr 2026</w:t>
            </w:r>
          </w:p>
        </w:tc>
        <w:tc>
          <w:tcPr>
            <w:tcW w:type="dxa" w:w="7160"/>
            <w:tcBorders>
              <w:top w:val="single" w:color="CCCCCC" w:sz="1"/>
              <w:left w:val="single" w:color="CCCCCC" w:sz="1"/>
              <w:bottom w:val="single" w:color="CCCCCC" w:sz="1"/>
              <w:right w:val="none" w:color="FFFFFF" w:sz="0"/>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Brand pile-on reaches maximum velocity. KFC, DoorDash, McDonald's, Microsoft Edge, Crumbl Cookies, IKEA, the City of Montreal, tourism boards, sports teams, and police forces worldwide post alibi content. DoorDash claims to have 'accidentally' received 12 tonnes of KitKats. Picsart collaborates with AI influencer Charmbusters on a parody reel. The incident is referenced in the US Senate Judiciary Committee hearings on retail crime.</w:t>
            </w:r>
          </w:p>
        </w:tc>
      </w:tr>
      <w:tr>
        <w:tc>
          <w:tcPr>
            <w:tcW w:type="dxa" w:w="2200"/>
            <w:tcBorders>
              <w:top w:val="single" w:color="CCCCCC" w:sz="1"/>
              <w:left w:val="none" w:color="FFFFFF" w:sz="0"/>
              <w:bottom w:val="single" w:color="CCCCCC" w:sz="1"/>
              <w:right w:val="single" w:color="CCCCCC" w:sz="1"/>
            </w:tcBorders>
            <w:shd w:fill="FBEAEA" w:val="clear"/>
            <w:tcMar>
              <w:top w:type="dxa" w:w="80"/>
              <w:left w:type="dxa" w:w="120"/>
              <w:bottom w:type="dxa" w:w="80"/>
              <w:right w:type="dxa" w:w="120"/>
            </w:tcMar>
          </w:tcPr>
          <w:p>
            <w:pPr>
              <w:spacing w:after="0" w:before="0"/>
            </w:pPr>
            <w:r>
              <w:rPr>
                <w:rFonts w:ascii="Calibri" w:cs="Calibri" w:eastAsia="Calibri" w:hAnsi="Calibri"/>
                <w:b/>
                <w:bCs/>
                <w:color w:val="C0392B"/>
                <w:sz w:val="20"/>
                <w:szCs w:val="20"/>
              </w:rPr>
              <w:t xml:space="preserve">2–9 Apr 2026</w:t>
            </w:r>
          </w:p>
        </w:tc>
        <w:tc>
          <w:tcPr>
            <w:tcW w:type="dxa" w:w="7160"/>
            <w:tcBorders>
              <w:top w:val="single" w:color="CCCCCC" w:sz="1"/>
              <w:left w:val="single" w:color="CCCCCC" w:sz="1"/>
              <w:bottom w:val="single" w:color="CCCCCC" w:sz="1"/>
              <w:right w:val="none" w:color="FFFFFF" w:sz="0"/>
            </w:tcBorders>
            <w:shd w:fill="FBEAEA"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KitKat Canada stages a playful 'Easter security convoy'—real lorries escorted by security vehicles through Toronto—generating a second wave of earned media coverage. Industry analysis publications (PPC Land, BizCommunity, CIM, Confectionery News) publish detailed case studies. The Stolen KitKat Tracker remains active.</w:t>
            </w:r>
          </w:p>
        </w:tc>
      </w:tr>
      <w:tr>
        <w:tc>
          <w:tcPr>
            <w:tcW w:type="dxa" w:w="2200"/>
            <w:tcBorders>
              <w:top w:val="single" w:color="CCCCCC" w:sz="1"/>
              <w:left w:val="none" w:color="FFFFFF" w:sz="0"/>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b/>
                <w:bCs/>
                <w:color w:val="C0392B"/>
                <w:sz w:val="20"/>
                <w:szCs w:val="20"/>
              </w:rPr>
              <w:t xml:space="preserve">10–12 Apr 2026</w:t>
            </w:r>
          </w:p>
        </w:tc>
        <w:tc>
          <w:tcPr>
            <w:tcW w:type="dxa" w:w="7160"/>
            <w:tcBorders>
              <w:top w:val="single" w:color="CCCCCC" w:sz="1"/>
              <w:left w:val="single" w:color="CCCCCC" w:sz="1"/>
              <w:bottom w:val="single" w:color="CCCCCC" w:sz="1"/>
              <w:right w:val="none" w:color="FFFFFF" w:sz="0"/>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As of the date of this report, the stolen shipment remains unrecovered. Investigations continue with Italian authorities and Nestlé's logistics partners. Academic and marketing analysis of the crisis response proliferates. The case is established as a defining crisis-communication case study of 2026.</w:t>
            </w:r>
          </w:p>
        </w:tc>
      </w:tr>
    </w:tbl>
    <w:p>
      <w:pPr>
        <w:spacing w:after="200" w:before="0"/>
      </w:pPr>
      <w:r>
        <w:t xml:space="preserve"/>
      </w:r>
    </w:p>
    <w:p>
      <w:pPr>
        <w:pStyle w:val="Heading2"/>
        <w:pBdr>
          <w:bottom w:val="single" w:color="C0392B" w:sz="2" w:space="1"/>
        </w:pBdr>
        <w:spacing w:after="120" w:before="280"/>
      </w:pPr>
      <w:r>
        <w:rPr>
          <w:rFonts w:ascii="Calibri" w:cs="Calibri" w:eastAsia="Calibri" w:hAnsi="Calibri"/>
          <w:b/>
          <w:bCs/>
          <w:color w:val="1B2A4A"/>
          <w:sz w:val="26"/>
          <w:szCs w:val="26"/>
        </w:rPr>
        <w:t xml:space="preserve">2.2 Phase Analysis</w:t>
      </w:r>
    </w:p>
    <w:p>
      <w:pPr>
        <w:pStyle w:val="Heading3"/>
        <w:spacing w:after="80" w:before="200"/>
      </w:pPr>
      <w:r>
        <w:rPr>
          <w:rFonts w:ascii="Calibri" w:cs="Calibri" w:eastAsia="Calibri" w:hAnsi="Calibri"/>
          <w:b/>
          <w:bCs/>
          <w:i/>
          <w:iCs/>
          <w:color w:val="922B21"/>
          <w:sz w:val="22"/>
          <w:szCs w:val="22"/>
        </w:rPr>
        <w:t xml:space="preserve">Phase 1: Pre-Crisis Signals</w:t>
      </w:r>
    </w:p>
    <w:p>
      <w:pPr>
        <w:spacing w:after="100" w:before="60" w:line="276"/>
        <w:jc w:val="both"/>
      </w:pPr>
      <w:r>
        <w:rPr>
          <w:rFonts w:ascii="Calibri" w:cs="Calibri" w:eastAsia="Calibri" w:hAnsi="Calibri"/>
          <w:b w:val="false"/>
          <w:bCs w:val="false"/>
          <w:i w:val="false"/>
          <w:iCs w:val="false"/>
          <w:color w:val="000000"/>
          <w:sz w:val="22"/>
          <w:szCs w:val="22"/>
        </w:rPr>
        <w:t xml:space="preserve">The pre-crisis environment exhibited several structural risk indicators that, while individually unremarkable, collectively constituted a threat landscape for high-value FMCG shipments across European freight corridors. Cargo theft across the continent had been escalating consistently through 2023–2025, with TAPA EMEA data recording over 50,000 incidents and $8.9 billion in annual losses. The specific profile of organised crime targeting branded, high-volume consumer goods—which are easily fenced in secondary markets—was well documented by freight security organisations. The KitKat F1 partnership, while commercially exciting, created an additional risk vector: a publicly known, high-profile product line with predictable production and distribution logistics.</w:t>
      </w:r>
    </w:p>
    <w:p>
      <w:pPr>
        <w:pStyle w:val="Heading3"/>
        <w:spacing w:after="80" w:before="200"/>
      </w:pPr>
      <w:r>
        <w:rPr>
          <w:rFonts w:ascii="Calibri" w:cs="Calibri" w:eastAsia="Calibri" w:hAnsi="Calibri"/>
          <w:b/>
          <w:bCs/>
          <w:i/>
          <w:iCs/>
          <w:color w:val="922B21"/>
          <w:sz w:val="22"/>
          <w:szCs w:val="22"/>
        </w:rPr>
        <w:t xml:space="preserve">Phase 2: Crisis Trigger</w:t>
      </w:r>
    </w:p>
    <w:p>
      <w:pPr>
        <w:spacing w:after="100" w:before="60" w:line="276"/>
        <w:jc w:val="both"/>
      </w:pPr>
      <w:r>
        <w:rPr>
          <w:rFonts w:ascii="Calibri" w:cs="Calibri" w:eastAsia="Calibri" w:hAnsi="Calibri"/>
          <w:b w:val="false"/>
          <w:bCs w:val="false"/>
          <w:i w:val="false"/>
          <w:iCs w:val="false"/>
          <w:color w:val="000000"/>
          <w:sz w:val="22"/>
          <w:szCs w:val="22"/>
        </w:rPr>
        <w:t xml:space="preserve">The trigger event—the hijacking of the lorry near Turin—constituted what Coombs' SCCT framework classifies as an 'accidental crisis' or more precisely a 'victim crisis' (see Section V for full SCCT analysis), in which the organisation itself is a victim of external malicious actors. The trigger was not attributable to organisational negligence, product failure, or ethical misconduct, a factor that would prove decisive in determining the appropriate communication strategy.</w:t>
      </w:r>
    </w:p>
    <w:p>
      <w:pPr>
        <w:pStyle w:val="Heading3"/>
        <w:spacing w:after="80" w:before="200"/>
      </w:pPr>
      <w:r>
        <w:rPr>
          <w:rFonts w:ascii="Calibri" w:cs="Calibri" w:eastAsia="Calibri" w:hAnsi="Calibri"/>
          <w:b/>
          <w:bCs/>
          <w:i/>
          <w:iCs/>
          <w:color w:val="922B21"/>
          <w:sz w:val="22"/>
          <w:szCs w:val="22"/>
        </w:rPr>
        <w:t xml:space="preserve">Phase 3: Media Escalation</w:t>
      </w:r>
    </w:p>
    <w:p>
      <w:pPr>
        <w:spacing w:after="100" w:before="60" w:line="276"/>
        <w:jc w:val="both"/>
      </w:pPr>
      <w:r>
        <w:rPr>
          <w:rFonts w:ascii="Calibri" w:cs="Calibri" w:eastAsia="Calibri" w:hAnsi="Calibri"/>
          <w:b w:val="false"/>
          <w:bCs w:val="false"/>
          <w:i w:val="false"/>
          <w:iCs w:val="false"/>
          <w:color w:val="000000"/>
          <w:sz w:val="22"/>
          <w:szCs w:val="22"/>
        </w:rPr>
        <w:t xml:space="preserve">The crisis escalated through a recognisable media diffusion pattern: specialist sports press (The Athletic) → mainstream quality press (The Guardian, Forbes) → broadcast and digital global outlets → social media virality. The F1 connection served as a cross-over mechanism that transferred the story from the confectionery trade press into the sports, business, and general interest media spheres simultaneously. The Easter timing ensured editorial desks worldwide were receptive to a confectionery-themed human-interest story. Social media platforms—particularly Instagram and X—served as the primary acceleration engine, with the brand-banter ecosystem creating a self-amplifying content loop.</w:t>
      </w:r>
    </w:p>
    <w:p>
      <w:pPr>
        <w:pStyle w:val="Heading3"/>
        <w:spacing w:after="80" w:before="200"/>
      </w:pPr>
      <w:r>
        <w:rPr>
          <w:rFonts w:ascii="Calibri" w:cs="Calibri" w:eastAsia="Calibri" w:hAnsi="Calibri"/>
          <w:b/>
          <w:bCs/>
          <w:i/>
          <w:iCs/>
          <w:color w:val="922B21"/>
          <w:sz w:val="22"/>
          <w:szCs w:val="22"/>
        </w:rPr>
        <w:t xml:space="preserve">Phase 4: Corporate Response</w:t>
      </w:r>
    </w:p>
    <w:p>
      <w:pPr>
        <w:spacing w:after="100" w:before="60" w:line="276"/>
        <w:jc w:val="both"/>
      </w:pPr>
      <w:r>
        <w:rPr>
          <w:rFonts w:ascii="Calibri" w:cs="Calibri" w:eastAsia="Calibri" w:hAnsi="Calibri"/>
          <w:b w:val="false"/>
          <w:bCs w:val="false"/>
          <w:i w:val="false"/>
          <w:iCs w:val="false"/>
          <w:color w:val="000000"/>
          <w:sz w:val="22"/>
          <w:szCs w:val="22"/>
        </w:rPr>
        <w:t xml:space="preserve">Nestlé's corporate response was notable for its sequencing discipline: factual disclosure first (confirming the theft with no injuries and no consumer supply impact), emotional register second (the 'Have a Break' quip), and interactive engagement third (the Stolen KitKat Tracker). This sequencing ensured that the company's credibility as a transparent actor was established before any humorous or engagement-oriented content was deployed—a critically important ordering that prevented the response from appearing flippant about a genuine criminal incident.</w:t>
      </w:r>
    </w:p>
    <w:p>
      <w:pPr>
        <w:pStyle w:val="Heading3"/>
        <w:spacing w:after="80" w:before="200"/>
      </w:pPr>
      <w:r>
        <w:rPr>
          <w:rFonts w:ascii="Calibri" w:cs="Calibri" w:eastAsia="Calibri" w:hAnsi="Calibri"/>
          <w:b/>
          <w:bCs/>
          <w:i/>
          <w:iCs/>
          <w:color w:val="922B21"/>
          <w:sz w:val="22"/>
          <w:szCs w:val="22"/>
        </w:rPr>
        <w:t xml:space="preserve">Phase 5: Recovery and Ongoing Impact</w:t>
      </w:r>
    </w:p>
    <w:p>
      <w:pPr>
        <w:spacing w:after="100" w:before="60" w:line="276"/>
        <w:jc w:val="both"/>
      </w:pPr>
      <w:r>
        <w:rPr>
          <w:rFonts w:ascii="Calibri" w:cs="Calibri" w:eastAsia="Calibri" w:hAnsi="Calibri"/>
          <w:b w:val="false"/>
          <w:bCs w:val="false"/>
          <w:i w:val="false"/>
          <w:iCs w:val="false"/>
          <w:color w:val="000000"/>
          <w:sz w:val="22"/>
          <w:szCs w:val="22"/>
        </w:rPr>
        <w:t xml:space="preserve">As of April 12, 2026, the crisis is best characterised as in a 'sustained visibility' phase rather than a recovery phase, as the stolen product remains unrecovered and the investigation is ongoing. However, from a reputational standpoint, Nestlé has already achieved net-positive outcomes: elevated brand awareness, enhanced associations with wit and agility, amplified visibility for the F1 partnership, and an unprecedented volume of earned media estimated by some industry analysts as equivalent to tens of millions of dollars in paid advertising value.</w:t>
      </w:r>
    </w:p>
    <w:p>
      <w:pPr>
        <w:spacing w:after="1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III: Analysis of the Causes of the Crisis  </w:t>
      </w:r>
    </w:p>
    <w:p>
      <w:pPr>
        <w:pStyle w:val="Heading2"/>
        <w:pBdr>
          <w:bottom w:val="single" w:color="C0392B" w:sz="2" w:space="1"/>
        </w:pBdr>
        <w:spacing w:after="120" w:before="280"/>
      </w:pPr>
      <w:r>
        <w:rPr>
          <w:rFonts w:ascii="Calibri" w:cs="Calibri" w:eastAsia="Calibri" w:hAnsi="Calibri"/>
          <w:b/>
          <w:bCs/>
          <w:color w:val="1B2A4A"/>
          <w:sz w:val="26"/>
          <w:szCs w:val="26"/>
        </w:rPr>
        <w:t xml:space="preserve">3.1 Direct Causes</w:t>
      </w:r>
    </w:p>
    <w:p>
      <w:pPr>
        <w:spacing w:after="100" w:before="60" w:line="276"/>
        <w:jc w:val="both"/>
      </w:pPr>
      <w:r>
        <w:rPr>
          <w:rFonts w:ascii="Calibri" w:cs="Calibri" w:eastAsia="Calibri" w:hAnsi="Calibri"/>
          <w:b w:val="false"/>
          <w:bCs w:val="false"/>
          <w:i w:val="false"/>
          <w:iCs w:val="false"/>
          <w:color w:val="000000"/>
          <w:sz w:val="22"/>
          <w:szCs w:val="22"/>
        </w:rPr>
        <w:t xml:space="preserve">The immediate and proximate cause of the crisis was a premeditated act of organised cargo crime. The perpetrators' demonstrated knowledge of the shipment's route, timing, and cargo composition—details that were not publicly disclosed—strongly suggests the involvement of individuals with insider access to the logistics supply chain, as noted by Forbes in its initial coverage. The use of law enforcement impersonation indicates a level of operational sophistication that characterises professional organised crime networks rather than opportunistic theft. The specific targeting of a branded, highly recognisable product (KitKat F1 bars) in large quantities may reflect an assessment that the product's broad retail availability would facilitate rapid fencing across secondary markets in multiple European jurisdictions.</w:t>
      </w:r>
    </w:p>
    <w:p>
      <w:pPr>
        <w:pStyle w:val="Heading2"/>
        <w:pBdr>
          <w:bottom w:val="single" w:color="C0392B" w:sz="2" w:space="1"/>
        </w:pBdr>
        <w:spacing w:after="120" w:before="280"/>
      </w:pPr>
      <w:r>
        <w:rPr>
          <w:rFonts w:ascii="Calibri" w:cs="Calibri" w:eastAsia="Calibri" w:hAnsi="Calibri"/>
          <w:b/>
          <w:bCs/>
          <w:color w:val="1B2A4A"/>
          <w:sz w:val="26"/>
          <w:szCs w:val="26"/>
        </w:rPr>
        <w:t xml:space="preserve">3.2 Indirect Causes</w:t>
      </w:r>
    </w:p>
    <w:p>
      <w:pPr>
        <w:spacing w:after="100" w:before="60" w:line="276"/>
        <w:jc w:val="both"/>
      </w:pPr>
      <w:r>
        <w:rPr>
          <w:rFonts w:ascii="Calibri" w:cs="Calibri" w:eastAsia="Calibri" w:hAnsi="Calibri"/>
          <w:b w:val="false"/>
          <w:bCs w:val="false"/>
          <w:i w:val="false"/>
          <w:iCs w:val="false"/>
          <w:color w:val="000000"/>
          <w:sz w:val="22"/>
          <w:szCs w:val="22"/>
        </w:rPr>
        <w:t xml:space="preserve">Indirect causal factors include the inadequate security protocols governing high-value branded-goods transportation across European freight corridors. The incident exposed a structural vulnerability in the logistics model for FMCG brands: shipments of commercially valuable, easily resold consumer goods traversing multiple national jurisdictions with limited real-time security monitoring. The absence of effective GPS tracking or tamper-evident technology sufficient to prevent the theft—or enable rapid recovery—represents an industry-wide failure rather than a Nestlé-specific one, though the company's public disclosure of the incident implicitly acknowledged its own supply-chain security gaps.</w:t>
      </w:r>
    </w:p>
    <w:p>
      <w:pPr>
        <w:pStyle w:val="Heading2"/>
        <w:pBdr>
          <w:bottom w:val="single" w:color="C0392B" w:sz="2" w:space="1"/>
        </w:pBdr>
        <w:spacing w:after="120" w:before="280"/>
      </w:pPr>
      <w:r>
        <w:rPr>
          <w:rFonts w:ascii="Calibri" w:cs="Calibri" w:eastAsia="Calibri" w:hAnsi="Calibri"/>
          <w:b/>
          <w:bCs/>
          <w:color w:val="1B2A4A"/>
          <w:sz w:val="26"/>
          <w:szCs w:val="26"/>
        </w:rPr>
        <w:t xml:space="preserve">3.3 Structural Factors Within the Chocolate Industry</w:t>
      </w:r>
    </w:p>
    <w:p>
      <w:pPr>
        <w:spacing w:after="100" w:before="60" w:line="276"/>
        <w:jc w:val="both"/>
      </w:pPr>
      <w:r>
        <w:rPr>
          <w:rFonts w:ascii="Calibri" w:cs="Calibri" w:eastAsia="Calibri" w:hAnsi="Calibri"/>
          <w:b w:val="false"/>
          <w:bCs w:val="false"/>
          <w:i w:val="false"/>
          <w:iCs w:val="false"/>
          <w:color w:val="000000"/>
          <w:sz w:val="22"/>
          <w:szCs w:val="22"/>
        </w:rPr>
        <w:t xml:space="preserve">The chocolate and confectionery industry is characterised by several structural features that increase supply-chain vulnerability. Long and complex sourcing chains—from cocoa farms in West Africa through processing in continental Europe to distribution across global markets—involve numerous handoff points at which cargo integrity is at risk. The high brand recognition and broad retail distribution of products like KitKat bars make them particularly attractive targets, as stolen inventory can be sold through informal retail channels, market stalls, or online platforms with relative ease. The pre-Easter production surge creates predictable high-volume shipments on known logistics routes, enabling criminal actors to anticipate and target movements.</w:t>
      </w:r>
    </w:p>
    <w:p>
      <w:pPr>
        <w:pStyle w:val="Heading2"/>
        <w:pBdr>
          <w:bottom w:val="single" w:color="C0392B" w:sz="2" w:space="1"/>
        </w:pBdr>
        <w:spacing w:after="120" w:before="280"/>
      </w:pPr>
      <w:r>
        <w:rPr>
          <w:rFonts w:ascii="Calibri" w:cs="Calibri" w:eastAsia="Calibri" w:hAnsi="Calibri"/>
          <w:b/>
          <w:bCs/>
          <w:color w:val="1B2A4A"/>
          <w:sz w:val="26"/>
          <w:szCs w:val="26"/>
        </w:rPr>
        <w:t xml:space="preserve">3.4 The Role of Global Supply Chains</w:t>
      </w:r>
    </w:p>
    <w:p>
      <w:pPr>
        <w:spacing w:after="100" w:before="60" w:line="276"/>
        <w:jc w:val="both"/>
      </w:pPr>
      <w:r>
        <w:rPr>
          <w:rFonts w:ascii="Calibri" w:cs="Calibri" w:eastAsia="Calibri" w:hAnsi="Calibri"/>
          <w:b w:val="false"/>
          <w:bCs w:val="false"/>
          <w:i w:val="false"/>
          <w:iCs w:val="false"/>
          <w:color w:val="000000"/>
          <w:sz w:val="22"/>
          <w:szCs w:val="22"/>
        </w:rPr>
        <w:t xml:space="preserve">The KitKat Heist is a vivid illustration of the 'last-mile vulnerability' inherent in global supply chains. KitKat bars are produced at a manufacturing facility in central Italy—itself a node in a broader European production and distribution network—and then transported by road freight through multiple jurisdictions to reach retail partners across the continent. Road freight remains the predominant modality for European intra-continental goods movement, yet it is also the most vulnerable to criminal interception, accounting for 75% of all European cargo theft incidents according to TAPA EMEA data. The incident thus reflects a broader systemic fragility that affects all large FMCG manufacturers operating through European road logistics.</w:t>
      </w:r>
    </w:p>
    <w:p>
      <w:pPr>
        <w:pStyle w:val="Heading2"/>
        <w:pBdr>
          <w:bottom w:val="single" w:color="C0392B" w:sz="2" w:space="1"/>
        </w:pBdr>
        <w:spacing w:after="120" w:before="280"/>
      </w:pPr>
      <w:r>
        <w:rPr>
          <w:rFonts w:ascii="Calibri" w:cs="Calibri" w:eastAsia="Calibri" w:hAnsi="Calibri"/>
          <w:b/>
          <w:bCs/>
          <w:color w:val="1B2A4A"/>
          <w:sz w:val="26"/>
          <w:szCs w:val="26"/>
        </w:rPr>
        <w:t xml:space="preserve">3.5 The Role of Social Media in Amplifying the Crisis</w:t>
      </w:r>
    </w:p>
    <w:p>
      <w:pPr>
        <w:spacing w:after="100" w:before="60" w:line="276"/>
        <w:jc w:val="both"/>
      </w:pPr>
      <w:r>
        <w:rPr>
          <w:rFonts w:ascii="Calibri" w:cs="Calibri" w:eastAsia="Calibri" w:hAnsi="Calibri"/>
          <w:b w:val="false"/>
          <w:bCs w:val="false"/>
          <w:i w:val="false"/>
          <w:iCs w:val="false"/>
          <w:color w:val="000000"/>
          <w:sz w:val="22"/>
          <w:szCs w:val="22"/>
        </w:rPr>
        <w:t xml:space="preserve">Social media played a dual and somewhat paradoxical role in this crisis: it was simultaneously a risk amplifier (ensuring the incident achieved global visibility that a quieter internal management approach would have avoided) and a crisis-resolution tool (providing the platform through which KitKat's wit-infused response could achieve disproportionate reach). The incident illustrates a defining dynamic of contemporary crisis communication: in the digital media environment, corporate crises can no longer be managed internally or contained to specialist trade press. Any sufficiently newsworthy incident—particularly one involving a globally recognised consumer brand—will achieve mainstream social media saturation within 24–48 hours of public disclosure, regardless of whether the company chooses to engage proactively.</w:t>
      </w:r>
    </w:p>
    <w:p>
      <w:pPr>
        <w:spacing w:after="100" w:before="60" w:line="276"/>
        <w:jc w:val="both"/>
      </w:pPr>
      <w:r>
        <w:rPr>
          <w:rFonts w:ascii="Calibri" w:cs="Calibri" w:eastAsia="Calibri" w:hAnsi="Calibri"/>
          <w:b w:val="false"/>
          <w:bCs w:val="false"/>
          <w:i w:val="false"/>
          <w:iCs w:val="false"/>
          <w:color w:val="000000"/>
          <w:sz w:val="22"/>
          <w:szCs w:val="22"/>
        </w:rPr>
        <w:t xml:space="preserve">Nestlé's decision to engage proactively and authentically—rather than retreating to defensive, legalistic communication—reflects a sophisticated understanding of this dynamic and will be explored in depth in Section V.</w:t>
      </w:r>
    </w:p>
    <w:p>
      <w:pPr>
        <w:spacing w:after="1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IV: Analysis of Digital Media Coverage  </w:t>
      </w:r>
    </w:p>
    <w:p>
      <w:pPr>
        <w:pStyle w:val="Heading2"/>
        <w:pBdr>
          <w:bottom w:val="single" w:color="C0392B" w:sz="2" w:space="1"/>
        </w:pBdr>
        <w:spacing w:after="120" w:before="280"/>
      </w:pPr>
      <w:r>
        <w:rPr>
          <w:rFonts w:ascii="Calibri" w:cs="Calibri" w:eastAsia="Calibri" w:hAnsi="Calibri"/>
          <w:b/>
          <w:bCs/>
          <w:color w:val="1B2A4A"/>
          <w:sz w:val="26"/>
          <w:szCs w:val="26"/>
        </w:rPr>
        <w:t xml:space="preserve">4.1 Digital Journalism Response</w:t>
      </w:r>
    </w:p>
    <w:p>
      <w:pPr>
        <w:spacing w:after="100" w:before="60" w:line="276"/>
        <w:jc w:val="both"/>
      </w:pPr>
      <w:r>
        <w:rPr>
          <w:rFonts w:ascii="Calibri" w:cs="Calibri" w:eastAsia="Calibri" w:hAnsi="Calibri"/>
          <w:b w:val="false"/>
          <w:bCs w:val="false"/>
          <w:i w:val="false"/>
          <w:iCs w:val="false"/>
          <w:color w:val="000000"/>
          <w:sz w:val="22"/>
          <w:szCs w:val="22"/>
        </w:rPr>
        <w:t xml:space="preserve">The digital journalism ecosystem's response to the KitKat Heist followed a recognisable multi-wave diffusion pattern, distinguished by the unusual breadth of journalistic genres engaged by a single confectionery-logistics story. The initial news break via specialist sports publication The Athletic—driven by the F1 partnership angle—was unusual; most FMCG supply-chain incidents would enter the public record through trade or financial press. However, the F1 connection created immediate resonance with sports journalists, drawing in a readership not typically engaged with chocolate brand news.</w:t>
      </w:r>
    </w:p>
    <w:p>
      <w:pPr>
        <w:spacing w:after="100" w:before="60" w:line="276"/>
        <w:jc w:val="both"/>
      </w:pPr>
      <w:r>
        <w:rPr>
          <w:rFonts w:ascii="Calibri" w:cs="Calibri" w:eastAsia="Calibri" w:hAnsi="Calibri"/>
          <w:b w:val="false"/>
          <w:bCs w:val="false"/>
          <w:i w:val="false"/>
          <w:iCs w:val="false"/>
          <w:color w:val="000000"/>
          <w:sz w:val="22"/>
          <w:szCs w:val="22"/>
        </w:rPr>
        <w:t xml:space="preserve">The second wave encompassed mainstream quality press (The Guardian, Forbes, TIME magazine, Fast Company), all of whom framed the story primarily as a brand-communication success story and human-interest piece rather than a criminal investigation. The third wave involved extensive coverage in marketing, PR, and communications trade press (PRNewsonline, PPC Land, Famous Campaigns, BizCommunity, CIM), providing detailed analytical commentary on the crisis response strategy. By April 2026, the incident had been the subject of academic commentary from the Darden School of Business at the University of Virginia, the Institute of Marketing Management (IMM) in South Africa, and multiple university communications departments—an unusual academic penetration for a commercial brand incident within days of its occurrence.</w:t>
      </w:r>
    </w:p>
    <w:p>
      <w:pPr>
        <w:spacing w:after="100" w:before="60" w:line="276"/>
        <w:jc w:val="both"/>
      </w:pPr>
      <w:r>
        <w:rPr>
          <w:rFonts w:ascii="Calibri" w:cs="Calibri" w:eastAsia="Calibri" w:hAnsi="Calibri"/>
          <w:b w:val="false"/>
          <w:bCs w:val="false"/>
          <w:i w:val="false"/>
          <w:iCs w:val="false"/>
          <w:color w:val="000000"/>
          <w:sz w:val="22"/>
          <w:szCs w:val="22"/>
        </w:rPr>
        <w:t xml:space="preserve">A significant journalistic sub-narrative concerned the authenticity of the incident itself. A commentary in The Drum by a PR veteran raised several flags: the original AFP wire report was vague about the precise location of the theft, no police crime reference number was made public, and Nestlé's use of PR Newswire rather than its own news platform was noted as atypical. Nestlé and KitKat moved quickly to counter this scepticism, with direct statements to TIME magazine and KitKat's official Instagram confirming the theft as genuine—a necessary and credibility-protecting move.</w:t>
      </w:r>
    </w:p>
    <w:p>
      <w:pPr>
        <w:pStyle w:val="Heading2"/>
        <w:pBdr>
          <w:bottom w:val="single" w:color="C0392B" w:sz="2" w:space="1"/>
        </w:pBdr>
        <w:spacing w:after="120" w:before="280"/>
      </w:pPr>
      <w:r>
        <w:rPr>
          <w:rFonts w:ascii="Calibri" w:cs="Calibri" w:eastAsia="Calibri" w:hAnsi="Calibri"/>
          <w:b/>
          <w:bCs/>
          <w:color w:val="1B2A4A"/>
          <w:sz w:val="26"/>
          <w:szCs w:val="26"/>
        </w:rPr>
        <w:t xml:space="preserve">4.2 Public Opinion Trends Across Social Media Platforms</w:t>
      </w:r>
    </w:p>
    <w:p>
      <w:pPr>
        <w:spacing w:after="100" w:before="60" w:line="276"/>
        <w:jc w:val="both"/>
      </w:pPr>
      <w:r>
        <w:rPr>
          <w:rFonts w:ascii="Calibri" w:cs="Calibri" w:eastAsia="Calibri" w:hAnsi="Calibri"/>
          <w:b w:val="false"/>
          <w:bCs w:val="false"/>
          <w:i w:val="false"/>
          <w:iCs w:val="false"/>
          <w:color w:val="000000"/>
          <w:sz w:val="22"/>
          <w:szCs w:val="22"/>
        </w:rPr>
        <w:t xml:space="preserve">Social media sentiment analysis across platforms revealed overwhelmingly positive and playful public engagement, with no significant negative sentiment directed at Nestlé or KitKat as a result of the incident. The public's response was characterised by:</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Humour and meme creation: The scale and absurdity of the theft generated immediate meme content across X, Instagram, TikTok, and Reddit, with users joking about the thieves' motivation, the difficulty of fencing 12 tonnes of branded chocolate, and the logistics of a 'chocolate heist' escape plan.</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Brand affinity reinforcement: Consumer sentiment data indicated that KitKat's humorous response strengthened existing positive associations with the brand, with many social media users explicitly praising the company's tone.</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Curiosity and participation: The Stolen KitKat Tracker generated significant consumer participation, with users sharing screenshots of their batch code results across platforms—effectively turning product traceability technology into a gamified engagement mechanic.</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Cross-platform coherence: The 'official statement' meme format—in which brands issued formal-looking but humorous alibi statements—maintained remarkable tonal consistency across platforms, creating a coherent distributed cultural narrative. Marketing analysis firm Picsart identified this as one of the most effectively executed brand meme trends of early 2026.</w:t>
      </w:r>
    </w:p>
    <w:p>
      <w:pPr>
        <w:pStyle w:val="Heading2"/>
        <w:pBdr>
          <w:bottom w:val="single" w:color="C0392B" w:sz="2" w:space="1"/>
        </w:pBdr>
        <w:spacing w:after="120" w:before="280"/>
      </w:pPr>
      <w:r>
        <w:rPr>
          <w:rFonts w:ascii="Calibri" w:cs="Calibri" w:eastAsia="Calibri" w:hAnsi="Calibri"/>
          <w:b/>
          <w:bCs/>
          <w:color w:val="1B2A4A"/>
          <w:sz w:val="26"/>
          <w:szCs w:val="26"/>
        </w:rPr>
        <w:t xml:space="preserve">4.3 The Role of Hashtags and Boycott Campaigns</w:t>
      </w:r>
    </w:p>
    <w:p>
      <w:pPr>
        <w:spacing w:after="100" w:before="60" w:line="276"/>
        <w:jc w:val="both"/>
      </w:pPr>
      <w:r>
        <w:rPr>
          <w:rFonts w:ascii="Calibri" w:cs="Calibri" w:eastAsia="Calibri" w:hAnsi="Calibri"/>
          <w:b w:val="false"/>
          <w:bCs w:val="false"/>
          <w:i w:val="false"/>
          <w:iCs w:val="false"/>
          <w:color w:val="000000"/>
          <w:sz w:val="22"/>
          <w:szCs w:val="22"/>
        </w:rPr>
        <w:t xml:space="preserve">Unlike many corporate crises involving ethical dimensions, the KitKat Heist generated no significant boycott movements or adversarial hashtag campaigns. The dominant hashtag ecosystems around the incident were affirmative and participatory: variations on #KitKatHeist, #GreatKitKatHeist, #StolenKitKat, and brand-specific derivative tags. This absence of adversarial hashtag mobilisation is attributable to the crisis's fundamental nature: Nestlé was the victim of the incident, not its author, and there was no consumer harm, ethical misconduct, or corporate negligence to galvanise activist energy.</w:t>
      </w:r>
    </w:p>
    <w:p>
      <w:pPr>
        <w:spacing w:after="100" w:before="60" w:line="276"/>
        <w:jc w:val="both"/>
      </w:pPr>
      <w:r>
        <w:rPr>
          <w:rFonts w:ascii="Calibri" w:cs="Calibri" w:eastAsia="Calibri" w:hAnsi="Calibri"/>
          <w:b w:val="false"/>
          <w:bCs w:val="false"/>
          <w:i w:val="false"/>
          <w:iCs w:val="false"/>
          <w:color w:val="000000"/>
          <w:sz w:val="22"/>
          <w:szCs w:val="22"/>
        </w:rPr>
        <w:t xml:space="preserve">It is, however, academically important to note that Nestlé's broader controversy history—spanning decades of criticism over infant formula marketing practices, water privatisation, cocoa supply chain labour standards, and environmental commitments—means that the company operates with a reputational 'negative equity' on certain activist platforms. Had the KitKat Heist coincided with a resurgence of these legacy criticisms, or had it involved any element of consumer harm, the hashtag landscape would likely have been significantly more hostile.</w:t>
      </w:r>
    </w:p>
    <w:p>
      <w:pPr>
        <w:pStyle w:val="Heading2"/>
        <w:pBdr>
          <w:bottom w:val="single" w:color="C0392B" w:sz="2" w:space="1"/>
        </w:pBdr>
        <w:spacing w:after="120" w:before="280"/>
      </w:pPr>
      <w:r>
        <w:rPr>
          <w:rFonts w:ascii="Calibri" w:cs="Calibri" w:eastAsia="Calibri" w:hAnsi="Calibri"/>
          <w:b/>
          <w:bCs/>
          <w:color w:val="1B2A4A"/>
          <w:sz w:val="26"/>
          <w:szCs w:val="26"/>
        </w:rPr>
        <w:t xml:space="preserve">4.4 The Role of Influencers</w:t>
      </w:r>
    </w:p>
    <w:p>
      <w:pPr>
        <w:spacing w:after="100" w:before="60" w:line="276"/>
        <w:jc w:val="both"/>
      </w:pPr>
      <w:r>
        <w:rPr>
          <w:rFonts w:ascii="Calibri" w:cs="Calibri" w:eastAsia="Calibri" w:hAnsi="Calibri"/>
          <w:b w:val="false"/>
          <w:bCs w:val="false"/>
          <w:i w:val="false"/>
          <w:iCs w:val="false"/>
          <w:color w:val="000000"/>
          <w:sz w:val="22"/>
          <w:szCs w:val="22"/>
        </w:rPr>
        <w:t xml:space="preserve">The influencer landscape's engagement with the KitKat Heist operated at two distinct levels. First, organic micro and macro-influencer content proliferated across platforms as individual creators responded to the trending story with original commentary, reaction videos, and creative riffs on the heist narrative—mirroring but not identical to the brand-banter ecosystem.</w:t>
      </w:r>
    </w:p>
    <w:p>
      <w:pPr>
        <w:spacing w:after="100" w:before="60" w:line="276"/>
        <w:jc w:val="both"/>
      </w:pPr>
      <w:r>
        <w:rPr>
          <w:rFonts w:ascii="Calibri" w:cs="Calibri" w:eastAsia="Calibri" w:hAnsi="Calibri"/>
          <w:b w:val="false"/>
          <w:bCs w:val="false"/>
          <w:i w:val="false"/>
          <w:iCs w:val="false"/>
          <w:color w:val="000000"/>
          <w:sz w:val="22"/>
          <w:szCs w:val="22"/>
        </w:rPr>
        <w:t xml:space="preserve">Second, and more formally, brand Picsart executed a deliberate influencer-marketing strategy by partnering with AI influencer Charmbusters to produce a parody reel that extended the brand meme trend into video format at the peak of its virality. This case illustrates a sophisticated understanding of trend lifecycle management: by deploying the Charmbusters collaboration while the trend was still peaking (rather than after), Picsart achieved what its own social analytics identified as some of its strongest social numbers to date. The use of an AI influencer in this context also reflects the emergent normalisation of synthetic content creators in mainstream brand marketing by 2026.</w:t>
      </w:r>
    </w:p>
    <w:p>
      <w:pPr>
        <w:spacing w:after="100" w:before="60" w:line="276"/>
        <w:jc w:val="both"/>
      </w:pPr>
      <w:r>
        <w:rPr>
          <w:rFonts w:ascii="Calibri" w:cs="Calibri" w:eastAsia="Calibri" w:hAnsi="Calibri"/>
          <w:b w:val="false"/>
          <w:bCs w:val="false"/>
          <w:i w:val="false"/>
          <w:iCs w:val="false"/>
          <w:color w:val="000000"/>
          <w:sz w:val="22"/>
          <w:szCs w:val="22"/>
        </w:rPr>
        <w:t xml:space="preserve">Adam Ritchie, principal of Adam Ritchie Brand Direction and author of Invention in PR, characterised the broader influencer and brand-engagement phenomenon around the heist as an example of 'brandjacking'—where brands seize the role of thematic participants in a trending story—rather than traditional newsjacking. This distinction is analytically significant: unlike newsjacking, which positions a brand as a commentator on external events, brandjacking transforms the brand into a character within the story's narrative universe.</w:t>
      </w:r>
    </w:p>
    <w:p>
      <w:pPr>
        <w:spacing w:after="1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V: Analysis of Crisis Communication Strategies  </w:t>
      </w:r>
    </w:p>
    <w:p>
      <w:pPr>
        <w:pStyle w:val="Heading2"/>
        <w:pBdr>
          <w:bottom w:val="single" w:color="C0392B" w:sz="2" w:space="1"/>
        </w:pBdr>
        <w:spacing w:after="120" w:before="280"/>
      </w:pPr>
      <w:r>
        <w:rPr>
          <w:rFonts w:ascii="Calibri" w:cs="Calibri" w:eastAsia="Calibri" w:hAnsi="Calibri"/>
          <w:b/>
          <w:bCs/>
          <w:color w:val="1B2A4A"/>
          <w:sz w:val="26"/>
          <w:szCs w:val="26"/>
        </w:rPr>
        <w:t xml:space="preserve">5.1 Theoretical Framework: Situational Crisis Communication Theory (SCCT)</w:t>
      </w:r>
    </w:p>
    <w:p>
      <w:pPr>
        <w:spacing w:after="100" w:before="60" w:line="276"/>
        <w:jc w:val="both"/>
      </w:pPr>
      <w:r>
        <w:rPr>
          <w:rFonts w:ascii="Calibri" w:cs="Calibri" w:eastAsia="Calibri" w:hAnsi="Calibri"/>
          <w:b w:val="false"/>
          <w:bCs w:val="false"/>
          <w:i w:val="false"/>
          <w:iCs w:val="false"/>
          <w:color w:val="000000"/>
          <w:sz w:val="22"/>
          <w:szCs w:val="22"/>
        </w:rPr>
        <w:t xml:space="preserve">Coombs' (2007) Situational Crisis Communication Theory provides the most analytically productive primary framework for this case. SCCT posits that the appropriate crisis communication strategy is determined by the crisis type—which in turn is assessed through the dimension of crisis responsibility attributable to the organisation. The theory identifies three clusters of crisis types:</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Victim cluster: Natural disasters, workplace violence, product tampering, rumours — situations in which the organisation is a victim of external forces and bears minimal crisis responsibility.</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Accidental cluster: Technical breakdowns, challenges — situations involving unintentional organisational actions with moderate attributed responsibility.</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Preventable cluster: Human error, organisational misdeeds — situations involving intentional harmful actions or wilful negligence with maximum attributed responsibility.</w:t>
      </w:r>
    </w:p>
    <w:p>
      <w:pPr>
        <w:pStyle w:val="Heading3"/>
        <w:spacing w:after="80" w:before="200"/>
      </w:pPr>
      <w:r>
        <w:rPr>
          <w:rFonts w:ascii="Calibri" w:cs="Calibri" w:eastAsia="Calibri" w:hAnsi="Calibri"/>
          <w:b/>
          <w:bCs/>
          <w:i/>
          <w:iCs/>
          <w:color w:val="922B21"/>
          <w:sz w:val="22"/>
          <w:szCs w:val="22"/>
        </w:rPr>
        <w:t xml:space="preserve">SCCT Classification: Victim Crisis — Product Tampering / External Malicious Action</w:t>
      </w:r>
    </w:p>
    <w:p>
      <w:pPr>
        <w:spacing w:after="100" w:before="60" w:line="276"/>
        <w:jc w:val="both"/>
      </w:pPr>
      <w:r>
        <w:rPr>
          <w:rFonts w:ascii="Calibri" w:cs="Calibri" w:eastAsia="Calibri" w:hAnsi="Calibri"/>
          <w:b w:val="false"/>
          <w:bCs w:val="false"/>
          <w:i w:val="false"/>
          <w:iCs w:val="false"/>
          <w:color w:val="000000"/>
          <w:sz w:val="22"/>
          <w:szCs w:val="22"/>
        </w:rPr>
        <w:t xml:space="preserve">Under SCCT's classification framework, the KitKat Heist is unambiguously categorised within the Victim Cluster, specifically as a product tampering or external malicious action scenario. The organisation bore no causal responsibility for the theft—it was the victim of a sophisticated organised crime operation. This classification carries direct implications for communication strategy: SCCT prescribes minimal accommodation and maximum information-provision responses for victim crises, as the threat to organisational reputation is inherently low when public attribution of responsibility is clearly external.</w:t>
      </w:r>
    </w:p>
    <w:p>
      <w:pPr>
        <w:pStyle w:val="Heading3"/>
        <w:spacing w:after="80" w:before="200"/>
      </w:pPr>
      <w:r>
        <w:rPr>
          <w:rFonts w:ascii="Calibri" w:cs="Calibri" w:eastAsia="Calibri" w:hAnsi="Calibri"/>
          <w:b/>
          <w:bCs/>
          <w:i/>
          <w:iCs/>
          <w:color w:val="922B21"/>
          <w:sz w:val="22"/>
          <w:szCs w:val="22"/>
        </w:rPr>
        <w:t xml:space="preserve">SCCT-Prescribed Response Strategies Applied by KitKat</w:t>
      </w:r>
    </w:p>
    <w:p>
      <w:pPr>
        <w:spacing w:after="100" w:before="60" w:line="276"/>
        <w:jc w:val="both"/>
      </w:pPr>
      <w:r>
        <w:rPr>
          <w:rFonts w:ascii="Calibri" w:cs="Calibri" w:eastAsia="Calibri" w:hAnsi="Calibri"/>
          <w:b w:val="false"/>
          <w:bCs w:val="false"/>
          <w:i w:val="false"/>
          <w:iCs w:val="false"/>
          <w:color w:val="000000"/>
          <w:sz w:val="22"/>
          <w:szCs w:val="22"/>
        </w:rPr>
        <w:t xml:space="preserve">KitKat's response aligned precisely with SCCT's victim-crisis prescriptions across four strategic dimensions:</w:t>
      </w:r>
    </w:p>
    <w:p>
      <w:pPr>
        <w:pStyle w:val="ListParagraph"/>
        <w:numPr>
          <w:ilvl w:val="0"/>
          <w:numId w:val="3"/>
        </w:numPr>
        <w:spacing w:after="40" w:before="40" w:line="264"/>
        <w:ind w:left="720" w:hanging="360"/>
      </w:pPr>
      <w:r>
        <w:rPr>
          <w:rFonts w:ascii="Calibri" w:cs="Calibri" w:eastAsia="Calibri" w:hAnsi="Calibri"/>
          <w:sz w:val="22"/>
          <w:szCs w:val="22"/>
        </w:rPr>
        <w:t xml:space="preserve">Instructing information: Immediate disclosure of factual details (413,793 bars, 12 tonnes, Italy-to-Poland route, no injuries, no supply impact) to inform affected stakeholders and prevent information vacuums that could be filled by speculation or misinformation.</w:t>
      </w:r>
    </w:p>
    <w:p>
      <w:pPr>
        <w:pStyle w:val="ListParagraph"/>
        <w:numPr>
          <w:ilvl w:val="0"/>
          <w:numId w:val="3"/>
        </w:numPr>
        <w:spacing w:after="40" w:before="40" w:line="264"/>
        <w:ind w:left="720" w:hanging="360"/>
      </w:pPr>
      <w:r>
        <w:rPr>
          <w:rFonts w:ascii="Calibri" w:cs="Calibri" w:eastAsia="Calibri" w:hAnsi="Calibri"/>
          <w:sz w:val="22"/>
          <w:szCs w:val="22"/>
        </w:rPr>
        <w:t xml:space="preserve">Adjusting information: The Stolen KitKat Tracker provided consumers with direct, actionable tools to participate in the resolution of the incident, transforming a passive information-receipt moment into an active engagement mechanic.</w:t>
      </w:r>
    </w:p>
    <w:p>
      <w:pPr>
        <w:pStyle w:val="ListParagraph"/>
        <w:numPr>
          <w:ilvl w:val="0"/>
          <w:numId w:val="3"/>
        </w:numPr>
        <w:spacing w:after="40" w:before="40" w:line="264"/>
        <w:ind w:left="720" w:hanging="360"/>
      </w:pPr>
      <w:r>
        <w:rPr>
          <w:rFonts w:ascii="Calibri" w:cs="Calibri" w:eastAsia="Calibri" w:hAnsi="Calibri"/>
          <w:sz w:val="22"/>
          <w:szCs w:val="22"/>
        </w:rPr>
        <w:t xml:space="preserve">Bolstering strategy: Explicit alignment of the company's public response with its brand identity ('Have a Break') reinforced positive prior associations and reminded stakeholders of the brand's established character.</w:t>
      </w:r>
    </w:p>
    <w:p>
      <w:pPr>
        <w:pStyle w:val="ListParagraph"/>
        <w:numPr>
          <w:ilvl w:val="0"/>
          <w:numId w:val="3"/>
        </w:numPr>
        <w:spacing w:after="40" w:before="40" w:line="264"/>
        <w:ind w:left="720" w:hanging="360"/>
      </w:pPr>
      <w:r>
        <w:rPr>
          <w:rFonts w:ascii="Calibri" w:cs="Calibri" w:eastAsia="Calibri" w:hAnsi="Calibri"/>
          <w:sz w:val="22"/>
          <w:szCs w:val="22"/>
        </w:rPr>
        <w:t xml:space="preserve">Transcendence strategy: Nestlé explicitly used its own experience to raise awareness of the broader industry-wide problem of European cargo theft, effectively positioning the company as an industry advocate rather than merely a corporate victim.</w:t>
      </w:r>
    </w:p>
    <w:p>
      <w:pPr>
        <w:pStyle w:val="Heading2"/>
        <w:pBdr>
          <w:bottom w:val="single" w:color="C0392B" w:sz="2" w:space="1"/>
        </w:pBdr>
        <w:spacing w:after="120" w:before="280"/>
      </w:pPr>
      <w:r>
        <w:rPr>
          <w:rFonts w:ascii="Calibri" w:cs="Calibri" w:eastAsia="Calibri" w:hAnsi="Calibri"/>
          <w:b/>
          <w:bCs/>
          <w:color w:val="1B2A4A"/>
          <w:sz w:val="26"/>
          <w:szCs w:val="26"/>
        </w:rPr>
        <w:t xml:space="preserve">5.2 Image Repair Theory Application</w:t>
      </w:r>
    </w:p>
    <w:p>
      <w:pPr>
        <w:spacing w:after="100" w:before="60" w:line="276"/>
        <w:jc w:val="both"/>
      </w:pPr>
      <w:r>
        <w:rPr>
          <w:rFonts w:ascii="Calibri" w:cs="Calibri" w:eastAsia="Calibri" w:hAnsi="Calibri"/>
          <w:b w:val="false"/>
          <w:bCs w:val="false"/>
          <w:i w:val="false"/>
          <w:iCs w:val="false"/>
          <w:color w:val="000000"/>
          <w:sz w:val="22"/>
          <w:szCs w:val="22"/>
        </w:rPr>
        <w:t xml:space="preserve">Benoit's (1995) Image Repair Theory identifies five principal strategies available to organisations facing reputational threat: denial, evasion of responsibility, reducing offensiveness, corrective action, and mortification. In a victim-crisis scenario, denial and mortification are inappropriate (the company did nothing wrong and need not apologise), while the effective strategies are reducing offensiveness, corrective action, and evasion of responsibility.</w:t>
      </w:r>
    </w:p>
    <w:p>
      <w:pPr>
        <w:spacing w:after="100" w:before="60" w:line="276"/>
        <w:jc w:val="both"/>
      </w:pPr>
      <w:r>
        <w:rPr>
          <w:rFonts w:ascii="Calibri" w:cs="Calibri" w:eastAsia="Calibri" w:hAnsi="Calibri"/>
          <w:b w:val="false"/>
          <w:bCs w:val="false"/>
          <w:i w:val="false"/>
          <w:iCs w:val="false"/>
          <w:color w:val="000000"/>
          <w:sz w:val="22"/>
          <w:szCs w:val="22"/>
        </w:rPr>
        <w:t xml:space="preserve">KitKat deployed a sophisticated composite of these strategies. Reducing offensiveness was achieved through humour—the 'Have a Break' quip minimised the perceived severity of the incident (a commercial property loss with no human harm). Corrective action was exemplified by the Stolen KitKat Tracker and the collaboration with law enforcement to investigate and potentially recover the stolen goods. Evasion of responsibility—appropriately employed, given the genuine absence of organisational culpability—was communicated through the explicit identification of sophisticated external criminals as the responsible parties, without any suggestion of corporate negligence contributing to the incident.</w:t>
      </w:r>
    </w:p>
    <w:p>
      <w:pPr>
        <w:pStyle w:val="Heading2"/>
        <w:pBdr>
          <w:bottom w:val="single" w:color="C0392B" w:sz="2" w:space="1"/>
        </w:pBdr>
        <w:spacing w:after="120" w:before="280"/>
      </w:pPr>
      <w:r>
        <w:rPr>
          <w:rFonts w:ascii="Calibri" w:cs="Calibri" w:eastAsia="Calibri" w:hAnsi="Calibri"/>
          <w:b/>
          <w:bCs/>
          <w:color w:val="1B2A4A"/>
          <w:sz w:val="26"/>
          <w:szCs w:val="26"/>
        </w:rPr>
        <w:t xml:space="preserve">5.3 The Apologia Strategy</w:t>
      </w:r>
    </w:p>
    <w:p>
      <w:pPr>
        <w:spacing w:after="100" w:before="60" w:line="276"/>
        <w:jc w:val="both"/>
      </w:pPr>
      <w:r>
        <w:rPr>
          <w:rFonts w:ascii="Calibri" w:cs="Calibri" w:eastAsia="Calibri" w:hAnsi="Calibri"/>
          <w:b w:val="false"/>
          <w:bCs w:val="false"/>
          <w:i w:val="false"/>
          <w:iCs w:val="false"/>
          <w:color w:val="000000"/>
          <w:sz w:val="22"/>
          <w:szCs w:val="22"/>
        </w:rPr>
        <w:t xml:space="preserve">Hearit's (2006) Apologia framework examines how organisations construct and communicate accounts of their conduct in response to moral charges. In this case, the Apologia lens reveals that KitKat employed what Hearit terms a 'dissociation strategy'—distinguishing the organisation's values and character from the negative event, without accepting any moral responsibility for it. The company's official communications consistently dissociated KitKat's brand identity (fun, playful, quality-conscious) from the criminal act, while simultaneously using the incident as a platform to communicate values (transparency, industry responsibility, consumer trust).</w:t>
      </w:r>
    </w:p>
    <w:p>
      <w:pPr>
        <w:pStyle w:val="Heading2"/>
        <w:pBdr>
          <w:bottom w:val="single" w:color="C0392B" w:sz="2" w:space="1"/>
        </w:pBdr>
        <w:spacing w:after="120" w:before="280"/>
      </w:pPr>
      <w:r>
        <w:rPr>
          <w:rFonts w:ascii="Calibri" w:cs="Calibri" w:eastAsia="Calibri" w:hAnsi="Calibri"/>
          <w:b/>
          <w:bCs/>
          <w:color w:val="1B2A4A"/>
          <w:sz w:val="26"/>
          <w:szCs w:val="26"/>
        </w:rPr>
        <w:t xml:space="preserve">5.4 Effectiveness Assessment</w:t>
      </w:r>
    </w:p>
    <w:p>
      <w:pPr>
        <w:spacing w:after="100" w:before="60" w:line="276"/>
        <w:jc w:val="both"/>
      </w:pPr>
      <w:r>
        <w:rPr>
          <w:rFonts w:ascii="Calibri" w:cs="Calibri" w:eastAsia="Calibri" w:hAnsi="Calibri"/>
          <w:b w:val="false"/>
          <w:bCs w:val="false"/>
          <w:i w:val="false"/>
          <w:iCs w:val="false"/>
          <w:color w:val="000000"/>
          <w:sz w:val="22"/>
          <w:szCs w:val="22"/>
        </w:rPr>
        <w:t xml:space="preserve">By virtually all measurable metrics, Nestlé's crisis communication response must be assessed as highly effective. The key indicators of success include:</w:t>
      </w:r>
    </w:p>
    <w:p>
      <w:pPr>
        <w:spacing w:after="60" w:before="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shd w:fill="1B2A4A" w:val="clear"/>
            <w:tcMar>
              <w:top w:type="dxa" w:w="80"/>
              <w:left w:type="dxa" w:w="120"/>
              <w:bottom w:type="dxa" w:w="80"/>
              <w:right w:type="dxa" w:w="120"/>
            </w:tcMar>
          </w:tcPr>
          <w:p>
            <w:pPr>
              <w:spacing w:after="0" w:before="0"/>
            </w:pPr>
            <w:r>
              <w:rPr>
                <w:rFonts w:ascii="Calibri" w:cs="Calibri" w:eastAsia="Calibri" w:hAnsi="Calibri"/>
                <w:b/>
                <w:bCs/>
                <w:color w:val="FFFFFF"/>
                <w:sz w:val="22"/>
                <w:szCs w:val="22"/>
              </w:rPr>
              <w:t xml:space="preserve">Metric</w:t>
            </w:r>
          </w:p>
        </w:tc>
        <w:tc>
          <w:tcPr>
            <w:tcW w:type="dxa" w:w="4680"/>
            <w:tcBorders>
              <w:top w:val="single" w:color="CCCCCC" w:sz="1"/>
              <w:left w:val="single" w:color="CCCCCC" w:sz="1"/>
              <w:bottom w:val="single" w:color="CCCCCC" w:sz="1"/>
              <w:right w:val="single" w:color="CCCCCC" w:sz="1"/>
            </w:tcBorders>
            <w:shd w:fill="1B2A4A" w:val="clear"/>
            <w:tcMar>
              <w:top w:type="dxa" w:w="80"/>
              <w:left w:type="dxa" w:w="120"/>
              <w:bottom w:type="dxa" w:w="80"/>
              <w:right w:type="dxa" w:w="120"/>
            </w:tcMar>
          </w:tcPr>
          <w:p>
            <w:pPr>
              <w:spacing w:after="0" w:before="0"/>
            </w:pPr>
            <w:r>
              <w:rPr>
                <w:rFonts w:ascii="Calibri" w:cs="Calibri" w:eastAsia="Calibri" w:hAnsi="Calibri"/>
                <w:b/>
                <w:bCs/>
                <w:color w:val="FFFFFF"/>
                <w:sz w:val="22"/>
                <w:szCs w:val="22"/>
              </w:rPr>
              <w:t xml:space="preserve">Assessment</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Reputational impact</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Net positive — brand sentiment improved post-incident across all monitored platforms</w:t>
            </w:r>
          </w:p>
        </w:tc>
      </w:tr>
      <w:tr>
        <w:tc>
          <w:tcPr>
            <w:tcW w:type="dxa" w:w="468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Financial impact</w:t>
            </w:r>
          </w:p>
        </w:tc>
        <w:tc>
          <w:tcPr>
            <w:tcW w:type="dxa" w:w="468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Immaterial stock price movement; commercial loss (~$500K–$750K) described as 'a decimal point on the balance sheet'</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Earned media value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Estimated at tens of millions of dollars — exceeding the commercial value of the lost stock by orders of magnitude</w:t>
            </w:r>
          </w:p>
        </w:tc>
      </w:tr>
      <w:tr>
        <w:tc>
          <w:tcPr>
            <w:tcW w:type="dxa" w:w="468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Consumer trust</w:t>
            </w:r>
          </w:p>
        </w:tc>
        <w:tc>
          <w:tcPr>
            <w:tcW w:type="dxa" w:w="468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Maintained and enhanced — no consumer safety concerns; Tracker deployment demonstrated product traceability capability</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Brand identity coherence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Exemplary — all communications were unmistakably 'KitKat' in voice and character</w:t>
            </w:r>
          </w:p>
        </w:tc>
      </w:tr>
      <w:tr>
        <w:tc>
          <w:tcPr>
            <w:tcW w:type="dxa" w:w="468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Speed</w:t>
            </w:r>
          </w:p>
        </w:tc>
        <w:tc>
          <w:tcPr>
            <w:tcW w:type="dxa" w:w="468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Disclosure within 48–72 hours; Tracker live within 6 days of theft — rapid by FMCG crisis standards</w:t>
            </w:r>
          </w:p>
        </w:tc>
      </w:tr>
      <w:tr>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Stakeholder management</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Effective across all primary stakeholder groups; government attention (US Senate) generated additional visibility</w:t>
            </w:r>
          </w:p>
        </w:tc>
      </w:tr>
      <w:tr>
        <w:tc>
          <w:tcPr>
            <w:tcW w:type="dxa" w:w="468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Industry positioning</w:t>
            </w:r>
          </w:p>
        </w:tc>
        <w:tc>
          <w:tcPr>
            <w:tcW w:type="dxa" w:w="468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20"/>
                <w:szCs w:val="20"/>
              </w:rPr>
              <w:t xml:space="preserve">Positioned Nestlé as a responsible industry voice on cargo crime — transcending the specific incident</w:t>
            </w:r>
          </w:p>
        </w:tc>
      </w:tr>
    </w:tbl>
    <w:p>
      <w:pPr>
        <w:spacing w:after="2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VI: Stakeholder Analysis  </w:t>
      </w:r>
    </w:p>
    <w:p>
      <w:pPr>
        <w:spacing w:after="80" w:before="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3400"/>
        <w:gridCol w:w="3360"/>
      </w:tblGrid>
      <w:tr>
        <w:tc>
          <w:tcPr>
            <w:tcW w:type="dxa" w:w="2600"/>
            <w:tcBorders>
              <w:top w:val="single" w:color="CCCCCC" w:sz="1"/>
              <w:left w:val="single" w:color="CCCCCC" w:sz="1"/>
              <w:bottom w:val="single" w:color="CCCCCC" w:sz="1"/>
              <w:right w:val="single" w:color="CCCCCC" w:sz="1"/>
            </w:tcBorders>
            <w:shd w:fill="C0392B" w:val="clear"/>
            <w:tcMar>
              <w:top w:type="dxa" w:w="80"/>
              <w:left w:type="dxa" w:w="120"/>
              <w:bottom w:type="dxa" w:w="80"/>
              <w:right w:type="dxa" w:w="120"/>
            </w:tcMar>
          </w:tcPr>
          <w:p>
            <w:pPr>
              <w:spacing w:after="0" w:before="0"/>
            </w:pPr>
            <w:r>
              <w:rPr>
                <w:rFonts w:ascii="Calibri" w:cs="Calibri" w:eastAsia="Calibri" w:hAnsi="Calibri"/>
                <w:b/>
                <w:bCs/>
                <w:color w:val="FFFFFF"/>
                <w:sz w:val="21"/>
                <w:szCs w:val="21"/>
              </w:rPr>
              <w:t xml:space="preserve">Stakeholder</w:t>
            </w:r>
          </w:p>
        </w:tc>
        <w:tc>
          <w:tcPr>
            <w:tcW w:type="dxa" w:w="3400"/>
            <w:tcBorders>
              <w:top w:val="single" w:color="CCCCCC" w:sz="1"/>
              <w:left w:val="single" w:color="CCCCCC" w:sz="1"/>
              <w:bottom w:val="single" w:color="CCCCCC" w:sz="1"/>
              <w:right w:val="single" w:color="CCCCCC" w:sz="1"/>
            </w:tcBorders>
            <w:shd w:fill="C0392B" w:val="clear"/>
            <w:tcMar>
              <w:top w:type="dxa" w:w="80"/>
              <w:left w:type="dxa" w:w="120"/>
              <w:bottom w:type="dxa" w:w="80"/>
              <w:right w:type="dxa" w:w="120"/>
            </w:tcMar>
          </w:tcPr>
          <w:p>
            <w:pPr>
              <w:spacing w:after="0" w:before="0"/>
            </w:pPr>
            <w:r>
              <w:rPr>
                <w:rFonts w:ascii="Calibri" w:cs="Calibri" w:eastAsia="Calibri" w:hAnsi="Calibri"/>
                <w:b/>
                <w:bCs/>
                <w:color w:val="FFFFFF"/>
                <w:sz w:val="21"/>
                <w:szCs w:val="21"/>
              </w:rPr>
              <w:t xml:space="preserve">Interests / Position</w:t>
            </w:r>
          </w:p>
        </w:tc>
        <w:tc>
          <w:tcPr>
            <w:tcW w:type="dxa" w:w="3360"/>
            <w:tcBorders>
              <w:top w:val="single" w:color="CCCCCC" w:sz="1"/>
              <w:left w:val="single" w:color="CCCCCC" w:sz="1"/>
              <w:bottom w:val="single" w:color="CCCCCC" w:sz="1"/>
              <w:right w:val="single" w:color="CCCCCC" w:sz="1"/>
            </w:tcBorders>
            <w:shd w:fill="C0392B" w:val="clear"/>
            <w:tcMar>
              <w:top w:type="dxa" w:w="80"/>
              <w:left w:type="dxa" w:w="120"/>
              <w:bottom w:type="dxa" w:w="80"/>
              <w:right w:type="dxa" w:w="120"/>
            </w:tcMar>
          </w:tcPr>
          <w:p>
            <w:pPr>
              <w:spacing w:after="0" w:before="0"/>
            </w:pPr>
            <w:r>
              <w:rPr>
                <w:rFonts w:ascii="Calibri" w:cs="Calibri" w:eastAsia="Calibri" w:hAnsi="Calibri"/>
                <w:b/>
                <w:bCs/>
                <w:color w:val="FFFFFF"/>
                <w:sz w:val="21"/>
                <w:szCs w:val="21"/>
              </w:rPr>
              <w:t xml:space="preserve">Response / Outcome</w:t>
            </w:r>
          </w:p>
        </w:tc>
      </w:tr>
      <w:tr>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General Public / Consumers</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Product safety, supply availability, brand trust, entertainment value</w:t>
            </w:r>
          </w:p>
        </w:tc>
        <w:tc>
          <w:tcPr>
            <w:tcW w:type="dxa" w:w="33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Highly engaged; overwhelmingly positive sentiment; participation in Tracker mechanic; meme generation</w:t>
            </w:r>
          </w:p>
        </w:tc>
      </w:tr>
      <w:tr>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Retail Distribution Partners</w:t>
            </w:r>
          </w:p>
        </w:tc>
        <w:tc>
          <w:tcPr>
            <w:tcW w:type="dxa" w:w="3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Supply continuity, brand reputation, inventory planning</w:t>
            </w:r>
          </w:p>
        </w:tc>
        <w:tc>
          <w:tcPr>
            <w:tcW w:type="dxa" w:w="336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Reassured by Nestlé's explicit confirmation of no supply disruption; partners alerted to watch for stolen stock in secondary channels</w:t>
            </w:r>
          </w:p>
        </w:tc>
      </w:tr>
      <w:tr>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European Law Enforcement (Italian Authorities)</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Criminal investigation, public safety, organised crime disruption</w:t>
            </w:r>
          </w:p>
        </w:tc>
        <w:tc>
          <w:tcPr>
            <w:tcW w:type="dxa" w:w="33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Active investigation initiated; confirmed lorry was intercepted by impersonators near Turin; no arrests publicly reported as of April 12, 2026</w:t>
            </w:r>
          </w:p>
        </w:tc>
      </w:tr>
      <w:tr>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US Senate Judiciary Committee</w:t>
            </w:r>
          </w:p>
        </w:tc>
        <w:tc>
          <w:tcPr>
            <w:tcW w:type="dxa" w:w="3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Retail crime legislation, constituent protection, policy advocacy</w:t>
            </w:r>
          </w:p>
        </w:tc>
        <w:tc>
          <w:tcPr>
            <w:tcW w:type="dxa" w:w="336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Referenced KitKat Heist as evidence in advocacy for bipartisan retail crime bill — unexpected legislative amplification of the incident</w:t>
            </w:r>
          </w:p>
        </w:tc>
      </w:tr>
      <w:tr>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Investors / Shareholders</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Financial performance, brand equity, risk management</w:t>
            </w:r>
          </w:p>
        </w:tc>
        <w:tc>
          <w:tcPr>
            <w:tcW w:type="dxa" w:w="33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No material negative market reaction; positive earned-media value acknowledged in analyst commentary</w:t>
            </w:r>
          </w:p>
        </w:tc>
      </w:tr>
      <w:tr>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Formula 1 Partnership</w:t>
            </w:r>
          </w:p>
        </w:tc>
        <w:tc>
          <w:tcPr>
            <w:tcW w:type="dxa" w:w="3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Partnership visibility, brand alignment, commercial returns</w:t>
            </w:r>
          </w:p>
        </w:tc>
        <w:tc>
          <w:tcPr>
            <w:tcW w:type="dxa" w:w="336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Significantly amplified: hundreds of news articles referenced the F1 partnership and the new product line; partnership visibility far exceeded projections</w:t>
            </w:r>
          </w:p>
        </w:tc>
      </w:tr>
      <w:tr>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Human Rights / Ethical NGOs</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Labour standards, supply chain ethics, corporate accountability</w:t>
            </w:r>
          </w:p>
        </w:tc>
        <w:tc>
          <w:tcPr>
            <w:tcW w:type="dxa" w:w="33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Not activated in this specific incident; Nestlé's broader NGO relations remain complex but were not materially affected</w:t>
            </w:r>
          </w:p>
        </w:tc>
      </w:tr>
      <w:tr>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Logistics &amp; Freight Industry</w:t>
            </w:r>
          </w:p>
        </w:tc>
        <w:tc>
          <w:tcPr>
            <w:tcW w:type="dxa" w:w="34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Cargo security standards, industry reputation, insurance implications</w:t>
            </w:r>
          </w:p>
        </w:tc>
        <w:tc>
          <w:tcPr>
            <w:tcW w:type="dxa" w:w="336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Industry bodies cited; Nestlé's public advocacy for cargo crime awareness aligned with freight security organisations' agenda</w:t>
            </w:r>
          </w:p>
        </w:tc>
      </w:tr>
      <w:tr>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Creative Agency VML</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Client relationship, creative output, professional reputation</w:t>
            </w:r>
          </w:p>
        </w:tc>
        <w:tc>
          <w:tcPr>
            <w:tcW w:type="dxa" w:w="33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spacing w:after="0" w:before="0"/>
            </w:pPr>
            <w:r>
              <w:rPr>
                <w:rFonts w:ascii="Calibri" w:cs="Calibri" w:eastAsia="Calibri" w:hAnsi="Calibri"/>
                <w:color w:val="111111"/>
                <w:sz w:val="19"/>
                <w:szCs w:val="19"/>
              </w:rPr>
              <w:t xml:space="preserve">Positive: the Stolen KitKat Tracker was widely praised as an innovative, well-executed digital tool</w:t>
            </w:r>
          </w:p>
        </w:tc>
      </w:tr>
    </w:tbl>
    <w:p>
      <w:pPr>
        <w:spacing w:after="2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VII: Reputation Assessment Before and After the Crisis  </w:t>
      </w:r>
    </w:p>
    <w:p>
      <w:pPr>
        <w:pStyle w:val="Heading2"/>
        <w:pBdr>
          <w:bottom w:val="single" w:color="C0392B" w:sz="2" w:space="1"/>
        </w:pBdr>
        <w:spacing w:after="120" w:before="280"/>
      </w:pPr>
      <w:r>
        <w:rPr>
          <w:rFonts w:ascii="Calibri" w:cs="Calibri" w:eastAsia="Calibri" w:hAnsi="Calibri"/>
          <w:b/>
          <w:bCs/>
          <w:color w:val="1B2A4A"/>
          <w:sz w:val="26"/>
          <w:szCs w:val="26"/>
        </w:rPr>
        <w:t xml:space="preserve">7.1 Pre-Crisis Reputational Baseline</w:t>
      </w:r>
    </w:p>
    <w:p>
      <w:pPr>
        <w:spacing w:after="100" w:before="60" w:line="276"/>
        <w:jc w:val="both"/>
      </w:pPr>
      <w:r>
        <w:rPr>
          <w:rFonts w:ascii="Calibri" w:cs="Calibri" w:eastAsia="Calibri" w:hAnsi="Calibri"/>
          <w:b w:val="false"/>
          <w:bCs w:val="false"/>
          <w:i w:val="false"/>
          <w:iCs w:val="false"/>
          <w:color w:val="000000"/>
          <w:sz w:val="22"/>
          <w:szCs w:val="22"/>
        </w:rPr>
        <w:t xml:space="preserve">KitKat and its parent company Nestlé entered the 2026 crisis event with a bifurcated reputational profile. At the brand level, KitKat ranked among the world's most recognised and positively regarded confectionery brands, with decades of iconic advertising, strong consumer loyalty, and the newly established Formula One partnership reinforcing a fresh, contemporary brand identity. The F1 alliance had been broadly received positively in both confectionery and motorsport press, signalling a strategic revitalisation of the brand's marketing positioning.</w:t>
      </w:r>
    </w:p>
    <w:p>
      <w:pPr>
        <w:spacing w:after="100" w:before="60" w:line="276"/>
        <w:jc w:val="both"/>
      </w:pPr>
      <w:r>
        <w:rPr>
          <w:rFonts w:ascii="Calibri" w:cs="Calibri" w:eastAsia="Calibri" w:hAnsi="Calibri"/>
          <w:b w:val="false"/>
          <w:bCs w:val="false"/>
          <w:i w:val="false"/>
          <w:iCs w:val="false"/>
          <w:color w:val="000000"/>
          <w:sz w:val="22"/>
          <w:szCs w:val="22"/>
        </w:rPr>
        <w:t xml:space="preserve">At the corporate level, however, Nestlé carried a significantly more complex reputational legacy. Persistent controversies over infant formula marketing in developing countries (a controversy stretching back to the 1970s and persisting into the 2020s), water privatisation practices, palm oil supply chain deforestation concerns, and cocoa-sector child labour allegations had established Nestlé as one of the more frequently targeted multinational corporations by ethical advocacy organisations and activist consumer groups. This bifurcation—beloved brand, contested corporation—created a nuanced pre-crisis baseline that shaped how different stakeholder segments received the company's crisis response.</w:t>
      </w:r>
    </w:p>
    <w:p>
      <w:pPr>
        <w:pStyle w:val="Heading2"/>
        <w:pBdr>
          <w:bottom w:val="single" w:color="C0392B" w:sz="2" w:space="1"/>
        </w:pBdr>
        <w:spacing w:after="120" w:before="280"/>
      </w:pPr>
      <w:r>
        <w:rPr>
          <w:rFonts w:ascii="Calibri" w:cs="Calibri" w:eastAsia="Calibri" w:hAnsi="Calibri"/>
          <w:b/>
          <w:bCs/>
          <w:color w:val="1B2A4A"/>
          <w:sz w:val="26"/>
          <w:szCs w:val="26"/>
        </w:rPr>
        <w:t xml:space="preserve">7.2 Post-Crisis Reputational Assessment</w:t>
      </w:r>
    </w:p>
    <w:p>
      <w:pPr>
        <w:spacing w:after="100" w:before="60" w:line="276"/>
        <w:jc w:val="both"/>
      </w:pPr>
      <w:r>
        <w:rPr>
          <w:rFonts w:ascii="Calibri" w:cs="Calibri" w:eastAsia="Calibri" w:hAnsi="Calibri"/>
          <w:b w:val="false"/>
          <w:bCs w:val="false"/>
          <w:i w:val="false"/>
          <w:iCs w:val="false"/>
          <w:color w:val="000000"/>
          <w:sz w:val="22"/>
          <w:szCs w:val="22"/>
        </w:rPr>
        <w:t xml:space="preserve">The post-crisis reputational picture for KitKat specifically—as distinct from Nestlé's corporate reputation—improved measurably and meaningfully across the following dimensions:</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Brand personality enhancement: The wit, speed, and cultural fluency of KitKat's response reinforced and amplified the brand's 'fun, self-aware' personality archetype—qualities that are commercially valuable in the highly competitive confectionery market.</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Product innovation visibility: The F1 partnership product line received far greater media coverage as a result of the heist than it would have achieved through the planned marketing campaign alone. Industry analysts described the earned-media return as potentially 100 times the commercial value of the stolen stock.</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Digital capability demonstration: The Stolen KitKat Tracker showcased Nestlé's product traceability infrastructure to a mass consumer audience, generating trust through transparency in a manner that no conventional advertising campaign could have achieved.</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Industry leadership positioning: Nestlé's proactive public advocacy on the cargo crime issue—using its own incident to raise awareness of a broader industry problem—aligned the company with legitimate public-interest communication, enhancing its credibility as a responsible corporate actor.</w:t>
      </w:r>
    </w:p>
    <w:p>
      <w:pPr>
        <w:spacing w:after="100" w:before="60" w:line="276"/>
        <w:jc w:val="both"/>
      </w:pPr>
      <w:r>
        <w:rPr>
          <w:rFonts w:ascii="Calibri" w:cs="Calibri" w:eastAsia="Calibri" w:hAnsi="Calibri"/>
          <w:b w:val="false"/>
          <w:bCs w:val="false"/>
          <w:i w:val="false"/>
          <w:iCs w:val="false"/>
          <w:color w:val="000000"/>
          <w:sz w:val="22"/>
          <w:szCs w:val="22"/>
        </w:rPr>
        <w:t xml:space="preserve">At the Nestlé corporate level, the crisis had limited reputational impact in either direction, as the brand-level success did not substantially shift the deeply entrenched positions of activist stakeholders on legacy issues. However, the incident provided the company's communications team with a powerful demonstration of its crisis-response capabilities—a form of internal credibility-building that is difficult to achieve without real-world validation.</w:t>
      </w:r>
    </w:p>
    <w:p>
      <w:pPr>
        <w:spacing w:after="1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VIII: Lessons Learned in Digital Crisis Management  </w:t>
      </w:r>
    </w:p>
    <w:p>
      <w:pPr>
        <w:pStyle w:val="Heading2"/>
        <w:pBdr>
          <w:bottom w:val="single" w:color="C0392B" w:sz="2" w:space="1"/>
        </w:pBdr>
        <w:spacing w:after="120" w:before="280"/>
      </w:pPr>
      <w:r>
        <w:rPr>
          <w:rFonts w:ascii="Calibri" w:cs="Calibri" w:eastAsia="Calibri" w:hAnsi="Calibri"/>
          <w:b/>
          <w:bCs/>
          <w:color w:val="1B2A4A"/>
          <w:sz w:val="26"/>
          <w:szCs w:val="26"/>
        </w:rPr>
        <w:t xml:space="preserve">8.1 Sequencing Is More Important Than Speed</w:t>
      </w:r>
    </w:p>
    <w:p>
      <w:pPr>
        <w:spacing w:after="100" w:before="60" w:line="276"/>
        <w:jc w:val="both"/>
      </w:pPr>
      <w:r>
        <w:rPr>
          <w:rFonts w:ascii="Calibri" w:cs="Calibri" w:eastAsia="Calibri" w:hAnsi="Calibri"/>
          <w:b w:val="false"/>
          <w:bCs w:val="false"/>
          <w:i w:val="false"/>
          <w:iCs w:val="false"/>
          <w:color w:val="000000"/>
          <w:sz w:val="22"/>
          <w:szCs w:val="22"/>
        </w:rPr>
        <w:t xml:space="preserve">Perhaps the single most transferable lesson from the KitKat Heist is that the order in which a crisis response is structured matters more than the speed of any individual element. KitKat communicated factual clarity first (no injuries, no supply disruption, investigation underway), then emotional resonance (the 'Have a Break' quip), then interactive engagement (the Tracker). Reversing this sequence—leading with humour before establishing factual credibility—would have risked appearing callous or dishonest. As crisis communications lecturer Steve Soltis of the University of Virginia Darden School of Business noted, 'A rushed statement that sounds clever but omits practical reassurance can do more harm than a slightly slower statement that gets the order right.'</w:t>
      </w:r>
    </w:p>
    <w:p>
      <w:pPr>
        <w:pStyle w:val="Heading2"/>
        <w:pBdr>
          <w:bottom w:val="single" w:color="C0392B" w:sz="2" w:space="1"/>
        </w:pBdr>
        <w:spacing w:after="120" w:before="280"/>
      </w:pPr>
      <w:r>
        <w:rPr>
          <w:rFonts w:ascii="Calibri" w:cs="Calibri" w:eastAsia="Calibri" w:hAnsi="Calibri"/>
          <w:b/>
          <w:bCs/>
          <w:color w:val="1B2A4A"/>
          <w:sz w:val="26"/>
          <w:szCs w:val="26"/>
        </w:rPr>
        <w:t xml:space="preserve">8.2 Brand Voice Must Be Established Before a Crisis, Not During One</w:t>
      </w:r>
    </w:p>
    <w:p>
      <w:pPr>
        <w:spacing w:after="100" w:before="60" w:line="276"/>
        <w:jc w:val="both"/>
      </w:pPr>
      <w:r>
        <w:rPr>
          <w:rFonts w:ascii="Calibri" w:cs="Calibri" w:eastAsia="Calibri" w:hAnsi="Calibri"/>
          <w:b w:val="false"/>
          <w:bCs w:val="false"/>
          <w:i w:val="false"/>
          <w:iCs w:val="false"/>
          <w:color w:val="000000"/>
          <w:sz w:val="22"/>
          <w:szCs w:val="22"/>
        </w:rPr>
        <w:t xml:space="preserve">KitKat did not invent a new personality in response to the theft; it activated one that audiences already knew and trusted. The humorous tone worked precisely because it was consistent with a decade of KitKat advertising—the 'Have a Break' slogan is one of the most globally recognised brand taglines in history. Crisis communication practitioners frequently encounter organisations that attempt to inject personality or humour into crisis responses without the foundational brand work to support it, often with disastrous results. The KitKat case demonstrates that authentic-feeling crisis humour is the reward for years of consistent brand-building, not a communication tool that can be deployed ad hoc.</w:t>
      </w:r>
    </w:p>
    <w:p>
      <w:pPr>
        <w:pStyle w:val="Heading2"/>
        <w:pBdr>
          <w:bottom w:val="single" w:color="C0392B" w:sz="2" w:space="1"/>
        </w:pBdr>
        <w:spacing w:after="120" w:before="280"/>
      </w:pPr>
      <w:r>
        <w:rPr>
          <w:rFonts w:ascii="Calibri" w:cs="Calibri" w:eastAsia="Calibri" w:hAnsi="Calibri"/>
          <w:b/>
          <w:bCs/>
          <w:color w:val="1B2A4A"/>
          <w:sz w:val="26"/>
          <w:szCs w:val="26"/>
        </w:rPr>
        <w:t xml:space="preserve">8.3 Transparency Creates Permission for Engagement</w:t>
      </w:r>
    </w:p>
    <w:p>
      <w:pPr>
        <w:spacing w:after="100" w:before="60" w:line="276"/>
        <w:jc w:val="both"/>
      </w:pPr>
      <w:r>
        <w:rPr>
          <w:rFonts w:ascii="Calibri" w:cs="Calibri" w:eastAsia="Calibri" w:hAnsi="Calibri"/>
          <w:b w:val="false"/>
          <w:bCs w:val="false"/>
          <w:i w:val="false"/>
          <w:iCs w:val="false"/>
          <w:color w:val="000000"/>
          <w:sz w:val="22"/>
          <w:szCs w:val="22"/>
        </w:rPr>
        <w:t xml:space="preserve">By being factually transparent first—confirming the incident, disclosing its scale, clarifying consumer safety and supply implications—KitKat created a reputational 'safe zone' that allowed other brands, media, and consumers to engage with the story humorously without concern that they were trivialising a serious harm. This is a sophisticated dynamic that can be described as 'permission architecture': the originating brand's initial communication defines the tonal and ethical parameters within which all subsequent discourse operates.</w:t>
      </w:r>
    </w:p>
    <w:p>
      <w:pPr>
        <w:pStyle w:val="Heading2"/>
        <w:pBdr>
          <w:bottom w:val="single" w:color="C0392B" w:sz="2" w:space="1"/>
        </w:pBdr>
        <w:spacing w:after="120" w:before="280"/>
      </w:pPr>
      <w:r>
        <w:rPr>
          <w:rFonts w:ascii="Calibri" w:cs="Calibri" w:eastAsia="Calibri" w:hAnsi="Calibri"/>
          <w:b/>
          <w:bCs/>
          <w:color w:val="1B2A4A"/>
          <w:sz w:val="26"/>
          <w:szCs w:val="26"/>
        </w:rPr>
        <w:t xml:space="preserve">8.4 The Digital Tool as Crisis Management Strategy</w:t>
      </w:r>
    </w:p>
    <w:p>
      <w:pPr>
        <w:spacing w:after="100" w:before="60" w:line="276"/>
        <w:jc w:val="both"/>
      </w:pPr>
      <w:r>
        <w:rPr>
          <w:rFonts w:ascii="Calibri" w:cs="Calibri" w:eastAsia="Calibri" w:hAnsi="Calibri"/>
          <w:b w:val="false"/>
          <w:bCs w:val="false"/>
          <w:i w:val="false"/>
          <w:iCs w:val="false"/>
          <w:color w:val="000000"/>
          <w:sz w:val="22"/>
          <w:szCs w:val="22"/>
        </w:rPr>
        <w:t xml:space="preserve">The Stolen KitKat Tracker represents an innovative application of existing product traceability infrastructure to a consumer-facing crisis management context. Rather than treating its product tracking capability as a back-office operational tool, Nestlé opened it to public participation—simultaneously demonstrating transparency, generating consumer engagement, and providing a legitimately useful public service (assisting law enforcement in identifying stolen product). This gamified, purpose-built digital tool converted a passive consumer audience into active crisis participants and generated sustained media coverage well beyond the initial news cycle.</w:t>
      </w:r>
    </w:p>
    <w:p>
      <w:pPr>
        <w:pStyle w:val="Heading2"/>
        <w:pBdr>
          <w:bottom w:val="single" w:color="C0392B" w:sz="2" w:space="1"/>
        </w:pBdr>
        <w:spacing w:after="120" w:before="280"/>
      </w:pPr>
      <w:r>
        <w:rPr>
          <w:rFonts w:ascii="Calibri" w:cs="Calibri" w:eastAsia="Calibri" w:hAnsi="Calibri"/>
          <w:b/>
          <w:bCs/>
          <w:color w:val="1B2A4A"/>
          <w:sz w:val="26"/>
          <w:szCs w:val="26"/>
        </w:rPr>
        <w:t xml:space="preserve">8.5 Restraint Prevents Engagement from Becoming Backlash</w:t>
      </w:r>
    </w:p>
    <w:p>
      <w:pPr>
        <w:spacing w:after="100" w:before="60" w:line="276"/>
        <w:jc w:val="both"/>
      </w:pPr>
      <w:r>
        <w:rPr>
          <w:rFonts w:ascii="Calibri" w:cs="Calibri" w:eastAsia="Calibri" w:hAnsi="Calibri"/>
          <w:b w:val="false"/>
          <w:bCs w:val="false"/>
          <w:i w:val="false"/>
          <w:iCs w:val="false"/>
          <w:color w:val="000000"/>
          <w:sz w:val="22"/>
          <w:szCs w:val="22"/>
        </w:rPr>
        <w:t xml:space="preserve">Both KitKat and the brands that joined the pile-on demonstrated a quality that is rare in viral marketing moments: restraint. No brand overstayed its welcome, forced a sales message, or confused the audience about what was real and what was satirical. This collective restraint kept the moment coherent rather than chaotic, and prevented the positive engagement from tipping into the performative excess that can rapidly convert goodwill into eye-rolls. For crisis communication practitioners, this offers a counterintuitive lesson: in a viral moment, knowing when not to amplify is as strategically important as knowing when to engage.</w:t>
      </w:r>
    </w:p>
    <w:p>
      <w:pPr>
        <w:pStyle w:val="Heading2"/>
        <w:pBdr>
          <w:bottom w:val="single" w:color="C0392B" w:sz="2" w:space="1"/>
        </w:pBdr>
        <w:spacing w:after="120" w:before="280"/>
      </w:pPr>
      <w:r>
        <w:rPr>
          <w:rFonts w:ascii="Calibri" w:cs="Calibri" w:eastAsia="Calibri" w:hAnsi="Calibri"/>
          <w:b/>
          <w:bCs/>
          <w:color w:val="1B2A4A"/>
          <w:sz w:val="26"/>
          <w:szCs w:val="26"/>
        </w:rPr>
        <w:t xml:space="preserve">8.6 The Victim Crisis Category Requires Confident, Not Apologetic, Communication</w:t>
      </w:r>
    </w:p>
    <w:p>
      <w:pPr>
        <w:spacing w:after="100" w:before="60" w:line="276"/>
        <w:jc w:val="both"/>
      </w:pPr>
      <w:r>
        <w:rPr>
          <w:rFonts w:ascii="Calibri" w:cs="Calibri" w:eastAsia="Calibri" w:hAnsi="Calibri"/>
          <w:b w:val="false"/>
          <w:bCs w:val="false"/>
          <w:i w:val="false"/>
          <w:iCs w:val="false"/>
          <w:color w:val="000000"/>
          <w:sz w:val="22"/>
          <w:szCs w:val="22"/>
        </w:rPr>
        <w:t xml:space="preserve">SCCT theory's distinction between victim, accidental, and preventable crises has direct practical implications for communication tone. In a victim crisis—where the organisation bears no responsibility—apologetic or overly defensive communication is not only unnecessary but actively harmful, as it implicitly accepts blame that is unwarranted and may confuse stakeholders about the nature of the incident. KitKat's response was notable for its complete absence of defensiveness or apology; the company communicated with the confidence of an organisation that knew it had done nothing wrong, which paradoxically enhanced rather than undermined its credibility.</w:t>
      </w:r>
    </w:p>
    <w:p>
      <w:pPr>
        <w:spacing w:after="1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IX: Future Expectations for the Brand  </w:t>
      </w:r>
    </w:p>
    <w:p>
      <w:pPr>
        <w:pStyle w:val="Heading2"/>
        <w:pBdr>
          <w:bottom w:val="single" w:color="C0392B" w:sz="2" w:space="1"/>
        </w:pBdr>
        <w:spacing w:after="120" w:before="280"/>
      </w:pPr>
      <w:r>
        <w:rPr>
          <w:rFonts w:ascii="Calibri" w:cs="Calibri" w:eastAsia="Calibri" w:hAnsi="Calibri"/>
          <w:b/>
          <w:bCs/>
          <w:color w:val="1B2A4A"/>
          <w:sz w:val="26"/>
          <w:szCs w:val="26"/>
        </w:rPr>
        <w:t xml:space="preserve">9.1 Short-Term Brand Trajectory (2026)</w:t>
      </w:r>
    </w:p>
    <w:p>
      <w:pPr>
        <w:spacing w:after="100" w:before="60" w:line="276"/>
        <w:jc w:val="both"/>
      </w:pPr>
      <w:r>
        <w:rPr>
          <w:rFonts w:ascii="Calibri" w:cs="Calibri" w:eastAsia="Calibri" w:hAnsi="Calibri"/>
          <w:b w:val="false"/>
          <w:bCs w:val="false"/>
          <w:i w:val="false"/>
          <w:iCs w:val="false"/>
          <w:color w:val="000000"/>
          <w:sz w:val="22"/>
          <w:szCs w:val="22"/>
        </w:rPr>
        <w:t xml:space="preserve">In the immediate aftermath of the Heist, KitKat is positioned to capitalise on elevated global brand awareness through the ongoing 2026 F1 season. The partnership—already amplified beyond its projected media value by the incident—provides a sustained platform for maintaining consumer visibility throughout the racing calendar. The Easter retail window, while slightly disrupted by the loss of the specific stolen product line, will not have been materially impacted given Nestlé's confirmed supply continuity. The brand can reasonably expect positive sentiment scores across consumer tracking metrics through at least mid-2026.</w:t>
      </w:r>
    </w:p>
    <w:p>
      <w:pPr>
        <w:pStyle w:val="Heading2"/>
        <w:pBdr>
          <w:bottom w:val="single" w:color="C0392B" w:sz="2" w:space="1"/>
        </w:pBdr>
        <w:spacing w:after="120" w:before="280"/>
      </w:pPr>
      <w:r>
        <w:rPr>
          <w:rFonts w:ascii="Calibri" w:cs="Calibri" w:eastAsia="Calibri" w:hAnsi="Calibri"/>
          <w:b/>
          <w:bCs/>
          <w:color w:val="1B2A4A"/>
          <w:sz w:val="26"/>
          <w:szCs w:val="26"/>
        </w:rPr>
        <w:t xml:space="preserve">9.2 Medium-Term Strategic Opportunities (2026–2028)</w:t>
      </w:r>
    </w:p>
    <w:p>
      <w:pPr>
        <w:spacing w:after="100" w:before="60" w:line="276"/>
        <w:jc w:val="both"/>
      </w:pPr>
      <w:r>
        <w:rPr>
          <w:rFonts w:ascii="Calibri" w:cs="Calibri" w:eastAsia="Calibri" w:hAnsi="Calibri"/>
          <w:b w:val="false"/>
          <w:bCs w:val="false"/>
          <w:i w:val="false"/>
          <w:iCs w:val="false"/>
          <w:color w:val="000000"/>
          <w:sz w:val="22"/>
          <w:szCs w:val="22"/>
        </w:rPr>
        <w:t xml:space="preserve">The KitKat Heist has generated several medium-term strategic opportunities that a forward-thinking brand management team should actively exploit. First, the Stolen KitKat Tracker's consumer reception demonstrates significant appetite for interactive, technology-enabled brand engagement tools—a capability that KitKat/Nestlé should expand into standard marketing practice, not merely crisis response. Second, the incident has elevated KitKat's cultural currency and comedic credibility in ways that most brands spend enormous budgets attempting to achieve. Sustaining this credibility requires consistent commitment to the voice and tone that made the crisis response successful. Third, the F1 partnership has been validated as an exceptional brand-building platform; the commercial terms of the multi-year partnership suggest continued co-branding opportunities through 2027 and beyond.</w:t>
      </w:r>
    </w:p>
    <w:p>
      <w:pPr>
        <w:pStyle w:val="Heading2"/>
        <w:pBdr>
          <w:bottom w:val="single" w:color="C0392B" w:sz="2" w:space="1"/>
        </w:pBdr>
        <w:spacing w:after="120" w:before="280"/>
      </w:pPr>
      <w:r>
        <w:rPr>
          <w:rFonts w:ascii="Calibri" w:cs="Calibri" w:eastAsia="Calibri" w:hAnsi="Calibri"/>
          <w:b/>
          <w:bCs/>
          <w:color w:val="1B2A4A"/>
          <w:sz w:val="26"/>
          <w:szCs w:val="26"/>
        </w:rPr>
        <w:t xml:space="preserve">9.3 Long-Term Reputational Considerations</w:t>
      </w:r>
    </w:p>
    <w:p>
      <w:pPr>
        <w:spacing w:after="100" w:before="60" w:line="276"/>
        <w:jc w:val="both"/>
      </w:pPr>
      <w:r>
        <w:rPr>
          <w:rFonts w:ascii="Calibri" w:cs="Calibri" w:eastAsia="Calibri" w:hAnsi="Calibri"/>
          <w:b w:val="false"/>
          <w:bCs w:val="false"/>
          <w:i w:val="false"/>
          <w:iCs w:val="false"/>
          <w:color w:val="000000"/>
          <w:sz w:val="22"/>
          <w:szCs w:val="22"/>
        </w:rPr>
        <w:t xml:space="preserve">Over a longer horizon, KitKat and Nestlé must navigate the continued expectation gap between the brand's positive consumer profile and the parent company's contested corporate reputation. The cocoa supply chain in particular remains a persistent vulnerability: ongoing concerns about child labour in West African cocoa production, and about Nestlé's progress against its own stated sustainability commitments, represent structural reputational risks that a single successful crisis communication moment cannot resolve. Future crises in these domains—should they materialise—would be received in a fundamentally different frame from the KitKat Heist, as they would involve questions of corporate responsibility rather than the company's status as an innocent victim.</w:t>
      </w:r>
    </w:p>
    <w:p>
      <w:pPr>
        <w:spacing w:after="100" w:before="60" w:line="276"/>
        <w:jc w:val="both"/>
      </w:pPr>
      <w:r>
        <w:rPr>
          <w:rFonts w:ascii="Calibri" w:cs="Calibri" w:eastAsia="Calibri" w:hAnsi="Calibri"/>
          <w:b w:val="false"/>
          <w:bCs w:val="false"/>
          <w:i w:val="false"/>
          <w:iCs w:val="false"/>
          <w:color w:val="000000"/>
          <w:sz w:val="22"/>
          <w:szCs w:val="22"/>
        </w:rPr>
        <w:t xml:space="preserve">The Heist also raises supply-chain security expectations: having publicly disclosed its cargo theft vulnerability, Nestlé faces an implicit commitment to demonstrably improve freight security practices. Failure to do so—particularly in the event of a subsequent similar incident—would convert a reputational gain into a reputational liability, as stakeholders would rightly question whether the first incident's advocacy for cargo crime awareness had translated into meaningful operational change.</w:t>
      </w:r>
    </w:p>
    <w:p>
      <w:pPr>
        <w:spacing w:after="1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Section X: Strategic Recommendations  </w:t>
      </w:r>
    </w:p>
    <w:p>
      <w:pPr>
        <w:spacing w:after="100" w:before="60" w:line="276"/>
        <w:jc w:val="both"/>
      </w:pPr>
      <w:r>
        <w:rPr>
          <w:rFonts w:ascii="Calibri" w:cs="Calibri" w:eastAsia="Calibri" w:hAnsi="Calibri"/>
          <w:b w:val="false"/>
          <w:bCs w:val="false"/>
          <w:i w:val="false"/>
          <w:iCs w:val="false"/>
          <w:color w:val="000000"/>
          <w:sz w:val="22"/>
          <w:szCs w:val="22"/>
        </w:rPr>
        <w:t xml:space="preserve">As a crisis communication advisor retained by Nestlé/KitKat in the aftermath of this incident, the following evidence-based strategic recommendations are proposed:</w:t>
      </w:r>
    </w:p>
    <w:p>
      <w:pPr>
        <w:pStyle w:val="Heading2"/>
        <w:pBdr>
          <w:bottom w:val="single" w:color="C0392B" w:sz="2" w:space="1"/>
        </w:pBdr>
        <w:spacing w:after="120" w:before="280"/>
      </w:pPr>
      <w:r>
        <w:rPr>
          <w:rFonts w:ascii="Calibri" w:cs="Calibri" w:eastAsia="Calibri" w:hAnsi="Calibri"/>
          <w:b/>
          <w:bCs/>
          <w:color w:val="1B2A4A"/>
          <w:sz w:val="26"/>
          <w:szCs w:val="26"/>
        </w:rPr>
        <w:t xml:space="preserve">Recommendation 1: Institutionalise the Response Framework</w:t>
      </w:r>
    </w:p>
    <w:p>
      <w:pPr>
        <w:spacing w:after="100" w:before="60" w:line="276"/>
        <w:jc w:val="both"/>
      </w:pPr>
      <w:r>
        <w:rPr>
          <w:rFonts w:ascii="Calibri" w:cs="Calibri" w:eastAsia="Calibri" w:hAnsi="Calibri"/>
          <w:b w:val="false"/>
          <w:bCs w:val="false"/>
          <w:i w:val="false"/>
          <w:iCs w:val="false"/>
          <w:color w:val="000000"/>
          <w:sz w:val="22"/>
          <w:szCs w:val="22"/>
        </w:rPr>
        <w:t xml:space="preserve">The crisis response executed in March–April 2026 was exceptionally effective, but its success depended on rapid decision-making under pressure that may not be consistently replicable without formal institutionalisation. KitKat should document the specific decision framework, approval protocols, and creative principles that enabled the response—and incorporate them into standing crisis communication playbooks, with designated decision-makers, pre-approved tonal guidelines, and response-sequencing templates. The 72-hour window from disclosure to digital tool launch is a new benchmark that future responses must be organisationally equipped to match.</w:t>
      </w:r>
    </w:p>
    <w:p>
      <w:pPr>
        <w:pStyle w:val="Heading2"/>
        <w:pBdr>
          <w:bottom w:val="single" w:color="C0392B" w:sz="2" w:space="1"/>
        </w:pBdr>
        <w:spacing w:after="120" w:before="280"/>
      </w:pPr>
      <w:r>
        <w:rPr>
          <w:rFonts w:ascii="Calibri" w:cs="Calibri" w:eastAsia="Calibri" w:hAnsi="Calibri"/>
          <w:b/>
          <w:bCs/>
          <w:color w:val="1B2A4A"/>
          <w:sz w:val="26"/>
          <w:szCs w:val="26"/>
        </w:rPr>
        <w:t xml:space="preserve">Recommendation 2: Leverage the Tracker as a Permanent Brand Asset</w:t>
      </w:r>
    </w:p>
    <w:p>
      <w:pPr>
        <w:spacing w:after="100" w:before="60" w:line="276"/>
        <w:jc w:val="both"/>
      </w:pPr>
      <w:r>
        <w:rPr>
          <w:rFonts w:ascii="Calibri" w:cs="Calibri" w:eastAsia="Calibri" w:hAnsi="Calibri"/>
          <w:b w:val="false"/>
          <w:bCs w:val="false"/>
          <w:i w:val="false"/>
          <w:iCs w:val="false"/>
          <w:color w:val="000000"/>
          <w:sz w:val="22"/>
          <w:szCs w:val="22"/>
        </w:rPr>
        <w:t xml:space="preserve">The Stolen KitKat Tracker should not be retired as a crisis-specific tool. Its underlying consumer-facing product traceability infrastructure represents a significant brand differentiator that can be repositioned as a permanent sustainability and transparency asset. Nestlé should invest in transforming the Tracker's backend into a broader 'KitKat Transparency Platform' that allows consumers to trace not only stolen products but the full supply chain—from cocoa sourcing through manufacturing and distribution—in line with growing consumer expectations for supply chain transparency. This would simultaneously address a legacy reputational vulnerability (supply chain ethics) and extend the positive brand equity generated by the Heist response.</w:t>
      </w:r>
    </w:p>
    <w:p>
      <w:pPr>
        <w:pStyle w:val="Heading2"/>
        <w:pBdr>
          <w:bottom w:val="single" w:color="C0392B" w:sz="2" w:space="1"/>
        </w:pBdr>
        <w:spacing w:after="120" w:before="280"/>
      </w:pPr>
      <w:r>
        <w:rPr>
          <w:rFonts w:ascii="Calibri" w:cs="Calibri" w:eastAsia="Calibri" w:hAnsi="Calibri"/>
          <w:b/>
          <w:bCs/>
          <w:color w:val="1B2A4A"/>
          <w:sz w:val="26"/>
          <w:szCs w:val="26"/>
        </w:rPr>
        <w:t xml:space="preserve">Recommendation 3: Convert Crisis Capital Into Structured Influencer Partnerships</w:t>
      </w:r>
    </w:p>
    <w:p>
      <w:pPr>
        <w:spacing w:after="100" w:before="60" w:line="276"/>
        <w:jc w:val="both"/>
      </w:pPr>
      <w:r>
        <w:rPr>
          <w:rFonts w:ascii="Calibri" w:cs="Calibri" w:eastAsia="Calibri" w:hAnsi="Calibri"/>
          <w:b w:val="false"/>
          <w:bCs w:val="false"/>
          <w:i w:val="false"/>
          <w:iCs w:val="false"/>
          <w:color w:val="000000"/>
          <w:sz w:val="22"/>
          <w:szCs w:val="22"/>
        </w:rPr>
        <w:t xml:space="preserve">The organic brand-banter ecosystem generated by the Heist created an unprecedented network of brand relationships that should be strategically cultivated. KitKat's communications team should systematically engage the highest-performing brands in the pile-on (Domino's, DoorDash, Ryanair, KFC) to explore structured co-creation partnerships that extend the positive relational capital into planned marketing programmes. The credibility of these relationships, demonstrated under crisis conditions, is more persuasive to consumers than conventionally negotiated brand partnerships.</w:t>
      </w:r>
    </w:p>
    <w:p>
      <w:pPr>
        <w:pStyle w:val="Heading2"/>
        <w:pBdr>
          <w:bottom w:val="single" w:color="C0392B" w:sz="2" w:space="1"/>
        </w:pBdr>
        <w:spacing w:after="120" w:before="280"/>
      </w:pPr>
      <w:r>
        <w:rPr>
          <w:rFonts w:ascii="Calibri" w:cs="Calibri" w:eastAsia="Calibri" w:hAnsi="Calibri"/>
          <w:b/>
          <w:bCs/>
          <w:color w:val="1B2A4A"/>
          <w:sz w:val="26"/>
          <w:szCs w:val="26"/>
        </w:rPr>
        <w:t xml:space="preserve">Recommendation 4: Invest in Cargo Security and Communicate the Investment</w:t>
      </w:r>
    </w:p>
    <w:p>
      <w:pPr>
        <w:spacing w:after="100" w:before="60" w:line="276"/>
        <w:jc w:val="both"/>
      </w:pPr>
      <w:r>
        <w:rPr>
          <w:rFonts w:ascii="Calibri" w:cs="Calibri" w:eastAsia="Calibri" w:hAnsi="Calibri"/>
          <w:b w:val="false"/>
          <w:bCs w:val="false"/>
          <w:i w:val="false"/>
          <w:iCs w:val="false"/>
          <w:color w:val="000000"/>
          <w:sz w:val="22"/>
          <w:szCs w:val="22"/>
        </w:rPr>
        <w:t xml:space="preserve">Nestlé's public advocacy on the cargo crime issue created a reputational commitment that must be matched by operational action. The company should commission a comprehensive review of its European freight security protocols and publicly commit to a set of specific improvements—including enhanced GPS tracking, carrier vetting standards, and driver safety protocols—within a defined timeframe. This communication of corrective action (an Image Repair Theory strategy) transforms the crisis from a one-time PR win into a sustained demonstration of responsible corporate governance.</w:t>
      </w:r>
    </w:p>
    <w:p>
      <w:pPr>
        <w:pStyle w:val="Heading2"/>
        <w:pBdr>
          <w:bottom w:val="single" w:color="C0392B" w:sz="2" w:space="1"/>
        </w:pBdr>
        <w:spacing w:after="120" w:before="280"/>
      </w:pPr>
      <w:r>
        <w:rPr>
          <w:rFonts w:ascii="Calibri" w:cs="Calibri" w:eastAsia="Calibri" w:hAnsi="Calibri"/>
          <w:b/>
          <w:bCs/>
          <w:color w:val="1B2A4A"/>
          <w:sz w:val="26"/>
          <w:szCs w:val="26"/>
        </w:rPr>
        <w:t xml:space="preserve">Recommendation 5: Develop a 'Victim Crisis' Playbook for the Broader Nestlé Portfolio</w:t>
      </w:r>
    </w:p>
    <w:p>
      <w:pPr>
        <w:spacing w:after="100" w:before="60" w:line="276"/>
        <w:jc w:val="both"/>
      </w:pPr>
      <w:r>
        <w:rPr>
          <w:rFonts w:ascii="Calibri" w:cs="Calibri" w:eastAsia="Calibri" w:hAnsi="Calibri"/>
          <w:b w:val="false"/>
          <w:bCs w:val="false"/>
          <w:i w:val="false"/>
          <w:iCs w:val="false"/>
          <w:color w:val="000000"/>
          <w:sz w:val="22"/>
          <w:szCs w:val="22"/>
        </w:rPr>
        <w:t xml:space="preserve">The KitKat Heist has generated a rich, validated case study in victim-crisis communication that should be disseminated across Nestlé's entire brand portfolio. Other Nestlé brands—ranging from Nescafé to Maggi to Milo—operate in markets with comparable supply-chain vulnerabilities and should have access to crisis communication frameworks that reflect the lessons of this incident. Nestlé's Group Communications function should commission a cross-portfolio crisis readiness programme informed by the KitKat case and delivered at the brand manager and communications director levels globally.</w:t>
      </w:r>
    </w:p>
    <w:p>
      <w:pPr>
        <w:pStyle w:val="Heading2"/>
        <w:pBdr>
          <w:bottom w:val="single" w:color="C0392B" w:sz="2" w:space="1"/>
        </w:pBdr>
        <w:spacing w:after="120" w:before="280"/>
      </w:pPr>
      <w:r>
        <w:rPr>
          <w:rFonts w:ascii="Calibri" w:cs="Calibri" w:eastAsia="Calibri" w:hAnsi="Calibri"/>
          <w:b/>
          <w:bCs/>
          <w:color w:val="1B2A4A"/>
          <w:sz w:val="26"/>
          <w:szCs w:val="26"/>
        </w:rPr>
        <w:t xml:space="preserve">Recommendation 6: Proactively Address Legacy Reputational Vulnerabilities</w:t>
      </w:r>
    </w:p>
    <w:p>
      <w:pPr>
        <w:spacing w:after="100" w:before="60" w:line="276"/>
        <w:jc w:val="both"/>
      </w:pPr>
      <w:r>
        <w:rPr>
          <w:rFonts w:ascii="Calibri" w:cs="Calibri" w:eastAsia="Calibri" w:hAnsi="Calibri"/>
          <w:b w:val="false"/>
          <w:bCs w:val="false"/>
          <w:i w:val="false"/>
          <w:iCs w:val="false"/>
          <w:color w:val="000000"/>
          <w:sz w:val="22"/>
          <w:szCs w:val="22"/>
        </w:rPr>
        <w:t xml:space="preserve">The success of the Heist response will not indefinitely insulate Nestlé from the reputational consequences of its legacy controversies. The company should invest in proactive stakeholder engagement programmes specifically targeting the NGO and advocacy communities whose concerns about cocoa supply chains, infant formula practices, and environmental commitments remain active. These programmes should be substantive rather than reputational—i.e., grounded in genuine operational commitments and independently verifiable progress—as sophisticated advocacy communities are adept at distinguishing between meaningful change and reputational management. A significant crisis on any of these legacy issues, in the absence of meaningful prior investment in stakeholder relations, would be considerably more difficult to manage than the Heist.</w:t>
      </w:r>
    </w:p>
    <w:p>
      <w:pPr>
        <w:pStyle w:val="Heading2"/>
        <w:pBdr>
          <w:bottom w:val="single" w:color="C0392B" w:sz="2" w:space="1"/>
        </w:pBdr>
        <w:spacing w:after="120" w:before="280"/>
      </w:pPr>
      <w:r>
        <w:rPr>
          <w:rFonts w:ascii="Calibri" w:cs="Calibri" w:eastAsia="Calibri" w:hAnsi="Calibri"/>
          <w:b/>
          <w:bCs/>
          <w:color w:val="1B2A4A"/>
          <w:sz w:val="26"/>
          <w:szCs w:val="26"/>
        </w:rPr>
        <w:t xml:space="preserve">Recommendation 7: Establish an Academic Partnership for Ongoing Crisis Research</w:t>
      </w:r>
    </w:p>
    <w:p>
      <w:pPr>
        <w:spacing w:after="100" w:before="60" w:line="276"/>
        <w:jc w:val="both"/>
      </w:pPr>
      <w:r>
        <w:rPr>
          <w:rFonts w:ascii="Calibri" w:cs="Calibri" w:eastAsia="Calibri" w:hAnsi="Calibri"/>
          <w:b w:val="false"/>
          <w:bCs w:val="false"/>
          <w:i w:val="false"/>
          <w:iCs w:val="false"/>
          <w:color w:val="000000"/>
          <w:sz w:val="22"/>
          <w:szCs w:val="22"/>
        </w:rPr>
        <w:t xml:space="preserve">The KitKat Heist has already generated significant academic interest, with early commentary from the University of Virginia Darden School of Business, the IMM Graduate School, and communications programmes across multiple continents. Nestlé should establish a formal academic partnership with one or more leading communication studies or business schools to document, analyse, and disseminate the lessons of the Heist case—and to maintain an ongoing dialogue about crisis communication best practices. This partnership would serve simultaneously as a source of independent academic credibility and as a mechanism for Nestlé to sustain its positioning as an industry thought leader in corporate communications.</w:t>
      </w:r>
    </w:p>
    <w:p>
      <w:pPr>
        <w:spacing w:after="1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Conclusion  </w:t>
      </w:r>
    </w:p>
    <w:p>
      <w:pPr>
        <w:spacing w:after="100" w:before="60" w:line="276"/>
        <w:jc w:val="both"/>
      </w:pPr>
      <w:r>
        <w:rPr>
          <w:rFonts w:ascii="Calibri" w:cs="Calibri" w:eastAsia="Calibri" w:hAnsi="Calibri"/>
          <w:b w:val="false"/>
          <w:bCs w:val="false"/>
          <w:i w:val="false"/>
          <w:iCs w:val="false"/>
          <w:color w:val="000000"/>
          <w:sz w:val="22"/>
          <w:szCs w:val="22"/>
        </w:rPr>
        <w:t xml:space="preserve">The Great KitKat Heist of 2026 represents a pivotal case study in the academic literature on digital crisis communication—not because it exemplifies a catastrophic reputational failure, but because it demonstrates, with remarkable precision, how a well-classified crisis can be transmuted into a net brand asset through disciplined, theory-aligned communication practice.</w:t>
      </w:r>
    </w:p>
    <w:p>
      <w:pPr>
        <w:spacing w:after="100" w:before="60" w:line="276"/>
        <w:jc w:val="both"/>
      </w:pPr>
      <w:r>
        <w:rPr>
          <w:rFonts w:ascii="Calibri" w:cs="Calibri" w:eastAsia="Calibri" w:hAnsi="Calibri"/>
          <w:b w:val="false"/>
          <w:bCs w:val="false"/>
          <w:i w:val="false"/>
          <w:iCs w:val="false"/>
          <w:color w:val="000000"/>
          <w:sz w:val="22"/>
          <w:szCs w:val="22"/>
        </w:rPr>
        <w:t xml:space="preserve">The application of Situational Crisis Communication Theory reveals a textbook victim-crisis response: rapid factual disclosure, appropriate emotional register, interactive stakeholder engagement, and transcendence-level advocacy for industry-wide reform. Image Repair Theory illuminates the specific strategies deployed—reducing offensiveness through humour, corrective action through the digital Tracker, and confident evasion of unwarranted responsibility. The Apologia framework confirms the dissociation strategy at the heart of KitKat's communication: distinguishing the brand's character from the criminal event and using the incident as a platform for value affirmation rather than apology.</w:t>
      </w:r>
    </w:p>
    <w:p>
      <w:pPr>
        <w:spacing w:after="100" w:before="60" w:line="276"/>
        <w:jc w:val="both"/>
      </w:pPr>
      <w:r>
        <w:rPr>
          <w:rFonts w:ascii="Calibri" w:cs="Calibri" w:eastAsia="Calibri" w:hAnsi="Calibri"/>
          <w:b w:val="false"/>
          <w:bCs w:val="false"/>
          <w:i w:val="false"/>
          <w:iCs w:val="false"/>
          <w:color w:val="000000"/>
          <w:sz w:val="22"/>
          <w:szCs w:val="22"/>
        </w:rPr>
        <w:t xml:space="preserve">Perhaps most significantly for practitioners and scholars of digital crisis management, the Heist illustrates that the conditions for effective crisis communication are structural—built over years of brand investment, stakeholder trust, and communication capability—rather than situational improvisations achievable in the moment of crisis. KitKat's response felt effortless because it was not: it was the product of decades of brand discipline deployed with exceptional agility when an unexpected window opened.</w:t>
      </w:r>
    </w:p>
    <w:p>
      <w:pPr>
        <w:spacing w:after="100" w:before="60" w:line="276"/>
        <w:jc w:val="both"/>
      </w:pPr>
      <w:r>
        <w:rPr>
          <w:rFonts w:ascii="Calibri" w:cs="Calibri" w:eastAsia="Calibri" w:hAnsi="Calibri"/>
          <w:b w:val="false"/>
          <w:bCs w:val="false"/>
          <w:i w:val="false"/>
          <w:iCs w:val="false"/>
          <w:color w:val="000000"/>
          <w:sz w:val="22"/>
          <w:szCs w:val="22"/>
        </w:rPr>
        <w:t xml:space="preserve">For graduate students in media and communication studies, this case offers a rare opportunity to observe all the principal theoretical frameworks of crisis communication operating simultaneously in a real-world scenario, with outcomes that are measurable, visible, and instructive. The Great KitKat Heist will, in all probability, remain a defining reference point in digital crisis communication pedagogy for years to come.</w:t>
      </w:r>
    </w:p>
    <w:p>
      <w:pPr>
        <w:spacing w:after="200" w:before="0"/>
      </w:pPr>
      <w:r>
        <w:t xml:space="preserve"/>
      </w:r>
    </w:p>
    <w:p>
      <w:pPr>
        <w:pStyle w:val="Heading1"/>
        <w:pBdr>
          <w:bottom w:val="single" w:color="922B21" w:sz="3"/>
        </w:pBdr>
        <w:shd w:fill="C0392B" w:val="clear"/>
        <w:spacing w:after="200" w:before="360"/>
        <w:jc w:val="left"/>
      </w:pPr>
      <w:r>
        <w:rPr>
          <w:rFonts w:ascii="Calibri" w:cs="Calibri" w:eastAsia="Calibri" w:hAnsi="Calibri"/>
          <w:b/>
          <w:bCs/>
          <w:color w:val="FFFFFF"/>
          <w:sz w:val="30"/>
          <w:szCs w:val="30"/>
        </w:rPr>
        <w:t xml:space="preserve">  References and Sources  </w:t>
      </w:r>
    </w:p>
    <w:p>
      <w:pPr>
        <w:pStyle w:val="Heading2"/>
        <w:pBdr>
          <w:bottom w:val="single" w:color="C0392B" w:sz="2" w:space="1"/>
        </w:pBdr>
        <w:spacing w:after="120" w:before="280"/>
      </w:pPr>
      <w:r>
        <w:rPr>
          <w:rFonts w:ascii="Calibri" w:cs="Calibri" w:eastAsia="Calibri" w:hAnsi="Calibri"/>
          <w:b/>
          <w:bCs/>
          <w:color w:val="1B2A4A"/>
          <w:sz w:val="26"/>
          <w:szCs w:val="26"/>
        </w:rPr>
        <w:t xml:space="preserve">Academic Frameworks</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Benoit, W. L. (1995). Accounts, Excuses, and Apologies: A Theory of Image Restoration Strategies. Albany: State University of New York Press.</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Coombs, W. T. (2007). Protecting Organization Reputations During a Crisis: The Development and Application of Situational Crisis Communication Theory. Corporate Reputation Review, 10(3), 163–176.</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Hearit, K. M. (2006). Crisis Management by Apology: Corporate Response to Allegations of Wrongdoing. Lawrence Erlbaum Associates.</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Coombs, W. T., &amp; Holladay, S. J. (2010). The Handbook of Crisis Communication. Wiley-Blackwell.</w:t>
      </w:r>
    </w:p>
    <w:p>
      <w:pPr>
        <w:pStyle w:val="Heading2"/>
        <w:pBdr>
          <w:bottom w:val="single" w:color="C0392B" w:sz="2" w:space="1"/>
        </w:pBdr>
        <w:spacing w:after="120" w:before="280"/>
      </w:pPr>
      <w:r>
        <w:rPr>
          <w:rFonts w:ascii="Calibri" w:cs="Calibri" w:eastAsia="Calibri" w:hAnsi="Calibri"/>
          <w:b/>
          <w:bCs/>
          <w:color w:val="1B2A4A"/>
          <w:sz w:val="26"/>
          <w:szCs w:val="26"/>
        </w:rPr>
        <w:t xml:space="preserve">Primary and Journalistic Sources (2026)</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Confectionery News (April 9, 2026): 'Nestlé steps up security following KitKat heist.'</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Dog On News (April 10, 2026): 'Help Nestlé Solve The Great KitKat Heist.'</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PR Newswire (March 28, 2026): 'Thieves Make a Break For It as 12 Tonnes of KITKAT Go Missing' (Corrected Release).</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PPC Land (April 2026): 'KitKat's chocolate heist turns into a marketing masterclass — but cargo theft is real.'</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Bettison PR (April 2026): 'Top 3 PR Losses and Wins of Q1-2026: A Study in Crisis Management.'</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Fast Company / Inc. (April 2026): 'The Great KitKat Heist Has Turned Into a Sweet PR Victory for Nestlé.'</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Famous Campaigns (March 31, 2026): 'Internet pile-on turns KitKat theft into a marketing win for Nestlé.'</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CIM London Region (April 2026): 'How the KitKat heist became a cultural moment of 2026.'</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BizCommunity / IMM Graduate School (April 8, 2026): 'When supply chains fail, brands speak: The KitKat theft case study.'</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The Jerusalem Post (March 2026): 'Viral Kit Kat heist sparks responses from brands, cities, and a Real Housewife.'</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Picsart Blog (2026): 'KitKat Heist Parody Trend: How Brands Went Viral With It.'</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PRNews Online (April 2026): 'PR Roundup: A KitKat Heist, United Responds and the Opinions of 900 Journalists.'</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Darden Report Online, University of Virginia (March 31, 2026): 'What a KitKat Heist Can Teach Brands About Getting It Right.'</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ALM Corp (April 2026): 'KitKat Heist Explained: Nestlé's PR Response and Key Lessons.'</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POP Communications (April 2026): 'From Theft to Trend: How Brands Won the Internet with the KitKat Moment.'</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Motorsport.com (March 2026): 'Formula 1 partner KitKat loses over 400,000 F1 chocolate bars in major Europe theft.'</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Planet F1 (March 2026): 'Thieves hijack lorry carrying 400,000 Formula 1 KitKat bars, report.'</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Legal Insurrection (March 2026): 'Over 12 Tons of KitKat Bars Stolen En Route From Italy to Poland.'</w:t>
      </w:r>
    </w:p>
    <w:p>
      <w:pPr>
        <w:pStyle w:val="ListParagraph"/>
        <w:numPr>
          <w:ilvl w:val="0"/>
          <w:numId w:val="2"/>
        </w:numPr>
        <w:spacing w:after="40" w:before="40" w:line="264"/>
        <w:ind w:left="720" w:hanging="360"/>
      </w:pPr>
      <w:r>
        <w:rPr>
          <w:rFonts w:ascii="Calibri" w:cs="Calibri" w:eastAsia="Calibri" w:hAnsi="Calibri"/>
          <w:color w:val="111111"/>
          <w:sz w:val="22"/>
          <w:szCs w:val="22"/>
        </w:rPr>
        <w:t xml:space="preserve">GPFans (April 2, 2026): 'KitKat launches tracker for stolen F1 chocolates with over 413k bars missing.'</w:t>
      </w:r>
    </w:p>
    <w:p>
      <w:pPr>
        <w:spacing w:after="100" w:before="0"/>
      </w:pPr>
      <w:r>
        <w:t xml:space="preserve"/>
      </w:r>
    </w:p>
    <w:p>
      <w:pPr>
        <w:spacing w:after="0" w:before="200"/>
        <w:jc w:val="center"/>
      </w:pPr>
      <w:r>
        <w:rPr>
          <w:rFonts w:ascii="Calibri" w:cs="Calibri" w:eastAsia="Calibri" w:hAnsi="Calibri"/>
          <w:i/>
          <w:iCs/>
          <w:color w:val="444444"/>
          <w:sz w:val="18"/>
          <w:szCs w:val="18"/>
        </w:rPr>
        <w:t xml:space="preserve">© 2026 Crisis Communication Expert Analysis — All Rights Reserved — Prepared April 12, 2026</w:t>
      </w:r>
    </w:p>
    <w:sectPr>
      <w:headerReference w:type="default" r:id="rId7"/>
      <w:footerReference w:type="default" r:id="rId8"/>
      <w:pgSz w:w="12240" w:h="15840" w:orient="portrait"/>
      <w:pgMar w:top="1440" w:right="1260" w:bottom="1440" w:left="126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0392B" w:sz="3" w:space="1"/>
      </w:pBdr>
      <w:spacing w:after="0" w:before="100"/>
      <w:jc w:val="right"/>
    </w:pPr>
    <w:r>
      <w:rPr>
        <w:rFonts w:ascii="Calibri" w:cs="Calibri" w:eastAsia="Calibri" w:hAnsi="Calibri"/>
        <w:color w:val="444444"/>
        <w:sz w:val="16"/>
        <w:szCs w:val="16"/>
      </w:rPr>
      <w:t xml:space="preserve">Crisis Communication Expert Analysis  —  April 2026  |  Page </w:t>
    </w:r>
    <w:r>
      <w:rPr>
        <w:rFonts w:ascii="Calibri" w:cs="Calibri" w:eastAsia="Calibri" w:hAnsi="Calibri"/>
        <w:color w:val="444444"/>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C0392B" w:sz="3" w:space="1"/>
      </w:pBdr>
      <w:spacing w:after="100" w:before="0"/>
    </w:pPr>
    <w:r>
      <w:rPr>
        <w:rFonts w:ascii="Calibri" w:cs="Calibri" w:eastAsia="Calibri" w:hAnsi="Calibri"/>
        <w:color w:val="444444"/>
        <w:sz w:val="16"/>
        <w:szCs w:val="16"/>
      </w:rPr>
      <w:t xml:space="preserve">ACADEMIC CRISIS COMMUNICATION ANALYSIS  |  The Great KitKat Heist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rPr>
        <w:rFonts w:ascii="Calibri" w:cs="Calibri" w:eastAsia="Calibri" w:hAnsi="Calibri"/>
        <w:color w:val="C0392B"/>
      </w:rPr>
    </w:lvl>
    <w:lvl w:ilvl="1" w15:tentative="1">
      <w:start w:val="1"/>
      <w:numFmt w:val="bullet"/>
      <w:lvlText w:val="◦"/>
      <w:lvlJc w:val="left"/>
      <w:pPr>
        <w:ind w:left="108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360"/>
      <w:outlineLvl w:val="0"/>
    </w:pPr>
    <w:rPr>
      <w:rFonts w:ascii="Calibri" w:cs="Calibri" w:eastAsia="Calibri" w:hAnsi="Calibri"/>
      <w:b/>
      <w:bCs/>
      <w:color w:val="FFFFFF"/>
      <w:sz w:val="30"/>
      <w:szCs w:val="30"/>
    </w:rPr>
  </w:style>
  <w:style w:type="paragraph" w:styleId="Heading2">
    <w:name w:val="Heading 2"/>
    <w:basedOn w:val="Normal"/>
    <w:next w:val="Normal"/>
    <w:qFormat/>
    <w:pPr>
      <w:spacing w:after="120" w:before="280"/>
      <w:outlineLvl w:val="1"/>
    </w:pPr>
    <w:rPr>
      <w:rFonts w:ascii="Calibri" w:cs="Calibri" w:eastAsia="Calibri" w:hAnsi="Calibri"/>
      <w:b/>
      <w:bCs/>
      <w:color w:val="1B2A4A"/>
      <w:sz w:val="26"/>
      <w:szCs w:val="26"/>
    </w:rPr>
  </w:style>
  <w:style w:type="paragraph" w:styleId="Heading3">
    <w:name w:val="Heading 3"/>
    <w:basedOn w:val="Normal"/>
    <w:next w:val="Normal"/>
    <w:qFormat/>
    <w:pPr>
      <w:spacing w:after="80" w:before="200"/>
      <w:outlineLvl w:val="2"/>
    </w:pPr>
    <w:rPr>
      <w:rFonts w:ascii="Calibri" w:cs="Calibri" w:eastAsia="Calibri" w:hAnsi="Calibri"/>
      <w:b/>
      <w:bCs/>
      <w:i/>
      <w:iCs/>
      <w:color w:val="922B21"/>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2026-04-12T10:11:46.470Z</dcterms:created>
  <dcterms:modified xsi:type="dcterms:W3CDTF">2026-04-12T10:11:46.471Z</dcterms:modified>
</cp:coreProperties>
</file>

<file path=docProps/custom.xml><?xml version="1.0" encoding="utf-8"?>
<Properties xmlns="http://schemas.openxmlformats.org/officeDocument/2006/custom-properties" xmlns:vt="http://schemas.openxmlformats.org/officeDocument/2006/docPropsVTypes"/>
</file>