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C7BF9" w14:textId="77777777" w:rsidR="006A2E70" w:rsidRPr="00BE5127" w:rsidRDefault="006A2E70" w:rsidP="006A2E70">
      <w:pPr>
        <w:bidi/>
        <w:spacing w:line="240" w:lineRule="auto"/>
        <w:ind w:hanging="283"/>
        <w:jc w:val="both"/>
        <w:rPr>
          <w:rFonts w:ascii="ae_Cortoba" w:hAnsi="ae_Cortoba" w:cs="ae_Cortoba"/>
          <w:b/>
          <w:bCs/>
          <w:color w:val="8496B0" w:themeColor="text2" w:themeTint="99"/>
          <w:sz w:val="40"/>
          <w:szCs w:val="40"/>
          <w:rtl/>
        </w:rPr>
      </w:pPr>
      <w:r w:rsidRPr="00BE5127">
        <w:rPr>
          <w:rFonts w:ascii="Times New Roman"/>
          <w:b/>
          <w:noProof/>
          <w:sz w:val="20"/>
        </w:rPr>
        <w:drawing>
          <wp:anchor distT="0" distB="0" distL="114300" distR="114300" simplePos="0" relativeHeight="251659264" behindDoc="0" locked="0" layoutInCell="1" allowOverlap="1" wp14:anchorId="2FB7C5DF" wp14:editId="382EBE8D">
            <wp:simplePos x="0" y="0"/>
            <wp:positionH relativeFrom="margin">
              <wp:posOffset>-99060</wp:posOffset>
            </wp:positionH>
            <wp:positionV relativeFrom="margin">
              <wp:posOffset>-342900</wp:posOffset>
            </wp:positionV>
            <wp:extent cx="1516380" cy="666115"/>
            <wp:effectExtent l="0" t="0" r="7620" b="635"/>
            <wp:wrapSquare wrapText="bothSides"/>
            <wp:docPr id="3" name="image1.png" descr="صورة تحتوي على الخط, لقطة شاشة, نص, الرسومات&#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صورة تحتوي على الخط, لقطة شاشة, نص, الرسومات&#10;&#10;قد يكون المحتوى الذي تم إنشاؤه بواسطة الذكاء الاصطناعي غير صحيح."/>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7ACC2AC" w14:textId="77777777" w:rsidR="006A2E70" w:rsidRPr="00BE5127" w:rsidRDefault="006A2E70" w:rsidP="006A2E70">
      <w:pPr>
        <w:bidi/>
        <w:spacing w:line="240" w:lineRule="auto"/>
        <w:jc w:val="both"/>
        <w:rPr>
          <w:rFonts w:ascii="Calibri" w:hAnsi="Calibri" w:cs="Calibri"/>
          <w:b/>
          <w:bCs/>
          <w:color w:val="8496B0" w:themeColor="text2" w:themeTint="99"/>
          <w:sz w:val="40"/>
          <w:szCs w:val="40"/>
          <w:rtl/>
        </w:rPr>
      </w:pPr>
    </w:p>
    <w:p w14:paraId="09B4F157" w14:textId="77777777" w:rsidR="006A2E70" w:rsidRPr="00BE5127" w:rsidRDefault="006A2E70" w:rsidP="006A2E70">
      <w:pPr>
        <w:bidi/>
        <w:spacing w:line="276" w:lineRule="auto"/>
        <w:jc w:val="both"/>
        <w:rPr>
          <w:rFonts w:cs="Arial"/>
          <w:sz w:val="28"/>
          <w:szCs w:val="28"/>
          <w:rtl/>
        </w:rPr>
      </w:pPr>
    </w:p>
    <w:p w14:paraId="7D9B5A90" w14:textId="77777777" w:rsidR="006A2E70" w:rsidRPr="00BE5127" w:rsidRDefault="006A2E70" w:rsidP="006A2E70">
      <w:pPr>
        <w:bidi/>
        <w:spacing w:line="276" w:lineRule="auto"/>
        <w:jc w:val="both"/>
        <w:rPr>
          <w:rFonts w:cs="Arial"/>
          <w:sz w:val="28"/>
          <w:szCs w:val="28"/>
          <w:rtl/>
        </w:rPr>
      </w:pPr>
    </w:p>
    <w:p w14:paraId="4BEE3CD9" w14:textId="77777777" w:rsidR="006A2E70" w:rsidRPr="00BE5127" w:rsidRDefault="006A2E70" w:rsidP="006A2E70">
      <w:pPr>
        <w:bidi/>
        <w:rPr>
          <w:rFonts w:cs="Arial"/>
          <w:sz w:val="28"/>
          <w:szCs w:val="28"/>
          <w:rtl/>
        </w:rPr>
      </w:pPr>
    </w:p>
    <w:p w14:paraId="0DA13876" w14:textId="77777777" w:rsidR="006A2E70" w:rsidRPr="00BE5127" w:rsidRDefault="006A2E70" w:rsidP="006A2E70">
      <w:pPr>
        <w:bidi/>
        <w:jc w:val="center"/>
        <w:rPr>
          <w:rFonts w:cs="Arial"/>
          <w:b/>
          <w:bCs/>
        </w:rPr>
      </w:pPr>
    </w:p>
    <w:p w14:paraId="7CFFC25B" w14:textId="77777777" w:rsidR="006A2E70" w:rsidRPr="00BE5127" w:rsidRDefault="006A2E70" w:rsidP="006A2E70">
      <w:pPr>
        <w:bidi/>
        <w:jc w:val="center"/>
        <w:rPr>
          <w:rFonts w:ascii="Arial" w:hAnsi="Arial" w:cs="Monotype Koufi"/>
          <w:b/>
          <w:bCs/>
          <w:sz w:val="44"/>
          <w:szCs w:val="44"/>
          <w:rtl/>
        </w:rPr>
      </w:pPr>
      <w:r w:rsidRPr="00BE5127">
        <w:rPr>
          <w:rFonts w:ascii="Arial" w:hAnsi="Arial" w:cs="Monotype Koufi" w:hint="cs"/>
          <w:b/>
          <w:bCs/>
          <w:sz w:val="44"/>
          <w:szCs w:val="44"/>
          <w:rtl/>
        </w:rPr>
        <w:t>بحث</w:t>
      </w:r>
      <w:r w:rsidRPr="00BE5127">
        <w:rPr>
          <w:rFonts w:ascii="Arial" w:hAnsi="Arial" w:cs="Monotype Koufi"/>
          <w:b/>
          <w:bCs/>
          <w:sz w:val="44"/>
          <w:szCs w:val="44"/>
        </w:rPr>
        <w:t xml:space="preserve"> </w:t>
      </w:r>
      <w:r w:rsidRPr="00BE5127">
        <w:rPr>
          <w:rFonts w:ascii="Arial" w:hAnsi="Arial" w:cs="Arial" w:hint="cs"/>
          <w:b/>
          <w:bCs/>
          <w:sz w:val="44"/>
          <w:szCs w:val="44"/>
          <w:rtl/>
        </w:rPr>
        <w:t>للتسجيل لدرجة الدكتوراة</w:t>
      </w:r>
    </w:p>
    <w:p w14:paraId="7AD025CD" w14:textId="77777777" w:rsidR="006A2E70" w:rsidRPr="00BE5127" w:rsidRDefault="006A2E70" w:rsidP="006A2E70">
      <w:pPr>
        <w:bidi/>
        <w:spacing w:line="276" w:lineRule="auto"/>
        <w:jc w:val="center"/>
        <w:rPr>
          <w:rFonts w:cs="Arial"/>
          <w:b/>
          <w:bCs/>
        </w:rPr>
      </w:pPr>
    </w:p>
    <w:p w14:paraId="1E471659" w14:textId="77777777" w:rsidR="006A2E70" w:rsidRPr="00BE5127" w:rsidRDefault="006A2E70" w:rsidP="006A2E70">
      <w:pPr>
        <w:bidi/>
        <w:spacing w:before="600" w:line="276" w:lineRule="auto"/>
        <w:jc w:val="center"/>
        <w:rPr>
          <w:rFonts w:ascii="Sakkal Majalla" w:hAnsi="Sakkal Majalla" w:cs="Sakkal Majalla"/>
          <w:b/>
          <w:bCs/>
          <w:sz w:val="40"/>
          <w:szCs w:val="40"/>
        </w:rPr>
      </w:pPr>
      <w:r w:rsidRPr="00BE5127">
        <w:rPr>
          <w:rFonts w:ascii="Sakkal Majalla" w:hAnsi="Sakkal Majalla" w:cs="Sakkal Majalla" w:hint="cs"/>
          <w:b/>
          <w:bCs/>
          <w:sz w:val="40"/>
          <w:szCs w:val="40"/>
          <w:rtl/>
        </w:rPr>
        <w:t>أثر تبني تقنيات الذكاء الاصطناعي على فاعلية القرارات الاستراتيجية لدى</w:t>
      </w:r>
      <w:r w:rsidRPr="00BE5127">
        <w:rPr>
          <w:rFonts w:ascii="Sakkal Majalla" w:hAnsi="Sakkal Majalla" w:cs="Sakkal Majalla" w:hint="cs"/>
          <w:b/>
          <w:bCs/>
          <w:sz w:val="40"/>
          <w:szCs w:val="40"/>
        </w:rPr>
        <w:t xml:space="preserve"> </w:t>
      </w:r>
      <w:r w:rsidRPr="00BE5127">
        <w:rPr>
          <w:rFonts w:ascii="Sakkal Majalla" w:hAnsi="Sakkal Majalla" w:cs="Sakkal Majalla" w:hint="cs"/>
          <w:b/>
          <w:bCs/>
          <w:sz w:val="40"/>
          <w:szCs w:val="40"/>
          <w:rtl/>
        </w:rPr>
        <w:t>التنفيذيين في شركات الأغذية الكبرى في المملكة في ضوء رؤية 2030</w:t>
      </w:r>
    </w:p>
    <w:p w14:paraId="283104F6" w14:textId="77777777" w:rsidR="006A2E70" w:rsidRPr="00BE5127" w:rsidRDefault="006A2E70" w:rsidP="006A2E70">
      <w:pPr>
        <w:bidi/>
        <w:spacing w:before="600" w:line="276" w:lineRule="auto"/>
        <w:jc w:val="center"/>
        <w:rPr>
          <w:rFonts w:ascii="Sakkal Majalla" w:hAnsi="Sakkal Majalla" w:cs="Sakkal Majalla"/>
          <w:b/>
          <w:bCs/>
          <w:sz w:val="36"/>
          <w:szCs w:val="36"/>
        </w:rPr>
      </w:pPr>
      <w:r w:rsidRPr="00BE5127">
        <w:rPr>
          <w:rFonts w:ascii="Sakkal Majalla" w:hAnsi="Sakkal Majalla" w:cs="Sakkal Majalla"/>
          <w:b/>
          <w:bCs/>
          <w:sz w:val="36"/>
          <w:szCs w:val="36"/>
        </w:rPr>
        <w:t xml:space="preserve">The impact of adopting artificial intelligence technologies on the effectiveness of strategic decisions among executives in major food companies in the Kingdom </w:t>
      </w:r>
      <w:proofErr w:type="gramStart"/>
      <w:r w:rsidRPr="00BE5127">
        <w:rPr>
          <w:rFonts w:ascii="Sakkal Majalla" w:hAnsi="Sakkal Majalla" w:cs="Sakkal Majalla"/>
          <w:b/>
          <w:bCs/>
          <w:sz w:val="36"/>
          <w:szCs w:val="36"/>
        </w:rPr>
        <w:t>in light of</w:t>
      </w:r>
      <w:proofErr w:type="gramEnd"/>
      <w:r w:rsidRPr="00BE5127">
        <w:rPr>
          <w:rFonts w:ascii="Sakkal Majalla" w:hAnsi="Sakkal Majalla" w:cs="Sakkal Majalla"/>
          <w:b/>
          <w:bCs/>
          <w:sz w:val="36"/>
          <w:szCs w:val="36"/>
        </w:rPr>
        <w:t xml:space="preserve"> Vision 2030</w:t>
      </w:r>
      <w:r w:rsidRPr="00BE5127">
        <w:rPr>
          <w:rFonts w:ascii="Sakkal Majalla" w:hAnsi="Sakkal Majalla" w:cs="Sakkal Majalla"/>
          <w:b/>
          <w:bCs/>
          <w:sz w:val="36"/>
          <w:szCs w:val="36"/>
          <w:rtl/>
        </w:rPr>
        <w:t>.</w:t>
      </w:r>
    </w:p>
    <w:p w14:paraId="7B9826C8" w14:textId="77777777" w:rsidR="006A2E70" w:rsidRPr="00BE5127" w:rsidRDefault="006A2E70" w:rsidP="006A2E70">
      <w:pPr>
        <w:bidi/>
        <w:spacing w:line="276" w:lineRule="auto"/>
        <w:jc w:val="center"/>
        <w:rPr>
          <w:rFonts w:ascii="Simplified Arabic" w:hAnsi="Simplified Arabic" w:cs="Simplified Arabic"/>
          <w:b/>
          <w:bCs/>
          <w:sz w:val="32"/>
          <w:szCs w:val="32"/>
          <w:rtl/>
        </w:rPr>
      </w:pPr>
      <w:r w:rsidRPr="00BE5127">
        <w:rPr>
          <w:rFonts w:ascii="Simplified Arabic" w:hAnsi="Simplified Arabic" w:cs="Simplified Arabic"/>
          <w:b/>
          <w:bCs/>
          <w:sz w:val="32"/>
          <w:szCs w:val="32"/>
          <w:rtl/>
        </w:rPr>
        <w:t>اعداد</w:t>
      </w:r>
    </w:p>
    <w:p w14:paraId="1714C98F" w14:textId="77777777" w:rsidR="006A2E70" w:rsidRPr="00BE5127" w:rsidRDefault="006A2E70" w:rsidP="006A2E70">
      <w:pPr>
        <w:bidi/>
        <w:spacing w:line="276" w:lineRule="auto"/>
        <w:jc w:val="center"/>
        <w:rPr>
          <w:rFonts w:ascii="Simplified Arabic" w:hAnsi="Simplified Arabic" w:cs="Simplified Arabic"/>
          <w:b/>
          <w:bCs/>
          <w:sz w:val="32"/>
          <w:szCs w:val="32"/>
          <w:rtl/>
        </w:rPr>
      </w:pPr>
      <w:r w:rsidRPr="00BE5127">
        <w:rPr>
          <w:rFonts w:ascii="Simplified Arabic" w:hAnsi="Simplified Arabic" w:cs="Simplified Arabic"/>
          <w:b/>
          <w:bCs/>
          <w:sz w:val="32"/>
          <w:szCs w:val="32"/>
          <w:rtl/>
        </w:rPr>
        <w:t>علي حسن الشهري –</w:t>
      </w:r>
      <w:r w:rsidRPr="00BE5127">
        <w:rPr>
          <w:rFonts w:ascii="Simplified Arabic" w:hAnsi="Simplified Arabic" w:cs="Simplified Arabic" w:hint="cs"/>
          <w:b/>
          <w:bCs/>
          <w:sz w:val="32"/>
          <w:szCs w:val="32"/>
          <w:rtl/>
        </w:rPr>
        <w:t xml:space="preserve"> </w:t>
      </w:r>
      <w:r w:rsidRPr="00BE5127">
        <w:rPr>
          <w:rFonts w:ascii="Simplified Arabic" w:hAnsi="Simplified Arabic" w:cs="Simplified Arabic"/>
          <w:b/>
          <w:bCs/>
          <w:sz w:val="32"/>
          <w:szCs w:val="32"/>
          <w:rtl/>
        </w:rPr>
        <w:t>232001355</w:t>
      </w:r>
    </w:p>
    <w:p w14:paraId="13853304" w14:textId="77777777" w:rsidR="006A2E70" w:rsidRPr="00BE5127" w:rsidRDefault="006A2E70" w:rsidP="006A2E70">
      <w:pPr>
        <w:bidi/>
        <w:spacing w:line="276" w:lineRule="auto"/>
        <w:jc w:val="center"/>
        <w:rPr>
          <w:rFonts w:ascii="Sakkal Majalla" w:hAnsi="Sakkal Majalla" w:cs="Sakkal Majalla"/>
          <w:b/>
          <w:bCs/>
          <w:sz w:val="36"/>
          <w:szCs w:val="36"/>
          <w:rtl/>
        </w:rPr>
      </w:pPr>
      <w:r w:rsidRPr="00BE5127">
        <w:rPr>
          <w:rFonts w:ascii="Sakkal Majalla" w:hAnsi="Sakkal Majalla" w:cs="Sakkal Majalla" w:hint="cs"/>
          <w:b/>
          <w:bCs/>
          <w:sz w:val="36"/>
          <w:szCs w:val="36"/>
          <w:rtl/>
        </w:rPr>
        <w:t xml:space="preserve">اشراف / د. مضر علي </w:t>
      </w:r>
    </w:p>
    <w:p w14:paraId="7802DF8A" w14:textId="77777777" w:rsidR="006A2E70" w:rsidRPr="00BE5127" w:rsidRDefault="006A2E70" w:rsidP="006A2E70">
      <w:pPr>
        <w:bidi/>
        <w:spacing w:line="276" w:lineRule="auto"/>
        <w:jc w:val="center"/>
        <w:rPr>
          <w:rFonts w:ascii="Sakkal Majalla" w:hAnsi="Sakkal Majalla" w:cs="Sakkal Majalla"/>
          <w:b/>
          <w:bCs/>
          <w:sz w:val="36"/>
          <w:szCs w:val="36"/>
        </w:rPr>
      </w:pPr>
      <w:r w:rsidRPr="00BE5127">
        <w:rPr>
          <w:rFonts w:ascii="Sakkal Majalla" w:hAnsi="Sakkal Majalla" w:cs="Sakkal Majalla" w:hint="cs"/>
          <w:b/>
          <w:bCs/>
          <w:sz w:val="36"/>
          <w:szCs w:val="36"/>
          <w:rtl/>
        </w:rPr>
        <w:t xml:space="preserve">رسالة مقدمة لجامعة </w:t>
      </w:r>
      <w:proofErr w:type="spellStart"/>
      <w:r w:rsidRPr="00BE5127">
        <w:rPr>
          <w:rFonts w:ascii="Sakkal Majalla" w:hAnsi="Sakkal Majalla" w:cs="Sakkal Majalla" w:hint="cs"/>
          <w:b/>
          <w:bCs/>
          <w:sz w:val="36"/>
          <w:szCs w:val="36"/>
          <w:rtl/>
        </w:rPr>
        <w:t>ميدأوشن</w:t>
      </w:r>
      <w:proofErr w:type="spellEnd"/>
      <w:r w:rsidRPr="00BE5127">
        <w:rPr>
          <w:rFonts w:ascii="Sakkal Majalla" w:hAnsi="Sakkal Majalla" w:cs="Sakkal Majalla" w:hint="cs"/>
          <w:b/>
          <w:bCs/>
          <w:sz w:val="36"/>
          <w:szCs w:val="36"/>
          <w:rtl/>
        </w:rPr>
        <w:t xml:space="preserve"> لنيل درجة الدكتوراه في إدارة الأعمال</w:t>
      </w:r>
    </w:p>
    <w:p w14:paraId="2146AF17" w14:textId="04C899F7" w:rsidR="006A2E70" w:rsidRPr="00BE5127" w:rsidRDefault="006A2E70" w:rsidP="006A2E70">
      <w:pPr>
        <w:bidi/>
        <w:spacing w:line="276" w:lineRule="auto"/>
        <w:jc w:val="center"/>
        <w:rPr>
          <w:rFonts w:ascii="Calibri" w:hAnsi="Calibri" w:cs="Calibri"/>
          <w:b/>
          <w:bCs/>
          <w:sz w:val="28"/>
          <w:szCs w:val="28"/>
          <w:rtl/>
          <w:lang w:bidi="ar-EG"/>
        </w:rPr>
        <w:sectPr w:rsidR="006A2E70" w:rsidRPr="00BE5127" w:rsidSect="006A2E70">
          <w:footerReference w:type="default" r:id="rId8"/>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BE5127">
        <w:rPr>
          <w:rFonts w:ascii="Calibri" w:hAnsi="Calibri" w:cs="Calibri" w:hint="cs"/>
          <w:b/>
          <w:bCs/>
          <w:sz w:val="28"/>
          <w:szCs w:val="28"/>
          <w:rtl/>
        </w:rPr>
        <w:t>1447ه - 2026م</w:t>
      </w:r>
    </w:p>
    <w:p w14:paraId="47C327D3" w14:textId="77777777" w:rsidR="006A2E70" w:rsidRPr="00BE5127" w:rsidRDefault="006A2E70" w:rsidP="006A2E70">
      <w:pPr>
        <w:bidi/>
        <w:jc w:val="center"/>
        <w:rPr>
          <w:rFonts w:asciiTheme="majorBidi" w:hAnsiTheme="majorBidi" w:cstheme="majorBidi"/>
          <w:b/>
          <w:bCs/>
          <w:sz w:val="28"/>
          <w:szCs w:val="28"/>
          <w:rtl/>
          <w:lang w:bidi="ar-EG"/>
        </w:rPr>
      </w:pPr>
    </w:p>
    <w:p w14:paraId="1B2CD2A7" w14:textId="77777777" w:rsidR="006A2E70" w:rsidRPr="00BE5127" w:rsidRDefault="006A2E70" w:rsidP="006A2E70">
      <w:pPr>
        <w:bidi/>
        <w:jc w:val="center"/>
        <w:rPr>
          <w:rFonts w:asciiTheme="majorBidi" w:hAnsiTheme="majorBidi" w:cstheme="majorBidi"/>
          <w:b/>
          <w:bCs/>
          <w:sz w:val="28"/>
          <w:szCs w:val="28"/>
          <w:rtl/>
          <w:lang w:bidi="ar-EG"/>
        </w:rPr>
      </w:pPr>
    </w:p>
    <w:p w14:paraId="4AE1D35C" w14:textId="77777777" w:rsidR="00BE5127" w:rsidRPr="00BE5127" w:rsidRDefault="00BE5127" w:rsidP="00BE5127">
      <w:pPr>
        <w:bidi/>
        <w:jc w:val="center"/>
        <w:rPr>
          <w:rFonts w:asciiTheme="majorBidi" w:hAnsiTheme="majorBidi" w:cstheme="majorBidi"/>
          <w:b/>
          <w:bCs/>
          <w:sz w:val="40"/>
          <w:szCs w:val="40"/>
          <w:rtl/>
          <w:lang w:bidi="ar-EG"/>
        </w:rPr>
      </w:pPr>
      <w:r w:rsidRPr="00BE5127">
        <w:rPr>
          <w:rFonts w:asciiTheme="majorBidi" w:hAnsiTheme="majorBidi" w:cstheme="majorBidi"/>
          <w:b/>
          <w:bCs/>
          <w:sz w:val="40"/>
          <w:szCs w:val="40"/>
          <w:rtl/>
          <w:lang w:bidi="ar-EG"/>
        </w:rPr>
        <w:t>الفصل الثاني</w:t>
      </w:r>
    </w:p>
    <w:p w14:paraId="54765640" w14:textId="77777777" w:rsidR="00BE5127" w:rsidRPr="00BE5127" w:rsidRDefault="00BE5127" w:rsidP="00BE5127">
      <w:pPr>
        <w:bidi/>
        <w:jc w:val="center"/>
        <w:rPr>
          <w:rFonts w:asciiTheme="majorBidi" w:hAnsiTheme="majorBidi" w:cstheme="majorBidi"/>
          <w:b/>
          <w:bCs/>
          <w:sz w:val="40"/>
          <w:szCs w:val="40"/>
          <w:rtl/>
          <w:lang w:bidi="ar-EG"/>
        </w:rPr>
      </w:pPr>
      <w:r w:rsidRPr="00BE5127">
        <w:rPr>
          <w:rFonts w:asciiTheme="majorBidi" w:hAnsiTheme="majorBidi" w:cstheme="majorBidi"/>
          <w:b/>
          <w:bCs/>
          <w:sz w:val="40"/>
          <w:szCs w:val="40"/>
          <w:rtl/>
          <w:lang w:bidi="ar-EG"/>
        </w:rPr>
        <w:t>الإطار النظري</w:t>
      </w:r>
    </w:p>
    <w:p w14:paraId="5AD7C052" w14:textId="77777777" w:rsidR="00BE5127" w:rsidRPr="00BE5127" w:rsidRDefault="00BE5127" w:rsidP="00BE5127">
      <w:pPr>
        <w:bidi/>
        <w:jc w:val="center"/>
        <w:rPr>
          <w:rFonts w:asciiTheme="majorBidi" w:hAnsiTheme="majorBidi" w:cstheme="majorBidi"/>
          <w:b/>
          <w:bCs/>
          <w:sz w:val="32"/>
          <w:szCs w:val="32"/>
          <w:rtl/>
        </w:rPr>
      </w:pPr>
      <w:r w:rsidRPr="00BE5127">
        <w:rPr>
          <w:rFonts w:asciiTheme="majorBidi" w:hAnsiTheme="majorBidi" w:cstheme="majorBidi"/>
          <w:b/>
          <w:bCs/>
          <w:sz w:val="32"/>
          <w:szCs w:val="32"/>
          <w:rtl/>
        </w:rPr>
        <w:t>المبحث الأول: الذكاء الاصطناعي</w:t>
      </w:r>
    </w:p>
    <w:p w14:paraId="21F9F949" w14:textId="77777777" w:rsidR="00BE5127" w:rsidRPr="00BE5127" w:rsidRDefault="00BE5127" w:rsidP="00BE5127">
      <w:pPr>
        <w:bidi/>
        <w:jc w:val="both"/>
        <w:rPr>
          <w:rFonts w:asciiTheme="majorBidi" w:hAnsiTheme="majorBidi" w:cstheme="majorBidi"/>
          <w:b/>
          <w:bCs/>
          <w:sz w:val="28"/>
          <w:szCs w:val="28"/>
          <w:rtl/>
        </w:rPr>
      </w:pPr>
      <w:r w:rsidRPr="00BE5127">
        <w:rPr>
          <w:rFonts w:asciiTheme="majorBidi" w:hAnsiTheme="majorBidi" w:cstheme="majorBidi"/>
          <w:b/>
          <w:bCs/>
          <w:sz w:val="28"/>
          <w:szCs w:val="28"/>
          <w:rtl/>
        </w:rPr>
        <w:t>الإطار المفاهيمي لتقنيات الذكاء الاصطناعي</w:t>
      </w:r>
    </w:p>
    <w:p w14:paraId="0DDD23CA" w14:textId="77777777" w:rsidR="00BE5127" w:rsidRPr="00BE5127" w:rsidRDefault="00BE5127" w:rsidP="00BE5127">
      <w:pPr>
        <w:bidi/>
        <w:ind w:firstLine="720"/>
        <w:jc w:val="both"/>
        <w:rPr>
          <w:rFonts w:asciiTheme="majorBidi" w:hAnsiTheme="majorBidi" w:cstheme="majorBidi"/>
          <w:sz w:val="28"/>
          <w:szCs w:val="28"/>
        </w:rPr>
      </w:pPr>
      <w:r w:rsidRPr="00BE5127">
        <w:rPr>
          <w:rFonts w:asciiTheme="majorBidi" w:hAnsiTheme="majorBidi" w:cstheme="majorBidi"/>
          <w:sz w:val="28"/>
          <w:szCs w:val="28"/>
          <w:rtl/>
        </w:rPr>
        <w:t>يمثل الذكاء الاصطناعي محورًا أساسيًا في التحولات المعرفية والتكنولوجية الحديثة التي أعادت تشكيل نماذج العمل المؤسسي وطبيعة اتخاذ القرار في المنظمات. لم يعد الذكاء الاصطناعي مجرد أداة رقمية لمعالجة البيانات، بل أصبح إطارًا معرفيًا متكاملاً يتيح للأنظمة الحاسوبية محاكاة القدرات العقلية البشرية مثل التعلم، والاستدلال، والتنبؤ، والتحليل المعقد للعلاقات بين المتغيرات. وتظهر أهميته في توفير حلول تعتمد على المعرفة العلمية المستندة إلى البيانات، بدلًا من الاعتماد على الحدس البشري وحده، وهو ما أسهم في تعزيز فعالية القرارات على مستوى التخطيط الاستراتيجي. ويمكن النظر إلى الذكاء الاصطناعي ليس فقط كأداة تقنية، بل كمنظومة معرفية تسهم في إعادة ترتيب أولويات المؤسسات وتحسين قدرتها على التكيف مع البيئات المتغيرة بسرعة، وهو ما يتطلب قراءة نقدية تجمع بين الفهم التقني والتحليل الإداري العميق، بحيث يكون لدى الباحث رؤية شاملة حول الإمكانات والمحددات التي يفرضها هذا التحول الرقمي</w:t>
      </w:r>
      <w:r w:rsidRPr="00BE5127">
        <w:rPr>
          <w:rFonts w:asciiTheme="majorBidi" w:hAnsiTheme="majorBidi" w:cstheme="majorBidi"/>
          <w:sz w:val="28"/>
          <w:szCs w:val="28"/>
        </w:rPr>
        <w:t>.</w:t>
      </w:r>
      <w:r w:rsidRPr="00BE5127">
        <w:rPr>
          <w:rFonts w:asciiTheme="majorBidi" w:hAnsiTheme="majorBidi" w:cstheme="majorBidi"/>
          <w:sz w:val="28"/>
          <w:szCs w:val="28"/>
          <w:rtl/>
        </w:rPr>
        <w:t xml:space="preserve">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Aljohani</w:t>
      </w:r>
      <w:proofErr w:type="spellEnd"/>
      <w:r w:rsidRPr="00BE5127">
        <w:rPr>
          <w:rFonts w:asciiTheme="majorBidi" w:hAnsiTheme="majorBidi" w:cstheme="majorBidi"/>
          <w:sz w:val="28"/>
          <w:szCs w:val="28"/>
        </w:rPr>
        <w:t xml:space="preserve"> &amp; </w:t>
      </w:r>
      <w:proofErr w:type="spellStart"/>
      <w:r w:rsidRPr="00BE5127">
        <w:rPr>
          <w:rFonts w:asciiTheme="majorBidi" w:hAnsiTheme="majorBidi" w:cstheme="majorBidi"/>
          <w:sz w:val="28"/>
          <w:szCs w:val="28"/>
        </w:rPr>
        <w:t>Albliwi</w:t>
      </w:r>
      <w:proofErr w:type="spellEnd"/>
      <w:r w:rsidRPr="00BE5127">
        <w:rPr>
          <w:rFonts w:asciiTheme="majorBidi" w:hAnsiTheme="majorBidi" w:cstheme="majorBidi"/>
          <w:sz w:val="28"/>
          <w:szCs w:val="28"/>
        </w:rPr>
        <w:t>, 2022, p.1)</w:t>
      </w:r>
    </w:p>
    <w:p w14:paraId="77B2ADAF" w14:textId="77777777" w:rsidR="00BE5127" w:rsidRPr="00BE5127" w:rsidRDefault="00BE5127" w:rsidP="00BE5127">
      <w:pPr>
        <w:bidi/>
        <w:ind w:firstLine="720"/>
        <w:jc w:val="both"/>
        <w:rPr>
          <w:rFonts w:asciiTheme="majorBidi" w:hAnsiTheme="majorBidi" w:cstheme="majorBidi"/>
          <w:sz w:val="28"/>
          <w:szCs w:val="28"/>
        </w:rPr>
      </w:pPr>
      <w:r w:rsidRPr="00BE5127">
        <w:rPr>
          <w:rFonts w:asciiTheme="majorBidi" w:hAnsiTheme="majorBidi" w:cstheme="majorBidi"/>
          <w:sz w:val="28"/>
          <w:szCs w:val="28"/>
          <w:rtl/>
        </w:rPr>
        <w:t>تاريخيًا، مرت تقنيات الذكاء الاصطناعي بمراحل تطورية تعكس طبيعة التقدم العلمي والتكنولوجي على مر العقود. فقد انطلقت هذه التقنيات في بداياتها من محاولات نظرية تهدف إلى تصميم أنظمة تعتمد على قواعد منطقية ثابتة لمحاكاة التفكير البشري، إلا أن محدودية هذه النماذج في التعامل مع المشكلات غير الهيكلية والبيئات الديناميكية دفعت إلى تطوير خوارزميات أكثر تعقيدًا، قادرة على التعلم من البيانات والتفاعل مع المتغيرات الجديدة. ومع توسع حجم البيانات الرقمية وزيادة قدرات الحوسبة، ظهرت أنظمة تستطيع بناء نماذج تنبؤية معقدة تعزز القدرة على استشراف المستقبل واتخاذ قرارات مدروسة. ويكشف التحليل النقدي لهذه المرحلة عن أن الذكاء الاصطناعي لم يكن مجرد تقدم تقني، بل تحول معرفي يعيد تشكيل السلطة المعرفية داخل المنظمات، إذ أصبح القرار الإداري يتأثر بشكل متزايد بنتائج التحليل الخوارزمي المستند إلى البيانات، ما يستدعي قدرة قيادية على الدمج بين التقدير البشري والاستنتاج الآلي</w:t>
      </w:r>
      <w:r w:rsidRPr="00BE5127">
        <w:rPr>
          <w:rFonts w:asciiTheme="majorBidi" w:hAnsiTheme="majorBidi" w:cstheme="majorBidi"/>
          <w:sz w:val="28"/>
          <w:szCs w:val="28"/>
        </w:rPr>
        <w:t>.</w:t>
      </w:r>
      <w:r w:rsidRPr="00BE5127">
        <w:rPr>
          <w:rFonts w:asciiTheme="majorBidi" w:hAnsiTheme="majorBidi" w:cstheme="majorBidi"/>
          <w:sz w:val="28"/>
          <w:szCs w:val="28"/>
          <w:rtl/>
        </w:rPr>
        <w:t xml:space="preserve"> </w:t>
      </w:r>
      <w:r w:rsidRPr="00BE5127">
        <w:rPr>
          <w:rFonts w:asciiTheme="majorBidi" w:hAnsiTheme="majorBidi" w:cstheme="majorBidi"/>
          <w:sz w:val="28"/>
          <w:szCs w:val="28"/>
        </w:rPr>
        <w:t>(AlQahtani, 2023, p.1)</w:t>
      </w:r>
    </w:p>
    <w:p w14:paraId="1CBE0059" w14:textId="77777777" w:rsidR="00BE5127" w:rsidRPr="00BE5127" w:rsidRDefault="00BE5127" w:rsidP="00BE5127">
      <w:pPr>
        <w:bidi/>
        <w:ind w:firstLine="720"/>
        <w:jc w:val="both"/>
        <w:rPr>
          <w:rFonts w:asciiTheme="majorBidi" w:hAnsiTheme="majorBidi" w:cstheme="majorBidi"/>
          <w:sz w:val="28"/>
          <w:szCs w:val="28"/>
        </w:rPr>
      </w:pPr>
      <w:r w:rsidRPr="00BE5127">
        <w:rPr>
          <w:rFonts w:asciiTheme="majorBidi" w:hAnsiTheme="majorBidi" w:cstheme="majorBidi"/>
          <w:sz w:val="28"/>
          <w:szCs w:val="28"/>
          <w:rtl/>
        </w:rPr>
        <w:t xml:space="preserve">تتميز أنظمة الذكاء الاصطناعي بمجموعة من الخصائص التشغيلية والمعرفية التي تجعلها متفوقة على الأنظمة التقليدية. فهي تمتلك القدرة على التعلم المستمر والتكيف مع البيئات المتغيرة، ما يمنحها مرونة فائقة في مواجهة التعقيدات التنظيمية. كما تستطيع معالجة كميات هائلة من البيانات بسرعة ودقة، واكتشاف أنماط خفية لا يمكن ملاحظتها بالطرق التقليدية، وهو ما يعزز التخطيط الاستراتيجي واتخاذ القرار الاستباقي. غير أن هذه القدرات المثالية لا تخلو من أبعاد نقدية، إذ يمكن أن يؤدي الإفراط في الاعتماد على التحليل الخوارزمي إلى تهميش الدور البشري، خاصة في المواقف </w:t>
      </w:r>
      <w:r w:rsidRPr="00BE5127">
        <w:rPr>
          <w:rFonts w:asciiTheme="majorBidi" w:hAnsiTheme="majorBidi" w:cstheme="majorBidi"/>
          <w:sz w:val="28"/>
          <w:szCs w:val="28"/>
          <w:rtl/>
        </w:rPr>
        <w:lastRenderedPageBreak/>
        <w:t xml:space="preserve">التي تتطلب تقديرًا </w:t>
      </w:r>
      <w:proofErr w:type="spellStart"/>
      <w:r w:rsidRPr="00BE5127">
        <w:rPr>
          <w:rFonts w:asciiTheme="majorBidi" w:hAnsiTheme="majorBidi" w:cstheme="majorBidi"/>
          <w:sz w:val="28"/>
          <w:szCs w:val="28"/>
          <w:rtl/>
        </w:rPr>
        <w:t>سياقيًا</w:t>
      </w:r>
      <w:proofErr w:type="spellEnd"/>
      <w:r w:rsidRPr="00BE5127">
        <w:rPr>
          <w:rFonts w:asciiTheme="majorBidi" w:hAnsiTheme="majorBidi" w:cstheme="majorBidi"/>
          <w:sz w:val="28"/>
          <w:szCs w:val="28"/>
          <w:rtl/>
        </w:rPr>
        <w:t xml:space="preserve"> أو حكماً أخلاقياً يتجاوز قدرة النماذج الرقمية. ومن هذا المنطلق، يصبح من الضروري اعتماد منظور تكاملي يوازن بين التحليل الذكي والحكم البشري لضمان استمرارية فعالية القرارات على المستويين التشغيلي والاستراتيجي</w:t>
      </w:r>
      <w:r w:rsidRPr="00BE5127">
        <w:rPr>
          <w:rFonts w:asciiTheme="majorBidi" w:hAnsiTheme="majorBidi" w:cstheme="majorBidi"/>
          <w:sz w:val="28"/>
          <w:szCs w:val="28"/>
        </w:rPr>
        <w:t>.</w:t>
      </w:r>
      <w:r w:rsidRPr="00BE5127">
        <w:rPr>
          <w:rFonts w:asciiTheme="majorBidi" w:hAnsiTheme="majorBidi" w:cstheme="majorBidi"/>
          <w:sz w:val="28"/>
          <w:szCs w:val="28"/>
          <w:rtl/>
        </w:rPr>
        <w:t xml:space="preserve">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Alarefi</w:t>
      </w:r>
      <w:proofErr w:type="spellEnd"/>
      <w:r w:rsidRPr="00BE5127">
        <w:rPr>
          <w:rFonts w:asciiTheme="majorBidi" w:hAnsiTheme="majorBidi" w:cstheme="majorBidi"/>
          <w:sz w:val="28"/>
          <w:szCs w:val="28"/>
        </w:rPr>
        <w:t>, 2024, p.16802)</w:t>
      </w:r>
    </w:p>
    <w:p w14:paraId="40200DDB" w14:textId="77777777" w:rsidR="00BE5127" w:rsidRPr="00BE5127" w:rsidRDefault="00BE5127" w:rsidP="00BE5127">
      <w:pPr>
        <w:bidi/>
        <w:ind w:firstLine="720"/>
        <w:jc w:val="both"/>
        <w:rPr>
          <w:rFonts w:asciiTheme="majorBidi" w:hAnsiTheme="majorBidi" w:cstheme="majorBidi"/>
          <w:sz w:val="28"/>
          <w:szCs w:val="28"/>
        </w:rPr>
      </w:pPr>
      <w:r w:rsidRPr="00BE5127">
        <w:rPr>
          <w:rFonts w:asciiTheme="majorBidi" w:hAnsiTheme="majorBidi" w:cstheme="majorBidi"/>
          <w:sz w:val="28"/>
          <w:szCs w:val="28"/>
          <w:rtl/>
        </w:rPr>
        <w:t>تتمثل الفروق الجوهرية بين أنظمة الذكاء الاصطناعي والأنظمة التقليدية في طبيعة المعالجة المعرفية، إذ تعتمد الأخيرة على تعليمات برمجية محددة مسبقًا لتنفيذ المهام، بينما تمتلك الأولى قدرة ديناميكية على التعلم الذاتي واكتشاف العلاقات المعقدة بين المتغيرات. تمنح هذه الخاصية المنظمات مرونة أكبر في التعامل مع بيئات غير مستقرة أو متغيرة بسرعة، لكنها تضع مسؤولية كبيرة على القادة لضمان جودة البيانات المستخدمة، إذ إن موثوقية نتائج النماذج الذكية مرتبطة ارتباطًا مباشرًا بدقة وصحة المدخلات. ومن هنا، يتضح أن نجاح تبني هذه التقنيات لا يقتصر على الجانب الفني، بل يرتبط ارتباطًا وثيقًا بالحوكمة المؤسسية، وبناء ثقافة تنظيمية قادرة على دمج الابتكار التقني مع الخبرة البشرية</w:t>
      </w:r>
      <w:r w:rsidRPr="00BE5127">
        <w:rPr>
          <w:rFonts w:asciiTheme="majorBidi" w:hAnsiTheme="majorBidi" w:cstheme="majorBidi"/>
          <w:sz w:val="28"/>
          <w:szCs w:val="28"/>
        </w:rPr>
        <w:t>.</w:t>
      </w:r>
      <w:r w:rsidRPr="00BE5127">
        <w:rPr>
          <w:rFonts w:asciiTheme="majorBidi" w:hAnsiTheme="majorBidi" w:cstheme="majorBidi"/>
          <w:sz w:val="28"/>
          <w:szCs w:val="28"/>
          <w:rtl/>
        </w:rPr>
        <w:t xml:space="preserve">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Kazaba</w:t>
      </w:r>
      <w:proofErr w:type="spellEnd"/>
      <w:r w:rsidRPr="00BE5127">
        <w:rPr>
          <w:rFonts w:asciiTheme="majorBidi" w:hAnsiTheme="majorBidi" w:cstheme="majorBidi"/>
          <w:sz w:val="28"/>
          <w:szCs w:val="28"/>
        </w:rPr>
        <w:t>, 2024, p.1291)</w:t>
      </w:r>
    </w:p>
    <w:p w14:paraId="28C054E4" w14:textId="77777777" w:rsidR="00BE5127" w:rsidRPr="00BE5127" w:rsidRDefault="00BE5127" w:rsidP="00BE5127">
      <w:pPr>
        <w:bidi/>
        <w:ind w:firstLine="720"/>
        <w:jc w:val="both"/>
        <w:rPr>
          <w:rFonts w:asciiTheme="majorBidi" w:hAnsiTheme="majorBidi" w:cstheme="majorBidi"/>
          <w:sz w:val="28"/>
          <w:szCs w:val="28"/>
        </w:rPr>
      </w:pPr>
      <w:r w:rsidRPr="00BE5127">
        <w:rPr>
          <w:rFonts w:asciiTheme="majorBidi" w:hAnsiTheme="majorBidi" w:cstheme="majorBidi"/>
          <w:sz w:val="28"/>
          <w:szCs w:val="28"/>
          <w:rtl/>
        </w:rPr>
        <w:t>يمكن النظر إلى الذكاء الاصطناعي أيضًا كعنصر مزدوج الأثر؛ فهو يعزز الكفاءة التشغيلية ويزيد دقة القرارات، لكنه يفرض تحديات على صعيد إدارة التغيير وإعادة تأهيل الموارد البشرية. فالمؤسسات التي تسعى إلى تبني هذه التقنيات بحاجة إلى تطوير مهارات العاملين، وتبني سياسات تدريبية مستمرة لضمان القدرة على التعامل مع النظم الذكية بشكل فعّال. ومن ناحية أخرى، يوفر الذكاء الاصطناعي فرصة لإعادة صياغة العمليات المؤسسية، وتحويلها من نماذج روتينية محدودة إلى عمليات ديناميكية تعتمد على تحليل البيانات في الوقت الفعلي، ما يسهم في تحسين القدرة التنافسية وتحقيق استدامة الأداء المؤسسي</w:t>
      </w:r>
      <w:r w:rsidRPr="00BE5127">
        <w:rPr>
          <w:rFonts w:asciiTheme="majorBidi" w:hAnsiTheme="majorBidi" w:cstheme="majorBidi"/>
          <w:sz w:val="28"/>
          <w:szCs w:val="28"/>
        </w:rPr>
        <w:t>.</w:t>
      </w:r>
      <w:r w:rsidRPr="00BE5127">
        <w:rPr>
          <w:rFonts w:asciiTheme="majorBidi" w:hAnsiTheme="majorBidi" w:cstheme="majorBidi"/>
          <w:sz w:val="28"/>
          <w:szCs w:val="28"/>
          <w:rtl/>
        </w:rPr>
        <w:t xml:space="preserve">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Alsulami</w:t>
      </w:r>
      <w:proofErr w:type="spellEnd"/>
      <w:r w:rsidRPr="00BE5127">
        <w:rPr>
          <w:rFonts w:asciiTheme="majorBidi" w:hAnsiTheme="majorBidi" w:cstheme="majorBidi"/>
          <w:sz w:val="28"/>
          <w:szCs w:val="28"/>
        </w:rPr>
        <w:t>, 2026, p.504)</w:t>
      </w:r>
    </w:p>
    <w:p w14:paraId="7585697E" w14:textId="77777777" w:rsidR="00BE5127" w:rsidRPr="00BE5127" w:rsidRDefault="00BE5127" w:rsidP="00BE5127">
      <w:pPr>
        <w:bidi/>
        <w:ind w:firstLine="720"/>
        <w:jc w:val="both"/>
        <w:rPr>
          <w:rFonts w:asciiTheme="majorBidi" w:hAnsiTheme="majorBidi" w:cstheme="majorBidi"/>
          <w:sz w:val="28"/>
          <w:szCs w:val="28"/>
        </w:rPr>
      </w:pPr>
      <w:r w:rsidRPr="00BE5127">
        <w:rPr>
          <w:rFonts w:asciiTheme="majorBidi" w:hAnsiTheme="majorBidi" w:cstheme="majorBidi"/>
          <w:sz w:val="28"/>
          <w:szCs w:val="28"/>
          <w:rtl/>
        </w:rPr>
        <w:t xml:space="preserve">يتضح مما سبق أن الذكاء الاصطناعي يشكل عاملًا محفزًا لإعادة التفكير في طبيعة العلاقة بين المعرفة والقرار داخل المنظمات، إذ يعيد توزيع أدوار التفسير والتحليل والتنبؤ بين الإنسان والآلة. ويستلزم هذا التحول تطوير بيئة تنظيمية مرنة تستطيع استيعاب الابتكار الرقمي، مع ضمان التوازن بين الكفاءة التقنية والحكم البشري، بما يعزز قدرة المؤسسات على مواجهة التحولات الاقتصادية والتكنولوجية المعقدة. وبناءً على ذلك، يظهر الذكاء الاصطناعي ليس فقط كأداة لتحسين الأداء، بل كرافد استراتيجي يعيد تشكيل المنطق الإداري ويتيح للمؤسسات فهم ديناميات السوق واتخاذ قرارات أكثر استباقية ودقة، وهو ما يمثل قيمة معرفية واستراتيجية محورية لأي منظمة تسعى للبقاء والتميز في عصر </w:t>
      </w:r>
      <w:proofErr w:type="spellStart"/>
      <w:r w:rsidRPr="00BE5127">
        <w:rPr>
          <w:rFonts w:asciiTheme="majorBidi" w:hAnsiTheme="majorBidi" w:cstheme="majorBidi"/>
          <w:sz w:val="28"/>
          <w:szCs w:val="28"/>
          <w:rtl/>
        </w:rPr>
        <w:t>الرقمنة</w:t>
      </w:r>
      <w:proofErr w:type="spellEnd"/>
      <w:r w:rsidRPr="00BE5127">
        <w:rPr>
          <w:rFonts w:asciiTheme="majorBidi" w:hAnsiTheme="majorBidi" w:cstheme="majorBidi"/>
          <w:sz w:val="28"/>
          <w:szCs w:val="28"/>
          <w:rtl/>
        </w:rPr>
        <w:t>.</w:t>
      </w:r>
    </w:p>
    <w:p w14:paraId="1A2D0F98" w14:textId="77777777" w:rsidR="00BE5127" w:rsidRPr="00BE5127" w:rsidRDefault="00BE5127" w:rsidP="00BE5127">
      <w:pPr>
        <w:bidi/>
        <w:rPr>
          <w:rFonts w:asciiTheme="majorBidi" w:hAnsiTheme="majorBidi" w:cstheme="majorBidi"/>
          <w:b/>
          <w:bCs/>
          <w:sz w:val="28"/>
          <w:szCs w:val="28"/>
          <w:rtl/>
          <w:lang w:bidi="ar-EG"/>
        </w:rPr>
      </w:pPr>
      <w:r w:rsidRPr="00BE5127">
        <w:rPr>
          <w:rFonts w:asciiTheme="majorBidi" w:hAnsiTheme="majorBidi" w:cstheme="majorBidi"/>
          <w:b/>
          <w:bCs/>
          <w:sz w:val="28"/>
          <w:szCs w:val="28"/>
          <w:rtl/>
        </w:rPr>
        <w:t>أنواع وتقنيات الذكاء الاصطناعي</w:t>
      </w:r>
    </w:p>
    <w:p w14:paraId="4DBC07C5"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تشكل تقنيات الذكاء الاصطناعي اليوم العمود الفقري للتطوير المؤسسي واتخاذ القرار الاستراتيجي، إذ تجاوزت كونها أدوات تحليلية إلى كونها أطرًا معرفية تمكن المؤسسات من التكيف مع بيئات العمل الديناميكية واستشراف المتغيرات المستقبلية. فالذكاء الاصطناعي لا يقتصر على معالجة البيانات الكمية، بل يمتد ليشمل القدرة على استنتاج الأنماط الخفية في المعلومات المعقدة، والتعامل مع بيانات غير منظمة، وتحليل العلاقات المتشابكة بين المتغيرات الداخلية والخارجية للمؤسسة. ومن هذا المنطلق، يمثل فهم أنواع وتقنيات الذكاء الاصطناعي ضرورة حيوية للباحثين والمديرين على حد سواء، إذ يتيح لهم إدراك نقاط القوة والقيود المرتبطة بكل تقنية، بما يسهم في اتخاذ قرارات أكثر فاعلية واستدامة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(Hicham &amp; Hamza, 2024, p.185)</w:t>
      </w:r>
    </w:p>
    <w:p w14:paraId="4182EA55" w14:textId="77777777" w:rsidR="00BE5127" w:rsidRPr="00BE5127" w:rsidRDefault="00BE5127" w:rsidP="00BE5127">
      <w:pPr>
        <w:pStyle w:val="a3"/>
        <w:numPr>
          <w:ilvl w:val="0"/>
          <w:numId w:val="8"/>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lastRenderedPageBreak/>
        <w:t>التعلم الآلي</w:t>
      </w:r>
      <w:r w:rsidRPr="00BE5127">
        <w:rPr>
          <w:rFonts w:asciiTheme="majorBidi" w:hAnsiTheme="majorBidi" w:cstheme="majorBidi"/>
          <w:b/>
          <w:bCs/>
          <w:sz w:val="28"/>
          <w:szCs w:val="28"/>
          <w:lang w:bidi="ar-EG"/>
        </w:rPr>
        <w:t>:</w:t>
      </w:r>
    </w:p>
    <w:p w14:paraId="56648995"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rPr>
        <w:t>يمثل التعلم الآلي الركيزة الأساسية للذكاء الاصطناعي، حيث يعتمد على تطوير خوارزميات قادرة على التعلم من البيانات التاريخية واستخلاص الأنماط والاتجاهات التي يمكن استخدامها للتنبؤ بالنتائج المستقبلية. هذه القدرة تتيح للمؤسسات تحسين جودة القرارات الاستراتيجية من خلال تزويد القيادات التنفيذية برؤى دقيقة حول الأسواق وسلوك العملاء والعمليات الداخلية. ومع ذلك، يتطلب الاستفادة المثلى من التعلم الآلي تحليلًا دقيقًا لجودة البيانات، إذ يمكن أن تؤدي البيانات المتحيزة أو غير المكتملة إلى نتائج مضللة، مما يستدعي وضع آليات إشرافية صارمة وتكامل هذه النماذج مع الخبرة البشرية لضمان توازن القرارات بين الدقة الرقمية والحكم الاستراتيجي</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Almheiri</w:t>
      </w:r>
      <w:proofErr w:type="spellEnd"/>
      <w:r w:rsidRPr="00BE5127">
        <w:rPr>
          <w:rFonts w:asciiTheme="majorBidi" w:hAnsiTheme="majorBidi" w:cstheme="majorBidi"/>
          <w:sz w:val="28"/>
          <w:szCs w:val="28"/>
        </w:rPr>
        <w:t xml:space="preserve"> et al., 2024, p.953)</w:t>
      </w:r>
    </w:p>
    <w:p w14:paraId="69FEF6A3" w14:textId="77777777" w:rsidR="00BE5127" w:rsidRPr="00BE5127" w:rsidRDefault="00BE5127" w:rsidP="00BE5127">
      <w:pPr>
        <w:pStyle w:val="a3"/>
        <w:numPr>
          <w:ilvl w:val="0"/>
          <w:numId w:val="8"/>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التعلم العميق</w:t>
      </w:r>
      <w:r w:rsidRPr="00BE5127">
        <w:rPr>
          <w:rFonts w:asciiTheme="majorBidi" w:hAnsiTheme="majorBidi" w:cstheme="majorBidi"/>
          <w:b/>
          <w:bCs/>
          <w:sz w:val="28"/>
          <w:szCs w:val="28"/>
          <w:lang w:bidi="ar-EG"/>
        </w:rPr>
        <w:t>:</w:t>
      </w:r>
    </w:p>
    <w:p w14:paraId="7548BF6D"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rPr>
        <w:t>يتيح التعلم العميق للأنظمة القدرة على معالجة البيانات المعقدة متعددة الطبقات، من خلال شبكات عصبية تحاكي بنية الدماغ البشري. هذه التقنية تمكن المؤسسات من اكتشاف الأنماط المخفية في مجموعات البيانات الضخمة، مثل الصور والفيديو والنصوص، وتوليد رؤى دقيقة تساعد في اتخاذ قرارات استباقية. ومن منظور تحليلي، يتمثل التحدي في صعوبة تفسير كيفية الوصول إلى النتائج، ما يفرض على القيادات تطوير آليات حوكمة تسمح بمساءلة هذه القرارات وتقييم مصداقيتها، وهو ما يعكس الحاجة إلى دمج القدرات التقنية مع التفكير النقدي للقيادة لضمان استدامة النتائج الاستراتيجية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Aboalshamat</w:t>
      </w:r>
      <w:proofErr w:type="spellEnd"/>
      <w:r w:rsidRPr="00BE5127">
        <w:rPr>
          <w:rFonts w:asciiTheme="majorBidi" w:hAnsiTheme="majorBidi" w:cstheme="majorBidi"/>
          <w:sz w:val="28"/>
          <w:szCs w:val="28"/>
        </w:rPr>
        <w:t xml:space="preserve"> et al., 2022, p.52)</w:t>
      </w:r>
    </w:p>
    <w:p w14:paraId="02E4AE3D" w14:textId="77777777" w:rsidR="00BE5127" w:rsidRPr="00BE5127" w:rsidRDefault="00BE5127" w:rsidP="00BE5127">
      <w:pPr>
        <w:pStyle w:val="a3"/>
        <w:numPr>
          <w:ilvl w:val="0"/>
          <w:numId w:val="8"/>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معالجة اللغة الطبيعية</w:t>
      </w:r>
      <w:r w:rsidRPr="00BE5127">
        <w:rPr>
          <w:rFonts w:asciiTheme="majorBidi" w:hAnsiTheme="majorBidi" w:cstheme="majorBidi"/>
          <w:b/>
          <w:bCs/>
          <w:sz w:val="28"/>
          <w:szCs w:val="28"/>
          <w:rtl/>
          <w:lang w:bidi="ar-EG"/>
        </w:rPr>
        <w:t>:</w:t>
      </w:r>
    </w:p>
    <w:p w14:paraId="19FD1488"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rPr>
        <w:t>تمكّن تقنيات معالجة اللغة الطبيعية الأنظمة من فهم النصوص البشرية المكتوبة والمنطوقة وتحليلها وتحويلها إلى بيانات قابلة للتطبيق في صنع القرار. تلعب هذه التقنية دورًا محوريًا في استشراف توجهات العملاء والأسواق، وتحليل ردود الفعل على المنتجات والخدمات. ومع ذلك، يظهر بعد نقدي يتمثل في إمكانية تحيز النتائج أو سوء تفسير المعاني، خصوصًا عند التعامل مع لغات متعددة أو نصوص ثقافية متنوعة. من هذا المنظور، يصبح دمج معالجة اللغة الطبيعية ضمن استراتيجية شاملة لدعم القرار التنفيذي ضرورة لضمان أن تكون النتائج مفهومة وقابلة للاستخدام بشكل فعال</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Abalkhail</w:t>
      </w:r>
      <w:proofErr w:type="spellEnd"/>
      <w:r w:rsidRPr="00BE5127">
        <w:rPr>
          <w:rFonts w:asciiTheme="majorBidi" w:hAnsiTheme="majorBidi" w:cstheme="majorBidi"/>
          <w:sz w:val="28"/>
          <w:szCs w:val="28"/>
        </w:rPr>
        <w:t xml:space="preserve"> &amp; Al Amri, 2022, p.1)</w:t>
      </w:r>
    </w:p>
    <w:p w14:paraId="1D096BFE" w14:textId="77777777" w:rsidR="00BE5127" w:rsidRPr="00BE5127" w:rsidRDefault="00BE5127" w:rsidP="00BE5127">
      <w:pPr>
        <w:pStyle w:val="a3"/>
        <w:numPr>
          <w:ilvl w:val="0"/>
          <w:numId w:val="8"/>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الأنظمة الخبيرة</w:t>
      </w:r>
      <w:r w:rsidRPr="00BE5127">
        <w:rPr>
          <w:rFonts w:asciiTheme="majorBidi" w:hAnsiTheme="majorBidi" w:cstheme="majorBidi"/>
          <w:b/>
          <w:bCs/>
          <w:sz w:val="28"/>
          <w:szCs w:val="28"/>
          <w:rtl/>
          <w:lang w:bidi="ar-EG"/>
        </w:rPr>
        <w:t>:</w:t>
      </w:r>
    </w:p>
    <w:p w14:paraId="0D80BDCD"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lang w:bidi="ar-EG"/>
        </w:rPr>
        <w:t xml:space="preserve">تعتمد الأنظمة الخبيرة على قواعد معرفية مُنظمة ومُعدة مسبقًا، تمكّنها من تحليل المشكلات وتقديم توصيات أو حلول تستند إلى تراكم الخبرات السابقة والمعرفة المتخصصة. وتُستخدم هذه الأنظمة على نطاق واسع في دعم اتخاذ القرار في المجالات التي تتطلب درجة عالية من الخبرة، مثل إدارة الجودة، وإدارة المخاطر، وتقييم المنتجات. وعلى الرغم من كفاءتها في معالجة الحالات المعروفة، فإن قدرتها تظل محدودة عند التعامل مع مواقف جديدة أو غير متوقعة، نظرًا لاعتمادها الأساسي على المعرفة المخزنة مسبقًا. ومن ثمّ، يصبح من الضروري أن تعمل المؤسسات على تحديث قواعد المعرفة بشكل مستمر، مع تكامل هذه الأنظمة مع تقنيات ونظم أخرى أكثر مرونة، بما يعزز قدرتها على التكيف، ويدعم استدامة القرارات الاستراتيجية وفاعليتها.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Aljohani</w:t>
      </w:r>
      <w:proofErr w:type="spellEnd"/>
      <w:r w:rsidRPr="00BE5127">
        <w:rPr>
          <w:rFonts w:asciiTheme="majorBidi" w:hAnsiTheme="majorBidi" w:cstheme="majorBidi"/>
          <w:sz w:val="28"/>
          <w:szCs w:val="28"/>
        </w:rPr>
        <w:t xml:space="preserve"> &amp; </w:t>
      </w:r>
      <w:proofErr w:type="spellStart"/>
      <w:r w:rsidRPr="00BE5127">
        <w:rPr>
          <w:rFonts w:asciiTheme="majorBidi" w:hAnsiTheme="majorBidi" w:cstheme="majorBidi"/>
          <w:sz w:val="28"/>
          <w:szCs w:val="28"/>
        </w:rPr>
        <w:t>Albliwi</w:t>
      </w:r>
      <w:proofErr w:type="spellEnd"/>
      <w:r w:rsidRPr="00BE5127">
        <w:rPr>
          <w:rFonts w:asciiTheme="majorBidi" w:hAnsiTheme="majorBidi" w:cstheme="majorBidi"/>
          <w:sz w:val="28"/>
          <w:szCs w:val="28"/>
        </w:rPr>
        <w:t>, 2022, p.1)</w:t>
      </w:r>
    </w:p>
    <w:p w14:paraId="1EFE22BD" w14:textId="77777777" w:rsidR="00BE5127" w:rsidRPr="00BE5127" w:rsidRDefault="00BE5127" w:rsidP="00BE5127">
      <w:pPr>
        <w:pStyle w:val="a3"/>
        <w:numPr>
          <w:ilvl w:val="0"/>
          <w:numId w:val="8"/>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الرؤية الحاسوبية</w:t>
      </w:r>
      <w:r w:rsidRPr="00BE5127">
        <w:rPr>
          <w:rFonts w:asciiTheme="majorBidi" w:hAnsiTheme="majorBidi" w:cstheme="majorBidi"/>
          <w:b/>
          <w:bCs/>
          <w:sz w:val="28"/>
          <w:szCs w:val="28"/>
          <w:rtl/>
          <w:lang w:bidi="ar-EG"/>
        </w:rPr>
        <w:t>:</w:t>
      </w:r>
    </w:p>
    <w:p w14:paraId="16876828"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rPr>
        <w:lastRenderedPageBreak/>
        <w:t>تتيح تقنيات الرؤية الحاسوبية للأنظمة فهم الصور والفيديو واستخلاص معلومات دقيقة تتعلق بالعمليات والمنتجات والبيئة التشغيلية. في قطاع الصناعات الغذائية، تُستخدم هذه التقنية لمراقبة الجودة، والتعرف على الشوائب، وتحسين الإنتاجية. ومع ذلك، تعتمد دقة الرؤية الحاسوبية على جودة الكاميرات والظروف البيئية مثل الإضاءة، ما يستلزم وجود آليات داعمة لضمان دقة النتائج. ويبرز البعد النقدي هنا في ضرورة دمج هذه التقنية مع أنظمة تحليلية أخرى لضمان اتخاذ قرارات متوازنة وموثوقة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(Alajmi et al., 2023, p.1)</w:t>
      </w:r>
    </w:p>
    <w:p w14:paraId="63B3828C" w14:textId="77777777" w:rsidR="00BE5127" w:rsidRPr="00BE5127" w:rsidRDefault="00BE5127" w:rsidP="00BE5127">
      <w:pPr>
        <w:pStyle w:val="a3"/>
        <w:numPr>
          <w:ilvl w:val="0"/>
          <w:numId w:val="8"/>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تحليل البيانات الضخمة</w:t>
      </w:r>
      <w:r w:rsidRPr="00BE5127">
        <w:rPr>
          <w:rFonts w:asciiTheme="majorBidi" w:hAnsiTheme="majorBidi" w:cstheme="majorBidi"/>
          <w:b/>
          <w:bCs/>
          <w:sz w:val="28"/>
          <w:szCs w:val="28"/>
          <w:rtl/>
          <w:lang w:bidi="ar-EG"/>
        </w:rPr>
        <w:t>:</w:t>
      </w:r>
    </w:p>
    <w:p w14:paraId="78A421A7" w14:textId="77777777" w:rsidR="00BE5127" w:rsidRPr="00BE5127" w:rsidRDefault="00BE5127" w:rsidP="00BE5127">
      <w:pPr>
        <w:pStyle w:val="a3"/>
        <w:bidi/>
        <w:jc w:val="both"/>
        <w:rPr>
          <w:rFonts w:asciiTheme="majorBidi" w:hAnsiTheme="majorBidi" w:cstheme="majorBidi"/>
          <w:sz w:val="28"/>
          <w:szCs w:val="28"/>
          <w:rtl/>
          <w:lang w:bidi="ar-EG"/>
        </w:rPr>
      </w:pPr>
      <w:r w:rsidRPr="00BE5127">
        <w:rPr>
          <w:rFonts w:asciiTheme="majorBidi" w:hAnsiTheme="majorBidi" w:cstheme="majorBidi"/>
          <w:sz w:val="28"/>
          <w:szCs w:val="28"/>
          <w:rtl/>
        </w:rPr>
        <w:t>يمثل تحليل البيانات الضخمة أداة جوهرية للذكاء الاصطناعي، إذ يتيح استخلاص رؤى استراتيجية من كميات ضخمة من البيانات المتنوعة والمعقدة. يساعد هذا التحليل المؤسسات على التعرف على الاتجاهات المستقبلية، واستشراف الفرص والمخاطر، وتحسين الأداء العام للعمليات. ومع ذلك، يتطلب النجاح في تحليل البيانات الضخمة بنية تحتية متقدمة وقدرة على إدارة البيانات بشكل دقيق، بالإضافة إلى كفاءات بشرية قادرة على تفسير النتائج نقديًا. ومن هذا المنطلق، يبرز استنتاج الباحث أن تحقيق الاستفادة القصوى من هذه التقنية يتطلب تكامل القدرات التقنية مع الاستراتيجية المؤسسية لضمان الاستدامة والفعالية في اتخاذ القرارات</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 xml:space="preserve">(Alasmri &amp; </w:t>
      </w:r>
      <w:proofErr w:type="spellStart"/>
      <w:r w:rsidRPr="00BE5127">
        <w:rPr>
          <w:rFonts w:asciiTheme="majorBidi" w:hAnsiTheme="majorBidi" w:cstheme="majorBidi"/>
          <w:sz w:val="28"/>
          <w:szCs w:val="28"/>
        </w:rPr>
        <w:t>Basahel</w:t>
      </w:r>
      <w:proofErr w:type="spellEnd"/>
      <w:r w:rsidRPr="00BE5127">
        <w:rPr>
          <w:rFonts w:asciiTheme="majorBidi" w:hAnsiTheme="majorBidi" w:cstheme="majorBidi"/>
          <w:sz w:val="28"/>
          <w:szCs w:val="28"/>
        </w:rPr>
        <w:t>, 2022, p.1)</w:t>
      </w:r>
    </w:p>
    <w:p w14:paraId="4BABF9FB" w14:textId="77777777" w:rsidR="00BE5127" w:rsidRPr="00BE5127" w:rsidRDefault="00BE5127" w:rsidP="00BE5127">
      <w:pPr>
        <w:pStyle w:val="a3"/>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مما سبق يتضح أن تقنيات الذكاء الاصطناعي تشكل محورًا تحويليًا يعيد تشكيل عملية اتخاذ القرار الاستراتيجي في المؤسسات، حيث توفر كل تقنية إمكانات تحليلية متقدمة تدعم التنبؤ واتخاذ القرارات المبنية على البيانات. ومع ذلك، فإن هذه الإمكانات تظل محدودة إذا لم تُدمج ضمن مقاربة استراتيجية تراعي السياق المؤسسي والقدرة البشرية. يُعزز التعلم الآلي والتعلم العميق القدرة على استشراف المستقبل، بينما توفر معالجة اللغة الطبيعية والأنظمة الخبيرة ثراء معرفيًا لدعم القرارات المتخصصة. كما تساهم الرؤية الحاسوبية وتحليل البيانات الضخمة في تحسين الكفاءة التشغيلية والتخطيط الاستراتيجي، إلا أن فعاليتها تتوقف على بنية تحتية متقدمة وكوادر قادرة على تفسير النتائج نقديًا. وبذلك، يظهر الذكاء الاصطناعي كأداة مساعدة تكمل الخبرة البشرية وتدعم الحوكمة المؤسسية لضمان قرارات دقيقة ومرنة تعكس رؤية المؤسسة وأهدافها الاستراتيجية</w:t>
      </w:r>
      <w:r w:rsidRPr="00BE5127">
        <w:rPr>
          <w:rFonts w:asciiTheme="majorBidi" w:hAnsiTheme="majorBidi" w:cstheme="majorBidi"/>
          <w:sz w:val="28"/>
          <w:szCs w:val="28"/>
          <w:rtl/>
          <w:lang w:bidi="ar-EG"/>
        </w:rPr>
        <w:t>.</w:t>
      </w:r>
    </w:p>
    <w:p w14:paraId="1FA1E4D5" w14:textId="77777777" w:rsidR="00BE5127" w:rsidRPr="00BE5127" w:rsidRDefault="00BE5127" w:rsidP="00BE5127">
      <w:pPr>
        <w:bidi/>
        <w:jc w:val="both"/>
        <w:rPr>
          <w:rFonts w:asciiTheme="majorBidi" w:hAnsiTheme="majorBidi" w:cstheme="majorBidi"/>
          <w:b/>
          <w:bCs/>
          <w:sz w:val="28"/>
          <w:szCs w:val="28"/>
          <w:rtl/>
        </w:rPr>
      </w:pPr>
      <w:r w:rsidRPr="00BE5127">
        <w:rPr>
          <w:rFonts w:asciiTheme="majorBidi" w:hAnsiTheme="majorBidi" w:cstheme="majorBidi"/>
          <w:b/>
          <w:bCs/>
          <w:sz w:val="28"/>
          <w:szCs w:val="28"/>
          <w:rtl/>
        </w:rPr>
        <w:t>تطبيقات الذكاء الاصطناعي في قطاع الصناعات الغذائية</w:t>
      </w:r>
    </w:p>
    <w:p w14:paraId="20D48045"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يشهد قطاع الصناعات الغذائية في المملكة العربية السعودية تحولًا نوعيًا نتيجة تبني تقنيات الذكاء الاصطناعي، بما يتماشى مع أهداف رؤية 2030 لتعزيز الكفاءة التشغيلية وتحسين القدرة التنافسية للمؤسسات المحلية. توفر هذه التقنيات قدرة متقدمة على معالجة البيانات الضخمة وتحليل اتجاهات المستهلكين والمنافسة، فضلاً عن مراقبة جودة المنتجات وسلاسل الإمداد. ويعكس اعتماد الذكاء الاصطناعي في هذا القطاع التزام المؤسسات السعودية بالتحول الرقمي وتعزيز الابتكار، مع ضرورة توظيف هذه التقنيات ضمن إطار استراتيجي متكامل يضمن الفاعلية والاستدامة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(AlQahtani, 2024, p.14)</w:t>
      </w:r>
    </w:p>
    <w:p w14:paraId="13499616" w14:textId="77777777" w:rsidR="00BE5127" w:rsidRPr="00BE5127" w:rsidRDefault="00BE5127" w:rsidP="00BE5127">
      <w:pPr>
        <w:pStyle w:val="a3"/>
        <w:numPr>
          <w:ilvl w:val="0"/>
          <w:numId w:val="10"/>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تحسين الإنتاج والتنبؤ بالطلب</w:t>
      </w:r>
      <w:r w:rsidRPr="00BE5127">
        <w:rPr>
          <w:rFonts w:asciiTheme="majorBidi" w:hAnsiTheme="majorBidi" w:cstheme="majorBidi"/>
          <w:b/>
          <w:bCs/>
          <w:sz w:val="28"/>
          <w:szCs w:val="28"/>
          <w:lang w:bidi="ar-EG"/>
        </w:rPr>
        <w:t>:</w:t>
      </w:r>
    </w:p>
    <w:p w14:paraId="090F7441" w14:textId="77777777" w:rsidR="00BE5127" w:rsidRPr="00BE5127" w:rsidRDefault="00BE5127" w:rsidP="00BE5127">
      <w:pPr>
        <w:pStyle w:val="a3"/>
        <w:bidi/>
        <w:jc w:val="both"/>
        <w:rPr>
          <w:rFonts w:asciiTheme="majorBidi" w:hAnsiTheme="majorBidi" w:cstheme="majorBidi"/>
          <w:sz w:val="28"/>
          <w:szCs w:val="28"/>
          <w:rtl/>
          <w:lang w:bidi="ar-EG"/>
        </w:rPr>
      </w:pPr>
      <w:r w:rsidRPr="00BE5127">
        <w:rPr>
          <w:rFonts w:asciiTheme="majorBidi" w:hAnsiTheme="majorBidi" w:cstheme="majorBidi"/>
          <w:sz w:val="28"/>
          <w:szCs w:val="28"/>
          <w:rtl/>
          <w:lang w:bidi="ar-EG"/>
        </w:rPr>
        <w:lastRenderedPageBreak/>
        <w:t xml:space="preserve">أسهمت تقنيات الذكاء الاصطناعي في المملكة بدور محوري في تحسين كفاءة الإنتاج الغذائي، من خلال تمكين الجهات المعنية من التنبؤ الدقيق بالطلب المحلي والإقليمي. ويسهم ذلك في تقليل الهدر وتعظيم الاستفادة من الموارد المتاحة. وتعتمد المؤسسات في هذا السياق على خوارزميات التعلم الآلي لتحليل البيانات التاريخية، بما يشمل موسمية الطلب، وأنماط سلوك المستهلكين، والمتغيرات الاقتصادية. ومن الناحية التنفيذية، يوفّر هذا المستوى من التنبؤ المتقدم دعمًا فعّالًا لعمليات التخطيط المالي والإنتاجي، كما يعزز قدرة المؤسسات على التكيف مع تقلبات السوق والاستجابة لها بكفاءة أعلى. ومع ذلك، تظل جودة البيانات عنصرًا حاسمًا في دقة المخرجات، الأمر الذي يستدعي الاهتمام المستمر بتنقيح البيانات وتحديثها لتجنب التحيز وضمان موثوقية النتائج. </w:t>
      </w:r>
      <w:r w:rsidRPr="00BE5127">
        <w:rPr>
          <w:rFonts w:asciiTheme="majorBidi" w:hAnsiTheme="majorBidi" w:cstheme="majorBidi"/>
          <w:sz w:val="28"/>
          <w:szCs w:val="28"/>
        </w:rPr>
        <w:t>(Alajmi et al., 2023, p.1)</w:t>
      </w:r>
    </w:p>
    <w:p w14:paraId="30EBA62D" w14:textId="77777777" w:rsidR="00BE5127" w:rsidRPr="00BE5127" w:rsidRDefault="00BE5127" w:rsidP="00BE5127">
      <w:pPr>
        <w:pStyle w:val="a3"/>
        <w:numPr>
          <w:ilvl w:val="0"/>
          <w:numId w:val="10"/>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تطوير سلاسل الإمداد الذكية</w:t>
      </w:r>
      <w:r w:rsidRPr="00BE5127">
        <w:rPr>
          <w:rFonts w:asciiTheme="majorBidi" w:hAnsiTheme="majorBidi" w:cstheme="majorBidi"/>
          <w:b/>
          <w:bCs/>
          <w:sz w:val="28"/>
          <w:szCs w:val="28"/>
          <w:lang w:bidi="ar-EG"/>
        </w:rPr>
        <w:t>:</w:t>
      </w:r>
    </w:p>
    <w:p w14:paraId="5B52C78A" w14:textId="77777777" w:rsidR="00BE5127" w:rsidRPr="00BE5127" w:rsidRDefault="00BE5127" w:rsidP="00BE5127">
      <w:pPr>
        <w:pStyle w:val="a3"/>
        <w:bidi/>
        <w:jc w:val="both"/>
        <w:rPr>
          <w:rFonts w:asciiTheme="majorBidi" w:hAnsiTheme="majorBidi" w:cstheme="majorBidi"/>
          <w:sz w:val="28"/>
          <w:szCs w:val="28"/>
        </w:rPr>
      </w:pPr>
      <w:r w:rsidRPr="00BE5127">
        <w:rPr>
          <w:rFonts w:asciiTheme="majorBidi" w:hAnsiTheme="majorBidi" w:cstheme="majorBidi"/>
          <w:sz w:val="28"/>
          <w:szCs w:val="28"/>
          <w:rtl/>
        </w:rPr>
        <w:t xml:space="preserve">تسهم تقنيات الذكاء الاصطناعي في إحداث تحول نوعي في سلاسل الإمداد داخل المملكة، من خلال تحويلها إلى أنظمة ذكية تتميز بالقدرة على الاستجابة السريعة والمرنة لمتغيرات السوق. وتعتمد المؤسسات السعودية في هذا الإطار على أدوات التحليل التنبئي وأجهزة الاستشعار الذكية لمتابعة مستويات المخزون بشكل لحظي، وتحسين كفاءة توزيع المنتجات، فضلًا عن تقليص أزمنة النقل والتخزين. وتتجلى الأهمية الاستراتيجية في تكامل هذه التقنيات مع البنية التحتية الرقمية القائمة، بما يعزز من فاعلية التشغيل ويرفع مستوى التنسيق بين مختلف مكونات سلسلة الإمداد. كما يُعد تأهيل الكوادر الوطنية وتدريبها على إدارة الأنظمة الذكية عنصرًا أساسيًا لضمان استدامة الأداء وتحقيق استجابة فعّالة ودقيقة للمتغيرات التشغيلية.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Badghish</w:t>
      </w:r>
      <w:proofErr w:type="spellEnd"/>
      <w:r w:rsidRPr="00BE5127">
        <w:rPr>
          <w:rFonts w:asciiTheme="majorBidi" w:hAnsiTheme="majorBidi" w:cstheme="majorBidi"/>
          <w:sz w:val="28"/>
          <w:szCs w:val="28"/>
        </w:rPr>
        <w:t xml:space="preserve"> &amp; Soomro, 2024, p.1)</w:t>
      </w:r>
    </w:p>
    <w:p w14:paraId="11BDE602" w14:textId="77777777" w:rsidR="00BE5127" w:rsidRPr="00BE5127" w:rsidRDefault="00BE5127" w:rsidP="00BE5127">
      <w:pPr>
        <w:pStyle w:val="a3"/>
        <w:numPr>
          <w:ilvl w:val="0"/>
          <w:numId w:val="10"/>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تعزيز جودة وسلامة الغذاء</w:t>
      </w:r>
      <w:r w:rsidRPr="00BE5127">
        <w:rPr>
          <w:rFonts w:asciiTheme="majorBidi" w:hAnsiTheme="majorBidi" w:cstheme="majorBidi"/>
          <w:b/>
          <w:bCs/>
          <w:sz w:val="28"/>
          <w:szCs w:val="28"/>
          <w:lang w:bidi="ar-EG"/>
        </w:rPr>
        <w:t>:</w:t>
      </w:r>
    </w:p>
    <w:p w14:paraId="3D2D8B48"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rPr>
        <w:t>تعد سلامة الغذاء وجودته محورًا استراتيجيًا في المملكة، حيث تتيح تقنيات الذكاء الاصطناعي، بما في ذلك الرؤية الحاسوبية وأجهزة الاستشعار، الكشف المبكر عن الشوائب والتلوث أو الانحرافات في عمليات التصنيع. هذا يسهم في حماية المستهلكين وتعزيز الثقة في المنتجات المحلية، بما يتماشى مع متطلبات هيئة الغذاء والدواء السعودية. من منظور تحليلي، يتطلب دمج هذه التقنية ضبط المعايير التشغيلية وتحديث البروتوكولات بشكل مستمر لضمان مطابقة المنتجات للمعايير الوطنية والدولية</w:t>
      </w:r>
      <w:r w:rsidRPr="00BE5127">
        <w:rPr>
          <w:rFonts w:asciiTheme="majorBidi" w:hAnsiTheme="majorBidi" w:cstheme="majorBidi"/>
          <w:sz w:val="28"/>
          <w:szCs w:val="28"/>
          <w:lang w:bidi="ar-EG"/>
        </w:rPr>
        <w:t>.</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(Arabia, 2022, p.30)</w:t>
      </w:r>
    </w:p>
    <w:p w14:paraId="1745179C" w14:textId="77777777" w:rsidR="00BE5127" w:rsidRPr="00BE5127" w:rsidRDefault="00BE5127" w:rsidP="00BE5127">
      <w:pPr>
        <w:pStyle w:val="a3"/>
        <w:numPr>
          <w:ilvl w:val="0"/>
          <w:numId w:val="10"/>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تحسين التسويق وتحليل سلوك المستهلك</w:t>
      </w:r>
      <w:r w:rsidRPr="00BE5127">
        <w:rPr>
          <w:rFonts w:asciiTheme="majorBidi" w:hAnsiTheme="majorBidi" w:cstheme="majorBidi"/>
          <w:b/>
          <w:bCs/>
          <w:sz w:val="28"/>
          <w:szCs w:val="28"/>
          <w:lang w:bidi="ar-EG"/>
        </w:rPr>
        <w:t>:</w:t>
      </w:r>
    </w:p>
    <w:p w14:paraId="50A775F7"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rPr>
        <w:t>تتيح تقنيات الذكاء الاصطناعي للشركات السعودية تحليل سلوك المستهلكين المحليين وفهم تفضيلاتهم، مما يدعم تصميم حملات تسويقية فعالة وتطوير منتجات تتوافق مع الثقافة والاحتياجات المحلية. تستخدم المؤسسات أدوات معالجة اللغة الطبيعية وتحليل البيانات الضخمة لدراسة التوجهات الاستهلاكية، وتعزيز استراتيجيات الترويج. ومن الجانب النقدي، يستلزم ذلك مراعاة الجوانب الأخلاقية والخصوصية، والتأكد من أن التحليلات تعزز استدامة العلاقات مع المستهلكين دون الإفراط في الاعتماد على الأتمتة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Binsaeed</w:t>
      </w:r>
      <w:proofErr w:type="spellEnd"/>
      <w:r w:rsidRPr="00BE5127">
        <w:rPr>
          <w:rFonts w:asciiTheme="majorBidi" w:hAnsiTheme="majorBidi" w:cstheme="majorBidi"/>
          <w:sz w:val="28"/>
          <w:szCs w:val="28"/>
        </w:rPr>
        <w:t xml:space="preserve"> et al., 2023, p.1)</w:t>
      </w:r>
    </w:p>
    <w:p w14:paraId="43656AB5" w14:textId="77777777" w:rsidR="00BE5127" w:rsidRPr="00BE5127" w:rsidRDefault="00BE5127" w:rsidP="00BE5127">
      <w:pPr>
        <w:pStyle w:val="a3"/>
        <w:numPr>
          <w:ilvl w:val="0"/>
          <w:numId w:val="10"/>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إدارة المخاطر التشغيلية</w:t>
      </w:r>
      <w:r w:rsidRPr="00BE5127">
        <w:rPr>
          <w:rFonts w:asciiTheme="majorBidi" w:hAnsiTheme="majorBidi" w:cstheme="majorBidi"/>
          <w:b/>
          <w:bCs/>
          <w:sz w:val="28"/>
          <w:szCs w:val="28"/>
          <w:lang w:bidi="ar-EG"/>
        </w:rPr>
        <w:t>:</w:t>
      </w:r>
    </w:p>
    <w:p w14:paraId="24BB83C3" w14:textId="77777777" w:rsidR="00BE5127" w:rsidRPr="00BE5127" w:rsidRDefault="00BE5127" w:rsidP="00BE5127">
      <w:pPr>
        <w:pStyle w:val="a3"/>
        <w:bidi/>
        <w:jc w:val="both"/>
        <w:rPr>
          <w:rFonts w:asciiTheme="majorBidi" w:hAnsiTheme="majorBidi" w:cstheme="majorBidi"/>
          <w:sz w:val="28"/>
          <w:szCs w:val="28"/>
          <w:rtl/>
          <w:lang w:bidi="ar-EG"/>
        </w:rPr>
      </w:pPr>
      <w:r w:rsidRPr="00BE5127">
        <w:rPr>
          <w:rFonts w:asciiTheme="majorBidi" w:hAnsiTheme="majorBidi" w:cstheme="majorBidi"/>
          <w:sz w:val="28"/>
          <w:szCs w:val="28"/>
          <w:rtl/>
        </w:rPr>
        <w:t xml:space="preserve">تسهم تطبيقات الذكاء الاصطناعي في الحد من المخاطر التشغيلية في المصانع والمستودعات الغذائية في المملكة من خلال التنبؤ بالأعطال، مراقبة المعدات، وتحليل البيانات التشغيلية </w:t>
      </w:r>
      <w:r w:rsidRPr="00BE5127">
        <w:rPr>
          <w:rFonts w:asciiTheme="majorBidi" w:hAnsiTheme="majorBidi" w:cstheme="majorBidi"/>
          <w:sz w:val="28"/>
          <w:szCs w:val="28"/>
          <w:rtl/>
        </w:rPr>
        <w:lastRenderedPageBreak/>
        <w:t>للكشف المبكر عن المشكلات. يعزز هذا النهج القدرة على التخطيط الاستراتيجي وتقليل الخسائر المالية، لكنه يتطلب تكامل الأدوات التقنية مع الخبرة البشرية لضمان اتخاذ قرارات رشيدة في الحالات غير المتوقعة أو المعقدة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Badghish</w:t>
      </w:r>
      <w:proofErr w:type="spellEnd"/>
      <w:r w:rsidRPr="00BE5127">
        <w:rPr>
          <w:rFonts w:asciiTheme="majorBidi" w:hAnsiTheme="majorBidi" w:cstheme="majorBidi"/>
          <w:sz w:val="28"/>
          <w:szCs w:val="28"/>
        </w:rPr>
        <w:t xml:space="preserve"> &amp; Soomro, 2024, p.1)</w:t>
      </w:r>
    </w:p>
    <w:p w14:paraId="48BA99CB" w14:textId="77777777" w:rsidR="00BE5127" w:rsidRPr="00BE5127" w:rsidRDefault="00BE5127" w:rsidP="00BE5127">
      <w:pPr>
        <w:pStyle w:val="a3"/>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مما سبق يتضح أن تطبيقات الذكاء الاصطناعي في قطاع الصناعات الغذائية بالمملكة العربية السعودية تشكل محورًا استراتيجيًا متعدد الأبعاد، يربط بين تحسين الإنتاج، تطوير سلاسل الإمداد، تعزيز الجودة وسلامة الغذاء، فهم المستهلكين، وإدارة المخاطر التشغيلية. تكامل هذه التطبيقات مع البنية التحتية الرقمية والكفاءات المحلية يتيح تحقيق قرارات استراتيجية دقيقة ومستدامة، ويعكس التزام المؤسسات السعودية بالابتكار والتحول الرقمي وفق أهداف رؤية 2030، مع الحفاظ على التوازن بين التكنولوجيا والخبرة البشرية لضمان كفاءة ومرونة الأداء</w:t>
      </w:r>
      <w:r w:rsidRPr="00BE5127">
        <w:rPr>
          <w:rFonts w:asciiTheme="majorBidi" w:hAnsiTheme="majorBidi" w:cstheme="majorBidi"/>
          <w:sz w:val="28"/>
          <w:szCs w:val="28"/>
          <w:rtl/>
          <w:lang w:bidi="ar-EG"/>
        </w:rPr>
        <w:t>.</w:t>
      </w:r>
    </w:p>
    <w:p w14:paraId="39AAE54D" w14:textId="77777777" w:rsidR="00BE5127" w:rsidRPr="00BE5127" w:rsidRDefault="00BE5127" w:rsidP="00BE5127">
      <w:pPr>
        <w:bidi/>
        <w:rPr>
          <w:rFonts w:asciiTheme="majorBidi" w:hAnsiTheme="majorBidi" w:cstheme="majorBidi"/>
          <w:b/>
          <w:bCs/>
          <w:sz w:val="28"/>
          <w:szCs w:val="28"/>
          <w:rtl/>
        </w:rPr>
      </w:pPr>
      <w:r w:rsidRPr="00BE5127">
        <w:rPr>
          <w:rFonts w:asciiTheme="majorBidi" w:hAnsiTheme="majorBidi" w:cstheme="majorBidi"/>
          <w:b/>
          <w:bCs/>
          <w:sz w:val="28"/>
          <w:szCs w:val="28"/>
          <w:rtl/>
        </w:rPr>
        <w:t>مزايا تبني تقنيات الذكاء الاصطناعي في المنظمات</w:t>
      </w:r>
    </w:p>
    <w:p w14:paraId="6C2B8BAB"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أصبح تبني تقنيات الذكاء الاصطناعي في المؤسسات الحديثة عنصرًا محوريًا لتعزيز الأداء وتحقيق الميزة التنافسية، حيث توفر هذه التقنيات إمكانات واسعة لتحليل البيانات واتخاذ القرارات بشكل أكثر دقة وفعالية. ويعكس اعتماد الذكاء الاصطناعي التزام المؤسسات بتحسين العمليات التشغيلية، تطوير القدرات الابتكارية، وتحقيق استدامة طويلة الأمد. ومن هذا المنطلق، تعد دراسة مزايا هذه التقنيات أمرًا جوهريًا لفهم دورها الاستراتيجي في دعم القرارات الإدارية وتعزيز القدرة التنافسية للمؤسسات</w:t>
      </w:r>
      <w:r w:rsidRPr="00BE5127">
        <w:rPr>
          <w:rFonts w:asciiTheme="majorBidi" w:hAnsiTheme="majorBidi" w:cstheme="majorBidi"/>
          <w:sz w:val="28"/>
          <w:szCs w:val="28"/>
          <w:lang w:bidi="ar-EG"/>
        </w:rPr>
        <w:t>.</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(Felemban et al., 2024, p.1)</w:t>
      </w:r>
    </w:p>
    <w:p w14:paraId="5D9A1103" w14:textId="77777777" w:rsidR="00BE5127" w:rsidRPr="00BE5127" w:rsidRDefault="00BE5127" w:rsidP="00BE5127">
      <w:pPr>
        <w:pStyle w:val="a3"/>
        <w:numPr>
          <w:ilvl w:val="0"/>
          <w:numId w:val="11"/>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تحسين الكفاءة التشغيلية</w:t>
      </w:r>
      <w:r w:rsidRPr="00BE5127">
        <w:rPr>
          <w:rFonts w:asciiTheme="majorBidi" w:hAnsiTheme="majorBidi" w:cstheme="majorBidi"/>
          <w:b/>
          <w:bCs/>
          <w:sz w:val="28"/>
          <w:szCs w:val="28"/>
          <w:rtl/>
          <w:lang w:bidi="ar-EG"/>
        </w:rPr>
        <w:t>:</w:t>
      </w:r>
    </w:p>
    <w:p w14:paraId="7A8B7D86"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lang w:bidi="ar-EG"/>
        </w:rPr>
        <w:t xml:space="preserve">تؤدي تقنيات الذكاء الاصطناعي دورًا محوريًا في تعزيز الكفاءة التشغيلية داخل المؤسسات، من خلال أتمتة العمليات الروتينية، والحد من الأخطاء البشرية، وتحسين انسيابية تدفق المعلومات بين مختلف الوحدات التنظيمية. فعلى سبيل المثال، تُمكّن الأنظمة الذكية من مراقبة عمليات الإنتاج والتوزيع بشكل مستمر، مع القدرة على التنبؤ المبكر بالاختناقات أو المشكلات التشغيلية قبل وقوعها. ومن منظور تحليلي أعمق، يتضح أن تحسين الكفاءة التشغيلية لا يقتصر على تسريع الأداء فحسب، بل يمتد ليشمل تعزيز المرونة التنظيمية، وتمكين المؤسسات من التكيف السريع مع التغيرات في بيئة الأعمال، سواء فيما يتعلق بتقلبات الأسواق أو أنماط الطلب على المنتجات والخدمات، بما يدعم تحقيق ميزة تنافسية مستدامة. </w:t>
      </w:r>
      <w:r w:rsidRPr="00BE5127">
        <w:rPr>
          <w:rFonts w:asciiTheme="majorBidi" w:hAnsiTheme="majorBidi" w:cstheme="majorBidi"/>
          <w:sz w:val="28"/>
          <w:szCs w:val="28"/>
        </w:rPr>
        <w:t>(AlQahtani, 2023, p.1)</w:t>
      </w:r>
    </w:p>
    <w:p w14:paraId="545B6AED" w14:textId="77777777" w:rsidR="00BE5127" w:rsidRPr="00BE5127" w:rsidRDefault="00BE5127" w:rsidP="00BE5127">
      <w:pPr>
        <w:pStyle w:val="a3"/>
        <w:numPr>
          <w:ilvl w:val="0"/>
          <w:numId w:val="11"/>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رفع جودة القرارات الإدارية</w:t>
      </w:r>
      <w:r w:rsidRPr="00BE5127">
        <w:rPr>
          <w:rFonts w:asciiTheme="majorBidi" w:hAnsiTheme="majorBidi" w:cstheme="majorBidi"/>
          <w:b/>
          <w:bCs/>
          <w:sz w:val="28"/>
          <w:szCs w:val="28"/>
          <w:lang w:bidi="ar-EG"/>
        </w:rPr>
        <w:t>:</w:t>
      </w:r>
    </w:p>
    <w:p w14:paraId="5221D9A4"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rPr>
        <w:t>توفر تقنيات الذكاء الاصطناعي أدوات تحليلية متقدمة تدعم المديرين التنفيذيين في اتخاذ قرارات مستنيرة مبنية على بيانات دقيقة ومعالجة متعمقة. تسهم خوارزميات التعلم الآلي وتحليل البيانات الضخمة في تقليل المخاطر المرتبطة بالقرارات العشوائية أو المبنية على حدس محدود. ومن منظور نقدي، يشير التحليل إلى أن دمج الذكاء الاصطناعي مع الخبرة البشرية يحقق توازنًا بين الدقة التحليلية والقدرة على فهم السياق التنظيمي، وهو ما يعزز جودة القرارات ويجعلها أكثر مواءمة مع الأهداف الاستراتيجية للمؤسسة</w:t>
      </w:r>
      <w:r w:rsidRPr="00BE5127">
        <w:rPr>
          <w:rFonts w:asciiTheme="majorBidi" w:hAnsiTheme="majorBidi" w:cstheme="majorBidi"/>
          <w:sz w:val="28"/>
          <w:szCs w:val="28"/>
          <w:lang w:bidi="ar-EG"/>
        </w:rPr>
        <w:t>.</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(Louati et al., 2024, p.1)</w:t>
      </w:r>
    </w:p>
    <w:p w14:paraId="77A756B8" w14:textId="77777777" w:rsidR="00BE5127" w:rsidRPr="00BE5127" w:rsidRDefault="00BE5127" w:rsidP="00BE5127">
      <w:pPr>
        <w:pStyle w:val="a3"/>
        <w:numPr>
          <w:ilvl w:val="0"/>
          <w:numId w:val="11"/>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lastRenderedPageBreak/>
        <w:t>تعزيز الابتكار والتنافسية</w:t>
      </w:r>
      <w:r w:rsidRPr="00BE5127">
        <w:rPr>
          <w:rFonts w:asciiTheme="majorBidi" w:hAnsiTheme="majorBidi" w:cstheme="majorBidi"/>
          <w:b/>
          <w:bCs/>
          <w:sz w:val="28"/>
          <w:szCs w:val="28"/>
          <w:lang w:bidi="ar-EG"/>
        </w:rPr>
        <w:t>:</w:t>
      </w:r>
    </w:p>
    <w:p w14:paraId="69B6D17E"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lang w:bidi="ar-EG"/>
        </w:rPr>
        <w:t xml:space="preserve">يسهم تبني تقنيات الذكاء الاصطناعي في تعزيز القدرات الابتكارية داخل المؤسسات، من خلال دعم تطوير منتجات وخدمات جديدة، وتحسين كفاءة العمليات القائمة، واستشراف الفرص المستقبلية في الأسواق. وتوفر هذه التقنيات إمكانات متقدمة لتحليل البيانات بطرق غير تقليدية، بما يساعد على اكتشاف أنماط ورؤى مبتكرة تسهم في تقديم حلول إبداعية وتعزيز القيمة المضافة. ومن منظور تنفيذي، يُعد الابتكار المدعوم بالذكاء الاصطناعي عاملًا حاسمًا في تمكين المؤسسات من التكيف مع المتغيرات المتسارعة في بيئة الأعمال، وتحقيق التفوق التنافسي. ومع ذلك، فإن تحقيق هذا الابتكار يتطلب توافر دعم استراتيجي واضح، إلى جانب تخطيط منهجي يضمن توظيف التقنيات بفعالية، وتحويل مخرجاتها إلى نتائج عملية مستدامة. </w:t>
      </w:r>
      <w:r w:rsidRPr="00BE5127">
        <w:rPr>
          <w:rFonts w:asciiTheme="majorBidi" w:hAnsiTheme="majorBidi" w:cstheme="majorBidi"/>
          <w:sz w:val="28"/>
          <w:szCs w:val="28"/>
          <w:lang w:bidi="ar-EG"/>
        </w:rPr>
        <w:t>(</w:t>
      </w:r>
      <w:proofErr w:type="spellStart"/>
      <w:r w:rsidRPr="00BE5127">
        <w:rPr>
          <w:rFonts w:asciiTheme="majorBidi" w:hAnsiTheme="majorBidi" w:cstheme="majorBidi"/>
          <w:sz w:val="28"/>
          <w:szCs w:val="28"/>
        </w:rPr>
        <w:t>Kazaba</w:t>
      </w:r>
      <w:proofErr w:type="spellEnd"/>
      <w:r w:rsidRPr="00BE5127">
        <w:rPr>
          <w:rFonts w:asciiTheme="majorBidi" w:hAnsiTheme="majorBidi" w:cstheme="majorBidi"/>
          <w:sz w:val="28"/>
          <w:szCs w:val="28"/>
        </w:rPr>
        <w:t>, 2024, p.1291)</w:t>
      </w:r>
    </w:p>
    <w:p w14:paraId="258FCA55" w14:textId="77777777" w:rsidR="00BE5127" w:rsidRPr="00BE5127" w:rsidRDefault="00BE5127" w:rsidP="00BE5127">
      <w:pPr>
        <w:pStyle w:val="a3"/>
        <w:numPr>
          <w:ilvl w:val="0"/>
          <w:numId w:val="11"/>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تقليل التكاليف التشغيلية</w:t>
      </w:r>
      <w:r w:rsidRPr="00BE5127">
        <w:rPr>
          <w:rFonts w:asciiTheme="majorBidi" w:hAnsiTheme="majorBidi" w:cstheme="majorBidi"/>
          <w:b/>
          <w:bCs/>
          <w:sz w:val="28"/>
          <w:szCs w:val="28"/>
          <w:lang w:bidi="ar-EG"/>
        </w:rPr>
        <w:t>:</w:t>
      </w:r>
    </w:p>
    <w:p w14:paraId="1851E683"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rPr>
        <w:t>يساهم الذكاء الاصطناعي في تقليل التكاليف من خلال تحسين استهلاك الموارد، أتمتة المهام المتكررة، وتجنب الأخطاء المكلفة. يمكن للمؤسسات توقع احتياجات الإنتاج بدقة أكبر، وتقليل الهدر، وتحسين كفاءة سلسلة الإمداد. ومع ذلك، يظهر التحليل النقدي أن تحقيق هذه الميزة يتطلب استثمارات أولية في البنية التحتية الرقمية والتدريب، وهو ما يجعل من الضروري تقييم العائد على الاستثمار بعناية لضمان استدامة التكاليف المنخفضة على المدى الطويل</w:t>
      </w:r>
      <w:r w:rsidRPr="00BE5127">
        <w:rPr>
          <w:rFonts w:asciiTheme="majorBidi" w:hAnsiTheme="majorBidi" w:cstheme="majorBidi"/>
          <w:sz w:val="28"/>
          <w:szCs w:val="28"/>
          <w:lang w:bidi="ar-EG"/>
        </w:rPr>
        <w:t>.</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Aljohani</w:t>
      </w:r>
      <w:proofErr w:type="spellEnd"/>
      <w:r w:rsidRPr="00BE5127">
        <w:rPr>
          <w:rFonts w:asciiTheme="majorBidi" w:hAnsiTheme="majorBidi" w:cstheme="majorBidi"/>
          <w:sz w:val="28"/>
          <w:szCs w:val="28"/>
        </w:rPr>
        <w:t xml:space="preserve"> &amp; </w:t>
      </w:r>
      <w:proofErr w:type="spellStart"/>
      <w:r w:rsidRPr="00BE5127">
        <w:rPr>
          <w:rFonts w:asciiTheme="majorBidi" w:hAnsiTheme="majorBidi" w:cstheme="majorBidi"/>
          <w:sz w:val="28"/>
          <w:szCs w:val="28"/>
        </w:rPr>
        <w:t>Albliwi</w:t>
      </w:r>
      <w:proofErr w:type="spellEnd"/>
      <w:r w:rsidRPr="00BE5127">
        <w:rPr>
          <w:rFonts w:asciiTheme="majorBidi" w:hAnsiTheme="majorBidi" w:cstheme="majorBidi"/>
          <w:sz w:val="28"/>
          <w:szCs w:val="28"/>
        </w:rPr>
        <w:t>, 2022, p.1)</w:t>
      </w:r>
    </w:p>
    <w:p w14:paraId="1904FBF2" w14:textId="77777777" w:rsidR="00BE5127" w:rsidRPr="00BE5127" w:rsidRDefault="00BE5127" w:rsidP="00BE5127">
      <w:pPr>
        <w:pStyle w:val="a3"/>
        <w:numPr>
          <w:ilvl w:val="0"/>
          <w:numId w:val="11"/>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دعم الاستدامة المؤسسية</w:t>
      </w:r>
      <w:r w:rsidRPr="00BE5127">
        <w:rPr>
          <w:rFonts w:asciiTheme="majorBidi" w:hAnsiTheme="majorBidi" w:cstheme="majorBidi"/>
          <w:b/>
          <w:bCs/>
          <w:sz w:val="28"/>
          <w:szCs w:val="28"/>
          <w:lang w:bidi="ar-EG"/>
        </w:rPr>
        <w:t>:</w:t>
      </w:r>
    </w:p>
    <w:p w14:paraId="6F4229E9" w14:textId="77777777" w:rsidR="00BE5127" w:rsidRPr="00BE5127" w:rsidRDefault="00BE5127" w:rsidP="00BE5127">
      <w:pPr>
        <w:pStyle w:val="a3"/>
        <w:bidi/>
        <w:jc w:val="both"/>
        <w:rPr>
          <w:rFonts w:asciiTheme="majorBidi" w:hAnsiTheme="majorBidi" w:cstheme="majorBidi"/>
          <w:sz w:val="28"/>
          <w:szCs w:val="28"/>
          <w:rtl/>
        </w:rPr>
      </w:pPr>
      <w:r w:rsidRPr="00BE5127">
        <w:rPr>
          <w:rFonts w:asciiTheme="majorBidi" w:hAnsiTheme="majorBidi" w:cstheme="majorBidi"/>
          <w:sz w:val="28"/>
          <w:szCs w:val="28"/>
          <w:rtl/>
        </w:rPr>
        <w:t xml:space="preserve">تمثل الاستدامة مؤشراً حيوياً لنجاح المؤسسات في بيئات الأعمال المعقدة، ويسهم الذكاء الاصطناعي في تحقيقها من خلال تحسين كفاءة استخدام الموارد، تعزيز الرقابة البيئية، وتحسين إدارة المخاطر. كما يمكن استخدام التقنيات الذكية لمراقبة الانبعاثات وتقليل الهدر في عمليات الإنتاج والتوزيع. ومن منظور تحليلي، يعكس دمج الذكاء الاصطناعي ضمن استراتيجيات الاستدامة رؤية مؤسسية متقدمة، توازن بين تحقيق الأهداف الاقتصادية والاجتماعية والبيئية، وتعزز القدرة على المنافسة طويلة الأمد. </w:t>
      </w:r>
      <w:r w:rsidRPr="00BE5127">
        <w:rPr>
          <w:rFonts w:asciiTheme="majorBidi" w:hAnsiTheme="majorBidi" w:cstheme="majorBidi"/>
          <w:sz w:val="28"/>
          <w:szCs w:val="28"/>
        </w:rPr>
        <w:t>(AlQahtani, 2023, p.1)</w:t>
      </w:r>
    </w:p>
    <w:p w14:paraId="584EB5EC" w14:textId="77777777" w:rsidR="00BE5127" w:rsidRPr="00BE5127" w:rsidRDefault="00BE5127" w:rsidP="00BE5127">
      <w:pPr>
        <w:pStyle w:val="a3"/>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مما سبق يتضح أن تبني تقنيات الذكاء الاصطناعي في المنظمات يوفر مجموعة متكاملة من المزايا الاستراتيجية، تشمل تحسين الكفاءة التشغيلية، رفع جودة القرارات الإدارية، تعزيز الابتكار والتنافسية، تقليل التكاليف التشغيلية، ودعم الاستدامة المؤسسية. ويظهر من التحليل أن الاستفادة القصوى من هذه المزايا تتطلب دمج القدرات التقنية مع الخبرة البشرية والبنية التحتية المؤسسية، بما يضمن اتخاذ قرارات دقيقة وفعالة، وتحقيق توازن مستدام بين الأداء المؤسسي والابتكار والمسؤولية الاجتماعية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Alarefi</w:t>
      </w:r>
      <w:proofErr w:type="spellEnd"/>
      <w:r w:rsidRPr="00BE5127">
        <w:rPr>
          <w:rFonts w:asciiTheme="majorBidi" w:hAnsiTheme="majorBidi" w:cstheme="majorBidi"/>
          <w:sz w:val="28"/>
          <w:szCs w:val="28"/>
        </w:rPr>
        <w:t>, 2024, p.16802)</w:t>
      </w:r>
    </w:p>
    <w:p w14:paraId="5EA5F653" w14:textId="77777777" w:rsidR="00BE5127" w:rsidRPr="00BE5127" w:rsidRDefault="00BE5127" w:rsidP="00BE5127">
      <w:pPr>
        <w:bidi/>
        <w:rPr>
          <w:rFonts w:asciiTheme="majorBidi" w:hAnsiTheme="majorBidi" w:cstheme="majorBidi"/>
          <w:b/>
          <w:bCs/>
          <w:sz w:val="28"/>
          <w:szCs w:val="28"/>
          <w:rtl/>
        </w:rPr>
      </w:pPr>
      <w:r w:rsidRPr="00BE5127">
        <w:rPr>
          <w:rFonts w:asciiTheme="majorBidi" w:hAnsiTheme="majorBidi" w:cstheme="majorBidi"/>
          <w:b/>
          <w:bCs/>
          <w:sz w:val="28"/>
          <w:szCs w:val="28"/>
          <w:rtl/>
        </w:rPr>
        <w:t>التحديات والمعوقات المرتبطة بتبني تقنيات الذكاء الاصطناعي</w:t>
      </w:r>
    </w:p>
    <w:p w14:paraId="1FE7B4F5"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 xml:space="preserve">يواجه تبني تقنيات الذكاء الاصطناعي في المؤسسات تحديات متعددة تتعلق بالجوانب التقنية والتنظيمية والبشرية والقانونية، والتي قد تؤثر على فاعلية استغلال هذه التقنيات لتحقيق الأهداف الاستراتيجية. ويبرز هذا الأمر بوضوح في قطاع الصناعات والخدمات بالمملكة العربية السعودية، حيث تتطلب رؤية 2030 تعزيز الابتكار والتحول الرقمي، مع مواجهة العقبات المحتملة لضمان دمج </w:t>
      </w:r>
      <w:r w:rsidRPr="00BE5127">
        <w:rPr>
          <w:rFonts w:asciiTheme="majorBidi" w:hAnsiTheme="majorBidi" w:cstheme="majorBidi"/>
          <w:sz w:val="28"/>
          <w:szCs w:val="28"/>
          <w:rtl/>
        </w:rPr>
        <w:lastRenderedPageBreak/>
        <w:t>الذكاء الاصطناعي بشكل فعال ومستدام. إن فهم هذه المعوقات بشكل دقيق يمكّن المؤسسات من تطوير استراتيجيات للتغلب عليها وتحقيق أعلى مستوى من الأداء المؤسسي</w:t>
      </w:r>
      <w:r w:rsidRPr="00BE5127">
        <w:rPr>
          <w:rFonts w:asciiTheme="majorBidi" w:hAnsiTheme="majorBidi" w:cstheme="majorBidi"/>
          <w:sz w:val="28"/>
          <w:szCs w:val="28"/>
          <w:lang w:bidi="ar-EG"/>
        </w:rPr>
        <w:t>.</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Kazaba</w:t>
      </w:r>
      <w:proofErr w:type="spellEnd"/>
      <w:r w:rsidRPr="00BE5127">
        <w:rPr>
          <w:rFonts w:asciiTheme="majorBidi" w:hAnsiTheme="majorBidi" w:cstheme="majorBidi"/>
          <w:sz w:val="28"/>
          <w:szCs w:val="28"/>
        </w:rPr>
        <w:t>, 2024, p.1291)</w:t>
      </w:r>
    </w:p>
    <w:p w14:paraId="1715D693" w14:textId="77777777" w:rsidR="00BE5127" w:rsidRPr="00BE5127" w:rsidRDefault="00BE5127" w:rsidP="00BE5127">
      <w:pPr>
        <w:pStyle w:val="a3"/>
        <w:numPr>
          <w:ilvl w:val="0"/>
          <w:numId w:val="12"/>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التحديات التقنية والتكنولوجية</w:t>
      </w:r>
      <w:r w:rsidRPr="00BE5127">
        <w:rPr>
          <w:rFonts w:asciiTheme="majorBidi" w:hAnsiTheme="majorBidi" w:cstheme="majorBidi"/>
          <w:b/>
          <w:bCs/>
          <w:sz w:val="28"/>
          <w:szCs w:val="28"/>
          <w:lang w:bidi="ar-EG"/>
        </w:rPr>
        <w:t>:</w:t>
      </w:r>
    </w:p>
    <w:p w14:paraId="3BD58864"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rPr>
        <w:t>تتمثل أبرز التحديات التقنية في الحاجة إلى بنية تحتية رقمية متطورة، وقدرات حاسوبية عالية، وأنظمة برمجية متكاملة لمعالجة البيانات الضخمة وتطوير النماذج الذكية. بالإضافة إلى ذلك، يشكل تكامل الأنظمة القديمة مع التقنيات الحديثة تحديًا كبيرًا، حيث قد تتطلب التحديثات إعادة هندسة العمليات الحالية. ومن منظور تحليلي، يتضح أن التغلب على هذه التحديات يتطلب استثمارات كبيرة في البنية التحتية الرقمية، والتخطيط الاستراتيجي لاستخدام الموارد التقنية بكفاءة، لضمان استدامة وكفاءة تطبيقات الذكاء الاصطناعي</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Alsulami</w:t>
      </w:r>
      <w:proofErr w:type="spellEnd"/>
      <w:r w:rsidRPr="00BE5127">
        <w:rPr>
          <w:rFonts w:asciiTheme="majorBidi" w:hAnsiTheme="majorBidi" w:cstheme="majorBidi"/>
          <w:sz w:val="28"/>
          <w:szCs w:val="28"/>
        </w:rPr>
        <w:t>, 2026, p.504)</w:t>
      </w:r>
    </w:p>
    <w:p w14:paraId="09DE26A5" w14:textId="77777777" w:rsidR="00BE5127" w:rsidRPr="00BE5127" w:rsidRDefault="00BE5127" w:rsidP="00BE5127">
      <w:pPr>
        <w:pStyle w:val="a3"/>
        <w:numPr>
          <w:ilvl w:val="0"/>
          <w:numId w:val="12"/>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التحديات التنظيمية والثقافية</w:t>
      </w:r>
      <w:r w:rsidRPr="00BE5127">
        <w:rPr>
          <w:rFonts w:asciiTheme="majorBidi" w:hAnsiTheme="majorBidi" w:cstheme="majorBidi"/>
          <w:b/>
          <w:bCs/>
          <w:sz w:val="28"/>
          <w:szCs w:val="28"/>
          <w:lang w:bidi="ar-EG"/>
        </w:rPr>
        <w:t>:</w:t>
      </w:r>
    </w:p>
    <w:p w14:paraId="2A7D31E7"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rPr>
        <w:t>تشكل مقاومة التغيير والتحديات الثقافية في المؤسسات عائقًا رئيسيًا أمام تبني الذكاء الاصطناعي، إذ قد يرفض بعض الموظفين أو المديرين تبني الأنظمة الذكية خوفًا من فقدان السيطرة أو الوظائف. كما يمكن أن تؤثر الثقافة المؤسسية على سرعة اعتماد الابتكارات التقنية وفعالية استخدام البيانات في صنع القرار. ويشير التحليل النقدي إلى أن معالجة هذه التحديات تتطلب تعزيز الوعي التنظيمي بالتقنيات الرقمية، وتطوير سياسات تدريبية وتشجيعية تدمج الموظفين في عملية التحول الرقمي لضمان نجاح الاستراتيجية المؤسسية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(Hicham &amp; Hamza, 2024, p.185)</w:t>
      </w:r>
    </w:p>
    <w:p w14:paraId="1FF039F8" w14:textId="77777777" w:rsidR="00BE5127" w:rsidRPr="00BE5127" w:rsidRDefault="00BE5127" w:rsidP="00BE5127">
      <w:pPr>
        <w:pStyle w:val="a3"/>
        <w:numPr>
          <w:ilvl w:val="0"/>
          <w:numId w:val="12"/>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نقص الكفاءات البشرية المتخصصة</w:t>
      </w:r>
      <w:r w:rsidRPr="00BE5127">
        <w:rPr>
          <w:rFonts w:asciiTheme="majorBidi" w:hAnsiTheme="majorBidi" w:cstheme="majorBidi"/>
          <w:b/>
          <w:bCs/>
          <w:sz w:val="28"/>
          <w:szCs w:val="28"/>
          <w:lang w:bidi="ar-EG"/>
        </w:rPr>
        <w:t>:</w:t>
      </w:r>
    </w:p>
    <w:p w14:paraId="5DECAAC5"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rPr>
        <w:t>تعد الكفاءات البشرية المؤهلة في مجالات الذكاء الاصطناعي وتحليل البيانات من أهم عوامل النجاح، إلا أن نقص الخبرات المتخصصة يمثل تحديًا ملموسًا، خصوصًا في سوق العمل السعودي الذي يشهد تحولًا سريعًا نحو الاقتصاد الرقمي. يتطلب ذلك استراتيجيات تعليمية وتدريبية متقدمة لبناء القدرات المحلية، بالإضافة إلى التعاون مع الجامعات والمؤسسات التعليمية لتطوير برامج متخصصة. من منظور تنفيذي، فإن قدرة المؤسسات على سد فجوة الكفاءات تؤثر بشكل مباشر على جودة تطبيقات الذكاء الاصطناعي وفاعلية القرارات المستندة إليها</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Almheiri</w:t>
      </w:r>
      <w:proofErr w:type="spellEnd"/>
      <w:r w:rsidRPr="00BE5127">
        <w:rPr>
          <w:rFonts w:asciiTheme="majorBidi" w:hAnsiTheme="majorBidi" w:cstheme="majorBidi"/>
          <w:sz w:val="28"/>
          <w:szCs w:val="28"/>
        </w:rPr>
        <w:t xml:space="preserve"> et al., 2024, p.953)</w:t>
      </w:r>
    </w:p>
    <w:p w14:paraId="5B6032F0" w14:textId="77777777" w:rsidR="00BE5127" w:rsidRPr="00BE5127" w:rsidRDefault="00BE5127" w:rsidP="00BE5127">
      <w:pPr>
        <w:pStyle w:val="a3"/>
        <w:numPr>
          <w:ilvl w:val="0"/>
          <w:numId w:val="12"/>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التحديات القانونية والأخلاقية</w:t>
      </w:r>
      <w:r w:rsidRPr="00BE5127">
        <w:rPr>
          <w:rFonts w:asciiTheme="majorBidi" w:hAnsiTheme="majorBidi" w:cstheme="majorBidi"/>
          <w:b/>
          <w:bCs/>
          <w:sz w:val="28"/>
          <w:szCs w:val="28"/>
          <w:lang w:bidi="ar-EG"/>
        </w:rPr>
        <w:t>:</w:t>
      </w:r>
    </w:p>
    <w:p w14:paraId="148F0632"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rPr>
        <w:t xml:space="preserve">تواجه المؤسسات تحديات تتعلق بالخصوصية وحماية البيانات، والامتثال للوائح المحلية والدولية، بما في ذلك قوانين حماية البيانات الشخصية في المملكة. كما تبرز القضايا الأخلاقية المتعلقة بتحليل البيانات واتخاذ القرارات عبر الذكاء الاصطناعي، مثل تحيّز النماذج أو تأثيرها على الفئات المختلفة من الموظفين والمستهلكين. ومن منظور تحليلي، يتضح أن تطوير سياسات واضحة للحوكمة الأخلاقية والقانونية يمثل عاملًا أساسيًا لضمان مسؤولية التطبيقات الذكية وموثوقية القرارات </w:t>
      </w:r>
      <w:proofErr w:type="gramStart"/>
      <w:r w:rsidRPr="00BE5127">
        <w:rPr>
          <w:rFonts w:asciiTheme="majorBidi" w:hAnsiTheme="majorBidi" w:cstheme="majorBidi"/>
          <w:sz w:val="28"/>
          <w:szCs w:val="28"/>
          <w:rtl/>
        </w:rPr>
        <w:t>الناتجة  عنها</w:t>
      </w:r>
      <w:proofErr w:type="gramEnd"/>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Aboalshamat</w:t>
      </w:r>
      <w:proofErr w:type="spellEnd"/>
      <w:r w:rsidRPr="00BE5127">
        <w:rPr>
          <w:rFonts w:asciiTheme="majorBidi" w:hAnsiTheme="majorBidi" w:cstheme="majorBidi"/>
          <w:sz w:val="28"/>
          <w:szCs w:val="28"/>
        </w:rPr>
        <w:t xml:space="preserve"> et al., 2022, p.52)</w:t>
      </w:r>
    </w:p>
    <w:p w14:paraId="4DED59F2" w14:textId="77777777" w:rsidR="00BE5127" w:rsidRPr="00BE5127" w:rsidRDefault="00BE5127" w:rsidP="00BE5127">
      <w:pPr>
        <w:pStyle w:val="a3"/>
        <w:numPr>
          <w:ilvl w:val="0"/>
          <w:numId w:val="12"/>
        </w:numPr>
        <w:bidi/>
        <w:jc w:val="both"/>
        <w:rPr>
          <w:rFonts w:asciiTheme="majorBidi" w:hAnsiTheme="majorBidi" w:cstheme="majorBidi"/>
          <w:sz w:val="28"/>
          <w:szCs w:val="28"/>
          <w:lang w:bidi="ar-EG"/>
        </w:rPr>
      </w:pPr>
      <w:proofErr w:type="gramStart"/>
      <w:r w:rsidRPr="00BE5127">
        <w:rPr>
          <w:rFonts w:asciiTheme="majorBidi" w:hAnsiTheme="majorBidi" w:cstheme="majorBidi"/>
          <w:b/>
          <w:bCs/>
          <w:sz w:val="28"/>
          <w:szCs w:val="28"/>
          <w:rtl/>
        </w:rPr>
        <w:t>مخاطر</w:t>
      </w:r>
      <w:proofErr w:type="gramEnd"/>
      <w:r w:rsidRPr="00BE5127">
        <w:rPr>
          <w:rFonts w:asciiTheme="majorBidi" w:hAnsiTheme="majorBidi" w:cstheme="majorBidi"/>
          <w:b/>
          <w:bCs/>
          <w:sz w:val="28"/>
          <w:szCs w:val="28"/>
          <w:rtl/>
        </w:rPr>
        <w:t xml:space="preserve"> الأمن السيبراني</w:t>
      </w:r>
      <w:r w:rsidRPr="00BE5127">
        <w:rPr>
          <w:rFonts w:asciiTheme="majorBidi" w:hAnsiTheme="majorBidi" w:cstheme="majorBidi"/>
          <w:b/>
          <w:bCs/>
          <w:sz w:val="28"/>
          <w:szCs w:val="28"/>
          <w:lang w:bidi="ar-EG"/>
        </w:rPr>
        <w:t>:</w:t>
      </w:r>
    </w:p>
    <w:p w14:paraId="25A07215" w14:textId="77777777" w:rsidR="00BE5127" w:rsidRPr="00BE5127" w:rsidRDefault="00BE5127" w:rsidP="00BE5127">
      <w:pPr>
        <w:pStyle w:val="a3"/>
        <w:bidi/>
        <w:jc w:val="both"/>
        <w:rPr>
          <w:rFonts w:asciiTheme="majorBidi" w:hAnsiTheme="majorBidi" w:cstheme="majorBidi"/>
          <w:sz w:val="28"/>
          <w:szCs w:val="28"/>
          <w:rtl/>
        </w:rPr>
      </w:pPr>
      <w:r w:rsidRPr="00BE5127">
        <w:rPr>
          <w:rFonts w:asciiTheme="majorBidi" w:hAnsiTheme="majorBidi" w:cstheme="majorBidi"/>
          <w:sz w:val="28"/>
          <w:szCs w:val="28"/>
          <w:rtl/>
        </w:rPr>
        <w:t xml:space="preserve">يشكل الأمن السيبراني تحديًا محوريًا عند تبني الذكاء الاصطناعي، حيث تعتمد المؤسسات على البيانات الرقمية بشكل كبير، ما يزيد من احتمالية التعرض للاختراقات والهجمات الإلكترونية. يتطلب ذلك تطبيق أنظمة حماية متقدمة، مراقبة مستمرة للبنية التحتية الرقمية، </w:t>
      </w:r>
      <w:r w:rsidRPr="00BE5127">
        <w:rPr>
          <w:rFonts w:asciiTheme="majorBidi" w:hAnsiTheme="majorBidi" w:cstheme="majorBidi"/>
          <w:sz w:val="28"/>
          <w:szCs w:val="28"/>
          <w:rtl/>
        </w:rPr>
        <w:lastRenderedPageBreak/>
        <w:t xml:space="preserve">وإجراءات احترازية للتعامل مع الحوادث الأمنية. ومن منظور نقدي، يبرز أن دمج تقنيات الذكاء الاصطناعي مع استراتيجيات الأمن السيبراني يعزز الثقة في العمليات الرقمية، ويقلل المخاطر التشغيلية ويضمن استمرارية الأعمال في بيئة رقمية آمنة.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Abalkhail</w:t>
      </w:r>
      <w:proofErr w:type="spellEnd"/>
      <w:r w:rsidRPr="00BE5127">
        <w:rPr>
          <w:rFonts w:asciiTheme="majorBidi" w:hAnsiTheme="majorBidi" w:cstheme="majorBidi"/>
          <w:sz w:val="28"/>
          <w:szCs w:val="28"/>
        </w:rPr>
        <w:t xml:space="preserve"> &amp; Al Amri, 2022, p.1)</w:t>
      </w:r>
    </w:p>
    <w:p w14:paraId="174548F4" w14:textId="77777777" w:rsidR="00BE5127" w:rsidRPr="00BE5127" w:rsidRDefault="00BE5127" w:rsidP="00BE5127">
      <w:pPr>
        <w:pStyle w:val="a3"/>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مما سبق يتضح أن تبني تقنيات الذكاء الاصطناعي في المؤسسات يواجه مجموعة متكاملة من التحديات تشمل التقنية، التنظيمية والثقافية، نقص الكفاءات البشرية، الجوانب القانونية والأخلاقية، ومخاطر الأمن السيبراني. وتتطلب الاستفادة المثلى من هذه التقنيات تطوير بنية تحتية رقمية قوية، تعزيز القدرات البشرية، وتطبيق سياسات حوكمة واضحة لضمان استدامة الأداء، وتحقيق توازن بين الابتكار الرقمي والمسؤولية المؤسسية، بما يضمن اتخاذ قرارات استراتيجية دقيقة وفعالة</w:t>
      </w:r>
      <w:r w:rsidRPr="00BE5127">
        <w:rPr>
          <w:rFonts w:asciiTheme="majorBidi" w:hAnsiTheme="majorBidi" w:cstheme="majorBidi"/>
          <w:sz w:val="28"/>
          <w:szCs w:val="28"/>
          <w:rtl/>
          <w:lang w:bidi="ar-EG"/>
        </w:rPr>
        <w:t>.</w:t>
      </w:r>
    </w:p>
    <w:p w14:paraId="580C6A64" w14:textId="77777777" w:rsidR="00BE5127" w:rsidRPr="00BE5127" w:rsidRDefault="00BE5127" w:rsidP="00BE5127">
      <w:pPr>
        <w:bidi/>
        <w:rPr>
          <w:rFonts w:asciiTheme="majorBidi" w:hAnsiTheme="majorBidi" w:cstheme="majorBidi"/>
          <w:b/>
          <w:bCs/>
          <w:sz w:val="28"/>
          <w:szCs w:val="28"/>
          <w:lang w:bidi="ar-EG"/>
        </w:rPr>
      </w:pPr>
      <w:r w:rsidRPr="00BE5127">
        <w:rPr>
          <w:rFonts w:asciiTheme="majorBidi" w:hAnsiTheme="majorBidi" w:cstheme="majorBidi"/>
          <w:b/>
          <w:bCs/>
          <w:sz w:val="28"/>
          <w:szCs w:val="28"/>
          <w:rtl/>
        </w:rPr>
        <w:t>متطلبات نجاح تبني تقنيات الذكاء الاصطناعي في المنظمات</w:t>
      </w:r>
    </w:p>
    <w:p w14:paraId="6F5A6F8B" w14:textId="77777777" w:rsidR="00BE5127" w:rsidRPr="00BE5127" w:rsidRDefault="00BE5127" w:rsidP="00BE5127">
      <w:pPr>
        <w:bidi/>
        <w:ind w:firstLine="720"/>
        <w:jc w:val="both"/>
        <w:rPr>
          <w:rFonts w:asciiTheme="majorBidi" w:hAnsiTheme="majorBidi" w:cstheme="majorBidi"/>
          <w:sz w:val="28"/>
          <w:szCs w:val="28"/>
          <w:rtl/>
          <w:lang w:bidi="ar-EG"/>
        </w:rPr>
      </w:pPr>
      <w:r w:rsidRPr="00BE5127">
        <w:rPr>
          <w:rFonts w:asciiTheme="majorBidi" w:hAnsiTheme="majorBidi" w:cstheme="majorBidi"/>
          <w:sz w:val="28"/>
          <w:szCs w:val="28"/>
          <w:rtl/>
        </w:rPr>
        <w:t>لا يقتصر تحقيق الفاعلية المثلى لتقنيات الذكاء الاصطناعي في المؤسسات على توافر الأنظمة والأدوات الرقمية فحسب، بل يتطلب منظومة متكاملة من العوامل التنظيمية والاستراتيجية التي تضمن التكامل الفعّال بين التكنولوجيا والموارد البشرية. وفي المملكة العربية السعودية، يأتي هذا التوجه في إطار جهود التحول الرقمي المرتبطة برؤية 2030، حيث تسعى المؤسسات إلى رفع مستويات الإنتاجية وتعزيز قدرتها التنافسية من خلال توظيف الذكاء الاصطناعي. ومن هذا المنطلق، يُعد تحديد متطلبات النجاح خطوة محورية لضمان استدامة تطبيق هذه التقنيات، بما يسهم في تحقيق أثر إيجابي ملموس على الأداء المؤسسي، ويعزز من قدرة المؤسسات على تحقيق أهدافها الاستراتيجية بكفاءة وفعالية.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(Al-Baity, 2023, p.13725)</w:t>
      </w:r>
    </w:p>
    <w:p w14:paraId="7B7612F1" w14:textId="77777777" w:rsidR="00BE5127" w:rsidRPr="00BE5127" w:rsidRDefault="00BE5127" w:rsidP="00BE5127">
      <w:pPr>
        <w:pStyle w:val="a3"/>
        <w:numPr>
          <w:ilvl w:val="0"/>
          <w:numId w:val="13"/>
        </w:numPr>
        <w:bidi/>
        <w:jc w:val="both"/>
        <w:rPr>
          <w:rFonts w:asciiTheme="majorBidi" w:hAnsiTheme="majorBidi" w:cstheme="majorBidi"/>
          <w:sz w:val="28"/>
          <w:szCs w:val="28"/>
        </w:rPr>
      </w:pPr>
      <w:r w:rsidRPr="00BE5127">
        <w:rPr>
          <w:rFonts w:asciiTheme="majorBidi" w:hAnsiTheme="majorBidi" w:cstheme="majorBidi"/>
          <w:b/>
          <w:bCs/>
          <w:sz w:val="28"/>
          <w:szCs w:val="28"/>
          <w:rtl/>
        </w:rPr>
        <w:t>دعم الإدارة العليا</w:t>
      </w:r>
      <w:r w:rsidRPr="00BE5127">
        <w:rPr>
          <w:rFonts w:asciiTheme="majorBidi" w:hAnsiTheme="majorBidi" w:cstheme="majorBidi"/>
          <w:b/>
          <w:bCs/>
          <w:sz w:val="28"/>
          <w:szCs w:val="28"/>
        </w:rPr>
        <w:t>:</w:t>
      </w:r>
    </w:p>
    <w:p w14:paraId="7BC193AB" w14:textId="77777777" w:rsidR="00BE5127" w:rsidRPr="00BE5127" w:rsidRDefault="00BE5127" w:rsidP="00BE5127">
      <w:pPr>
        <w:pStyle w:val="a3"/>
        <w:bidi/>
        <w:jc w:val="both"/>
        <w:rPr>
          <w:rFonts w:asciiTheme="majorBidi" w:hAnsiTheme="majorBidi" w:cstheme="majorBidi"/>
          <w:sz w:val="28"/>
          <w:szCs w:val="28"/>
        </w:rPr>
      </w:pPr>
      <w:r w:rsidRPr="00BE5127">
        <w:rPr>
          <w:rFonts w:asciiTheme="majorBidi" w:hAnsiTheme="majorBidi" w:cstheme="majorBidi"/>
          <w:sz w:val="28"/>
          <w:szCs w:val="28"/>
          <w:rtl/>
        </w:rPr>
        <w:t xml:space="preserve">يعد دعم الإدارة العليا عنصراً أساسياً لنجاح تبني الذكاء الاصطناعي، إذ يساهم في توفير الموارد المالية والبشرية، وتحديد الأولويات الاستراتيجية، وضمان التزام جميع المستويات التنظيمية بالتغيير الرقمي. يعزز حضور الإدارة العليا في قيادة المبادرات الرقمية من سرعة اتخاذ القرارات، وتجاوز مقاومة التغيير، ويضفي مصداقية على جهود التحول داخل المؤسسة. ومن منظور تحليلي، يبرز أن غياب هذا الدعم قد يؤدي إلى تباطؤ التبني أو عدم تكامل التطبيقات التقنية مع الأهداف الاستراتيجية، مما يقلل من فاعلية الذكاء الاصطناعي. </w:t>
      </w:r>
      <w:r w:rsidRPr="00BE5127">
        <w:rPr>
          <w:rFonts w:asciiTheme="majorBidi" w:hAnsiTheme="majorBidi" w:cstheme="majorBidi"/>
          <w:sz w:val="28"/>
          <w:szCs w:val="28"/>
        </w:rPr>
        <w:t>(Alajmi et al., 2023, p.1)</w:t>
      </w:r>
    </w:p>
    <w:p w14:paraId="4C4B0B85" w14:textId="77777777" w:rsidR="00BE5127" w:rsidRPr="00BE5127" w:rsidRDefault="00BE5127" w:rsidP="00BE5127">
      <w:pPr>
        <w:pStyle w:val="a3"/>
        <w:numPr>
          <w:ilvl w:val="0"/>
          <w:numId w:val="13"/>
        </w:numPr>
        <w:bidi/>
        <w:jc w:val="both"/>
        <w:rPr>
          <w:rFonts w:asciiTheme="majorBidi" w:hAnsiTheme="majorBidi" w:cstheme="majorBidi"/>
          <w:sz w:val="28"/>
          <w:szCs w:val="28"/>
        </w:rPr>
      </w:pPr>
      <w:r w:rsidRPr="00BE5127">
        <w:rPr>
          <w:rFonts w:asciiTheme="majorBidi" w:hAnsiTheme="majorBidi" w:cstheme="majorBidi"/>
          <w:b/>
          <w:bCs/>
          <w:sz w:val="28"/>
          <w:szCs w:val="28"/>
          <w:rtl/>
        </w:rPr>
        <w:t>تطوير المهارات الرقمية للموارد البشرية:</w:t>
      </w:r>
    </w:p>
    <w:p w14:paraId="7605C5A7" w14:textId="77777777" w:rsidR="00BE5127" w:rsidRPr="00BE5127" w:rsidRDefault="00BE5127" w:rsidP="00BE5127">
      <w:pPr>
        <w:pStyle w:val="a3"/>
        <w:bidi/>
        <w:jc w:val="both"/>
        <w:rPr>
          <w:rFonts w:asciiTheme="majorBidi" w:hAnsiTheme="majorBidi" w:cstheme="majorBidi"/>
          <w:sz w:val="28"/>
          <w:szCs w:val="28"/>
        </w:rPr>
      </w:pPr>
      <w:r w:rsidRPr="00BE5127">
        <w:rPr>
          <w:rFonts w:asciiTheme="majorBidi" w:hAnsiTheme="majorBidi" w:cstheme="majorBidi"/>
          <w:sz w:val="28"/>
          <w:szCs w:val="28"/>
          <w:rtl/>
        </w:rPr>
        <w:t xml:space="preserve">يمثل الاستثمار في تنمية المهارات الرقمية للموارد البشرية ركيزة أساسية لاستغلال قدرات الذكاء الاصطناعي بفاعلية. يشمل ذلك التدريب على أدوات تحليل البيانات، خوارزميات التعلم الآلي، وإدارة النماذج الذكية، بالإضافة إلى تعزيز مهارات التفكير النقدي واتخاذ القرار المستند إلى البيانات. ومن منظور تنفيذي، يظهر أن الكفاءات البشرية المؤهلة تضمن استمرارية العمليات وتحقيق نتائج دقيقة، كما تعزز قدرة المؤسسات على الابتكار والتكيف مع التطورات التقنية المتسارعة في السوق السعودي. </w:t>
      </w:r>
      <w:r w:rsidRPr="00BE5127">
        <w:rPr>
          <w:rFonts w:asciiTheme="majorBidi" w:hAnsiTheme="majorBidi" w:cstheme="majorBidi"/>
          <w:sz w:val="28"/>
          <w:szCs w:val="28"/>
        </w:rPr>
        <w:t xml:space="preserve">(Alasmri &amp; </w:t>
      </w:r>
      <w:proofErr w:type="spellStart"/>
      <w:r w:rsidRPr="00BE5127">
        <w:rPr>
          <w:rFonts w:asciiTheme="majorBidi" w:hAnsiTheme="majorBidi" w:cstheme="majorBidi"/>
          <w:sz w:val="28"/>
          <w:szCs w:val="28"/>
        </w:rPr>
        <w:t>Basahel</w:t>
      </w:r>
      <w:proofErr w:type="spellEnd"/>
      <w:r w:rsidRPr="00BE5127">
        <w:rPr>
          <w:rFonts w:asciiTheme="majorBidi" w:hAnsiTheme="majorBidi" w:cstheme="majorBidi"/>
          <w:sz w:val="28"/>
          <w:szCs w:val="28"/>
        </w:rPr>
        <w:t>, 2022, p.1)</w:t>
      </w:r>
    </w:p>
    <w:p w14:paraId="567C9DCA" w14:textId="77777777" w:rsidR="00BE5127" w:rsidRPr="00BE5127" w:rsidRDefault="00BE5127" w:rsidP="00BE5127">
      <w:pPr>
        <w:pStyle w:val="a3"/>
        <w:numPr>
          <w:ilvl w:val="0"/>
          <w:numId w:val="13"/>
        </w:numPr>
        <w:bidi/>
        <w:jc w:val="both"/>
        <w:rPr>
          <w:rFonts w:asciiTheme="majorBidi" w:hAnsiTheme="majorBidi" w:cstheme="majorBidi"/>
          <w:sz w:val="28"/>
          <w:szCs w:val="28"/>
        </w:rPr>
      </w:pPr>
      <w:r w:rsidRPr="00BE5127">
        <w:rPr>
          <w:rFonts w:asciiTheme="majorBidi" w:hAnsiTheme="majorBidi" w:cstheme="majorBidi"/>
          <w:b/>
          <w:bCs/>
          <w:sz w:val="28"/>
          <w:szCs w:val="28"/>
          <w:rtl/>
        </w:rPr>
        <w:t>جاهزية البنية التحتية التقنية</w:t>
      </w:r>
      <w:r w:rsidRPr="00BE5127">
        <w:rPr>
          <w:rFonts w:asciiTheme="majorBidi" w:hAnsiTheme="majorBidi" w:cstheme="majorBidi"/>
          <w:b/>
          <w:bCs/>
          <w:sz w:val="28"/>
          <w:szCs w:val="28"/>
        </w:rPr>
        <w:t>:</w:t>
      </w:r>
    </w:p>
    <w:p w14:paraId="05BE2D9F" w14:textId="77777777" w:rsidR="00BE5127" w:rsidRPr="00BE5127" w:rsidRDefault="00BE5127" w:rsidP="00BE5127">
      <w:pPr>
        <w:pStyle w:val="a3"/>
        <w:bidi/>
        <w:jc w:val="both"/>
        <w:rPr>
          <w:rFonts w:asciiTheme="majorBidi" w:hAnsiTheme="majorBidi" w:cstheme="majorBidi"/>
          <w:sz w:val="28"/>
          <w:szCs w:val="28"/>
        </w:rPr>
      </w:pPr>
      <w:r w:rsidRPr="00BE5127">
        <w:rPr>
          <w:rFonts w:asciiTheme="majorBidi" w:hAnsiTheme="majorBidi" w:cstheme="majorBidi"/>
          <w:sz w:val="28"/>
          <w:szCs w:val="28"/>
          <w:rtl/>
        </w:rPr>
        <w:lastRenderedPageBreak/>
        <w:t xml:space="preserve">تتطلب تطبيقات الذكاء الاصطناعي بنية تحتية رقمية متقدمة، تشمل أجهزة حاسوبية عالية الأداء، نظم تخزين متطورة، شبكات اتصالات سريعة وآمنة، وبرمجيات تحليلية متكاملة. ويعتبر هذا الجانب أساسيًا لضمان معالجة البيانات الضخمة بكفاءة ودعم اتخاذ القرارات الاستراتيجية في الوقت المناسب. ومن منظور تحليلي، فإن نقص جاهزية البنية التحتية يحد من قدرة المؤسسات على الاستفادة من الذكاء الاصطناعي، مما يفرض ضرورة الاستثمار المستمر في تحديث الأنظمة والبنية التقنية بما يتماشى مع حجم البيانات وتعقيد العمليات. </w:t>
      </w:r>
      <w:r w:rsidRPr="00BE5127">
        <w:rPr>
          <w:rFonts w:asciiTheme="majorBidi" w:hAnsiTheme="majorBidi" w:cstheme="majorBidi"/>
          <w:sz w:val="28"/>
          <w:szCs w:val="28"/>
        </w:rPr>
        <w:t>(Al-Baity, 2023, p.13725)</w:t>
      </w:r>
    </w:p>
    <w:p w14:paraId="6BE8DB11" w14:textId="77777777" w:rsidR="00BE5127" w:rsidRPr="00BE5127" w:rsidRDefault="00BE5127" w:rsidP="00BE5127">
      <w:pPr>
        <w:pStyle w:val="a3"/>
        <w:numPr>
          <w:ilvl w:val="0"/>
          <w:numId w:val="13"/>
        </w:numPr>
        <w:bidi/>
        <w:jc w:val="both"/>
        <w:rPr>
          <w:rFonts w:asciiTheme="majorBidi" w:hAnsiTheme="majorBidi" w:cstheme="majorBidi"/>
          <w:sz w:val="28"/>
          <w:szCs w:val="28"/>
        </w:rPr>
      </w:pPr>
      <w:r w:rsidRPr="00BE5127">
        <w:rPr>
          <w:rFonts w:asciiTheme="majorBidi" w:hAnsiTheme="majorBidi" w:cstheme="majorBidi"/>
          <w:b/>
          <w:bCs/>
          <w:sz w:val="28"/>
          <w:szCs w:val="28"/>
          <w:rtl/>
        </w:rPr>
        <w:t>وجود استراتيجية رقمية واضحة</w:t>
      </w:r>
      <w:r w:rsidRPr="00BE5127">
        <w:rPr>
          <w:rFonts w:asciiTheme="majorBidi" w:hAnsiTheme="majorBidi" w:cstheme="majorBidi"/>
          <w:b/>
          <w:bCs/>
          <w:sz w:val="28"/>
          <w:szCs w:val="28"/>
        </w:rPr>
        <w:t>:</w:t>
      </w:r>
    </w:p>
    <w:p w14:paraId="5F28FEC1" w14:textId="77777777" w:rsidR="00BE5127" w:rsidRPr="00BE5127" w:rsidRDefault="00BE5127" w:rsidP="00BE5127">
      <w:pPr>
        <w:pStyle w:val="a3"/>
        <w:bidi/>
        <w:jc w:val="both"/>
        <w:rPr>
          <w:rFonts w:asciiTheme="majorBidi" w:hAnsiTheme="majorBidi" w:cstheme="majorBidi"/>
          <w:sz w:val="28"/>
          <w:szCs w:val="28"/>
        </w:rPr>
      </w:pPr>
      <w:r w:rsidRPr="00BE5127">
        <w:rPr>
          <w:rFonts w:asciiTheme="majorBidi" w:hAnsiTheme="majorBidi" w:cstheme="majorBidi"/>
          <w:sz w:val="28"/>
          <w:szCs w:val="28"/>
          <w:rtl/>
        </w:rPr>
        <w:t xml:space="preserve">تتطلب فعالية تبني تقنيات الذكاء الاصطناعي توافر استراتيجية رقمية متكاملة، تُحدِّد بوضوح الأهداف المرجوة، وتُعيّن المجالات ذات الأولوية لتطبيق التقنيات الذكية، إلى جانب وضع مؤشرات أداء دقيقة لقياس النتائج. وتسهم هذه الاستراتيجية في تنظيم الجهود المؤسسية، وتوحيد معايير التنفيذ، وتعزيز القدرة على متابعة وتقييم أثر تطبيقات الذكاء الاصطناعي على الأداء العام. ومن منظور نقدي، يتضح أن غياب استراتيجية واضحة يقود إلى تنفيذ مبادرات متفرقة تفتقر إلى التكامل والتنسيق، مما يقلل من كفاءة الاستثمار في الذكاء الاصطناعي، ويحد من قدرة المؤسسات على تحقيق القيمة المضافة والأهداف الاستراتيجية المنشودة.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Aboalshamat</w:t>
      </w:r>
      <w:proofErr w:type="spellEnd"/>
      <w:r w:rsidRPr="00BE5127">
        <w:rPr>
          <w:rFonts w:asciiTheme="majorBidi" w:hAnsiTheme="majorBidi" w:cstheme="majorBidi"/>
          <w:sz w:val="28"/>
          <w:szCs w:val="28"/>
        </w:rPr>
        <w:t xml:space="preserve"> et al., 2022, p.52)</w:t>
      </w:r>
    </w:p>
    <w:p w14:paraId="42C21B63" w14:textId="77777777" w:rsidR="00BE5127" w:rsidRPr="00BE5127" w:rsidRDefault="00BE5127" w:rsidP="00BE5127">
      <w:pPr>
        <w:pStyle w:val="a3"/>
        <w:numPr>
          <w:ilvl w:val="0"/>
          <w:numId w:val="13"/>
        </w:numPr>
        <w:bidi/>
        <w:jc w:val="both"/>
        <w:rPr>
          <w:rFonts w:asciiTheme="majorBidi" w:hAnsiTheme="majorBidi" w:cstheme="majorBidi"/>
          <w:sz w:val="28"/>
          <w:szCs w:val="28"/>
        </w:rPr>
      </w:pPr>
      <w:r w:rsidRPr="00BE5127">
        <w:rPr>
          <w:rFonts w:asciiTheme="majorBidi" w:hAnsiTheme="majorBidi" w:cstheme="majorBidi"/>
          <w:b/>
          <w:bCs/>
          <w:sz w:val="28"/>
          <w:szCs w:val="28"/>
          <w:rtl/>
        </w:rPr>
        <w:t>إدارة التغيير التنظيمي</w:t>
      </w:r>
      <w:r w:rsidRPr="00BE5127">
        <w:rPr>
          <w:rFonts w:asciiTheme="majorBidi" w:hAnsiTheme="majorBidi" w:cstheme="majorBidi"/>
          <w:b/>
          <w:bCs/>
          <w:sz w:val="28"/>
          <w:szCs w:val="28"/>
        </w:rPr>
        <w:t>:</w:t>
      </w:r>
    </w:p>
    <w:p w14:paraId="2BA186AC" w14:textId="77777777" w:rsidR="00BE5127" w:rsidRPr="00BE5127" w:rsidRDefault="00BE5127" w:rsidP="00BE5127">
      <w:pPr>
        <w:pStyle w:val="a3"/>
        <w:bidi/>
        <w:jc w:val="both"/>
        <w:rPr>
          <w:rFonts w:asciiTheme="majorBidi" w:hAnsiTheme="majorBidi" w:cstheme="majorBidi"/>
          <w:sz w:val="28"/>
          <w:szCs w:val="28"/>
          <w:rtl/>
        </w:rPr>
      </w:pPr>
      <w:r w:rsidRPr="00BE5127">
        <w:rPr>
          <w:rFonts w:asciiTheme="majorBidi" w:hAnsiTheme="majorBidi" w:cstheme="majorBidi"/>
          <w:sz w:val="28"/>
          <w:szCs w:val="28"/>
          <w:rtl/>
        </w:rPr>
        <w:t xml:space="preserve">تعد إدارة التغيير التنظيمي عنصرًا جوهريًا لضمان نجاح تبني الذكاء الاصطناعي، حيث تشمل تحفيز الموظفين، معالجة مقاومة التغيير، وضمان تواصل فعال بين جميع مستويات المؤسسة. كما تركز على دمج الابتكار الرقمي في الثقافة المؤسسية وتعزيز التعاون بين الفرق التقنية والإدارية. ومن منظور تنفيذي، يظهر أن إدارة التغيير المنظمة تسهم في تسريع تبني الذكاء الاصطناعي وتحقيق تأثيره الإيجابي على الأداء الاستراتيجي، مع الحفاظ على التوازن بين التكنولوجيا والموارد البشرية. </w:t>
      </w:r>
      <w:r w:rsidRPr="00BE5127">
        <w:rPr>
          <w:rFonts w:asciiTheme="majorBidi" w:hAnsiTheme="majorBidi" w:cstheme="majorBidi"/>
          <w:sz w:val="28"/>
          <w:szCs w:val="28"/>
        </w:rPr>
        <w:t>(Alharbi, 2024, p.113)</w:t>
      </w:r>
    </w:p>
    <w:p w14:paraId="6EB848ED" w14:textId="77777777" w:rsidR="00BE5127" w:rsidRPr="00BE5127" w:rsidRDefault="00BE5127" w:rsidP="00BE5127">
      <w:pPr>
        <w:pStyle w:val="a3"/>
        <w:bidi/>
        <w:ind w:firstLine="720"/>
        <w:jc w:val="both"/>
        <w:rPr>
          <w:rFonts w:asciiTheme="majorBidi" w:hAnsiTheme="majorBidi" w:cstheme="majorBidi"/>
          <w:sz w:val="28"/>
          <w:szCs w:val="28"/>
          <w:rtl/>
        </w:rPr>
      </w:pPr>
      <w:r w:rsidRPr="00BE5127">
        <w:rPr>
          <w:rFonts w:asciiTheme="majorBidi" w:hAnsiTheme="majorBidi" w:cstheme="majorBidi"/>
          <w:sz w:val="28"/>
          <w:szCs w:val="28"/>
          <w:rtl/>
        </w:rPr>
        <w:t>مما سبق يتضح أن نجاح تبني تقنيات الذكاء الاصطناعي في المنظمات يعتمد على مجموعة مترابطة من العوامل، تشمل دعم الإدارة العليا، تطوير المهارات الرقمية للموارد البشرية، جاهزية البنية التحتية التقنية، وجود استراتيجية رقمية واضحة، وإدارة التغيير التنظيمي. ويبرز من التحليل أن دمج هذه العناصر ضمن خطة متكاملة يضمن استدامة الأداء، تحقيق الفاعلية الاستراتيجية، وتعزيز القدرة التنافسية للمؤسسات، بما يعكس التزامها بالتحول الرقمي وفق رؤية المملكة 2030، مع الحفاظ على التوازن بين التكنولوجيا والكفاءات البشرية لضمان نتائج مستدامة وموثوقة.</w:t>
      </w:r>
    </w:p>
    <w:p w14:paraId="2ED2A123" w14:textId="77777777" w:rsidR="00BE5127" w:rsidRPr="00BE5127" w:rsidRDefault="00BE5127" w:rsidP="00BE5127">
      <w:pPr>
        <w:bidi/>
        <w:jc w:val="center"/>
        <w:rPr>
          <w:rFonts w:asciiTheme="majorBidi" w:hAnsiTheme="majorBidi" w:cstheme="majorBidi"/>
          <w:b/>
          <w:bCs/>
          <w:sz w:val="32"/>
          <w:szCs w:val="32"/>
          <w:rtl/>
          <w:lang w:bidi="ar-EG"/>
        </w:rPr>
      </w:pPr>
      <w:r w:rsidRPr="00BE5127">
        <w:rPr>
          <w:rFonts w:asciiTheme="majorBidi" w:hAnsiTheme="majorBidi" w:cstheme="majorBidi"/>
          <w:b/>
          <w:bCs/>
          <w:sz w:val="32"/>
          <w:szCs w:val="32"/>
          <w:rtl/>
          <w:lang w:bidi="ar-EG"/>
        </w:rPr>
        <w:t>المبحث الثاني: فاعلية القرارات الاستراتيجية</w:t>
      </w:r>
    </w:p>
    <w:p w14:paraId="617C8B10" w14:textId="77777777" w:rsidR="00BE5127" w:rsidRPr="00BE5127" w:rsidRDefault="00BE5127" w:rsidP="00BE5127">
      <w:pPr>
        <w:bidi/>
        <w:rPr>
          <w:rFonts w:asciiTheme="majorBidi" w:hAnsiTheme="majorBidi" w:cstheme="majorBidi"/>
          <w:b/>
          <w:bCs/>
          <w:sz w:val="28"/>
          <w:szCs w:val="28"/>
          <w:rtl/>
          <w:lang w:bidi="ar-EG"/>
        </w:rPr>
      </w:pPr>
      <w:r w:rsidRPr="00BE5127">
        <w:rPr>
          <w:rFonts w:asciiTheme="majorBidi" w:hAnsiTheme="majorBidi" w:cstheme="majorBidi"/>
          <w:b/>
          <w:bCs/>
          <w:sz w:val="28"/>
          <w:szCs w:val="28"/>
          <w:rtl/>
        </w:rPr>
        <w:t>الإطار المفاهيمي لفاعلية القرار الاستراتيجي</w:t>
      </w:r>
      <w:r w:rsidRPr="00BE5127">
        <w:rPr>
          <w:rFonts w:asciiTheme="majorBidi" w:hAnsiTheme="majorBidi" w:cstheme="majorBidi"/>
          <w:b/>
          <w:bCs/>
          <w:sz w:val="28"/>
          <w:szCs w:val="28"/>
          <w:rtl/>
          <w:lang w:bidi="ar-EG"/>
        </w:rPr>
        <w:t>:</w:t>
      </w:r>
    </w:p>
    <w:p w14:paraId="01EFCC5E"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 xml:space="preserve">تعتبر القرارات الاستراتيجية حجر الزاوية في عملية الإدارة الحديثة، إذ تمثل الاختيارات طويلة الأجل التي تحدد اتجاه المؤسسة وتؤثر على قدرتها التنافسية واستدامتها. تُعرف القرارات الاستراتيجية بأنها تلك القرارات التي تتسم بالتعقيد، وغالبًا ما تتطلب تخصيص موارد كبيرة، كما أنها </w:t>
      </w:r>
      <w:r w:rsidRPr="00BE5127">
        <w:rPr>
          <w:rFonts w:asciiTheme="majorBidi" w:hAnsiTheme="majorBidi" w:cstheme="majorBidi"/>
          <w:sz w:val="28"/>
          <w:szCs w:val="28"/>
          <w:rtl/>
        </w:rPr>
        <w:lastRenderedPageBreak/>
        <w:t xml:space="preserve">تحدد المسار المستقبلي للمؤسسة وتربط بين الأهداف التنظيمية والبيئة الخارجية. تختلف القرارات الاستراتيجية عن القرارات التشغيلية والتكتيكية من حيث نطاق التأثير، إذ تركز التشغيلية على العمليات اليومية والتفاصيل التنفيذية، بينما تغطي </w:t>
      </w:r>
      <w:proofErr w:type="spellStart"/>
      <w:r w:rsidRPr="00BE5127">
        <w:rPr>
          <w:rFonts w:asciiTheme="majorBidi" w:hAnsiTheme="majorBidi" w:cstheme="majorBidi"/>
          <w:sz w:val="28"/>
          <w:szCs w:val="28"/>
          <w:rtl/>
        </w:rPr>
        <w:t>التكستيكية</w:t>
      </w:r>
      <w:proofErr w:type="spellEnd"/>
      <w:r w:rsidRPr="00BE5127">
        <w:rPr>
          <w:rFonts w:asciiTheme="majorBidi" w:hAnsiTheme="majorBidi" w:cstheme="majorBidi"/>
          <w:sz w:val="28"/>
          <w:szCs w:val="28"/>
          <w:rtl/>
        </w:rPr>
        <w:t xml:space="preserve"> الأطر الوسيطة التي تربط بين الاستراتيجية والتنفيذ. ويظهر من التحليل أن فاعلية هذه القرارات تعتمد بشكل أساسي على وضوح الرؤية، دقة المعلومات، وقدرة القيادات على التنبؤ بالمتغيرات الداخلية والخارجية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(Ghonim et al., 2022, p. 1)</w:t>
      </w:r>
    </w:p>
    <w:p w14:paraId="677FE6AC"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تتسم القرارات الاستراتيجية بعدة خصائص رئيسية تميزها عن غيرها من أنواع القرارات. أولها نطاق التأثير الواسع، إذ تشمل جميع مستويات المؤسسة وقد تمتد آثارها إلى السوق والمنافسين والمستهلكين. ثانيًا، عدم اليقين المصاحب للقرار، حيث تتعامل القيادة مع بيئة ديناميكية مليئة بالمخاطر والفرص غير المتوقعة، مما يتطلب قدرة تحليلية عالية واستعدادًا للتكيف مع السيناريوهات المختلفة. ثالثًا، الالتزام الطويل الأجل، إذ غالبًا ما يكون للقرار الاستراتيجي تداعيات مستمرة تتطلب متابعة وتقييم مستمر لضمان تحقيق النتائج المرجوة. رابعًا، التعقيد في المعلومات المستخدمة، إذ تحتاج القرارات الاستراتيجية إلى دمج معلومات داخلية وخارجية متعددة المصادر، بما في ذلك البيانات المالية، الاتجاهات السوقية، والتغيرات التنظيمية والسياسية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Vudugula</w:t>
      </w:r>
      <w:proofErr w:type="spellEnd"/>
      <w:r w:rsidRPr="00BE5127">
        <w:rPr>
          <w:rFonts w:asciiTheme="majorBidi" w:hAnsiTheme="majorBidi" w:cstheme="majorBidi"/>
          <w:sz w:val="28"/>
          <w:szCs w:val="28"/>
        </w:rPr>
        <w:t xml:space="preserve"> et al., 2023, p. 1)</w:t>
      </w:r>
    </w:p>
    <w:p w14:paraId="30C13AFD"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تنبع أهمية القرارات الاستراتيجية من دورها في تحقيق فاعلية الإدارة على المستوى الكلي، حيث تحدد هذه القرارات أولويات المؤسسة وتوجه الموارد نحو تحقيق الأهداف الأكثر تأثيرًا. ويمكن القول إن الفاعلية هنا ليست مجرد تنفيذ القرار بحد ذاته، بل قياس النتائج المتحققة مقارنة بالأهداف المرجوة ومدى قدرة القرار على تعزيز الميزة التنافسية. من هذا المنظور، تبرز العلاقة بين جودة القرار الاستراتيجي وأداء المؤسسة في المدى الطويل، إذ تؤدي القرارات المتوازنة والمدروسة إلى تحسين الكفاءة، تعزيز الابتكار، وتحقيق الاستدامة المؤسسية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(Csaszar et al., 2024, p. 322)</w:t>
      </w:r>
    </w:p>
    <w:p w14:paraId="0000D8FA"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عند دراسة الفروق بين القرارات الاستراتيجية والتشغيلية، يتضح أن الأخيرة تتعلق بتنفيذ الأنشطة اليومية وتطبيق السياسات القائمة، بينما ترتبط القرارات الاستراتيجية بتحديد الاتجاه العام للمؤسسة ووضع الإطار الذي تحكمه الأهداف الكبرى. على سبيل المثال، في قطاع الصناعات الغذائية بالمملكة العربية السعودية، قد يشمل القرار الاستراتيجي اعتماد تقنيات الذكاء الاصطناعي لتعزيز الإنتاجية والتنبؤ بالطلب، بينما القرارات التشغيلية تتعلق بإدارة خطوط الإنتاج اليومية وضمان جودة المنتجات. وتوضح هذه الأمثلة أن القرارات الاستراتيجية تتطلب منظورًا شاملًا يجمع بين التحليل الرقمي والمعرفة التنظيمية والخبرة التنفيذية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Sinnaiah</w:t>
      </w:r>
      <w:proofErr w:type="spellEnd"/>
      <w:r w:rsidRPr="00BE5127">
        <w:rPr>
          <w:rFonts w:asciiTheme="majorBidi" w:hAnsiTheme="majorBidi" w:cstheme="majorBidi"/>
          <w:sz w:val="28"/>
          <w:szCs w:val="28"/>
        </w:rPr>
        <w:t xml:space="preserve"> &amp; Adam, 2023, p. 37)</w:t>
      </w:r>
    </w:p>
    <w:p w14:paraId="3B9092DD"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تتأثر فاعلية القرارات الاستراتيجية بعدة عوامل رئيسية، أبرزها جودة المعلومات المتاحة. تعتمد القيادة التنفيذية على بيانات دقيقة ومحدثة لدعم اتخاذ القرار، ويصبح تحليل البيانات الضخمة والأدوات التنبؤية جزءًا لا يتجزأ من العملية الاستراتيجية، خاصة في بيئة سريعة التغير مثل السوق السعودي. كما تلعب الثقافة التنظيمية دورًا حيويًا، حيث تؤثر المرونة والقدرة على التعلم المؤسسي على مدى نجاح تنفيذ القرارات، بينما قد تؤدي الثقافة التقليدية أو المقاومة الداخلية إلى تقليل فعالية القرارات أو تأخير تطبيقها</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(Eberhard, 2023, p. 167)</w:t>
      </w:r>
    </w:p>
    <w:p w14:paraId="345EE9ED"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 xml:space="preserve">من منظور تحليلي، يمثل التفكير النقدي والاستباقي عناصر أساسية لضمان فاعلية القرارات الاستراتيجية. إذ يتطلب صياغة القرار تقييم السيناريوهات المختلفة، تحديد المخاطر المحتملة، ووضع </w:t>
      </w:r>
      <w:r w:rsidRPr="00BE5127">
        <w:rPr>
          <w:rFonts w:asciiTheme="majorBidi" w:hAnsiTheme="majorBidi" w:cstheme="majorBidi"/>
          <w:sz w:val="28"/>
          <w:szCs w:val="28"/>
          <w:rtl/>
        </w:rPr>
        <w:lastRenderedPageBreak/>
        <w:t>آليات للمتابعة والتقييم المستمر. كما يشمل ذلك دمج الخبرة البشرية مع التحليلات الرقمية لتجنب التحيزات الناتجة عن الاعتماد الكامل على النماذج الذكية. في هذا الإطار، يمكن القول إن القرارات الاستراتيجية الفعالة هي تلك التي تحقق التوازن بين الدقة التحليلية، القدرة على التكيف مع المتغيرات، واستثمار الموارد بشكل أمثل لدعم الأهداف المؤسسية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(Rajagopal et al., 2022, p. 1)</w:t>
      </w:r>
    </w:p>
    <w:p w14:paraId="3840EEDB"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علاوة على ذلك، يرتبط نجاح القرارات الاستراتيجية بالحوكمة المؤسسية وآليات المساءلة، إذ تساهم الهياكل التنظيمية الواضحة في ضمان تنفيذ القرارات وفق معايير دقيقة وتقييم نتائجها بشكل دوري. ويؤكد البحث التنفيذي أن القرارات التي تصاغ ضمن إطار حوكمة صارم تحقق قدرة أعلى على تحقيق الأهداف الاستراتيجية، وتقلل من المخاطر المرتبطة بالقرارات المتسرعة أو غير المدروسة، بما يعكس مستوى النضج المؤسسي في تبني التفكير الاستراتيجي</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(Adesina et al., 2024, p. 1927)</w:t>
      </w:r>
    </w:p>
    <w:p w14:paraId="2E182585"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مما سبق يتضح أن القرارات الاستراتيجية تمثل أداة محورية لضمان فاعلية الإدارة وتوجيه الموارد نحو تحقيق الأهداف الطويلة الأجل. تعتمد هذه الفاعلية على وضوح الرؤية، جودة المعلومات، تكامل الخبرة البشرية مع التحليل الرقمي، ووجود آليات حوكمة ومتابعة مستمرة. كما أن القرارات الاستراتيجية ليست مجرد إجراءات تنفيذية، بل هي اختيارات حاسمة تعكس قدرة المؤسسة على التكيف مع التغيرات البيئية، استثمار الفرص، وتقليل المخاطر، بما يعزز القدرة التنافسية واستدامة الأداء المؤسسي على المدى الطويل</w:t>
      </w:r>
      <w:r w:rsidRPr="00BE5127">
        <w:rPr>
          <w:rFonts w:asciiTheme="majorBidi" w:hAnsiTheme="majorBidi" w:cstheme="majorBidi"/>
          <w:sz w:val="28"/>
          <w:szCs w:val="28"/>
          <w:rtl/>
          <w:lang w:bidi="ar-EG"/>
        </w:rPr>
        <w:t>.</w:t>
      </w:r>
    </w:p>
    <w:p w14:paraId="6F64309C" w14:textId="77777777" w:rsidR="00BE5127" w:rsidRPr="00BE5127" w:rsidRDefault="00BE5127" w:rsidP="00BE5127">
      <w:pPr>
        <w:bidi/>
        <w:jc w:val="both"/>
        <w:rPr>
          <w:rFonts w:asciiTheme="majorBidi" w:hAnsiTheme="majorBidi" w:cstheme="majorBidi"/>
          <w:sz w:val="28"/>
          <w:szCs w:val="28"/>
          <w:rtl/>
          <w:lang w:bidi="ar-EG"/>
        </w:rPr>
      </w:pPr>
      <w:r w:rsidRPr="00BE5127">
        <w:rPr>
          <w:rFonts w:asciiTheme="majorBidi" w:hAnsiTheme="majorBidi" w:cstheme="majorBidi"/>
          <w:b/>
          <w:bCs/>
          <w:sz w:val="28"/>
          <w:szCs w:val="28"/>
          <w:rtl/>
        </w:rPr>
        <w:t>عوامل تؤثر على فاعلية القرارات الاستراتيجية</w:t>
      </w:r>
      <w:r w:rsidRPr="00BE5127">
        <w:rPr>
          <w:rFonts w:asciiTheme="majorBidi" w:hAnsiTheme="majorBidi" w:cstheme="majorBidi"/>
          <w:b/>
          <w:bCs/>
          <w:sz w:val="28"/>
          <w:szCs w:val="28"/>
          <w:lang w:bidi="ar-EG"/>
        </w:rPr>
        <w:t>:</w:t>
      </w:r>
    </w:p>
    <w:p w14:paraId="71A9D3F2" w14:textId="77777777" w:rsidR="00BE5127" w:rsidRPr="00BE5127" w:rsidRDefault="00BE5127" w:rsidP="00BE5127">
      <w:pPr>
        <w:bidi/>
        <w:ind w:firstLine="720"/>
        <w:jc w:val="both"/>
        <w:rPr>
          <w:rFonts w:asciiTheme="majorBidi" w:hAnsiTheme="majorBidi" w:cstheme="majorBidi"/>
          <w:sz w:val="28"/>
          <w:szCs w:val="28"/>
        </w:rPr>
      </w:pPr>
      <w:r w:rsidRPr="00BE5127">
        <w:rPr>
          <w:rFonts w:asciiTheme="majorBidi" w:hAnsiTheme="majorBidi" w:cstheme="majorBidi"/>
          <w:sz w:val="28"/>
          <w:szCs w:val="28"/>
          <w:rtl/>
        </w:rPr>
        <w:t>تتأثر فاعلية القرارات الاستراتيجية بعدة عوامل متشابكة تتجاوز مجرد توفر البيانات أو الخبرة، لتشمل أبعادًا داخلية تتعلق بالمنظمة نفسها، وأخرى خارجية مرتبطة بالبيئة المحيطة. في سياق المؤسسات السعودية، خصوصًا في قطاع الصناعات الغذائية، تلعب هذه العوامل دورًا بالغ الأهمية في تحديد مدى نجاح القرارات الاستراتيجية في تحقيق الأهداف طويلة الأجل والمساهمة في استدامة الأداء المؤسسي. إن دراسة هذه العوامل بشكل دقيق يتيح للمؤسسات تطوير آليات فعالة لتعظيم نتائج قراراتها الاستراتيجية وتقليل المخاطر المرتبطة بها</w:t>
      </w:r>
      <w:r w:rsidRPr="00BE5127">
        <w:rPr>
          <w:rFonts w:asciiTheme="majorBidi" w:hAnsiTheme="majorBidi" w:cstheme="majorBidi"/>
          <w:sz w:val="28"/>
          <w:szCs w:val="28"/>
        </w:rPr>
        <w:t>.</w:t>
      </w:r>
      <w:r w:rsidRPr="00BE5127">
        <w:rPr>
          <w:rFonts w:asciiTheme="majorBidi" w:hAnsiTheme="majorBidi" w:cstheme="majorBidi"/>
          <w:sz w:val="28"/>
          <w:szCs w:val="28"/>
          <w:rtl/>
        </w:rPr>
        <w:t xml:space="preserve"> </w:t>
      </w:r>
      <w:r w:rsidRPr="00BE5127">
        <w:rPr>
          <w:rFonts w:asciiTheme="majorBidi" w:hAnsiTheme="majorBidi" w:cstheme="majorBidi"/>
          <w:sz w:val="28"/>
          <w:szCs w:val="28"/>
        </w:rPr>
        <w:t>(Meakin, 2022, p. 1)</w:t>
      </w:r>
    </w:p>
    <w:p w14:paraId="1B34CDBF" w14:textId="77777777" w:rsidR="00BE5127" w:rsidRPr="00BE5127" w:rsidRDefault="00BE5127" w:rsidP="00BE5127">
      <w:pPr>
        <w:pStyle w:val="a3"/>
        <w:numPr>
          <w:ilvl w:val="0"/>
          <w:numId w:val="14"/>
        </w:numPr>
        <w:bidi/>
        <w:jc w:val="both"/>
        <w:rPr>
          <w:rFonts w:asciiTheme="majorBidi" w:hAnsiTheme="majorBidi" w:cstheme="majorBidi"/>
          <w:sz w:val="28"/>
          <w:szCs w:val="28"/>
        </w:rPr>
      </w:pPr>
      <w:r w:rsidRPr="00BE5127">
        <w:rPr>
          <w:rFonts w:asciiTheme="majorBidi" w:hAnsiTheme="majorBidi" w:cstheme="majorBidi"/>
          <w:b/>
          <w:bCs/>
          <w:sz w:val="28"/>
          <w:szCs w:val="28"/>
          <w:rtl/>
        </w:rPr>
        <w:t>العوامل الداخلية:</w:t>
      </w:r>
    </w:p>
    <w:p w14:paraId="53C5E257" w14:textId="77777777" w:rsidR="00BE5127" w:rsidRPr="00BE5127" w:rsidRDefault="00BE5127" w:rsidP="00BE5127">
      <w:pPr>
        <w:pStyle w:val="a3"/>
        <w:bidi/>
        <w:jc w:val="both"/>
        <w:rPr>
          <w:rFonts w:asciiTheme="majorBidi" w:hAnsiTheme="majorBidi" w:cstheme="majorBidi"/>
          <w:sz w:val="28"/>
          <w:szCs w:val="28"/>
        </w:rPr>
      </w:pPr>
      <w:r w:rsidRPr="00BE5127">
        <w:rPr>
          <w:rFonts w:asciiTheme="majorBidi" w:hAnsiTheme="majorBidi" w:cstheme="majorBidi"/>
          <w:sz w:val="28"/>
          <w:szCs w:val="28"/>
          <w:rtl/>
        </w:rPr>
        <w:t xml:space="preserve">تشمل العوامل الداخلية عناصر مثل الثقافة التنظيمية، البنية المؤسسية، ونظم الحوكمة الداخلية. الثقافة التنظيمية تحدد درجة تقبل المؤسسة للتغيير، مدى مرونة الموظفين في تبني الابتكار، واستعداد الفرق التنفيذية لاتخاذ قرارات جريئة. تظهر التجربة العملية أن المؤسسات التي تتمتع بثقافة تنظيمية داعمة للابتكار والتحليل الاستراتيجي تحقق فاعلية أعلى في قراراتها، مقارنة بالمنظمات المحافظة التي تفضل الأساليب التقليدية. أما البنية المؤسسية، فتؤثر على توزيع السلطات والمسؤوليات، وتحديد خطوط الاتصال واتخاذ القرار، حيث تسهم الهياكل الواضحة والمرنة في تسريع عملية اتخاذ القرار وتحسين جودته. </w:t>
      </w:r>
      <w:r w:rsidRPr="00BE5127">
        <w:rPr>
          <w:rFonts w:asciiTheme="majorBidi" w:hAnsiTheme="majorBidi" w:cstheme="majorBidi"/>
          <w:sz w:val="28"/>
          <w:szCs w:val="28"/>
        </w:rPr>
        <w:t>(Rijal, 2023, p. 84)</w:t>
      </w:r>
    </w:p>
    <w:p w14:paraId="69890828" w14:textId="77777777" w:rsidR="00BE5127" w:rsidRPr="00BE5127" w:rsidRDefault="00BE5127" w:rsidP="00BE5127">
      <w:pPr>
        <w:pStyle w:val="a3"/>
        <w:numPr>
          <w:ilvl w:val="0"/>
          <w:numId w:val="14"/>
        </w:numPr>
        <w:bidi/>
        <w:jc w:val="both"/>
        <w:rPr>
          <w:rFonts w:asciiTheme="majorBidi" w:hAnsiTheme="majorBidi" w:cstheme="majorBidi"/>
          <w:sz w:val="28"/>
          <w:szCs w:val="28"/>
        </w:rPr>
      </w:pPr>
      <w:r w:rsidRPr="00BE5127">
        <w:rPr>
          <w:rFonts w:asciiTheme="majorBidi" w:hAnsiTheme="majorBidi" w:cstheme="majorBidi"/>
          <w:b/>
          <w:bCs/>
          <w:sz w:val="28"/>
          <w:szCs w:val="28"/>
          <w:rtl/>
        </w:rPr>
        <w:t>العوامل المرتبطة بالقيادة:</w:t>
      </w:r>
    </w:p>
    <w:p w14:paraId="490ADD98" w14:textId="77777777" w:rsidR="00BE5127" w:rsidRPr="00BE5127" w:rsidRDefault="00BE5127" w:rsidP="00BE5127">
      <w:pPr>
        <w:pStyle w:val="a3"/>
        <w:bidi/>
        <w:jc w:val="both"/>
        <w:rPr>
          <w:rFonts w:asciiTheme="majorBidi" w:hAnsiTheme="majorBidi" w:cstheme="majorBidi"/>
          <w:sz w:val="28"/>
          <w:szCs w:val="28"/>
        </w:rPr>
      </w:pPr>
      <w:r w:rsidRPr="00BE5127">
        <w:rPr>
          <w:rFonts w:asciiTheme="majorBidi" w:hAnsiTheme="majorBidi" w:cstheme="majorBidi"/>
          <w:sz w:val="28"/>
          <w:szCs w:val="28"/>
          <w:rtl/>
        </w:rPr>
        <w:t xml:space="preserve">تلعب القيادة التنفيذية دورًا محوريًا في توجيه القرارات الاستراتيجية، إذ تحدد أسلوب التقييم، مستوى المخاطرة المقبول، ودرجة مشاركة الموظفين في عملية اتخاذ القرار. تشير الدراسات إلى أن القادة الذين يجمعون بين الرؤية الاستراتيجية والقدرة على التحليل النقدي يحققون </w:t>
      </w:r>
      <w:r w:rsidRPr="00BE5127">
        <w:rPr>
          <w:rFonts w:asciiTheme="majorBidi" w:hAnsiTheme="majorBidi" w:cstheme="majorBidi"/>
          <w:sz w:val="28"/>
          <w:szCs w:val="28"/>
          <w:rtl/>
        </w:rPr>
        <w:lastRenderedPageBreak/>
        <w:t xml:space="preserve">قرارات أكثر فاعلية، ويستطيعون تكييف خططهم بما يتناسب مع التغيرات الاقتصادية والتنافسية. ومن منظور تنفيذي، يعزز إشراك القيادة في تحليل البيانات وتفسير النتائج من جودة القرارات ويقلل من احتمالية التحيز أو اتخاذ خيارات غير مدروسة. </w:t>
      </w:r>
      <w:r w:rsidRPr="00BE5127">
        <w:rPr>
          <w:rFonts w:asciiTheme="majorBidi" w:hAnsiTheme="majorBidi" w:cstheme="majorBidi"/>
          <w:sz w:val="28"/>
          <w:szCs w:val="28"/>
        </w:rPr>
        <w:t>(Al-</w:t>
      </w:r>
      <w:proofErr w:type="spellStart"/>
      <w:r w:rsidRPr="00BE5127">
        <w:rPr>
          <w:rFonts w:asciiTheme="majorBidi" w:hAnsiTheme="majorBidi" w:cstheme="majorBidi"/>
          <w:sz w:val="28"/>
          <w:szCs w:val="28"/>
        </w:rPr>
        <w:t>Surmi</w:t>
      </w:r>
      <w:proofErr w:type="spellEnd"/>
      <w:r w:rsidRPr="00BE5127">
        <w:rPr>
          <w:rFonts w:asciiTheme="majorBidi" w:hAnsiTheme="majorBidi" w:cstheme="majorBidi"/>
          <w:sz w:val="28"/>
          <w:szCs w:val="28"/>
        </w:rPr>
        <w:t xml:space="preserve"> et al., 2022, p. 4464)</w:t>
      </w:r>
    </w:p>
    <w:p w14:paraId="40E3DBBF" w14:textId="77777777" w:rsidR="00BE5127" w:rsidRPr="00BE5127" w:rsidRDefault="00BE5127" w:rsidP="00BE5127">
      <w:pPr>
        <w:pStyle w:val="a3"/>
        <w:numPr>
          <w:ilvl w:val="0"/>
          <w:numId w:val="14"/>
        </w:numPr>
        <w:bidi/>
        <w:jc w:val="both"/>
        <w:rPr>
          <w:rFonts w:asciiTheme="majorBidi" w:hAnsiTheme="majorBidi" w:cstheme="majorBidi"/>
          <w:sz w:val="28"/>
          <w:szCs w:val="28"/>
        </w:rPr>
      </w:pPr>
      <w:r w:rsidRPr="00BE5127">
        <w:rPr>
          <w:rFonts w:asciiTheme="majorBidi" w:hAnsiTheme="majorBidi" w:cstheme="majorBidi"/>
          <w:b/>
          <w:bCs/>
          <w:sz w:val="28"/>
          <w:szCs w:val="28"/>
          <w:rtl/>
        </w:rPr>
        <w:t>العوامل الخارجية</w:t>
      </w:r>
      <w:r w:rsidRPr="00BE5127">
        <w:rPr>
          <w:rFonts w:asciiTheme="majorBidi" w:hAnsiTheme="majorBidi" w:cstheme="majorBidi"/>
          <w:b/>
          <w:bCs/>
          <w:sz w:val="28"/>
          <w:szCs w:val="28"/>
        </w:rPr>
        <w:t>:</w:t>
      </w:r>
    </w:p>
    <w:p w14:paraId="00720BD4" w14:textId="77777777" w:rsidR="00BE5127" w:rsidRPr="00BE5127" w:rsidRDefault="00BE5127" w:rsidP="00BE5127">
      <w:pPr>
        <w:pStyle w:val="a3"/>
        <w:bidi/>
        <w:jc w:val="both"/>
        <w:rPr>
          <w:rFonts w:asciiTheme="majorBidi" w:hAnsiTheme="majorBidi" w:cstheme="majorBidi"/>
          <w:sz w:val="28"/>
          <w:szCs w:val="28"/>
        </w:rPr>
      </w:pPr>
      <w:r w:rsidRPr="00BE5127">
        <w:rPr>
          <w:rFonts w:asciiTheme="majorBidi" w:hAnsiTheme="majorBidi" w:cstheme="majorBidi"/>
          <w:sz w:val="28"/>
          <w:szCs w:val="28"/>
          <w:rtl/>
        </w:rPr>
        <w:t xml:space="preserve">تمثل البيئة الاقتصادية، التنظيمية، والتنافسية من أبرز العوامل الخارجية التي تؤثر على فاعلية القرارات. يتعين على المؤسسات أخذ تقلبات السوق، معدلات الطلب، تكاليف الإنتاج، والتشريعات المحلية في الاعتبار عند صياغة القرارات الاستراتيجية. في المملكة العربية السعودية، على سبيل المثال، تتطلب رؤية 2030 من الشركات الالتزام بمعايير التحول الرقمي والاستدامة، مما يجعل القرارات الاستراتيجية أكثر تعقيدًا وتتطلب مراعاة التغيرات السياسية والاجتماعية والتكنولوجية. كما أن المنافسة الشديدة في قطاع الصناعات الغذائية تحتم على المؤسسات اتخاذ قرارات مرنة وسريعة الاستجابة للحفاظ على حصتها السوقية. </w:t>
      </w:r>
      <w:r w:rsidRPr="00BE5127">
        <w:rPr>
          <w:rFonts w:asciiTheme="majorBidi" w:hAnsiTheme="majorBidi" w:cstheme="majorBidi"/>
          <w:sz w:val="28"/>
          <w:szCs w:val="28"/>
        </w:rPr>
        <w:t>(Adeniran et al., 2024, p. 1517)</w:t>
      </w:r>
    </w:p>
    <w:p w14:paraId="323C6489" w14:textId="77777777" w:rsidR="00BE5127" w:rsidRPr="00BE5127" w:rsidRDefault="00BE5127" w:rsidP="00BE5127">
      <w:pPr>
        <w:pStyle w:val="a3"/>
        <w:numPr>
          <w:ilvl w:val="0"/>
          <w:numId w:val="14"/>
        </w:numPr>
        <w:bidi/>
        <w:jc w:val="both"/>
        <w:rPr>
          <w:rFonts w:asciiTheme="majorBidi" w:hAnsiTheme="majorBidi" w:cstheme="majorBidi"/>
          <w:sz w:val="28"/>
          <w:szCs w:val="28"/>
        </w:rPr>
      </w:pPr>
      <w:r w:rsidRPr="00BE5127">
        <w:rPr>
          <w:rFonts w:asciiTheme="majorBidi" w:hAnsiTheme="majorBidi" w:cstheme="majorBidi"/>
          <w:b/>
          <w:bCs/>
          <w:sz w:val="28"/>
          <w:szCs w:val="28"/>
          <w:rtl/>
        </w:rPr>
        <w:t>دور المعلومات والتحليل</w:t>
      </w:r>
      <w:r w:rsidRPr="00BE5127">
        <w:rPr>
          <w:rFonts w:asciiTheme="majorBidi" w:hAnsiTheme="majorBidi" w:cstheme="majorBidi"/>
          <w:b/>
          <w:bCs/>
          <w:sz w:val="28"/>
          <w:szCs w:val="28"/>
        </w:rPr>
        <w:t>:</w:t>
      </w:r>
    </w:p>
    <w:p w14:paraId="51E9AF2A" w14:textId="77777777" w:rsidR="00BE5127" w:rsidRPr="00BE5127" w:rsidRDefault="00BE5127" w:rsidP="00BE5127">
      <w:pPr>
        <w:pStyle w:val="a3"/>
        <w:bidi/>
        <w:jc w:val="both"/>
        <w:rPr>
          <w:rFonts w:asciiTheme="majorBidi" w:hAnsiTheme="majorBidi" w:cstheme="majorBidi"/>
          <w:sz w:val="28"/>
          <w:szCs w:val="28"/>
        </w:rPr>
      </w:pPr>
      <w:r w:rsidRPr="00BE5127">
        <w:rPr>
          <w:rFonts w:asciiTheme="majorBidi" w:hAnsiTheme="majorBidi" w:cstheme="majorBidi"/>
          <w:sz w:val="28"/>
          <w:szCs w:val="28"/>
          <w:rtl/>
        </w:rPr>
        <w:t xml:space="preserve">تعتبر جودة المعلومات والتحليلات المقدمة للقيادة أحد العوامل الحاسمة في فاعلية القرارات الاستراتيجية. تعتمد المؤسسات على بيانات دقيقة ومحدثة عن السوق والمستهلكين والمنافسين لتحديد الفرص والمخاطر المستقبلية. كما أن استخدام أدوات التحليل الرقمي والذكاء الاصطناعي يتيح توقع الاتجاهات المستقبلية بدقة أكبر، إلا أن الاعتماد الكامل على التحليل الرقمي دون تكامل مع الخبرة البشرية قد يؤدي إلى نتائج متحيزة أو غير دقيقة. لذا، يتضح أن دمج المعلومات التقنية مع الخبرة المؤسسية يعزز قدرة القرارات على تحقيق أهدافها الاستراتيجية. </w:t>
      </w:r>
      <w:r w:rsidRPr="00BE5127">
        <w:rPr>
          <w:rFonts w:asciiTheme="majorBidi" w:hAnsiTheme="majorBidi" w:cstheme="majorBidi"/>
          <w:sz w:val="28"/>
          <w:szCs w:val="28"/>
        </w:rPr>
        <w:t>(Hicham et al., 2023, p. 139)</w:t>
      </w:r>
    </w:p>
    <w:p w14:paraId="0CF1C9F8" w14:textId="77777777" w:rsidR="00BE5127" w:rsidRPr="00BE5127" w:rsidRDefault="00BE5127" w:rsidP="00BE5127">
      <w:pPr>
        <w:pStyle w:val="a3"/>
        <w:numPr>
          <w:ilvl w:val="0"/>
          <w:numId w:val="14"/>
        </w:numPr>
        <w:bidi/>
        <w:jc w:val="both"/>
        <w:rPr>
          <w:rFonts w:asciiTheme="majorBidi" w:hAnsiTheme="majorBidi" w:cstheme="majorBidi"/>
          <w:sz w:val="28"/>
          <w:szCs w:val="28"/>
        </w:rPr>
      </w:pPr>
      <w:r w:rsidRPr="00BE5127">
        <w:rPr>
          <w:rFonts w:asciiTheme="majorBidi" w:hAnsiTheme="majorBidi" w:cstheme="majorBidi"/>
          <w:b/>
          <w:bCs/>
          <w:sz w:val="28"/>
          <w:szCs w:val="28"/>
          <w:rtl/>
        </w:rPr>
        <w:t>التكامل بين العوامل الداخلية والخارجية</w:t>
      </w:r>
      <w:r w:rsidRPr="00BE5127">
        <w:rPr>
          <w:rFonts w:asciiTheme="majorBidi" w:hAnsiTheme="majorBidi" w:cstheme="majorBidi"/>
          <w:b/>
          <w:bCs/>
          <w:sz w:val="28"/>
          <w:szCs w:val="28"/>
        </w:rPr>
        <w:t>:</w:t>
      </w:r>
    </w:p>
    <w:p w14:paraId="32DDF9E0" w14:textId="77777777" w:rsidR="00BE5127" w:rsidRPr="00BE5127" w:rsidRDefault="00BE5127" w:rsidP="00BE5127">
      <w:pPr>
        <w:pStyle w:val="a3"/>
        <w:bidi/>
        <w:jc w:val="both"/>
        <w:rPr>
          <w:rFonts w:asciiTheme="majorBidi" w:hAnsiTheme="majorBidi" w:cstheme="majorBidi"/>
          <w:sz w:val="28"/>
          <w:szCs w:val="28"/>
          <w:rtl/>
        </w:rPr>
      </w:pPr>
      <w:r w:rsidRPr="00BE5127">
        <w:rPr>
          <w:rFonts w:asciiTheme="majorBidi" w:hAnsiTheme="majorBidi" w:cstheme="majorBidi"/>
          <w:sz w:val="28"/>
          <w:szCs w:val="28"/>
          <w:rtl/>
        </w:rPr>
        <w:t xml:space="preserve">يتطلب تحقيق فاعلية القرارات الاستراتيجية قدرة المؤسسة على التكيف مع تفاعل العوامل الداخلية والخارجية. فالمؤسسة الناجحة هي تلك التي تستطيع مواءمة قدراتها الداخلية، مثل الكفاءات البشرية والهياكل التنظيمية، مع متطلبات البيئة الخارجية، بما يشمل التغيرات الاقتصادية والتكنولوجية والتنافسية. ويشير التحليل النقدي إلى أن الفشل في التعامل مع هذا التكامل يؤدي إلى قرارات غير متوازنة، قد تحقق بعض الأهداف لكنها تفشل في تعزيز الميزة التنافسية أو الاستدامة المؤسسية. </w:t>
      </w:r>
      <w:r w:rsidRPr="00BE5127">
        <w:rPr>
          <w:rFonts w:asciiTheme="majorBidi" w:hAnsiTheme="majorBidi" w:cstheme="majorBidi"/>
          <w:sz w:val="28"/>
          <w:szCs w:val="28"/>
        </w:rPr>
        <w:t>(Kaggwa et al., 2024, p. 423)</w:t>
      </w:r>
    </w:p>
    <w:p w14:paraId="08C7C47F" w14:textId="77777777" w:rsidR="00BE5127" w:rsidRPr="00BE5127" w:rsidRDefault="00BE5127" w:rsidP="00BE5127">
      <w:pPr>
        <w:pStyle w:val="a3"/>
        <w:bidi/>
        <w:ind w:firstLine="720"/>
        <w:jc w:val="both"/>
        <w:rPr>
          <w:rFonts w:asciiTheme="majorBidi" w:hAnsiTheme="majorBidi" w:cstheme="majorBidi"/>
          <w:sz w:val="28"/>
          <w:szCs w:val="28"/>
          <w:rtl/>
        </w:rPr>
      </w:pPr>
      <w:r w:rsidRPr="00BE5127">
        <w:rPr>
          <w:rFonts w:asciiTheme="majorBidi" w:hAnsiTheme="majorBidi" w:cstheme="majorBidi"/>
          <w:sz w:val="28"/>
          <w:szCs w:val="28"/>
          <w:rtl/>
        </w:rPr>
        <w:t>مما سبق يتضح أن فاعلية القرارات الاستراتيجية تتأثر بمجموعة متشابكة من العوامل الداخلية والخارجية، بما في ذلك الثقافة التنظيمية، البنية المؤسسية، القيادة، البيئة الاقتصادية، وجودة المعلومات والتحليل، والتكامل بين هذه العوامل. ويبرز من التحليل أن المؤسسات التي تتمتع بالمرونة الداخلية، القدرة على التحليل النقدي، والاستجابة الذكية للتغيرات الخارجية تحقق قرارات أكثر دقة وفاعلية، مما يعزز قدرتها على تحقيق الأهداف الاستراتيجية، المحافظة على الميزة التنافسية، وضمان استدامة الأداء المؤسسي في بيئة متغيرة ومعقدة مثل المملكة العربية السعودية.</w:t>
      </w:r>
    </w:p>
    <w:p w14:paraId="72C9DF80" w14:textId="77777777" w:rsidR="00BE5127" w:rsidRPr="00BE5127" w:rsidRDefault="00BE5127" w:rsidP="00BE5127">
      <w:pPr>
        <w:bidi/>
        <w:rPr>
          <w:rFonts w:asciiTheme="majorBidi" w:hAnsiTheme="majorBidi" w:cstheme="majorBidi"/>
          <w:sz w:val="28"/>
          <w:szCs w:val="28"/>
          <w:rtl/>
          <w:lang w:bidi="ar-EG"/>
        </w:rPr>
      </w:pPr>
      <w:r w:rsidRPr="00BE5127">
        <w:rPr>
          <w:rFonts w:asciiTheme="majorBidi" w:hAnsiTheme="majorBidi" w:cstheme="majorBidi"/>
          <w:b/>
          <w:bCs/>
          <w:sz w:val="28"/>
          <w:szCs w:val="28"/>
          <w:rtl/>
        </w:rPr>
        <w:t>التحديات والمخاطر التي تواجه القرارات الاستراتيجية</w:t>
      </w:r>
      <w:r w:rsidRPr="00BE5127">
        <w:rPr>
          <w:rFonts w:asciiTheme="majorBidi" w:hAnsiTheme="majorBidi" w:cstheme="majorBidi"/>
          <w:b/>
          <w:bCs/>
          <w:sz w:val="28"/>
          <w:szCs w:val="28"/>
          <w:rtl/>
          <w:lang w:bidi="ar-EG"/>
        </w:rPr>
        <w:t>:</w:t>
      </w:r>
    </w:p>
    <w:p w14:paraId="45902783"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lastRenderedPageBreak/>
        <w:t>تواجه المؤسسات العديد من التحديات والمخاطر التي قد تحد من فاعلية القرارات الاستراتيجية، إذ لا يقتصر النجاح على وضع القرار نفسه، بل يتطلب تهيئة بيئة تنظيمية وتقنية مناسبة لضمان تنفيذ القرارات وتحقيق أهدافها. في السياق السعودي، خصوصًا في قطاع الصناعات الغذائية، تتداخل هذه التحديات بين عوامل داخلية وخارجية، تشمل الهيكل التنظيمي، الثقافة المؤسسية، التغيرات الاقتصادية، والتطورات التقنية. ويعد فهم هذه المعوقات وتحليلها بشكل نقدي خطوة أساسية لتطوير استراتيجيات مواجهة فعالة تضمن استدامة القرارات وتحسين جودة النتائج</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(Eberhard &amp; Wulf, 2025, p. 130)</w:t>
      </w:r>
    </w:p>
    <w:p w14:paraId="4648A9BA" w14:textId="77777777" w:rsidR="00BE5127" w:rsidRPr="00BE5127" w:rsidRDefault="00BE5127" w:rsidP="00BE5127">
      <w:pPr>
        <w:pStyle w:val="a3"/>
        <w:numPr>
          <w:ilvl w:val="0"/>
          <w:numId w:val="16"/>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التحديات التقنية والتكنولوجية</w:t>
      </w:r>
      <w:r w:rsidRPr="00BE5127">
        <w:rPr>
          <w:rFonts w:asciiTheme="majorBidi" w:hAnsiTheme="majorBidi" w:cstheme="majorBidi"/>
          <w:b/>
          <w:bCs/>
          <w:sz w:val="28"/>
          <w:szCs w:val="28"/>
          <w:lang w:bidi="ar-EG"/>
        </w:rPr>
        <w:t>:</w:t>
      </w:r>
    </w:p>
    <w:p w14:paraId="6CA415F1"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rPr>
        <w:t>تتمثل أبرز التحديات في محدودية البنية التحتية التقنية، ضعف التكامل بين الأنظمة، وعدم توافر أدوات تحليل متقدمة. فغياب التحديث المستمر للأنظمة أو نقص التكامل بين البيانات يؤدي إلى صعوبة الحصول على معلومات دقيقة لدعم اتخاذ القرار. كما أن التعقيد التكنولوجي المتزايد في تطبيقات الذكاء الاصطناعي والتحليل الرقمي قد يخلق فجوة بين الإمكانات النظرية للتقنيات والقدرة الفعلية على استخدامها، ما يستدعي استثمارات كبيرة في البنية التحتية والتدريب المستمر للكوادر البشرية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lang w:bidi="ar-EG"/>
        </w:rPr>
        <w:t xml:space="preserve">(van Den </w:t>
      </w:r>
      <w:proofErr w:type="spellStart"/>
      <w:r w:rsidRPr="00BE5127">
        <w:rPr>
          <w:rFonts w:asciiTheme="majorBidi" w:hAnsiTheme="majorBidi" w:cstheme="majorBidi"/>
          <w:sz w:val="28"/>
          <w:szCs w:val="28"/>
          <w:lang w:bidi="ar-EG"/>
        </w:rPr>
        <w:t>Oever</w:t>
      </w:r>
      <w:proofErr w:type="spellEnd"/>
      <w:r w:rsidRPr="00BE5127">
        <w:rPr>
          <w:rFonts w:asciiTheme="majorBidi" w:hAnsiTheme="majorBidi" w:cstheme="majorBidi"/>
          <w:sz w:val="28"/>
          <w:szCs w:val="28"/>
          <w:lang w:bidi="ar-EG"/>
        </w:rPr>
        <w:t xml:space="preserve"> &amp; Shropshire, 2024, p. 1525)</w:t>
      </w:r>
    </w:p>
    <w:p w14:paraId="6DEAA26D" w14:textId="77777777" w:rsidR="00BE5127" w:rsidRPr="00BE5127" w:rsidRDefault="00BE5127" w:rsidP="00BE5127">
      <w:pPr>
        <w:pStyle w:val="a3"/>
        <w:numPr>
          <w:ilvl w:val="0"/>
          <w:numId w:val="16"/>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التحديات التنظيمية والثقافية</w:t>
      </w:r>
      <w:r w:rsidRPr="00BE5127">
        <w:rPr>
          <w:rFonts w:asciiTheme="majorBidi" w:hAnsiTheme="majorBidi" w:cstheme="majorBidi"/>
          <w:b/>
          <w:bCs/>
          <w:sz w:val="28"/>
          <w:szCs w:val="28"/>
          <w:lang w:bidi="ar-EG"/>
        </w:rPr>
        <w:t>:</w:t>
      </w:r>
    </w:p>
    <w:p w14:paraId="5D6634BE"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rPr>
        <w:t>تلعب الثقافة التنظيمية دورًا حاسمًا في قدرة المؤسسة على تبني وتنفيذ القرارات الاستراتيجية بفعالية. قد تعيق مقاومة التغيير، ضعف التواصل الداخلي، أو نقص التعاون بين الأقسام تنفيذ القرارات بشكل سلس. كما أن الهيكل التنظيمي التقليدي الذي يركز على التسلسل الهرمي قد يحد من سرعة اتخاذ القرارات، ويقلل من قدرتها على التكيف مع المتغيرات البيئية. ولذلك، يحتاج تعزيز فاعلية القرارات إلى بناء ثقافة تنظيمية مرنة تشجع المشاركة والابتكار وتدعم التواصل الفعال بين المستويات الإدارية المختلفة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(Ghonim et al., 2022, p. 1)</w:t>
      </w:r>
    </w:p>
    <w:p w14:paraId="350254AF" w14:textId="77777777" w:rsidR="00BE5127" w:rsidRPr="00BE5127" w:rsidRDefault="00BE5127" w:rsidP="00BE5127">
      <w:pPr>
        <w:pStyle w:val="a3"/>
        <w:numPr>
          <w:ilvl w:val="0"/>
          <w:numId w:val="16"/>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نقص الكفاءات البشرية المتخصصة</w:t>
      </w:r>
      <w:r w:rsidRPr="00BE5127">
        <w:rPr>
          <w:rFonts w:asciiTheme="majorBidi" w:hAnsiTheme="majorBidi" w:cstheme="majorBidi"/>
          <w:b/>
          <w:bCs/>
          <w:sz w:val="28"/>
          <w:szCs w:val="28"/>
          <w:lang w:bidi="ar-EG"/>
        </w:rPr>
        <w:t>:</w:t>
      </w:r>
    </w:p>
    <w:p w14:paraId="35779A7C"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rPr>
        <w:t>تمثل القدرة البشرية على فهم البيانات وتحليلها، وكذلك القدرة على اتخاذ قرارات استراتيجية مستنيرة، عاملًا جوهريًا في نجاح القرارات. نقص الكفاءات الماهرة في مجالات التحليل الرقمي والذكاء الاصطناعي يحد من الاستفادة المثلى من الإمكانات التقنية. كما أن ضعف الخبرة في مجالات إدارة المخاطر والاستراتيجيات المعقدة يؤدي إلى قرارات غير متوازنة أو متأخرة، مما يقلل من فاعليتها ويعرض المؤسسة للمخاطر التشغيلية والاقتصادية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Vudugula</w:t>
      </w:r>
      <w:proofErr w:type="spellEnd"/>
      <w:r w:rsidRPr="00BE5127">
        <w:rPr>
          <w:rFonts w:asciiTheme="majorBidi" w:hAnsiTheme="majorBidi" w:cstheme="majorBidi"/>
          <w:sz w:val="28"/>
          <w:szCs w:val="28"/>
        </w:rPr>
        <w:t xml:space="preserve"> et al., 2023, p. 1)</w:t>
      </w:r>
    </w:p>
    <w:p w14:paraId="486E69E1" w14:textId="77777777" w:rsidR="00BE5127" w:rsidRPr="00BE5127" w:rsidRDefault="00BE5127" w:rsidP="00BE5127">
      <w:pPr>
        <w:pStyle w:val="a3"/>
        <w:numPr>
          <w:ilvl w:val="0"/>
          <w:numId w:val="16"/>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التحديات القانونية والأخلاقية</w:t>
      </w:r>
      <w:r w:rsidRPr="00BE5127">
        <w:rPr>
          <w:rFonts w:asciiTheme="majorBidi" w:hAnsiTheme="majorBidi" w:cstheme="majorBidi"/>
          <w:b/>
          <w:bCs/>
          <w:sz w:val="28"/>
          <w:szCs w:val="28"/>
          <w:lang w:bidi="ar-EG"/>
        </w:rPr>
        <w:t>:</w:t>
      </w:r>
    </w:p>
    <w:p w14:paraId="4EE0A69E"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rPr>
        <w:t>تتطلب القرارات الاستراتيجية الالتزام بالأطر القانونية والتنظيمية المحلية والدولية، بالإضافة إلى المبادئ الأخلاقية. تجاهل هذه المتطلبات قد يؤدي إلى تعرض المؤسسة لعقوبات أو خسائر سمعة. في المملكة العربية السعودية، تخضع المؤسسات لمعايير تنظيمية صارمة تشمل حماية المستهلك، سلامة المنتجات، وأحكام التوظيف والعمل. وعليه، يتعين على المؤسسات تضمين هذه الأطر ضمن عملية اتخاذ القرار لضمان توافقها مع القوانين المحلية والممارسات الأخلاقية العالمية</w:t>
      </w:r>
      <w:r w:rsidRPr="00BE5127">
        <w:rPr>
          <w:rFonts w:asciiTheme="majorBidi" w:hAnsiTheme="majorBidi" w:cstheme="majorBidi"/>
          <w:sz w:val="28"/>
          <w:szCs w:val="28"/>
          <w:lang w:bidi="ar-EG"/>
        </w:rPr>
        <w:t>.</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(Csaszar et al., 2024, p. 322)</w:t>
      </w:r>
    </w:p>
    <w:p w14:paraId="1B64D8FD" w14:textId="77777777" w:rsidR="00BE5127" w:rsidRPr="00BE5127" w:rsidRDefault="00BE5127" w:rsidP="00BE5127">
      <w:pPr>
        <w:pStyle w:val="a3"/>
        <w:numPr>
          <w:ilvl w:val="0"/>
          <w:numId w:val="16"/>
        </w:numPr>
        <w:bidi/>
        <w:jc w:val="both"/>
        <w:rPr>
          <w:rFonts w:asciiTheme="majorBidi" w:hAnsiTheme="majorBidi" w:cstheme="majorBidi"/>
          <w:sz w:val="28"/>
          <w:szCs w:val="28"/>
          <w:lang w:bidi="ar-EG"/>
        </w:rPr>
      </w:pPr>
      <w:proofErr w:type="gramStart"/>
      <w:r w:rsidRPr="00BE5127">
        <w:rPr>
          <w:rFonts w:asciiTheme="majorBidi" w:hAnsiTheme="majorBidi" w:cstheme="majorBidi"/>
          <w:b/>
          <w:bCs/>
          <w:sz w:val="28"/>
          <w:szCs w:val="28"/>
          <w:rtl/>
        </w:rPr>
        <w:lastRenderedPageBreak/>
        <w:t>مخاطر</w:t>
      </w:r>
      <w:proofErr w:type="gramEnd"/>
      <w:r w:rsidRPr="00BE5127">
        <w:rPr>
          <w:rFonts w:asciiTheme="majorBidi" w:hAnsiTheme="majorBidi" w:cstheme="majorBidi"/>
          <w:b/>
          <w:bCs/>
          <w:sz w:val="28"/>
          <w:szCs w:val="28"/>
          <w:rtl/>
        </w:rPr>
        <w:t xml:space="preserve"> الأمن السيبراني</w:t>
      </w:r>
      <w:r w:rsidRPr="00BE5127">
        <w:rPr>
          <w:rFonts w:asciiTheme="majorBidi" w:hAnsiTheme="majorBidi" w:cstheme="majorBidi"/>
          <w:b/>
          <w:bCs/>
          <w:sz w:val="28"/>
          <w:szCs w:val="28"/>
          <w:lang w:bidi="ar-EG"/>
        </w:rPr>
        <w:t>:</w:t>
      </w:r>
    </w:p>
    <w:p w14:paraId="06E5105F" w14:textId="77777777" w:rsidR="00BE5127" w:rsidRPr="00BE5127" w:rsidRDefault="00BE5127" w:rsidP="00BE5127">
      <w:pPr>
        <w:pStyle w:val="a3"/>
        <w:bidi/>
        <w:jc w:val="both"/>
        <w:rPr>
          <w:rFonts w:asciiTheme="majorBidi" w:hAnsiTheme="majorBidi" w:cstheme="majorBidi"/>
          <w:sz w:val="28"/>
          <w:szCs w:val="28"/>
          <w:rtl/>
        </w:rPr>
      </w:pPr>
      <w:r w:rsidRPr="00BE5127">
        <w:rPr>
          <w:rFonts w:asciiTheme="majorBidi" w:hAnsiTheme="majorBidi" w:cstheme="majorBidi"/>
          <w:sz w:val="28"/>
          <w:szCs w:val="28"/>
          <w:rtl/>
        </w:rPr>
        <w:t xml:space="preserve">تزداد أهمية الأمن السيبراني مع اعتماد المؤسسات على البيانات الرقمية والتحليلات التقنية في القرارات الاستراتيجية. تعرض أنظمة المعلومات للاختراق أو فقدان البيانات يمكن أن يؤدي إلى قرارات خاطئة أو تسرب معلومات حساسة، ما يؤثر سلبًا على الأداء المؤسسي والموثوقية. ومن هذا المنطلق، يتطلب تعزيز فاعلية القرارات الاستثمار في نظم حماية متقدمة، وتطوير سياسات أمنية صارمة، بالإضافة إلى رفع وعي الموظفين بأهمية الأمن الرقمي.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Sinnaiah</w:t>
      </w:r>
      <w:proofErr w:type="spellEnd"/>
      <w:r w:rsidRPr="00BE5127">
        <w:rPr>
          <w:rFonts w:asciiTheme="majorBidi" w:hAnsiTheme="majorBidi" w:cstheme="majorBidi"/>
          <w:sz w:val="28"/>
          <w:szCs w:val="28"/>
        </w:rPr>
        <w:t xml:space="preserve"> &amp; Adam, 2023, p. 37)</w:t>
      </w:r>
    </w:p>
    <w:p w14:paraId="1CB1B14E" w14:textId="77777777" w:rsidR="00BE5127" w:rsidRPr="00BE5127" w:rsidRDefault="00BE5127" w:rsidP="00BE5127">
      <w:pPr>
        <w:bidi/>
        <w:rPr>
          <w:rFonts w:asciiTheme="majorBidi" w:hAnsiTheme="majorBidi" w:cstheme="majorBidi"/>
          <w:b/>
          <w:bCs/>
          <w:sz w:val="28"/>
          <w:szCs w:val="28"/>
          <w:rtl/>
        </w:rPr>
      </w:pPr>
      <w:r w:rsidRPr="00BE5127">
        <w:rPr>
          <w:rFonts w:asciiTheme="majorBidi" w:hAnsiTheme="majorBidi" w:cstheme="majorBidi"/>
          <w:sz w:val="28"/>
          <w:szCs w:val="28"/>
          <w:rtl/>
        </w:rPr>
        <w:t xml:space="preserve">مما سبق يتضح أن فاعلية القرارات الاستراتيجية ليست مضمونة بمجرد صياغتها، بل تتأثر بمجموعة من التحديات والمخاطر المتشابكة، تشمل التقنية </w:t>
      </w:r>
      <w:proofErr w:type="gramStart"/>
      <w:r w:rsidRPr="00BE5127">
        <w:rPr>
          <w:rFonts w:asciiTheme="majorBidi" w:hAnsiTheme="majorBidi" w:cstheme="majorBidi"/>
          <w:sz w:val="28"/>
          <w:szCs w:val="28"/>
          <w:rtl/>
        </w:rPr>
        <w:t>والتنظيمية</w:t>
      </w:r>
      <w:proofErr w:type="gramEnd"/>
      <w:r w:rsidRPr="00BE5127">
        <w:rPr>
          <w:rFonts w:asciiTheme="majorBidi" w:hAnsiTheme="majorBidi" w:cstheme="majorBidi"/>
          <w:sz w:val="28"/>
          <w:szCs w:val="28"/>
          <w:rtl/>
        </w:rPr>
        <w:t xml:space="preserve"> والبشرية والقانونية والأمنية. ويشير التحليل النقدي إلى أن المؤسسات التي تعمل على التعرف المبكر على هذه المعوقات، ووضع استراتيجيات مواجهة متكاملة، تعزز قدرتها على اتخاذ قرارات فعالة ومستدامة، تقلل المخاطر المحتملة، وتحقق أهدافها الاستراتيجية بما يتوافق مع المتطلبات التنظيمية والسياق البيئي في المملكة العربية السعودية.</w:t>
      </w:r>
    </w:p>
    <w:p w14:paraId="67EBB7EE" w14:textId="77777777" w:rsidR="00BE5127" w:rsidRPr="00BE5127" w:rsidRDefault="00BE5127" w:rsidP="00BE5127">
      <w:pPr>
        <w:bidi/>
        <w:rPr>
          <w:rFonts w:asciiTheme="majorBidi" w:hAnsiTheme="majorBidi" w:cstheme="majorBidi"/>
          <w:b/>
          <w:bCs/>
          <w:sz w:val="28"/>
          <w:szCs w:val="28"/>
          <w:rtl/>
        </w:rPr>
      </w:pPr>
    </w:p>
    <w:p w14:paraId="58FC00F2" w14:textId="77777777" w:rsidR="00BE5127" w:rsidRPr="00BE5127" w:rsidRDefault="00BE5127" w:rsidP="00BE5127">
      <w:pPr>
        <w:bidi/>
        <w:rPr>
          <w:rFonts w:asciiTheme="majorBidi" w:hAnsiTheme="majorBidi" w:cstheme="majorBidi"/>
          <w:b/>
          <w:bCs/>
          <w:sz w:val="28"/>
          <w:szCs w:val="28"/>
          <w:rtl/>
        </w:rPr>
      </w:pPr>
    </w:p>
    <w:p w14:paraId="56BD3BCC" w14:textId="77777777" w:rsidR="00BE5127" w:rsidRPr="00BE5127" w:rsidRDefault="00BE5127" w:rsidP="00BE5127">
      <w:pPr>
        <w:bidi/>
        <w:rPr>
          <w:rFonts w:asciiTheme="majorBidi" w:hAnsiTheme="majorBidi" w:cstheme="majorBidi"/>
          <w:b/>
          <w:bCs/>
          <w:sz w:val="28"/>
          <w:szCs w:val="28"/>
          <w:rtl/>
        </w:rPr>
      </w:pPr>
    </w:p>
    <w:p w14:paraId="34ABF2ED" w14:textId="77777777" w:rsidR="00BE5127" w:rsidRPr="00BE5127" w:rsidRDefault="00BE5127" w:rsidP="00BE5127">
      <w:pPr>
        <w:bidi/>
        <w:rPr>
          <w:rFonts w:asciiTheme="majorBidi" w:hAnsiTheme="majorBidi" w:cstheme="majorBidi"/>
          <w:b/>
          <w:bCs/>
          <w:sz w:val="28"/>
          <w:szCs w:val="28"/>
          <w:rtl/>
        </w:rPr>
      </w:pPr>
    </w:p>
    <w:p w14:paraId="43934491" w14:textId="77777777" w:rsidR="00BE5127" w:rsidRPr="00BE5127" w:rsidRDefault="00BE5127" w:rsidP="00BE5127">
      <w:pPr>
        <w:bidi/>
        <w:rPr>
          <w:rFonts w:asciiTheme="majorBidi" w:hAnsiTheme="majorBidi" w:cstheme="majorBidi"/>
          <w:b/>
          <w:bCs/>
          <w:sz w:val="28"/>
          <w:szCs w:val="28"/>
          <w:rtl/>
        </w:rPr>
      </w:pPr>
    </w:p>
    <w:p w14:paraId="03BA39AF" w14:textId="77777777" w:rsidR="00BE5127" w:rsidRPr="00BE5127" w:rsidRDefault="00BE5127" w:rsidP="00BE5127">
      <w:pPr>
        <w:bidi/>
        <w:rPr>
          <w:rFonts w:asciiTheme="majorBidi" w:hAnsiTheme="majorBidi" w:cstheme="majorBidi"/>
          <w:b/>
          <w:bCs/>
          <w:sz w:val="28"/>
          <w:szCs w:val="28"/>
          <w:rtl/>
        </w:rPr>
      </w:pPr>
    </w:p>
    <w:p w14:paraId="1A439B3C" w14:textId="77777777" w:rsidR="00BE5127" w:rsidRPr="00BE5127" w:rsidRDefault="00BE5127" w:rsidP="00BE5127">
      <w:pPr>
        <w:bidi/>
        <w:jc w:val="center"/>
        <w:rPr>
          <w:rFonts w:asciiTheme="majorBidi" w:hAnsiTheme="majorBidi" w:cstheme="majorBidi"/>
          <w:b/>
          <w:bCs/>
          <w:sz w:val="32"/>
          <w:szCs w:val="32"/>
          <w:rtl/>
        </w:rPr>
      </w:pPr>
      <w:r w:rsidRPr="00BE5127">
        <w:rPr>
          <w:rFonts w:asciiTheme="majorBidi" w:hAnsiTheme="majorBidi" w:cstheme="majorBidi"/>
          <w:b/>
          <w:bCs/>
          <w:sz w:val="32"/>
          <w:szCs w:val="32"/>
          <w:rtl/>
        </w:rPr>
        <w:t>المبحث الثالث: جودة القرار</w:t>
      </w:r>
    </w:p>
    <w:p w14:paraId="2EA70A2A" w14:textId="77777777" w:rsidR="00BE5127" w:rsidRPr="00BE5127" w:rsidRDefault="00BE5127" w:rsidP="00BE5127">
      <w:pPr>
        <w:bidi/>
        <w:rPr>
          <w:rFonts w:asciiTheme="majorBidi" w:hAnsiTheme="majorBidi" w:cstheme="majorBidi"/>
          <w:b/>
          <w:bCs/>
          <w:sz w:val="28"/>
          <w:szCs w:val="28"/>
          <w:rtl/>
        </w:rPr>
      </w:pPr>
      <w:r w:rsidRPr="00BE5127">
        <w:rPr>
          <w:rFonts w:asciiTheme="majorBidi" w:hAnsiTheme="majorBidi" w:cstheme="majorBidi"/>
          <w:b/>
          <w:bCs/>
          <w:sz w:val="28"/>
          <w:szCs w:val="28"/>
          <w:rtl/>
        </w:rPr>
        <w:t xml:space="preserve">مفهوم جودة القرار: </w:t>
      </w:r>
    </w:p>
    <w:p w14:paraId="593DBE08" w14:textId="77777777" w:rsidR="00BE5127" w:rsidRPr="00BE5127" w:rsidRDefault="00BE5127" w:rsidP="00BE5127">
      <w:pPr>
        <w:bidi/>
        <w:ind w:firstLine="720"/>
        <w:jc w:val="both"/>
        <w:rPr>
          <w:rFonts w:asciiTheme="majorBidi" w:hAnsiTheme="majorBidi" w:cstheme="majorBidi"/>
          <w:sz w:val="28"/>
          <w:szCs w:val="28"/>
        </w:rPr>
      </w:pPr>
      <w:r w:rsidRPr="00BE5127">
        <w:rPr>
          <w:rFonts w:asciiTheme="majorBidi" w:hAnsiTheme="majorBidi" w:cstheme="majorBidi"/>
          <w:sz w:val="28"/>
          <w:szCs w:val="28"/>
          <w:rtl/>
        </w:rPr>
        <w:t>يُعرَّف جودة القرار على أنها مستوى كفاءة وفاعلية القرار في تحقيق الأهداف المرجوة، مع مراعاة الدقة والموضوعية في تحليل المعلومات المتاحة، والتوافق مع استراتيجيات المنظمة، وقدرتها على التكيف مع التغيرات البيئية</w:t>
      </w:r>
      <w:r w:rsidRPr="00BE5127">
        <w:rPr>
          <w:rFonts w:asciiTheme="majorBidi" w:hAnsiTheme="majorBidi" w:cstheme="majorBidi"/>
          <w:sz w:val="28"/>
          <w:szCs w:val="28"/>
        </w:rPr>
        <w:t>.</w:t>
      </w:r>
      <w:r w:rsidRPr="00BE5127">
        <w:rPr>
          <w:rFonts w:asciiTheme="majorBidi" w:hAnsiTheme="majorBidi" w:cstheme="majorBidi"/>
          <w:sz w:val="28"/>
          <w:szCs w:val="28"/>
          <w:rtl/>
        </w:rPr>
        <w:t xml:space="preserve"> </w:t>
      </w:r>
      <w:r w:rsidRPr="00BE5127">
        <w:rPr>
          <w:rFonts w:asciiTheme="majorBidi" w:hAnsiTheme="majorBidi" w:cstheme="majorBidi"/>
          <w:sz w:val="28"/>
          <w:szCs w:val="28"/>
        </w:rPr>
        <w:t>(Schwartz &amp; Sachs, 2022, p. 13)</w:t>
      </w:r>
    </w:p>
    <w:p w14:paraId="30B00B67" w14:textId="77777777" w:rsidR="00BE5127" w:rsidRPr="00BE5127" w:rsidRDefault="00BE5127" w:rsidP="00BE5127">
      <w:pPr>
        <w:bidi/>
        <w:ind w:firstLine="720"/>
        <w:jc w:val="both"/>
        <w:rPr>
          <w:rFonts w:asciiTheme="majorBidi" w:hAnsiTheme="majorBidi" w:cstheme="majorBidi"/>
          <w:sz w:val="28"/>
          <w:szCs w:val="28"/>
        </w:rPr>
      </w:pPr>
      <w:r w:rsidRPr="00BE5127">
        <w:rPr>
          <w:rFonts w:asciiTheme="majorBidi" w:hAnsiTheme="majorBidi" w:cstheme="majorBidi"/>
          <w:sz w:val="28"/>
          <w:szCs w:val="28"/>
          <w:rtl/>
        </w:rPr>
        <w:t>ويقصد بجودة القرار مدى قدرة القرار على تلبية متطلبات المؤسسة والمستفيدين، بحيث يكون القرار سليمًا من الناحية المنطقية، مستندًا إلى بيانات موثوقة، وقادرًا على توليد نتائج إيجابية مستدامة</w:t>
      </w:r>
      <w:r w:rsidRPr="00BE5127">
        <w:rPr>
          <w:rFonts w:asciiTheme="majorBidi" w:hAnsiTheme="majorBidi" w:cstheme="majorBidi"/>
          <w:sz w:val="28"/>
          <w:szCs w:val="28"/>
        </w:rPr>
        <w:t>.</w:t>
      </w:r>
      <w:r w:rsidRPr="00BE5127">
        <w:rPr>
          <w:rFonts w:asciiTheme="majorBidi" w:hAnsiTheme="majorBidi" w:cstheme="majorBidi"/>
          <w:sz w:val="28"/>
          <w:szCs w:val="28"/>
          <w:rtl/>
        </w:rPr>
        <w:t xml:space="preserve"> كما يُفهم جودة القرار على أنها درجة الاستناد إلى أسس تحليلية دقيقة ومنهجية واضحة عند اتخاذ القرار، مع الأخذ في الاعتبار المخاطر المحتملة والتوقعات المستقبلية لضمان أفضل النتائج الممكنة</w:t>
      </w:r>
      <w:r w:rsidRPr="00BE5127">
        <w:rPr>
          <w:rFonts w:asciiTheme="majorBidi" w:hAnsiTheme="majorBidi" w:cstheme="majorBidi"/>
          <w:sz w:val="28"/>
          <w:szCs w:val="28"/>
        </w:rPr>
        <w:t>.</w:t>
      </w:r>
      <w:r w:rsidRPr="00BE5127">
        <w:rPr>
          <w:rFonts w:asciiTheme="majorBidi" w:hAnsiTheme="majorBidi" w:cstheme="majorBidi"/>
          <w:sz w:val="28"/>
          <w:szCs w:val="28"/>
          <w:rtl/>
        </w:rPr>
        <w:t xml:space="preserve"> </w:t>
      </w:r>
      <w:r w:rsidRPr="00BE5127">
        <w:rPr>
          <w:rFonts w:asciiTheme="majorBidi" w:hAnsiTheme="majorBidi" w:cstheme="majorBidi"/>
          <w:sz w:val="28"/>
          <w:szCs w:val="28"/>
        </w:rPr>
        <w:t>(Eberhard, 2023, p. 167)</w:t>
      </w:r>
    </w:p>
    <w:p w14:paraId="6CB247BB" w14:textId="77777777" w:rsidR="00BE5127" w:rsidRPr="00BE5127" w:rsidRDefault="00BE5127" w:rsidP="00BE5127">
      <w:pPr>
        <w:bidi/>
        <w:ind w:firstLine="720"/>
        <w:jc w:val="both"/>
        <w:rPr>
          <w:rFonts w:asciiTheme="majorBidi" w:hAnsiTheme="majorBidi" w:cstheme="majorBidi"/>
          <w:sz w:val="28"/>
          <w:szCs w:val="28"/>
        </w:rPr>
      </w:pPr>
      <w:r w:rsidRPr="00BE5127">
        <w:rPr>
          <w:rFonts w:asciiTheme="majorBidi" w:hAnsiTheme="majorBidi" w:cstheme="majorBidi"/>
          <w:sz w:val="28"/>
          <w:szCs w:val="28"/>
          <w:rtl/>
        </w:rPr>
        <w:lastRenderedPageBreak/>
        <w:t>ومن منظور إداري تُشير جودة القرار إلى كفاءة عملية اتخاذ القرار نفسها، بدءًا من تحديد المشكلة وجمع المعلومات، مرورًا بتقييم البدائل، وصولاً إلى تنفيذ القرار ومتابعته، بحيث تحقق هذه العملية قيمة مضافة للمنظمة</w:t>
      </w:r>
      <w:r w:rsidRPr="00BE5127">
        <w:rPr>
          <w:rFonts w:asciiTheme="majorBidi" w:hAnsiTheme="majorBidi" w:cstheme="majorBidi"/>
          <w:sz w:val="28"/>
          <w:szCs w:val="28"/>
        </w:rPr>
        <w:t>.</w:t>
      </w:r>
      <w:r w:rsidRPr="00BE5127">
        <w:rPr>
          <w:rFonts w:asciiTheme="majorBidi" w:hAnsiTheme="majorBidi" w:cstheme="majorBidi"/>
          <w:sz w:val="28"/>
          <w:szCs w:val="28"/>
          <w:rtl/>
        </w:rPr>
        <w:t xml:space="preserve"> </w:t>
      </w:r>
      <w:r w:rsidRPr="00BE5127">
        <w:rPr>
          <w:rFonts w:asciiTheme="majorBidi" w:hAnsiTheme="majorBidi" w:cstheme="majorBidi"/>
          <w:sz w:val="28"/>
          <w:szCs w:val="28"/>
        </w:rPr>
        <w:t>(Shah et al., 2022, p. 1320)</w:t>
      </w:r>
    </w:p>
    <w:p w14:paraId="0E76BE8F" w14:textId="77777777" w:rsidR="00BE5127" w:rsidRPr="00BE5127" w:rsidRDefault="00BE5127" w:rsidP="00BE5127">
      <w:pPr>
        <w:bidi/>
        <w:ind w:firstLine="720"/>
        <w:jc w:val="both"/>
        <w:rPr>
          <w:rFonts w:asciiTheme="majorBidi" w:hAnsiTheme="majorBidi" w:cstheme="majorBidi"/>
          <w:sz w:val="28"/>
          <w:szCs w:val="28"/>
          <w:rtl/>
        </w:rPr>
      </w:pPr>
      <w:r w:rsidRPr="00BE5127">
        <w:rPr>
          <w:rFonts w:asciiTheme="majorBidi" w:hAnsiTheme="majorBidi" w:cstheme="majorBidi"/>
          <w:sz w:val="28"/>
          <w:szCs w:val="28"/>
          <w:rtl/>
        </w:rPr>
        <w:t xml:space="preserve">وفي سياق التحليل الاستراتيجي يُنظر إلى جودة القرار على أنها قدرة المؤسسات على إصدار قرارات سليمة وفعالة، ترتكز على البيانات الدقيقة والتحليل العلمي، وتساهم في تعزيز الأداء المؤسسي وتحقيق أهداف التنمية المستدامة. </w:t>
      </w:r>
      <w:r w:rsidRPr="00BE5127">
        <w:rPr>
          <w:rFonts w:asciiTheme="majorBidi" w:hAnsiTheme="majorBidi" w:cstheme="majorBidi"/>
          <w:sz w:val="28"/>
          <w:szCs w:val="28"/>
        </w:rPr>
        <w:t>(Biswas et al., 2024, p. 5)</w:t>
      </w:r>
    </w:p>
    <w:p w14:paraId="7C791D88" w14:textId="77777777" w:rsidR="00BE5127" w:rsidRPr="00BE5127" w:rsidRDefault="00BE5127" w:rsidP="00BE5127">
      <w:pPr>
        <w:bidi/>
        <w:ind w:firstLine="720"/>
        <w:jc w:val="both"/>
        <w:rPr>
          <w:rFonts w:asciiTheme="majorBidi" w:hAnsiTheme="majorBidi" w:cstheme="majorBidi"/>
          <w:sz w:val="28"/>
          <w:szCs w:val="28"/>
          <w:rtl/>
        </w:rPr>
      </w:pPr>
      <w:r w:rsidRPr="00BE5127">
        <w:rPr>
          <w:rFonts w:asciiTheme="majorBidi" w:hAnsiTheme="majorBidi" w:cstheme="majorBidi"/>
          <w:sz w:val="28"/>
          <w:szCs w:val="28"/>
          <w:rtl/>
        </w:rPr>
        <w:t>يمكن تعريف جودة القرار على أنها القدرة على إصدار قرارات فعّالة وسليمة، قائمة على تحليل دقيق للمعلومات والبيانات المتاحة، مع مراعاة الأهداف الاستراتيجية للمؤسسة والمخاطر المحتملة، بحيث تضمن تحقيق النتائج المرجوة بكفاءة واستدامة، وتساهم في تعزيز الأداء المؤسسي واتخاذ قرارات متوافقة مع بيئة العمل المتغيرة.</w:t>
      </w:r>
    </w:p>
    <w:p w14:paraId="4D6EE357" w14:textId="77777777" w:rsidR="00BE5127" w:rsidRPr="00BE5127" w:rsidRDefault="00BE5127" w:rsidP="00BE5127">
      <w:pPr>
        <w:bidi/>
        <w:rPr>
          <w:rFonts w:asciiTheme="majorBidi" w:hAnsiTheme="majorBidi" w:cstheme="majorBidi"/>
          <w:b/>
          <w:bCs/>
          <w:sz w:val="28"/>
          <w:szCs w:val="28"/>
          <w:rtl/>
          <w:lang w:bidi="ar-EG"/>
        </w:rPr>
      </w:pPr>
      <w:r w:rsidRPr="00BE5127">
        <w:rPr>
          <w:rFonts w:asciiTheme="majorBidi" w:hAnsiTheme="majorBidi" w:cstheme="majorBidi"/>
          <w:b/>
          <w:bCs/>
          <w:sz w:val="28"/>
          <w:szCs w:val="28"/>
          <w:rtl/>
        </w:rPr>
        <w:t>دور المعلومات والتحليل في تعزيز جودة القرارات</w:t>
      </w:r>
      <w:r w:rsidRPr="00BE5127">
        <w:rPr>
          <w:rFonts w:asciiTheme="majorBidi" w:hAnsiTheme="majorBidi" w:cstheme="majorBidi"/>
          <w:b/>
          <w:bCs/>
          <w:sz w:val="28"/>
          <w:szCs w:val="28"/>
          <w:rtl/>
          <w:lang w:bidi="ar-EG"/>
        </w:rPr>
        <w:t>:</w:t>
      </w:r>
    </w:p>
    <w:p w14:paraId="3214610A"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تلعب المعلومات والتحليل دورًا محوريًا في ضمان جودة القرارات الاستراتيجية داخل المؤسسات، إذ تعد أساسًا لاتخاذ خيارات دقيقة ومستندة إلى أدلة واضحة. تتيح المعلومات الدقيقة والكاملة للقيادات التنفيذية تقييم الفرص والمخاطر بشكل موضوعي، مما يعزز قدرتها على صياغة قرارات تتماشى مع الأهداف الاستراتيجية للمؤسسة. في هذا السياق، يمثل التحليل المتعمق للبيانات، بما في ذلك البيانات الضخمة واستخدام تقنيات الذكاء الاصطناعي، أداة فعالة لاستشراف التوجهات المستقبلية وفهم أنماط السوق وسلوك العملاء. ويظهر من التجربة العملية في المؤسسات السعودية، خصوصًا في قطاع الصناعات الغذائية، أن الجمع بين المعلومات النوعية والكمية يوفر أساسًا متينًا لاتخاذ قرارات مدروسة تساهم في تحسين الأداء المؤسسي والقدرة التنافسية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(Basu et al., 2023, p. 2588)</w:t>
      </w:r>
    </w:p>
    <w:p w14:paraId="52DB8DB4"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 xml:space="preserve">تعتبر جودة البيانات من أهم العوامل التي تحدد قيمة التحليل الاستراتيجي، إذ أن البيانات غير الدقيقة أو الناقصة قد تؤدي إلى استنتاجات مضللة وإضعاف القرارات الاستراتيجية. ومن هذا المنطلق، تحتاج المؤسسات إلى وضع آليات لجمع المعلومات والتحقق من صحتها ومصداقيتها، وتكاملها عبر المصادر الداخلية والخارجية لضمان شمولية التحليل ودقته. بالإضافة إلى ذلك، يعد فهم السياق التنظيمي والبيئة الاقتصادية والاجتماعية محوريًا، حيث </w:t>
      </w:r>
      <w:proofErr w:type="gramStart"/>
      <w:r w:rsidRPr="00BE5127">
        <w:rPr>
          <w:rFonts w:asciiTheme="majorBidi" w:hAnsiTheme="majorBidi" w:cstheme="majorBidi"/>
          <w:sz w:val="28"/>
          <w:szCs w:val="28"/>
          <w:rtl/>
        </w:rPr>
        <w:t>أن</w:t>
      </w:r>
      <w:proofErr w:type="gramEnd"/>
      <w:r w:rsidRPr="00BE5127">
        <w:rPr>
          <w:rFonts w:asciiTheme="majorBidi" w:hAnsiTheme="majorBidi" w:cstheme="majorBidi"/>
          <w:sz w:val="28"/>
          <w:szCs w:val="28"/>
          <w:rtl/>
        </w:rPr>
        <w:t xml:space="preserve"> البيانات وحدها لا تكفي دون تفسيرها بما يتناسب مع واقع المؤسسة وأهدافها طويلة المدى</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(Yu &amp; Li, 2022, p. 1)</w:t>
      </w:r>
    </w:p>
    <w:p w14:paraId="4BD820C2"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تتيح أدوات تحليل البيانات الضخمة والذكاء الاصطناعي للمنظمات استكشاف أنماط خفية في البيانات، والتنبؤ بالاتجاهات المستقبلية بشكل استباقي، وهو ما يعزز قدرة القيادات على اتخاذ قرارات أكثر دقة وفاعلية. على سبيل المثال، يمكن للتقنيات الحديثة التنبؤ بالطلب على المنتجات، تحسين عمليات سلسلة التوريد، وتقديم توصيات لتحسين الكفاءة التشغيلية. إلا أن هذه الأدوات تتطلب بنية تحتية تقنية متطورة وكفاءات بشرية قادرة على تفسير النتائج وربطها بالأهداف الاستراتيجية، حيث يظل العنصر البشري ضروريًا لضمان دمج التحليل الرقمي مع الخبرة المؤسسية والفكر النقدي</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(Doshi et al., 2025, p. 583)</w:t>
      </w:r>
    </w:p>
    <w:p w14:paraId="3D6DA1AC"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lastRenderedPageBreak/>
        <w:t>من منظور تنفيذي، يمثل التكامل بين التحليل الرقمي والخبرة البشرية عاملاً حاسمًا في تعزيز الفاعلية. فالقيادة الناجحة لا تكتفي بالاعتماد على البيانات، بل تستخدمها كأداة لدعم التفكير الاستراتيجي، وتقييم المخاطر، ووضع افتراضات مستقبلية مبنية على الخبرة الميدانية. هذا التكامل يتيح للمؤسسات التعامل مع عدم اليقين والتعقيدات البيئية، وضمان أن القرارات الاستراتيجية ليست مجرد استجابة فورية للمتغيرات، بل جزءًا من خطة شاملة تعزز الاستدامة والقدرة التنافسية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(Wu et al., 2023, p. 1)</w:t>
      </w:r>
    </w:p>
    <w:p w14:paraId="31E00C3E"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كما يساهم التحليل الدقيق في تطوير مؤشرات الأداء، وتقييم النتائج بشكل مستمر، ما يسمح بإجراء تعديلات فورية أو استراتيجية على القرارات عند الضرورة. ويصبح دور المعلومات والتحليل أكثر أهمية في البيئات الديناميكية مثل السوق السعودي، حيث يتطلب التحول الرقمي ورؤية 2030 من المؤسسات القدرة على استشراف التغيرات والتكيف بسرعة مع التطورات الاقتصادية والتكنولوجية والمنافسة المتزايدة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(Basir et al., 2023, p. 1239)</w:t>
      </w:r>
    </w:p>
    <w:p w14:paraId="7B42684F"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مما سبق يتضح أن المعلومات والتحليل يمثلان عمودًا فقريًا في تعزيز فاعلية القرارات الاستراتيجية، إذ يضمنان اتخاذ قرارات دقيقة، مدروسة، ومرنة تستند إلى بيانات قوية وفهم معمق للسياق المؤسسي والبيئي. كما أن دمج الأدوات الرقمية الحديثة مثل الذكاء الاصطناعي مع الخبرة البشرية والتقييم النقدي يعزز القدرة على التعامل مع المخاطر واستغلال الفرص، ويضمن أن تكون القرارات الاستراتيجية محفزة لتحقيق الأهداف طويلة الأجل، مستدامة، ومتماشية مع رؤية المملكة 2030 ومتطلبات السوق التنافسي.</w:t>
      </w:r>
    </w:p>
    <w:p w14:paraId="3DA88AF9" w14:textId="77777777" w:rsidR="00BE5127" w:rsidRPr="00BE5127" w:rsidRDefault="00BE5127" w:rsidP="00BE5127">
      <w:pPr>
        <w:bidi/>
        <w:jc w:val="both"/>
        <w:rPr>
          <w:rFonts w:asciiTheme="majorBidi" w:hAnsiTheme="majorBidi" w:cstheme="majorBidi"/>
          <w:sz w:val="28"/>
          <w:szCs w:val="28"/>
          <w:rtl/>
          <w:lang w:bidi="ar-EG"/>
        </w:rPr>
      </w:pPr>
      <w:r w:rsidRPr="00BE5127">
        <w:rPr>
          <w:rFonts w:asciiTheme="majorBidi" w:hAnsiTheme="majorBidi" w:cstheme="majorBidi"/>
          <w:b/>
          <w:bCs/>
          <w:sz w:val="28"/>
          <w:szCs w:val="28"/>
          <w:rtl/>
        </w:rPr>
        <w:t>مؤشرات قياس فاعلية القرارات الاستراتيجية</w:t>
      </w:r>
      <w:r w:rsidRPr="00BE5127">
        <w:rPr>
          <w:rFonts w:asciiTheme="majorBidi" w:hAnsiTheme="majorBidi" w:cstheme="majorBidi"/>
          <w:b/>
          <w:bCs/>
          <w:sz w:val="28"/>
          <w:szCs w:val="28"/>
          <w:lang w:bidi="ar-EG"/>
        </w:rPr>
        <w:t>:</w:t>
      </w:r>
    </w:p>
    <w:p w14:paraId="05E83812" w14:textId="77777777" w:rsidR="00BE5127" w:rsidRPr="00BE5127" w:rsidRDefault="00BE5127" w:rsidP="00BE5127">
      <w:pPr>
        <w:bidi/>
        <w:ind w:firstLine="720"/>
        <w:jc w:val="both"/>
        <w:rPr>
          <w:rFonts w:asciiTheme="majorBidi" w:hAnsiTheme="majorBidi" w:cstheme="majorBidi"/>
          <w:sz w:val="28"/>
          <w:szCs w:val="28"/>
        </w:rPr>
      </w:pPr>
      <w:r w:rsidRPr="00BE5127">
        <w:rPr>
          <w:rFonts w:asciiTheme="majorBidi" w:hAnsiTheme="majorBidi" w:cstheme="majorBidi"/>
          <w:sz w:val="28"/>
          <w:szCs w:val="28"/>
          <w:rtl/>
        </w:rPr>
        <w:t xml:space="preserve">يمثل قياس فاعلية القرارات الاستراتيجية خطوة أساسية لضمان أن الاختيارات المؤسسية تحقق الأهداف المرجوة وتساهم في تعزيز الأداء العام للمؤسسة. فالقرار الاستراتيجي لا يقتصر دوره على صياغة الخيارات، بل يمتد إلى تقييم أثره على الموارد، العمليات، والمخرجات التنظيمية. في المؤسسات السعودية، بما فيها قطاع الصناعات الغذائية، تصبح مؤشرات القياس أداة حيوية لرصد مدى توافق القرارات مع الأهداف الاستراتيجية ورؤية 2030، بالإضافة إلى تعزيز القدرة على التكيف مع التغيرات الاقتصادية والتنافسية. ويتيح القياس الفعال التعرف على نقاط القوة والضعف، وتحديد المجالات التي تتطلب تدخلًا تصحيحيًا لضمان استدامة النتائج.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Iastremska</w:t>
      </w:r>
      <w:proofErr w:type="spellEnd"/>
      <w:r w:rsidRPr="00BE5127">
        <w:rPr>
          <w:rFonts w:asciiTheme="majorBidi" w:hAnsiTheme="majorBidi" w:cstheme="majorBidi"/>
          <w:sz w:val="28"/>
          <w:szCs w:val="28"/>
        </w:rPr>
        <w:t xml:space="preserve"> et al., 2023, p. 117)</w:t>
      </w:r>
    </w:p>
    <w:p w14:paraId="38BBB433" w14:textId="77777777" w:rsidR="00BE5127" w:rsidRPr="00BE5127" w:rsidRDefault="00BE5127" w:rsidP="00BE5127">
      <w:pPr>
        <w:pStyle w:val="a3"/>
        <w:numPr>
          <w:ilvl w:val="0"/>
          <w:numId w:val="15"/>
        </w:numPr>
        <w:bidi/>
        <w:jc w:val="both"/>
        <w:rPr>
          <w:rFonts w:asciiTheme="majorBidi" w:hAnsiTheme="majorBidi" w:cstheme="majorBidi"/>
          <w:sz w:val="28"/>
          <w:szCs w:val="28"/>
        </w:rPr>
      </w:pPr>
      <w:r w:rsidRPr="00BE5127">
        <w:rPr>
          <w:rFonts w:asciiTheme="majorBidi" w:hAnsiTheme="majorBidi" w:cstheme="majorBidi"/>
          <w:b/>
          <w:bCs/>
          <w:sz w:val="28"/>
          <w:szCs w:val="28"/>
          <w:rtl/>
        </w:rPr>
        <w:t>مؤشرات الأداء المالية</w:t>
      </w:r>
      <w:r w:rsidRPr="00BE5127">
        <w:rPr>
          <w:rFonts w:asciiTheme="majorBidi" w:hAnsiTheme="majorBidi" w:cstheme="majorBidi"/>
          <w:b/>
          <w:bCs/>
          <w:sz w:val="28"/>
          <w:szCs w:val="28"/>
        </w:rPr>
        <w:t>:</w:t>
      </w:r>
    </w:p>
    <w:p w14:paraId="13FCE212" w14:textId="77777777" w:rsidR="00BE5127" w:rsidRPr="00BE5127" w:rsidRDefault="00BE5127" w:rsidP="00BE5127">
      <w:pPr>
        <w:pStyle w:val="a3"/>
        <w:bidi/>
        <w:jc w:val="both"/>
        <w:rPr>
          <w:rFonts w:asciiTheme="majorBidi" w:hAnsiTheme="majorBidi" w:cstheme="majorBidi"/>
          <w:sz w:val="28"/>
          <w:szCs w:val="28"/>
        </w:rPr>
      </w:pPr>
      <w:r w:rsidRPr="00BE5127">
        <w:rPr>
          <w:rFonts w:asciiTheme="majorBidi" w:hAnsiTheme="majorBidi" w:cstheme="majorBidi"/>
          <w:sz w:val="28"/>
          <w:szCs w:val="28"/>
          <w:rtl/>
        </w:rPr>
        <w:t xml:space="preserve">تشكل المقاييس المالية أحد الركائز الأساسية لقياس فاعلية القرارات الاستراتيجية، حيث تساعد في تقييم العائد على الاستثمار، التكلفة الفعلية للقرارات، وتحقيق الأهداف الربحية. على سبيل المثال، يمكن استخدام مؤشرات مثل معدل العائد على رأس المال، نمو الإيرادات، أو التوفير في التكاليف التشغيلية لتحديد مدى نجاح القرار الاستراتيجي في تحسين الأداء المالي للمؤسسة. وتعكس هذه المؤشرات القدرة على ترجمة القرارات إلى نتائج ملموسة تسهم في تعزيز الاستدامة المالية والكفاءة المؤسسية.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Camuffo</w:t>
      </w:r>
      <w:proofErr w:type="spellEnd"/>
      <w:r w:rsidRPr="00BE5127">
        <w:rPr>
          <w:rFonts w:asciiTheme="majorBidi" w:hAnsiTheme="majorBidi" w:cstheme="majorBidi"/>
          <w:sz w:val="28"/>
          <w:szCs w:val="28"/>
        </w:rPr>
        <w:t xml:space="preserve"> et al., 2023, p. 127)</w:t>
      </w:r>
    </w:p>
    <w:p w14:paraId="67798256" w14:textId="77777777" w:rsidR="00BE5127" w:rsidRPr="00BE5127" w:rsidRDefault="00BE5127" w:rsidP="00BE5127">
      <w:pPr>
        <w:pStyle w:val="a3"/>
        <w:numPr>
          <w:ilvl w:val="0"/>
          <w:numId w:val="15"/>
        </w:numPr>
        <w:bidi/>
        <w:jc w:val="both"/>
        <w:rPr>
          <w:rFonts w:asciiTheme="majorBidi" w:hAnsiTheme="majorBidi" w:cstheme="majorBidi"/>
          <w:sz w:val="28"/>
          <w:szCs w:val="28"/>
        </w:rPr>
      </w:pPr>
      <w:r w:rsidRPr="00BE5127">
        <w:rPr>
          <w:rFonts w:asciiTheme="majorBidi" w:hAnsiTheme="majorBidi" w:cstheme="majorBidi"/>
          <w:b/>
          <w:bCs/>
          <w:sz w:val="28"/>
          <w:szCs w:val="28"/>
          <w:rtl/>
        </w:rPr>
        <w:t>مؤشرات الأداء التشغيلية</w:t>
      </w:r>
      <w:r w:rsidRPr="00BE5127">
        <w:rPr>
          <w:rFonts w:asciiTheme="majorBidi" w:hAnsiTheme="majorBidi" w:cstheme="majorBidi"/>
          <w:b/>
          <w:bCs/>
          <w:sz w:val="28"/>
          <w:szCs w:val="28"/>
        </w:rPr>
        <w:t>:</w:t>
      </w:r>
    </w:p>
    <w:p w14:paraId="3B8A071E" w14:textId="77777777" w:rsidR="00BE5127" w:rsidRPr="00BE5127" w:rsidRDefault="00BE5127" w:rsidP="00BE5127">
      <w:pPr>
        <w:pStyle w:val="a3"/>
        <w:bidi/>
        <w:jc w:val="both"/>
        <w:rPr>
          <w:rFonts w:asciiTheme="majorBidi" w:hAnsiTheme="majorBidi" w:cstheme="majorBidi"/>
          <w:sz w:val="28"/>
          <w:szCs w:val="28"/>
        </w:rPr>
      </w:pPr>
      <w:r w:rsidRPr="00BE5127">
        <w:rPr>
          <w:rFonts w:asciiTheme="majorBidi" w:hAnsiTheme="majorBidi" w:cstheme="majorBidi"/>
          <w:sz w:val="28"/>
          <w:szCs w:val="28"/>
          <w:rtl/>
        </w:rPr>
        <w:lastRenderedPageBreak/>
        <w:t>تقدم المقاييس التشغيلية رؤية دقيقة حول مدى كفاءة العمليات الداخلية بعد تنفيذ القرارات الاستراتيجية. يشمل ذلك قياس معدلات الإنتاج، جودة المنتجات، زمن دورة العمليات، وفعالية سلسلة الإمداد. في سياق المؤسسات الغذائية بالمملكة العربية السعودية، توفر هذه المؤشرات بيانات حيوية تساعد القيادات على تعديل استراتيجيات الإنتاج والتوزيع، بما يضمن توافقها مع الطلب السوقي، وتحسين الكفاءة التشغيلية بشكل مستمر</w:t>
      </w:r>
      <w:r w:rsidRPr="00BE5127">
        <w:rPr>
          <w:rFonts w:asciiTheme="majorBidi" w:hAnsiTheme="majorBidi" w:cstheme="majorBidi"/>
          <w:sz w:val="28"/>
          <w:szCs w:val="28"/>
        </w:rPr>
        <w:t>.</w:t>
      </w:r>
      <w:r w:rsidRPr="00BE5127">
        <w:rPr>
          <w:rFonts w:asciiTheme="majorBidi" w:hAnsiTheme="majorBidi" w:cstheme="majorBidi"/>
          <w:sz w:val="28"/>
          <w:szCs w:val="28"/>
          <w:rtl/>
        </w:rPr>
        <w:t xml:space="preserve"> </w:t>
      </w:r>
      <w:r w:rsidRPr="00BE5127">
        <w:rPr>
          <w:rFonts w:asciiTheme="majorBidi" w:hAnsiTheme="majorBidi" w:cstheme="majorBidi"/>
          <w:sz w:val="28"/>
          <w:szCs w:val="28"/>
        </w:rPr>
        <w:t>(Alharbi &amp; Alnoor, 2024, p. 443)</w:t>
      </w:r>
    </w:p>
    <w:p w14:paraId="393FD6A0" w14:textId="77777777" w:rsidR="00BE5127" w:rsidRPr="00BE5127" w:rsidRDefault="00BE5127" w:rsidP="00BE5127">
      <w:pPr>
        <w:pStyle w:val="a3"/>
        <w:numPr>
          <w:ilvl w:val="0"/>
          <w:numId w:val="15"/>
        </w:numPr>
        <w:bidi/>
        <w:jc w:val="both"/>
        <w:rPr>
          <w:rFonts w:asciiTheme="majorBidi" w:hAnsiTheme="majorBidi" w:cstheme="majorBidi"/>
          <w:sz w:val="28"/>
          <w:szCs w:val="28"/>
        </w:rPr>
      </w:pPr>
      <w:r w:rsidRPr="00BE5127">
        <w:rPr>
          <w:rFonts w:asciiTheme="majorBidi" w:hAnsiTheme="majorBidi" w:cstheme="majorBidi"/>
          <w:b/>
          <w:bCs/>
          <w:sz w:val="28"/>
          <w:szCs w:val="28"/>
          <w:rtl/>
        </w:rPr>
        <w:t>مؤشرات الابتكار والتطوير</w:t>
      </w:r>
      <w:r w:rsidRPr="00BE5127">
        <w:rPr>
          <w:rFonts w:asciiTheme="majorBidi" w:hAnsiTheme="majorBidi" w:cstheme="majorBidi"/>
          <w:b/>
          <w:bCs/>
          <w:sz w:val="28"/>
          <w:szCs w:val="28"/>
        </w:rPr>
        <w:t>:</w:t>
      </w:r>
    </w:p>
    <w:p w14:paraId="611991F6" w14:textId="77777777" w:rsidR="00BE5127" w:rsidRPr="00BE5127" w:rsidRDefault="00BE5127" w:rsidP="00BE5127">
      <w:pPr>
        <w:pStyle w:val="a3"/>
        <w:bidi/>
        <w:jc w:val="both"/>
        <w:rPr>
          <w:rFonts w:asciiTheme="majorBidi" w:hAnsiTheme="majorBidi" w:cstheme="majorBidi"/>
          <w:sz w:val="28"/>
          <w:szCs w:val="28"/>
        </w:rPr>
      </w:pPr>
      <w:r w:rsidRPr="00BE5127">
        <w:rPr>
          <w:rFonts w:asciiTheme="majorBidi" w:hAnsiTheme="majorBidi" w:cstheme="majorBidi"/>
          <w:sz w:val="28"/>
          <w:szCs w:val="28"/>
          <w:rtl/>
        </w:rPr>
        <w:t>تعد القدرة على الابتكار والتطوير المستمر من علامات فاعلية القرارات الاستراتيجية، إذ تعكس مدى قدرة المؤسسات على خلق قيمة جديدة وتحقيق التميز التنافسي. تشمل هذه المؤشرات عدد المبادرات الابتكارية، معدل تطوير المنتجات، وتطبيق الحلول الرقمية الحديثة مثل الذكاء الاصطناعي والتحليل البياني. ويؤكد التحليل النقدي أن المؤسسات التي تركز على الابتكار تحقق استدامة أفضل في قراراتها الاستراتيجية مقارنة بالمنظمات التي تلتزم بالأساليب التقليدية فقط</w:t>
      </w:r>
      <w:r w:rsidRPr="00BE5127">
        <w:rPr>
          <w:rFonts w:asciiTheme="majorBidi" w:hAnsiTheme="majorBidi" w:cstheme="majorBidi"/>
          <w:sz w:val="28"/>
          <w:szCs w:val="28"/>
        </w:rPr>
        <w:t>.</w:t>
      </w:r>
      <w:r w:rsidRPr="00BE5127">
        <w:rPr>
          <w:rFonts w:asciiTheme="majorBidi" w:hAnsiTheme="majorBidi" w:cstheme="majorBidi"/>
          <w:sz w:val="28"/>
          <w:szCs w:val="28"/>
          <w:rtl/>
        </w:rPr>
        <w:t xml:space="preserve"> </w:t>
      </w:r>
      <w:r w:rsidRPr="00BE5127">
        <w:rPr>
          <w:rFonts w:asciiTheme="majorBidi" w:hAnsiTheme="majorBidi" w:cstheme="majorBidi"/>
          <w:sz w:val="28"/>
          <w:szCs w:val="28"/>
        </w:rPr>
        <w:t xml:space="preserve">(Brundin &amp; </w:t>
      </w:r>
      <w:proofErr w:type="spellStart"/>
      <w:r w:rsidRPr="00BE5127">
        <w:rPr>
          <w:rFonts w:asciiTheme="majorBidi" w:hAnsiTheme="majorBidi" w:cstheme="majorBidi"/>
          <w:sz w:val="28"/>
          <w:szCs w:val="28"/>
        </w:rPr>
        <w:t>Languilaire</w:t>
      </w:r>
      <w:proofErr w:type="spellEnd"/>
      <w:r w:rsidRPr="00BE5127">
        <w:rPr>
          <w:rFonts w:asciiTheme="majorBidi" w:hAnsiTheme="majorBidi" w:cstheme="majorBidi"/>
          <w:sz w:val="28"/>
          <w:szCs w:val="28"/>
        </w:rPr>
        <w:t>, 2023, p. 1)</w:t>
      </w:r>
    </w:p>
    <w:p w14:paraId="2D018267" w14:textId="77777777" w:rsidR="00BE5127" w:rsidRPr="00BE5127" w:rsidRDefault="00BE5127" w:rsidP="00BE5127">
      <w:pPr>
        <w:pStyle w:val="a3"/>
        <w:numPr>
          <w:ilvl w:val="0"/>
          <w:numId w:val="15"/>
        </w:numPr>
        <w:bidi/>
        <w:jc w:val="both"/>
        <w:rPr>
          <w:rFonts w:asciiTheme="majorBidi" w:hAnsiTheme="majorBidi" w:cstheme="majorBidi"/>
          <w:sz w:val="28"/>
          <w:szCs w:val="28"/>
        </w:rPr>
      </w:pPr>
      <w:r w:rsidRPr="00BE5127">
        <w:rPr>
          <w:rFonts w:asciiTheme="majorBidi" w:hAnsiTheme="majorBidi" w:cstheme="majorBidi"/>
          <w:b/>
          <w:bCs/>
          <w:sz w:val="28"/>
          <w:szCs w:val="28"/>
          <w:rtl/>
        </w:rPr>
        <w:t>مؤشرات رضا أصحاب المصلحة والعملاء</w:t>
      </w:r>
      <w:r w:rsidRPr="00BE5127">
        <w:rPr>
          <w:rFonts w:asciiTheme="majorBidi" w:hAnsiTheme="majorBidi" w:cstheme="majorBidi"/>
          <w:b/>
          <w:bCs/>
          <w:sz w:val="28"/>
          <w:szCs w:val="28"/>
        </w:rPr>
        <w:t>:</w:t>
      </w:r>
    </w:p>
    <w:p w14:paraId="2DF482CF" w14:textId="77777777" w:rsidR="00BE5127" w:rsidRPr="00BE5127" w:rsidRDefault="00BE5127" w:rsidP="00BE5127">
      <w:pPr>
        <w:pStyle w:val="a3"/>
        <w:bidi/>
        <w:jc w:val="both"/>
        <w:rPr>
          <w:rFonts w:asciiTheme="majorBidi" w:hAnsiTheme="majorBidi" w:cstheme="majorBidi"/>
          <w:sz w:val="28"/>
          <w:szCs w:val="28"/>
        </w:rPr>
      </w:pPr>
      <w:r w:rsidRPr="00BE5127">
        <w:rPr>
          <w:rFonts w:asciiTheme="majorBidi" w:hAnsiTheme="majorBidi" w:cstheme="majorBidi"/>
          <w:sz w:val="28"/>
          <w:szCs w:val="28"/>
          <w:rtl/>
        </w:rPr>
        <w:t>يعكس رضا العملاء وأصحاب المصلحة الخارجيين والداخليين مدى تأثير القرارات الاستراتيجية على البيئة المؤسسية والسوقية. ويشمل ذلك تقييم رضا العملاء، الثقة في المؤسسة، ودرجة الالتزام المؤسسي من الموظفين. وتوفر هذه المؤشرات أساسًا لتقييم مدى نجاح القرار في تحسين العلاقة مع المستفيدين وتعزيز الصورة المؤسسية، وهو عامل حاسم في دعم الاستراتيجية العامة وتحقيق ميزة تنافسية مستدامة</w:t>
      </w:r>
      <w:r w:rsidRPr="00BE5127">
        <w:rPr>
          <w:rFonts w:asciiTheme="majorBidi" w:hAnsiTheme="majorBidi" w:cstheme="majorBidi"/>
          <w:sz w:val="28"/>
          <w:szCs w:val="28"/>
        </w:rPr>
        <w:t>.</w:t>
      </w:r>
      <w:r w:rsidRPr="00BE5127">
        <w:rPr>
          <w:rFonts w:asciiTheme="majorBidi" w:hAnsiTheme="majorBidi" w:cstheme="majorBidi"/>
          <w:sz w:val="28"/>
          <w:szCs w:val="28"/>
          <w:rtl/>
        </w:rPr>
        <w:t xml:space="preserve"> </w:t>
      </w:r>
      <w:r w:rsidRPr="00BE5127">
        <w:rPr>
          <w:rFonts w:asciiTheme="majorBidi" w:hAnsiTheme="majorBidi" w:cstheme="majorBidi"/>
          <w:sz w:val="28"/>
          <w:szCs w:val="28"/>
        </w:rPr>
        <w:t>(Moinuddin &amp; Usman, 2025, p. 1)</w:t>
      </w:r>
    </w:p>
    <w:p w14:paraId="184B0D6D" w14:textId="77777777" w:rsidR="00BE5127" w:rsidRPr="00BE5127" w:rsidRDefault="00BE5127" w:rsidP="00BE5127">
      <w:pPr>
        <w:pStyle w:val="a3"/>
        <w:numPr>
          <w:ilvl w:val="0"/>
          <w:numId w:val="15"/>
        </w:numPr>
        <w:bidi/>
        <w:jc w:val="both"/>
        <w:rPr>
          <w:rFonts w:asciiTheme="majorBidi" w:hAnsiTheme="majorBidi" w:cstheme="majorBidi"/>
          <w:sz w:val="28"/>
          <w:szCs w:val="28"/>
        </w:rPr>
      </w:pPr>
      <w:r w:rsidRPr="00BE5127">
        <w:rPr>
          <w:rFonts w:asciiTheme="majorBidi" w:hAnsiTheme="majorBidi" w:cstheme="majorBidi"/>
          <w:b/>
          <w:bCs/>
          <w:sz w:val="28"/>
          <w:szCs w:val="28"/>
          <w:rtl/>
        </w:rPr>
        <w:t>مؤشرات التوافق مع الأهداف الاستراتيجية</w:t>
      </w:r>
      <w:r w:rsidRPr="00BE5127">
        <w:rPr>
          <w:rFonts w:asciiTheme="majorBidi" w:hAnsiTheme="majorBidi" w:cstheme="majorBidi"/>
          <w:b/>
          <w:bCs/>
          <w:sz w:val="28"/>
          <w:szCs w:val="28"/>
        </w:rPr>
        <w:t>:</w:t>
      </w:r>
    </w:p>
    <w:p w14:paraId="124EDA5A" w14:textId="77777777" w:rsidR="00BE5127" w:rsidRPr="00BE5127" w:rsidRDefault="00BE5127" w:rsidP="00BE5127">
      <w:pPr>
        <w:pStyle w:val="a3"/>
        <w:bidi/>
        <w:jc w:val="both"/>
        <w:rPr>
          <w:rFonts w:asciiTheme="majorBidi" w:hAnsiTheme="majorBidi" w:cstheme="majorBidi"/>
          <w:sz w:val="28"/>
          <w:szCs w:val="28"/>
          <w:rtl/>
        </w:rPr>
      </w:pPr>
      <w:r w:rsidRPr="00BE5127">
        <w:rPr>
          <w:rFonts w:asciiTheme="majorBidi" w:hAnsiTheme="majorBidi" w:cstheme="majorBidi"/>
          <w:sz w:val="28"/>
          <w:szCs w:val="28"/>
          <w:rtl/>
        </w:rPr>
        <w:t xml:space="preserve">تتيح مؤشرات التوافق قياس مدى انسجام القرارات مع الأهداف طويلة المدى للمؤسسة ورؤيتها المستقبلية. ويشمل ذلك تقييم الإنجازات مقابل الخطط المرسومة، ودرجة الالتزام بالمعايير والغايات المؤسسية. ويبرز هنا دور الحوكمة المؤسسية في متابعة التنفيذ وضمان توافق القرارات مع التوجهات الاستراتيجية للمؤسسة، بما يضمن الاستمرارية والقدرة على التكيف مع المتغيرات البيئية. </w:t>
      </w:r>
      <w:r w:rsidRPr="00BE5127">
        <w:rPr>
          <w:rFonts w:asciiTheme="majorBidi" w:hAnsiTheme="majorBidi" w:cstheme="majorBidi"/>
          <w:sz w:val="28"/>
          <w:szCs w:val="28"/>
        </w:rPr>
        <w:t>(Kolar et al., 2024, p. 99)</w:t>
      </w:r>
    </w:p>
    <w:p w14:paraId="761B7AAB" w14:textId="77777777" w:rsidR="00BE5127" w:rsidRPr="00BE5127" w:rsidRDefault="00BE5127" w:rsidP="00BE5127">
      <w:pPr>
        <w:pStyle w:val="a3"/>
        <w:bidi/>
        <w:ind w:firstLine="720"/>
        <w:jc w:val="both"/>
        <w:rPr>
          <w:rFonts w:asciiTheme="majorBidi" w:hAnsiTheme="majorBidi" w:cstheme="majorBidi"/>
          <w:sz w:val="28"/>
          <w:szCs w:val="28"/>
          <w:rtl/>
        </w:rPr>
      </w:pPr>
      <w:r w:rsidRPr="00BE5127">
        <w:rPr>
          <w:rFonts w:asciiTheme="majorBidi" w:hAnsiTheme="majorBidi" w:cstheme="majorBidi"/>
          <w:sz w:val="28"/>
          <w:szCs w:val="28"/>
          <w:rtl/>
        </w:rPr>
        <w:t>مما سبق يتضح أن قياس فاعلية القرارات الاستراتيجية يعتمد على مجموعة متكاملة من المقاييس المالية، التشغيلية، الابتكارية، ورضا أصحاب المصلحة، بالإضافة إلى التحقق من مدى التوافق مع الأهداف الاستراتيجية للمؤسسة. ويبرز التحليل النقدي أن المؤسسات التي تطبق آليات قياس شاملة تملك القدرة على تحسين قراراتها باستمرار، تعديل الاستراتيجيات عند الحاجة، وضمان تحقيق نتائج ملموسة ومستدامة تعزز القدرة التنافسية وتحقق الأهداف المؤسسية وفق رؤية المملكة 2030.</w:t>
      </w:r>
    </w:p>
    <w:p w14:paraId="173DF95F" w14:textId="77777777" w:rsidR="00BE5127" w:rsidRPr="00BE5127" w:rsidRDefault="00BE5127" w:rsidP="00BE5127">
      <w:pPr>
        <w:bidi/>
        <w:jc w:val="both"/>
        <w:rPr>
          <w:rFonts w:asciiTheme="majorBidi" w:hAnsiTheme="majorBidi" w:cstheme="majorBidi"/>
          <w:b/>
          <w:bCs/>
          <w:sz w:val="28"/>
          <w:szCs w:val="28"/>
          <w:rtl/>
        </w:rPr>
      </w:pPr>
      <w:r w:rsidRPr="00BE5127">
        <w:rPr>
          <w:rFonts w:asciiTheme="majorBidi" w:hAnsiTheme="majorBidi" w:cstheme="majorBidi"/>
          <w:b/>
          <w:bCs/>
          <w:sz w:val="28"/>
          <w:szCs w:val="28"/>
          <w:rtl/>
        </w:rPr>
        <w:t>أثر تبني تقنيات الذكاء الاصطناعي على فاعلية القرارات الاستراتيجية</w:t>
      </w:r>
    </w:p>
    <w:p w14:paraId="3F945FBE"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 xml:space="preserve">يمثل تبني تقنيات الذكاء الاصطناعي عاملًا محوريًا في إعادة تشكيل طبيعة اتخاذ القرار الاستراتيجي داخل المؤسسات، إذ توفر هذه التقنيات القدرة على معالجة كميات ضخمة من البيانات وتحويلها إلى رؤى استراتيجية دقيقة تساعد القيادات التنفيذية على اتخاذ قرارات استباقية ومدروسة. </w:t>
      </w:r>
      <w:r w:rsidRPr="00BE5127">
        <w:rPr>
          <w:rFonts w:asciiTheme="majorBidi" w:hAnsiTheme="majorBidi" w:cstheme="majorBidi"/>
          <w:sz w:val="28"/>
          <w:szCs w:val="28"/>
          <w:rtl/>
        </w:rPr>
        <w:lastRenderedPageBreak/>
        <w:t>في قطاع الصناعات الغذائية بالمملكة العربية السعودية، يتيح الذكاء الاصطناعي تحسين التخطيط الإنتاجي، التنبؤ بالطلب، وتحسين كفاءة سلسلة الإمداد، بما يسهم في تعزيز القدرة التنافسية للمؤسسات وفق مستهدفات رؤية 2030. وتعكس هذه التجربة التحولية كيف يمكن للتقنيات الحديثة أن تدعم الاستراتيجية المؤسسية وتسرع عملية اتخاذ القرارات في بيئة ديناميكية ومعقدة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(Eberhard, 2023, p. 167)</w:t>
      </w:r>
    </w:p>
    <w:p w14:paraId="3A29D8A3"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تسهم تقنيات التعلم الآلي والتعلم العميق في تعزيز الدقة التنبؤية للقرارات الاستراتيجية، إذ تتيح للقيادات فهم الأنماط الخفية في البيانات المتعلقة بسلوك العملاء، تقلبات السوق، وأداء العمليات التشغيلية. يوفر هذا التحليل إمكانية استشراف المخاطر والفرص المستقبلية، ما يمكّن التنفيذيين من اتخاذ قرارات أكثر فاعلية ومرونة. إلا أن الفاعلية الكاملة لهذه القرارات تعتمد على دمج هذه النماذج التحليلية مع الخبرة البشرية، لضمان تفسير النتائج ضمن السياق التنظيمي والاستراتيجي لكل مؤسسة، وتفادي الاعتماد الأعمى على التحليل الرقمي وحده</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(Rajagopal et al., 2022, p. 1)</w:t>
      </w:r>
    </w:p>
    <w:p w14:paraId="7268AC2B"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تلعب معالجة اللغة الطبيعية والرؤية الحاسوبية دورًا مكملاً في دعم القرارات الاستراتيجية، إذ توفر قدرة على فهم وتحليل البيانات النوعية مثل تقييمات العملاء ومراقبة الجودة في خطوط الإنتاج. هذه الأدوات تعزز من قدرة القيادات على رصد الاتجاهات، الاستجابة للتغيرات في تفضيلات المستهلك، وتحسين الكفاءة التشغيلية، بما يتماشى مع مبادرات التحول الرقمي التي تشجع عليها رؤية 2030. كما أن استخدام هذه التقنيات يعزز من دقة القياس والتقييم المستمر للقرارات الاستراتيجية، ما يدعم الاستدامة وتحقيق أهداف النمو طويل الأجل</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(Adesina et al., 2024, p. 1927)</w:t>
      </w:r>
    </w:p>
    <w:p w14:paraId="34A1EE59"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يمثل الذكاء الاصطناعي أيضًا أداة لتعزيز التكامل بين الاستراتيجية المؤسسية والتنفيذ الميداني، إذ يتيح القيادات مراقبة الأداء، تحديد نقاط الاختناق، وإعادة تخصيص الموارد بشكل سريع وفعال. ويظهر التحليل النقدي أن المؤسسات التي تعتمد على هذه التقنيات بطريقة متوازنة تستطيع تعزيز الابتكار المؤسسي، تحسين جودة القرارات، وتقليل المخاطر التشغيلية والمالية، بما ينعكس على قدرتها على المنافسة وتحقيق الاستدامة المؤسسية في بيئة المملكة المتغيرة والمتسارعة النمو</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(Meakin, 2022, p. 1)</w:t>
      </w:r>
    </w:p>
    <w:p w14:paraId="4341A892"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بالإضافة إلى ذلك، يوفر تبني تقنيات الذكاء الاصطناعي إطارًا لدعم الحوكمة المؤسسية واتخاذ قرارات قابلة للمساءلة. إذ تسهم الأنظمة التحليلية في توثيق عملية اتخاذ القرار، متابعة مؤشرات الأداء، وتقييم النتائج بشكل دوري، مما يتيح للقيادات ضبط القرارات وضمان توافقها مع أهداف المؤسسة الاستراتيجية ومعايير الاستدامة المحددة في رؤية 2030. كما أن هذا التكامل بين التحليل الرقمي والإشراف البشري يعزز القدرة على التعامل مع التعقيدات القانونية والأخلاقية المرتبطة بالقرارات الاستراتيجية، ويحد من المخاطر المحتملة المرتبطة بالاعتماد الكامل على النماذج التكنولوجية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(Rijal, 2023, p. 84)</w:t>
      </w:r>
    </w:p>
    <w:p w14:paraId="48ECB384"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مما سبق يتضح أن تبني تقنيات الذكاء الاصطناعي يمثل عنصرًا محوريًا لتعزيز فاعلية القرارات الاستراتيجية لدى التنفيذيين في شركات الأغذية الكبرى بالمملكة، إذ يتيح تحسين دقة التنبؤ، تعزيز التكامل بين التحليل الرقمي والخبرة البشرية، دعم الابتكار، وضمان استدامة الأداء المؤسسي. وتبرز أهمية هذا الأثر بشكل خاص في ضوء رؤية المملكة 2030، التي تشدد على التحول الرقمي، تعزيز الكفاءة المؤسسية، وتحقيق ميزة تنافسية مستدامة في الأسواق المحلية والعالمية</w:t>
      </w:r>
      <w:r w:rsidRPr="00BE5127">
        <w:rPr>
          <w:rFonts w:asciiTheme="majorBidi" w:hAnsiTheme="majorBidi" w:cstheme="majorBidi"/>
          <w:sz w:val="28"/>
          <w:szCs w:val="28"/>
          <w:rtl/>
          <w:lang w:bidi="ar-EG"/>
        </w:rPr>
        <w:t>.</w:t>
      </w:r>
    </w:p>
    <w:p w14:paraId="3BAFBDEC" w14:textId="77777777" w:rsidR="00BE5127" w:rsidRPr="00BE5127" w:rsidRDefault="00BE5127" w:rsidP="00BE5127">
      <w:pPr>
        <w:bidi/>
        <w:rPr>
          <w:rFonts w:asciiTheme="majorBidi" w:hAnsiTheme="majorBidi" w:cstheme="majorBidi"/>
          <w:b/>
          <w:bCs/>
          <w:sz w:val="28"/>
          <w:szCs w:val="28"/>
          <w:rtl/>
          <w:lang w:bidi="ar-EG"/>
        </w:rPr>
      </w:pPr>
    </w:p>
    <w:p w14:paraId="6015E0F2" w14:textId="77777777" w:rsidR="00BE5127" w:rsidRPr="00BE5127" w:rsidRDefault="00BE5127" w:rsidP="00BE5127">
      <w:pPr>
        <w:bidi/>
        <w:rPr>
          <w:rFonts w:asciiTheme="majorBidi" w:hAnsiTheme="majorBidi" w:cstheme="majorBidi"/>
          <w:b/>
          <w:bCs/>
          <w:sz w:val="28"/>
          <w:szCs w:val="28"/>
          <w:rtl/>
          <w:lang w:bidi="ar-EG"/>
        </w:rPr>
      </w:pPr>
    </w:p>
    <w:p w14:paraId="4263986D" w14:textId="77777777" w:rsidR="00BE5127" w:rsidRPr="00BE5127" w:rsidRDefault="00BE5127" w:rsidP="00BE5127">
      <w:pPr>
        <w:bidi/>
        <w:rPr>
          <w:rFonts w:asciiTheme="majorBidi" w:hAnsiTheme="majorBidi" w:cstheme="majorBidi"/>
          <w:b/>
          <w:bCs/>
          <w:sz w:val="28"/>
          <w:szCs w:val="28"/>
          <w:rtl/>
          <w:lang w:bidi="ar-EG"/>
        </w:rPr>
      </w:pPr>
    </w:p>
    <w:p w14:paraId="01DB78C0" w14:textId="77777777" w:rsidR="00BE5127" w:rsidRPr="00BE5127" w:rsidRDefault="00BE5127" w:rsidP="00BE5127">
      <w:pPr>
        <w:bidi/>
        <w:rPr>
          <w:rFonts w:asciiTheme="majorBidi" w:hAnsiTheme="majorBidi" w:cstheme="majorBidi"/>
          <w:b/>
          <w:bCs/>
          <w:sz w:val="28"/>
          <w:szCs w:val="28"/>
          <w:rtl/>
          <w:lang w:bidi="ar-EG"/>
        </w:rPr>
      </w:pPr>
    </w:p>
    <w:p w14:paraId="5BB4077C" w14:textId="77777777" w:rsidR="00BE5127" w:rsidRPr="00BE5127" w:rsidRDefault="00BE5127" w:rsidP="00BE5127">
      <w:pPr>
        <w:bidi/>
        <w:rPr>
          <w:rFonts w:asciiTheme="majorBidi" w:hAnsiTheme="majorBidi" w:cstheme="majorBidi"/>
          <w:b/>
          <w:bCs/>
          <w:sz w:val="28"/>
          <w:szCs w:val="28"/>
          <w:rtl/>
          <w:lang w:bidi="ar-EG"/>
        </w:rPr>
      </w:pPr>
    </w:p>
    <w:p w14:paraId="2490008F" w14:textId="77777777" w:rsidR="00BE5127" w:rsidRPr="00BE5127" w:rsidRDefault="00BE5127" w:rsidP="00BE5127">
      <w:pPr>
        <w:bidi/>
        <w:rPr>
          <w:rFonts w:asciiTheme="majorBidi" w:hAnsiTheme="majorBidi" w:cstheme="majorBidi"/>
          <w:b/>
          <w:bCs/>
          <w:sz w:val="28"/>
          <w:szCs w:val="28"/>
          <w:rtl/>
          <w:lang w:bidi="ar-EG"/>
        </w:rPr>
      </w:pPr>
    </w:p>
    <w:p w14:paraId="437236A1" w14:textId="77777777" w:rsidR="00BE5127" w:rsidRPr="00BE5127" w:rsidRDefault="00BE5127" w:rsidP="00BE5127">
      <w:pPr>
        <w:bidi/>
        <w:rPr>
          <w:rFonts w:asciiTheme="majorBidi" w:hAnsiTheme="majorBidi" w:cstheme="majorBidi"/>
          <w:b/>
          <w:bCs/>
          <w:sz w:val="28"/>
          <w:szCs w:val="28"/>
          <w:rtl/>
          <w:lang w:bidi="ar-EG"/>
        </w:rPr>
      </w:pPr>
    </w:p>
    <w:p w14:paraId="0FA69FAC" w14:textId="77777777" w:rsidR="00BE5127" w:rsidRPr="00BE5127" w:rsidRDefault="00BE5127" w:rsidP="00BE5127">
      <w:pPr>
        <w:bidi/>
        <w:rPr>
          <w:rFonts w:asciiTheme="majorBidi" w:hAnsiTheme="majorBidi" w:cstheme="majorBidi"/>
          <w:b/>
          <w:bCs/>
          <w:sz w:val="28"/>
          <w:szCs w:val="28"/>
          <w:rtl/>
          <w:lang w:bidi="ar-EG"/>
        </w:rPr>
      </w:pPr>
    </w:p>
    <w:p w14:paraId="06485384" w14:textId="77777777" w:rsidR="00BE5127" w:rsidRPr="00BE5127" w:rsidRDefault="00BE5127" w:rsidP="00BE5127">
      <w:pPr>
        <w:bidi/>
        <w:rPr>
          <w:rFonts w:asciiTheme="majorBidi" w:hAnsiTheme="majorBidi" w:cstheme="majorBidi"/>
          <w:b/>
          <w:bCs/>
          <w:sz w:val="28"/>
          <w:szCs w:val="28"/>
          <w:rtl/>
          <w:lang w:bidi="ar-EG"/>
        </w:rPr>
      </w:pPr>
    </w:p>
    <w:p w14:paraId="1FB8B41D" w14:textId="77777777" w:rsidR="00BE5127" w:rsidRPr="00BE5127" w:rsidRDefault="00BE5127" w:rsidP="00BE5127">
      <w:pPr>
        <w:bidi/>
        <w:rPr>
          <w:rFonts w:asciiTheme="majorBidi" w:hAnsiTheme="majorBidi" w:cstheme="majorBidi"/>
          <w:b/>
          <w:bCs/>
          <w:sz w:val="28"/>
          <w:szCs w:val="28"/>
          <w:rtl/>
          <w:lang w:bidi="ar-EG"/>
        </w:rPr>
      </w:pPr>
    </w:p>
    <w:p w14:paraId="0BE2891E" w14:textId="77777777" w:rsidR="00BE5127" w:rsidRPr="00BE5127" w:rsidRDefault="00BE5127" w:rsidP="00BE5127">
      <w:pPr>
        <w:bidi/>
        <w:rPr>
          <w:rFonts w:asciiTheme="majorBidi" w:hAnsiTheme="majorBidi" w:cstheme="majorBidi"/>
          <w:b/>
          <w:bCs/>
          <w:sz w:val="28"/>
          <w:szCs w:val="28"/>
          <w:rtl/>
          <w:lang w:bidi="ar-EG"/>
        </w:rPr>
      </w:pPr>
    </w:p>
    <w:p w14:paraId="0CB2E971" w14:textId="77777777" w:rsidR="00BE5127" w:rsidRPr="00BE5127" w:rsidRDefault="00BE5127" w:rsidP="00BE5127">
      <w:pPr>
        <w:bidi/>
        <w:rPr>
          <w:rFonts w:asciiTheme="majorBidi" w:hAnsiTheme="majorBidi" w:cstheme="majorBidi"/>
          <w:b/>
          <w:bCs/>
          <w:sz w:val="28"/>
          <w:szCs w:val="28"/>
          <w:rtl/>
          <w:lang w:bidi="ar-EG"/>
        </w:rPr>
      </w:pPr>
    </w:p>
    <w:p w14:paraId="46B2479A" w14:textId="77777777" w:rsidR="00BE5127" w:rsidRPr="00BE5127" w:rsidRDefault="00BE5127" w:rsidP="00BE5127">
      <w:pPr>
        <w:bidi/>
        <w:jc w:val="center"/>
        <w:rPr>
          <w:rFonts w:asciiTheme="majorBidi" w:hAnsiTheme="majorBidi" w:cstheme="majorBidi"/>
          <w:b/>
          <w:bCs/>
          <w:sz w:val="32"/>
          <w:szCs w:val="32"/>
          <w:rtl/>
          <w:lang w:bidi="ar-EG"/>
        </w:rPr>
      </w:pPr>
      <w:r w:rsidRPr="00BE5127">
        <w:rPr>
          <w:rFonts w:asciiTheme="majorBidi" w:hAnsiTheme="majorBidi" w:cstheme="majorBidi"/>
          <w:b/>
          <w:bCs/>
          <w:sz w:val="32"/>
          <w:szCs w:val="32"/>
          <w:rtl/>
          <w:lang w:bidi="ar-EG"/>
        </w:rPr>
        <w:t>المبحث الرابع: التحول الرقمي</w:t>
      </w:r>
    </w:p>
    <w:p w14:paraId="4071B796" w14:textId="77777777" w:rsidR="00BE5127" w:rsidRPr="00BE5127" w:rsidRDefault="00BE5127" w:rsidP="00BE5127">
      <w:pPr>
        <w:bidi/>
        <w:rPr>
          <w:rFonts w:asciiTheme="majorBidi" w:hAnsiTheme="majorBidi" w:cstheme="majorBidi"/>
          <w:b/>
          <w:bCs/>
          <w:sz w:val="28"/>
          <w:szCs w:val="28"/>
          <w:rtl/>
        </w:rPr>
      </w:pPr>
      <w:r w:rsidRPr="00BE5127">
        <w:rPr>
          <w:rFonts w:asciiTheme="majorBidi" w:hAnsiTheme="majorBidi" w:cstheme="majorBidi"/>
          <w:b/>
          <w:bCs/>
          <w:sz w:val="28"/>
          <w:szCs w:val="28"/>
          <w:rtl/>
        </w:rPr>
        <w:t>مفهوم التحول الرقمي:</w:t>
      </w:r>
    </w:p>
    <w:p w14:paraId="659CCAC2" w14:textId="77777777" w:rsidR="00BE5127" w:rsidRPr="00BE5127" w:rsidRDefault="00BE5127" w:rsidP="00BE5127">
      <w:pPr>
        <w:bidi/>
        <w:ind w:firstLine="720"/>
        <w:jc w:val="both"/>
        <w:rPr>
          <w:rFonts w:asciiTheme="majorBidi" w:hAnsiTheme="majorBidi" w:cstheme="majorBidi"/>
          <w:sz w:val="28"/>
          <w:szCs w:val="28"/>
        </w:rPr>
      </w:pPr>
      <w:r w:rsidRPr="00BE5127">
        <w:rPr>
          <w:rFonts w:asciiTheme="majorBidi" w:hAnsiTheme="majorBidi" w:cstheme="majorBidi"/>
          <w:sz w:val="28"/>
          <w:szCs w:val="28"/>
          <w:rtl/>
        </w:rPr>
        <w:t>يُعرَّف التحول الرقمي بأنه عملية توظيف التقنيات الرقمية الحديثة في مختلف أنشطة وعمليات المؤسسة بهدف تطوير أساليب العمل وتحسين كفاءة الأداء، بما يسهم في تقديم خدمات أكثر سرعة ومرونة وتحقيق قيمة مضافة للمستفيدين</w:t>
      </w:r>
      <w:r w:rsidRPr="00BE5127">
        <w:rPr>
          <w:rFonts w:asciiTheme="majorBidi" w:hAnsiTheme="majorBidi" w:cstheme="majorBidi"/>
          <w:sz w:val="28"/>
          <w:szCs w:val="28"/>
        </w:rPr>
        <w:t>.</w:t>
      </w:r>
      <w:r w:rsidRPr="00BE5127">
        <w:rPr>
          <w:rFonts w:asciiTheme="majorBidi" w:hAnsiTheme="majorBidi" w:cstheme="majorBidi"/>
          <w:sz w:val="28"/>
          <w:szCs w:val="28"/>
          <w:rtl/>
        </w:rPr>
        <w:t xml:space="preserve"> </w:t>
      </w:r>
      <w:r w:rsidRPr="00BE5127">
        <w:rPr>
          <w:rFonts w:asciiTheme="majorBidi" w:hAnsiTheme="majorBidi" w:cstheme="majorBidi"/>
          <w:sz w:val="28"/>
          <w:szCs w:val="28"/>
        </w:rPr>
        <w:t>(Omol, 2024, p. 240)</w:t>
      </w:r>
    </w:p>
    <w:p w14:paraId="4B1B6970" w14:textId="77777777" w:rsidR="00BE5127" w:rsidRPr="00BE5127" w:rsidRDefault="00BE5127" w:rsidP="00BE5127">
      <w:pPr>
        <w:bidi/>
        <w:ind w:firstLine="720"/>
        <w:jc w:val="both"/>
        <w:rPr>
          <w:rFonts w:asciiTheme="majorBidi" w:hAnsiTheme="majorBidi" w:cstheme="majorBidi"/>
          <w:sz w:val="28"/>
          <w:szCs w:val="28"/>
        </w:rPr>
      </w:pPr>
      <w:r w:rsidRPr="00BE5127">
        <w:rPr>
          <w:rFonts w:asciiTheme="majorBidi" w:hAnsiTheme="majorBidi" w:cstheme="majorBidi"/>
          <w:sz w:val="28"/>
          <w:szCs w:val="28"/>
          <w:rtl/>
        </w:rPr>
        <w:t>ويقصد بالتحول الرقمي إحداث تغيير جوهري في نماذج الأعمال والعمليات التنظيمية من خلال الاعتماد على التقنيات الرقمية المتقدمة، بما يمكن المؤسسات من تحسين جودة الخدمات ورفع مستوى الكفاءة التشغيلية وتعزيز قدرتها التنافسية</w:t>
      </w:r>
      <w:r w:rsidRPr="00BE5127">
        <w:rPr>
          <w:rFonts w:asciiTheme="majorBidi" w:hAnsiTheme="majorBidi" w:cstheme="majorBidi"/>
          <w:sz w:val="28"/>
          <w:szCs w:val="28"/>
        </w:rPr>
        <w:t>.</w:t>
      </w:r>
      <w:r w:rsidRPr="00BE5127">
        <w:rPr>
          <w:rFonts w:asciiTheme="majorBidi" w:hAnsiTheme="majorBidi" w:cstheme="majorBidi"/>
          <w:sz w:val="28"/>
          <w:szCs w:val="28"/>
          <w:rtl/>
        </w:rPr>
        <w:t xml:space="preserve"> </w:t>
      </w:r>
      <w:r w:rsidRPr="00BE5127">
        <w:rPr>
          <w:rFonts w:asciiTheme="majorBidi" w:hAnsiTheme="majorBidi" w:cstheme="majorBidi"/>
          <w:sz w:val="28"/>
          <w:szCs w:val="28"/>
        </w:rPr>
        <w:t>(Plekhanov et al., 2023, p. 821)</w:t>
      </w:r>
    </w:p>
    <w:p w14:paraId="75A8DC47" w14:textId="77777777" w:rsidR="00BE5127" w:rsidRPr="00BE5127" w:rsidRDefault="00BE5127" w:rsidP="00BE5127">
      <w:pPr>
        <w:bidi/>
        <w:ind w:firstLine="720"/>
        <w:jc w:val="both"/>
        <w:rPr>
          <w:rFonts w:asciiTheme="majorBidi" w:hAnsiTheme="majorBidi" w:cstheme="majorBidi"/>
          <w:sz w:val="28"/>
          <w:szCs w:val="28"/>
        </w:rPr>
      </w:pPr>
      <w:r w:rsidRPr="00BE5127">
        <w:rPr>
          <w:rFonts w:asciiTheme="majorBidi" w:hAnsiTheme="majorBidi" w:cstheme="majorBidi"/>
          <w:sz w:val="28"/>
          <w:szCs w:val="28"/>
          <w:rtl/>
        </w:rPr>
        <w:t>كما يشير التحول الرقمي إلى عملية استراتيجية تقوم على دمج التكنولوجيا الرقمية في جميع مجالات العمل المؤسسي، الأمر الذي يؤدي إلى إعادة تصميم العمليات والإجراءات التقليدية وتحويلها إلى عمليات رقمية أكثر كفاءة وفعالية</w:t>
      </w:r>
      <w:r w:rsidRPr="00BE5127">
        <w:rPr>
          <w:rFonts w:asciiTheme="majorBidi" w:hAnsiTheme="majorBidi" w:cstheme="majorBidi"/>
          <w:sz w:val="28"/>
          <w:szCs w:val="28"/>
        </w:rPr>
        <w:t>.</w:t>
      </w:r>
      <w:r w:rsidRPr="00BE5127">
        <w:rPr>
          <w:rFonts w:asciiTheme="majorBidi" w:hAnsiTheme="majorBidi" w:cstheme="majorBidi"/>
          <w:sz w:val="28"/>
          <w:szCs w:val="28"/>
          <w:rtl/>
        </w:rPr>
        <w:t xml:space="preserve"> ومن منظور إداري يُنظر إلى التحول الرقمي باعتباره تحولًا شاملاً في طريقة إدارة الموارد والمعلومات داخل المؤسسة من خلال استخدام النظم الرقمية وقواعد البيانات المتقدمة، بما يدعم عملية اتخاذ القرار ويحسن مستوى الأداء المؤسسي</w:t>
      </w:r>
      <w:r w:rsidRPr="00BE5127">
        <w:rPr>
          <w:rFonts w:asciiTheme="majorBidi" w:hAnsiTheme="majorBidi" w:cstheme="majorBidi"/>
          <w:sz w:val="28"/>
          <w:szCs w:val="28"/>
        </w:rPr>
        <w:t>.</w:t>
      </w:r>
      <w:r w:rsidRPr="00BE5127">
        <w:rPr>
          <w:rFonts w:asciiTheme="majorBidi" w:hAnsiTheme="majorBidi" w:cstheme="majorBidi"/>
          <w:sz w:val="28"/>
          <w:szCs w:val="28"/>
          <w:rtl/>
        </w:rPr>
        <w:t xml:space="preserve"> </w:t>
      </w:r>
      <w:r w:rsidRPr="00BE5127">
        <w:rPr>
          <w:rFonts w:asciiTheme="majorBidi" w:hAnsiTheme="majorBidi" w:cstheme="majorBidi"/>
          <w:sz w:val="28"/>
          <w:szCs w:val="28"/>
        </w:rPr>
        <w:t>(</w:t>
      </w:r>
      <w:proofErr w:type="spellStart"/>
      <w:r w:rsidRPr="00BE5127">
        <w:rPr>
          <w:rFonts w:asciiTheme="majorBidi" w:hAnsiTheme="majorBidi" w:cstheme="majorBidi"/>
          <w:sz w:val="28"/>
          <w:szCs w:val="28"/>
        </w:rPr>
        <w:t>Hendrawan</w:t>
      </w:r>
      <w:proofErr w:type="spellEnd"/>
      <w:r w:rsidRPr="00BE5127">
        <w:rPr>
          <w:rFonts w:asciiTheme="majorBidi" w:hAnsiTheme="majorBidi" w:cstheme="majorBidi"/>
          <w:sz w:val="28"/>
          <w:szCs w:val="28"/>
        </w:rPr>
        <w:t xml:space="preserve"> et al., 2024, p. 141)</w:t>
      </w:r>
    </w:p>
    <w:p w14:paraId="6A1793E4" w14:textId="77777777" w:rsidR="00BE5127" w:rsidRPr="00BE5127" w:rsidRDefault="00BE5127" w:rsidP="00BE5127">
      <w:pPr>
        <w:bidi/>
        <w:ind w:firstLine="720"/>
        <w:jc w:val="both"/>
        <w:rPr>
          <w:rFonts w:asciiTheme="majorBidi" w:hAnsiTheme="majorBidi" w:cstheme="majorBidi"/>
          <w:sz w:val="28"/>
          <w:szCs w:val="28"/>
          <w:rtl/>
        </w:rPr>
      </w:pPr>
      <w:r w:rsidRPr="00BE5127">
        <w:rPr>
          <w:rFonts w:asciiTheme="majorBidi" w:hAnsiTheme="majorBidi" w:cstheme="majorBidi"/>
          <w:sz w:val="28"/>
          <w:szCs w:val="28"/>
          <w:rtl/>
        </w:rPr>
        <w:t xml:space="preserve">في سياق التطور التكنولوجي المتسارع يُفهم التحول الرقمي على أنه عملية مستمرة تهدف إلى استثمار التقنيات الرقمية الحديثة لتطوير المنتجات والخدمات وتحسين تجربة المستفيدين، مع تعزيز </w:t>
      </w:r>
      <w:r w:rsidRPr="00BE5127">
        <w:rPr>
          <w:rFonts w:asciiTheme="majorBidi" w:hAnsiTheme="majorBidi" w:cstheme="majorBidi"/>
          <w:sz w:val="28"/>
          <w:szCs w:val="28"/>
          <w:rtl/>
        </w:rPr>
        <w:lastRenderedPageBreak/>
        <w:t xml:space="preserve">قدرة المؤسسات على الابتكار والتكيف مع متطلبات البيئة الرقمية. </w:t>
      </w:r>
      <w:r w:rsidRPr="00BE5127">
        <w:rPr>
          <w:rFonts w:asciiTheme="majorBidi" w:hAnsiTheme="majorBidi" w:cstheme="majorBidi"/>
          <w:sz w:val="28"/>
          <w:szCs w:val="28"/>
        </w:rPr>
        <w:t>(Fernandez-Vidal et al., 2022, p. 29)</w:t>
      </w:r>
    </w:p>
    <w:p w14:paraId="259174A9" w14:textId="77777777" w:rsidR="00BE5127" w:rsidRPr="00BE5127" w:rsidRDefault="00BE5127" w:rsidP="00BE5127">
      <w:pPr>
        <w:bidi/>
        <w:ind w:firstLine="720"/>
        <w:jc w:val="both"/>
        <w:rPr>
          <w:rFonts w:asciiTheme="majorBidi" w:hAnsiTheme="majorBidi" w:cstheme="majorBidi"/>
          <w:sz w:val="28"/>
          <w:szCs w:val="28"/>
          <w:rtl/>
        </w:rPr>
      </w:pPr>
      <w:r w:rsidRPr="00BE5127">
        <w:rPr>
          <w:rFonts w:asciiTheme="majorBidi" w:hAnsiTheme="majorBidi" w:cstheme="majorBidi"/>
          <w:sz w:val="28"/>
          <w:szCs w:val="28"/>
          <w:rtl/>
        </w:rPr>
        <w:t>ومما سبق يمكن تعريف التحول الرقمي بأنه عملية استراتيجية شاملة تهدف إلى توظيف التقنيات الرقمية الحديثة في مختلف أنشطة وعمليات المؤسسات، بما يسهم في إعادة تصميم نماذج الأعمال وتحسين كفاءة الأداء وتعزيز القدرة على الابتكار، فضلاً عن دعم عملية اتخاذ القرار وتقديم خدمات أكثر جودة ومرونة بما يتوافق مع متطلبات البيئة الرقمية المتسارعة.</w:t>
      </w:r>
    </w:p>
    <w:p w14:paraId="58354146" w14:textId="77777777" w:rsidR="00BE5127" w:rsidRPr="00BE5127" w:rsidRDefault="00BE5127" w:rsidP="00BE5127">
      <w:pPr>
        <w:bidi/>
        <w:rPr>
          <w:rFonts w:asciiTheme="majorBidi" w:hAnsiTheme="majorBidi" w:cstheme="majorBidi"/>
          <w:b/>
          <w:bCs/>
          <w:sz w:val="28"/>
          <w:szCs w:val="28"/>
          <w:rtl/>
          <w:lang w:bidi="ar-EG"/>
        </w:rPr>
      </w:pPr>
      <w:r w:rsidRPr="00BE5127">
        <w:rPr>
          <w:rFonts w:asciiTheme="majorBidi" w:hAnsiTheme="majorBidi" w:cstheme="majorBidi"/>
          <w:b/>
          <w:bCs/>
          <w:sz w:val="28"/>
          <w:szCs w:val="28"/>
          <w:rtl/>
        </w:rPr>
        <w:t>ركائز ومتطلبات البنية التحتية للتحول الرقمي في المنظمات</w:t>
      </w:r>
    </w:p>
    <w:p w14:paraId="0E15F805" w14:textId="77777777" w:rsidR="00BE5127" w:rsidRPr="00BE5127" w:rsidRDefault="00BE5127" w:rsidP="00BE5127">
      <w:pPr>
        <w:bidi/>
        <w:ind w:firstLine="720"/>
        <w:jc w:val="both"/>
        <w:rPr>
          <w:rFonts w:asciiTheme="majorBidi" w:hAnsiTheme="majorBidi" w:cstheme="majorBidi"/>
          <w:sz w:val="28"/>
          <w:szCs w:val="28"/>
        </w:rPr>
      </w:pPr>
      <w:r w:rsidRPr="00BE5127">
        <w:rPr>
          <w:rFonts w:asciiTheme="majorBidi" w:hAnsiTheme="majorBidi" w:cstheme="majorBidi"/>
          <w:sz w:val="28"/>
          <w:szCs w:val="28"/>
          <w:rtl/>
        </w:rPr>
        <w:t>في ظل التسارع المتزايد في تبني تقنيات التحول الرقمي داخل المؤسسات، أصبحت البنية التحتية الرقمية أحد المرتكزات الأساسية التي تدعم كفاءة العمليات وتعزز القدرة على تحقيق الأهداف الاستراتيجية. إذ لا يقتصر التحول الرقمي على إدخال التقنيات الحديثة فحسب، بل يتطلب وجود منظومة متكاملة من الموارد التكنولوجية تشمل الأجهزة، والبرمجيات، وشبكات الاتصال، إضافة إلى الكفاءات البشرية القادرة على إدارة هذه التقنيات وتوظيفها بفاعلية. وفي هذا الإطار، يمثل تطوير وتحليل البنية التحتية الرقمية عنصرًا محوريًا في تمكين المؤسسات من تطبيق الابتكارات الرقمية المختلفة، ومن بينها تقنيات الذكاء الاصطناعي، بما يسهم في تحسين الأداء المؤسسي، وتعزيز المرونة التشغيلية، ودعم عملية التحول الرقمي بشكل مستدام.</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(Al-Baity, 2023, p.13725)</w:t>
      </w:r>
    </w:p>
    <w:p w14:paraId="7BD88645" w14:textId="77777777" w:rsidR="00BE5127" w:rsidRPr="00BE5127" w:rsidRDefault="00BE5127" w:rsidP="00BE5127">
      <w:pPr>
        <w:pStyle w:val="a3"/>
        <w:numPr>
          <w:ilvl w:val="0"/>
          <w:numId w:val="9"/>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الأجهزة الحاسوبية المتقدمة</w:t>
      </w:r>
      <w:r w:rsidRPr="00BE5127">
        <w:rPr>
          <w:rFonts w:asciiTheme="majorBidi" w:hAnsiTheme="majorBidi" w:cstheme="majorBidi"/>
          <w:b/>
          <w:bCs/>
          <w:sz w:val="28"/>
          <w:szCs w:val="28"/>
          <w:rtl/>
          <w:lang w:bidi="ar-EG"/>
        </w:rPr>
        <w:t>:</w:t>
      </w:r>
    </w:p>
    <w:p w14:paraId="3CA3F695"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lang w:bidi="ar-EG"/>
        </w:rPr>
        <w:t xml:space="preserve">تُعد القدرة الحاسوبية المتقدمة ركيزة أساسية في دعم مبادرات التحول الرقمي داخل المؤسسات، نظرًا لاعتماد الأنظمة الحديثة على معالجة كميات ضخمة ومتنوعة من البيانات بكفاءة وسرعة عالية. ويتطلب ذلك توافر بنية تحتية حاسوبية متكاملة، تشمل وحدات معالجة مركزية متطورة، ومعالجات رسومية متخصصة تسهم في تسريع عمليات التحليل، إلى جانب شبكات اتصال عالية الأداء تضمن انسيابية تدفق البيانات بين مختلف الأنظمة. كما يمتد هذا الجانب ليشمل توفير حلول تخزين متقدمة، سواء عبر الخوادم المحلية أو من خلال خدمات الحوسبة السحابية، بما يتيح حفظ كميات كبيرة من البيانات وإمكانية الوصول إليها في الوقت المناسب. وفي سياق التحول الرقمي، تبرز أهمية قيام المؤسسات بتقييم حجم عملياتها الرقمية وطبيعة البيانات التي تتعامل معها، بهدف تحديد المستوى الملائم من الموارد الحاسوبية. ومن هذا المنطلق، يسهم هذا التقييم في تحقيق توازن فعّال بين رفع الكفاءة التشغيلية وترشيد الاستثمارات في البنية التحتية التقنية، بما يعزز قدرة المؤسسة على تنفيذ مبادرات التحول الرقمي بكفاءة واستدامة. </w:t>
      </w:r>
      <w:r w:rsidRPr="00BE5127">
        <w:rPr>
          <w:rFonts w:asciiTheme="majorBidi" w:hAnsiTheme="majorBidi" w:cstheme="majorBidi"/>
          <w:sz w:val="28"/>
          <w:szCs w:val="28"/>
        </w:rPr>
        <w:t>(Plekhanov et al., 2023, p. 821)</w:t>
      </w:r>
    </w:p>
    <w:p w14:paraId="79379328" w14:textId="77777777" w:rsidR="00BE5127" w:rsidRPr="00BE5127" w:rsidRDefault="00BE5127" w:rsidP="00BE5127">
      <w:pPr>
        <w:pStyle w:val="a3"/>
        <w:numPr>
          <w:ilvl w:val="0"/>
          <w:numId w:val="9"/>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البرمجيات وأنظمة إدارة البيانات</w:t>
      </w:r>
      <w:r w:rsidRPr="00BE5127">
        <w:rPr>
          <w:rFonts w:asciiTheme="majorBidi" w:hAnsiTheme="majorBidi" w:cstheme="majorBidi"/>
          <w:b/>
          <w:bCs/>
          <w:sz w:val="28"/>
          <w:szCs w:val="28"/>
          <w:rtl/>
          <w:lang w:bidi="ar-EG"/>
        </w:rPr>
        <w:t>:</w:t>
      </w:r>
    </w:p>
    <w:p w14:paraId="64156E59"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rPr>
        <w:t xml:space="preserve">تمثل البرمجيات المتقدمة وأنظمة إدارة البيانات عنصرًا محوريًا في دعم جهود التحول الرقمي داخل المؤسسات، إذ تسهم في تنظيم البيانات المؤسسية وتحليلها وتحويلها إلى معلومات ذات قيمة يمكن الاستفادة منها في تحسين الأداء واتخاذ القرارات. وتشمل هذه الأنظمة قواعد البيانات المختلفة التي تستوعب البيانات المهيكلة وغير المهيكلة، إضافة إلى أدوات تحليل البيانات الضخمة التي تمكّن المؤسسات من استكشاف الأنماط والاتجاهات الكامنة في البيانات. كما تتضمن بيئة التحول الرقمي منصات رقمية متقدمة تتيح تطوير التطبيقات الذكية وتحسين </w:t>
      </w:r>
      <w:r w:rsidRPr="00BE5127">
        <w:rPr>
          <w:rFonts w:asciiTheme="majorBidi" w:hAnsiTheme="majorBidi" w:cstheme="majorBidi"/>
          <w:sz w:val="28"/>
          <w:szCs w:val="28"/>
          <w:rtl/>
        </w:rPr>
        <w:lastRenderedPageBreak/>
        <w:t xml:space="preserve">العمليات التشغيلية، إلى جانب واجهات برمجية تساعد على تحقيق التكامل بين الأنظمة المختلفة داخل المؤسسة. ويكمن التحدي في اختيار البرمجيات التي تتوافق مع متطلبات المؤسسة الحالية وتدعم توسعها المستقبلي، مع ضمان مرونة هذه الأنظمة وقدرتها على التحديث والتطوير بما يتلاءم مع التطورات التكنولوجية المتسارعة. ومن هذا المنطلق، يُعد تبني نظم إدارة بيانات متكاملة خطوة استراتيجية في مسار التحول الرقمي، إذ يسهم ذلك في تحسين كفاءة العمليات وتعزيز قدرة المؤسسات على الاستفادة من البيانات في دعم الأداء المؤسسي. </w:t>
      </w:r>
      <w:r w:rsidRPr="00BE5127">
        <w:rPr>
          <w:rFonts w:asciiTheme="majorBidi" w:hAnsiTheme="majorBidi" w:cstheme="majorBidi"/>
          <w:sz w:val="28"/>
          <w:szCs w:val="28"/>
        </w:rPr>
        <w:t>(Alharbi, 2024, p.113)</w:t>
      </w:r>
    </w:p>
    <w:p w14:paraId="25374040" w14:textId="77777777" w:rsidR="00BE5127" w:rsidRPr="00BE5127" w:rsidRDefault="00BE5127" w:rsidP="00BE5127">
      <w:pPr>
        <w:pStyle w:val="a3"/>
        <w:numPr>
          <w:ilvl w:val="0"/>
          <w:numId w:val="9"/>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أمن البيانات وحوكمتها</w:t>
      </w:r>
      <w:r w:rsidRPr="00BE5127">
        <w:rPr>
          <w:rFonts w:asciiTheme="majorBidi" w:hAnsiTheme="majorBidi" w:cstheme="majorBidi"/>
          <w:b/>
          <w:bCs/>
          <w:sz w:val="28"/>
          <w:szCs w:val="28"/>
          <w:lang w:bidi="ar-EG"/>
        </w:rPr>
        <w:t>:</w:t>
      </w:r>
    </w:p>
    <w:p w14:paraId="53A88AA6" w14:textId="77777777" w:rsidR="00BE5127" w:rsidRPr="00BE5127" w:rsidRDefault="00BE5127" w:rsidP="00BE5127">
      <w:pPr>
        <w:pStyle w:val="a3"/>
        <w:bidi/>
        <w:jc w:val="both"/>
        <w:rPr>
          <w:rFonts w:asciiTheme="majorBidi" w:hAnsiTheme="majorBidi" w:cstheme="majorBidi"/>
          <w:sz w:val="28"/>
          <w:szCs w:val="28"/>
          <w:lang w:bidi="ar-EG"/>
        </w:rPr>
      </w:pPr>
      <w:r w:rsidRPr="00BE5127">
        <w:rPr>
          <w:rFonts w:asciiTheme="majorBidi" w:hAnsiTheme="majorBidi" w:cstheme="majorBidi"/>
          <w:sz w:val="28"/>
          <w:szCs w:val="28"/>
          <w:rtl/>
        </w:rPr>
        <w:t>يمثل أمن البيانات وحوكمتها أحد المحاور الجوهرية في بناء بيئة رقمية آمنة وموثوقة تدعم مسيرة التحول الرقمي في المؤسسات. فمع التوسع في استخدام الأنظمة الرقمية وتبادل البيانات عبر المنصات المختلفة، تزداد أهمية وضع سياسات وإجراءات واضحة لحماية البيانات وضمان سلامتها وسريتها. ويتطلب ذلك تطبيق آليات فعالة لإدارة صلاحيات الوصول إلى البيانات، ومراقبة تدفقات المعلومات داخل الأنظمة الرقمية، إضافة إلى استخدام تقنيات متقدمة للحماية من التهديدات والهجمات السيبرانية. كما تشمل حوكمة البيانات وضع أطر تنظيمية تحدد كيفية إدارة البيانات واستخدامها وتخزينها، مع ضمان الالتزام بالمعايير والتشريعات المحلية والدولية المتعلقة بحماية المعلومات. ومن منظور التحول الرقمي، فإن دمج مفاهيم الأمن السيبراني مع إدارة البيانات يسهم في تعزيز الثقة في الأنظمة الرقمية، كما يدعم قدرة المؤسسات على استخدام البيانات بشكل فعال في تحسين العمليات واتخاذ القرارات المبنية على معلومات دقيقة وموثوقة.</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Pr>
        <w:t>(Alhazmi et al., 2025, p.1)</w:t>
      </w:r>
    </w:p>
    <w:p w14:paraId="03DBF360" w14:textId="77777777" w:rsidR="00BE5127" w:rsidRPr="00BE5127" w:rsidRDefault="00BE5127" w:rsidP="00BE5127">
      <w:pPr>
        <w:pStyle w:val="a3"/>
        <w:numPr>
          <w:ilvl w:val="0"/>
          <w:numId w:val="9"/>
        </w:num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الكوادر البشرية المؤهلة</w:t>
      </w:r>
      <w:r w:rsidRPr="00BE5127">
        <w:rPr>
          <w:rFonts w:asciiTheme="majorBidi" w:hAnsiTheme="majorBidi" w:cstheme="majorBidi"/>
          <w:b/>
          <w:bCs/>
          <w:sz w:val="28"/>
          <w:szCs w:val="28"/>
          <w:lang w:bidi="ar-EG"/>
        </w:rPr>
        <w:t>:</w:t>
      </w:r>
    </w:p>
    <w:p w14:paraId="28146106" w14:textId="77777777" w:rsidR="00BE5127" w:rsidRPr="00BE5127" w:rsidRDefault="00BE5127" w:rsidP="00BE5127">
      <w:pPr>
        <w:pStyle w:val="a3"/>
        <w:bidi/>
        <w:jc w:val="both"/>
        <w:rPr>
          <w:rFonts w:asciiTheme="majorBidi" w:hAnsiTheme="majorBidi" w:cstheme="majorBidi"/>
          <w:sz w:val="28"/>
          <w:szCs w:val="28"/>
          <w:rtl/>
          <w:lang w:bidi="ar-EG"/>
        </w:rPr>
      </w:pPr>
      <w:r w:rsidRPr="00BE5127">
        <w:rPr>
          <w:rFonts w:asciiTheme="majorBidi" w:hAnsiTheme="majorBidi" w:cstheme="majorBidi"/>
          <w:sz w:val="28"/>
          <w:szCs w:val="28"/>
          <w:rtl/>
          <w:lang w:bidi="ar-EG"/>
        </w:rPr>
        <w:t xml:space="preserve">لا يمكن لمبادرات التحول الرقمي أن تحقق أهدافها بكفاءة دون توافر كوادر بشرية مؤهلة تمتلك المهارات والمعارف اللازمة للتعامل مع التقنيات الرقمية الحديثة. إذ يتطلب هذا التحول وجود متخصصين قادرين على إدارة الأنظمة التقنية، وتحليل البيانات، وتطوير حلول رقمية تسهم في تحسين الأداء المؤسسي وتعزيز كفاءته. كما يفرض ذلك على المؤسسات الاستثمار المستمر في برامج التدريب والتطوير، بهدف رفع مستوى المهارات الرقمية لدى العاملين وتمكينهم من الاستخدام الفعّال للأدوات والتقنيات الحديثة. ولا يقتصر دور الكفاءات البشرية على التشغيل الفني فحسب، بل يمتد ليشمل توظيف مخرجات التحليل الرقمي في دعم عملية صنع القرار وتطوير الاستراتيجيات المؤسسية. ومن هذا المنظور، فإن التكامل بين القدرات التقنية والمهارات البشرية يمثل عاملًا حاسمًا في تعزيز الابتكار المؤسسي، وتمكين المؤسسات من التكيف مع المتغيرات التكنولوجية المتسارعة، بما يضمن استدامة التحول الرقمي وتحقيق أهدافه على المدى البعيد. </w:t>
      </w:r>
      <w:r w:rsidRPr="00BE5127">
        <w:rPr>
          <w:rFonts w:asciiTheme="majorBidi" w:hAnsiTheme="majorBidi" w:cstheme="majorBidi"/>
          <w:sz w:val="28"/>
          <w:szCs w:val="28"/>
        </w:rPr>
        <w:t>(Fernandez-Vidal et al., 2022, p. 29)</w:t>
      </w:r>
    </w:p>
    <w:p w14:paraId="30DAF108" w14:textId="77777777" w:rsidR="00BE5127" w:rsidRPr="00BE5127" w:rsidRDefault="00BE5127" w:rsidP="00BE5127">
      <w:pPr>
        <w:pStyle w:val="a3"/>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مما سبق يتضح أن البنية التحتية الرقمية للتحول الرقمي لا تقتصر على توافر التقنيات والأدوات الحديثة فحسب، بل تمثل منظومة متكاملة تضم الأجهزة الحاسوبية المتقدمة، والبرمجيات المرنة، وأنظمة إدارة البيانات، وآليات الأمن السيبراني، إلى جانب الكوادر البشرية المؤهلة. ويسهم تكامل هذه العناصر في تمكين المؤسسات من تنفيذ مبادرات التحول الرقمي بكفاءة وفاعلية، بما يدعم تحسين الأداء التشغيلي، ويعزز القدرة على الابتكار، ويسهم في تحقيق الأهداف الاستراتيجية والتنموية للمؤسسات في بيئة أعمال تتسم بالتغير المستمر</w:t>
      </w:r>
      <w:r w:rsidRPr="00BE5127">
        <w:rPr>
          <w:rFonts w:asciiTheme="majorBidi" w:hAnsiTheme="majorBidi" w:cstheme="majorBidi"/>
          <w:sz w:val="28"/>
          <w:szCs w:val="28"/>
        </w:rPr>
        <w:t>.</w:t>
      </w:r>
    </w:p>
    <w:p w14:paraId="5A5D8F2E" w14:textId="77777777" w:rsidR="00BE5127" w:rsidRPr="00BE5127" w:rsidRDefault="00BE5127" w:rsidP="00BE5127">
      <w:pPr>
        <w:bidi/>
        <w:rPr>
          <w:rFonts w:asciiTheme="majorBidi" w:hAnsiTheme="majorBidi" w:cstheme="majorBidi"/>
          <w:b/>
          <w:bCs/>
          <w:sz w:val="28"/>
          <w:szCs w:val="28"/>
          <w:rtl/>
          <w:lang w:bidi="ar-EG"/>
        </w:rPr>
      </w:pPr>
    </w:p>
    <w:p w14:paraId="524AB84B" w14:textId="77777777" w:rsidR="00BE5127" w:rsidRPr="00BE5127" w:rsidRDefault="00BE5127" w:rsidP="00BE5127">
      <w:pPr>
        <w:bidi/>
        <w:rPr>
          <w:rFonts w:asciiTheme="majorBidi" w:hAnsiTheme="majorBidi" w:cstheme="majorBidi"/>
          <w:b/>
          <w:bCs/>
          <w:sz w:val="28"/>
          <w:szCs w:val="28"/>
          <w:rtl/>
          <w:lang w:bidi="ar-EG"/>
        </w:rPr>
      </w:pPr>
    </w:p>
    <w:p w14:paraId="178CF442" w14:textId="77777777" w:rsidR="00BE5127" w:rsidRPr="00BE5127" w:rsidRDefault="00BE5127" w:rsidP="00BE5127">
      <w:pPr>
        <w:bidi/>
        <w:rPr>
          <w:rFonts w:asciiTheme="majorBidi" w:hAnsiTheme="majorBidi" w:cstheme="majorBidi"/>
          <w:b/>
          <w:bCs/>
          <w:sz w:val="28"/>
          <w:szCs w:val="28"/>
          <w:rtl/>
          <w:lang w:bidi="ar-EG"/>
        </w:rPr>
      </w:pPr>
    </w:p>
    <w:p w14:paraId="158347BE" w14:textId="77777777" w:rsidR="00BE5127" w:rsidRPr="00BE5127" w:rsidRDefault="00BE5127" w:rsidP="00BE5127">
      <w:pPr>
        <w:bidi/>
        <w:rPr>
          <w:rFonts w:asciiTheme="majorBidi" w:hAnsiTheme="majorBidi" w:cstheme="majorBidi"/>
          <w:b/>
          <w:bCs/>
          <w:sz w:val="28"/>
          <w:szCs w:val="28"/>
          <w:rtl/>
          <w:lang w:bidi="ar-EG"/>
        </w:rPr>
      </w:pPr>
    </w:p>
    <w:p w14:paraId="68640D9A" w14:textId="77777777" w:rsidR="00BE5127" w:rsidRPr="00BE5127" w:rsidRDefault="00BE5127" w:rsidP="00BE5127">
      <w:pPr>
        <w:bidi/>
        <w:rPr>
          <w:rFonts w:asciiTheme="majorBidi" w:hAnsiTheme="majorBidi" w:cstheme="majorBidi"/>
          <w:b/>
          <w:bCs/>
          <w:sz w:val="28"/>
          <w:szCs w:val="28"/>
          <w:rtl/>
          <w:lang w:bidi="ar-EG"/>
        </w:rPr>
      </w:pPr>
    </w:p>
    <w:p w14:paraId="616AB505" w14:textId="77777777" w:rsidR="00BE5127" w:rsidRPr="00BE5127" w:rsidRDefault="00BE5127" w:rsidP="00BE5127">
      <w:pPr>
        <w:bidi/>
        <w:rPr>
          <w:rFonts w:asciiTheme="majorBidi" w:hAnsiTheme="majorBidi" w:cstheme="majorBidi"/>
          <w:b/>
          <w:bCs/>
          <w:sz w:val="28"/>
          <w:szCs w:val="28"/>
          <w:rtl/>
          <w:lang w:bidi="ar-EG"/>
        </w:rPr>
      </w:pPr>
    </w:p>
    <w:p w14:paraId="55AF661E" w14:textId="77777777" w:rsidR="00BE5127" w:rsidRPr="00BE5127" w:rsidRDefault="00BE5127" w:rsidP="00BE5127">
      <w:pPr>
        <w:bidi/>
        <w:rPr>
          <w:rFonts w:asciiTheme="majorBidi" w:hAnsiTheme="majorBidi" w:cstheme="majorBidi"/>
          <w:b/>
          <w:bCs/>
          <w:sz w:val="28"/>
          <w:szCs w:val="28"/>
          <w:rtl/>
          <w:lang w:bidi="ar-EG"/>
        </w:rPr>
      </w:pPr>
    </w:p>
    <w:p w14:paraId="44ED7CEB" w14:textId="77777777" w:rsidR="00BE5127" w:rsidRPr="00BE5127" w:rsidRDefault="00BE5127" w:rsidP="00BE5127">
      <w:pPr>
        <w:bidi/>
        <w:rPr>
          <w:rFonts w:asciiTheme="majorBidi" w:hAnsiTheme="majorBidi" w:cstheme="majorBidi"/>
          <w:b/>
          <w:bCs/>
          <w:sz w:val="28"/>
          <w:szCs w:val="28"/>
          <w:rtl/>
          <w:lang w:bidi="ar-EG"/>
        </w:rPr>
      </w:pPr>
    </w:p>
    <w:p w14:paraId="65DE0C0D" w14:textId="77777777" w:rsidR="00BE5127" w:rsidRPr="00BE5127" w:rsidRDefault="00BE5127" w:rsidP="00BE5127">
      <w:pPr>
        <w:bidi/>
        <w:spacing w:before="100" w:beforeAutospacing="1" w:after="100" w:afterAutospacing="1"/>
        <w:jc w:val="center"/>
        <w:rPr>
          <w:rFonts w:asciiTheme="majorBidi" w:hAnsiTheme="majorBidi" w:cstheme="majorBidi"/>
          <w:b/>
          <w:bCs/>
          <w:sz w:val="32"/>
          <w:szCs w:val="32"/>
          <w:rtl/>
          <w:lang w:bidi="ar-EG"/>
        </w:rPr>
      </w:pPr>
      <w:r w:rsidRPr="00BE5127">
        <w:rPr>
          <w:rFonts w:asciiTheme="majorBidi" w:hAnsiTheme="majorBidi" w:cstheme="majorBidi"/>
          <w:b/>
          <w:bCs/>
          <w:sz w:val="32"/>
          <w:szCs w:val="32"/>
          <w:rtl/>
          <w:lang w:bidi="ar-EG"/>
        </w:rPr>
        <w:t>المبحث الخامس: رؤية 2030</w:t>
      </w:r>
    </w:p>
    <w:p w14:paraId="12812FE8" w14:textId="77777777" w:rsidR="00BE5127" w:rsidRPr="00BE5127" w:rsidRDefault="00BE5127" w:rsidP="00BE5127">
      <w:pPr>
        <w:bidi/>
        <w:spacing w:before="100" w:beforeAutospacing="1" w:after="100" w:afterAutospacing="1"/>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تُعد رؤية السعودية 2030 إحدى أبرز المبادرات التنموية الشاملة التي أطلقتها محمد بن سلمان في عام 2016، بهدف إحداث تحول جذري في بنية الاقتصاد والمجتمع في المملكة العربية السعودية</w:t>
      </w:r>
      <w:r w:rsidRPr="00BE5127">
        <w:rPr>
          <w:rFonts w:asciiTheme="majorBidi" w:hAnsiTheme="majorBidi" w:cstheme="majorBidi"/>
          <w:sz w:val="28"/>
          <w:szCs w:val="28"/>
          <w:lang w:bidi="ar-EG"/>
        </w:rPr>
        <w:t xml:space="preserve">. </w:t>
      </w:r>
      <w:r w:rsidRPr="00BE5127">
        <w:rPr>
          <w:rFonts w:asciiTheme="majorBidi" w:hAnsiTheme="majorBidi" w:cstheme="majorBidi"/>
          <w:sz w:val="28"/>
          <w:szCs w:val="28"/>
          <w:rtl/>
        </w:rPr>
        <w:t>وجاءت هذه الرؤية استجابة للتحديات الاقتصادية المرتبطة بالاعتماد الكبير على النفط كمصدر رئيسي للدخل، حيث تسعى إلى تنويع القاعدة الاقتصادية وتعزيز الاستدامة المالية من خلال تطوير قطاعات جديدة وزيادة مساهمة القطاع الخاص في الاقتصاد الوطني. كما تهدف الرؤية إلى بناء مجتمع أكثر حيوية واقتصاد أكثر ازدهارًا ووطن أكثر طموحًا، من خلال تطوير البنية التحتية، وتحسين جودة الحياة، وتعزيز كفاءة المؤسسات الحكومية</w:t>
      </w:r>
      <w:r w:rsidRPr="00BE5127">
        <w:rPr>
          <w:rFonts w:asciiTheme="majorBidi" w:hAnsiTheme="majorBidi" w:cstheme="majorBidi"/>
          <w:sz w:val="28"/>
          <w:szCs w:val="28"/>
          <w:rtl/>
          <w:lang w:bidi="ar-EG"/>
        </w:rPr>
        <w:t>. (الموقع الرسمي رؤية المملكة 2030، 2026)</w:t>
      </w:r>
    </w:p>
    <w:p w14:paraId="0117A151" w14:textId="77777777" w:rsidR="00BE5127" w:rsidRPr="00BE5127" w:rsidRDefault="00BE5127" w:rsidP="00BE5127">
      <w:pPr>
        <w:bidi/>
        <w:spacing w:before="100" w:beforeAutospacing="1" w:after="100" w:afterAutospacing="1"/>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وترتكز رؤية المملكة 2030 على ثلاثة محاور رئيسية تشكل الإطار العام لبرامجها ومبادراتها التنموية. يتمثل المحور الأول في مجتمع حيوي، والذي يركز على تحسين جودة الحياة للمواطنين من خلال تطوير الخدمات الصحية والتعليمية، وتعزيز الأنشطة الثقافية والترفيهية، إضافة إلى دعم القيم الاجتماعية والهوية الوطنية. ويشمل هذا المحور كذلك الاهتمام بتوفير بيئة معيشية متوازنة تتيح للأفراد فرصًا أكبر للمشاركة في الأنشطة الاجتماعية والثقافية والرياضية. أما المحور الثاني فهو اقتصاد مزدهر، ويهدف إلى بناء اقتصاد متنوع ومستدام قائم على الابتكار والمعرفة، من خلال دعم ريادة الأعمال، وتطوير سوق العمل، ورفع مستوى مهارات الكوادر الوطنية بما يتلاءم مع متطلبات الاقتصاد الحديث. كما يسعى هذا المحور إلى جذب الاستثمارات المحلية والأجنبية وتعزيز دور القطاع الخاص في دفع عجلة التنمية الاقتصادية. في حين يتمثل المحور الثالث في وطن طموح، الذي يركز على بناء حكومة فعالة تتسم بالكفاءة والشفافية، وتعزز المشاركة المجتمعية في صنع القرار، إضافة إلى تطوير الخدمات الحكومية الرقمية وتحسين مستوى الأداء المؤسسي</w:t>
      </w:r>
      <w:r w:rsidRPr="00BE5127">
        <w:rPr>
          <w:rFonts w:asciiTheme="majorBidi" w:hAnsiTheme="majorBidi" w:cstheme="majorBidi"/>
          <w:sz w:val="28"/>
          <w:szCs w:val="28"/>
          <w:lang w:bidi="ar-EG"/>
        </w:rPr>
        <w:t>.</w:t>
      </w:r>
      <w:r w:rsidRPr="00BE5127">
        <w:rPr>
          <w:rFonts w:asciiTheme="majorBidi" w:hAnsiTheme="majorBidi" w:cstheme="majorBidi"/>
          <w:sz w:val="28"/>
          <w:szCs w:val="28"/>
          <w:rtl/>
          <w:lang w:bidi="ar-EG"/>
        </w:rPr>
        <w:t xml:space="preserve"> (الموقع الرسمي رؤية المملكة 2030، 2026)</w:t>
      </w:r>
    </w:p>
    <w:p w14:paraId="02943F3A" w14:textId="77777777" w:rsidR="00BE5127" w:rsidRPr="00BE5127" w:rsidRDefault="00BE5127" w:rsidP="00BE5127">
      <w:pPr>
        <w:bidi/>
        <w:spacing w:before="100" w:beforeAutospacing="1" w:after="100" w:afterAutospacing="1"/>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 xml:space="preserve">وفي إطار تنفيذ هذه الرؤية، تم إطلاق عدد كبير من البرامج والمبادرات الوطنية التي تستهدف تطوير قطاعات استراتيجية تسهم في تحقيق أهداف التحول الاقتصادي. وتشمل هذه القطاعات </w:t>
      </w:r>
      <w:r w:rsidRPr="00BE5127">
        <w:rPr>
          <w:rFonts w:asciiTheme="majorBidi" w:hAnsiTheme="majorBidi" w:cstheme="majorBidi"/>
          <w:sz w:val="28"/>
          <w:szCs w:val="28"/>
          <w:rtl/>
        </w:rPr>
        <w:lastRenderedPageBreak/>
        <w:t>الصناعة، والخدمات اللوجستية، والسياحة، والتقنيات الرقمية المتقدمة مثل الذكاء الاصطناعي وتحليل البيانات. كما تعمل المملكة على تطوير مشاريع تنموية كبرى تهدف إلى تعزيز مكانتها الاقتصادية إقليميًا وعالميًا، إضافة إلى تحسين البيئة الاستثمارية وتسهيل الإجراءات التنظيمية بما يشجع الشركات العالمية على الاستثمار في السوق السعودية</w:t>
      </w:r>
      <w:r w:rsidRPr="00BE5127">
        <w:rPr>
          <w:rFonts w:asciiTheme="majorBidi" w:hAnsiTheme="majorBidi" w:cstheme="majorBidi"/>
          <w:sz w:val="28"/>
          <w:szCs w:val="28"/>
          <w:lang w:bidi="ar-EG"/>
        </w:rPr>
        <w:t>.</w:t>
      </w:r>
      <w:r w:rsidRPr="00BE5127">
        <w:rPr>
          <w:rFonts w:asciiTheme="majorBidi" w:hAnsiTheme="majorBidi" w:cstheme="majorBidi"/>
          <w:sz w:val="28"/>
          <w:szCs w:val="28"/>
          <w:rtl/>
          <w:lang w:bidi="ar-EG"/>
        </w:rPr>
        <w:t xml:space="preserve"> (الموقع الرسمي رؤية المملكة 2030، 2026)</w:t>
      </w:r>
    </w:p>
    <w:p w14:paraId="0C4A3A4A" w14:textId="77777777" w:rsidR="00BE5127" w:rsidRPr="00BE5127" w:rsidRDefault="00BE5127" w:rsidP="00BE5127">
      <w:pPr>
        <w:bidi/>
        <w:spacing w:before="100" w:beforeAutospacing="1" w:after="100" w:afterAutospacing="1"/>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وعلى الرغم من التقدم الملحوظ الذي تحقق منذ إطلاق الرؤية، فإن تنفيذها يواجه عددًا من التحديات المرتبطة بالتقلبات الاقتصادية العالمية ومتطلبات التمويل للمشروعات الكبرى. ومع ذلك، تواصل المملكة العمل على إعادة تقييم أولوياتها الاقتصادية بما يضمن تحقيق التوازن بين الطموحات التنموية والاستدامة المالية. وفي هذا السياق، يتم التركيز على القطاعات ذات العائد الاقتصادي المرتفع والقادرة على خلق فرص عمل جديدة وتعزيز القدرة التنافسية للاقتصاد الوطني</w:t>
      </w:r>
      <w:r w:rsidRPr="00BE5127">
        <w:rPr>
          <w:rFonts w:asciiTheme="majorBidi" w:hAnsiTheme="majorBidi" w:cstheme="majorBidi"/>
          <w:sz w:val="28"/>
          <w:szCs w:val="28"/>
          <w:lang w:bidi="ar-EG"/>
        </w:rPr>
        <w:t>.</w:t>
      </w:r>
      <w:r w:rsidRPr="00BE5127">
        <w:rPr>
          <w:rFonts w:asciiTheme="majorBidi" w:hAnsiTheme="majorBidi" w:cstheme="majorBidi"/>
          <w:sz w:val="28"/>
          <w:szCs w:val="28"/>
          <w:rtl/>
          <w:lang w:bidi="ar-EG"/>
        </w:rPr>
        <w:t xml:space="preserve"> (الموقع الرسمي رؤية المملكة 2030، 2026)</w:t>
      </w:r>
    </w:p>
    <w:p w14:paraId="16AAD9ED" w14:textId="77777777" w:rsidR="00BE5127" w:rsidRPr="00BE5127" w:rsidRDefault="00BE5127" w:rsidP="00BE5127">
      <w:pPr>
        <w:bidi/>
        <w:spacing w:before="100" w:beforeAutospacing="1" w:after="100" w:afterAutospacing="1"/>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وفي المجمل، تمثل رؤية المملكة 2030 إطارًا استراتيجيًا شاملاً يقود عملية التحول الاقتصادي والاجتماعي في المملكة، حيث تسعى من خلالها إلى بناء اقتصاد متنوع قائم على المعرفة والابتكار، وتحسين جودة الحياة للمواطنين، وتعزيز مكانة المملكة على الساحة الإقليمية والدولية. كما تعكس هذه الرؤية التوجه نحو مستقبل أكثر استدامة يعتمد على تنويع مصادر الدخل وتطوير القدرات البشرية والتكنولوجية، بما يدعم تحقيق التنمية الشاملة ويواكب متطلبات العصر الرقمي</w:t>
      </w:r>
      <w:r w:rsidRPr="00BE5127">
        <w:rPr>
          <w:rFonts w:asciiTheme="majorBidi" w:hAnsiTheme="majorBidi" w:cstheme="majorBidi"/>
          <w:sz w:val="28"/>
          <w:szCs w:val="28"/>
          <w:lang w:bidi="ar-EG"/>
        </w:rPr>
        <w:t>.</w:t>
      </w:r>
    </w:p>
    <w:p w14:paraId="3377044E" w14:textId="77777777" w:rsidR="00BE5127" w:rsidRPr="00BE5127" w:rsidRDefault="00BE5127" w:rsidP="00BE5127">
      <w:pPr>
        <w:bidi/>
        <w:spacing w:before="100" w:beforeAutospacing="1" w:after="100" w:afterAutospacing="1"/>
        <w:jc w:val="both"/>
        <w:rPr>
          <w:rFonts w:asciiTheme="majorBidi" w:hAnsiTheme="majorBidi" w:cstheme="majorBidi"/>
          <w:sz w:val="28"/>
          <w:szCs w:val="28"/>
          <w:lang w:bidi="ar-EG"/>
        </w:rPr>
      </w:pPr>
    </w:p>
    <w:p w14:paraId="77ECEF56" w14:textId="77777777" w:rsidR="00BE5127" w:rsidRPr="00BE5127" w:rsidRDefault="00BE5127" w:rsidP="00BE5127">
      <w:pPr>
        <w:bidi/>
        <w:rPr>
          <w:rFonts w:asciiTheme="majorBidi" w:hAnsiTheme="majorBidi" w:cstheme="majorBidi"/>
          <w:b/>
          <w:bCs/>
          <w:sz w:val="28"/>
          <w:szCs w:val="28"/>
          <w:rtl/>
          <w:lang w:bidi="ar-EG"/>
        </w:rPr>
      </w:pPr>
    </w:p>
    <w:p w14:paraId="57A6AFA0" w14:textId="77777777" w:rsidR="00BE5127" w:rsidRPr="00BE5127" w:rsidRDefault="00BE5127" w:rsidP="00BE5127">
      <w:pPr>
        <w:bidi/>
        <w:rPr>
          <w:rFonts w:asciiTheme="majorBidi" w:hAnsiTheme="majorBidi" w:cstheme="majorBidi"/>
          <w:b/>
          <w:bCs/>
          <w:sz w:val="28"/>
          <w:szCs w:val="28"/>
          <w:rtl/>
          <w:lang w:bidi="ar-EG"/>
        </w:rPr>
      </w:pPr>
    </w:p>
    <w:p w14:paraId="30AC70DB" w14:textId="77777777" w:rsidR="00BE5127" w:rsidRPr="00BE5127" w:rsidRDefault="00BE5127" w:rsidP="00BE5127">
      <w:pPr>
        <w:bidi/>
        <w:rPr>
          <w:rFonts w:asciiTheme="majorBidi" w:hAnsiTheme="majorBidi" w:cstheme="majorBidi"/>
          <w:b/>
          <w:bCs/>
          <w:sz w:val="28"/>
          <w:szCs w:val="28"/>
          <w:rtl/>
          <w:lang w:bidi="ar-EG"/>
        </w:rPr>
      </w:pPr>
    </w:p>
    <w:p w14:paraId="62725254" w14:textId="77777777" w:rsidR="00BE5127" w:rsidRPr="00BE5127" w:rsidRDefault="00BE5127" w:rsidP="00BE5127">
      <w:pPr>
        <w:bidi/>
        <w:rPr>
          <w:rFonts w:asciiTheme="majorBidi" w:hAnsiTheme="majorBidi" w:cstheme="majorBidi"/>
          <w:b/>
          <w:bCs/>
          <w:sz w:val="28"/>
          <w:szCs w:val="28"/>
          <w:rtl/>
          <w:lang w:bidi="ar-EG"/>
        </w:rPr>
      </w:pPr>
    </w:p>
    <w:p w14:paraId="56CD5960" w14:textId="77777777" w:rsidR="00BE5127" w:rsidRPr="00BE5127" w:rsidRDefault="00BE5127" w:rsidP="00BE5127">
      <w:pPr>
        <w:bidi/>
        <w:rPr>
          <w:rFonts w:asciiTheme="majorBidi" w:hAnsiTheme="majorBidi" w:cstheme="majorBidi"/>
          <w:b/>
          <w:bCs/>
          <w:sz w:val="28"/>
          <w:szCs w:val="28"/>
          <w:rtl/>
          <w:lang w:bidi="ar-EG"/>
        </w:rPr>
      </w:pPr>
    </w:p>
    <w:p w14:paraId="1EEA9131" w14:textId="77777777" w:rsidR="00BE5127" w:rsidRPr="00BE5127" w:rsidRDefault="00BE5127" w:rsidP="00BE5127">
      <w:pPr>
        <w:bidi/>
        <w:rPr>
          <w:rFonts w:asciiTheme="majorBidi" w:hAnsiTheme="majorBidi" w:cstheme="majorBidi"/>
          <w:b/>
          <w:bCs/>
          <w:sz w:val="28"/>
          <w:szCs w:val="28"/>
          <w:rtl/>
          <w:lang w:bidi="ar-EG"/>
        </w:rPr>
      </w:pPr>
    </w:p>
    <w:p w14:paraId="27D0CC0F" w14:textId="77777777" w:rsidR="00BE5127" w:rsidRPr="00BE5127" w:rsidRDefault="00BE5127" w:rsidP="00BE5127">
      <w:pPr>
        <w:bidi/>
        <w:rPr>
          <w:rFonts w:asciiTheme="majorBidi" w:hAnsiTheme="majorBidi" w:cstheme="majorBidi"/>
          <w:b/>
          <w:bCs/>
          <w:sz w:val="28"/>
          <w:szCs w:val="28"/>
          <w:rtl/>
          <w:lang w:bidi="ar-EG"/>
        </w:rPr>
      </w:pPr>
    </w:p>
    <w:p w14:paraId="10312B53" w14:textId="77777777" w:rsidR="00BE5127" w:rsidRPr="00BE5127" w:rsidRDefault="00BE5127" w:rsidP="00BE5127">
      <w:pPr>
        <w:bidi/>
        <w:rPr>
          <w:rFonts w:asciiTheme="majorBidi" w:hAnsiTheme="majorBidi" w:cstheme="majorBidi"/>
          <w:b/>
          <w:bCs/>
          <w:sz w:val="28"/>
          <w:szCs w:val="28"/>
          <w:rtl/>
          <w:lang w:bidi="ar-EG"/>
        </w:rPr>
      </w:pPr>
    </w:p>
    <w:p w14:paraId="4957DAC1" w14:textId="77777777" w:rsidR="00BE5127" w:rsidRPr="00BE5127" w:rsidRDefault="00BE5127" w:rsidP="00BE5127">
      <w:pPr>
        <w:bidi/>
        <w:rPr>
          <w:rFonts w:asciiTheme="majorBidi" w:hAnsiTheme="majorBidi" w:cstheme="majorBidi"/>
          <w:b/>
          <w:bCs/>
          <w:sz w:val="28"/>
          <w:szCs w:val="28"/>
          <w:rtl/>
          <w:lang w:bidi="ar-EG"/>
        </w:rPr>
      </w:pPr>
    </w:p>
    <w:p w14:paraId="4A700284" w14:textId="77777777" w:rsidR="00BE5127" w:rsidRPr="00BE5127" w:rsidRDefault="00BE5127" w:rsidP="00BE5127">
      <w:pPr>
        <w:bidi/>
        <w:rPr>
          <w:rFonts w:asciiTheme="majorBidi" w:hAnsiTheme="majorBidi" w:cstheme="majorBidi"/>
          <w:b/>
          <w:bCs/>
          <w:sz w:val="28"/>
          <w:szCs w:val="28"/>
          <w:rtl/>
          <w:lang w:bidi="ar-EG"/>
        </w:rPr>
      </w:pPr>
    </w:p>
    <w:p w14:paraId="461D6B14" w14:textId="77777777" w:rsidR="00BE5127" w:rsidRPr="00BE5127" w:rsidRDefault="00BE5127" w:rsidP="00BE5127">
      <w:pPr>
        <w:bidi/>
        <w:rPr>
          <w:rFonts w:asciiTheme="majorBidi" w:hAnsiTheme="majorBidi" w:cstheme="majorBidi"/>
          <w:b/>
          <w:bCs/>
          <w:sz w:val="28"/>
          <w:szCs w:val="28"/>
          <w:rtl/>
          <w:lang w:bidi="ar-EG"/>
        </w:rPr>
      </w:pPr>
    </w:p>
    <w:p w14:paraId="71A1B208" w14:textId="77777777" w:rsidR="00BE5127" w:rsidRPr="00BE5127" w:rsidRDefault="00BE5127" w:rsidP="00BE5127">
      <w:pPr>
        <w:bidi/>
        <w:rPr>
          <w:rFonts w:asciiTheme="majorBidi" w:hAnsiTheme="majorBidi" w:cstheme="majorBidi"/>
          <w:b/>
          <w:bCs/>
          <w:sz w:val="28"/>
          <w:szCs w:val="28"/>
          <w:rtl/>
          <w:lang w:bidi="ar-EG"/>
        </w:rPr>
      </w:pPr>
    </w:p>
    <w:p w14:paraId="6337DFF4" w14:textId="77777777" w:rsidR="00BE5127" w:rsidRPr="00BE5127" w:rsidRDefault="00BE5127" w:rsidP="00BE5127">
      <w:pPr>
        <w:bidi/>
        <w:rPr>
          <w:rFonts w:asciiTheme="majorBidi" w:hAnsiTheme="majorBidi" w:cstheme="majorBidi"/>
          <w:b/>
          <w:bCs/>
          <w:sz w:val="28"/>
          <w:szCs w:val="28"/>
          <w:rtl/>
          <w:lang w:bidi="ar-EG"/>
        </w:rPr>
      </w:pPr>
    </w:p>
    <w:p w14:paraId="71978800" w14:textId="77777777" w:rsidR="00BE5127" w:rsidRPr="00BE5127" w:rsidRDefault="00BE5127" w:rsidP="00BE5127">
      <w:pPr>
        <w:bidi/>
        <w:rPr>
          <w:rFonts w:asciiTheme="majorBidi" w:hAnsiTheme="majorBidi" w:cstheme="majorBidi"/>
          <w:b/>
          <w:bCs/>
          <w:sz w:val="28"/>
          <w:szCs w:val="28"/>
          <w:rtl/>
          <w:lang w:bidi="ar-EG"/>
        </w:rPr>
      </w:pPr>
    </w:p>
    <w:p w14:paraId="5D496B93" w14:textId="77777777" w:rsidR="00BE5127" w:rsidRPr="00BE5127" w:rsidRDefault="00BE5127" w:rsidP="00BE5127">
      <w:pPr>
        <w:bidi/>
        <w:rPr>
          <w:rFonts w:asciiTheme="majorBidi" w:hAnsiTheme="majorBidi" w:cstheme="majorBidi"/>
          <w:b/>
          <w:bCs/>
          <w:sz w:val="28"/>
          <w:szCs w:val="28"/>
          <w:rtl/>
          <w:lang w:bidi="ar-EG"/>
        </w:rPr>
      </w:pPr>
    </w:p>
    <w:p w14:paraId="64B0BEBE" w14:textId="77777777" w:rsidR="00BE5127" w:rsidRPr="00BE5127" w:rsidRDefault="00BE5127" w:rsidP="00BE5127">
      <w:pPr>
        <w:bidi/>
        <w:rPr>
          <w:rFonts w:asciiTheme="majorBidi" w:hAnsiTheme="majorBidi" w:cstheme="majorBidi"/>
          <w:b/>
          <w:bCs/>
          <w:sz w:val="28"/>
          <w:szCs w:val="28"/>
          <w:rtl/>
          <w:lang w:bidi="ar-EG"/>
        </w:rPr>
      </w:pPr>
    </w:p>
    <w:p w14:paraId="6B925EC8" w14:textId="77777777" w:rsidR="00BE5127" w:rsidRPr="00BE5127" w:rsidRDefault="00BE5127" w:rsidP="00BE5127">
      <w:pPr>
        <w:bidi/>
        <w:rPr>
          <w:rFonts w:asciiTheme="majorBidi" w:hAnsiTheme="majorBidi" w:cstheme="majorBidi"/>
          <w:b/>
          <w:bCs/>
          <w:sz w:val="28"/>
          <w:szCs w:val="28"/>
          <w:rtl/>
          <w:lang w:bidi="ar-EG"/>
        </w:rPr>
      </w:pPr>
      <w:r w:rsidRPr="00BE5127">
        <w:rPr>
          <w:rFonts w:asciiTheme="majorBidi" w:hAnsiTheme="majorBidi" w:cstheme="majorBidi"/>
          <w:b/>
          <w:bCs/>
          <w:sz w:val="28"/>
          <w:szCs w:val="28"/>
          <w:rtl/>
          <w:lang w:bidi="ar-EG"/>
        </w:rPr>
        <w:t>ثانياً: الدراسات السابقة</w:t>
      </w:r>
    </w:p>
    <w:p w14:paraId="694AFDBD" w14:textId="77777777" w:rsidR="00BE5127" w:rsidRPr="00BE5127" w:rsidRDefault="00BE5127" w:rsidP="00BE5127">
      <w:pPr>
        <w:bidi/>
        <w:jc w:val="both"/>
        <w:rPr>
          <w:rFonts w:asciiTheme="majorBidi" w:hAnsiTheme="majorBidi" w:cstheme="majorBidi"/>
          <w:b/>
          <w:bCs/>
          <w:sz w:val="28"/>
          <w:szCs w:val="28"/>
          <w:rtl/>
          <w:lang w:bidi="ar-EG"/>
        </w:rPr>
      </w:pPr>
      <w:r w:rsidRPr="00BE5127">
        <w:rPr>
          <w:rFonts w:asciiTheme="majorBidi" w:hAnsiTheme="majorBidi" w:cstheme="majorBidi"/>
          <w:b/>
          <w:bCs/>
          <w:sz w:val="28"/>
          <w:szCs w:val="28"/>
          <w:rtl/>
          <w:lang w:bidi="ar-EG"/>
        </w:rPr>
        <w:t>الدراسات الخاصة بالمتغير المستقل: تقنيات الذكاء الاصطناعي</w:t>
      </w:r>
    </w:p>
    <w:tbl>
      <w:tblPr>
        <w:tblStyle w:val="a6"/>
        <w:bidiVisual/>
        <w:tblW w:w="10991" w:type="dxa"/>
        <w:tblInd w:w="-793" w:type="dxa"/>
        <w:tblLook w:val="04A0" w:firstRow="1" w:lastRow="0" w:firstColumn="1" w:lastColumn="0" w:noHBand="0" w:noVBand="1"/>
      </w:tblPr>
      <w:tblGrid>
        <w:gridCol w:w="1798"/>
        <w:gridCol w:w="1546"/>
        <w:gridCol w:w="2487"/>
        <w:gridCol w:w="2401"/>
        <w:gridCol w:w="2759"/>
      </w:tblGrid>
      <w:tr w:rsidR="00BE5127" w:rsidRPr="00BE5127" w14:paraId="1C1A4A5E" w14:textId="77777777" w:rsidTr="002010CA">
        <w:trPr>
          <w:trHeight w:val="728"/>
        </w:trPr>
        <w:tc>
          <w:tcPr>
            <w:tcW w:w="1811" w:type="dxa"/>
            <w:hideMark/>
          </w:tcPr>
          <w:p w14:paraId="7CF528D4" w14:textId="77777777" w:rsidR="00BE5127" w:rsidRPr="00BE5127" w:rsidRDefault="00BE5127" w:rsidP="002010CA">
            <w:pPr>
              <w:bidi/>
              <w:jc w:val="center"/>
              <w:rPr>
                <w:rFonts w:asciiTheme="majorBidi" w:eastAsia="Times New Roman" w:hAnsiTheme="majorBidi" w:cstheme="majorBidi"/>
                <w:b/>
                <w:bCs/>
                <w:sz w:val="32"/>
                <w:szCs w:val="32"/>
              </w:rPr>
            </w:pPr>
            <w:r w:rsidRPr="00BE5127">
              <w:rPr>
                <w:rFonts w:asciiTheme="majorBidi" w:eastAsia="Times New Roman" w:hAnsiTheme="majorBidi" w:cstheme="majorBidi"/>
                <w:b/>
                <w:bCs/>
                <w:sz w:val="32"/>
                <w:szCs w:val="32"/>
                <w:rtl/>
              </w:rPr>
              <w:t>العنوان</w:t>
            </w:r>
          </w:p>
        </w:tc>
        <w:tc>
          <w:tcPr>
            <w:tcW w:w="1440" w:type="dxa"/>
            <w:hideMark/>
          </w:tcPr>
          <w:p w14:paraId="642C3FCE" w14:textId="77777777" w:rsidR="00BE5127" w:rsidRPr="00BE5127" w:rsidRDefault="00BE5127" w:rsidP="002010CA">
            <w:pPr>
              <w:bidi/>
              <w:jc w:val="center"/>
              <w:rPr>
                <w:rFonts w:asciiTheme="majorBidi" w:eastAsia="Times New Roman" w:hAnsiTheme="majorBidi" w:cstheme="majorBidi"/>
                <w:b/>
                <w:bCs/>
                <w:sz w:val="32"/>
                <w:szCs w:val="32"/>
              </w:rPr>
            </w:pPr>
            <w:r w:rsidRPr="00BE5127">
              <w:rPr>
                <w:rFonts w:asciiTheme="majorBidi" w:eastAsia="Times New Roman" w:hAnsiTheme="majorBidi" w:cstheme="majorBidi"/>
                <w:b/>
                <w:bCs/>
                <w:sz w:val="32"/>
                <w:szCs w:val="32"/>
                <w:rtl/>
              </w:rPr>
              <w:t>الباحث/السنة</w:t>
            </w:r>
          </w:p>
        </w:tc>
        <w:tc>
          <w:tcPr>
            <w:tcW w:w="2520" w:type="dxa"/>
            <w:hideMark/>
          </w:tcPr>
          <w:p w14:paraId="1098A62B" w14:textId="77777777" w:rsidR="00BE5127" w:rsidRPr="00BE5127" w:rsidRDefault="00BE5127" w:rsidP="002010CA">
            <w:pPr>
              <w:bidi/>
              <w:jc w:val="center"/>
              <w:rPr>
                <w:rFonts w:asciiTheme="majorBidi" w:eastAsia="Times New Roman" w:hAnsiTheme="majorBidi" w:cstheme="majorBidi"/>
                <w:b/>
                <w:bCs/>
                <w:sz w:val="32"/>
                <w:szCs w:val="32"/>
              </w:rPr>
            </w:pPr>
            <w:r w:rsidRPr="00BE5127">
              <w:rPr>
                <w:rFonts w:asciiTheme="majorBidi" w:eastAsia="Times New Roman" w:hAnsiTheme="majorBidi" w:cstheme="majorBidi"/>
                <w:b/>
                <w:bCs/>
                <w:sz w:val="32"/>
                <w:szCs w:val="32"/>
                <w:rtl/>
              </w:rPr>
              <w:t>الهدف</w:t>
            </w:r>
          </w:p>
        </w:tc>
        <w:tc>
          <w:tcPr>
            <w:tcW w:w="2430" w:type="dxa"/>
            <w:hideMark/>
          </w:tcPr>
          <w:p w14:paraId="4B2B7B6A" w14:textId="77777777" w:rsidR="00BE5127" w:rsidRPr="00BE5127" w:rsidRDefault="00BE5127" w:rsidP="002010CA">
            <w:pPr>
              <w:bidi/>
              <w:jc w:val="center"/>
              <w:rPr>
                <w:rFonts w:asciiTheme="majorBidi" w:eastAsia="Times New Roman" w:hAnsiTheme="majorBidi" w:cstheme="majorBidi"/>
                <w:b/>
                <w:bCs/>
                <w:sz w:val="32"/>
                <w:szCs w:val="32"/>
              </w:rPr>
            </w:pPr>
            <w:r w:rsidRPr="00BE5127">
              <w:rPr>
                <w:rFonts w:asciiTheme="majorBidi" w:eastAsia="Times New Roman" w:hAnsiTheme="majorBidi" w:cstheme="majorBidi"/>
                <w:b/>
                <w:bCs/>
                <w:sz w:val="32"/>
                <w:szCs w:val="32"/>
                <w:rtl/>
              </w:rPr>
              <w:t>المنهج</w:t>
            </w:r>
          </w:p>
        </w:tc>
        <w:tc>
          <w:tcPr>
            <w:tcW w:w="2790" w:type="dxa"/>
            <w:hideMark/>
          </w:tcPr>
          <w:p w14:paraId="5E2A6966" w14:textId="77777777" w:rsidR="00BE5127" w:rsidRPr="00BE5127" w:rsidRDefault="00BE5127" w:rsidP="002010CA">
            <w:pPr>
              <w:bidi/>
              <w:jc w:val="center"/>
              <w:rPr>
                <w:rFonts w:asciiTheme="majorBidi" w:eastAsia="Times New Roman" w:hAnsiTheme="majorBidi" w:cstheme="majorBidi"/>
                <w:b/>
                <w:bCs/>
                <w:sz w:val="32"/>
                <w:szCs w:val="32"/>
              </w:rPr>
            </w:pPr>
            <w:r w:rsidRPr="00BE5127">
              <w:rPr>
                <w:rFonts w:asciiTheme="majorBidi" w:eastAsia="Times New Roman" w:hAnsiTheme="majorBidi" w:cstheme="majorBidi"/>
                <w:b/>
                <w:bCs/>
                <w:sz w:val="32"/>
                <w:szCs w:val="32"/>
                <w:rtl/>
              </w:rPr>
              <w:t>النتائج</w:t>
            </w:r>
          </w:p>
        </w:tc>
      </w:tr>
      <w:tr w:rsidR="00BE5127" w:rsidRPr="00BE5127" w14:paraId="7873E2B4" w14:textId="77777777" w:rsidTr="002010CA">
        <w:trPr>
          <w:trHeight w:val="220"/>
        </w:trPr>
        <w:tc>
          <w:tcPr>
            <w:tcW w:w="1811" w:type="dxa"/>
          </w:tcPr>
          <w:p w14:paraId="37A3C999"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b/>
                <w:bCs/>
                <w:sz w:val="28"/>
                <w:szCs w:val="28"/>
                <w:rtl/>
                <w:lang w:bidi="ar-EG"/>
              </w:rPr>
              <w:t>أثر الذكاء الاصطناعي في تطوير رأس المال الفكري في شركة المراعي بالسعودية</w:t>
            </w:r>
          </w:p>
        </w:tc>
        <w:tc>
          <w:tcPr>
            <w:tcW w:w="1440" w:type="dxa"/>
          </w:tcPr>
          <w:p w14:paraId="2179B712"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b/>
                <w:bCs/>
                <w:sz w:val="28"/>
                <w:szCs w:val="28"/>
                <w:rtl/>
                <w:lang w:bidi="ar-EG"/>
              </w:rPr>
              <w:t>(عبد النبي والعيوني، 2025)</w:t>
            </w:r>
          </w:p>
        </w:tc>
        <w:tc>
          <w:tcPr>
            <w:tcW w:w="2520" w:type="dxa"/>
          </w:tcPr>
          <w:p w14:paraId="5570E1C3"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t>هدفت الدراسة إلى بيان أثر الذكاء الاصطناعي في تطوير رأس المال الفكري في شركة المراعي بالسعودية، من خلال تحليل مستوى توافر أبعاد الذكاء الاصطناعي المتمثلة في النظم الخبيرة، ونظم دعم القرارات، ونظم مشاركة المعرفة، وقياس مستوى رأس المال الفكري بأبعاده الهيكلية والعلائقية والبشرية.</w:t>
            </w:r>
          </w:p>
        </w:tc>
        <w:tc>
          <w:tcPr>
            <w:tcW w:w="2430" w:type="dxa"/>
          </w:tcPr>
          <w:p w14:paraId="6691E6D4"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t>اعتمدت الدراسة على المنهج الوصفي التحليلي، وتكون مجتمع الدراسة من جميع العاملين في شركة المراعي والبالغ عددهم 46,233 فرداً، وتم اختيار عينة ميسرة قوامها 324 فرداً، وتم جمع البيانات باستخدام استبانة إلكترونية.</w:t>
            </w:r>
          </w:p>
        </w:tc>
        <w:tc>
          <w:tcPr>
            <w:tcW w:w="2790" w:type="dxa"/>
          </w:tcPr>
          <w:p w14:paraId="06514FED" w14:textId="77777777" w:rsidR="00BE5127" w:rsidRPr="00BE5127" w:rsidRDefault="00BE5127" w:rsidP="002010CA">
            <w:pPr>
              <w:bidi/>
              <w:ind w:firstLine="720"/>
              <w:jc w:val="both"/>
              <w:rPr>
                <w:rFonts w:asciiTheme="majorBidi" w:hAnsiTheme="majorBidi" w:cstheme="majorBidi"/>
                <w:sz w:val="28"/>
                <w:szCs w:val="28"/>
                <w:rtl/>
                <w:lang w:bidi="ar-EG"/>
              </w:rPr>
            </w:pPr>
            <w:r w:rsidRPr="00BE5127">
              <w:rPr>
                <w:rFonts w:asciiTheme="majorBidi" w:hAnsiTheme="majorBidi" w:cstheme="majorBidi"/>
                <w:sz w:val="28"/>
                <w:szCs w:val="28"/>
                <w:rtl/>
                <w:lang w:bidi="ar-EG"/>
              </w:rPr>
              <w:t>أظهرت النتائج وجود مستوى مرتفع من تطبيق أبعاد الذكاء الاصطناعي في الشركة بمتوسط حسابي 3.56، ومستوى مرتفع من تطوير رأس المال الفكري بمتوسط حسابي 3.58، كما كشفت عن وجود تأثير طردي ذي دلالة إحصائية للذكاء الاصطناعي في تطوير رأس المال الفكري عند مستوى معنوية 0.05، حيث بلغ معامل الارتباط 0.906، وأظهرت النتائج أن النظم الخبيرة جاءت في المرتبة الأولى بين أبعاد الذكاء الاصطناعي، يليها نظم مشاركة المعرفة، ثم نظم دعم القرارات. أوصت الدراسة بضرورة توفير البنية التحتية التكنولوجية الداعمة لتطبيقات الذكاء الاصطناعي، وزيادة وعي الإدارات بأهمية تطوير العلاقات مع العاملين، وتعزيز استخدام النظم الخبيرة في حل المشكلات.</w:t>
            </w:r>
          </w:p>
        </w:tc>
      </w:tr>
      <w:tr w:rsidR="00BE5127" w:rsidRPr="00BE5127" w14:paraId="2B3967C1" w14:textId="77777777" w:rsidTr="002010CA">
        <w:trPr>
          <w:trHeight w:val="220"/>
        </w:trPr>
        <w:tc>
          <w:tcPr>
            <w:tcW w:w="1811" w:type="dxa"/>
          </w:tcPr>
          <w:p w14:paraId="10CD08A8"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b/>
                <w:bCs/>
                <w:sz w:val="28"/>
                <w:szCs w:val="28"/>
                <w:rtl/>
                <w:lang w:bidi="ar-EG"/>
              </w:rPr>
              <w:t xml:space="preserve">أثر التخطيط الاستراتيجي في </w:t>
            </w:r>
            <w:r w:rsidRPr="00BE5127">
              <w:rPr>
                <w:rFonts w:asciiTheme="majorBidi" w:hAnsiTheme="majorBidi" w:cstheme="majorBidi"/>
                <w:b/>
                <w:bCs/>
                <w:sz w:val="28"/>
                <w:szCs w:val="28"/>
                <w:rtl/>
                <w:lang w:bidi="ar-EG"/>
              </w:rPr>
              <w:lastRenderedPageBreak/>
              <w:t>تحسين أداء المشروعات باستخدام أدوات الذكاء الاصطناعي في ضوء رؤية المملكة العربية السعودية 2030</w:t>
            </w:r>
          </w:p>
        </w:tc>
        <w:tc>
          <w:tcPr>
            <w:tcW w:w="1440" w:type="dxa"/>
          </w:tcPr>
          <w:p w14:paraId="24D1D2D9"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b/>
                <w:bCs/>
                <w:sz w:val="28"/>
                <w:szCs w:val="28"/>
                <w:rtl/>
                <w:lang w:bidi="ar-EG"/>
              </w:rPr>
              <w:lastRenderedPageBreak/>
              <w:t>(حمزة، 2024)</w:t>
            </w:r>
          </w:p>
        </w:tc>
        <w:tc>
          <w:tcPr>
            <w:tcW w:w="2520" w:type="dxa"/>
          </w:tcPr>
          <w:p w14:paraId="2092A30E"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rPr>
              <w:t xml:space="preserve">هدفت الدراسة إلى الكشف عن أثر التخطيط </w:t>
            </w:r>
            <w:r w:rsidRPr="00BE5127">
              <w:rPr>
                <w:rFonts w:asciiTheme="majorBidi" w:hAnsiTheme="majorBidi" w:cstheme="majorBidi"/>
                <w:sz w:val="28"/>
                <w:szCs w:val="28"/>
                <w:rtl/>
              </w:rPr>
              <w:lastRenderedPageBreak/>
              <w:t>الاستراتيجي في تحسين أداء المشروعات باستخدام أدوات الذكاء الاصطناعي في ضوء رؤية المملكة العربية السعودية 2030، من خلال تحليل العلاقة بين التخطيط الاستراتيجي وتطوير أداء المشروعات الهندسية في القطاعين العام والخاص.</w:t>
            </w:r>
          </w:p>
        </w:tc>
        <w:tc>
          <w:tcPr>
            <w:tcW w:w="2430" w:type="dxa"/>
          </w:tcPr>
          <w:p w14:paraId="348609DB"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rPr>
              <w:lastRenderedPageBreak/>
              <w:t xml:space="preserve">اعتمدت الدراسة على المنهج الوصفي والمنهج </w:t>
            </w:r>
            <w:r w:rsidRPr="00BE5127">
              <w:rPr>
                <w:rFonts w:asciiTheme="majorBidi" w:hAnsiTheme="majorBidi" w:cstheme="majorBidi"/>
                <w:sz w:val="28"/>
                <w:szCs w:val="28"/>
                <w:rtl/>
              </w:rPr>
              <w:lastRenderedPageBreak/>
              <w:t>التاريخي، وتمثل مجتمع الدراسة في الشركات الهندسية السعودية، حيث تم تحليل واقع ممارساتها التخطيطية ومدى توظيفها لتقنيات الذكاء الاصطناعي.</w:t>
            </w:r>
          </w:p>
        </w:tc>
        <w:tc>
          <w:tcPr>
            <w:tcW w:w="2790" w:type="dxa"/>
          </w:tcPr>
          <w:p w14:paraId="1534F220"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rPr>
              <w:lastRenderedPageBreak/>
              <w:t xml:space="preserve">أظهرت النتائج الرئيسية أن رسائل وأهداف العديد من </w:t>
            </w:r>
            <w:r w:rsidRPr="00BE5127">
              <w:rPr>
                <w:rFonts w:asciiTheme="majorBidi" w:hAnsiTheme="majorBidi" w:cstheme="majorBidi"/>
                <w:sz w:val="28"/>
                <w:szCs w:val="28"/>
                <w:rtl/>
              </w:rPr>
              <w:lastRenderedPageBreak/>
              <w:t>الشركات تتسق مع مستهدفات رؤية 2030، ولكن هناك قصوراً في تحليل البيئة الداخلية والخارجية</w:t>
            </w:r>
            <w:r w:rsidRPr="00BE5127">
              <w:rPr>
                <w:rFonts w:asciiTheme="majorBidi" w:hAnsiTheme="majorBidi" w:cstheme="majorBidi"/>
                <w:sz w:val="28"/>
                <w:szCs w:val="28"/>
                <w:lang w:bidi="ar-EG"/>
              </w:rPr>
              <w:t xml:space="preserve"> (SWOT) </w:t>
            </w:r>
            <w:r w:rsidRPr="00BE5127">
              <w:rPr>
                <w:rFonts w:asciiTheme="majorBidi" w:hAnsiTheme="majorBidi" w:cstheme="majorBidi"/>
                <w:sz w:val="28"/>
                <w:szCs w:val="28"/>
                <w:rtl/>
              </w:rPr>
              <w:t>وضعفاً في توظيف تقنيات الذكاء الاصطناعي في التحليل الاستراتيجي وصياغة الخطط، إضافة إلى نقص الخبرات المتخصصة في التخطيط الاستراتيجي وضعف قياس مؤشرات أداء المشروعات المنفذة سابقاً. وأكدت الدراسة أن دمج التخطيط الاستراتيجي القائم على البيانات مع حلول الذكاء الاصطناعي في مجالات التنبؤ بالمخاطر وتخصيص الموارد والجدولة والتحليلات التقريرية يُحسّن الكفاءة والفعالية ويعزز قدرة المشروعات على تحقيق أهدافها. أوصت الدراسة بمواءمة الرؤية والرسالة مع مستهدفات رؤية 2030، وبناء أهداف استراتيجية رقمية قابلة للقياس، وتوسيع مشاركة العاملين في صياغة الخطط، واستقطاب خبرات تخطيطية متخصصة، واعتماد أدوات الذكاء الاصطناعي في جميع مراحل المشروعات مع تطوير نظام مؤشرات أداء لرصد التقدم والتحسين المستمر</w:t>
            </w:r>
            <w:r w:rsidRPr="00BE5127">
              <w:rPr>
                <w:rFonts w:asciiTheme="majorBidi" w:hAnsiTheme="majorBidi" w:cstheme="majorBidi"/>
                <w:sz w:val="28"/>
                <w:szCs w:val="28"/>
                <w:rtl/>
                <w:lang w:bidi="ar-EG"/>
              </w:rPr>
              <w:t>.</w:t>
            </w:r>
          </w:p>
        </w:tc>
      </w:tr>
      <w:tr w:rsidR="00BE5127" w:rsidRPr="00BE5127" w14:paraId="0CFAAA00" w14:textId="77777777" w:rsidTr="002010CA">
        <w:trPr>
          <w:trHeight w:val="220"/>
        </w:trPr>
        <w:tc>
          <w:tcPr>
            <w:tcW w:w="1811" w:type="dxa"/>
          </w:tcPr>
          <w:p w14:paraId="544E1E72" w14:textId="77777777" w:rsidR="00BE5127" w:rsidRPr="00BE5127" w:rsidRDefault="00BE5127" w:rsidP="002010CA">
            <w:pPr>
              <w:bidi/>
              <w:jc w:val="both"/>
              <w:rPr>
                <w:rFonts w:asciiTheme="majorBidi" w:hAnsiTheme="majorBidi" w:cstheme="majorBidi"/>
                <w:b/>
                <w:bCs/>
                <w:sz w:val="28"/>
                <w:szCs w:val="28"/>
                <w:rtl/>
                <w:lang w:bidi="ar-EG"/>
              </w:rPr>
            </w:pPr>
            <w:r w:rsidRPr="00BE5127">
              <w:rPr>
                <w:rFonts w:asciiTheme="majorBidi" w:hAnsiTheme="majorBidi" w:cstheme="majorBidi"/>
                <w:b/>
                <w:bCs/>
                <w:sz w:val="28"/>
                <w:szCs w:val="28"/>
                <w:rtl/>
                <w:lang w:bidi="ar-EG"/>
              </w:rPr>
              <w:lastRenderedPageBreak/>
              <w:t xml:space="preserve">أثر تقنيات الذكاء الاصطناعي على الابتكار التسويقي: دراسة </w:t>
            </w:r>
            <w:r w:rsidRPr="00BE5127">
              <w:rPr>
                <w:rFonts w:asciiTheme="majorBidi" w:hAnsiTheme="majorBidi" w:cstheme="majorBidi"/>
                <w:b/>
                <w:bCs/>
                <w:sz w:val="28"/>
                <w:szCs w:val="28"/>
                <w:rtl/>
                <w:lang w:bidi="ar-EG"/>
              </w:rPr>
              <w:lastRenderedPageBreak/>
              <w:t>تطبيقية على شركة موبايلي بالمملكة العربية السعودية</w:t>
            </w:r>
          </w:p>
          <w:p w14:paraId="53F2D241" w14:textId="77777777" w:rsidR="00BE5127" w:rsidRPr="00BE5127" w:rsidRDefault="00BE5127" w:rsidP="002010CA">
            <w:pPr>
              <w:bidi/>
              <w:jc w:val="center"/>
              <w:rPr>
                <w:rFonts w:asciiTheme="majorBidi" w:eastAsia="Times New Roman" w:hAnsiTheme="majorBidi" w:cstheme="majorBidi"/>
                <w:b/>
                <w:bCs/>
                <w:sz w:val="26"/>
                <w:szCs w:val="26"/>
                <w:rtl/>
                <w:lang w:bidi="ar-EG"/>
              </w:rPr>
            </w:pPr>
          </w:p>
        </w:tc>
        <w:tc>
          <w:tcPr>
            <w:tcW w:w="1440" w:type="dxa"/>
          </w:tcPr>
          <w:p w14:paraId="2578F576"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b/>
                <w:bCs/>
                <w:sz w:val="28"/>
                <w:szCs w:val="28"/>
                <w:rtl/>
                <w:lang w:bidi="ar-EG"/>
              </w:rPr>
              <w:lastRenderedPageBreak/>
              <w:t>(العتيبي واليوبي، 2024)</w:t>
            </w:r>
          </w:p>
        </w:tc>
        <w:tc>
          <w:tcPr>
            <w:tcW w:w="2520" w:type="dxa"/>
          </w:tcPr>
          <w:p w14:paraId="2C6D6E49"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t xml:space="preserve">هدفت الدراسة إلى التعرف على أثر تقنيات الذكاء الاصطناعي في الابتكار التسويقي بشركة </w:t>
            </w:r>
            <w:r w:rsidRPr="00BE5127">
              <w:rPr>
                <w:rFonts w:asciiTheme="majorBidi" w:hAnsiTheme="majorBidi" w:cstheme="majorBidi"/>
                <w:sz w:val="28"/>
                <w:szCs w:val="28"/>
                <w:rtl/>
                <w:lang w:bidi="ar-EG"/>
              </w:rPr>
              <w:lastRenderedPageBreak/>
              <w:t>موبايلي في المملكة العربية السعودية، من خلال تحليل واقع استخدام هذه التقنيات ومدى تأثيرها على عناصر المزيج التسويقي المبتكر.</w:t>
            </w:r>
          </w:p>
        </w:tc>
        <w:tc>
          <w:tcPr>
            <w:tcW w:w="2430" w:type="dxa"/>
          </w:tcPr>
          <w:p w14:paraId="7D2CA5C1"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lastRenderedPageBreak/>
              <w:t xml:space="preserve">اعتمدت الدراسة على منهج دراسة الحالة، وتمثل مجتمع الدراسة في الفروع الرئيسية لشركة </w:t>
            </w:r>
            <w:r w:rsidRPr="00BE5127">
              <w:rPr>
                <w:rFonts w:asciiTheme="majorBidi" w:hAnsiTheme="majorBidi" w:cstheme="majorBidi"/>
                <w:sz w:val="28"/>
                <w:szCs w:val="28"/>
                <w:rtl/>
                <w:lang w:bidi="ar-EG"/>
              </w:rPr>
              <w:lastRenderedPageBreak/>
              <w:t>موبايلي بمدينة مكة المكرمة، حيث تم جمع البيانات باستخدام أداة الاستبانة التي طبقت على عينة قوامها 30 موظفاً، بالإضافة إلى استخدام منهج تحليل المحتوى.</w:t>
            </w:r>
          </w:p>
        </w:tc>
        <w:tc>
          <w:tcPr>
            <w:tcW w:w="2790" w:type="dxa"/>
          </w:tcPr>
          <w:p w14:paraId="34DFE901"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lastRenderedPageBreak/>
              <w:t xml:space="preserve">أظهرت النتائج أن واقع استخدام تقنيات الذكاء الاصطناعي في الشركة جاء بنسبة مرتفعة جداً بلغت </w:t>
            </w:r>
            <w:r w:rsidRPr="00BE5127">
              <w:rPr>
                <w:rFonts w:asciiTheme="majorBidi" w:hAnsiTheme="majorBidi" w:cstheme="majorBidi"/>
                <w:sz w:val="28"/>
                <w:szCs w:val="28"/>
                <w:rtl/>
                <w:lang w:bidi="ar-EG"/>
              </w:rPr>
              <w:lastRenderedPageBreak/>
              <w:t>89.2%، كما كشفت عن وجود أثر إيجابي ذي دلالة إحصائية لتقنيات الذكاء الاصطناعي على الابتكار التسويقي وأبعاده بنسبة 80%، مع وجود علاقة ارتباط طردية قوية بين المتغيرين بلغت 93%. وتبين أن تقنية تحليل البيانات الضخمة هي الأكثر تأثيراً في الابتكار التسويقي، في حين كانت تقنية التعلم العميق الأقل تأثيراً. بناءً على هذه النتائج، قدمت الدراسة نموذجاً مقترحاً لكيفية توظيف تقنيات الذكاء الاصطناعي في دعم الابتكار التسويقي، وأوصت بضرورة الاهتمام بتطبيق هذه التقنيات، وتصميم برامج تدريبية متخصصة، وتوفير متطلبات تطبيقها، وإعداد خطط تطويرية للاستفادة من تحليل البيانات الضخمة في تعزيز القدرات الابتكارية.</w:t>
            </w:r>
          </w:p>
        </w:tc>
      </w:tr>
      <w:tr w:rsidR="00BE5127" w:rsidRPr="00BE5127" w14:paraId="1FBB7436" w14:textId="77777777" w:rsidTr="002010CA">
        <w:trPr>
          <w:trHeight w:val="220"/>
        </w:trPr>
        <w:tc>
          <w:tcPr>
            <w:tcW w:w="1811" w:type="dxa"/>
          </w:tcPr>
          <w:p w14:paraId="0758854A"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b/>
                <w:bCs/>
                <w:sz w:val="28"/>
                <w:szCs w:val="28"/>
                <w:rtl/>
                <w:lang w:bidi="ar-EG"/>
              </w:rPr>
              <w:lastRenderedPageBreak/>
              <w:t>انعكاس تقنيات الذكاء الاصطناعي على حوكمة الشركات في النظام السعودي</w:t>
            </w:r>
          </w:p>
        </w:tc>
        <w:tc>
          <w:tcPr>
            <w:tcW w:w="1440" w:type="dxa"/>
          </w:tcPr>
          <w:p w14:paraId="69FE1FB4"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b/>
                <w:bCs/>
                <w:sz w:val="28"/>
                <w:szCs w:val="28"/>
                <w:rtl/>
                <w:lang w:bidi="ar-EG"/>
              </w:rPr>
              <w:t>(الشمري، 2023)</w:t>
            </w:r>
          </w:p>
        </w:tc>
        <w:tc>
          <w:tcPr>
            <w:tcW w:w="2520" w:type="dxa"/>
          </w:tcPr>
          <w:p w14:paraId="55132298"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rPr>
              <w:t>هدفت الدراسة إلى تحليل انعكاس تقنيات الذكاء الاصطناعي على حوكمة الشركات في المملكة العربية السعودية، من خلال توضيح مفهوم الحوكمة وآلياتها التنظيمية، وبيان دورها في تعزيز الإفصاح والشفافية، مع استكشاف الأطر النظامية التي يمكن عبرها توظيف تقنيات الذكاء الاصطناعي لتطوير قواعد وضوابط الحوكمة.</w:t>
            </w:r>
          </w:p>
        </w:tc>
        <w:tc>
          <w:tcPr>
            <w:tcW w:w="2430" w:type="dxa"/>
          </w:tcPr>
          <w:p w14:paraId="5A22F1C4"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rPr>
              <w:t>اعتمدت الدراسة على المنهج الوصفي التحليلي، وركزت على الشركات الخاضعة لأنظمة الحوكمة في السعودية، ولا سيما الشركات المرتبطة بسوق المال ونظم التسجيل الإلكتروني.</w:t>
            </w:r>
          </w:p>
        </w:tc>
        <w:tc>
          <w:tcPr>
            <w:tcW w:w="2790" w:type="dxa"/>
          </w:tcPr>
          <w:p w14:paraId="09A1D029"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rPr>
              <w:t xml:space="preserve">أظهرت النتائج أن تفعيل تقنيات الذكاء الاصطناعي يستند إلى التوجه الاستراتيجي للمملكة نحو التحول الرقمي، ويعزز الامتثال لمتطلبات الإفصاح والشفافية من خلال الأنظمة الإلكترونية. كما بينت الدراسة أن تبني هذه التقنيات يسهم في تقليص الوقت والجهد والتكاليف التشغيلية، ويرفع من كفاءة الرقابة الداخلية والخارجية، ويحد من مظاهر الفساد الإداري والمالي. وقد تجلى ذلك </w:t>
            </w:r>
            <w:r w:rsidRPr="00BE5127">
              <w:rPr>
                <w:rFonts w:asciiTheme="majorBidi" w:hAnsiTheme="majorBidi" w:cstheme="majorBidi"/>
                <w:sz w:val="28"/>
                <w:szCs w:val="28"/>
                <w:rtl/>
              </w:rPr>
              <w:lastRenderedPageBreak/>
              <w:t>بوضوح في إجراءات التسجيل الإلكتروني للشركات، وإصدار التراخيص، وتنفيذ عمليات التداول في سوق الأوراق المالية. كما نادت الدراسة بضرورة تدخل المنظم السعودي لوضع إطار نظامي خاص بتطبيق تقنيات الذكاء الاصطناعي في مجال الحوكمة، مع إلزام الشركات بالتحول الرقمي الشامل لبياناتها بما يضمن تعزيز الشفافية وتحقيق كفاءة أعلى في الأداء المؤسسي.</w:t>
            </w:r>
          </w:p>
        </w:tc>
      </w:tr>
      <w:tr w:rsidR="00BE5127" w:rsidRPr="00BE5127" w14:paraId="71635221" w14:textId="77777777" w:rsidTr="002010CA">
        <w:trPr>
          <w:trHeight w:val="220"/>
        </w:trPr>
        <w:tc>
          <w:tcPr>
            <w:tcW w:w="1811" w:type="dxa"/>
          </w:tcPr>
          <w:p w14:paraId="756601BF"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b/>
                <w:bCs/>
                <w:sz w:val="28"/>
                <w:szCs w:val="28"/>
                <w:rtl/>
                <w:lang w:bidi="ar-EG"/>
              </w:rPr>
              <w:lastRenderedPageBreak/>
              <w:t>الذكاء الاصطناعي ودوره في إدارة الموارد البشرية في البلديات 2023</w:t>
            </w:r>
          </w:p>
        </w:tc>
        <w:tc>
          <w:tcPr>
            <w:tcW w:w="1440" w:type="dxa"/>
          </w:tcPr>
          <w:p w14:paraId="655DFD30"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b/>
                <w:bCs/>
                <w:sz w:val="28"/>
                <w:szCs w:val="28"/>
                <w:rtl/>
                <w:lang w:bidi="ar-EG"/>
              </w:rPr>
              <w:t>(الجعافرة، 2023)</w:t>
            </w:r>
          </w:p>
        </w:tc>
        <w:tc>
          <w:tcPr>
            <w:tcW w:w="2520" w:type="dxa"/>
          </w:tcPr>
          <w:p w14:paraId="61C6FD91"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t>هدفت الدراسة إلى التعرف على الذكاء الاصطناعي ودوره في إدارة الموارد البشرية في البلديات الأردنية، من خلال تسليط الضوء على أهمية توظيف تقنيات الذكاء الاصطناعي في تطوير وظائف الموارد البشرية والانتقال من الأنظمة التقليدية اليدوية إلى الأنظمة الآلية القائمة على الأرشفة والأتمتة.</w:t>
            </w:r>
          </w:p>
        </w:tc>
        <w:tc>
          <w:tcPr>
            <w:tcW w:w="2430" w:type="dxa"/>
          </w:tcPr>
          <w:p w14:paraId="29FA896E"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t>اعتمدت الدراسة على المنهج الوصفي التحليلي، وتكون مجتمع الدراسة من البلديات الأردنية، في حين تمثلت العينة في بلدية الكرك الكبرى، واعتمدت الدراسة على جمع المعلومات من مصادرها الأولية والثانوية دون ذكر حجم عينة محدد.</w:t>
            </w:r>
          </w:p>
        </w:tc>
        <w:tc>
          <w:tcPr>
            <w:tcW w:w="2790" w:type="dxa"/>
          </w:tcPr>
          <w:p w14:paraId="0B770E11"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t xml:space="preserve">أظهرت النتائج أن إدارة الموارد البشرية تواجه تحديات كبيرة لا يمكن معالجتها إلا من خلال تطبيق تقنية الذكاء الاصطناعي في أقسامها، وأكدت أن اندماج الذكاء الاصطناعي مع ممارسات إدارة الموارد البشرية يعمل على تغيير كيفية تجنيد البلدية للقوى العاملة وإدارتها وإشراكها، كما أوضحت أن عمليات التحديث دفعت بتطوير الموارد البشرية بطريقة مدفوعة بالتكنولوجيا والبيانات لتعزيز دورها الاستراتيجي. أوصت الدراسة وزارة الإدارة المحلية بتعظيم أهمية الذكاء الاصطناعي لاستبدال العمالة البدنية بالآلات التقنية، وإحلال الذكاء الاصطناعي محل العقل البشري في إدارة شؤون الموظفين، وتعزيز فعالية وظائف الموارد </w:t>
            </w:r>
            <w:r w:rsidRPr="00BE5127">
              <w:rPr>
                <w:rFonts w:asciiTheme="majorBidi" w:hAnsiTheme="majorBidi" w:cstheme="majorBidi"/>
                <w:sz w:val="28"/>
                <w:szCs w:val="28"/>
                <w:rtl/>
                <w:lang w:bidi="ar-EG"/>
              </w:rPr>
              <w:lastRenderedPageBreak/>
              <w:t>البشرية من خلال استخداماته، ومعالجة التحديات التي تواجه تطبيقه.</w:t>
            </w:r>
          </w:p>
        </w:tc>
      </w:tr>
    </w:tbl>
    <w:p w14:paraId="0A529F6C" w14:textId="77777777" w:rsidR="00BE5127" w:rsidRPr="00BE5127" w:rsidRDefault="00BE5127" w:rsidP="00BE5127">
      <w:pPr>
        <w:bidi/>
        <w:jc w:val="both"/>
        <w:rPr>
          <w:rFonts w:asciiTheme="majorBidi" w:hAnsiTheme="majorBidi" w:cstheme="majorBidi"/>
          <w:b/>
          <w:bCs/>
          <w:sz w:val="28"/>
          <w:szCs w:val="28"/>
          <w:rtl/>
          <w:lang w:bidi="ar-EG"/>
        </w:rPr>
      </w:pPr>
      <w:r w:rsidRPr="00BE5127">
        <w:rPr>
          <w:rFonts w:asciiTheme="majorBidi" w:hAnsiTheme="majorBidi" w:cstheme="majorBidi"/>
          <w:b/>
          <w:bCs/>
          <w:sz w:val="28"/>
          <w:szCs w:val="28"/>
          <w:rtl/>
          <w:lang w:bidi="ar-EG"/>
        </w:rPr>
        <w:lastRenderedPageBreak/>
        <w:t>ثانياً: الدراسات الخاصة بالمتغير التابع: فاعلية القرارات الاستراتيجية</w:t>
      </w:r>
    </w:p>
    <w:tbl>
      <w:tblPr>
        <w:tblStyle w:val="a6"/>
        <w:bidiVisual/>
        <w:tblW w:w="10985" w:type="dxa"/>
        <w:tblInd w:w="-799" w:type="dxa"/>
        <w:tblLook w:val="04A0" w:firstRow="1" w:lastRow="0" w:firstColumn="1" w:lastColumn="0" w:noHBand="0" w:noVBand="1"/>
      </w:tblPr>
      <w:tblGrid>
        <w:gridCol w:w="1795"/>
        <w:gridCol w:w="1546"/>
        <w:gridCol w:w="2490"/>
        <w:gridCol w:w="2395"/>
        <w:gridCol w:w="2759"/>
      </w:tblGrid>
      <w:tr w:rsidR="00BE5127" w:rsidRPr="00BE5127" w14:paraId="4FD0AA84" w14:textId="77777777" w:rsidTr="002010CA">
        <w:trPr>
          <w:trHeight w:val="728"/>
        </w:trPr>
        <w:tc>
          <w:tcPr>
            <w:tcW w:w="1805" w:type="dxa"/>
            <w:hideMark/>
          </w:tcPr>
          <w:p w14:paraId="1EBAA736" w14:textId="77777777" w:rsidR="00BE5127" w:rsidRPr="00BE5127" w:rsidRDefault="00BE5127" w:rsidP="002010CA">
            <w:pPr>
              <w:bidi/>
              <w:jc w:val="center"/>
              <w:rPr>
                <w:rFonts w:asciiTheme="majorBidi" w:eastAsia="Times New Roman" w:hAnsiTheme="majorBidi" w:cstheme="majorBidi"/>
                <w:b/>
                <w:bCs/>
                <w:sz w:val="32"/>
                <w:szCs w:val="32"/>
              </w:rPr>
            </w:pPr>
            <w:r w:rsidRPr="00BE5127">
              <w:rPr>
                <w:rFonts w:asciiTheme="majorBidi" w:eastAsia="Times New Roman" w:hAnsiTheme="majorBidi" w:cstheme="majorBidi"/>
                <w:b/>
                <w:bCs/>
                <w:sz w:val="32"/>
                <w:szCs w:val="32"/>
                <w:rtl/>
              </w:rPr>
              <w:t>العنوان</w:t>
            </w:r>
          </w:p>
        </w:tc>
        <w:tc>
          <w:tcPr>
            <w:tcW w:w="1440" w:type="dxa"/>
            <w:hideMark/>
          </w:tcPr>
          <w:p w14:paraId="79AD8633" w14:textId="77777777" w:rsidR="00BE5127" w:rsidRPr="00BE5127" w:rsidRDefault="00BE5127" w:rsidP="002010CA">
            <w:pPr>
              <w:bidi/>
              <w:jc w:val="center"/>
              <w:rPr>
                <w:rFonts w:asciiTheme="majorBidi" w:eastAsia="Times New Roman" w:hAnsiTheme="majorBidi" w:cstheme="majorBidi"/>
                <w:b/>
                <w:bCs/>
                <w:sz w:val="32"/>
                <w:szCs w:val="32"/>
              </w:rPr>
            </w:pPr>
            <w:r w:rsidRPr="00BE5127">
              <w:rPr>
                <w:rFonts w:asciiTheme="majorBidi" w:eastAsia="Times New Roman" w:hAnsiTheme="majorBidi" w:cstheme="majorBidi"/>
                <w:b/>
                <w:bCs/>
                <w:sz w:val="32"/>
                <w:szCs w:val="32"/>
                <w:rtl/>
              </w:rPr>
              <w:t>الباحث/السنة</w:t>
            </w:r>
          </w:p>
        </w:tc>
        <w:tc>
          <w:tcPr>
            <w:tcW w:w="2520" w:type="dxa"/>
            <w:hideMark/>
          </w:tcPr>
          <w:p w14:paraId="11024C97" w14:textId="77777777" w:rsidR="00BE5127" w:rsidRPr="00BE5127" w:rsidRDefault="00BE5127" w:rsidP="002010CA">
            <w:pPr>
              <w:bidi/>
              <w:jc w:val="center"/>
              <w:rPr>
                <w:rFonts w:asciiTheme="majorBidi" w:eastAsia="Times New Roman" w:hAnsiTheme="majorBidi" w:cstheme="majorBidi"/>
                <w:b/>
                <w:bCs/>
                <w:sz w:val="32"/>
                <w:szCs w:val="32"/>
              </w:rPr>
            </w:pPr>
            <w:r w:rsidRPr="00BE5127">
              <w:rPr>
                <w:rFonts w:asciiTheme="majorBidi" w:eastAsia="Times New Roman" w:hAnsiTheme="majorBidi" w:cstheme="majorBidi"/>
                <w:b/>
                <w:bCs/>
                <w:sz w:val="32"/>
                <w:szCs w:val="32"/>
                <w:rtl/>
              </w:rPr>
              <w:t>الهدف</w:t>
            </w:r>
          </w:p>
        </w:tc>
        <w:tc>
          <w:tcPr>
            <w:tcW w:w="2430" w:type="dxa"/>
            <w:hideMark/>
          </w:tcPr>
          <w:p w14:paraId="2040EC4A" w14:textId="77777777" w:rsidR="00BE5127" w:rsidRPr="00BE5127" w:rsidRDefault="00BE5127" w:rsidP="002010CA">
            <w:pPr>
              <w:bidi/>
              <w:jc w:val="center"/>
              <w:rPr>
                <w:rFonts w:asciiTheme="majorBidi" w:eastAsia="Times New Roman" w:hAnsiTheme="majorBidi" w:cstheme="majorBidi"/>
                <w:b/>
                <w:bCs/>
                <w:sz w:val="32"/>
                <w:szCs w:val="32"/>
              </w:rPr>
            </w:pPr>
            <w:r w:rsidRPr="00BE5127">
              <w:rPr>
                <w:rFonts w:asciiTheme="majorBidi" w:eastAsia="Times New Roman" w:hAnsiTheme="majorBidi" w:cstheme="majorBidi"/>
                <w:b/>
                <w:bCs/>
                <w:sz w:val="32"/>
                <w:szCs w:val="32"/>
                <w:rtl/>
              </w:rPr>
              <w:t>المنهج</w:t>
            </w:r>
          </w:p>
        </w:tc>
        <w:tc>
          <w:tcPr>
            <w:tcW w:w="2790" w:type="dxa"/>
            <w:hideMark/>
          </w:tcPr>
          <w:p w14:paraId="75B58588" w14:textId="77777777" w:rsidR="00BE5127" w:rsidRPr="00BE5127" w:rsidRDefault="00BE5127" w:rsidP="002010CA">
            <w:pPr>
              <w:bidi/>
              <w:jc w:val="center"/>
              <w:rPr>
                <w:rFonts w:asciiTheme="majorBidi" w:eastAsia="Times New Roman" w:hAnsiTheme="majorBidi" w:cstheme="majorBidi"/>
                <w:b/>
                <w:bCs/>
                <w:sz w:val="32"/>
                <w:szCs w:val="32"/>
              </w:rPr>
            </w:pPr>
            <w:r w:rsidRPr="00BE5127">
              <w:rPr>
                <w:rFonts w:asciiTheme="majorBidi" w:eastAsia="Times New Roman" w:hAnsiTheme="majorBidi" w:cstheme="majorBidi"/>
                <w:b/>
                <w:bCs/>
                <w:sz w:val="32"/>
                <w:szCs w:val="32"/>
                <w:rtl/>
              </w:rPr>
              <w:t>النتائج</w:t>
            </w:r>
          </w:p>
        </w:tc>
      </w:tr>
      <w:tr w:rsidR="00BE5127" w:rsidRPr="00BE5127" w14:paraId="695C90E0" w14:textId="77777777" w:rsidTr="002010CA">
        <w:trPr>
          <w:trHeight w:val="220"/>
        </w:trPr>
        <w:tc>
          <w:tcPr>
            <w:tcW w:w="1805" w:type="dxa"/>
          </w:tcPr>
          <w:p w14:paraId="132A6A64" w14:textId="77777777" w:rsidR="00BE5127" w:rsidRPr="00BE5127" w:rsidRDefault="00BE5127" w:rsidP="002010CA">
            <w:pPr>
              <w:bidi/>
              <w:jc w:val="both"/>
              <w:rPr>
                <w:rFonts w:asciiTheme="majorBidi" w:hAnsiTheme="majorBidi" w:cstheme="majorBidi"/>
                <w:b/>
                <w:bCs/>
                <w:sz w:val="28"/>
                <w:szCs w:val="28"/>
                <w:rtl/>
                <w:lang w:bidi="ar-EG"/>
              </w:rPr>
            </w:pPr>
            <w:r w:rsidRPr="00BE5127">
              <w:rPr>
                <w:rFonts w:asciiTheme="majorBidi" w:hAnsiTheme="majorBidi" w:cstheme="majorBidi"/>
                <w:b/>
                <w:bCs/>
                <w:sz w:val="28"/>
                <w:szCs w:val="28"/>
                <w:rtl/>
                <w:lang w:bidi="ar-EG"/>
              </w:rPr>
              <w:t>الموائمة الاستراتيجية ودورها في دعم الأداء المؤسسي: الدور الوسيط لفعالية القرار، دراسة تطبيقية</w:t>
            </w:r>
          </w:p>
          <w:p w14:paraId="5D402909" w14:textId="77777777" w:rsidR="00BE5127" w:rsidRPr="00BE5127" w:rsidRDefault="00BE5127" w:rsidP="002010CA">
            <w:pPr>
              <w:bidi/>
              <w:jc w:val="center"/>
              <w:rPr>
                <w:rFonts w:asciiTheme="majorBidi" w:eastAsia="Times New Roman" w:hAnsiTheme="majorBidi" w:cstheme="majorBidi"/>
                <w:b/>
                <w:bCs/>
                <w:sz w:val="26"/>
                <w:szCs w:val="26"/>
                <w:rtl/>
                <w:lang w:bidi="ar-EG"/>
              </w:rPr>
            </w:pPr>
          </w:p>
        </w:tc>
        <w:tc>
          <w:tcPr>
            <w:tcW w:w="1440" w:type="dxa"/>
          </w:tcPr>
          <w:p w14:paraId="01732CA5"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b/>
                <w:bCs/>
                <w:sz w:val="28"/>
                <w:szCs w:val="28"/>
                <w:rtl/>
                <w:lang w:bidi="ar-EG"/>
              </w:rPr>
              <w:t>(ابراهيم، 2025)</w:t>
            </w:r>
          </w:p>
        </w:tc>
        <w:tc>
          <w:tcPr>
            <w:tcW w:w="2520" w:type="dxa"/>
          </w:tcPr>
          <w:p w14:paraId="3A845869"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t>هدفت الدراسة إلى الكشف عن دور الموائمة الاستراتيجية في دعم الأداء المؤسسي من خلال الدور الوسيط لفعالية القرار، وذلك بالتطبيق على جامعة العريش في مصر.</w:t>
            </w:r>
          </w:p>
        </w:tc>
        <w:tc>
          <w:tcPr>
            <w:tcW w:w="2430" w:type="dxa"/>
          </w:tcPr>
          <w:p w14:paraId="02407CE8"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t>اعتمدت الدراسة على المنهج الوصفي التحليلي، وتكون مجتمع الدراسة من جميع أعضاء هيئة التدريس والإداريين بالجامعة والبالغ عددهم 1118 فرداً، وتم اختيار عينة عشوائية طبقية قوامها 230 فرداً، وتم جمع البيانات باستخدام استبانة إلكترونية، وبلغ معدل الاستجابة 82.7%.</w:t>
            </w:r>
          </w:p>
        </w:tc>
        <w:tc>
          <w:tcPr>
            <w:tcW w:w="2790" w:type="dxa"/>
          </w:tcPr>
          <w:p w14:paraId="7F04772A" w14:textId="77777777" w:rsidR="00BE5127" w:rsidRPr="00BE5127" w:rsidRDefault="00BE5127" w:rsidP="002010CA">
            <w:pPr>
              <w:bidi/>
              <w:ind w:firstLine="720"/>
              <w:jc w:val="both"/>
              <w:rPr>
                <w:rFonts w:asciiTheme="majorBidi" w:hAnsiTheme="majorBidi" w:cstheme="majorBidi"/>
                <w:sz w:val="28"/>
                <w:szCs w:val="28"/>
                <w:rtl/>
                <w:lang w:bidi="ar-EG"/>
              </w:rPr>
            </w:pPr>
            <w:r w:rsidRPr="00BE5127">
              <w:rPr>
                <w:rFonts w:asciiTheme="majorBidi" w:hAnsiTheme="majorBidi" w:cstheme="majorBidi"/>
                <w:sz w:val="28"/>
                <w:szCs w:val="28"/>
                <w:rtl/>
                <w:lang w:bidi="ar-EG"/>
              </w:rPr>
              <w:t>أظهرت النتائج وجود تأثير إيجابي ذي دلالة إحصائية للموائمة الاستراتيجية بأبعادها (الاتصالات، الكفاءة، الحوكمة، الشراكة، البنية التحتية، المهارات) على كل من فعالية القرار والأداء المؤسسي، كما تبين وجود تأثير إيجابي لفعالية القرار على الأداء المؤسسي، وأكدت النتائج وجود دور وسيط جزئي لفعالية القرار في العلاقة بين الموائمة الاستراتيجية والأداء المؤسسي، حيث أوضحت أن الموائمة الاستراتيجية تفسر 62% من التباين في فعالية القرار، و81% من التباين في الأداء المؤسسي. أوصت الدراسة بضرورة تقديم رؤى استباقية توجه التغييرات المستقبلية، وتطوير الهياكل التنظيمية والبرامج، وتحسين جودة الخدمات.</w:t>
            </w:r>
          </w:p>
        </w:tc>
      </w:tr>
      <w:tr w:rsidR="00BE5127" w:rsidRPr="00BE5127" w14:paraId="75B6E9EC" w14:textId="77777777" w:rsidTr="002010CA">
        <w:trPr>
          <w:trHeight w:val="220"/>
        </w:trPr>
        <w:tc>
          <w:tcPr>
            <w:tcW w:w="1805" w:type="dxa"/>
          </w:tcPr>
          <w:p w14:paraId="1F2ED3A5"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b/>
                <w:bCs/>
                <w:sz w:val="28"/>
                <w:szCs w:val="28"/>
                <w:rtl/>
                <w:lang w:bidi="ar-EG"/>
              </w:rPr>
              <w:t>أثر الرقابة الإدارية على فاعلية القرارات في المؤسسات الحكومية العمانية</w:t>
            </w:r>
          </w:p>
        </w:tc>
        <w:tc>
          <w:tcPr>
            <w:tcW w:w="1440" w:type="dxa"/>
          </w:tcPr>
          <w:p w14:paraId="627A147E"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b/>
                <w:bCs/>
                <w:sz w:val="28"/>
                <w:szCs w:val="28"/>
                <w:rtl/>
                <w:lang w:bidi="ar-EG"/>
              </w:rPr>
              <w:t>(</w:t>
            </w:r>
            <w:proofErr w:type="spellStart"/>
            <w:r w:rsidRPr="00BE5127">
              <w:rPr>
                <w:rFonts w:asciiTheme="majorBidi" w:hAnsiTheme="majorBidi" w:cstheme="majorBidi"/>
                <w:b/>
                <w:bCs/>
                <w:sz w:val="28"/>
                <w:szCs w:val="28"/>
                <w:rtl/>
                <w:lang w:bidi="ar-EG"/>
              </w:rPr>
              <w:t>الشيزاوي</w:t>
            </w:r>
            <w:proofErr w:type="spellEnd"/>
            <w:r w:rsidRPr="00BE5127">
              <w:rPr>
                <w:rFonts w:asciiTheme="majorBidi" w:hAnsiTheme="majorBidi" w:cstheme="majorBidi"/>
                <w:b/>
                <w:bCs/>
                <w:sz w:val="28"/>
                <w:szCs w:val="28"/>
                <w:rtl/>
                <w:lang w:bidi="ar-EG"/>
              </w:rPr>
              <w:t>، 2024)</w:t>
            </w:r>
          </w:p>
        </w:tc>
        <w:tc>
          <w:tcPr>
            <w:tcW w:w="2520" w:type="dxa"/>
          </w:tcPr>
          <w:p w14:paraId="0070FE6B"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t>هدفت الدراسة إلى التعرف على أثر الرقابة الإدارية على فاعلية القرارات في المؤسسات الحكومية العمانية، من خلال دراسة ميدانية مطبقة في هيئة البيئة العمانية.</w:t>
            </w:r>
          </w:p>
        </w:tc>
        <w:tc>
          <w:tcPr>
            <w:tcW w:w="2430" w:type="dxa"/>
          </w:tcPr>
          <w:p w14:paraId="09DCFDC8"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t xml:space="preserve">اعتمدت الدراسة على المنهج الوصفي التحليلي، وتكون مجتمع الدراسة من جميع المديرين في الهيئة والبالغ عددهم 31 مديراً، وتم جمع البيانات باستخدام أداة الاستبانة </w:t>
            </w:r>
            <w:r w:rsidRPr="00BE5127">
              <w:rPr>
                <w:rFonts w:asciiTheme="majorBidi" w:hAnsiTheme="majorBidi" w:cstheme="majorBidi"/>
                <w:sz w:val="28"/>
                <w:szCs w:val="28"/>
                <w:rtl/>
                <w:lang w:bidi="ar-EG"/>
              </w:rPr>
              <w:lastRenderedPageBreak/>
              <w:t>التي شملت جميع أفراد المجتمع.</w:t>
            </w:r>
          </w:p>
        </w:tc>
        <w:tc>
          <w:tcPr>
            <w:tcW w:w="2790" w:type="dxa"/>
          </w:tcPr>
          <w:p w14:paraId="7E0089E4" w14:textId="77777777" w:rsidR="00BE5127" w:rsidRPr="00BE5127" w:rsidRDefault="00BE5127" w:rsidP="002010CA">
            <w:pPr>
              <w:bidi/>
              <w:ind w:firstLine="720"/>
              <w:jc w:val="both"/>
              <w:rPr>
                <w:rFonts w:asciiTheme="majorBidi" w:hAnsiTheme="majorBidi" w:cstheme="majorBidi"/>
                <w:sz w:val="28"/>
                <w:szCs w:val="28"/>
                <w:rtl/>
                <w:lang w:bidi="ar-EG"/>
              </w:rPr>
            </w:pPr>
            <w:r w:rsidRPr="00BE5127">
              <w:rPr>
                <w:rFonts w:asciiTheme="majorBidi" w:hAnsiTheme="majorBidi" w:cstheme="majorBidi"/>
                <w:sz w:val="28"/>
                <w:szCs w:val="28"/>
                <w:rtl/>
                <w:lang w:bidi="ar-EG"/>
              </w:rPr>
              <w:lastRenderedPageBreak/>
              <w:t xml:space="preserve">أظهرت النتائج وجود أثر ذي دلالة إحصائية عند مستوى الدلالة (0.05 ≥ </w:t>
            </w:r>
            <w:r w:rsidRPr="00BE5127">
              <w:rPr>
                <w:rFonts w:asciiTheme="majorBidi" w:hAnsiTheme="majorBidi" w:cstheme="majorBidi"/>
                <w:sz w:val="28"/>
                <w:szCs w:val="28"/>
                <w:lang w:bidi="ar-EG"/>
              </w:rPr>
              <w:t>α</w:t>
            </w:r>
            <w:r w:rsidRPr="00BE5127">
              <w:rPr>
                <w:rFonts w:asciiTheme="majorBidi" w:hAnsiTheme="majorBidi" w:cstheme="majorBidi"/>
                <w:sz w:val="28"/>
                <w:szCs w:val="28"/>
                <w:rtl/>
                <w:lang w:bidi="ar-EG"/>
              </w:rPr>
              <w:t>)</w:t>
            </w:r>
            <w:r w:rsidRPr="00BE5127">
              <w:rPr>
                <w:rFonts w:asciiTheme="majorBidi" w:hAnsiTheme="majorBidi" w:cstheme="majorBidi"/>
                <w:sz w:val="28"/>
                <w:szCs w:val="28"/>
                <w:lang w:bidi="ar-EG"/>
              </w:rPr>
              <w:t xml:space="preserve"> </w:t>
            </w:r>
            <w:r w:rsidRPr="00BE5127">
              <w:rPr>
                <w:rFonts w:asciiTheme="majorBidi" w:hAnsiTheme="majorBidi" w:cstheme="majorBidi"/>
                <w:sz w:val="28"/>
                <w:szCs w:val="28"/>
                <w:rtl/>
                <w:lang w:bidi="ar-EG"/>
              </w:rPr>
              <w:t xml:space="preserve">للرقابة الإدارية بأبعادها (التقارير الإدارية، الملاحظات، الموازنة التقديرية، الشكاوى) على فاعلية عملية اتخاذ القرارات </w:t>
            </w:r>
            <w:r w:rsidRPr="00BE5127">
              <w:rPr>
                <w:rFonts w:asciiTheme="majorBidi" w:hAnsiTheme="majorBidi" w:cstheme="majorBidi"/>
                <w:sz w:val="28"/>
                <w:szCs w:val="28"/>
                <w:rtl/>
                <w:lang w:bidi="ar-EG"/>
              </w:rPr>
              <w:lastRenderedPageBreak/>
              <w:t>بمراحلها المختلفة (تحديد المشكلة، جمع المعلومات، تحديد البدائل الاستراتيجية، التنفيذ والرقابة) في هيئة البيئة العمانية. كما أظهرت النتائج وجود درجة موافقة كبيرة تجاه مستوى كفاءة التقارير الإدارية والملاحظات والموازنات التقديرية، في حين كانت الاستجابة محايدة تجاه مستوى كفاءة الشكاوى، وكذلك تجاه مرحلتي تحديد المشكلة والتنفيذ والرقابة. أوصت الدراسة بتعزيز قنوات التواصل بين إدارة الهيئة والعاملين، وتطوير نظام الشكاوى، وتكليف لجان مختصة لفحص الشكاوى، وتزويد الإدارة العليا بتقارير دورية حول نقاط القوة والضعف في القرارات.</w:t>
            </w:r>
          </w:p>
        </w:tc>
      </w:tr>
      <w:tr w:rsidR="00BE5127" w:rsidRPr="00BE5127" w14:paraId="29100C38" w14:textId="77777777" w:rsidTr="002010CA">
        <w:trPr>
          <w:trHeight w:val="220"/>
        </w:trPr>
        <w:tc>
          <w:tcPr>
            <w:tcW w:w="1805" w:type="dxa"/>
          </w:tcPr>
          <w:p w14:paraId="0538EF29" w14:textId="77777777" w:rsidR="00BE5127" w:rsidRPr="00BE5127" w:rsidRDefault="00BE5127" w:rsidP="002010CA">
            <w:pPr>
              <w:bidi/>
              <w:jc w:val="both"/>
              <w:rPr>
                <w:rFonts w:asciiTheme="majorBidi" w:hAnsiTheme="majorBidi" w:cstheme="majorBidi"/>
                <w:b/>
                <w:bCs/>
                <w:sz w:val="28"/>
                <w:szCs w:val="28"/>
                <w:rtl/>
                <w:lang w:bidi="ar-EG"/>
              </w:rPr>
            </w:pPr>
            <w:r w:rsidRPr="00BE5127">
              <w:rPr>
                <w:rFonts w:asciiTheme="majorBidi" w:hAnsiTheme="majorBidi" w:cstheme="majorBidi"/>
                <w:b/>
                <w:bCs/>
                <w:sz w:val="28"/>
                <w:szCs w:val="28"/>
                <w:rtl/>
                <w:lang w:bidi="ar-EG"/>
              </w:rPr>
              <w:lastRenderedPageBreak/>
              <w:t>تأثير التحول الرقمي على فاعلية اتخاذ القرارات الاستراتيجية: الدور الوسيط الميزة التنافسية</w:t>
            </w:r>
          </w:p>
          <w:p w14:paraId="743BA513" w14:textId="77777777" w:rsidR="00BE5127" w:rsidRPr="00BE5127" w:rsidRDefault="00BE5127" w:rsidP="002010CA">
            <w:pPr>
              <w:bidi/>
              <w:jc w:val="center"/>
              <w:rPr>
                <w:rFonts w:asciiTheme="majorBidi" w:eastAsia="Times New Roman" w:hAnsiTheme="majorBidi" w:cstheme="majorBidi"/>
                <w:b/>
                <w:bCs/>
                <w:sz w:val="26"/>
                <w:szCs w:val="26"/>
                <w:rtl/>
                <w:lang w:bidi="ar-EG"/>
              </w:rPr>
            </w:pPr>
          </w:p>
        </w:tc>
        <w:tc>
          <w:tcPr>
            <w:tcW w:w="1440" w:type="dxa"/>
          </w:tcPr>
          <w:p w14:paraId="2F38B80C"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b/>
                <w:bCs/>
                <w:sz w:val="28"/>
                <w:szCs w:val="28"/>
                <w:rtl/>
                <w:lang w:bidi="ar-EG"/>
              </w:rPr>
              <w:t>(ابراهيم، 2023)</w:t>
            </w:r>
          </w:p>
        </w:tc>
        <w:tc>
          <w:tcPr>
            <w:tcW w:w="2520" w:type="dxa"/>
          </w:tcPr>
          <w:p w14:paraId="2DF97ECD"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t xml:space="preserve">هدفت الدراسة إلى قياس تأثير التحول الرقمي على فاعلية اتخاذ القرارات الاستراتيجية من خلال الدور الوسيط للميزة التنافسية في الأندية الرياضية المصرية، وذلك من خلال تحديد العلاقة بين التحول الرقمي بأبعاده (البنية التحتية التكنولوجية، التشريعات والسياسات، المهارات الرقمية، توافر التمويل) وتحقيق الميزة التنافسية، وقياس مدى تأثيرها على فاعلية القرارات الاستراتيجية بأبعادها (تحديد الموقف الاستراتيجي، تحديد </w:t>
            </w:r>
            <w:r w:rsidRPr="00BE5127">
              <w:rPr>
                <w:rFonts w:asciiTheme="majorBidi" w:hAnsiTheme="majorBidi" w:cstheme="majorBidi"/>
                <w:sz w:val="28"/>
                <w:szCs w:val="28"/>
                <w:rtl/>
                <w:lang w:bidi="ar-EG"/>
              </w:rPr>
              <w:lastRenderedPageBreak/>
              <w:t>الأهداف، جمع المعلومات، توليد البدائل، اختيار البديل).</w:t>
            </w:r>
          </w:p>
        </w:tc>
        <w:tc>
          <w:tcPr>
            <w:tcW w:w="2430" w:type="dxa"/>
          </w:tcPr>
          <w:p w14:paraId="57823B2A"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lastRenderedPageBreak/>
              <w:t>اعتمدت الدراسة على المنهج الميداني، وتكون مجتمع الدراسة من موظفي نادي الزهور الرياضي بفرعيه والبالغ عددهم 1100 موظف، وتم اختيار عينة ميسرة قوامها 285 مفردة، وتم جمع البيانات باستخدام استبانة إلكترونية.</w:t>
            </w:r>
          </w:p>
        </w:tc>
        <w:tc>
          <w:tcPr>
            <w:tcW w:w="2790" w:type="dxa"/>
          </w:tcPr>
          <w:p w14:paraId="3A24990B"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t xml:space="preserve">أظهرت النتائج أن الأندية الرياضية لا تتبنى عملية التحول الرقمي بدرجة كافية، حيث جاءت المتوسطات الحسابية لأبعاده متوسطة، كما أظهرت ضعفاً في مستوى فاعلية اتخاذ القرارات الاستراتيجية وعدم القدرة على تحقيق الميزة التنافسية. كما توصلت إلى قبول الفرض الرئيسي الأول والثالث جزئياً، وقبول الفرضين الرئيسيين الثاني والرابع كلياً. أوصت الدراسة بضرورة إدراك أهمية قدرة الموظفين على اكتساب مهارات وظيفية جديدة، والمبادرة إلى التحول الرقمي في الأندية الرياضية، وتهيئة </w:t>
            </w:r>
            <w:r w:rsidRPr="00BE5127">
              <w:rPr>
                <w:rFonts w:asciiTheme="majorBidi" w:hAnsiTheme="majorBidi" w:cstheme="majorBidi"/>
                <w:sz w:val="28"/>
                <w:szCs w:val="28"/>
                <w:rtl/>
                <w:lang w:bidi="ar-EG"/>
              </w:rPr>
              <w:lastRenderedPageBreak/>
              <w:t>الموظفين لمواكبة التقدم التكنولوجي، وتطوير الأجهزة والمعدات.</w:t>
            </w:r>
          </w:p>
        </w:tc>
      </w:tr>
      <w:tr w:rsidR="00BE5127" w:rsidRPr="00BE5127" w14:paraId="502E9F61" w14:textId="77777777" w:rsidTr="002010CA">
        <w:trPr>
          <w:trHeight w:val="220"/>
        </w:trPr>
        <w:tc>
          <w:tcPr>
            <w:tcW w:w="1805" w:type="dxa"/>
          </w:tcPr>
          <w:p w14:paraId="67B19649"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b/>
                <w:bCs/>
                <w:sz w:val="28"/>
                <w:szCs w:val="28"/>
                <w:rtl/>
                <w:lang w:bidi="ar-EG"/>
              </w:rPr>
              <w:lastRenderedPageBreak/>
              <w:t>دور الذكاء التنافسي في تعزيز فاعلية القرارات الاستراتيجية: بحث استطلاعي للآراء عينة من مديري شركة الاتصالات آسيا سيل في العراق</w:t>
            </w:r>
          </w:p>
        </w:tc>
        <w:tc>
          <w:tcPr>
            <w:tcW w:w="1440" w:type="dxa"/>
          </w:tcPr>
          <w:p w14:paraId="22DF5579"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b/>
                <w:bCs/>
                <w:sz w:val="28"/>
                <w:szCs w:val="28"/>
                <w:rtl/>
                <w:lang w:bidi="ar-EG"/>
              </w:rPr>
              <w:t>(على، 2022)</w:t>
            </w:r>
          </w:p>
        </w:tc>
        <w:tc>
          <w:tcPr>
            <w:tcW w:w="2520" w:type="dxa"/>
          </w:tcPr>
          <w:p w14:paraId="6CDECC76"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t>هدفت الدراسة إلى التعرف على دور الذكاء التنافسي في تعزيز فاعلية القرارات الاستراتيجية في شركة آسيا سيل للاتصالات في العراق، من خلال تشخيص طبيعة علاقات الارتباط والتأثير بين الذكاء التنافسي بأبعاده (جمع المعلومات، التحليل، التجميع، النشر) وفاعلية القرارات الاستراتيجية بأبعادها (الملاءمة، القبول، الجودة).</w:t>
            </w:r>
          </w:p>
        </w:tc>
        <w:tc>
          <w:tcPr>
            <w:tcW w:w="2430" w:type="dxa"/>
          </w:tcPr>
          <w:p w14:paraId="3A56ABFA"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t>اعتمدت الدراسة على المنهج الوصفي التحليلي، وتكون مجتمع الدراسة من المديرين في الشركة، وتم اختيار عينة قصدية قوامها 61 فرداً من شاغلي المناصب الإدارية العليا، وتم جمع البيانات باستخدام استبانة صممت لهذا الغرض.</w:t>
            </w:r>
          </w:p>
        </w:tc>
        <w:tc>
          <w:tcPr>
            <w:tcW w:w="2790" w:type="dxa"/>
          </w:tcPr>
          <w:p w14:paraId="2A1058E2"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t xml:space="preserve">أظهرت النتائج وجود علاقة ارتباط موجبة وذات دلالة معنوية بين الذكاء التنافسي وفاعلية القرارات الاستراتيجية، حيث بلغ معامل الارتباط الكلي 0.932 عند مستوى معنوية 1%، كما أظهرت وجود تأثير ذي دلالة معنوية للذكاء التنافسي في فاعلية القرارات الاستراتيجية، حيث بلغ معامل التحديد </w:t>
            </w:r>
            <w:r w:rsidRPr="00BE5127">
              <w:rPr>
                <w:rFonts w:asciiTheme="majorBidi" w:hAnsiTheme="majorBidi" w:cstheme="majorBidi"/>
                <w:sz w:val="28"/>
                <w:szCs w:val="28"/>
                <w:lang w:bidi="ar-EG"/>
              </w:rPr>
              <w:t>R² 0.869</w:t>
            </w:r>
            <w:r w:rsidRPr="00BE5127">
              <w:rPr>
                <w:rFonts w:asciiTheme="majorBidi" w:hAnsiTheme="majorBidi" w:cstheme="majorBidi"/>
                <w:sz w:val="28"/>
                <w:szCs w:val="28"/>
                <w:rtl/>
                <w:lang w:bidi="ar-EG"/>
              </w:rPr>
              <w:t>، مما يعني أن الذكاء التنافسي يفسر 86.9% من التغيرات في فاعلية القرارات الاستراتيجية. أوصت الدراسة بضرورة توجيه قيادة الشركة نحو التخلص من القيود التي تحد من قدرتها التنافسية، وتوفير المتطلبات اللازمة لاستمرار نجاحها وتطويرها في الجوانب البشرية والتقنية.</w:t>
            </w:r>
          </w:p>
        </w:tc>
      </w:tr>
    </w:tbl>
    <w:p w14:paraId="27A53ECE" w14:textId="77777777" w:rsidR="00BE5127" w:rsidRPr="00BE5127" w:rsidRDefault="00BE5127" w:rsidP="00BE5127">
      <w:pPr>
        <w:bidi/>
        <w:jc w:val="both"/>
        <w:rPr>
          <w:rFonts w:asciiTheme="majorBidi" w:hAnsiTheme="majorBidi" w:cstheme="majorBidi"/>
          <w:b/>
          <w:bCs/>
          <w:sz w:val="28"/>
          <w:szCs w:val="28"/>
          <w:rtl/>
          <w:lang w:bidi="ar-EG"/>
        </w:rPr>
      </w:pPr>
    </w:p>
    <w:p w14:paraId="09673443" w14:textId="77777777" w:rsidR="00BE5127" w:rsidRPr="00BE5127" w:rsidRDefault="00BE5127" w:rsidP="00BE5127">
      <w:pPr>
        <w:bidi/>
        <w:jc w:val="both"/>
        <w:rPr>
          <w:rFonts w:asciiTheme="majorBidi" w:hAnsiTheme="majorBidi" w:cstheme="majorBidi"/>
          <w:b/>
          <w:bCs/>
          <w:sz w:val="28"/>
          <w:szCs w:val="28"/>
          <w:rtl/>
          <w:lang w:bidi="ar-EG"/>
        </w:rPr>
      </w:pPr>
      <w:r w:rsidRPr="00BE5127">
        <w:rPr>
          <w:rFonts w:asciiTheme="majorBidi" w:hAnsiTheme="majorBidi" w:cstheme="majorBidi"/>
          <w:b/>
          <w:bCs/>
          <w:sz w:val="28"/>
          <w:szCs w:val="28"/>
          <w:rtl/>
          <w:lang w:bidi="ar-EG"/>
        </w:rPr>
        <w:t xml:space="preserve">  </w:t>
      </w:r>
    </w:p>
    <w:p w14:paraId="574CB67F" w14:textId="77777777" w:rsidR="00BE5127" w:rsidRPr="00BE5127" w:rsidRDefault="00BE5127" w:rsidP="00BE5127">
      <w:pPr>
        <w:bidi/>
        <w:jc w:val="both"/>
        <w:rPr>
          <w:rFonts w:asciiTheme="majorBidi" w:hAnsiTheme="majorBidi" w:cstheme="majorBidi"/>
          <w:b/>
          <w:bCs/>
          <w:sz w:val="28"/>
          <w:szCs w:val="28"/>
          <w:rtl/>
          <w:lang w:bidi="ar-EG"/>
        </w:rPr>
      </w:pPr>
    </w:p>
    <w:p w14:paraId="3501FCE8" w14:textId="77777777" w:rsidR="00BE5127" w:rsidRPr="00BE5127" w:rsidRDefault="00BE5127" w:rsidP="00BE5127">
      <w:pPr>
        <w:bidi/>
        <w:ind w:firstLine="720"/>
        <w:jc w:val="both"/>
        <w:rPr>
          <w:rFonts w:asciiTheme="majorBidi" w:hAnsiTheme="majorBidi" w:cstheme="majorBidi"/>
          <w:sz w:val="28"/>
          <w:szCs w:val="28"/>
          <w:rtl/>
          <w:lang w:bidi="ar-EG"/>
        </w:rPr>
      </w:pPr>
    </w:p>
    <w:p w14:paraId="285010CC" w14:textId="77777777" w:rsidR="00BE5127" w:rsidRPr="00BE5127" w:rsidRDefault="00BE5127" w:rsidP="00BE5127">
      <w:pPr>
        <w:bidi/>
        <w:ind w:firstLine="720"/>
        <w:jc w:val="both"/>
        <w:rPr>
          <w:rFonts w:asciiTheme="majorBidi" w:hAnsiTheme="majorBidi" w:cstheme="majorBidi"/>
          <w:sz w:val="28"/>
          <w:szCs w:val="28"/>
          <w:rtl/>
          <w:lang w:bidi="ar-EG"/>
        </w:rPr>
      </w:pPr>
    </w:p>
    <w:p w14:paraId="22A124A6" w14:textId="77777777" w:rsidR="00BE5127" w:rsidRPr="00BE5127" w:rsidRDefault="00BE5127" w:rsidP="00BE5127">
      <w:pPr>
        <w:bidi/>
        <w:jc w:val="both"/>
        <w:rPr>
          <w:rFonts w:asciiTheme="majorBidi" w:hAnsiTheme="majorBidi" w:cstheme="majorBidi"/>
          <w:b/>
          <w:bCs/>
          <w:sz w:val="28"/>
          <w:szCs w:val="28"/>
          <w:rtl/>
          <w:lang w:bidi="ar-EG"/>
        </w:rPr>
      </w:pPr>
    </w:p>
    <w:p w14:paraId="1B07B32C" w14:textId="77777777" w:rsidR="00BE5127" w:rsidRPr="00BE5127" w:rsidRDefault="00BE5127" w:rsidP="00BE5127">
      <w:pPr>
        <w:bidi/>
        <w:jc w:val="both"/>
        <w:rPr>
          <w:rFonts w:asciiTheme="majorBidi" w:hAnsiTheme="majorBidi" w:cstheme="majorBidi"/>
          <w:b/>
          <w:bCs/>
          <w:sz w:val="28"/>
          <w:szCs w:val="28"/>
          <w:rtl/>
          <w:lang w:bidi="ar-EG"/>
        </w:rPr>
      </w:pPr>
    </w:p>
    <w:p w14:paraId="117161AC" w14:textId="77777777" w:rsidR="00BE5127" w:rsidRPr="00BE5127" w:rsidRDefault="00BE5127" w:rsidP="00BE5127">
      <w:pPr>
        <w:bidi/>
        <w:jc w:val="both"/>
        <w:rPr>
          <w:rFonts w:asciiTheme="majorBidi" w:hAnsiTheme="majorBidi" w:cstheme="majorBidi"/>
          <w:b/>
          <w:bCs/>
          <w:sz w:val="28"/>
          <w:szCs w:val="28"/>
          <w:rtl/>
          <w:lang w:bidi="ar-EG"/>
        </w:rPr>
      </w:pPr>
      <w:r w:rsidRPr="00BE5127">
        <w:rPr>
          <w:rFonts w:asciiTheme="majorBidi" w:hAnsiTheme="majorBidi" w:cstheme="majorBidi"/>
          <w:b/>
          <w:bCs/>
          <w:sz w:val="28"/>
          <w:szCs w:val="28"/>
          <w:rtl/>
          <w:lang w:bidi="ar-EG"/>
        </w:rPr>
        <w:t>ثالثاً الدراسات الخاصة بتأثير تقنيات الذكاء الاصطناعي على فعالية القرارات الاستراتيجية</w:t>
      </w:r>
    </w:p>
    <w:tbl>
      <w:tblPr>
        <w:tblStyle w:val="a6"/>
        <w:bidiVisual/>
        <w:tblW w:w="10985" w:type="dxa"/>
        <w:tblInd w:w="-799" w:type="dxa"/>
        <w:tblLook w:val="04A0" w:firstRow="1" w:lastRow="0" w:firstColumn="1" w:lastColumn="0" w:noHBand="0" w:noVBand="1"/>
      </w:tblPr>
      <w:tblGrid>
        <w:gridCol w:w="1960"/>
        <w:gridCol w:w="1546"/>
        <w:gridCol w:w="2430"/>
        <w:gridCol w:w="2348"/>
        <w:gridCol w:w="2701"/>
      </w:tblGrid>
      <w:tr w:rsidR="00BE5127" w:rsidRPr="00BE5127" w14:paraId="59ECBF03" w14:textId="77777777" w:rsidTr="002010CA">
        <w:trPr>
          <w:trHeight w:val="728"/>
        </w:trPr>
        <w:tc>
          <w:tcPr>
            <w:tcW w:w="1960" w:type="dxa"/>
            <w:hideMark/>
          </w:tcPr>
          <w:p w14:paraId="45BCD049" w14:textId="77777777" w:rsidR="00BE5127" w:rsidRPr="00BE5127" w:rsidRDefault="00BE5127" w:rsidP="002010CA">
            <w:pPr>
              <w:bidi/>
              <w:jc w:val="center"/>
              <w:rPr>
                <w:rFonts w:asciiTheme="majorBidi" w:eastAsia="Times New Roman" w:hAnsiTheme="majorBidi" w:cstheme="majorBidi"/>
                <w:b/>
                <w:bCs/>
                <w:sz w:val="32"/>
                <w:szCs w:val="32"/>
              </w:rPr>
            </w:pPr>
            <w:r w:rsidRPr="00BE5127">
              <w:rPr>
                <w:rFonts w:asciiTheme="majorBidi" w:eastAsia="Times New Roman" w:hAnsiTheme="majorBidi" w:cstheme="majorBidi"/>
                <w:b/>
                <w:bCs/>
                <w:sz w:val="32"/>
                <w:szCs w:val="32"/>
                <w:rtl/>
              </w:rPr>
              <w:lastRenderedPageBreak/>
              <w:t>العنوان</w:t>
            </w:r>
          </w:p>
        </w:tc>
        <w:tc>
          <w:tcPr>
            <w:tcW w:w="1546" w:type="dxa"/>
            <w:hideMark/>
          </w:tcPr>
          <w:p w14:paraId="778F6153" w14:textId="77777777" w:rsidR="00BE5127" w:rsidRPr="00BE5127" w:rsidRDefault="00BE5127" w:rsidP="002010CA">
            <w:pPr>
              <w:bidi/>
              <w:jc w:val="center"/>
              <w:rPr>
                <w:rFonts w:asciiTheme="majorBidi" w:eastAsia="Times New Roman" w:hAnsiTheme="majorBidi" w:cstheme="majorBidi"/>
                <w:b/>
                <w:bCs/>
                <w:sz w:val="32"/>
                <w:szCs w:val="32"/>
              </w:rPr>
            </w:pPr>
            <w:r w:rsidRPr="00BE5127">
              <w:rPr>
                <w:rFonts w:asciiTheme="majorBidi" w:eastAsia="Times New Roman" w:hAnsiTheme="majorBidi" w:cstheme="majorBidi"/>
                <w:b/>
                <w:bCs/>
                <w:sz w:val="32"/>
                <w:szCs w:val="32"/>
                <w:rtl/>
              </w:rPr>
              <w:t>الباحث/السنة</w:t>
            </w:r>
          </w:p>
        </w:tc>
        <w:tc>
          <w:tcPr>
            <w:tcW w:w="2430" w:type="dxa"/>
            <w:hideMark/>
          </w:tcPr>
          <w:p w14:paraId="5295A111" w14:textId="77777777" w:rsidR="00BE5127" w:rsidRPr="00BE5127" w:rsidRDefault="00BE5127" w:rsidP="002010CA">
            <w:pPr>
              <w:bidi/>
              <w:jc w:val="center"/>
              <w:rPr>
                <w:rFonts w:asciiTheme="majorBidi" w:eastAsia="Times New Roman" w:hAnsiTheme="majorBidi" w:cstheme="majorBidi"/>
                <w:b/>
                <w:bCs/>
                <w:sz w:val="32"/>
                <w:szCs w:val="32"/>
              </w:rPr>
            </w:pPr>
            <w:r w:rsidRPr="00BE5127">
              <w:rPr>
                <w:rFonts w:asciiTheme="majorBidi" w:eastAsia="Times New Roman" w:hAnsiTheme="majorBidi" w:cstheme="majorBidi"/>
                <w:b/>
                <w:bCs/>
                <w:sz w:val="32"/>
                <w:szCs w:val="32"/>
                <w:rtl/>
              </w:rPr>
              <w:t>الهدف</w:t>
            </w:r>
          </w:p>
        </w:tc>
        <w:tc>
          <w:tcPr>
            <w:tcW w:w="2348" w:type="dxa"/>
            <w:hideMark/>
          </w:tcPr>
          <w:p w14:paraId="5150E304" w14:textId="77777777" w:rsidR="00BE5127" w:rsidRPr="00BE5127" w:rsidRDefault="00BE5127" w:rsidP="002010CA">
            <w:pPr>
              <w:bidi/>
              <w:jc w:val="center"/>
              <w:rPr>
                <w:rFonts w:asciiTheme="majorBidi" w:eastAsia="Times New Roman" w:hAnsiTheme="majorBidi" w:cstheme="majorBidi"/>
                <w:b/>
                <w:bCs/>
                <w:sz w:val="32"/>
                <w:szCs w:val="32"/>
              </w:rPr>
            </w:pPr>
            <w:r w:rsidRPr="00BE5127">
              <w:rPr>
                <w:rFonts w:asciiTheme="majorBidi" w:eastAsia="Times New Roman" w:hAnsiTheme="majorBidi" w:cstheme="majorBidi"/>
                <w:b/>
                <w:bCs/>
                <w:sz w:val="32"/>
                <w:szCs w:val="32"/>
                <w:rtl/>
              </w:rPr>
              <w:t>المنهج</w:t>
            </w:r>
          </w:p>
        </w:tc>
        <w:tc>
          <w:tcPr>
            <w:tcW w:w="2701" w:type="dxa"/>
            <w:hideMark/>
          </w:tcPr>
          <w:p w14:paraId="2721E220" w14:textId="77777777" w:rsidR="00BE5127" w:rsidRPr="00BE5127" w:rsidRDefault="00BE5127" w:rsidP="002010CA">
            <w:pPr>
              <w:bidi/>
              <w:jc w:val="center"/>
              <w:rPr>
                <w:rFonts w:asciiTheme="majorBidi" w:eastAsia="Times New Roman" w:hAnsiTheme="majorBidi" w:cstheme="majorBidi"/>
                <w:b/>
                <w:bCs/>
                <w:sz w:val="32"/>
                <w:szCs w:val="32"/>
              </w:rPr>
            </w:pPr>
            <w:r w:rsidRPr="00BE5127">
              <w:rPr>
                <w:rFonts w:asciiTheme="majorBidi" w:eastAsia="Times New Roman" w:hAnsiTheme="majorBidi" w:cstheme="majorBidi"/>
                <w:b/>
                <w:bCs/>
                <w:sz w:val="32"/>
                <w:szCs w:val="32"/>
                <w:rtl/>
              </w:rPr>
              <w:t>النتائج</w:t>
            </w:r>
          </w:p>
        </w:tc>
      </w:tr>
      <w:tr w:rsidR="00BE5127" w:rsidRPr="00BE5127" w14:paraId="39D8E9F1" w14:textId="77777777" w:rsidTr="002010CA">
        <w:trPr>
          <w:trHeight w:val="220"/>
        </w:trPr>
        <w:tc>
          <w:tcPr>
            <w:tcW w:w="1960" w:type="dxa"/>
          </w:tcPr>
          <w:p w14:paraId="6A68CAAD" w14:textId="77777777" w:rsidR="00BE5127" w:rsidRPr="00BE5127" w:rsidRDefault="00BE5127" w:rsidP="002010CA">
            <w:pPr>
              <w:bidi/>
              <w:jc w:val="center"/>
              <w:rPr>
                <w:rFonts w:asciiTheme="majorBidi" w:eastAsia="Times New Roman" w:hAnsiTheme="majorBidi" w:cstheme="majorBidi"/>
                <w:b/>
                <w:bCs/>
                <w:sz w:val="26"/>
                <w:szCs w:val="26"/>
                <w:rtl/>
                <w:lang w:bidi="ar-EG"/>
              </w:rPr>
            </w:pPr>
            <w:r w:rsidRPr="00BE5127">
              <w:rPr>
                <w:rFonts w:asciiTheme="majorBidi" w:hAnsiTheme="majorBidi" w:cstheme="majorBidi"/>
                <w:b/>
                <w:bCs/>
                <w:sz w:val="28"/>
                <w:szCs w:val="28"/>
                <w:lang w:bidi="ar-EG"/>
              </w:rPr>
              <w:t>Integration of artificial intelligence in management information systems to improve the effectiveness of strategic decision-making in the digital era</w:t>
            </w:r>
          </w:p>
        </w:tc>
        <w:tc>
          <w:tcPr>
            <w:tcW w:w="1546" w:type="dxa"/>
          </w:tcPr>
          <w:p w14:paraId="513440F6"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b/>
                <w:bCs/>
                <w:sz w:val="28"/>
                <w:szCs w:val="28"/>
                <w:lang w:bidi="ar-EG"/>
              </w:rPr>
              <w:t>(</w:t>
            </w:r>
            <w:proofErr w:type="spellStart"/>
            <w:r w:rsidRPr="00BE5127">
              <w:rPr>
                <w:rFonts w:asciiTheme="majorBidi" w:hAnsiTheme="majorBidi" w:cstheme="majorBidi"/>
                <w:b/>
                <w:bCs/>
                <w:sz w:val="28"/>
                <w:szCs w:val="28"/>
                <w:lang w:bidi="ar-EG"/>
              </w:rPr>
              <w:t>Wasesa</w:t>
            </w:r>
            <w:proofErr w:type="spellEnd"/>
            <w:r w:rsidRPr="00BE5127">
              <w:rPr>
                <w:rFonts w:asciiTheme="majorBidi" w:hAnsiTheme="majorBidi" w:cstheme="majorBidi"/>
                <w:b/>
                <w:bCs/>
                <w:sz w:val="28"/>
                <w:szCs w:val="28"/>
                <w:lang w:bidi="ar-EG"/>
              </w:rPr>
              <w:t xml:space="preserve"> et al, 2025)</w:t>
            </w:r>
          </w:p>
        </w:tc>
        <w:tc>
          <w:tcPr>
            <w:tcW w:w="2430" w:type="dxa"/>
          </w:tcPr>
          <w:p w14:paraId="5CAD0FB5"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t>هدفت الدراسة إلى تحليل العوامل المؤثرة في نجاح تبني الذكاء الاصطناعي ضمن نظم المعلومات الإدارية، وتقييم تأثير هذا التكامل على فاعلية اتخاذ القرارات الاستراتيجية، واستكشاف الدور الوسيط للقدرات الديناميكية في هذه العلاقة.</w:t>
            </w:r>
          </w:p>
        </w:tc>
        <w:tc>
          <w:tcPr>
            <w:tcW w:w="2348" w:type="dxa"/>
          </w:tcPr>
          <w:p w14:paraId="764073A2"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t xml:space="preserve">اعتمدت الدراسة على منهجية مختلطة، وتكون مجتمع الدراسة من المؤسسات العاملة في </w:t>
            </w:r>
            <w:proofErr w:type="gramStart"/>
            <w:r w:rsidRPr="00BE5127">
              <w:rPr>
                <w:rFonts w:asciiTheme="majorBidi" w:hAnsiTheme="majorBidi" w:cstheme="majorBidi"/>
                <w:sz w:val="28"/>
                <w:szCs w:val="28"/>
                <w:rtl/>
                <w:lang w:bidi="ar-EG"/>
              </w:rPr>
              <w:t>ستة</w:t>
            </w:r>
            <w:proofErr w:type="gramEnd"/>
            <w:r w:rsidRPr="00BE5127">
              <w:rPr>
                <w:rFonts w:asciiTheme="majorBidi" w:hAnsiTheme="majorBidi" w:cstheme="majorBidi"/>
                <w:sz w:val="28"/>
                <w:szCs w:val="28"/>
                <w:rtl/>
                <w:lang w:bidi="ar-EG"/>
              </w:rPr>
              <w:t xml:space="preserve"> قطاعات صناعية في إندونيسيا، وتم جمع البيانات الكمية من عينة قوامها 715 فرداً من المستويات الإدارية العليا والوسطى والمتخصصين، كما تم إجراء دراسات حالة نوعية في 25 منظمة ذات مستويات متفاوتة من نضج تطبيق الذكاء الاصطناعي.</w:t>
            </w:r>
          </w:p>
        </w:tc>
        <w:tc>
          <w:tcPr>
            <w:tcW w:w="2701" w:type="dxa"/>
          </w:tcPr>
          <w:p w14:paraId="21A108BC" w14:textId="77777777" w:rsidR="00BE5127" w:rsidRPr="00BE5127" w:rsidRDefault="00BE5127" w:rsidP="002010CA">
            <w:pPr>
              <w:bidi/>
              <w:ind w:firstLine="720"/>
              <w:jc w:val="both"/>
              <w:rPr>
                <w:rFonts w:asciiTheme="majorBidi" w:hAnsiTheme="majorBidi" w:cstheme="majorBidi"/>
                <w:sz w:val="28"/>
                <w:szCs w:val="28"/>
                <w:rtl/>
                <w:lang w:bidi="ar-EG"/>
              </w:rPr>
            </w:pPr>
            <w:r w:rsidRPr="00BE5127">
              <w:rPr>
                <w:rFonts w:asciiTheme="majorBidi" w:hAnsiTheme="majorBidi" w:cstheme="majorBidi"/>
                <w:sz w:val="28"/>
                <w:szCs w:val="28"/>
                <w:rtl/>
                <w:lang w:bidi="ar-EG"/>
              </w:rPr>
              <w:t>أظهرت نتائج تحليل النمذجة الهيكلية أن العوامل الرئيسية المؤثرة في تبني الذكاء الاصطناعي تشمل الفائدة المدركة، سهولة الاستخدام، الجاهزية التنظيمية، والدعم الإداري. كما أظهر التكامل تحسناً كبيراً في فاعلية القرارات الاستراتيجية تمثل في زيادة جودة القرار بنسبة 34.7%، سرعة اتخاذ القرار بنسبة 42.3%، دقة التنبؤ بنسبة 28.6%، التوافق الاستراتيجي بنسبة 31.2%، وقدرات تقييم المخاطر بنسبة 36.8%. كشفت النتائج النوعية عن تحديات رئيسية للتنفيذ تشمل جودة البيانات، الفجوات المهارية، مقاومة الموظفين، وتعقيد التكامل. أوصت الدراسة بتوفير إطار شامل لتوجيه تكامل الذكاء الاصطناعي في نظم المعلومات الإدارية لتحقيق ميزة تنافسية مستدامة.</w:t>
            </w:r>
          </w:p>
        </w:tc>
      </w:tr>
      <w:tr w:rsidR="00BE5127" w:rsidRPr="00BE5127" w14:paraId="4323B104" w14:textId="77777777" w:rsidTr="002010CA">
        <w:trPr>
          <w:trHeight w:val="220"/>
        </w:trPr>
        <w:tc>
          <w:tcPr>
            <w:tcW w:w="1960" w:type="dxa"/>
          </w:tcPr>
          <w:p w14:paraId="51938DA1"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b/>
                <w:bCs/>
                <w:sz w:val="28"/>
                <w:szCs w:val="28"/>
                <w:lang w:bidi="ar-EG"/>
              </w:rPr>
              <w:t xml:space="preserve">In the Era of Emerging Technologies: Discovering the Impact of Artificial Intelligence Capabilities on Timely Decision-Making and </w:t>
            </w:r>
            <w:r w:rsidRPr="00BE5127">
              <w:rPr>
                <w:rFonts w:asciiTheme="majorBidi" w:hAnsiTheme="majorBidi" w:cstheme="majorBidi"/>
                <w:b/>
                <w:bCs/>
                <w:sz w:val="28"/>
                <w:szCs w:val="28"/>
                <w:lang w:bidi="ar-EG"/>
              </w:rPr>
              <w:lastRenderedPageBreak/>
              <w:t>Business Performance</w:t>
            </w:r>
          </w:p>
        </w:tc>
        <w:tc>
          <w:tcPr>
            <w:tcW w:w="1546" w:type="dxa"/>
          </w:tcPr>
          <w:p w14:paraId="24AD337B"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b/>
                <w:bCs/>
                <w:sz w:val="28"/>
                <w:szCs w:val="28"/>
                <w:lang w:bidi="ar-EG"/>
              </w:rPr>
              <w:lastRenderedPageBreak/>
              <w:t>et al, 2024</w:t>
            </w:r>
            <w:proofErr w:type="gramStart"/>
            <w:r w:rsidRPr="00BE5127">
              <w:rPr>
                <w:rFonts w:asciiTheme="majorBidi" w:hAnsiTheme="majorBidi" w:cstheme="majorBidi"/>
                <w:b/>
                <w:bCs/>
                <w:sz w:val="28"/>
                <w:szCs w:val="28"/>
                <w:lang w:bidi="ar-EG"/>
              </w:rPr>
              <w:t xml:space="preserve">) </w:t>
            </w:r>
            <w:r w:rsidRPr="00BE5127">
              <w:rPr>
                <w:rFonts w:asciiTheme="majorBidi" w:hAnsiTheme="majorBidi" w:cstheme="majorBidi"/>
                <w:b/>
                <w:bCs/>
                <w:sz w:val="28"/>
                <w:szCs w:val="28"/>
                <w:rtl/>
                <w:lang w:bidi="ar-EG"/>
              </w:rPr>
              <w:t>)</w:t>
            </w:r>
            <w:proofErr w:type="gramEnd"/>
          </w:p>
        </w:tc>
        <w:tc>
          <w:tcPr>
            <w:tcW w:w="2430" w:type="dxa"/>
          </w:tcPr>
          <w:p w14:paraId="239CAEEE"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t>هدفت الدراسة إلى استكشاف تأثير قدرات الذكاء الاصطناعي على الأداء المؤسسي من خلال الدور الوسيط لسرعة اتخاذ القرار في سياق التقنيات الناشئة.</w:t>
            </w:r>
          </w:p>
        </w:tc>
        <w:tc>
          <w:tcPr>
            <w:tcW w:w="2348" w:type="dxa"/>
          </w:tcPr>
          <w:p w14:paraId="4CEFB19C"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lang w:bidi="ar-EG"/>
              </w:rPr>
              <w:t xml:space="preserve">اعتمدت الدراسة على المنهج الكمي، وتكون مجتمع الدراسة من الرؤساء التنفيذيين وكبار المديرين في مجموعة متنوعة من الشركات، وتم اختيار عينة قوامها 600 شركة من الساحلين الشرقي والغربي للولايات المتحدة، وتم جمع </w:t>
            </w:r>
            <w:r w:rsidRPr="00BE5127">
              <w:rPr>
                <w:rFonts w:asciiTheme="majorBidi" w:hAnsiTheme="majorBidi" w:cstheme="majorBidi"/>
                <w:sz w:val="28"/>
                <w:szCs w:val="28"/>
                <w:rtl/>
                <w:lang w:bidi="ar-EG"/>
              </w:rPr>
              <w:lastRenderedPageBreak/>
              <w:t>البيانات باستخدام استبانة إلكترونية، وبلغت العينة الصالحة للتحليل 184 شركة بعد استبعاد الشركات الصغيرة جداً والكبيرة جداً.</w:t>
            </w:r>
          </w:p>
        </w:tc>
        <w:tc>
          <w:tcPr>
            <w:tcW w:w="2701" w:type="dxa"/>
          </w:tcPr>
          <w:p w14:paraId="227D7CA6" w14:textId="77777777" w:rsidR="00BE5127" w:rsidRPr="00BE5127" w:rsidRDefault="00BE5127" w:rsidP="002010CA">
            <w:pPr>
              <w:bidi/>
              <w:ind w:firstLine="720"/>
              <w:jc w:val="both"/>
              <w:rPr>
                <w:rFonts w:asciiTheme="majorBidi" w:hAnsiTheme="majorBidi" w:cstheme="majorBidi"/>
                <w:sz w:val="28"/>
                <w:szCs w:val="28"/>
                <w:rtl/>
                <w:lang w:bidi="ar-EG"/>
              </w:rPr>
            </w:pPr>
            <w:r w:rsidRPr="00BE5127">
              <w:rPr>
                <w:rFonts w:asciiTheme="majorBidi" w:hAnsiTheme="majorBidi" w:cstheme="majorBidi"/>
                <w:sz w:val="28"/>
                <w:szCs w:val="28"/>
                <w:rtl/>
                <w:lang w:bidi="ar-EG"/>
              </w:rPr>
              <w:lastRenderedPageBreak/>
              <w:t xml:space="preserve">أظهرت النتائج وجود تأثير إيجابي ذي دلالة إحصائية لقدرات الذكاء الاصطناعي على كل من سرعة اتخاذ القرار والأداء المؤسسي، كما تبين وجود تأثير إيجابي لسرعة اتخاذ القرار على الأداء المؤسسي. وأكدت النتائج وجود دور وسيط لسرعة اتخاذ القرار في العلاقة بين قدرات الذكاء </w:t>
            </w:r>
            <w:r w:rsidRPr="00BE5127">
              <w:rPr>
                <w:rFonts w:asciiTheme="majorBidi" w:hAnsiTheme="majorBidi" w:cstheme="majorBidi"/>
                <w:sz w:val="28"/>
                <w:szCs w:val="28"/>
                <w:rtl/>
                <w:lang w:bidi="ar-EG"/>
              </w:rPr>
              <w:lastRenderedPageBreak/>
              <w:t>الاصطناعي والأداء المؤسسي، حيث أوضحت أن قدرات الذكاء الاصطناعي تفسر 63.8% من التباين في سرعة اتخاذ القرار، و75.9% من التباين في الأداء المؤسسي. ونادت الدراسة بضرورة الاستثمار في تقنيات الذكاء الاصطناعي التي تتوافق مع الأهداف الاستراتيجية، وتدريب الموظفين لاستغلال هذه القدرات، وتعزيز ثقافة صنع القرار السريع والمرن داخل المؤسسات.</w:t>
            </w:r>
          </w:p>
        </w:tc>
      </w:tr>
      <w:tr w:rsidR="00BE5127" w:rsidRPr="00BE5127" w14:paraId="39B2D56C" w14:textId="77777777" w:rsidTr="002010CA">
        <w:trPr>
          <w:trHeight w:val="220"/>
        </w:trPr>
        <w:tc>
          <w:tcPr>
            <w:tcW w:w="1960" w:type="dxa"/>
          </w:tcPr>
          <w:p w14:paraId="4B4AAF95" w14:textId="77777777" w:rsidR="00BE5127" w:rsidRPr="00BE5127" w:rsidRDefault="00BE5127" w:rsidP="002010CA">
            <w:pPr>
              <w:bidi/>
              <w:jc w:val="both"/>
              <w:rPr>
                <w:rFonts w:asciiTheme="majorBidi" w:hAnsiTheme="majorBidi" w:cstheme="majorBidi"/>
                <w:b/>
                <w:bCs/>
                <w:sz w:val="28"/>
                <w:szCs w:val="28"/>
                <w:rtl/>
                <w:lang w:bidi="ar-EG"/>
              </w:rPr>
            </w:pPr>
            <w:r w:rsidRPr="00BE5127">
              <w:rPr>
                <w:rFonts w:asciiTheme="majorBidi" w:hAnsiTheme="majorBidi" w:cstheme="majorBidi"/>
                <w:b/>
                <w:bCs/>
                <w:sz w:val="28"/>
                <w:szCs w:val="28"/>
                <w:lang w:bidi="ar-EG"/>
              </w:rPr>
              <w:lastRenderedPageBreak/>
              <w:t>Foresight and strategic decision-making framework from artificial intelligence technology development to utilization activities in small-and-medium-sized enterprises</w:t>
            </w:r>
          </w:p>
          <w:p w14:paraId="0B3ECBC3" w14:textId="77777777" w:rsidR="00BE5127" w:rsidRPr="00BE5127" w:rsidRDefault="00BE5127" w:rsidP="002010CA">
            <w:pPr>
              <w:bidi/>
              <w:jc w:val="center"/>
              <w:rPr>
                <w:rFonts w:asciiTheme="majorBidi" w:eastAsia="Times New Roman" w:hAnsiTheme="majorBidi" w:cstheme="majorBidi"/>
                <w:b/>
                <w:bCs/>
                <w:sz w:val="26"/>
                <w:szCs w:val="26"/>
                <w:rtl/>
                <w:lang w:bidi="ar-EG"/>
              </w:rPr>
            </w:pPr>
          </w:p>
        </w:tc>
        <w:tc>
          <w:tcPr>
            <w:tcW w:w="1546" w:type="dxa"/>
          </w:tcPr>
          <w:p w14:paraId="031BA926"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b/>
                <w:bCs/>
                <w:sz w:val="28"/>
                <w:szCs w:val="28"/>
                <w:lang w:bidi="ar-EG"/>
              </w:rPr>
              <w:t>(Kim &amp; Seo, 2023)</w:t>
            </w:r>
          </w:p>
        </w:tc>
        <w:tc>
          <w:tcPr>
            <w:tcW w:w="2430" w:type="dxa"/>
          </w:tcPr>
          <w:p w14:paraId="5734B7D9"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rPr>
              <w:t>هدفت الدراسة إلى التنبؤ بتطور تكنولوجيا الذكاء الاصطناعي وتأثير أنشطة توظيفه على الشركات، وتحديد استراتيجيات الذكاء الاصطناعي التي تتعامل مع النشاط الابتكاري الواسع لهذه التكنولوجيا، وبناء إطار استراتيجي لاتخاذ القرارات الخاصة باستراتيجيات الذكاء الاصطناعي في الشركات الصغيرة والمتوسطة، بهدف تحسين ممارسات اتخاذ القرارات الاستراتيجية في هذا القطاع.</w:t>
            </w:r>
          </w:p>
        </w:tc>
        <w:tc>
          <w:tcPr>
            <w:tcW w:w="2348" w:type="dxa"/>
          </w:tcPr>
          <w:p w14:paraId="1C7DDDA6"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rPr>
              <w:t>اعتمدت الدراسة على منهجية متعددة الأساليب تضمنت مرحلتين لجمع البيانات؛ تمثلت المرحلة الأولى في منهج قائم على الخبراء من خلال تنظيم ثلاث مجموعات من الخبراء وإجراء مسح دلفي</w:t>
            </w:r>
            <w:r w:rsidRPr="00BE5127">
              <w:rPr>
                <w:rFonts w:asciiTheme="majorBidi" w:hAnsiTheme="majorBidi" w:cstheme="majorBidi"/>
                <w:sz w:val="28"/>
                <w:szCs w:val="28"/>
                <w:lang w:bidi="ar-EG"/>
              </w:rPr>
              <w:t xml:space="preserve"> (Delphi) </w:t>
            </w:r>
            <w:r w:rsidRPr="00BE5127">
              <w:rPr>
                <w:rFonts w:asciiTheme="majorBidi" w:hAnsiTheme="majorBidi" w:cstheme="majorBidi"/>
                <w:sz w:val="28"/>
                <w:szCs w:val="28"/>
                <w:rtl/>
              </w:rPr>
              <w:t>معهم، والمرحلة الثانية في استكمال النتائج عبر مراجعة الأدبيات وتحليل الأوراق الأكاديمية والتقارير والمواد الصوتية المتعلقة بتطور تكنولوجيا الذكاء الاصطناعي وأنواع الابتكار واستراتيجياته، بالإضافة إلى إجراء أربع مقابلات شبه منظمة، وتم استخدام الخريطة الذهنية وشجرة القرار لتحليل النتائج وتوليفها.</w:t>
            </w:r>
          </w:p>
        </w:tc>
        <w:tc>
          <w:tcPr>
            <w:tcW w:w="2701" w:type="dxa"/>
          </w:tcPr>
          <w:p w14:paraId="23ACDD4F" w14:textId="77777777" w:rsidR="00BE5127" w:rsidRPr="00BE5127" w:rsidRDefault="00BE5127" w:rsidP="002010CA">
            <w:pPr>
              <w:bidi/>
              <w:jc w:val="center"/>
              <w:rPr>
                <w:rFonts w:asciiTheme="majorBidi" w:eastAsia="Times New Roman" w:hAnsiTheme="majorBidi" w:cstheme="majorBidi"/>
                <w:b/>
                <w:bCs/>
                <w:sz w:val="26"/>
                <w:szCs w:val="26"/>
                <w:rtl/>
              </w:rPr>
            </w:pPr>
            <w:r w:rsidRPr="00BE5127">
              <w:rPr>
                <w:rFonts w:asciiTheme="majorBidi" w:hAnsiTheme="majorBidi" w:cstheme="majorBidi"/>
                <w:sz w:val="28"/>
                <w:szCs w:val="28"/>
                <w:rtl/>
              </w:rPr>
              <w:t xml:space="preserve">توصلت الدراسة إلى تحديد </w:t>
            </w:r>
            <w:proofErr w:type="gramStart"/>
            <w:r w:rsidRPr="00BE5127">
              <w:rPr>
                <w:rFonts w:asciiTheme="majorBidi" w:hAnsiTheme="majorBidi" w:cstheme="majorBidi"/>
                <w:sz w:val="28"/>
                <w:szCs w:val="28"/>
                <w:rtl/>
              </w:rPr>
              <w:t>أربعة</w:t>
            </w:r>
            <w:proofErr w:type="gramEnd"/>
            <w:r w:rsidRPr="00BE5127">
              <w:rPr>
                <w:rFonts w:asciiTheme="majorBidi" w:hAnsiTheme="majorBidi" w:cstheme="majorBidi"/>
                <w:sz w:val="28"/>
                <w:szCs w:val="28"/>
                <w:rtl/>
              </w:rPr>
              <w:t xml:space="preserve"> مسارات لتطور تكنولوجيا الذكاء الاصطناعي (الذكاء الاصطناعي المتخصص، التقارب مع تقنيات أخرى، الذكاء الاصطناعي العام، أساليب التحكم)، كما حددت ستة أنواع من استراتيجيات الذكاء الاصطناعي وهي: استراتيجية المتفرج، بناء القدرات، امتلاك القدرات، تعزيز الإدارة، تعزيز السوق، وخلق أسواق جديدة، وتم بناء إطار استراتيجي لاتخاذ القرارات باستخدام شجرة القرار. ونادت الدراسة بضرورة مساعدة المديرين التنفيذيين والمهندسين في الشركات الصغيرة والمتوسطة على تطوير ممارساتهم الاستراتيجية من خلال هذا الإطار.</w:t>
            </w:r>
          </w:p>
        </w:tc>
      </w:tr>
    </w:tbl>
    <w:p w14:paraId="1CB27324" w14:textId="77777777" w:rsidR="00BE5127" w:rsidRPr="00BE5127" w:rsidRDefault="00BE5127" w:rsidP="00BE5127">
      <w:pPr>
        <w:bidi/>
        <w:jc w:val="both"/>
        <w:rPr>
          <w:rFonts w:asciiTheme="majorBidi" w:hAnsiTheme="majorBidi" w:cstheme="majorBidi"/>
          <w:b/>
          <w:bCs/>
          <w:sz w:val="32"/>
          <w:szCs w:val="32"/>
          <w:rtl/>
          <w:lang w:bidi="ar-EG"/>
        </w:rPr>
      </w:pPr>
    </w:p>
    <w:p w14:paraId="04F7FCEE" w14:textId="77777777" w:rsidR="00BE5127" w:rsidRPr="00BE5127" w:rsidRDefault="00BE5127" w:rsidP="00BE5127">
      <w:pPr>
        <w:bidi/>
        <w:jc w:val="both"/>
        <w:rPr>
          <w:rFonts w:asciiTheme="majorBidi" w:hAnsiTheme="majorBidi" w:cstheme="majorBidi"/>
          <w:sz w:val="32"/>
          <w:szCs w:val="32"/>
          <w:rtl/>
          <w:lang w:bidi="ar-EG"/>
        </w:rPr>
      </w:pPr>
      <w:r w:rsidRPr="00BE5127">
        <w:rPr>
          <w:rFonts w:asciiTheme="majorBidi" w:hAnsiTheme="majorBidi" w:cstheme="majorBidi"/>
          <w:b/>
          <w:bCs/>
          <w:sz w:val="32"/>
          <w:szCs w:val="32"/>
          <w:rtl/>
          <w:lang w:bidi="ar-EG"/>
        </w:rPr>
        <w:lastRenderedPageBreak/>
        <w:t>التعليق على الدراسات السابقة</w:t>
      </w:r>
    </w:p>
    <w:p w14:paraId="38AEE990" w14:textId="77777777" w:rsidR="00BE5127" w:rsidRPr="00BE5127" w:rsidRDefault="00BE5127" w:rsidP="00BE5127">
      <w:p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أولاً: أوجه التشابه بين الدراسات</w:t>
      </w:r>
    </w:p>
    <w:p w14:paraId="29430E82" w14:textId="77777777" w:rsidR="00BE5127" w:rsidRPr="00BE5127" w:rsidRDefault="00BE5127" w:rsidP="00BE5127">
      <w:pPr>
        <w:bidi/>
        <w:ind w:firstLine="720"/>
        <w:jc w:val="both"/>
        <w:rPr>
          <w:rFonts w:asciiTheme="majorBidi" w:hAnsiTheme="majorBidi" w:cstheme="majorBidi"/>
          <w:sz w:val="28"/>
          <w:szCs w:val="28"/>
          <w:rtl/>
          <w:lang w:bidi="ar-EG"/>
        </w:rPr>
      </w:pPr>
      <w:r w:rsidRPr="00BE5127">
        <w:rPr>
          <w:rFonts w:asciiTheme="majorBidi" w:hAnsiTheme="majorBidi" w:cstheme="majorBidi"/>
          <w:sz w:val="28"/>
          <w:szCs w:val="28"/>
          <w:rtl/>
        </w:rPr>
        <w:t>تتفق الدراسات السابقة في عدد من المرتكزات المنهجية والموضوعية. فمن حيث المنهجية، اعتمدت الغالبية العظمى على المنهج الوصفي التحليلي بوصفه الإطار الرئيس للبحث، كما في دراسات (عبد النبي والعيوني، 2025)، (الشمري، 2023)، (الجعافرة، 2023)، (إبراهيم، 2025)، (</w:t>
      </w:r>
      <w:proofErr w:type="spellStart"/>
      <w:r w:rsidRPr="00BE5127">
        <w:rPr>
          <w:rFonts w:asciiTheme="majorBidi" w:hAnsiTheme="majorBidi" w:cstheme="majorBidi"/>
          <w:sz w:val="28"/>
          <w:szCs w:val="28"/>
          <w:rtl/>
        </w:rPr>
        <w:t>الشيزاوي</w:t>
      </w:r>
      <w:proofErr w:type="spellEnd"/>
      <w:r w:rsidRPr="00BE5127">
        <w:rPr>
          <w:rFonts w:asciiTheme="majorBidi" w:hAnsiTheme="majorBidi" w:cstheme="majorBidi"/>
          <w:sz w:val="28"/>
          <w:szCs w:val="28"/>
          <w:rtl/>
        </w:rPr>
        <w:t xml:space="preserve">، 2024)، و(علي، 2022). كما استخدمت بعض الدراسات مناهج مساندة؛ إذ وظفت دراسة (العتيبي واليوبي، 2024) ودراسة (حمزة، 2024) منهج دراسة الحالة، بينما جمعت دراسة (حمزة، 2024) بينه وبين المنهج التاريخي، واعتمدت دراسة (إبراهيم، 2023) المنهج الميداني، أما الدراسات الأجنبية، فقد تنوعت بين المنهج الكمي في دراسة </w:t>
      </w:r>
      <w:r w:rsidRPr="00BE5127">
        <w:rPr>
          <w:rFonts w:asciiTheme="majorBidi" w:hAnsiTheme="majorBidi" w:cstheme="majorBidi"/>
          <w:sz w:val="28"/>
          <w:szCs w:val="28"/>
          <w:lang w:bidi="ar-EG"/>
        </w:rPr>
        <w:t>(</w:t>
      </w:r>
      <w:proofErr w:type="spellStart"/>
      <w:r w:rsidRPr="00BE5127">
        <w:rPr>
          <w:rFonts w:asciiTheme="majorBidi" w:hAnsiTheme="majorBidi" w:cstheme="majorBidi"/>
          <w:sz w:val="28"/>
          <w:szCs w:val="28"/>
          <w:lang w:bidi="ar-EG"/>
        </w:rPr>
        <w:t>Neiroukh</w:t>
      </w:r>
      <w:proofErr w:type="spellEnd"/>
      <w:r w:rsidRPr="00BE5127">
        <w:rPr>
          <w:rFonts w:asciiTheme="majorBidi" w:hAnsiTheme="majorBidi" w:cstheme="majorBidi"/>
          <w:sz w:val="28"/>
          <w:szCs w:val="28"/>
          <w:lang w:bidi="ar-EG"/>
        </w:rPr>
        <w:t xml:space="preserve"> et al., 2024)</w:t>
      </w:r>
      <w:r w:rsidRPr="00BE5127">
        <w:rPr>
          <w:rFonts w:asciiTheme="majorBidi" w:hAnsiTheme="majorBidi" w:cstheme="majorBidi"/>
          <w:sz w:val="28"/>
          <w:szCs w:val="28"/>
          <w:rtl/>
        </w:rPr>
        <w:t xml:space="preserve">، والمنهج المختلط في </w:t>
      </w:r>
      <w:proofErr w:type="gramStart"/>
      <w:r w:rsidRPr="00BE5127">
        <w:rPr>
          <w:rFonts w:asciiTheme="majorBidi" w:hAnsiTheme="majorBidi" w:cstheme="majorBidi"/>
          <w:sz w:val="28"/>
          <w:szCs w:val="28"/>
          <w:rtl/>
        </w:rPr>
        <w:t xml:space="preserve">دراسة </w:t>
      </w:r>
      <w:r w:rsidRPr="00BE5127">
        <w:rPr>
          <w:rFonts w:asciiTheme="majorBidi" w:hAnsiTheme="majorBidi" w:cstheme="majorBidi"/>
          <w:sz w:val="28"/>
          <w:szCs w:val="28"/>
          <w:lang w:bidi="ar-EG"/>
        </w:rPr>
        <w:t xml:space="preserve"> (</w:t>
      </w:r>
      <w:proofErr w:type="spellStart"/>
      <w:proofErr w:type="gramEnd"/>
      <w:r w:rsidRPr="00BE5127">
        <w:rPr>
          <w:rFonts w:asciiTheme="majorBidi" w:hAnsiTheme="majorBidi" w:cstheme="majorBidi"/>
          <w:sz w:val="28"/>
          <w:szCs w:val="28"/>
          <w:lang w:bidi="ar-EG"/>
        </w:rPr>
        <w:t>Wasesa</w:t>
      </w:r>
      <w:proofErr w:type="spellEnd"/>
      <w:r w:rsidRPr="00BE5127">
        <w:rPr>
          <w:rFonts w:asciiTheme="majorBidi" w:hAnsiTheme="majorBidi" w:cstheme="majorBidi"/>
          <w:sz w:val="28"/>
          <w:szCs w:val="28"/>
          <w:lang w:bidi="ar-EG"/>
        </w:rPr>
        <w:t xml:space="preserve"> et al., 2025)</w:t>
      </w:r>
      <w:r w:rsidRPr="00BE5127">
        <w:rPr>
          <w:rFonts w:asciiTheme="majorBidi" w:hAnsiTheme="majorBidi" w:cstheme="majorBidi"/>
          <w:sz w:val="28"/>
          <w:szCs w:val="28"/>
          <w:rtl/>
        </w:rPr>
        <w:t>، والمنهج متعدد الأساليب (دلفي، مقابلات، تحليل محتوى) في دراسة</w:t>
      </w:r>
      <w:r w:rsidRPr="00BE5127">
        <w:rPr>
          <w:rFonts w:asciiTheme="majorBidi" w:hAnsiTheme="majorBidi" w:cstheme="majorBidi"/>
          <w:sz w:val="28"/>
          <w:szCs w:val="28"/>
          <w:lang w:bidi="ar-EG"/>
        </w:rPr>
        <w:t xml:space="preserve"> (Kim &amp; Seo, 2023) </w:t>
      </w:r>
    </w:p>
    <w:p w14:paraId="0C9058DD" w14:textId="77777777" w:rsidR="00BE5127" w:rsidRPr="00BE5127" w:rsidRDefault="00BE5127" w:rsidP="00BE5127">
      <w:pPr>
        <w:bidi/>
        <w:ind w:firstLine="720"/>
        <w:jc w:val="both"/>
        <w:rPr>
          <w:rFonts w:asciiTheme="majorBidi" w:hAnsiTheme="majorBidi" w:cstheme="majorBidi"/>
          <w:sz w:val="28"/>
          <w:szCs w:val="28"/>
          <w:rtl/>
          <w:lang w:bidi="ar-EG"/>
        </w:rPr>
      </w:pPr>
      <w:r w:rsidRPr="00BE5127">
        <w:rPr>
          <w:rFonts w:asciiTheme="majorBidi" w:hAnsiTheme="majorBidi" w:cstheme="majorBidi"/>
          <w:sz w:val="28"/>
          <w:szCs w:val="28"/>
          <w:rtl/>
        </w:rPr>
        <w:t>ومن حيث أدوات جمع البيانات، اتفقت جميع الدراسات على استخدام الاستبانة أداةً رئيسة، مع توظيف أدوات إضافية مثل تحليل المحتوى في دراستي (العتيبي واليوبي، 2024) و</w:t>
      </w:r>
      <w:r w:rsidRPr="00BE5127">
        <w:rPr>
          <w:rFonts w:asciiTheme="majorBidi" w:hAnsiTheme="majorBidi" w:cstheme="majorBidi"/>
          <w:sz w:val="28"/>
          <w:szCs w:val="28"/>
          <w:lang w:bidi="ar-EG"/>
        </w:rPr>
        <w:t>(Kim &amp; Seo, 2023)</w:t>
      </w:r>
      <w:r w:rsidRPr="00BE5127">
        <w:rPr>
          <w:rFonts w:asciiTheme="majorBidi" w:hAnsiTheme="majorBidi" w:cstheme="majorBidi"/>
          <w:sz w:val="28"/>
          <w:szCs w:val="28"/>
          <w:rtl/>
        </w:rPr>
        <w:t xml:space="preserve">، والمقابلات شبه المنظمة في </w:t>
      </w:r>
      <w:r w:rsidRPr="00BE5127">
        <w:rPr>
          <w:rFonts w:asciiTheme="majorBidi" w:hAnsiTheme="majorBidi" w:cstheme="majorBidi"/>
          <w:sz w:val="28"/>
          <w:szCs w:val="28"/>
          <w:lang w:bidi="ar-EG"/>
        </w:rPr>
        <w:t>(Kim &amp; Seo, 2023)</w:t>
      </w:r>
      <w:r w:rsidRPr="00BE5127">
        <w:rPr>
          <w:rFonts w:asciiTheme="majorBidi" w:hAnsiTheme="majorBidi" w:cstheme="majorBidi"/>
          <w:sz w:val="28"/>
          <w:szCs w:val="28"/>
          <w:rtl/>
        </w:rPr>
        <w:t>، ودراسات الحالة النوعية في</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lang w:bidi="ar-EG"/>
        </w:rPr>
        <w:t>(</w:t>
      </w:r>
      <w:proofErr w:type="spellStart"/>
      <w:r w:rsidRPr="00BE5127">
        <w:rPr>
          <w:rFonts w:asciiTheme="majorBidi" w:hAnsiTheme="majorBidi" w:cstheme="majorBidi"/>
          <w:sz w:val="28"/>
          <w:szCs w:val="28"/>
          <w:lang w:bidi="ar-EG"/>
        </w:rPr>
        <w:t>Wasesa</w:t>
      </w:r>
      <w:proofErr w:type="spellEnd"/>
      <w:r w:rsidRPr="00BE5127">
        <w:rPr>
          <w:rFonts w:asciiTheme="majorBidi" w:hAnsiTheme="majorBidi" w:cstheme="majorBidi"/>
          <w:sz w:val="28"/>
          <w:szCs w:val="28"/>
          <w:lang w:bidi="ar-EG"/>
        </w:rPr>
        <w:t xml:space="preserve"> et al., 2025)</w:t>
      </w:r>
    </w:p>
    <w:p w14:paraId="18ADBC47"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أما من حيث النتائج، فقد أجمعت الدراسات على وجود تأثير إيجابي وعلاقات ارتباط ذات دلالة إحصائية بين المتغيرات المستقلة (تقنيات الذكاء الاصطناعي، الذكاء التنافسي، التحول الرقمي، الموائمة الاستراتيجية، الرقابة الإدارية) والمتغيرات التابعة المرتبطة بفاعلية القرارات الاستراتيجية، سواء بصورة مباشرة أو غير مباشرة</w:t>
      </w:r>
      <w:r w:rsidRPr="00BE5127">
        <w:rPr>
          <w:rFonts w:asciiTheme="majorBidi" w:hAnsiTheme="majorBidi" w:cstheme="majorBidi"/>
          <w:sz w:val="28"/>
          <w:szCs w:val="28"/>
          <w:rtl/>
          <w:lang w:bidi="ar-EG"/>
        </w:rPr>
        <w:t>.</w:t>
      </w:r>
    </w:p>
    <w:p w14:paraId="5C1CA6CA" w14:textId="77777777" w:rsidR="00BE5127" w:rsidRPr="00BE5127" w:rsidRDefault="00BE5127" w:rsidP="00BE5127">
      <w:p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ثانياً: أوجه الاختلاف بين الدراسات</w:t>
      </w:r>
    </w:p>
    <w:p w14:paraId="523779A9" w14:textId="77777777" w:rsidR="00BE5127" w:rsidRPr="00BE5127" w:rsidRDefault="00BE5127" w:rsidP="00BE5127">
      <w:pPr>
        <w:bidi/>
        <w:ind w:firstLine="720"/>
        <w:jc w:val="both"/>
        <w:rPr>
          <w:rFonts w:asciiTheme="majorBidi" w:hAnsiTheme="majorBidi" w:cstheme="majorBidi"/>
          <w:sz w:val="28"/>
          <w:szCs w:val="28"/>
          <w:rtl/>
        </w:rPr>
      </w:pPr>
      <w:r w:rsidRPr="00BE5127">
        <w:rPr>
          <w:rFonts w:asciiTheme="majorBidi" w:hAnsiTheme="majorBidi" w:cstheme="majorBidi"/>
          <w:sz w:val="28"/>
          <w:szCs w:val="28"/>
          <w:rtl/>
        </w:rPr>
        <w:t>رغم اتفاق الدراسات في الإطار العام، إلا أنها تباينت في عدة أبعاد. فعلى مستوى مجتمع الدراسة والعينة، تراوحت الأحجام بين عينات كبيرة مثل دراسة (عبد النبي والعيوني، 2025) التي طبقت على مجتمع بلغ 46,233 فرداً في شركة المراعي بعينة ميسرة قوامها 324 فرداً، ودراسة</w:t>
      </w:r>
      <w:r w:rsidRPr="00BE5127">
        <w:rPr>
          <w:rFonts w:asciiTheme="majorBidi" w:hAnsiTheme="majorBidi" w:cstheme="majorBidi"/>
          <w:sz w:val="28"/>
          <w:szCs w:val="28"/>
          <w:lang w:bidi="ar-EG"/>
        </w:rPr>
        <w:t xml:space="preserve"> (</w:t>
      </w:r>
      <w:proofErr w:type="spellStart"/>
      <w:r w:rsidRPr="00BE5127">
        <w:rPr>
          <w:rFonts w:asciiTheme="majorBidi" w:hAnsiTheme="majorBidi" w:cstheme="majorBidi"/>
          <w:sz w:val="28"/>
          <w:szCs w:val="28"/>
          <w:lang w:bidi="ar-EG"/>
        </w:rPr>
        <w:t>Wasesa</w:t>
      </w:r>
      <w:proofErr w:type="spellEnd"/>
      <w:r w:rsidRPr="00BE5127">
        <w:rPr>
          <w:rFonts w:asciiTheme="majorBidi" w:hAnsiTheme="majorBidi" w:cstheme="majorBidi"/>
          <w:sz w:val="28"/>
          <w:szCs w:val="28"/>
          <w:lang w:bidi="ar-EG"/>
        </w:rPr>
        <w:t xml:space="preserve"> et al., 2025) </w:t>
      </w:r>
      <w:r w:rsidRPr="00BE5127">
        <w:rPr>
          <w:rFonts w:asciiTheme="majorBidi" w:hAnsiTheme="majorBidi" w:cstheme="majorBidi"/>
          <w:sz w:val="28"/>
          <w:szCs w:val="28"/>
          <w:rtl/>
        </w:rPr>
        <w:t>بعينة 715 فرداً من ستة قطاعات صناعية في إندونيسيا، ودراسة</w:t>
      </w:r>
      <w:r w:rsidRPr="00BE5127">
        <w:rPr>
          <w:rFonts w:asciiTheme="majorBidi" w:hAnsiTheme="majorBidi" w:cstheme="majorBidi"/>
          <w:sz w:val="28"/>
          <w:szCs w:val="28"/>
          <w:lang w:bidi="ar-EG"/>
        </w:rPr>
        <w:t xml:space="preserve"> (</w:t>
      </w:r>
      <w:proofErr w:type="spellStart"/>
      <w:r w:rsidRPr="00BE5127">
        <w:rPr>
          <w:rFonts w:asciiTheme="majorBidi" w:hAnsiTheme="majorBidi" w:cstheme="majorBidi"/>
          <w:sz w:val="28"/>
          <w:szCs w:val="28"/>
          <w:lang w:bidi="ar-EG"/>
        </w:rPr>
        <w:t>Neiroukh</w:t>
      </w:r>
      <w:proofErr w:type="spellEnd"/>
      <w:r w:rsidRPr="00BE5127">
        <w:rPr>
          <w:rFonts w:asciiTheme="majorBidi" w:hAnsiTheme="majorBidi" w:cstheme="majorBidi"/>
          <w:sz w:val="28"/>
          <w:szCs w:val="28"/>
          <w:lang w:bidi="ar-EG"/>
        </w:rPr>
        <w:t xml:space="preserve"> et al., 2024) </w:t>
      </w:r>
      <w:r w:rsidRPr="00BE5127">
        <w:rPr>
          <w:rFonts w:asciiTheme="majorBidi" w:hAnsiTheme="majorBidi" w:cstheme="majorBidi"/>
          <w:sz w:val="28"/>
          <w:szCs w:val="28"/>
          <w:rtl/>
        </w:rPr>
        <w:t>التي شملت 184 شركة؛ وعينات متوسطة مثل (إبراهيم، 2025) بعدد 230 فرداً من جامعة العريش، و(إبراهيم، 2023) بعدد 285 من نادي الزهور؛ وعينات صغيرة مثل (العتيبي واليوبي، 2024) بعدد 30 موظفاً في موبايلي، و(</w:t>
      </w:r>
      <w:proofErr w:type="spellStart"/>
      <w:r w:rsidRPr="00BE5127">
        <w:rPr>
          <w:rFonts w:asciiTheme="majorBidi" w:hAnsiTheme="majorBidi" w:cstheme="majorBidi"/>
          <w:sz w:val="28"/>
          <w:szCs w:val="28"/>
          <w:rtl/>
        </w:rPr>
        <w:t>الشيزاوي</w:t>
      </w:r>
      <w:proofErr w:type="spellEnd"/>
      <w:r w:rsidRPr="00BE5127">
        <w:rPr>
          <w:rFonts w:asciiTheme="majorBidi" w:hAnsiTheme="majorBidi" w:cstheme="majorBidi"/>
          <w:sz w:val="28"/>
          <w:szCs w:val="28"/>
          <w:rtl/>
        </w:rPr>
        <w:t>، 2024) بعدد 31 مديراً في هيئة البيئة العمانية، و(علي، 2022) بعدد 61 مديراً، في حين لم تحدد دراستا (الجعافرة، 2023) و(حمزة، 2024) الحجم بدقة، واعتمدت دراسة</w:t>
      </w:r>
      <w:r w:rsidRPr="00BE5127">
        <w:rPr>
          <w:rFonts w:asciiTheme="majorBidi" w:hAnsiTheme="majorBidi" w:cstheme="majorBidi"/>
          <w:sz w:val="28"/>
          <w:szCs w:val="28"/>
          <w:lang w:bidi="ar-EG"/>
        </w:rPr>
        <w:t xml:space="preserve"> (Kim &amp; Seo, 2023) </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tl/>
        </w:rPr>
        <w:t>على خبراء دون تحديد رقمي.</w:t>
      </w:r>
    </w:p>
    <w:p w14:paraId="35431FE9" w14:textId="77777777" w:rsidR="00BE5127" w:rsidRPr="00BE5127" w:rsidRDefault="00BE5127" w:rsidP="00BE5127">
      <w:pPr>
        <w:bidi/>
        <w:ind w:firstLine="720"/>
        <w:jc w:val="both"/>
        <w:rPr>
          <w:rFonts w:asciiTheme="majorBidi" w:hAnsiTheme="majorBidi" w:cstheme="majorBidi"/>
          <w:sz w:val="28"/>
          <w:szCs w:val="28"/>
          <w:rtl/>
          <w:lang w:bidi="ar-EG"/>
        </w:rPr>
      </w:pPr>
      <w:r w:rsidRPr="00BE5127">
        <w:rPr>
          <w:rFonts w:asciiTheme="majorBidi" w:hAnsiTheme="majorBidi" w:cstheme="majorBidi"/>
          <w:sz w:val="28"/>
          <w:szCs w:val="28"/>
          <w:rtl/>
        </w:rPr>
        <w:t>كما اختلفت البيئات الجغرافية؛ إذ توزعت الدراسات العربية بين السعودية (عبد النبي والعيوني، 2025؛ حمزة، 2024؛ العتيبي واليوبي، 2024؛ الشمري، 2023)، والأردن (الجعافرة، 2023)، ومصر (إبراهيم، 2025؛ إبراهيم، 2023)، وعُمان (</w:t>
      </w:r>
      <w:proofErr w:type="spellStart"/>
      <w:r w:rsidRPr="00BE5127">
        <w:rPr>
          <w:rFonts w:asciiTheme="majorBidi" w:hAnsiTheme="majorBidi" w:cstheme="majorBidi"/>
          <w:sz w:val="28"/>
          <w:szCs w:val="28"/>
          <w:rtl/>
        </w:rPr>
        <w:t>الشيزاوي</w:t>
      </w:r>
      <w:proofErr w:type="spellEnd"/>
      <w:r w:rsidRPr="00BE5127">
        <w:rPr>
          <w:rFonts w:asciiTheme="majorBidi" w:hAnsiTheme="majorBidi" w:cstheme="majorBidi"/>
          <w:sz w:val="28"/>
          <w:szCs w:val="28"/>
          <w:rtl/>
        </w:rPr>
        <w:t xml:space="preserve">، 2024)، والعراق (علي، </w:t>
      </w:r>
      <w:r w:rsidRPr="00BE5127">
        <w:rPr>
          <w:rFonts w:asciiTheme="majorBidi" w:hAnsiTheme="majorBidi" w:cstheme="majorBidi"/>
          <w:sz w:val="28"/>
          <w:szCs w:val="28"/>
          <w:rtl/>
        </w:rPr>
        <w:lastRenderedPageBreak/>
        <w:t>2022)، مقابل دراسات دولية في إندونيسيا</w:t>
      </w:r>
      <w:r w:rsidRPr="00BE5127">
        <w:rPr>
          <w:rFonts w:asciiTheme="majorBidi" w:hAnsiTheme="majorBidi" w:cstheme="majorBidi"/>
          <w:sz w:val="28"/>
          <w:szCs w:val="28"/>
          <w:lang w:bidi="ar-EG"/>
        </w:rPr>
        <w:t xml:space="preserve"> (</w:t>
      </w:r>
      <w:proofErr w:type="spellStart"/>
      <w:r w:rsidRPr="00BE5127">
        <w:rPr>
          <w:rFonts w:asciiTheme="majorBidi" w:hAnsiTheme="majorBidi" w:cstheme="majorBidi"/>
          <w:sz w:val="28"/>
          <w:szCs w:val="28"/>
          <w:lang w:bidi="ar-EG"/>
        </w:rPr>
        <w:t>Wasesa</w:t>
      </w:r>
      <w:proofErr w:type="spellEnd"/>
      <w:r w:rsidRPr="00BE5127">
        <w:rPr>
          <w:rFonts w:asciiTheme="majorBidi" w:hAnsiTheme="majorBidi" w:cstheme="majorBidi"/>
          <w:sz w:val="28"/>
          <w:szCs w:val="28"/>
          <w:lang w:bidi="ar-EG"/>
        </w:rPr>
        <w:t xml:space="preserve"> et al., 2025)</w:t>
      </w:r>
      <w:r w:rsidRPr="00BE5127">
        <w:rPr>
          <w:rFonts w:asciiTheme="majorBidi" w:hAnsiTheme="majorBidi" w:cstheme="majorBidi"/>
          <w:sz w:val="28"/>
          <w:szCs w:val="28"/>
          <w:rtl/>
        </w:rPr>
        <w:t>، والولايات المتحدة</w:t>
      </w:r>
      <w:r w:rsidRPr="00BE5127">
        <w:rPr>
          <w:rFonts w:asciiTheme="majorBidi" w:hAnsiTheme="majorBidi" w:cstheme="majorBidi"/>
          <w:sz w:val="28"/>
          <w:szCs w:val="28"/>
          <w:lang w:bidi="ar-EG"/>
        </w:rPr>
        <w:t xml:space="preserve"> (</w:t>
      </w:r>
      <w:proofErr w:type="spellStart"/>
      <w:r w:rsidRPr="00BE5127">
        <w:rPr>
          <w:rFonts w:asciiTheme="majorBidi" w:hAnsiTheme="majorBidi" w:cstheme="majorBidi"/>
          <w:sz w:val="28"/>
          <w:szCs w:val="28"/>
          <w:lang w:bidi="ar-EG"/>
        </w:rPr>
        <w:t>Neiroukh</w:t>
      </w:r>
      <w:proofErr w:type="spellEnd"/>
      <w:r w:rsidRPr="00BE5127">
        <w:rPr>
          <w:rFonts w:asciiTheme="majorBidi" w:hAnsiTheme="majorBidi" w:cstheme="majorBidi"/>
          <w:sz w:val="28"/>
          <w:szCs w:val="28"/>
          <w:lang w:bidi="ar-EG"/>
        </w:rPr>
        <w:t xml:space="preserve"> et al., 2024)</w:t>
      </w:r>
      <w:r w:rsidRPr="00BE5127">
        <w:rPr>
          <w:rFonts w:asciiTheme="majorBidi" w:hAnsiTheme="majorBidi" w:cstheme="majorBidi"/>
          <w:sz w:val="28"/>
          <w:szCs w:val="28"/>
          <w:rtl/>
        </w:rPr>
        <w:t>، ودراسة غير محددة الدولة</w:t>
      </w:r>
      <w:r w:rsidRPr="00BE5127">
        <w:rPr>
          <w:rFonts w:asciiTheme="majorBidi" w:hAnsiTheme="majorBidi" w:cstheme="majorBidi"/>
          <w:sz w:val="28"/>
          <w:szCs w:val="28"/>
          <w:lang w:bidi="ar-EG"/>
        </w:rPr>
        <w:t xml:space="preserve"> (Kim &amp; Seo, 2023).</w:t>
      </w:r>
    </w:p>
    <w:p w14:paraId="6B2C0D7A" w14:textId="77777777" w:rsidR="00BE5127" w:rsidRPr="00BE5127" w:rsidRDefault="00BE5127" w:rsidP="00BE5127">
      <w:pPr>
        <w:bidi/>
        <w:ind w:firstLine="720"/>
        <w:jc w:val="both"/>
        <w:rPr>
          <w:rFonts w:asciiTheme="majorBidi" w:hAnsiTheme="majorBidi" w:cstheme="majorBidi"/>
          <w:sz w:val="28"/>
          <w:szCs w:val="28"/>
          <w:rtl/>
          <w:lang w:bidi="ar-EG"/>
        </w:rPr>
      </w:pPr>
      <w:r w:rsidRPr="00BE5127">
        <w:rPr>
          <w:rFonts w:asciiTheme="majorBidi" w:hAnsiTheme="majorBidi" w:cstheme="majorBidi"/>
          <w:sz w:val="28"/>
          <w:szCs w:val="28"/>
          <w:rtl/>
        </w:rPr>
        <w:t>وتباينت كذلك أبعاد تقنيات الذكاء الاصطناعي؛ فبينما اعتمدت دراسة (عبد النبي والعيوني، 2025) ثلاثة أبعاد (النظم الخبيرة، نظم دعم القرارات، نظم مشاركة المعرفة)، توسعت دراسة (العتيبي واليوبي، 2024) إلى 15 تقنية، في حين ركزت دراسة</w:t>
      </w:r>
      <w:r w:rsidRPr="00BE5127">
        <w:rPr>
          <w:rFonts w:asciiTheme="majorBidi" w:hAnsiTheme="majorBidi" w:cstheme="majorBidi"/>
          <w:sz w:val="28"/>
          <w:szCs w:val="28"/>
          <w:lang w:bidi="ar-EG"/>
        </w:rPr>
        <w:t xml:space="preserve"> (</w:t>
      </w:r>
      <w:proofErr w:type="spellStart"/>
      <w:r w:rsidRPr="00BE5127">
        <w:rPr>
          <w:rFonts w:asciiTheme="majorBidi" w:hAnsiTheme="majorBidi" w:cstheme="majorBidi"/>
          <w:sz w:val="28"/>
          <w:szCs w:val="28"/>
          <w:lang w:bidi="ar-EG"/>
        </w:rPr>
        <w:t>Wasesa</w:t>
      </w:r>
      <w:proofErr w:type="spellEnd"/>
      <w:r w:rsidRPr="00BE5127">
        <w:rPr>
          <w:rFonts w:asciiTheme="majorBidi" w:hAnsiTheme="majorBidi" w:cstheme="majorBidi"/>
          <w:sz w:val="28"/>
          <w:szCs w:val="28"/>
          <w:lang w:bidi="ar-EG"/>
        </w:rPr>
        <w:t xml:space="preserve"> et al., 2025</w:t>
      </w:r>
      <w:proofErr w:type="gramStart"/>
      <w:r w:rsidRPr="00BE5127">
        <w:rPr>
          <w:rFonts w:asciiTheme="majorBidi" w:hAnsiTheme="majorBidi" w:cstheme="majorBidi"/>
          <w:sz w:val="28"/>
          <w:szCs w:val="28"/>
          <w:lang w:bidi="ar-EG"/>
        </w:rPr>
        <w:t xml:space="preserve">) </w:t>
      </w:r>
      <w:r w:rsidRPr="00BE5127">
        <w:rPr>
          <w:rFonts w:asciiTheme="majorBidi" w:hAnsiTheme="majorBidi" w:cstheme="majorBidi"/>
          <w:sz w:val="28"/>
          <w:szCs w:val="28"/>
          <w:rtl/>
          <w:lang w:bidi="ar-EG"/>
        </w:rPr>
        <w:t xml:space="preserve"> </w:t>
      </w:r>
      <w:r w:rsidRPr="00BE5127">
        <w:rPr>
          <w:rFonts w:asciiTheme="majorBidi" w:hAnsiTheme="majorBidi" w:cstheme="majorBidi"/>
          <w:sz w:val="28"/>
          <w:szCs w:val="28"/>
          <w:rtl/>
        </w:rPr>
        <w:t>على</w:t>
      </w:r>
      <w:proofErr w:type="gramEnd"/>
      <w:r w:rsidRPr="00BE5127">
        <w:rPr>
          <w:rFonts w:asciiTheme="majorBidi" w:hAnsiTheme="majorBidi" w:cstheme="majorBidi"/>
          <w:sz w:val="28"/>
          <w:szCs w:val="28"/>
          <w:rtl/>
        </w:rPr>
        <w:t xml:space="preserve"> تقنيات محددة مثل التعلم الآلي ومعالجة اللغات الطبيعية، واعتمدت</w:t>
      </w:r>
      <w:r w:rsidRPr="00BE5127">
        <w:rPr>
          <w:rFonts w:asciiTheme="majorBidi" w:hAnsiTheme="majorBidi" w:cstheme="majorBidi"/>
          <w:sz w:val="28"/>
          <w:szCs w:val="28"/>
          <w:lang w:bidi="ar-EG"/>
        </w:rPr>
        <w:t xml:space="preserve"> (</w:t>
      </w:r>
      <w:proofErr w:type="spellStart"/>
      <w:r w:rsidRPr="00BE5127">
        <w:rPr>
          <w:rFonts w:asciiTheme="majorBidi" w:hAnsiTheme="majorBidi" w:cstheme="majorBidi"/>
          <w:sz w:val="28"/>
          <w:szCs w:val="28"/>
          <w:lang w:bidi="ar-EG"/>
        </w:rPr>
        <w:t>Neiroukh</w:t>
      </w:r>
      <w:proofErr w:type="spellEnd"/>
      <w:r w:rsidRPr="00BE5127">
        <w:rPr>
          <w:rFonts w:asciiTheme="majorBidi" w:hAnsiTheme="majorBidi" w:cstheme="majorBidi"/>
          <w:sz w:val="28"/>
          <w:szCs w:val="28"/>
          <w:lang w:bidi="ar-EG"/>
        </w:rPr>
        <w:t xml:space="preserve"> et al., 2024) </w:t>
      </w:r>
      <w:r w:rsidRPr="00BE5127">
        <w:rPr>
          <w:rFonts w:asciiTheme="majorBidi" w:hAnsiTheme="majorBidi" w:cstheme="majorBidi"/>
          <w:sz w:val="28"/>
          <w:szCs w:val="28"/>
          <w:rtl/>
        </w:rPr>
        <w:t>مفهوم القدرات المركبة، بينما قدمت</w:t>
      </w:r>
      <w:r w:rsidRPr="00BE5127">
        <w:rPr>
          <w:rFonts w:asciiTheme="majorBidi" w:hAnsiTheme="majorBidi" w:cstheme="majorBidi"/>
          <w:sz w:val="28"/>
          <w:szCs w:val="28"/>
          <w:lang w:bidi="ar-EG"/>
        </w:rPr>
        <w:t xml:space="preserve"> (Kim &amp; Seo, 2023) </w:t>
      </w:r>
      <w:r w:rsidRPr="00BE5127">
        <w:rPr>
          <w:rFonts w:asciiTheme="majorBidi" w:hAnsiTheme="majorBidi" w:cstheme="majorBidi"/>
          <w:sz w:val="28"/>
          <w:szCs w:val="28"/>
          <w:rtl/>
        </w:rPr>
        <w:t>مسارات تطورية واستراتيجيات</w:t>
      </w:r>
      <w:r w:rsidRPr="00BE5127">
        <w:rPr>
          <w:rFonts w:asciiTheme="majorBidi" w:hAnsiTheme="majorBidi" w:cstheme="majorBidi"/>
          <w:sz w:val="28"/>
          <w:szCs w:val="28"/>
          <w:lang w:bidi="ar-EG"/>
        </w:rPr>
        <w:t>.</w:t>
      </w:r>
    </w:p>
    <w:p w14:paraId="140DE760" w14:textId="77777777" w:rsidR="00BE5127" w:rsidRPr="00BE5127" w:rsidRDefault="00BE5127" w:rsidP="00BE5127">
      <w:pPr>
        <w:bidi/>
        <w:ind w:firstLine="720"/>
        <w:jc w:val="both"/>
        <w:rPr>
          <w:rFonts w:asciiTheme="majorBidi" w:hAnsiTheme="majorBidi" w:cstheme="majorBidi"/>
          <w:sz w:val="28"/>
          <w:szCs w:val="28"/>
          <w:rtl/>
          <w:lang w:bidi="ar-EG"/>
        </w:rPr>
      </w:pPr>
      <w:r w:rsidRPr="00BE5127">
        <w:rPr>
          <w:rFonts w:asciiTheme="majorBidi" w:hAnsiTheme="majorBidi" w:cstheme="majorBidi"/>
          <w:sz w:val="28"/>
          <w:szCs w:val="28"/>
          <w:rtl/>
        </w:rPr>
        <w:t>كما اختلفت أبعاد فاعلية القرارات الاستراتيجية، وعددها بين ثلاثة وخمسة أبعاد وفقاً لكل دراسة، أو عولجت كمفهوم كلي دون تفصيل من خلال مؤشرات كمية دقيقة كما في</w:t>
      </w:r>
      <w:r w:rsidRPr="00BE5127">
        <w:rPr>
          <w:rFonts w:asciiTheme="majorBidi" w:hAnsiTheme="majorBidi" w:cstheme="majorBidi"/>
          <w:sz w:val="28"/>
          <w:szCs w:val="28"/>
          <w:lang w:bidi="ar-EG"/>
        </w:rPr>
        <w:t xml:space="preserve"> (</w:t>
      </w:r>
      <w:proofErr w:type="spellStart"/>
      <w:r w:rsidRPr="00BE5127">
        <w:rPr>
          <w:rFonts w:asciiTheme="majorBidi" w:hAnsiTheme="majorBidi" w:cstheme="majorBidi"/>
          <w:sz w:val="28"/>
          <w:szCs w:val="28"/>
          <w:lang w:bidi="ar-EG"/>
        </w:rPr>
        <w:t>Wasesa</w:t>
      </w:r>
      <w:proofErr w:type="spellEnd"/>
      <w:r w:rsidRPr="00BE5127">
        <w:rPr>
          <w:rFonts w:asciiTheme="majorBidi" w:hAnsiTheme="majorBidi" w:cstheme="majorBidi"/>
          <w:sz w:val="28"/>
          <w:szCs w:val="28"/>
          <w:lang w:bidi="ar-EG"/>
        </w:rPr>
        <w:t xml:space="preserve"> et al., 2025). </w:t>
      </w:r>
      <w:r w:rsidRPr="00BE5127">
        <w:rPr>
          <w:rFonts w:asciiTheme="majorBidi" w:hAnsiTheme="majorBidi" w:cstheme="majorBidi"/>
          <w:sz w:val="28"/>
          <w:szCs w:val="28"/>
          <w:rtl/>
        </w:rPr>
        <w:t>وتباينت النتائج بين دراسات أظهرت معاملات ارتباط مرتفعة مثل (عبد النبي والعيوني، 2025) بمعامل 0.906 و(علي، 2022) بمعامل 0.932 وتفسير 86.9%، ودراسة</w:t>
      </w:r>
      <w:r w:rsidRPr="00BE5127">
        <w:rPr>
          <w:rFonts w:asciiTheme="majorBidi" w:hAnsiTheme="majorBidi" w:cstheme="majorBidi"/>
          <w:sz w:val="28"/>
          <w:szCs w:val="28"/>
          <w:lang w:bidi="ar-EG"/>
        </w:rPr>
        <w:t xml:space="preserve"> (</w:t>
      </w:r>
      <w:proofErr w:type="spellStart"/>
      <w:r w:rsidRPr="00BE5127">
        <w:rPr>
          <w:rFonts w:asciiTheme="majorBidi" w:hAnsiTheme="majorBidi" w:cstheme="majorBidi"/>
          <w:sz w:val="28"/>
          <w:szCs w:val="28"/>
          <w:lang w:bidi="ar-EG"/>
        </w:rPr>
        <w:t>Neiroukh</w:t>
      </w:r>
      <w:proofErr w:type="spellEnd"/>
      <w:r w:rsidRPr="00BE5127">
        <w:rPr>
          <w:rFonts w:asciiTheme="majorBidi" w:hAnsiTheme="majorBidi" w:cstheme="majorBidi"/>
          <w:sz w:val="28"/>
          <w:szCs w:val="28"/>
          <w:lang w:bidi="ar-EG"/>
        </w:rPr>
        <w:t xml:space="preserve"> et al., 2024) </w:t>
      </w:r>
      <w:r w:rsidRPr="00BE5127">
        <w:rPr>
          <w:rFonts w:asciiTheme="majorBidi" w:hAnsiTheme="majorBidi" w:cstheme="majorBidi"/>
          <w:sz w:val="28"/>
          <w:szCs w:val="28"/>
          <w:rtl/>
        </w:rPr>
        <w:t xml:space="preserve">بتفسير 75.9% من التباين، ودراسات قدمت نسب تحسن رقمية دقيقة مثل </w:t>
      </w:r>
      <w:r w:rsidRPr="00BE5127">
        <w:rPr>
          <w:rFonts w:asciiTheme="majorBidi" w:hAnsiTheme="majorBidi" w:cstheme="majorBidi"/>
          <w:sz w:val="28"/>
          <w:szCs w:val="28"/>
          <w:lang w:bidi="ar-EG"/>
        </w:rPr>
        <w:t>(</w:t>
      </w:r>
      <w:proofErr w:type="spellStart"/>
      <w:r w:rsidRPr="00BE5127">
        <w:rPr>
          <w:rFonts w:asciiTheme="majorBidi" w:hAnsiTheme="majorBidi" w:cstheme="majorBidi"/>
          <w:sz w:val="28"/>
          <w:szCs w:val="28"/>
          <w:lang w:bidi="ar-EG"/>
        </w:rPr>
        <w:t>Wasesa</w:t>
      </w:r>
      <w:proofErr w:type="spellEnd"/>
      <w:r w:rsidRPr="00BE5127">
        <w:rPr>
          <w:rFonts w:asciiTheme="majorBidi" w:hAnsiTheme="majorBidi" w:cstheme="majorBidi"/>
          <w:sz w:val="28"/>
          <w:szCs w:val="28"/>
          <w:lang w:bidi="ar-EG"/>
        </w:rPr>
        <w:t xml:space="preserve"> et al., 2025)</w:t>
      </w:r>
      <w:r w:rsidRPr="00BE5127">
        <w:rPr>
          <w:rFonts w:asciiTheme="majorBidi" w:hAnsiTheme="majorBidi" w:cstheme="majorBidi"/>
          <w:sz w:val="28"/>
          <w:szCs w:val="28"/>
          <w:rtl/>
        </w:rPr>
        <w:t>، وأخرى كشفت عن قصور وضعف مثل (حمزة، 2024) و(إبراهيم، 2023)، أو قدمت تصنيفات استراتيجية كما في</w:t>
      </w:r>
      <w:r w:rsidRPr="00BE5127">
        <w:rPr>
          <w:rFonts w:asciiTheme="majorBidi" w:hAnsiTheme="majorBidi" w:cstheme="majorBidi"/>
          <w:sz w:val="28"/>
          <w:szCs w:val="28"/>
          <w:lang w:bidi="ar-EG"/>
        </w:rPr>
        <w:t xml:space="preserve"> (Kim &amp; Seo, 2023)</w:t>
      </w:r>
      <w:r w:rsidRPr="00BE5127">
        <w:rPr>
          <w:rFonts w:asciiTheme="majorBidi" w:hAnsiTheme="majorBidi" w:cstheme="majorBidi"/>
          <w:sz w:val="28"/>
          <w:szCs w:val="28"/>
          <w:rtl/>
        </w:rPr>
        <w:t>، أو أبرزت تحديات تنفيذية كنسب جودة البيانات (78%) والفجوات المهارية (72%) وغيرها في</w:t>
      </w:r>
      <w:r w:rsidRPr="00BE5127">
        <w:rPr>
          <w:rFonts w:asciiTheme="majorBidi" w:hAnsiTheme="majorBidi" w:cstheme="majorBidi"/>
          <w:sz w:val="28"/>
          <w:szCs w:val="28"/>
          <w:lang w:bidi="ar-EG"/>
        </w:rPr>
        <w:t xml:space="preserve"> (</w:t>
      </w:r>
      <w:proofErr w:type="spellStart"/>
      <w:r w:rsidRPr="00BE5127">
        <w:rPr>
          <w:rFonts w:asciiTheme="majorBidi" w:hAnsiTheme="majorBidi" w:cstheme="majorBidi"/>
          <w:sz w:val="28"/>
          <w:szCs w:val="28"/>
          <w:lang w:bidi="ar-EG"/>
        </w:rPr>
        <w:t>Wasesa</w:t>
      </w:r>
      <w:proofErr w:type="spellEnd"/>
      <w:r w:rsidRPr="00BE5127">
        <w:rPr>
          <w:rFonts w:asciiTheme="majorBidi" w:hAnsiTheme="majorBidi" w:cstheme="majorBidi"/>
          <w:sz w:val="28"/>
          <w:szCs w:val="28"/>
          <w:lang w:bidi="ar-EG"/>
        </w:rPr>
        <w:t xml:space="preserve"> et al., 2025)</w:t>
      </w:r>
    </w:p>
    <w:p w14:paraId="747210A2" w14:textId="77777777" w:rsidR="00BE5127" w:rsidRPr="00BE5127" w:rsidRDefault="00BE5127" w:rsidP="00BE5127">
      <w:pPr>
        <w:bidi/>
        <w:jc w:val="both"/>
        <w:rPr>
          <w:rFonts w:asciiTheme="majorBidi" w:hAnsiTheme="majorBidi" w:cstheme="majorBidi"/>
          <w:sz w:val="28"/>
          <w:szCs w:val="28"/>
          <w:lang w:bidi="ar-EG"/>
        </w:rPr>
      </w:pPr>
      <w:r w:rsidRPr="00BE5127">
        <w:rPr>
          <w:rFonts w:asciiTheme="majorBidi" w:hAnsiTheme="majorBidi" w:cstheme="majorBidi"/>
          <w:b/>
          <w:bCs/>
          <w:sz w:val="28"/>
          <w:szCs w:val="28"/>
          <w:rtl/>
        </w:rPr>
        <w:t>الفجوة البحثية</w:t>
      </w:r>
    </w:p>
    <w:p w14:paraId="56F510FC"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على الرغم من تعدد الدراسات التي تناولت أثر تقنيات الذكاء الاصطناعي في تحسين الأداء المؤسسي وفاعلية القرارات الاستراتيجية، إلا أن استعراض الأدبيات يكشف عن مجموعة من الفجوات التي لم تُعالج بصورة متكاملة، وهو ما تسعى هذه الدراسة إلى معالجته</w:t>
      </w:r>
      <w:r w:rsidRPr="00BE5127">
        <w:rPr>
          <w:rFonts w:asciiTheme="majorBidi" w:hAnsiTheme="majorBidi" w:cstheme="majorBidi"/>
          <w:sz w:val="28"/>
          <w:szCs w:val="28"/>
          <w:rtl/>
          <w:lang w:bidi="ar-EG"/>
        </w:rPr>
        <w:t>.</w:t>
      </w:r>
    </w:p>
    <w:p w14:paraId="12997063" w14:textId="77777777" w:rsidR="00BE5127" w:rsidRPr="00BE5127" w:rsidRDefault="00BE5127" w:rsidP="00BE5127">
      <w:pPr>
        <w:bidi/>
        <w:jc w:val="both"/>
        <w:rPr>
          <w:rFonts w:asciiTheme="majorBidi" w:hAnsiTheme="majorBidi" w:cstheme="majorBidi"/>
          <w:sz w:val="28"/>
          <w:szCs w:val="28"/>
          <w:lang w:bidi="ar-EG"/>
        </w:rPr>
      </w:pPr>
      <w:r w:rsidRPr="00BE5127">
        <w:rPr>
          <w:rFonts w:asciiTheme="majorBidi" w:hAnsiTheme="majorBidi" w:cstheme="majorBidi"/>
          <w:sz w:val="28"/>
          <w:szCs w:val="28"/>
          <w:rtl/>
        </w:rPr>
        <w:t>أولاً، تركزت معظم الدراسات السابقة على قطاعات متنوعة (صناعية، خدمية، تعليمية، بلدية، اتصالات)، دون تخصيص بحث معمق لقطاع الأغذية الكبرى في المملكة العربية السعودية، رغم ما يتسم به هذا القطاع من حساسية استراتيجية، وكثافة بيانات، وتعقيد في سلاسل الإمداد، وارتباط مباشر بالأمن الغذائي وأهداف رؤية 2030. وبالتالي، توجد فجوة قطاعية واضحة تتعلق بغياب دراسة كمية موجهة لكبار التنفيذيين في شركات الأغذية الكبرى تحديداً</w:t>
      </w:r>
      <w:r w:rsidRPr="00BE5127">
        <w:rPr>
          <w:rFonts w:asciiTheme="majorBidi" w:hAnsiTheme="majorBidi" w:cstheme="majorBidi"/>
          <w:sz w:val="28"/>
          <w:szCs w:val="28"/>
          <w:rtl/>
          <w:lang w:bidi="ar-EG"/>
        </w:rPr>
        <w:t>.</w:t>
      </w:r>
    </w:p>
    <w:p w14:paraId="23793B77" w14:textId="77777777" w:rsidR="00BE5127" w:rsidRPr="00BE5127" w:rsidRDefault="00BE5127" w:rsidP="00BE5127">
      <w:pPr>
        <w:bidi/>
        <w:jc w:val="both"/>
        <w:rPr>
          <w:rFonts w:asciiTheme="majorBidi" w:hAnsiTheme="majorBidi" w:cstheme="majorBidi"/>
          <w:sz w:val="28"/>
          <w:szCs w:val="28"/>
          <w:lang w:bidi="ar-EG"/>
        </w:rPr>
      </w:pPr>
      <w:r w:rsidRPr="00BE5127">
        <w:rPr>
          <w:rFonts w:asciiTheme="majorBidi" w:hAnsiTheme="majorBidi" w:cstheme="majorBidi"/>
          <w:sz w:val="28"/>
          <w:szCs w:val="28"/>
          <w:rtl/>
        </w:rPr>
        <w:t>ثانياً، عالجت غالبية الدراسات العلاقة بين الذكاء الاصطناعي وفاعلية القرارات بصورة مباشرة، بينما لم تتناول بشكل كافٍ الدور الوسيط لكفاءة استخدام الذكاء الاصطناعي، ولم تدمج العوامل التنظيمية والقيادية والتقنية والبشرية في نموذج سببي متكامل يفسر كيفية انتقال أثر التبني إلى فاعلية القرار الاستراتيجي. ومن ثم، تظهر فجوة نظرية تتعلق بغياب نموذج تفسيري شامل يجمع بين محددات التبني، وكفاءة الاستخدام، ونتائج القرار</w:t>
      </w:r>
      <w:r w:rsidRPr="00BE5127">
        <w:rPr>
          <w:rFonts w:asciiTheme="majorBidi" w:hAnsiTheme="majorBidi" w:cstheme="majorBidi"/>
          <w:sz w:val="28"/>
          <w:szCs w:val="28"/>
          <w:rtl/>
          <w:lang w:bidi="ar-EG"/>
        </w:rPr>
        <w:t>.</w:t>
      </w:r>
    </w:p>
    <w:p w14:paraId="7CEB123A" w14:textId="77777777" w:rsidR="00BE5127" w:rsidRPr="00BE5127" w:rsidRDefault="00BE5127" w:rsidP="00BE5127">
      <w:pPr>
        <w:bidi/>
        <w:jc w:val="both"/>
        <w:rPr>
          <w:rFonts w:asciiTheme="majorBidi" w:hAnsiTheme="majorBidi" w:cstheme="majorBidi"/>
          <w:sz w:val="28"/>
          <w:szCs w:val="28"/>
          <w:lang w:bidi="ar-EG"/>
        </w:rPr>
      </w:pPr>
      <w:r w:rsidRPr="00BE5127">
        <w:rPr>
          <w:rFonts w:asciiTheme="majorBidi" w:hAnsiTheme="majorBidi" w:cstheme="majorBidi"/>
          <w:sz w:val="28"/>
          <w:szCs w:val="28"/>
          <w:rtl/>
        </w:rPr>
        <w:t>ثالثاً، اتسمت بعض الدراسات السابقة بالاعتماد على عينات صغيرة أو مجتمعات غير قيادية، في حين أن القرارات الاستراتيجية تصدر أساساً عن التنفيذيين في المناصب العليا. وعليه، تبرز فجوة منهجية تتعلق بندرة الدراسات الكمية التي تستهدف شريحة كبار التنفيذيين باستخدام تحليلات متقدمة مثل تحليل المسار والانحدار المتعدد لاختبار العلاقات السببية والوساطة</w:t>
      </w:r>
      <w:r w:rsidRPr="00BE5127">
        <w:rPr>
          <w:rFonts w:asciiTheme="majorBidi" w:hAnsiTheme="majorBidi" w:cstheme="majorBidi"/>
          <w:sz w:val="28"/>
          <w:szCs w:val="28"/>
          <w:rtl/>
          <w:lang w:bidi="ar-EG"/>
        </w:rPr>
        <w:t>.</w:t>
      </w:r>
    </w:p>
    <w:p w14:paraId="61273EA5" w14:textId="77777777" w:rsidR="00BE5127" w:rsidRPr="00BE5127" w:rsidRDefault="00BE5127" w:rsidP="00BE5127">
      <w:pPr>
        <w:bidi/>
        <w:jc w:val="both"/>
        <w:rPr>
          <w:rFonts w:asciiTheme="majorBidi" w:hAnsiTheme="majorBidi" w:cstheme="majorBidi"/>
          <w:sz w:val="28"/>
          <w:szCs w:val="28"/>
          <w:lang w:bidi="ar-EG"/>
        </w:rPr>
      </w:pPr>
      <w:r w:rsidRPr="00BE5127">
        <w:rPr>
          <w:rFonts w:asciiTheme="majorBidi" w:hAnsiTheme="majorBidi" w:cstheme="majorBidi"/>
          <w:sz w:val="28"/>
          <w:szCs w:val="28"/>
          <w:rtl/>
        </w:rPr>
        <w:lastRenderedPageBreak/>
        <w:t>رابعاً، ورغم ارتباط التحول الرقمي برؤية المملكة 2030، إلا أن الأدبيات لم تربط بصورة مباشرة بين تبني تقنيات الذكاء الاصطناعي في قطاع الأغذية وأهداف الرؤية الوطنية في رفع الكفاءة، وتعزيز التنافسية، وتحسين جودة القرار الاستراتيجي</w:t>
      </w:r>
      <w:r w:rsidRPr="00BE5127">
        <w:rPr>
          <w:rFonts w:asciiTheme="majorBidi" w:hAnsiTheme="majorBidi" w:cstheme="majorBidi"/>
          <w:sz w:val="28"/>
          <w:szCs w:val="28"/>
          <w:rtl/>
          <w:lang w:bidi="ar-EG"/>
        </w:rPr>
        <w:t>.</w:t>
      </w:r>
    </w:p>
    <w:p w14:paraId="399B1848" w14:textId="77777777" w:rsidR="00BE5127" w:rsidRPr="00BE5127" w:rsidRDefault="00BE5127" w:rsidP="00BE5127">
      <w:pPr>
        <w:bidi/>
        <w:ind w:firstLine="720"/>
        <w:jc w:val="both"/>
        <w:rPr>
          <w:rFonts w:asciiTheme="majorBidi" w:hAnsiTheme="majorBidi" w:cstheme="majorBidi"/>
          <w:sz w:val="28"/>
          <w:szCs w:val="28"/>
          <w:lang w:bidi="ar-EG"/>
        </w:rPr>
      </w:pPr>
      <w:r w:rsidRPr="00BE5127">
        <w:rPr>
          <w:rFonts w:asciiTheme="majorBidi" w:hAnsiTheme="majorBidi" w:cstheme="majorBidi"/>
          <w:sz w:val="28"/>
          <w:szCs w:val="28"/>
          <w:rtl/>
        </w:rPr>
        <w:t>بناءً على ذلك، تتمثل الفجوة البحثية في الحاجة إلى دراسة كمية تحليلية متكاملة تركز على شركات الأغذية الكبرى في المملكة، وتختبر نموذجاً سببياً يربط بين محددات تبني الذكاء الاصطناعي، وكفاءة استخدامه، وفاعلية القرارات الاستراتيجية لدى التنفيذيين، في سياق وطني يتسق مع مستهدفات رؤية 2030</w:t>
      </w:r>
      <w:r w:rsidRPr="00BE5127">
        <w:rPr>
          <w:rFonts w:asciiTheme="majorBidi" w:hAnsiTheme="majorBidi" w:cstheme="majorBidi"/>
          <w:sz w:val="28"/>
          <w:szCs w:val="28"/>
          <w:rtl/>
          <w:lang w:bidi="ar-EG"/>
        </w:rPr>
        <w:t>.</w:t>
      </w:r>
    </w:p>
    <w:p w14:paraId="0DFF61EB" w14:textId="77777777" w:rsidR="00BE5127" w:rsidRPr="00BE5127" w:rsidRDefault="00BE5127" w:rsidP="00BE5127">
      <w:pPr>
        <w:bidi/>
        <w:ind w:firstLine="720"/>
        <w:jc w:val="both"/>
        <w:rPr>
          <w:rFonts w:asciiTheme="majorBidi" w:hAnsiTheme="majorBidi" w:cstheme="majorBidi"/>
          <w:sz w:val="28"/>
          <w:szCs w:val="28"/>
          <w:rtl/>
          <w:lang w:bidi="ar-EG"/>
        </w:rPr>
      </w:pPr>
    </w:p>
    <w:p w14:paraId="195C2D18" w14:textId="77777777" w:rsidR="00BE5127" w:rsidRPr="00BE5127" w:rsidRDefault="00BE5127" w:rsidP="00BE5127">
      <w:pPr>
        <w:bidi/>
        <w:ind w:firstLine="720"/>
        <w:jc w:val="both"/>
        <w:rPr>
          <w:rFonts w:asciiTheme="majorBidi" w:hAnsiTheme="majorBidi" w:cstheme="majorBidi"/>
          <w:sz w:val="28"/>
          <w:szCs w:val="28"/>
          <w:rtl/>
          <w:lang w:bidi="ar-EG"/>
        </w:rPr>
      </w:pPr>
    </w:p>
    <w:p w14:paraId="003AB875" w14:textId="77777777" w:rsidR="00BE5127" w:rsidRPr="00BE5127" w:rsidRDefault="00BE5127" w:rsidP="00BE5127">
      <w:pPr>
        <w:bidi/>
        <w:rPr>
          <w:rFonts w:asciiTheme="majorBidi" w:hAnsiTheme="majorBidi" w:cstheme="majorBidi"/>
          <w:b/>
          <w:bCs/>
          <w:sz w:val="28"/>
          <w:szCs w:val="28"/>
          <w:rtl/>
          <w:lang w:bidi="ar-EG"/>
        </w:rPr>
      </w:pPr>
    </w:p>
    <w:p w14:paraId="67C2FF99" w14:textId="77777777" w:rsidR="00BE5127" w:rsidRPr="00BE5127" w:rsidRDefault="00BE5127" w:rsidP="00BE5127">
      <w:pPr>
        <w:bidi/>
        <w:rPr>
          <w:rFonts w:asciiTheme="majorBidi" w:hAnsiTheme="majorBidi" w:cstheme="majorBidi"/>
          <w:b/>
          <w:bCs/>
          <w:sz w:val="28"/>
          <w:szCs w:val="28"/>
          <w:rtl/>
          <w:lang w:bidi="ar-EG"/>
        </w:rPr>
      </w:pPr>
    </w:p>
    <w:p w14:paraId="3ED47909" w14:textId="77777777" w:rsidR="00BE5127" w:rsidRPr="00BE5127" w:rsidRDefault="00BE5127" w:rsidP="00BE5127">
      <w:pPr>
        <w:bidi/>
        <w:rPr>
          <w:rFonts w:asciiTheme="majorBidi" w:hAnsiTheme="majorBidi" w:cstheme="majorBidi"/>
          <w:b/>
          <w:bCs/>
          <w:sz w:val="28"/>
          <w:szCs w:val="28"/>
          <w:rtl/>
          <w:lang w:bidi="ar-EG"/>
        </w:rPr>
      </w:pPr>
    </w:p>
    <w:p w14:paraId="78341812" w14:textId="77777777" w:rsidR="00BE5127" w:rsidRPr="00BE5127" w:rsidRDefault="00BE5127" w:rsidP="00BE5127">
      <w:pPr>
        <w:bidi/>
        <w:rPr>
          <w:rFonts w:asciiTheme="majorBidi" w:hAnsiTheme="majorBidi" w:cstheme="majorBidi"/>
          <w:b/>
          <w:bCs/>
          <w:sz w:val="28"/>
          <w:szCs w:val="28"/>
          <w:rtl/>
          <w:lang w:bidi="ar-EG"/>
        </w:rPr>
      </w:pPr>
    </w:p>
    <w:p w14:paraId="018C6786" w14:textId="77777777" w:rsidR="00BE5127" w:rsidRPr="00BE5127" w:rsidRDefault="00BE5127" w:rsidP="00BE5127">
      <w:pPr>
        <w:bidi/>
        <w:rPr>
          <w:rFonts w:asciiTheme="majorBidi" w:hAnsiTheme="majorBidi" w:cstheme="majorBidi"/>
          <w:b/>
          <w:bCs/>
          <w:sz w:val="28"/>
          <w:szCs w:val="28"/>
          <w:rtl/>
          <w:lang w:bidi="ar-EG"/>
        </w:rPr>
      </w:pPr>
    </w:p>
    <w:p w14:paraId="026C3243" w14:textId="77777777" w:rsidR="00BE5127" w:rsidRPr="00BE5127" w:rsidRDefault="00BE5127" w:rsidP="00BE5127">
      <w:pPr>
        <w:bidi/>
        <w:rPr>
          <w:rFonts w:asciiTheme="majorBidi" w:hAnsiTheme="majorBidi" w:cstheme="majorBidi"/>
          <w:b/>
          <w:bCs/>
          <w:sz w:val="28"/>
          <w:szCs w:val="28"/>
          <w:rtl/>
          <w:lang w:bidi="ar-EG"/>
        </w:rPr>
      </w:pPr>
    </w:p>
    <w:p w14:paraId="0BD0D8C2" w14:textId="77777777" w:rsidR="00BE5127" w:rsidRPr="00BE5127" w:rsidRDefault="00BE5127" w:rsidP="00BE5127">
      <w:pPr>
        <w:bidi/>
        <w:rPr>
          <w:rFonts w:asciiTheme="majorBidi" w:hAnsiTheme="majorBidi" w:cstheme="majorBidi"/>
          <w:b/>
          <w:bCs/>
          <w:sz w:val="28"/>
          <w:szCs w:val="28"/>
          <w:rtl/>
          <w:lang w:bidi="ar-EG"/>
        </w:rPr>
      </w:pPr>
    </w:p>
    <w:p w14:paraId="66185417" w14:textId="77777777" w:rsidR="00BE5127" w:rsidRPr="00BE5127" w:rsidRDefault="00BE5127" w:rsidP="00BE5127">
      <w:pPr>
        <w:bidi/>
        <w:rPr>
          <w:rFonts w:asciiTheme="majorBidi" w:hAnsiTheme="majorBidi" w:cstheme="majorBidi"/>
          <w:b/>
          <w:bCs/>
          <w:sz w:val="28"/>
          <w:szCs w:val="28"/>
          <w:rtl/>
          <w:lang w:bidi="ar-EG"/>
        </w:rPr>
      </w:pPr>
    </w:p>
    <w:p w14:paraId="4E5EDE1A" w14:textId="77777777" w:rsidR="00BE5127" w:rsidRPr="00BE5127" w:rsidRDefault="00BE5127" w:rsidP="00BE5127">
      <w:pPr>
        <w:bidi/>
        <w:rPr>
          <w:rFonts w:asciiTheme="majorBidi" w:hAnsiTheme="majorBidi" w:cstheme="majorBidi"/>
          <w:b/>
          <w:bCs/>
          <w:sz w:val="28"/>
          <w:szCs w:val="28"/>
          <w:rtl/>
          <w:lang w:bidi="ar-EG"/>
        </w:rPr>
      </w:pPr>
    </w:p>
    <w:p w14:paraId="287B73D2" w14:textId="77777777" w:rsidR="00BE5127" w:rsidRPr="00BE5127" w:rsidRDefault="00BE5127" w:rsidP="00BE5127">
      <w:pPr>
        <w:bidi/>
        <w:rPr>
          <w:rFonts w:asciiTheme="majorBidi" w:hAnsiTheme="majorBidi" w:cstheme="majorBidi"/>
          <w:b/>
          <w:bCs/>
          <w:sz w:val="28"/>
          <w:szCs w:val="28"/>
          <w:rtl/>
          <w:lang w:bidi="ar-EG"/>
        </w:rPr>
      </w:pPr>
      <w:r w:rsidRPr="00BE5127">
        <w:rPr>
          <w:rFonts w:asciiTheme="majorBidi" w:hAnsiTheme="majorBidi" w:cstheme="majorBidi"/>
          <w:b/>
          <w:bCs/>
          <w:sz w:val="28"/>
          <w:szCs w:val="28"/>
          <w:rtl/>
          <w:lang w:bidi="ar-EG"/>
        </w:rPr>
        <w:t>المراجع:</w:t>
      </w:r>
    </w:p>
    <w:p w14:paraId="23171A1B" w14:textId="77777777" w:rsidR="00BE5127" w:rsidRPr="00BE5127" w:rsidRDefault="00BE5127" w:rsidP="00BE5127">
      <w:pPr>
        <w:bidi/>
        <w:rPr>
          <w:rFonts w:asciiTheme="majorBidi" w:hAnsiTheme="majorBidi" w:cstheme="majorBidi"/>
          <w:b/>
          <w:bCs/>
          <w:sz w:val="28"/>
          <w:szCs w:val="28"/>
          <w:rtl/>
          <w:lang w:bidi="ar-EG"/>
        </w:rPr>
      </w:pPr>
      <w:r w:rsidRPr="00BE5127">
        <w:rPr>
          <w:rFonts w:asciiTheme="majorBidi" w:hAnsiTheme="majorBidi" w:cstheme="majorBidi"/>
          <w:b/>
          <w:bCs/>
          <w:sz w:val="28"/>
          <w:szCs w:val="28"/>
          <w:rtl/>
          <w:lang w:bidi="ar-EG"/>
        </w:rPr>
        <w:t>المراجع العربية</w:t>
      </w:r>
    </w:p>
    <w:p w14:paraId="485136FB" w14:textId="77777777" w:rsidR="00BE5127" w:rsidRPr="00BE5127" w:rsidRDefault="00BE5127" w:rsidP="00BE5127">
      <w:pPr>
        <w:bidi/>
        <w:ind w:left="1440" w:hanging="720"/>
        <w:jc w:val="both"/>
        <w:rPr>
          <w:rFonts w:asciiTheme="majorBidi" w:hAnsiTheme="majorBidi" w:cstheme="majorBidi"/>
          <w:sz w:val="28"/>
          <w:szCs w:val="28"/>
          <w:rtl/>
          <w:lang w:bidi="ar-EG"/>
        </w:rPr>
      </w:pPr>
      <w:r w:rsidRPr="00BE5127">
        <w:rPr>
          <w:rFonts w:asciiTheme="majorBidi" w:hAnsiTheme="majorBidi" w:cstheme="majorBidi"/>
          <w:sz w:val="28"/>
          <w:szCs w:val="28"/>
          <w:rtl/>
          <w:lang w:bidi="ar-EG"/>
        </w:rPr>
        <w:t xml:space="preserve">رؤية المملكة العربية السعودية 2030. (2026). الموقع الرسمي. مسترجع من: </w:t>
      </w:r>
      <w:hyperlink r:id="rId9" w:history="1">
        <w:r w:rsidRPr="00BE5127">
          <w:rPr>
            <w:rStyle w:val="Hyperlink"/>
            <w:rFonts w:asciiTheme="majorBidi" w:hAnsiTheme="majorBidi" w:cstheme="majorBidi"/>
            <w:sz w:val="28"/>
            <w:szCs w:val="28"/>
            <w:lang w:bidi="ar-EG"/>
          </w:rPr>
          <w:t>https://www.vision2030.gov.sa/ar/</w:t>
        </w:r>
      </w:hyperlink>
      <w:r w:rsidRPr="00BE5127">
        <w:rPr>
          <w:rFonts w:asciiTheme="majorBidi" w:hAnsiTheme="majorBidi" w:cstheme="majorBidi"/>
          <w:sz w:val="28"/>
          <w:szCs w:val="28"/>
          <w:rtl/>
          <w:lang w:bidi="ar-EG"/>
        </w:rPr>
        <w:t xml:space="preserve"> </w:t>
      </w:r>
    </w:p>
    <w:p w14:paraId="6EB7055C" w14:textId="77777777" w:rsidR="00BE5127" w:rsidRPr="00BE5127" w:rsidRDefault="00BE5127" w:rsidP="00BE5127">
      <w:pPr>
        <w:bidi/>
        <w:ind w:left="1440" w:hanging="720"/>
        <w:jc w:val="both"/>
        <w:rPr>
          <w:rFonts w:asciiTheme="majorBidi" w:hAnsiTheme="majorBidi" w:cstheme="majorBidi"/>
          <w:sz w:val="28"/>
          <w:szCs w:val="28"/>
          <w:rtl/>
          <w:lang w:bidi="ar-EG"/>
        </w:rPr>
      </w:pPr>
      <w:proofErr w:type="gramStart"/>
      <w:r w:rsidRPr="00BE5127">
        <w:rPr>
          <w:rFonts w:asciiTheme="majorBidi" w:hAnsiTheme="majorBidi" w:cstheme="majorBidi"/>
          <w:sz w:val="28"/>
          <w:szCs w:val="28"/>
          <w:rtl/>
          <w:lang w:bidi="ar-EG"/>
        </w:rPr>
        <w:t>عبدالنبي,</w:t>
      </w:r>
      <w:proofErr w:type="gramEnd"/>
      <w:r w:rsidRPr="00BE5127">
        <w:rPr>
          <w:rFonts w:asciiTheme="majorBidi" w:hAnsiTheme="majorBidi" w:cstheme="majorBidi"/>
          <w:sz w:val="28"/>
          <w:szCs w:val="28"/>
          <w:rtl/>
          <w:lang w:bidi="ar-EG"/>
        </w:rPr>
        <w:t xml:space="preserve"> هدى أحمد </w:t>
      </w:r>
      <w:proofErr w:type="gramStart"/>
      <w:r w:rsidRPr="00BE5127">
        <w:rPr>
          <w:rFonts w:asciiTheme="majorBidi" w:hAnsiTheme="majorBidi" w:cstheme="majorBidi"/>
          <w:sz w:val="28"/>
          <w:szCs w:val="28"/>
          <w:rtl/>
          <w:lang w:bidi="ar-EG"/>
        </w:rPr>
        <w:t>ابراهيم,</w:t>
      </w:r>
      <w:proofErr w:type="gramEnd"/>
      <w:r w:rsidRPr="00BE5127">
        <w:rPr>
          <w:rFonts w:asciiTheme="majorBidi" w:hAnsiTheme="majorBidi" w:cstheme="majorBidi"/>
          <w:sz w:val="28"/>
          <w:szCs w:val="28"/>
          <w:rtl/>
          <w:lang w:bidi="ar-EG"/>
        </w:rPr>
        <w:t xml:space="preserve"> </w:t>
      </w:r>
      <w:proofErr w:type="gramStart"/>
      <w:r w:rsidRPr="00BE5127">
        <w:rPr>
          <w:rFonts w:asciiTheme="majorBidi" w:hAnsiTheme="majorBidi" w:cstheme="majorBidi"/>
          <w:sz w:val="28"/>
          <w:szCs w:val="28"/>
          <w:rtl/>
          <w:lang w:bidi="ar-EG"/>
        </w:rPr>
        <w:t>العيوني,</w:t>
      </w:r>
      <w:proofErr w:type="gramEnd"/>
      <w:r w:rsidRPr="00BE5127">
        <w:rPr>
          <w:rFonts w:asciiTheme="majorBidi" w:hAnsiTheme="majorBidi" w:cstheme="majorBidi"/>
          <w:sz w:val="28"/>
          <w:szCs w:val="28"/>
          <w:rtl/>
          <w:lang w:bidi="ar-EG"/>
        </w:rPr>
        <w:t xml:space="preserve"> &amp; عهد علي حمد. (2025). أثر الذكاء الاصطناعي في تطوير راس المال الفكري في شركة المراعي بالسعودية. </w:t>
      </w:r>
      <w:r w:rsidRPr="00BE5127">
        <w:rPr>
          <w:rFonts w:asciiTheme="majorBidi" w:hAnsiTheme="majorBidi" w:cstheme="majorBidi"/>
          <w:i/>
          <w:iCs/>
          <w:sz w:val="28"/>
          <w:szCs w:val="28"/>
          <w:rtl/>
          <w:lang w:bidi="ar-EG"/>
        </w:rPr>
        <w:t>المجلة الدولية للتنمية</w:t>
      </w:r>
      <w:r w:rsidRPr="00BE5127">
        <w:rPr>
          <w:rFonts w:asciiTheme="majorBidi" w:hAnsiTheme="majorBidi" w:cstheme="majorBidi"/>
          <w:sz w:val="28"/>
          <w:szCs w:val="28"/>
          <w:rtl/>
          <w:lang w:bidi="ar-EG"/>
        </w:rPr>
        <w:t>, 14(</w:t>
      </w:r>
      <w:proofErr w:type="gramStart"/>
      <w:r w:rsidRPr="00BE5127">
        <w:rPr>
          <w:rFonts w:asciiTheme="majorBidi" w:hAnsiTheme="majorBidi" w:cstheme="majorBidi"/>
          <w:sz w:val="28"/>
          <w:szCs w:val="28"/>
          <w:rtl/>
          <w:lang w:bidi="ar-EG"/>
        </w:rPr>
        <w:t>1),</w:t>
      </w:r>
      <w:proofErr w:type="gramEnd"/>
      <w:r w:rsidRPr="00BE5127">
        <w:rPr>
          <w:rFonts w:asciiTheme="majorBidi" w:hAnsiTheme="majorBidi" w:cstheme="majorBidi"/>
          <w:sz w:val="28"/>
          <w:szCs w:val="28"/>
          <w:rtl/>
          <w:lang w:bidi="ar-EG"/>
        </w:rPr>
        <w:t xml:space="preserve"> 53-78.</w:t>
      </w:r>
    </w:p>
    <w:p w14:paraId="7E5593E1" w14:textId="77777777" w:rsidR="00BE5127" w:rsidRPr="00BE5127" w:rsidRDefault="00BE5127" w:rsidP="00BE5127">
      <w:pPr>
        <w:bidi/>
        <w:ind w:left="1440" w:hanging="720"/>
        <w:jc w:val="both"/>
        <w:rPr>
          <w:rFonts w:asciiTheme="majorBidi" w:hAnsiTheme="majorBidi" w:cstheme="majorBidi"/>
          <w:sz w:val="28"/>
          <w:szCs w:val="28"/>
          <w:rtl/>
          <w:lang w:bidi="ar-EG"/>
        </w:rPr>
      </w:pPr>
      <w:r w:rsidRPr="00BE5127">
        <w:rPr>
          <w:rFonts w:asciiTheme="majorBidi" w:hAnsiTheme="majorBidi" w:cstheme="majorBidi"/>
          <w:sz w:val="28"/>
          <w:szCs w:val="28"/>
          <w:rtl/>
          <w:lang w:bidi="ar-EG"/>
        </w:rPr>
        <w:t xml:space="preserve">عبد العال عبد الودود محمد حمزة. (2025). أثر التخطيط الاستراتيجي في تحسين أداء المشروعات باستخدام أدوات الذكاء الاصطناعي في ضوء رؤية المملكة العربية السعودية 2030. </w:t>
      </w:r>
      <w:r w:rsidRPr="00BE5127">
        <w:rPr>
          <w:rFonts w:asciiTheme="majorBidi" w:hAnsiTheme="majorBidi" w:cstheme="majorBidi"/>
          <w:i/>
          <w:iCs/>
          <w:sz w:val="28"/>
          <w:szCs w:val="28"/>
          <w:rtl/>
          <w:lang w:bidi="ar-EG"/>
        </w:rPr>
        <w:t>مجلة العلوم الإنسانية والطبيعية</w:t>
      </w:r>
      <w:r w:rsidRPr="00BE5127">
        <w:rPr>
          <w:rFonts w:asciiTheme="majorBidi" w:hAnsiTheme="majorBidi" w:cstheme="majorBidi"/>
          <w:sz w:val="28"/>
          <w:szCs w:val="28"/>
          <w:rtl/>
          <w:lang w:bidi="ar-EG"/>
        </w:rPr>
        <w:t>, 6(</w:t>
      </w:r>
      <w:proofErr w:type="gramStart"/>
      <w:r w:rsidRPr="00BE5127">
        <w:rPr>
          <w:rFonts w:asciiTheme="majorBidi" w:hAnsiTheme="majorBidi" w:cstheme="majorBidi"/>
          <w:sz w:val="28"/>
          <w:szCs w:val="28"/>
          <w:rtl/>
          <w:lang w:bidi="ar-EG"/>
        </w:rPr>
        <w:t>12),</w:t>
      </w:r>
      <w:proofErr w:type="gramEnd"/>
      <w:r w:rsidRPr="00BE5127">
        <w:rPr>
          <w:rFonts w:asciiTheme="majorBidi" w:hAnsiTheme="majorBidi" w:cstheme="majorBidi"/>
          <w:sz w:val="28"/>
          <w:szCs w:val="28"/>
          <w:rtl/>
          <w:lang w:bidi="ar-EG"/>
        </w:rPr>
        <w:t xml:space="preserve"> 90-107.</w:t>
      </w:r>
    </w:p>
    <w:p w14:paraId="34170983" w14:textId="77777777" w:rsidR="00BE5127" w:rsidRPr="00BE5127" w:rsidRDefault="00BE5127" w:rsidP="00BE5127">
      <w:pPr>
        <w:bidi/>
        <w:ind w:left="1440" w:hanging="720"/>
        <w:jc w:val="both"/>
        <w:rPr>
          <w:rFonts w:asciiTheme="majorBidi" w:hAnsiTheme="majorBidi" w:cstheme="majorBidi"/>
          <w:sz w:val="28"/>
          <w:szCs w:val="28"/>
          <w:rtl/>
          <w:lang w:bidi="ar-EG"/>
        </w:rPr>
      </w:pPr>
      <w:r w:rsidRPr="00BE5127">
        <w:rPr>
          <w:rFonts w:asciiTheme="majorBidi" w:hAnsiTheme="majorBidi" w:cstheme="majorBidi"/>
          <w:sz w:val="28"/>
          <w:szCs w:val="28"/>
          <w:rtl/>
          <w:lang w:bidi="ar-EG"/>
        </w:rPr>
        <w:lastRenderedPageBreak/>
        <w:t xml:space="preserve">مها محمد </w:t>
      </w:r>
      <w:proofErr w:type="gramStart"/>
      <w:r w:rsidRPr="00BE5127">
        <w:rPr>
          <w:rFonts w:asciiTheme="majorBidi" w:hAnsiTheme="majorBidi" w:cstheme="majorBidi"/>
          <w:sz w:val="28"/>
          <w:szCs w:val="28"/>
          <w:rtl/>
          <w:lang w:bidi="ar-EG"/>
        </w:rPr>
        <w:t>العتيبي,</w:t>
      </w:r>
      <w:proofErr w:type="gramEnd"/>
      <w:r w:rsidRPr="00BE5127">
        <w:rPr>
          <w:rFonts w:asciiTheme="majorBidi" w:hAnsiTheme="majorBidi" w:cstheme="majorBidi"/>
          <w:sz w:val="28"/>
          <w:szCs w:val="28"/>
          <w:rtl/>
          <w:lang w:bidi="ar-EG"/>
        </w:rPr>
        <w:t xml:space="preserve"> &amp; ليلى عابد اليوبي. (2024). أثر تقنيات الذكاء الاصطناعي على الابتكار التسويقي: دراسة تطبيقية على شركة موبايلي بالمملكة العربية السعودية. </w:t>
      </w:r>
      <w:r w:rsidRPr="00BE5127">
        <w:rPr>
          <w:rFonts w:asciiTheme="majorBidi" w:hAnsiTheme="majorBidi" w:cstheme="majorBidi"/>
          <w:i/>
          <w:iCs/>
          <w:sz w:val="28"/>
          <w:szCs w:val="28"/>
          <w:rtl/>
          <w:lang w:bidi="ar-EG"/>
        </w:rPr>
        <w:t xml:space="preserve">مجلة العلوم الإنسانية </w:t>
      </w:r>
      <w:proofErr w:type="gramStart"/>
      <w:r w:rsidRPr="00BE5127">
        <w:rPr>
          <w:rFonts w:asciiTheme="majorBidi" w:hAnsiTheme="majorBidi" w:cstheme="majorBidi"/>
          <w:i/>
          <w:iCs/>
          <w:sz w:val="28"/>
          <w:szCs w:val="28"/>
          <w:rtl/>
          <w:lang w:bidi="ar-EG"/>
        </w:rPr>
        <w:t xml:space="preserve">و </w:t>
      </w:r>
      <w:proofErr w:type="spellStart"/>
      <w:r w:rsidRPr="00BE5127">
        <w:rPr>
          <w:rFonts w:asciiTheme="majorBidi" w:hAnsiTheme="majorBidi" w:cstheme="majorBidi"/>
          <w:i/>
          <w:iCs/>
          <w:sz w:val="28"/>
          <w:szCs w:val="28"/>
          <w:rtl/>
          <w:lang w:bidi="ar-EG"/>
        </w:rPr>
        <w:t>الإجتماعية</w:t>
      </w:r>
      <w:proofErr w:type="spellEnd"/>
      <w:proofErr w:type="gramEnd"/>
      <w:r w:rsidRPr="00BE5127">
        <w:rPr>
          <w:rFonts w:asciiTheme="majorBidi" w:hAnsiTheme="majorBidi" w:cstheme="majorBidi"/>
          <w:sz w:val="28"/>
          <w:szCs w:val="28"/>
          <w:rtl/>
          <w:lang w:bidi="ar-EG"/>
        </w:rPr>
        <w:t>, 8(</w:t>
      </w:r>
      <w:proofErr w:type="gramStart"/>
      <w:r w:rsidRPr="00BE5127">
        <w:rPr>
          <w:rFonts w:asciiTheme="majorBidi" w:hAnsiTheme="majorBidi" w:cstheme="majorBidi"/>
          <w:sz w:val="28"/>
          <w:szCs w:val="28"/>
          <w:rtl/>
          <w:lang w:bidi="ar-EG"/>
        </w:rPr>
        <w:t>11),</w:t>
      </w:r>
      <w:proofErr w:type="gramEnd"/>
      <w:r w:rsidRPr="00BE5127">
        <w:rPr>
          <w:rFonts w:asciiTheme="majorBidi" w:hAnsiTheme="majorBidi" w:cstheme="majorBidi"/>
          <w:sz w:val="28"/>
          <w:szCs w:val="28"/>
          <w:rtl/>
          <w:lang w:bidi="ar-EG"/>
        </w:rPr>
        <w:t xml:space="preserve"> 10-26.</w:t>
      </w:r>
    </w:p>
    <w:p w14:paraId="72D4BA48" w14:textId="77777777" w:rsidR="00BE5127" w:rsidRPr="00BE5127" w:rsidRDefault="00BE5127" w:rsidP="00BE5127">
      <w:pPr>
        <w:bidi/>
        <w:ind w:left="1440" w:hanging="720"/>
        <w:jc w:val="both"/>
        <w:rPr>
          <w:rFonts w:asciiTheme="majorBidi" w:hAnsiTheme="majorBidi" w:cstheme="majorBidi"/>
          <w:sz w:val="28"/>
          <w:szCs w:val="28"/>
          <w:rtl/>
          <w:lang w:bidi="ar-EG"/>
        </w:rPr>
      </w:pPr>
      <w:r w:rsidRPr="00BE5127">
        <w:rPr>
          <w:rFonts w:asciiTheme="majorBidi" w:hAnsiTheme="majorBidi" w:cstheme="majorBidi"/>
          <w:sz w:val="28"/>
          <w:szCs w:val="28"/>
          <w:rtl/>
          <w:lang w:bidi="ar-EG"/>
        </w:rPr>
        <w:t xml:space="preserve">مشعان حاتم ابن عج. (2023). انعكاس تقنيات الذكاء الاصطناعي على الشركات في النظام السعودي. </w:t>
      </w:r>
      <w:r w:rsidRPr="00BE5127">
        <w:rPr>
          <w:rFonts w:asciiTheme="majorBidi" w:hAnsiTheme="majorBidi" w:cstheme="majorBidi"/>
          <w:i/>
          <w:iCs/>
          <w:sz w:val="28"/>
          <w:szCs w:val="28"/>
          <w:rtl/>
          <w:lang w:bidi="ar-EG"/>
        </w:rPr>
        <w:t>مجلة الأندلس للعلوم الإنسانية والاجتماعية</w:t>
      </w:r>
      <w:r w:rsidRPr="00BE5127">
        <w:rPr>
          <w:rFonts w:asciiTheme="majorBidi" w:hAnsiTheme="majorBidi" w:cstheme="majorBidi"/>
          <w:sz w:val="28"/>
          <w:szCs w:val="28"/>
          <w:rtl/>
          <w:lang w:bidi="ar-EG"/>
        </w:rPr>
        <w:t>، 10(73).</w:t>
      </w:r>
    </w:p>
    <w:p w14:paraId="65FB583C" w14:textId="77777777" w:rsidR="00BE5127" w:rsidRPr="00BE5127" w:rsidRDefault="00BE5127" w:rsidP="00BE5127">
      <w:pPr>
        <w:bidi/>
        <w:ind w:left="1440" w:hanging="720"/>
        <w:jc w:val="both"/>
        <w:rPr>
          <w:rFonts w:asciiTheme="majorBidi" w:hAnsiTheme="majorBidi" w:cstheme="majorBidi"/>
          <w:sz w:val="28"/>
          <w:szCs w:val="28"/>
          <w:rtl/>
          <w:lang w:bidi="ar-EG"/>
        </w:rPr>
      </w:pPr>
      <w:proofErr w:type="spellStart"/>
      <w:r w:rsidRPr="00BE5127">
        <w:rPr>
          <w:rFonts w:asciiTheme="majorBidi" w:hAnsiTheme="majorBidi" w:cstheme="majorBidi"/>
          <w:sz w:val="28"/>
          <w:szCs w:val="28"/>
          <w:rtl/>
          <w:lang w:bidi="ar-EG"/>
        </w:rPr>
        <w:t>تهامه</w:t>
      </w:r>
      <w:proofErr w:type="spellEnd"/>
      <w:r w:rsidRPr="00BE5127">
        <w:rPr>
          <w:rFonts w:asciiTheme="majorBidi" w:hAnsiTheme="majorBidi" w:cstheme="majorBidi"/>
          <w:sz w:val="28"/>
          <w:szCs w:val="28"/>
          <w:rtl/>
          <w:lang w:bidi="ar-EG"/>
        </w:rPr>
        <w:t xml:space="preserve"> سميح موسى الجعافرة. (2023). الذكاء الاصطناعي ودوره في إدارة الموارد البشرية في البلديات 2023. </w:t>
      </w:r>
      <w:r w:rsidRPr="00BE5127">
        <w:rPr>
          <w:rFonts w:asciiTheme="majorBidi" w:hAnsiTheme="majorBidi" w:cstheme="majorBidi"/>
          <w:i/>
          <w:iCs/>
          <w:sz w:val="28"/>
          <w:szCs w:val="28"/>
          <w:rtl/>
          <w:lang w:bidi="ar-EG"/>
        </w:rPr>
        <w:t>مجلة العلوم الإنسانية والطبيعية</w:t>
      </w:r>
      <w:r w:rsidRPr="00BE5127">
        <w:rPr>
          <w:rFonts w:asciiTheme="majorBidi" w:hAnsiTheme="majorBidi" w:cstheme="majorBidi"/>
          <w:sz w:val="28"/>
          <w:szCs w:val="28"/>
          <w:rtl/>
          <w:lang w:bidi="ar-EG"/>
        </w:rPr>
        <w:t>, 4(</w:t>
      </w:r>
      <w:proofErr w:type="gramStart"/>
      <w:r w:rsidRPr="00BE5127">
        <w:rPr>
          <w:rFonts w:asciiTheme="majorBidi" w:hAnsiTheme="majorBidi" w:cstheme="majorBidi"/>
          <w:sz w:val="28"/>
          <w:szCs w:val="28"/>
          <w:rtl/>
          <w:lang w:bidi="ar-EG"/>
        </w:rPr>
        <w:t>2),</w:t>
      </w:r>
      <w:proofErr w:type="gramEnd"/>
      <w:r w:rsidRPr="00BE5127">
        <w:rPr>
          <w:rFonts w:asciiTheme="majorBidi" w:hAnsiTheme="majorBidi" w:cstheme="majorBidi"/>
          <w:sz w:val="28"/>
          <w:szCs w:val="28"/>
          <w:rtl/>
          <w:lang w:bidi="ar-EG"/>
        </w:rPr>
        <w:t xml:space="preserve"> 986-1002.</w:t>
      </w:r>
    </w:p>
    <w:p w14:paraId="7674EE34" w14:textId="77777777" w:rsidR="00BE5127" w:rsidRPr="00BE5127" w:rsidRDefault="00BE5127" w:rsidP="00BE5127">
      <w:pPr>
        <w:bidi/>
        <w:ind w:left="1440" w:hanging="720"/>
        <w:jc w:val="both"/>
        <w:rPr>
          <w:rFonts w:asciiTheme="majorBidi" w:hAnsiTheme="majorBidi" w:cstheme="majorBidi"/>
          <w:sz w:val="28"/>
          <w:szCs w:val="28"/>
          <w:rtl/>
          <w:lang w:bidi="ar-EG"/>
        </w:rPr>
      </w:pPr>
      <w:r w:rsidRPr="00BE5127">
        <w:rPr>
          <w:rFonts w:asciiTheme="majorBidi" w:hAnsiTheme="majorBidi" w:cstheme="majorBidi"/>
          <w:sz w:val="28"/>
          <w:szCs w:val="28"/>
          <w:rtl/>
          <w:lang w:bidi="ar-EG"/>
        </w:rPr>
        <w:t xml:space="preserve">عبد المنعم محمد إبراهيم. (2025). الموائمة الاستراتيجية ودورها في دعم الأداء المؤسسي: الدور الوسيط لفعالية القرار، دراسة تطبيقية. </w:t>
      </w:r>
      <w:r w:rsidRPr="00BE5127">
        <w:rPr>
          <w:rFonts w:asciiTheme="majorBidi" w:hAnsiTheme="majorBidi" w:cstheme="majorBidi"/>
          <w:i/>
          <w:iCs/>
          <w:sz w:val="28"/>
          <w:szCs w:val="28"/>
          <w:rtl/>
          <w:lang w:bidi="ar-EG"/>
        </w:rPr>
        <w:t>المجلة العلمية للدراسات التجارية والبيئية</w:t>
      </w:r>
      <w:r w:rsidRPr="00BE5127">
        <w:rPr>
          <w:rFonts w:asciiTheme="majorBidi" w:hAnsiTheme="majorBidi" w:cstheme="majorBidi"/>
          <w:sz w:val="28"/>
          <w:szCs w:val="28"/>
          <w:rtl/>
          <w:lang w:bidi="ar-EG"/>
        </w:rPr>
        <w:t>, 16(</w:t>
      </w:r>
      <w:proofErr w:type="gramStart"/>
      <w:r w:rsidRPr="00BE5127">
        <w:rPr>
          <w:rFonts w:asciiTheme="majorBidi" w:hAnsiTheme="majorBidi" w:cstheme="majorBidi"/>
          <w:sz w:val="28"/>
          <w:szCs w:val="28"/>
          <w:rtl/>
          <w:lang w:bidi="ar-EG"/>
        </w:rPr>
        <w:t>2),</w:t>
      </w:r>
      <w:proofErr w:type="gramEnd"/>
      <w:r w:rsidRPr="00BE5127">
        <w:rPr>
          <w:rFonts w:asciiTheme="majorBidi" w:hAnsiTheme="majorBidi" w:cstheme="majorBidi"/>
          <w:sz w:val="28"/>
          <w:szCs w:val="28"/>
          <w:rtl/>
          <w:lang w:bidi="ar-EG"/>
        </w:rPr>
        <w:t xml:space="preserve"> 186-242.</w:t>
      </w:r>
    </w:p>
    <w:p w14:paraId="7EE33D1E" w14:textId="77777777" w:rsidR="00BE5127" w:rsidRPr="00BE5127" w:rsidRDefault="00BE5127" w:rsidP="00BE5127">
      <w:pPr>
        <w:bidi/>
        <w:ind w:left="1440" w:hanging="720"/>
        <w:jc w:val="both"/>
        <w:rPr>
          <w:rFonts w:asciiTheme="majorBidi" w:hAnsiTheme="majorBidi" w:cstheme="majorBidi"/>
          <w:sz w:val="28"/>
          <w:szCs w:val="28"/>
          <w:rtl/>
          <w:lang w:bidi="ar-EG"/>
        </w:rPr>
      </w:pPr>
      <w:r w:rsidRPr="00BE5127">
        <w:rPr>
          <w:rFonts w:asciiTheme="majorBidi" w:hAnsiTheme="majorBidi" w:cstheme="majorBidi"/>
          <w:sz w:val="28"/>
          <w:szCs w:val="28"/>
          <w:rtl/>
          <w:lang w:bidi="ar-EG"/>
        </w:rPr>
        <w:t xml:space="preserve">حاتم </w:t>
      </w:r>
      <w:proofErr w:type="gramStart"/>
      <w:r w:rsidRPr="00BE5127">
        <w:rPr>
          <w:rFonts w:asciiTheme="majorBidi" w:hAnsiTheme="majorBidi" w:cstheme="majorBidi"/>
          <w:sz w:val="28"/>
          <w:szCs w:val="28"/>
          <w:rtl/>
          <w:lang w:bidi="ar-EG"/>
        </w:rPr>
        <w:t>عبدالله</w:t>
      </w:r>
      <w:proofErr w:type="gramEnd"/>
      <w:r w:rsidRPr="00BE5127">
        <w:rPr>
          <w:rFonts w:asciiTheme="majorBidi" w:hAnsiTheme="majorBidi" w:cstheme="majorBidi"/>
          <w:sz w:val="28"/>
          <w:szCs w:val="28"/>
          <w:rtl/>
          <w:lang w:bidi="ar-EG"/>
        </w:rPr>
        <w:t xml:space="preserve"> محمد </w:t>
      </w:r>
      <w:proofErr w:type="spellStart"/>
      <w:r w:rsidRPr="00BE5127">
        <w:rPr>
          <w:rFonts w:asciiTheme="majorBidi" w:hAnsiTheme="majorBidi" w:cstheme="majorBidi"/>
          <w:sz w:val="28"/>
          <w:szCs w:val="28"/>
          <w:rtl/>
          <w:lang w:bidi="ar-EG"/>
        </w:rPr>
        <w:t>الشيزاوي</w:t>
      </w:r>
      <w:proofErr w:type="spellEnd"/>
      <w:r w:rsidRPr="00BE5127">
        <w:rPr>
          <w:rFonts w:asciiTheme="majorBidi" w:hAnsiTheme="majorBidi" w:cstheme="majorBidi"/>
          <w:sz w:val="28"/>
          <w:szCs w:val="28"/>
          <w:rtl/>
          <w:lang w:bidi="ar-EG"/>
        </w:rPr>
        <w:t xml:space="preserve">. (2024). أثر الرقابة الإدارية على فاعلية القرارات في المؤسسات الحكومية العمانية. </w:t>
      </w:r>
      <w:r w:rsidRPr="00BE5127">
        <w:rPr>
          <w:rFonts w:asciiTheme="majorBidi" w:hAnsiTheme="majorBidi" w:cstheme="majorBidi"/>
          <w:i/>
          <w:iCs/>
          <w:sz w:val="28"/>
          <w:szCs w:val="28"/>
          <w:rtl/>
          <w:lang w:bidi="ar-EG"/>
        </w:rPr>
        <w:t xml:space="preserve">مجلة العلوم </w:t>
      </w:r>
      <w:proofErr w:type="spellStart"/>
      <w:r w:rsidRPr="00BE5127">
        <w:rPr>
          <w:rFonts w:asciiTheme="majorBidi" w:hAnsiTheme="majorBidi" w:cstheme="majorBidi"/>
          <w:i/>
          <w:iCs/>
          <w:sz w:val="28"/>
          <w:szCs w:val="28"/>
          <w:rtl/>
          <w:lang w:bidi="ar-EG"/>
        </w:rPr>
        <w:t>الإقتصادية</w:t>
      </w:r>
      <w:proofErr w:type="spellEnd"/>
      <w:r w:rsidRPr="00BE5127">
        <w:rPr>
          <w:rFonts w:asciiTheme="majorBidi" w:hAnsiTheme="majorBidi" w:cstheme="majorBidi"/>
          <w:i/>
          <w:iCs/>
          <w:sz w:val="28"/>
          <w:szCs w:val="28"/>
          <w:rtl/>
          <w:lang w:bidi="ar-EG"/>
        </w:rPr>
        <w:t xml:space="preserve"> </w:t>
      </w:r>
      <w:proofErr w:type="gramStart"/>
      <w:r w:rsidRPr="00BE5127">
        <w:rPr>
          <w:rFonts w:asciiTheme="majorBidi" w:hAnsiTheme="majorBidi" w:cstheme="majorBidi"/>
          <w:i/>
          <w:iCs/>
          <w:sz w:val="28"/>
          <w:szCs w:val="28"/>
          <w:rtl/>
          <w:lang w:bidi="ar-EG"/>
        </w:rPr>
        <w:t>و الإدارية</w:t>
      </w:r>
      <w:proofErr w:type="gramEnd"/>
      <w:r w:rsidRPr="00BE5127">
        <w:rPr>
          <w:rFonts w:asciiTheme="majorBidi" w:hAnsiTheme="majorBidi" w:cstheme="majorBidi"/>
          <w:i/>
          <w:iCs/>
          <w:sz w:val="28"/>
          <w:szCs w:val="28"/>
          <w:rtl/>
          <w:lang w:bidi="ar-EG"/>
        </w:rPr>
        <w:t xml:space="preserve"> </w:t>
      </w:r>
      <w:proofErr w:type="gramStart"/>
      <w:r w:rsidRPr="00BE5127">
        <w:rPr>
          <w:rFonts w:asciiTheme="majorBidi" w:hAnsiTheme="majorBidi" w:cstheme="majorBidi"/>
          <w:i/>
          <w:iCs/>
          <w:sz w:val="28"/>
          <w:szCs w:val="28"/>
          <w:rtl/>
          <w:lang w:bidi="ar-EG"/>
        </w:rPr>
        <w:t>و القانونية</w:t>
      </w:r>
      <w:proofErr w:type="gramEnd"/>
      <w:r w:rsidRPr="00BE5127">
        <w:rPr>
          <w:rFonts w:asciiTheme="majorBidi" w:hAnsiTheme="majorBidi" w:cstheme="majorBidi"/>
          <w:sz w:val="28"/>
          <w:szCs w:val="28"/>
          <w:rtl/>
          <w:lang w:bidi="ar-EG"/>
        </w:rPr>
        <w:t>, 8(</w:t>
      </w:r>
      <w:proofErr w:type="gramStart"/>
      <w:r w:rsidRPr="00BE5127">
        <w:rPr>
          <w:rFonts w:asciiTheme="majorBidi" w:hAnsiTheme="majorBidi" w:cstheme="majorBidi"/>
          <w:sz w:val="28"/>
          <w:szCs w:val="28"/>
          <w:rtl/>
          <w:lang w:bidi="ar-EG"/>
        </w:rPr>
        <w:t>5),</w:t>
      </w:r>
      <w:proofErr w:type="gramEnd"/>
      <w:r w:rsidRPr="00BE5127">
        <w:rPr>
          <w:rFonts w:asciiTheme="majorBidi" w:hAnsiTheme="majorBidi" w:cstheme="majorBidi"/>
          <w:sz w:val="28"/>
          <w:szCs w:val="28"/>
          <w:rtl/>
          <w:lang w:bidi="ar-EG"/>
        </w:rPr>
        <w:t xml:space="preserve"> 17-36.</w:t>
      </w:r>
    </w:p>
    <w:p w14:paraId="6EACAE64" w14:textId="77777777" w:rsidR="00BE5127" w:rsidRPr="00BE5127" w:rsidRDefault="00BE5127" w:rsidP="00BE5127">
      <w:pPr>
        <w:bidi/>
        <w:ind w:left="1440" w:hanging="720"/>
        <w:jc w:val="both"/>
        <w:rPr>
          <w:rFonts w:asciiTheme="majorBidi" w:hAnsiTheme="majorBidi" w:cstheme="majorBidi"/>
          <w:sz w:val="28"/>
          <w:szCs w:val="28"/>
          <w:rtl/>
          <w:lang w:bidi="ar-EG"/>
        </w:rPr>
      </w:pPr>
      <w:r w:rsidRPr="00BE5127">
        <w:rPr>
          <w:rFonts w:asciiTheme="majorBidi" w:hAnsiTheme="majorBidi" w:cstheme="majorBidi"/>
          <w:sz w:val="28"/>
          <w:szCs w:val="28"/>
          <w:rtl/>
          <w:lang w:bidi="ar-EG"/>
        </w:rPr>
        <w:t xml:space="preserve">محمد بيرم </w:t>
      </w:r>
      <w:proofErr w:type="gramStart"/>
      <w:r w:rsidRPr="00BE5127">
        <w:rPr>
          <w:rFonts w:asciiTheme="majorBidi" w:hAnsiTheme="majorBidi" w:cstheme="majorBidi"/>
          <w:sz w:val="28"/>
          <w:szCs w:val="28"/>
          <w:rtl/>
          <w:lang w:bidi="ar-EG"/>
        </w:rPr>
        <w:t>عبدالعزيز</w:t>
      </w:r>
      <w:proofErr w:type="gramEnd"/>
      <w:r w:rsidRPr="00BE5127">
        <w:rPr>
          <w:rFonts w:asciiTheme="majorBidi" w:hAnsiTheme="majorBidi" w:cstheme="majorBidi"/>
          <w:sz w:val="28"/>
          <w:szCs w:val="28"/>
          <w:rtl/>
          <w:lang w:bidi="ar-EG"/>
        </w:rPr>
        <w:t xml:space="preserve"> </w:t>
      </w:r>
      <w:proofErr w:type="gramStart"/>
      <w:r w:rsidRPr="00BE5127">
        <w:rPr>
          <w:rFonts w:asciiTheme="majorBidi" w:hAnsiTheme="majorBidi" w:cstheme="majorBidi"/>
          <w:sz w:val="28"/>
          <w:szCs w:val="28"/>
          <w:rtl/>
          <w:lang w:bidi="ar-EG"/>
        </w:rPr>
        <w:t>ابراهيم,</w:t>
      </w:r>
      <w:proofErr w:type="gramEnd"/>
      <w:r w:rsidRPr="00BE5127">
        <w:rPr>
          <w:rFonts w:asciiTheme="majorBidi" w:hAnsiTheme="majorBidi" w:cstheme="majorBidi"/>
          <w:sz w:val="28"/>
          <w:szCs w:val="28"/>
          <w:rtl/>
          <w:lang w:bidi="ar-EG"/>
        </w:rPr>
        <w:t xml:space="preserve"> </w:t>
      </w:r>
      <w:proofErr w:type="gramStart"/>
      <w:r w:rsidRPr="00BE5127">
        <w:rPr>
          <w:rFonts w:asciiTheme="majorBidi" w:hAnsiTheme="majorBidi" w:cstheme="majorBidi"/>
          <w:sz w:val="28"/>
          <w:szCs w:val="28"/>
          <w:rtl/>
          <w:lang w:bidi="ar-EG"/>
        </w:rPr>
        <w:t>أيمن,</w:t>
      </w:r>
      <w:proofErr w:type="gramEnd"/>
      <w:r w:rsidRPr="00BE5127">
        <w:rPr>
          <w:rFonts w:asciiTheme="majorBidi" w:hAnsiTheme="majorBidi" w:cstheme="majorBidi"/>
          <w:sz w:val="28"/>
          <w:szCs w:val="28"/>
          <w:rtl/>
          <w:lang w:bidi="ar-EG"/>
        </w:rPr>
        <w:t xml:space="preserve"> &amp; سعد. (2023). تأثير التحول </w:t>
      </w:r>
      <w:proofErr w:type="spellStart"/>
      <w:r w:rsidRPr="00BE5127">
        <w:rPr>
          <w:rFonts w:asciiTheme="majorBidi" w:hAnsiTheme="majorBidi" w:cstheme="majorBidi"/>
          <w:sz w:val="28"/>
          <w:szCs w:val="28"/>
          <w:rtl/>
          <w:lang w:bidi="ar-EG"/>
        </w:rPr>
        <w:t>الرقمى</w:t>
      </w:r>
      <w:proofErr w:type="spellEnd"/>
      <w:r w:rsidRPr="00BE5127">
        <w:rPr>
          <w:rFonts w:asciiTheme="majorBidi" w:hAnsiTheme="majorBidi" w:cstheme="majorBidi"/>
          <w:sz w:val="28"/>
          <w:szCs w:val="28"/>
          <w:rtl/>
          <w:lang w:bidi="ar-EG"/>
        </w:rPr>
        <w:t xml:space="preserve"> على فاعلية اتخاذ القرارات الإستراتيجية: الدور الوسيط الميزة التنافسية. </w:t>
      </w:r>
      <w:r w:rsidRPr="00BE5127">
        <w:rPr>
          <w:rFonts w:asciiTheme="majorBidi" w:hAnsiTheme="majorBidi" w:cstheme="majorBidi"/>
          <w:i/>
          <w:iCs/>
          <w:sz w:val="28"/>
          <w:szCs w:val="28"/>
          <w:rtl/>
          <w:lang w:bidi="ar-EG"/>
        </w:rPr>
        <w:t>المجلة العلمية للدراسات التجارية والبيئية</w:t>
      </w:r>
      <w:r w:rsidRPr="00BE5127">
        <w:rPr>
          <w:rFonts w:asciiTheme="majorBidi" w:hAnsiTheme="majorBidi" w:cstheme="majorBidi"/>
          <w:sz w:val="28"/>
          <w:szCs w:val="28"/>
          <w:rtl/>
          <w:lang w:bidi="ar-EG"/>
        </w:rPr>
        <w:t>, 14(</w:t>
      </w:r>
      <w:proofErr w:type="gramStart"/>
      <w:r w:rsidRPr="00BE5127">
        <w:rPr>
          <w:rFonts w:asciiTheme="majorBidi" w:hAnsiTheme="majorBidi" w:cstheme="majorBidi"/>
          <w:sz w:val="28"/>
          <w:szCs w:val="28"/>
          <w:rtl/>
          <w:lang w:bidi="ar-EG"/>
        </w:rPr>
        <w:t>3),</w:t>
      </w:r>
      <w:proofErr w:type="gramEnd"/>
      <w:r w:rsidRPr="00BE5127">
        <w:rPr>
          <w:rFonts w:asciiTheme="majorBidi" w:hAnsiTheme="majorBidi" w:cstheme="majorBidi"/>
          <w:sz w:val="28"/>
          <w:szCs w:val="28"/>
          <w:rtl/>
          <w:lang w:bidi="ar-EG"/>
        </w:rPr>
        <w:t xml:space="preserve"> 2297-2323.</w:t>
      </w:r>
    </w:p>
    <w:p w14:paraId="71AB3453" w14:textId="77777777" w:rsidR="00BE5127" w:rsidRPr="00BE5127" w:rsidRDefault="00BE5127" w:rsidP="00BE5127">
      <w:pPr>
        <w:bidi/>
        <w:ind w:left="1440" w:hanging="720"/>
        <w:jc w:val="both"/>
        <w:rPr>
          <w:rFonts w:asciiTheme="majorBidi" w:hAnsiTheme="majorBidi" w:cstheme="majorBidi"/>
          <w:sz w:val="28"/>
          <w:szCs w:val="28"/>
          <w:rtl/>
          <w:lang w:bidi="ar-EG"/>
        </w:rPr>
      </w:pPr>
      <w:r w:rsidRPr="00BE5127">
        <w:rPr>
          <w:rFonts w:asciiTheme="majorBidi" w:hAnsiTheme="majorBidi" w:cstheme="majorBidi"/>
          <w:sz w:val="28"/>
          <w:szCs w:val="28"/>
          <w:rtl/>
          <w:lang w:bidi="ar-EG"/>
        </w:rPr>
        <w:t xml:space="preserve">عبد علي. (2022). دور الجمال يتنافس في شدة التحديد تحديدا: تم النظر في الاستطلاع للآراء الفنية من مديري شركة الاتصالات آسيا سيل في العراق. </w:t>
      </w:r>
      <w:r w:rsidRPr="00BE5127">
        <w:rPr>
          <w:rFonts w:asciiTheme="majorBidi" w:hAnsiTheme="majorBidi" w:cstheme="majorBidi"/>
          <w:i/>
          <w:iCs/>
          <w:sz w:val="28"/>
          <w:szCs w:val="28"/>
          <w:rtl/>
          <w:lang w:bidi="ar-EG"/>
        </w:rPr>
        <w:t>المجلة العراقية للعلوم الادارية</w:t>
      </w:r>
      <w:r w:rsidRPr="00BE5127">
        <w:rPr>
          <w:rFonts w:asciiTheme="majorBidi" w:hAnsiTheme="majorBidi" w:cstheme="majorBidi"/>
          <w:sz w:val="28"/>
          <w:szCs w:val="28"/>
          <w:rtl/>
          <w:lang w:bidi="ar-EG"/>
        </w:rPr>
        <w:t>, 18(</w:t>
      </w:r>
      <w:proofErr w:type="gramStart"/>
      <w:r w:rsidRPr="00BE5127">
        <w:rPr>
          <w:rFonts w:asciiTheme="majorBidi" w:hAnsiTheme="majorBidi" w:cstheme="majorBidi"/>
          <w:sz w:val="28"/>
          <w:szCs w:val="28"/>
          <w:rtl/>
          <w:lang w:bidi="ar-EG"/>
        </w:rPr>
        <w:t>71),</w:t>
      </w:r>
      <w:proofErr w:type="gramEnd"/>
      <w:r w:rsidRPr="00BE5127">
        <w:rPr>
          <w:rFonts w:asciiTheme="majorBidi" w:hAnsiTheme="majorBidi" w:cstheme="majorBidi"/>
          <w:sz w:val="28"/>
          <w:szCs w:val="28"/>
          <w:rtl/>
          <w:lang w:bidi="ar-EG"/>
        </w:rPr>
        <w:t xml:space="preserve"> 145-168.‏</w:t>
      </w:r>
    </w:p>
    <w:p w14:paraId="50035A0C" w14:textId="77777777" w:rsidR="00BE5127" w:rsidRPr="00BE5127" w:rsidRDefault="00BE5127" w:rsidP="00BE5127">
      <w:pPr>
        <w:bidi/>
        <w:jc w:val="both"/>
        <w:rPr>
          <w:rFonts w:asciiTheme="majorBidi" w:hAnsiTheme="majorBidi" w:cstheme="majorBidi"/>
          <w:b/>
          <w:bCs/>
          <w:sz w:val="32"/>
          <w:szCs w:val="32"/>
          <w:rtl/>
          <w:lang w:bidi="ar-EG"/>
        </w:rPr>
      </w:pPr>
    </w:p>
    <w:p w14:paraId="2BA26EFA" w14:textId="77777777" w:rsidR="00BE5127" w:rsidRPr="00BE5127" w:rsidRDefault="00BE5127" w:rsidP="00BE5127">
      <w:pPr>
        <w:bidi/>
        <w:jc w:val="both"/>
        <w:rPr>
          <w:rFonts w:asciiTheme="majorBidi" w:hAnsiTheme="majorBidi" w:cstheme="majorBidi"/>
          <w:b/>
          <w:bCs/>
          <w:sz w:val="32"/>
          <w:szCs w:val="32"/>
          <w:rtl/>
          <w:lang w:bidi="ar-EG"/>
        </w:rPr>
      </w:pPr>
      <w:r w:rsidRPr="00BE5127">
        <w:rPr>
          <w:rFonts w:asciiTheme="majorBidi" w:hAnsiTheme="majorBidi" w:cstheme="majorBidi"/>
          <w:b/>
          <w:bCs/>
          <w:sz w:val="32"/>
          <w:szCs w:val="32"/>
          <w:rtl/>
          <w:lang w:bidi="ar-EG"/>
        </w:rPr>
        <w:t>المراجع الأجنبية:</w:t>
      </w:r>
    </w:p>
    <w:p w14:paraId="118846E3"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BE5127">
        <w:rPr>
          <w:rFonts w:asciiTheme="majorBidi" w:hAnsiTheme="majorBidi" w:cstheme="majorBidi"/>
          <w:color w:val="222222"/>
          <w:sz w:val="28"/>
          <w:szCs w:val="28"/>
          <w:shd w:val="clear" w:color="auto" w:fill="FFFFFF"/>
        </w:rPr>
        <w:t>Abalkhail</w:t>
      </w:r>
      <w:proofErr w:type="spellEnd"/>
      <w:r w:rsidRPr="00BE5127">
        <w:rPr>
          <w:rFonts w:asciiTheme="majorBidi" w:hAnsiTheme="majorBidi" w:cstheme="majorBidi"/>
          <w:color w:val="222222"/>
          <w:sz w:val="28"/>
          <w:szCs w:val="28"/>
          <w:shd w:val="clear" w:color="auto" w:fill="FFFFFF"/>
        </w:rPr>
        <w:t>, A. A. A., &amp; Al Amri, S. M. A. (2022). Saudi Arabia’s management of the Hajj season through artificial intelligence and sustainability. </w:t>
      </w:r>
      <w:r w:rsidRPr="00BE5127">
        <w:rPr>
          <w:rFonts w:asciiTheme="majorBidi" w:hAnsiTheme="majorBidi" w:cstheme="majorBidi"/>
          <w:i/>
          <w:iCs/>
          <w:color w:val="222222"/>
          <w:sz w:val="28"/>
          <w:szCs w:val="28"/>
          <w:shd w:val="clear" w:color="auto" w:fill="FFFFFF"/>
        </w:rPr>
        <w:t>Sustainability</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14</w:t>
      </w:r>
      <w:r w:rsidRPr="00BE5127">
        <w:rPr>
          <w:rFonts w:asciiTheme="majorBidi" w:hAnsiTheme="majorBidi" w:cstheme="majorBidi"/>
          <w:color w:val="222222"/>
          <w:sz w:val="28"/>
          <w:szCs w:val="28"/>
          <w:shd w:val="clear" w:color="auto" w:fill="FFFFFF"/>
        </w:rPr>
        <w:t>(21), 14142.</w:t>
      </w:r>
      <w:r w:rsidRPr="00BE5127">
        <w:rPr>
          <w:rFonts w:asciiTheme="majorBidi" w:hAnsiTheme="majorBidi" w:cstheme="majorBidi"/>
          <w:color w:val="222222"/>
          <w:sz w:val="28"/>
          <w:szCs w:val="28"/>
          <w:shd w:val="clear" w:color="auto" w:fill="FFFFFF"/>
          <w:rtl/>
        </w:rPr>
        <w:t>‏</w:t>
      </w:r>
      <w:r w:rsidRPr="00BE5127">
        <w:rPr>
          <w:rFonts w:asciiTheme="majorBidi" w:hAnsiTheme="majorBidi" w:cstheme="majorBidi"/>
          <w:color w:val="222222"/>
          <w:sz w:val="28"/>
          <w:szCs w:val="28"/>
          <w:shd w:val="clear" w:color="auto" w:fill="FFFFFF"/>
        </w:rPr>
        <w:t xml:space="preserve"> 1-19</w:t>
      </w:r>
    </w:p>
    <w:p w14:paraId="341432AE"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BE5127">
        <w:rPr>
          <w:rFonts w:asciiTheme="majorBidi" w:hAnsiTheme="majorBidi" w:cstheme="majorBidi"/>
          <w:color w:val="222222"/>
          <w:sz w:val="28"/>
          <w:szCs w:val="28"/>
          <w:shd w:val="clear" w:color="auto" w:fill="FFFFFF"/>
        </w:rPr>
        <w:t>Aboalshamat</w:t>
      </w:r>
      <w:proofErr w:type="spellEnd"/>
      <w:r w:rsidRPr="00BE5127">
        <w:rPr>
          <w:rFonts w:asciiTheme="majorBidi" w:hAnsiTheme="majorBidi" w:cstheme="majorBidi"/>
          <w:color w:val="222222"/>
          <w:sz w:val="28"/>
          <w:szCs w:val="28"/>
          <w:shd w:val="clear" w:color="auto" w:fill="FFFFFF"/>
        </w:rPr>
        <w:t xml:space="preserve">, K., </w:t>
      </w:r>
      <w:proofErr w:type="spellStart"/>
      <w:r w:rsidRPr="00BE5127">
        <w:rPr>
          <w:rFonts w:asciiTheme="majorBidi" w:hAnsiTheme="majorBidi" w:cstheme="majorBidi"/>
          <w:color w:val="222222"/>
          <w:sz w:val="28"/>
          <w:szCs w:val="28"/>
          <w:shd w:val="clear" w:color="auto" w:fill="FFFFFF"/>
        </w:rPr>
        <w:t>Alhuzali</w:t>
      </w:r>
      <w:proofErr w:type="spellEnd"/>
      <w:r w:rsidRPr="00BE5127">
        <w:rPr>
          <w:rFonts w:asciiTheme="majorBidi" w:hAnsiTheme="majorBidi" w:cstheme="majorBidi"/>
          <w:color w:val="222222"/>
          <w:sz w:val="28"/>
          <w:szCs w:val="28"/>
          <w:shd w:val="clear" w:color="auto" w:fill="FFFFFF"/>
        </w:rPr>
        <w:t xml:space="preserve">, R., </w:t>
      </w:r>
      <w:proofErr w:type="spellStart"/>
      <w:r w:rsidRPr="00BE5127">
        <w:rPr>
          <w:rFonts w:asciiTheme="majorBidi" w:hAnsiTheme="majorBidi" w:cstheme="majorBidi"/>
          <w:color w:val="222222"/>
          <w:sz w:val="28"/>
          <w:szCs w:val="28"/>
          <w:shd w:val="clear" w:color="auto" w:fill="FFFFFF"/>
        </w:rPr>
        <w:t>Alalyani</w:t>
      </w:r>
      <w:proofErr w:type="spellEnd"/>
      <w:r w:rsidRPr="00BE5127">
        <w:rPr>
          <w:rFonts w:asciiTheme="majorBidi" w:hAnsiTheme="majorBidi" w:cstheme="majorBidi"/>
          <w:color w:val="222222"/>
          <w:sz w:val="28"/>
          <w:szCs w:val="28"/>
          <w:shd w:val="clear" w:color="auto" w:fill="FFFFFF"/>
        </w:rPr>
        <w:t xml:space="preserve">, A., Alsharif, S., Qadhi, H., </w:t>
      </w:r>
      <w:proofErr w:type="spellStart"/>
      <w:r w:rsidRPr="00BE5127">
        <w:rPr>
          <w:rFonts w:asciiTheme="majorBidi" w:hAnsiTheme="majorBidi" w:cstheme="majorBidi"/>
          <w:color w:val="222222"/>
          <w:sz w:val="28"/>
          <w:szCs w:val="28"/>
          <w:shd w:val="clear" w:color="auto" w:fill="FFFFFF"/>
        </w:rPr>
        <w:t>Almatrafi</w:t>
      </w:r>
      <w:proofErr w:type="spellEnd"/>
      <w:r w:rsidRPr="00BE5127">
        <w:rPr>
          <w:rFonts w:asciiTheme="majorBidi" w:hAnsiTheme="majorBidi" w:cstheme="majorBidi"/>
          <w:color w:val="222222"/>
          <w:sz w:val="28"/>
          <w:szCs w:val="28"/>
          <w:shd w:val="clear" w:color="auto" w:fill="FFFFFF"/>
        </w:rPr>
        <w:t xml:space="preserve">, R., ... &amp; Alotaibi, S. (2022). Medical and dental </w:t>
      </w:r>
      <w:proofErr w:type="gramStart"/>
      <w:r w:rsidRPr="00BE5127">
        <w:rPr>
          <w:rFonts w:asciiTheme="majorBidi" w:hAnsiTheme="majorBidi" w:cstheme="majorBidi"/>
          <w:color w:val="222222"/>
          <w:sz w:val="28"/>
          <w:szCs w:val="28"/>
          <w:shd w:val="clear" w:color="auto" w:fill="FFFFFF"/>
        </w:rPr>
        <w:t>professionals</w:t>
      </w:r>
      <w:proofErr w:type="gramEnd"/>
      <w:r w:rsidRPr="00BE5127">
        <w:rPr>
          <w:rFonts w:asciiTheme="majorBidi" w:hAnsiTheme="majorBidi" w:cstheme="majorBidi"/>
          <w:color w:val="222222"/>
          <w:sz w:val="28"/>
          <w:szCs w:val="28"/>
          <w:shd w:val="clear" w:color="auto" w:fill="FFFFFF"/>
        </w:rPr>
        <w:t xml:space="preserve"> readiness for artificial intelligence for Saudi Arabia vision 2030. </w:t>
      </w:r>
      <w:r w:rsidRPr="00BE5127">
        <w:rPr>
          <w:rFonts w:asciiTheme="majorBidi" w:hAnsiTheme="majorBidi" w:cstheme="majorBidi"/>
          <w:i/>
          <w:iCs/>
          <w:color w:val="222222"/>
          <w:sz w:val="28"/>
          <w:szCs w:val="28"/>
          <w:shd w:val="clear" w:color="auto" w:fill="FFFFFF"/>
        </w:rPr>
        <w:t>International Journal of Pharmaceutical Research and Allied Sciences</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11</w:t>
      </w:r>
      <w:r w:rsidRPr="00BE5127">
        <w:rPr>
          <w:rFonts w:asciiTheme="majorBidi" w:hAnsiTheme="majorBidi" w:cstheme="majorBidi"/>
          <w:color w:val="222222"/>
          <w:sz w:val="28"/>
          <w:szCs w:val="28"/>
          <w:shd w:val="clear" w:color="auto" w:fill="FFFFFF"/>
        </w:rPr>
        <w:t>(4-2022), 52-59.</w:t>
      </w:r>
      <w:r w:rsidRPr="00BE5127">
        <w:rPr>
          <w:rFonts w:asciiTheme="majorBidi" w:hAnsiTheme="majorBidi" w:cstheme="majorBidi"/>
          <w:color w:val="222222"/>
          <w:sz w:val="28"/>
          <w:szCs w:val="28"/>
          <w:shd w:val="clear" w:color="auto" w:fill="FFFFFF"/>
          <w:rtl/>
        </w:rPr>
        <w:t>‏</w:t>
      </w:r>
    </w:p>
    <w:p w14:paraId="05E90A3E"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lastRenderedPageBreak/>
        <w:t xml:space="preserve">Adeniran, I. A., </w:t>
      </w:r>
      <w:proofErr w:type="spellStart"/>
      <w:r w:rsidRPr="00BE5127">
        <w:rPr>
          <w:rFonts w:asciiTheme="majorBidi" w:hAnsiTheme="majorBidi" w:cstheme="majorBidi"/>
          <w:color w:val="222222"/>
          <w:sz w:val="28"/>
          <w:szCs w:val="28"/>
          <w:shd w:val="clear" w:color="auto" w:fill="FFFFFF"/>
        </w:rPr>
        <w:t>Efunniyi</w:t>
      </w:r>
      <w:proofErr w:type="spellEnd"/>
      <w:r w:rsidRPr="00BE5127">
        <w:rPr>
          <w:rFonts w:asciiTheme="majorBidi" w:hAnsiTheme="majorBidi" w:cstheme="majorBidi"/>
          <w:color w:val="222222"/>
          <w:sz w:val="28"/>
          <w:szCs w:val="28"/>
          <w:shd w:val="clear" w:color="auto" w:fill="FFFFFF"/>
        </w:rPr>
        <w:t xml:space="preserve">, C. P., </w:t>
      </w:r>
      <w:proofErr w:type="spellStart"/>
      <w:r w:rsidRPr="00BE5127">
        <w:rPr>
          <w:rFonts w:asciiTheme="majorBidi" w:hAnsiTheme="majorBidi" w:cstheme="majorBidi"/>
          <w:color w:val="222222"/>
          <w:sz w:val="28"/>
          <w:szCs w:val="28"/>
          <w:shd w:val="clear" w:color="auto" w:fill="FFFFFF"/>
        </w:rPr>
        <w:t>Osundare</w:t>
      </w:r>
      <w:proofErr w:type="spellEnd"/>
      <w:r w:rsidRPr="00BE5127">
        <w:rPr>
          <w:rFonts w:asciiTheme="majorBidi" w:hAnsiTheme="majorBidi" w:cstheme="majorBidi"/>
          <w:color w:val="222222"/>
          <w:sz w:val="28"/>
          <w:szCs w:val="28"/>
          <w:shd w:val="clear" w:color="auto" w:fill="FFFFFF"/>
        </w:rPr>
        <w:t xml:space="preserve">, O. S., </w:t>
      </w:r>
      <w:proofErr w:type="spellStart"/>
      <w:r w:rsidRPr="00BE5127">
        <w:rPr>
          <w:rFonts w:asciiTheme="majorBidi" w:hAnsiTheme="majorBidi" w:cstheme="majorBidi"/>
          <w:color w:val="222222"/>
          <w:sz w:val="28"/>
          <w:szCs w:val="28"/>
          <w:shd w:val="clear" w:color="auto" w:fill="FFFFFF"/>
        </w:rPr>
        <w:t>Abhulimen</w:t>
      </w:r>
      <w:proofErr w:type="spellEnd"/>
      <w:r w:rsidRPr="00BE5127">
        <w:rPr>
          <w:rFonts w:asciiTheme="majorBidi" w:hAnsiTheme="majorBidi" w:cstheme="majorBidi"/>
          <w:color w:val="222222"/>
          <w:sz w:val="28"/>
          <w:szCs w:val="28"/>
          <w:shd w:val="clear" w:color="auto" w:fill="FFFFFF"/>
        </w:rPr>
        <w:t xml:space="preserve">, A. O., &amp; </w:t>
      </w:r>
      <w:proofErr w:type="spellStart"/>
      <w:r w:rsidRPr="00BE5127">
        <w:rPr>
          <w:rFonts w:asciiTheme="majorBidi" w:hAnsiTheme="majorBidi" w:cstheme="majorBidi"/>
          <w:color w:val="222222"/>
          <w:sz w:val="28"/>
          <w:szCs w:val="28"/>
          <w:shd w:val="clear" w:color="auto" w:fill="FFFFFF"/>
        </w:rPr>
        <w:t>OneAdvanced</w:t>
      </w:r>
      <w:proofErr w:type="spellEnd"/>
      <w:r w:rsidRPr="00BE5127">
        <w:rPr>
          <w:rFonts w:asciiTheme="majorBidi" w:hAnsiTheme="majorBidi" w:cstheme="majorBidi"/>
          <w:color w:val="222222"/>
          <w:sz w:val="28"/>
          <w:szCs w:val="28"/>
          <w:shd w:val="clear" w:color="auto" w:fill="FFFFFF"/>
        </w:rPr>
        <w:t>, U. K. (2024). Integrating business intelligence and predictive analytics in banking: A framework for optimizing financial decision-making. </w:t>
      </w:r>
      <w:r w:rsidRPr="00BE5127">
        <w:rPr>
          <w:rFonts w:asciiTheme="majorBidi" w:hAnsiTheme="majorBidi" w:cstheme="majorBidi"/>
          <w:i/>
          <w:iCs/>
          <w:color w:val="222222"/>
          <w:sz w:val="28"/>
          <w:szCs w:val="28"/>
          <w:shd w:val="clear" w:color="auto" w:fill="FFFFFF"/>
        </w:rPr>
        <w:t>Finance &amp; Accounting Research Journal</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6</w:t>
      </w:r>
      <w:r w:rsidRPr="00BE5127">
        <w:rPr>
          <w:rFonts w:asciiTheme="majorBidi" w:hAnsiTheme="majorBidi" w:cstheme="majorBidi"/>
          <w:color w:val="222222"/>
          <w:sz w:val="28"/>
          <w:szCs w:val="28"/>
          <w:shd w:val="clear" w:color="auto" w:fill="FFFFFF"/>
        </w:rPr>
        <w:t>(8), 1517-1530.</w:t>
      </w:r>
      <w:r w:rsidRPr="00BE5127">
        <w:rPr>
          <w:rFonts w:asciiTheme="majorBidi" w:hAnsiTheme="majorBidi" w:cstheme="majorBidi"/>
          <w:color w:val="222222"/>
          <w:sz w:val="28"/>
          <w:szCs w:val="28"/>
          <w:shd w:val="clear" w:color="auto" w:fill="FFFFFF"/>
          <w:rtl/>
        </w:rPr>
        <w:t>‏</w:t>
      </w:r>
    </w:p>
    <w:p w14:paraId="583A9582"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 xml:space="preserve">Adesina, A. A., </w:t>
      </w:r>
      <w:proofErr w:type="spellStart"/>
      <w:r w:rsidRPr="00BE5127">
        <w:rPr>
          <w:rFonts w:asciiTheme="majorBidi" w:hAnsiTheme="majorBidi" w:cstheme="majorBidi"/>
          <w:color w:val="222222"/>
          <w:sz w:val="28"/>
          <w:szCs w:val="28"/>
          <w:shd w:val="clear" w:color="auto" w:fill="FFFFFF"/>
        </w:rPr>
        <w:t>Iyelolu</w:t>
      </w:r>
      <w:proofErr w:type="spellEnd"/>
      <w:r w:rsidRPr="00BE5127">
        <w:rPr>
          <w:rFonts w:asciiTheme="majorBidi" w:hAnsiTheme="majorBidi" w:cstheme="majorBidi"/>
          <w:color w:val="222222"/>
          <w:sz w:val="28"/>
          <w:szCs w:val="28"/>
          <w:shd w:val="clear" w:color="auto" w:fill="FFFFFF"/>
        </w:rPr>
        <w:t>, T. V., &amp; Paul, P. O. (2024). Leveraging predictive analytics for strategic decision-making: Enhancing business performance through data-driven insights. </w:t>
      </w:r>
      <w:r w:rsidRPr="00BE5127">
        <w:rPr>
          <w:rFonts w:asciiTheme="majorBidi" w:hAnsiTheme="majorBidi" w:cstheme="majorBidi"/>
          <w:i/>
          <w:iCs/>
          <w:color w:val="222222"/>
          <w:sz w:val="28"/>
          <w:szCs w:val="28"/>
          <w:shd w:val="clear" w:color="auto" w:fill="FFFFFF"/>
        </w:rPr>
        <w:t>World Journal of Advanced Research and Reviews</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22</w:t>
      </w:r>
      <w:r w:rsidRPr="00BE5127">
        <w:rPr>
          <w:rFonts w:asciiTheme="majorBidi" w:hAnsiTheme="majorBidi" w:cstheme="majorBidi"/>
          <w:color w:val="222222"/>
          <w:sz w:val="28"/>
          <w:szCs w:val="28"/>
          <w:shd w:val="clear" w:color="auto" w:fill="FFFFFF"/>
        </w:rPr>
        <w:t>(3), 1927-1934.</w:t>
      </w:r>
      <w:r w:rsidRPr="00BE5127">
        <w:rPr>
          <w:rFonts w:asciiTheme="majorBidi" w:hAnsiTheme="majorBidi" w:cstheme="majorBidi"/>
          <w:color w:val="222222"/>
          <w:sz w:val="28"/>
          <w:szCs w:val="28"/>
          <w:shd w:val="clear" w:color="auto" w:fill="FFFFFF"/>
          <w:rtl/>
        </w:rPr>
        <w:t>‏</w:t>
      </w:r>
    </w:p>
    <w:p w14:paraId="5A8683C7"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r w:rsidRPr="00BE5127">
        <w:rPr>
          <w:rFonts w:asciiTheme="majorBidi" w:hAnsiTheme="majorBidi" w:cstheme="majorBidi"/>
          <w:color w:val="222222"/>
          <w:sz w:val="28"/>
          <w:szCs w:val="28"/>
          <w:shd w:val="clear" w:color="auto" w:fill="FFFFFF"/>
        </w:rPr>
        <w:t>Alajmi, M., Mohammadian, M., &amp; Talukder, M. (2023). The determinants of smart government systems adoption by public sector organizations in Saudi Arabia. </w:t>
      </w:r>
      <w:proofErr w:type="spellStart"/>
      <w:r w:rsidRPr="00BE5127">
        <w:rPr>
          <w:rFonts w:asciiTheme="majorBidi" w:hAnsiTheme="majorBidi" w:cstheme="majorBidi"/>
          <w:i/>
          <w:iCs/>
          <w:color w:val="222222"/>
          <w:sz w:val="28"/>
          <w:szCs w:val="28"/>
          <w:shd w:val="clear" w:color="auto" w:fill="FFFFFF"/>
        </w:rPr>
        <w:t>Heliyon</w:t>
      </w:r>
      <w:proofErr w:type="spellEnd"/>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9</w:t>
      </w:r>
      <w:r w:rsidRPr="00BE5127">
        <w:rPr>
          <w:rFonts w:asciiTheme="majorBidi" w:hAnsiTheme="majorBidi" w:cstheme="majorBidi"/>
          <w:color w:val="222222"/>
          <w:sz w:val="28"/>
          <w:szCs w:val="28"/>
          <w:shd w:val="clear" w:color="auto" w:fill="FFFFFF"/>
        </w:rPr>
        <w:t>(10).</w:t>
      </w:r>
      <w:r w:rsidRPr="00BE5127">
        <w:rPr>
          <w:rFonts w:asciiTheme="majorBidi" w:hAnsiTheme="majorBidi" w:cstheme="majorBidi"/>
          <w:color w:val="222222"/>
          <w:sz w:val="28"/>
          <w:szCs w:val="28"/>
          <w:shd w:val="clear" w:color="auto" w:fill="FFFFFF"/>
          <w:rtl/>
        </w:rPr>
        <w:t>‏</w:t>
      </w:r>
    </w:p>
    <w:p w14:paraId="757A442E"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BE5127">
        <w:rPr>
          <w:rFonts w:asciiTheme="majorBidi" w:hAnsiTheme="majorBidi" w:cstheme="majorBidi"/>
          <w:color w:val="222222"/>
          <w:sz w:val="28"/>
          <w:szCs w:val="28"/>
          <w:shd w:val="clear" w:color="auto" w:fill="FFFFFF"/>
        </w:rPr>
        <w:t>Alarefi</w:t>
      </w:r>
      <w:proofErr w:type="spellEnd"/>
      <w:r w:rsidRPr="00BE5127">
        <w:rPr>
          <w:rFonts w:asciiTheme="majorBidi" w:hAnsiTheme="majorBidi" w:cstheme="majorBidi"/>
          <w:color w:val="222222"/>
          <w:sz w:val="28"/>
          <w:szCs w:val="28"/>
          <w:shd w:val="clear" w:color="auto" w:fill="FFFFFF"/>
        </w:rPr>
        <w:t>, M. (2024). The impact of artificial intelligence on business performance in Saudi Arabia: The role of technological readiness and data quality. </w:t>
      </w:r>
      <w:r w:rsidRPr="00BE5127">
        <w:rPr>
          <w:rFonts w:asciiTheme="majorBidi" w:hAnsiTheme="majorBidi" w:cstheme="majorBidi"/>
          <w:i/>
          <w:iCs/>
          <w:color w:val="222222"/>
          <w:sz w:val="28"/>
          <w:szCs w:val="28"/>
          <w:shd w:val="clear" w:color="auto" w:fill="FFFFFF"/>
        </w:rPr>
        <w:t>Engineering, Technology &amp; Applied Science Research</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14</w:t>
      </w:r>
      <w:r w:rsidRPr="00BE5127">
        <w:rPr>
          <w:rFonts w:asciiTheme="majorBidi" w:hAnsiTheme="majorBidi" w:cstheme="majorBidi"/>
          <w:color w:val="222222"/>
          <w:sz w:val="28"/>
          <w:szCs w:val="28"/>
          <w:shd w:val="clear" w:color="auto" w:fill="FFFFFF"/>
        </w:rPr>
        <w:t>(5), 16802-16807.</w:t>
      </w:r>
      <w:r w:rsidRPr="00BE5127">
        <w:rPr>
          <w:rFonts w:asciiTheme="majorBidi" w:hAnsiTheme="majorBidi" w:cstheme="majorBidi"/>
          <w:color w:val="222222"/>
          <w:sz w:val="28"/>
          <w:szCs w:val="28"/>
          <w:shd w:val="clear" w:color="auto" w:fill="FFFFFF"/>
          <w:rtl/>
        </w:rPr>
        <w:t>‏</w:t>
      </w:r>
    </w:p>
    <w:p w14:paraId="6E967F36"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r w:rsidRPr="00BE5127">
        <w:rPr>
          <w:rFonts w:asciiTheme="majorBidi" w:hAnsiTheme="majorBidi" w:cstheme="majorBidi"/>
          <w:color w:val="222222"/>
          <w:sz w:val="28"/>
          <w:szCs w:val="28"/>
          <w:shd w:val="clear" w:color="auto" w:fill="FFFFFF"/>
        </w:rPr>
        <w:t xml:space="preserve">Alasmri, N., &amp; </w:t>
      </w:r>
      <w:proofErr w:type="spellStart"/>
      <w:r w:rsidRPr="00BE5127">
        <w:rPr>
          <w:rFonts w:asciiTheme="majorBidi" w:hAnsiTheme="majorBidi" w:cstheme="majorBidi"/>
          <w:color w:val="222222"/>
          <w:sz w:val="28"/>
          <w:szCs w:val="28"/>
          <w:shd w:val="clear" w:color="auto" w:fill="FFFFFF"/>
        </w:rPr>
        <w:t>Basahel</w:t>
      </w:r>
      <w:proofErr w:type="spellEnd"/>
      <w:r w:rsidRPr="00BE5127">
        <w:rPr>
          <w:rFonts w:asciiTheme="majorBidi" w:hAnsiTheme="majorBidi" w:cstheme="majorBidi"/>
          <w:color w:val="222222"/>
          <w:sz w:val="28"/>
          <w:szCs w:val="28"/>
          <w:shd w:val="clear" w:color="auto" w:fill="FFFFFF"/>
        </w:rPr>
        <w:t xml:space="preserve">, S. (2022). Linking artificial intelligence </w:t>
      </w:r>
      <w:proofErr w:type="gramStart"/>
      <w:r w:rsidRPr="00BE5127">
        <w:rPr>
          <w:rFonts w:asciiTheme="majorBidi" w:hAnsiTheme="majorBidi" w:cstheme="majorBidi"/>
          <w:color w:val="222222"/>
          <w:sz w:val="28"/>
          <w:szCs w:val="28"/>
          <w:shd w:val="clear" w:color="auto" w:fill="FFFFFF"/>
        </w:rPr>
        <w:t>use</w:t>
      </w:r>
      <w:proofErr w:type="gramEnd"/>
      <w:r w:rsidRPr="00BE5127">
        <w:rPr>
          <w:rFonts w:asciiTheme="majorBidi" w:hAnsiTheme="majorBidi" w:cstheme="majorBidi"/>
          <w:color w:val="222222"/>
          <w:sz w:val="28"/>
          <w:szCs w:val="28"/>
          <w:shd w:val="clear" w:color="auto" w:fill="FFFFFF"/>
        </w:rPr>
        <w:t xml:space="preserve"> to improved decision-making, individual and organizational outcomes. </w:t>
      </w:r>
      <w:r w:rsidRPr="00BE5127">
        <w:rPr>
          <w:rFonts w:asciiTheme="majorBidi" w:hAnsiTheme="majorBidi" w:cstheme="majorBidi"/>
          <w:i/>
          <w:iCs/>
          <w:color w:val="222222"/>
          <w:sz w:val="28"/>
          <w:szCs w:val="28"/>
          <w:shd w:val="clear" w:color="auto" w:fill="FFFFFF"/>
        </w:rPr>
        <w:t>International Business Research</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15</w:t>
      </w:r>
      <w:r w:rsidRPr="00BE5127">
        <w:rPr>
          <w:rFonts w:asciiTheme="majorBidi" w:hAnsiTheme="majorBidi" w:cstheme="majorBidi"/>
          <w:color w:val="222222"/>
          <w:sz w:val="28"/>
          <w:szCs w:val="28"/>
          <w:shd w:val="clear" w:color="auto" w:fill="FFFFFF"/>
        </w:rPr>
        <w:t>(10), 1-15.</w:t>
      </w:r>
    </w:p>
    <w:p w14:paraId="1E9B270A"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r w:rsidRPr="00BE5127">
        <w:rPr>
          <w:rFonts w:asciiTheme="majorBidi" w:hAnsiTheme="majorBidi" w:cstheme="majorBidi"/>
          <w:color w:val="222222"/>
          <w:sz w:val="28"/>
          <w:szCs w:val="28"/>
          <w:shd w:val="clear" w:color="auto" w:fill="FFFFFF"/>
        </w:rPr>
        <w:t>Al-Baity, H. H. (2023). The artificial intelligence revolution in digital finance in Saudi Arabia: A comprehensive review and proposed framework. </w:t>
      </w:r>
      <w:r w:rsidRPr="00BE5127">
        <w:rPr>
          <w:rFonts w:asciiTheme="majorBidi" w:hAnsiTheme="majorBidi" w:cstheme="majorBidi"/>
          <w:i/>
          <w:iCs/>
          <w:color w:val="222222"/>
          <w:sz w:val="28"/>
          <w:szCs w:val="28"/>
          <w:shd w:val="clear" w:color="auto" w:fill="FFFFFF"/>
        </w:rPr>
        <w:t>Sustainability</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15</w:t>
      </w:r>
      <w:r w:rsidRPr="00BE5127">
        <w:rPr>
          <w:rFonts w:asciiTheme="majorBidi" w:hAnsiTheme="majorBidi" w:cstheme="majorBidi"/>
          <w:color w:val="222222"/>
          <w:sz w:val="28"/>
          <w:szCs w:val="28"/>
          <w:shd w:val="clear" w:color="auto" w:fill="FFFFFF"/>
        </w:rPr>
        <w:t>(18), 13725.</w:t>
      </w:r>
      <w:r w:rsidRPr="00BE5127">
        <w:rPr>
          <w:rFonts w:asciiTheme="majorBidi" w:hAnsiTheme="majorBidi" w:cstheme="majorBidi"/>
          <w:color w:val="222222"/>
          <w:sz w:val="28"/>
          <w:szCs w:val="28"/>
          <w:shd w:val="clear" w:color="auto" w:fill="FFFFFF"/>
          <w:rtl/>
        </w:rPr>
        <w:t>‏</w:t>
      </w:r>
      <w:r w:rsidRPr="00BE5127">
        <w:rPr>
          <w:rFonts w:asciiTheme="majorBidi" w:hAnsiTheme="majorBidi" w:cstheme="majorBidi"/>
          <w:color w:val="222222"/>
          <w:sz w:val="28"/>
          <w:szCs w:val="28"/>
          <w:shd w:val="clear" w:color="auto" w:fill="FFFFFF"/>
        </w:rPr>
        <w:t xml:space="preserve"> 1-16</w:t>
      </w:r>
    </w:p>
    <w:p w14:paraId="41357E2E"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Alharbi, R., &amp; Alnoor, A. (2024). The influence of emotional intelligence and personal styles of dealing with conflict on strategic decisions. </w:t>
      </w:r>
      <w:r w:rsidRPr="00BE5127">
        <w:rPr>
          <w:rFonts w:asciiTheme="majorBidi" w:hAnsiTheme="majorBidi" w:cstheme="majorBidi"/>
          <w:i/>
          <w:iCs/>
          <w:color w:val="222222"/>
          <w:sz w:val="28"/>
          <w:szCs w:val="28"/>
          <w:shd w:val="clear" w:color="auto" w:fill="FFFFFF"/>
        </w:rPr>
        <w:t>PSU research review</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8</w:t>
      </w:r>
      <w:r w:rsidRPr="00BE5127">
        <w:rPr>
          <w:rFonts w:asciiTheme="majorBidi" w:hAnsiTheme="majorBidi" w:cstheme="majorBidi"/>
          <w:color w:val="222222"/>
          <w:sz w:val="28"/>
          <w:szCs w:val="28"/>
          <w:shd w:val="clear" w:color="auto" w:fill="FFFFFF"/>
        </w:rPr>
        <w:t>(2), 443-454.</w:t>
      </w:r>
      <w:r w:rsidRPr="00BE5127">
        <w:rPr>
          <w:rFonts w:asciiTheme="majorBidi" w:hAnsiTheme="majorBidi" w:cstheme="majorBidi"/>
          <w:color w:val="222222"/>
          <w:sz w:val="28"/>
          <w:szCs w:val="28"/>
          <w:shd w:val="clear" w:color="auto" w:fill="FFFFFF"/>
          <w:rtl/>
        </w:rPr>
        <w:t>‏</w:t>
      </w:r>
    </w:p>
    <w:p w14:paraId="3C36727E"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r w:rsidRPr="00BE5127">
        <w:rPr>
          <w:rFonts w:asciiTheme="majorBidi" w:hAnsiTheme="majorBidi" w:cstheme="majorBidi"/>
          <w:color w:val="222222"/>
          <w:sz w:val="28"/>
          <w:szCs w:val="28"/>
          <w:shd w:val="clear" w:color="auto" w:fill="FFFFFF"/>
        </w:rPr>
        <w:lastRenderedPageBreak/>
        <w:t>Alharbi, S. H. (2024). Using Artificial Intelligence to Foster Performance: A Case Study of Public Organizations in the Kingdom of Saudi Arabia. </w:t>
      </w:r>
      <w:r w:rsidRPr="00BE5127">
        <w:rPr>
          <w:rFonts w:asciiTheme="majorBidi" w:hAnsiTheme="majorBidi" w:cstheme="majorBidi"/>
          <w:i/>
          <w:iCs/>
          <w:color w:val="222222"/>
          <w:sz w:val="28"/>
          <w:szCs w:val="28"/>
          <w:shd w:val="clear" w:color="auto" w:fill="FFFFFF"/>
        </w:rPr>
        <w:t>Proc. VIAC</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2024</w:t>
      </w:r>
      <w:r w:rsidRPr="00BE5127">
        <w:rPr>
          <w:rFonts w:asciiTheme="majorBidi" w:hAnsiTheme="majorBidi" w:cstheme="majorBidi"/>
          <w:color w:val="222222"/>
          <w:sz w:val="28"/>
          <w:szCs w:val="28"/>
          <w:shd w:val="clear" w:color="auto" w:fill="FFFFFF"/>
        </w:rPr>
        <w:t>, 113-121</w:t>
      </w:r>
    </w:p>
    <w:p w14:paraId="0FD32611"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r w:rsidRPr="00BE5127">
        <w:rPr>
          <w:rFonts w:asciiTheme="majorBidi" w:hAnsiTheme="majorBidi" w:cstheme="majorBidi"/>
          <w:color w:val="222222"/>
          <w:sz w:val="28"/>
          <w:szCs w:val="28"/>
          <w:shd w:val="clear" w:color="auto" w:fill="FFFFFF"/>
        </w:rPr>
        <w:t xml:space="preserve">Alhazmi, A. H. J., Islam, S. M., &amp; </w:t>
      </w:r>
      <w:proofErr w:type="spellStart"/>
      <w:r w:rsidRPr="00BE5127">
        <w:rPr>
          <w:rFonts w:asciiTheme="majorBidi" w:hAnsiTheme="majorBidi" w:cstheme="majorBidi"/>
          <w:color w:val="222222"/>
          <w:sz w:val="28"/>
          <w:szCs w:val="28"/>
          <w:shd w:val="clear" w:color="auto" w:fill="FFFFFF"/>
        </w:rPr>
        <w:t>Prokofieva</w:t>
      </w:r>
      <w:proofErr w:type="spellEnd"/>
      <w:r w:rsidRPr="00BE5127">
        <w:rPr>
          <w:rFonts w:asciiTheme="majorBidi" w:hAnsiTheme="majorBidi" w:cstheme="majorBidi"/>
          <w:color w:val="222222"/>
          <w:sz w:val="28"/>
          <w:szCs w:val="28"/>
          <w:shd w:val="clear" w:color="auto" w:fill="FFFFFF"/>
        </w:rPr>
        <w:t>, M. (2025). The impact of artificial intelligence adoption on the quality of financial reports on the Saudi Stock Exchange. </w:t>
      </w:r>
      <w:r w:rsidRPr="00BE5127">
        <w:rPr>
          <w:rFonts w:asciiTheme="majorBidi" w:hAnsiTheme="majorBidi" w:cstheme="majorBidi"/>
          <w:i/>
          <w:iCs/>
          <w:color w:val="222222"/>
          <w:sz w:val="28"/>
          <w:szCs w:val="28"/>
          <w:shd w:val="clear" w:color="auto" w:fill="FFFFFF"/>
        </w:rPr>
        <w:t>International Journal of Financial Studies</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13</w:t>
      </w:r>
      <w:r w:rsidRPr="00BE5127">
        <w:rPr>
          <w:rFonts w:asciiTheme="majorBidi" w:hAnsiTheme="majorBidi" w:cstheme="majorBidi"/>
          <w:color w:val="222222"/>
          <w:sz w:val="28"/>
          <w:szCs w:val="28"/>
          <w:shd w:val="clear" w:color="auto" w:fill="FFFFFF"/>
        </w:rPr>
        <w:t>(1), 1-38.</w:t>
      </w:r>
    </w:p>
    <w:p w14:paraId="326808EF"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BE5127">
        <w:rPr>
          <w:rFonts w:asciiTheme="majorBidi" w:hAnsiTheme="majorBidi" w:cstheme="majorBidi"/>
          <w:color w:val="222222"/>
          <w:sz w:val="28"/>
          <w:szCs w:val="28"/>
          <w:shd w:val="clear" w:color="auto" w:fill="FFFFFF"/>
        </w:rPr>
        <w:t>Aljohani</w:t>
      </w:r>
      <w:proofErr w:type="spellEnd"/>
      <w:r w:rsidRPr="00BE5127">
        <w:rPr>
          <w:rFonts w:asciiTheme="majorBidi" w:hAnsiTheme="majorBidi" w:cstheme="majorBidi"/>
          <w:color w:val="222222"/>
          <w:sz w:val="28"/>
          <w:szCs w:val="28"/>
          <w:shd w:val="clear" w:color="auto" w:fill="FFFFFF"/>
        </w:rPr>
        <w:t xml:space="preserve">, N. B., &amp; </w:t>
      </w:r>
      <w:proofErr w:type="spellStart"/>
      <w:r w:rsidRPr="00BE5127">
        <w:rPr>
          <w:rFonts w:asciiTheme="majorBidi" w:hAnsiTheme="majorBidi" w:cstheme="majorBidi"/>
          <w:color w:val="222222"/>
          <w:sz w:val="28"/>
          <w:szCs w:val="28"/>
          <w:shd w:val="clear" w:color="auto" w:fill="FFFFFF"/>
        </w:rPr>
        <w:t>Albliwi</w:t>
      </w:r>
      <w:proofErr w:type="spellEnd"/>
      <w:r w:rsidRPr="00BE5127">
        <w:rPr>
          <w:rFonts w:asciiTheme="majorBidi" w:hAnsiTheme="majorBidi" w:cstheme="majorBidi"/>
          <w:color w:val="222222"/>
          <w:sz w:val="28"/>
          <w:szCs w:val="28"/>
          <w:shd w:val="clear" w:color="auto" w:fill="FFFFFF"/>
        </w:rPr>
        <w:t>, S. (2022). Impacts of applying artificial intelligence on decision-making quality: a descriptive study in Saudi Arabian private sector organizations. </w:t>
      </w:r>
      <w:r w:rsidRPr="00BE5127">
        <w:rPr>
          <w:rFonts w:asciiTheme="majorBidi" w:hAnsiTheme="majorBidi" w:cstheme="majorBidi"/>
          <w:i/>
          <w:iCs/>
          <w:color w:val="222222"/>
          <w:sz w:val="28"/>
          <w:szCs w:val="28"/>
          <w:shd w:val="clear" w:color="auto" w:fill="FFFFFF"/>
        </w:rPr>
        <w:t>International Transaction Journal of Engineering, Management, &amp; Applied Sciences &amp; Technologies</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13</w:t>
      </w:r>
      <w:r w:rsidRPr="00BE5127">
        <w:rPr>
          <w:rFonts w:asciiTheme="majorBidi" w:hAnsiTheme="majorBidi" w:cstheme="majorBidi"/>
          <w:color w:val="222222"/>
          <w:sz w:val="28"/>
          <w:szCs w:val="28"/>
          <w:shd w:val="clear" w:color="auto" w:fill="FFFFFF"/>
        </w:rPr>
        <w:t>(5), 1-1</w:t>
      </w:r>
      <w:r w:rsidRPr="00BE5127">
        <w:rPr>
          <w:rFonts w:asciiTheme="majorBidi" w:hAnsiTheme="majorBidi" w:cstheme="majorBidi"/>
          <w:color w:val="222222"/>
          <w:sz w:val="28"/>
          <w:szCs w:val="28"/>
          <w:shd w:val="clear" w:color="auto" w:fill="FFFFFF"/>
          <w:rtl/>
        </w:rPr>
        <w:t>4</w:t>
      </w:r>
      <w:r w:rsidRPr="00BE5127">
        <w:rPr>
          <w:rFonts w:asciiTheme="majorBidi" w:hAnsiTheme="majorBidi" w:cstheme="majorBidi"/>
          <w:color w:val="222222"/>
          <w:sz w:val="28"/>
          <w:szCs w:val="28"/>
          <w:shd w:val="clear" w:color="auto" w:fill="FFFFFF"/>
        </w:rPr>
        <w:t>.</w:t>
      </w:r>
    </w:p>
    <w:p w14:paraId="5C2B797C"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BE5127">
        <w:rPr>
          <w:rFonts w:asciiTheme="majorBidi" w:hAnsiTheme="majorBidi" w:cstheme="majorBidi"/>
          <w:color w:val="222222"/>
          <w:sz w:val="28"/>
          <w:szCs w:val="28"/>
          <w:shd w:val="clear" w:color="auto" w:fill="FFFFFF"/>
        </w:rPr>
        <w:t>Almheiri</w:t>
      </w:r>
      <w:proofErr w:type="spellEnd"/>
      <w:r w:rsidRPr="00BE5127">
        <w:rPr>
          <w:rFonts w:asciiTheme="majorBidi" w:hAnsiTheme="majorBidi" w:cstheme="majorBidi"/>
          <w:color w:val="222222"/>
          <w:sz w:val="28"/>
          <w:szCs w:val="28"/>
          <w:shd w:val="clear" w:color="auto" w:fill="FFFFFF"/>
        </w:rPr>
        <w:t>, H. M., Ahmad, S. Z., Abu Bakar, A. R., &amp; Khalid, K. (2024). Artificial intelligence capabilities, dynamic capabilities and organizational creativity: contributing factors to the United Arab Emirates Government’s organizational performance. </w:t>
      </w:r>
      <w:r w:rsidRPr="00BE5127">
        <w:rPr>
          <w:rFonts w:asciiTheme="majorBidi" w:hAnsiTheme="majorBidi" w:cstheme="majorBidi"/>
          <w:i/>
          <w:iCs/>
          <w:color w:val="222222"/>
          <w:sz w:val="28"/>
          <w:szCs w:val="28"/>
          <w:shd w:val="clear" w:color="auto" w:fill="FFFFFF"/>
        </w:rPr>
        <w:t>Journal of Modelling in Management</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19</w:t>
      </w:r>
      <w:r w:rsidRPr="00BE5127">
        <w:rPr>
          <w:rFonts w:asciiTheme="majorBidi" w:hAnsiTheme="majorBidi" w:cstheme="majorBidi"/>
          <w:color w:val="222222"/>
          <w:sz w:val="28"/>
          <w:szCs w:val="28"/>
          <w:shd w:val="clear" w:color="auto" w:fill="FFFFFF"/>
        </w:rPr>
        <w:t>(3), 953-979.</w:t>
      </w:r>
      <w:r w:rsidRPr="00BE5127">
        <w:rPr>
          <w:rFonts w:asciiTheme="majorBidi" w:hAnsiTheme="majorBidi" w:cstheme="majorBidi"/>
          <w:color w:val="222222"/>
          <w:sz w:val="28"/>
          <w:szCs w:val="28"/>
          <w:shd w:val="clear" w:color="auto" w:fill="FFFFFF"/>
          <w:rtl/>
        </w:rPr>
        <w:t>‏</w:t>
      </w:r>
    </w:p>
    <w:p w14:paraId="0AE080E3"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r w:rsidRPr="00BE5127">
        <w:rPr>
          <w:rFonts w:asciiTheme="majorBidi" w:hAnsiTheme="majorBidi" w:cstheme="majorBidi"/>
          <w:color w:val="222222"/>
          <w:sz w:val="28"/>
          <w:szCs w:val="28"/>
          <w:shd w:val="clear" w:color="auto" w:fill="FFFFFF"/>
        </w:rPr>
        <w:t>AlQahtani, D. M. S. (2023). Artificial intelligence and its influence on digital transformation, development, and productivity in Saudi Arabian organizations: A critical evaluation. Arab Journal of Management, 1-14.</w:t>
      </w:r>
    </w:p>
    <w:p w14:paraId="61BD3B16"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r w:rsidRPr="00BE5127">
        <w:rPr>
          <w:rFonts w:asciiTheme="majorBidi" w:hAnsiTheme="majorBidi" w:cstheme="majorBidi"/>
          <w:color w:val="222222"/>
          <w:sz w:val="28"/>
          <w:szCs w:val="28"/>
          <w:shd w:val="clear" w:color="auto" w:fill="FFFFFF"/>
        </w:rPr>
        <w:t>AlQahtani, M. A. (2024). Impact of artificial intelligence on knowledge management: an investigation on the public sector in Saudi Arabia. </w:t>
      </w:r>
      <w:r w:rsidRPr="00BE5127">
        <w:rPr>
          <w:rFonts w:asciiTheme="majorBidi" w:hAnsiTheme="majorBidi" w:cstheme="majorBidi"/>
          <w:i/>
          <w:iCs/>
          <w:color w:val="222222"/>
          <w:sz w:val="28"/>
          <w:szCs w:val="28"/>
          <w:shd w:val="clear" w:color="auto" w:fill="FFFFFF"/>
        </w:rPr>
        <w:t>American Academic &amp; Scholarly Research Journal</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14</w:t>
      </w:r>
      <w:r w:rsidRPr="00BE5127">
        <w:rPr>
          <w:rFonts w:asciiTheme="majorBidi" w:hAnsiTheme="majorBidi" w:cstheme="majorBidi"/>
          <w:color w:val="222222"/>
          <w:sz w:val="28"/>
          <w:szCs w:val="28"/>
          <w:shd w:val="clear" w:color="auto" w:fill="FFFFFF"/>
        </w:rPr>
        <w:t>(7).</w:t>
      </w:r>
      <w:r w:rsidRPr="00BE5127">
        <w:rPr>
          <w:rFonts w:asciiTheme="majorBidi" w:hAnsiTheme="majorBidi" w:cstheme="majorBidi"/>
          <w:color w:val="222222"/>
          <w:sz w:val="28"/>
          <w:szCs w:val="28"/>
          <w:shd w:val="clear" w:color="auto" w:fill="FFFFFF"/>
          <w:rtl/>
        </w:rPr>
        <w:t>‏</w:t>
      </w:r>
      <w:r w:rsidRPr="00BE5127">
        <w:rPr>
          <w:rFonts w:asciiTheme="majorBidi" w:hAnsiTheme="majorBidi" w:cstheme="majorBidi"/>
          <w:color w:val="222222"/>
          <w:sz w:val="28"/>
          <w:szCs w:val="28"/>
          <w:shd w:val="clear" w:color="auto" w:fill="FFFFFF"/>
        </w:rPr>
        <w:t xml:space="preserve"> 14-29</w:t>
      </w:r>
    </w:p>
    <w:p w14:paraId="3390A4CB"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BE5127">
        <w:rPr>
          <w:rFonts w:asciiTheme="majorBidi" w:hAnsiTheme="majorBidi" w:cstheme="majorBidi"/>
          <w:color w:val="222222"/>
          <w:sz w:val="28"/>
          <w:szCs w:val="28"/>
          <w:shd w:val="clear" w:color="auto" w:fill="FFFFFF"/>
        </w:rPr>
        <w:lastRenderedPageBreak/>
        <w:t>Alsulami</w:t>
      </w:r>
      <w:proofErr w:type="spellEnd"/>
      <w:r w:rsidRPr="00BE5127">
        <w:rPr>
          <w:rFonts w:asciiTheme="majorBidi" w:hAnsiTheme="majorBidi" w:cstheme="majorBidi"/>
          <w:color w:val="222222"/>
          <w:sz w:val="28"/>
          <w:szCs w:val="28"/>
          <w:shd w:val="clear" w:color="auto" w:fill="FFFFFF"/>
        </w:rPr>
        <w:t>, A. N. (2026). The Impact of Adopting Artificial Intelligence Systems on the Efficiency of Knowledge Management Processes: An Applied Study at Noon Saudi Arabia. </w:t>
      </w:r>
      <w:r w:rsidRPr="00BE5127">
        <w:rPr>
          <w:rFonts w:asciiTheme="majorBidi" w:hAnsiTheme="majorBidi" w:cstheme="majorBidi"/>
          <w:i/>
          <w:iCs/>
          <w:color w:val="222222"/>
          <w:sz w:val="28"/>
          <w:szCs w:val="28"/>
          <w:shd w:val="clear" w:color="auto" w:fill="FFFFFF"/>
        </w:rPr>
        <w:t>European Journal of Sustainable Development</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15</w:t>
      </w:r>
      <w:r w:rsidRPr="00BE5127">
        <w:rPr>
          <w:rFonts w:asciiTheme="majorBidi" w:hAnsiTheme="majorBidi" w:cstheme="majorBidi"/>
          <w:color w:val="222222"/>
          <w:sz w:val="28"/>
          <w:szCs w:val="28"/>
          <w:shd w:val="clear" w:color="auto" w:fill="FFFFFF"/>
        </w:rPr>
        <w:t>(1), 504-504.</w:t>
      </w:r>
      <w:r w:rsidRPr="00BE5127">
        <w:rPr>
          <w:rFonts w:asciiTheme="majorBidi" w:hAnsiTheme="majorBidi" w:cstheme="majorBidi"/>
          <w:color w:val="222222"/>
          <w:sz w:val="28"/>
          <w:szCs w:val="28"/>
          <w:shd w:val="clear" w:color="auto" w:fill="FFFFFF"/>
          <w:rtl/>
        </w:rPr>
        <w:t>‏</w:t>
      </w:r>
    </w:p>
    <w:p w14:paraId="4F0EC581"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Al-</w:t>
      </w:r>
      <w:proofErr w:type="spellStart"/>
      <w:r w:rsidRPr="00BE5127">
        <w:rPr>
          <w:rFonts w:asciiTheme="majorBidi" w:hAnsiTheme="majorBidi" w:cstheme="majorBidi"/>
          <w:color w:val="222222"/>
          <w:sz w:val="28"/>
          <w:szCs w:val="28"/>
          <w:shd w:val="clear" w:color="auto" w:fill="FFFFFF"/>
        </w:rPr>
        <w:t>Surmi</w:t>
      </w:r>
      <w:proofErr w:type="spellEnd"/>
      <w:r w:rsidRPr="00BE5127">
        <w:rPr>
          <w:rFonts w:asciiTheme="majorBidi" w:hAnsiTheme="majorBidi" w:cstheme="majorBidi"/>
          <w:color w:val="222222"/>
          <w:sz w:val="28"/>
          <w:szCs w:val="28"/>
          <w:shd w:val="clear" w:color="auto" w:fill="FFFFFF"/>
        </w:rPr>
        <w:t xml:space="preserve">, A., Bashiri, M., &amp; </w:t>
      </w:r>
      <w:proofErr w:type="spellStart"/>
      <w:r w:rsidRPr="00BE5127">
        <w:rPr>
          <w:rFonts w:asciiTheme="majorBidi" w:hAnsiTheme="majorBidi" w:cstheme="majorBidi"/>
          <w:color w:val="222222"/>
          <w:sz w:val="28"/>
          <w:szCs w:val="28"/>
          <w:shd w:val="clear" w:color="auto" w:fill="FFFFFF"/>
        </w:rPr>
        <w:t>Koliousis</w:t>
      </w:r>
      <w:proofErr w:type="spellEnd"/>
      <w:r w:rsidRPr="00BE5127">
        <w:rPr>
          <w:rFonts w:asciiTheme="majorBidi" w:hAnsiTheme="majorBidi" w:cstheme="majorBidi"/>
          <w:color w:val="222222"/>
          <w:sz w:val="28"/>
          <w:szCs w:val="28"/>
          <w:shd w:val="clear" w:color="auto" w:fill="FFFFFF"/>
        </w:rPr>
        <w:t xml:space="preserve">, I. (2022). AI based decision </w:t>
      </w:r>
      <w:proofErr w:type="gramStart"/>
      <w:r w:rsidRPr="00BE5127">
        <w:rPr>
          <w:rFonts w:asciiTheme="majorBidi" w:hAnsiTheme="majorBidi" w:cstheme="majorBidi"/>
          <w:color w:val="222222"/>
          <w:sz w:val="28"/>
          <w:szCs w:val="28"/>
          <w:shd w:val="clear" w:color="auto" w:fill="FFFFFF"/>
        </w:rPr>
        <w:t>making:</w:t>
      </w:r>
      <w:proofErr w:type="gramEnd"/>
      <w:r w:rsidRPr="00BE5127">
        <w:rPr>
          <w:rFonts w:asciiTheme="majorBidi" w:hAnsiTheme="majorBidi" w:cstheme="majorBidi"/>
          <w:color w:val="222222"/>
          <w:sz w:val="28"/>
          <w:szCs w:val="28"/>
          <w:shd w:val="clear" w:color="auto" w:fill="FFFFFF"/>
        </w:rPr>
        <w:t xml:space="preserve"> combining strategies to improve operational performance. </w:t>
      </w:r>
      <w:r w:rsidRPr="00BE5127">
        <w:rPr>
          <w:rFonts w:asciiTheme="majorBidi" w:hAnsiTheme="majorBidi" w:cstheme="majorBidi"/>
          <w:i/>
          <w:iCs/>
          <w:color w:val="222222"/>
          <w:sz w:val="28"/>
          <w:szCs w:val="28"/>
          <w:shd w:val="clear" w:color="auto" w:fill="FFFFFF"/>
        </w:rPr>
        <w:t>International Journal of Production Research</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60</w:t>
      </w:r>
      <w:r w:rsidRPr="00BE5127">
        <w:rPr>
          <w:rFonts w:asciiTheme="majorBidi" w:hAnsiTheme="majorBidi" w:cstheme="majorBidi"/>
          <w:color w:val="222222"/>
          <w:sz w:val="28"/>
          <w:szCs w:val="28"/>
          <w:shd w:val="clear" w:color="auto" w:fill="FFFFFF"/>
        </w:rPr>
        <w:t>(14), 4464-4486.</w:t>
      </w:r>
      <w:r w:rsidRPr="00BE5127">
        <w:rPr>
          <w:rFonts w:asciiTheme="majorBidi" w:hAnsiTheme="majorBidi" w:cstheme="majorBidi"/>
          <w:color w:val="222222"/>
          <w:sz w:val="28"/>
          <w:szCs w:val="28"/>
          <w:shd w:val="clear" w:color="auto" w:fill="FFFFFF"/>
          <w:rtl/>
        </w:rPr>
        <w:t>‏</w:t>
      </w:r>
    </w:p>
    <w:p w14:paraId="04BBC3D4"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r w:rsidRPr="00BE5127">
        <w:rPr>
          <w:rFonts w:asciiTheme="majorBidi" w:hAnsiTheme="majorBidi" w:cstheme="majorBidi"/>
          <w:color w:val="222222"/>
          <w:sz w:val="28"/>
          <w:szCs w:val="28"/>
          <w:shd w:val="clear" w:color="auto" w:fill="FFFFFF"/>
        </w:rPr>
        <w:t>Arabia, R. S. (2022). Readiness of HRM Departments in the Kingdom of Saudi Arabia to Integrate Artificial Intelligence Technologies into Their Practices.</w:t>
      </w:r>
      <w:r w:rsidRPr="00BE5127">
        <w:rPr>
          <w:rFonts w:asciiTheme="majorBidi" w:hAnsiTheme="majorBidi" w:cstheme="majorBidi"/>
          <w:color w:val="222222"/>
          <w:sz w:val="28"/>
          <w:szCs w:val="28"/>
          <w:shd w:val="clear" w:color="auto" w:fill="FFFFFF"/>
          <w:rtl/>
        </w:rPr>
        <w:t>‏</w:t>
      </w:r>
      <w:r w:rsidRPr="00BE5127">
        <w:rPr>
          <w:rFonts w:asciiTheme="majorBidi" w:hAnsiTheme="majorBidi" w:cstheme="majorBidi"/>
          <w:color w:val="222222"/>
          <w:sz w:val="28"/>
          <w:szCs w:val="28"/>
          <w:shd w:val="clear" w:color="auto" w:fill="FFFFFF"/>
        </w:rPr>
        <w:t xml:space="preserve"> 30-36</w:t>
      </w:r>
    </w:p>
    <w:p w14:paraId="325446F3"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BE5127">
        <w:rPr>
          <w:rFonts w:asciiTheme="majorBidi" w:hAnsiTheme="majorBidi" w:cstheme="majorBidi"/>
          <w:color w:val="222222"/>
          <w:sz w:val="28"/>
          <w:szCs w:val="28"/>
          <w:shd w:val="clear" w:color="auto" w:fill="FFFFFF"/>
        </w:rPr>
        <w:t>Badghish</w:t>
      </w:r>
      <w:proofErr w:type="spellEnd"/>
      <w:r w:rsidRPr="00BE5127">
        <w:rPr>
          <w:rFonts w:asciiTheme="majorBidi" w:hAnsiTheme="majorBidi" w:cstheme="majorBidi"/>
          <w:color w:val="222222"/>
          <w:sz w:val="28"/>
          <w:szCs w:val="28"/>
          <w:shd w:val="clear" w:color="auto" w:fill="FFFFFF"/>
        </w:rPr>
        <w:t xml:space="preserve">, S., &amp; Soomro, Y. A. (2024). Artificial intelligence adoption by SMEs to achieve sustainable business performance: application of technology–organization–environment framework. </w:t>
      </w:r>
      <w:r w:rsidRPr="00BE5127">
        <w:rPr>
          <w:rFonts w:asciiTheme="majorBidi" w:hAnsiTheme="majorBidi" w:cstheme="majorBidi"/>
          <w:i/>
          <w:iCs/>
          <w:color w:val="222222"/>
          <w:sz w:val="28"/>
          <w:szCs w:val="28"/>
          <w:shd w:val="clear" w:color="auto" w:fill="FFFFFF"/>
        </w:rPr>
        <w:t>Sustainability</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16</w:t>
      </w:r>
      <w:r w:rsidRPr="00BE5127">
        <w:rPr>
          <w:rFonts w:asciiTheme="majorBidi" w:hAnsiTheme="majorBidi" w:cstheme="majorBidi"/>
          <w:color w:val="222222"/>
          <w:sz w:val="28"/>
          <w:szCs w:val="28"/>
          <w:shd w:val="clear" w:color="auto" w:fill="FFFFFF"/>
        </w:rPr>
        <w:t>(5), 1864.</w:t>
      </w:r>
      <w:r w:rsidRPr="00BE5127">
        <w:rPr>
          <w:rFonts w:asciiTheme="majorBidi" w:hAnsiTheme="majorBidi" w:cstheme="majorBidi"/>
          <w:color w:val="222222"/>
          <w:sz w:val="28"/>
          <w:szCs w:val="28"/>
          <w:shd w:val="clear" w:color="auto" w:fill="FFFFFF"/>
          <w:rtl/>
        </w:rPr>
        <w:t>‏</w:t>
      </w:r>
      <w:r w:rsidRPr="00BE5127">
        <w:rPr>
          <w:rFonts w:asciiTheme="majorBidi" w:hAnsiTheme="majorBidi" w:cstheme="majorBidi"/>
          <w:color w:val="222222"/>
          <w:sz w:val="28"/>
          <w:szCs w:val="28"/>
          <w:shd w:val="clear" w:color="auto" w:fill="FFFFFF"/>
        </w:rPr>
        <w:t xml:space="preserve"> 1-24</w:t>
      </w:r>
    </w:p>
    <w:p w14:paraId="6632B530"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 xml:space="preserve">Basir, A., </w:t>
      </w:r>
      <w:proofErr w:type="spellStart"/>
      <w:r w:rsidRPr="00BE5127">
        <w:rPr>
          <w:rFonts w:asciiTheme="majorBidi" w:hAnsiTheme="majorBidi" w:cstheme="majorBidi"/>
          <w:color w:val="222222"/>
          <w:sz w:val="28"/>
          <w:szCs w:val="28"/>
          <w:shd w:val="clear" w:color="auto" w:fill="FFFFFF"/>
        </w:rPr>
        <w:t>Puspitasari</w:t>
      </w:r>
      <w:proofErr w:type="spellEnd"/>
      <w:r w:rsidRPr="00BE5127">
        <w:rPr>
          <w:rFonts w:asciiTheme="majorBidi" w:hAnsiTheme="majorBidi" w:cstheme="majorBidi"/>
          <w:color w:val="222222"/>
          <w:sz w:val="28"/>
          <w:szCs w:val="28"/>
          <w:shd w:val="clear" w:color="auto" w:fill="FFFFFF"/>
        </w:rPr>
        <w:t xml:space="preserve">, E. D., </w:t>
      </w:r>
      <w:proofErr w:type="spellStart"/>
      <w:r w:rsidRPr="00BE5127">
        <w:rPr>
          <w:rFonts w:asciiTheme="majorBidi" w:hAnsiTheme="majorBidi" w:cstheme="majorBidi"/>
          <w:color w:val="222222"/>
          <w:sz w:val="28"/>
          <w:szCs w:val="28"/>
          <w:shd w:val="clear" w:color="auto" w:fill="FFFFFF"/>
        </w:rPr>
        <w:t>Aristarini</w:t>
      </w:r>
      <w:proofErr w:type="spellEnd"/>
      <w:r w:rsidRPr="00BE5127">
        <w:rPr>
          <w:rFonts w:asciiTheme="majorBidi" w:hAnsiTheme="majorBidi" w:cstheme="majorBidi"/>
          <w:color w:val="222222"/>
          <w:sz w:val="28"/>
          <w:szCs w:val="28"/>
          <w:shd w:val="clear" w:color="auto" w:fill="FFFFFF"/>
        </w:rPr>
        <w:t xml:space="preserve">, C. C., Sulastri, P. D., &amp; </w:t>
      </w:r>
      <w:proofErr w:type="spellStart"/>
      <w:r w:rsidRPr="00BE5127">
        <w:rPr>
          <w:rFonts w:asciiTheme="majorBidi" w:hAnsiTheme="majorBidi" w:cstheme="majorBidi"/>
          <w:color w:val="222222"/>
          <w:sz w:val="28"/>
          <w:szCs w:val="28"/>
          <w:shd w:val="clear" w:color="auto" w:fill="FFFFFF"/>
        </w:rPr>
        <w:t>Ausat</w:t>
      </w:r>
      <w:proofErr w:type="spellEnd"/>
      <w:r w:rsidRPr="00BE5127">
        <w:rPr>
          <w:rFonts w:asciiTheme="majorBidi" w:hAnsiTheme="majorBidi" w:cstheme="majorBidi"/>
          <w:color w:val="222222"/>
          <w:sz w:val="28"/>
          <w:szCs w:val="28"/>
          <w:shd w:val="clear" w:color="auto" w:fill="FFFFFF"/>
        </w:rPr>
        <w:t>, A. M. A. (2023). Ethical use of ChatGPT in the context of leadership and strategic decisions. </w:t>
      </w:r>
      <w:proofErr w:type="spellStart"/>
      <w:r w:rsidRPr="00BE5127">
        <w:rPr>
          <w:rFonts w:asciiTheme="majorBidi" w:hAnsiTheme="majorBidi" w:cstheme="majorBidi"/>
          <w:i/>
          <w:iCs/>
          <w:color w:val="222222"/>
          <w:sz w:val="28"/>
          <w:szCs w:val="28"/>
          <w:shd w:val="clear" w:color="auto" w:fill="FFFFFF"/>
        </w:rPr>
        <w:t>Jurnal</w:t>
      </w:r>
      <w:proofErr w:type="spellEnd"/>
      <w:r w:rsidRPr="00BE5127">
        <w:rPr>
          <w:rFonts w:asciiTheme="majorBidi" w:hAnsiTheme="majorBidi" w:cstheme="majorBidi"/>
          <w:i/>
          <w:iCs/>
          <w:color w:val="222222"/>
          <w:sz w:val="28"/>
          <w:szCs w:val="28"/>
          <w:shd w:val="clear" w:color="auto" w:fill="FFFFFF"/>
        </w:rPr>
        <w:t xml:space="preserve"> </w:t>
      </w:r>
      <w:proofErr w:type="spellStart"/>
      <w:r w:rsidRPr="00BE5127">
        <w:rPr>
          <w:rFonts w:asciiTheme="majorBidi" w:hAnsiTheme="majorBidi" w:cstheme="majorBidi"/>
          <w:i/>
          <w:iCs/>
          <w:color w:val="222222"/>
          <w:sz w:val="28"/>
          <w:szCs w:val="28"/>
          <w:shd w:val="clear" w:color="auto" w:fill="FFFFFF"/>
        </w:rPr>
        <w:t>Minfo</w:t>
      </w:r>
      <w:proofErr w:type="spellEnd"/>
      <w:r w:rsidRPr="00BE5127">
        <w:rPr>
          <w:rFonts w:asciiTheme="majorBidi" w:hAnsiTheme="majorBidi" w:cstheme="majorBidi"/>
          <w:i/>
          <w:iCs/>
          <w:color w:val="222222"/>
          <w:sz w:val="28"/>
          <w:szCs w:val="28"/>
          <w:shd w:val="clear" w:color="auto" w:fill="FFFFFF"/>
        </w:rPr>
        <w:t xml:space="preserve"> </w:t>
      </w:r>
      <w:proofErr w:type="spellStart"/>
      <w:r w:rsidRPr="00BE5127">
        <w:rPr>
          <w:rFonts w:asciiTheme="majorBidi" w:hAnsiTheme="majorBidi" w:cstheme="majorBidi"/>
          <w:i/>
          <w:iCs/>
          <w:color w:val="222222"/>
          <w:sz w:val="28"/>
          <w:szCs w:val="28"/>
          <w:shd w:val="clear" w:color="auto" w:fill="FFFFFF"/>
        </w:rPr>
        <w:t>Polgan</w:t>
      </w:r>
      <w:proofErr w:type="spellEnd"/>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12</w:t>
      </w:r>
      <w:r w:rsidRPr="00BE5127">
        <w:rPr>
          <w:rFonts w:asciiTheme="majorBidi" w:hAnsiTheme="majorBidi" w:cstheme="majorBidi"/>
          <w:color w:val="222222"/>
          <w:sz w:val="28"/>
          <w:szCs w:val="28"/>
          <w:shd w:val="clear" w:color="auto" w:fill="FFFFFF"/>
        </w:rPr>
        <w:t>(1), 1239-1246.</w:t>
      </w:r>
      <w:r w:rsidRPr="00BE5127">
        <w:rPr>
          <w:rFonts w:asciiTheme="majorBidi" w:hAnsiTheme="majorBidi" w:cstheme="majorBidi"/>
          <w:color w:val="222222"/>
          <w:sz w:val="28"/>
          <w:szCs w:val="28"/>
          <w:shd w:val="clear" w:color="auto" w:fill="FFFFFF"/>
          <w:rtl/>
        </w:rPr>
        <w:t>‏</w:t>
      </w:r>
    </w:p>
    <w:p w14:paraId="425DD545"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Basu, R., Lim, W. M., Kumar, A., &amp; Kumar, S. (2023). Marketing analytics: The bridge between customer psychology and marketing decision‐making. </w:t>
      </w:r>
      <w:r w:rsidRPr="00BE5127">
        <w:rPr>
          <w:rFonts w:asciiTheme="majorBidi" w:hAnsiTheme="majorBidi" w:cstheme="majorBidi"/>
          <w:i/>
          <w:iCs/>
          <w:color w:val="222222"/>
          <w:sz w:val="28"/>
          <w:szCs w:val="28"/>
          <w:shd w:val="clear" w:color="auto" w:fill="FFFFFF"/>
        </w:rPr>
        <w:t>Psychology &amp; Marketing</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40</w:t>
      </w:r>
      <w:r w:rsidRPr="00BE5127">
        <w:rPr>
          <w:rFonts w:asciiTheme="majorBidi" w:hAnsiTheme="majorBidi" w:cstheme="majorBidi"/>
          <w:color w:val="222222"/>
          <w:sz w:val="28"/>
          <w:szCs w:val="28"/>
          <w:shd w:val="clear" w:color="auto" w:fill="FFFFFF"/>
        </w:rPr>
        <w:t>(12), 2588-2611.</w:t>
      </w:r>
      <w:r w:rsidRPr="00BE5127">
        <w:rPr>
          <w:rFonts w:asciiTheme="majorBidi" w:hAnsiTheme="majorBidi" w:cstheme="majorBidi"/>
          <w:color w:val="222222"/>
          <w:sz w:val="28"/>
          <w:szCs w:val="28"/>
          <w:shd w:val="clear" w:color="auto" w:fill="FFFFFF"/>
          <w:rtl/>
        </w:rPr>
        <w:t>‏</w:t>
      </w:r>
    </w:p>
    <w:p w14:paraId="24CB81F3"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BE5127">
        <w:rPr>
          <w:rFonts w:asciiTheme="majorBidi" w:hAnsiTheme="majorBidi" w:cstheme="majorBidi"/>
          <w:color w:val="222222"/>
          <w:sz w:val="28"/>
          <w:szCs w:val="28"/>
          <w:shd w:val="clear" w:color="auto" w:fill="FFFFFF"/>
        </w:rPr>
        <w:t>Binsaeed</w:t>
      </w:r>
      <w:proofErr w:type="spellEnd"/>
      <w:r w:rsidRPr="00BE5127">
        <w:rPr>
          <w:rFonts w:asciiTheme="majorBidi" w:hAnsiTheme="majorBidi" w:cstheme="majorBidi"/>
          <w:color w:val="222222"/>
          <w:sz w:val="28"/>
          <w:szCs w:val="28"/>
          <w:shd w:val="clear" w:color="auto" w:fill="FFFFFF"/>
        </w:rPr>
        <w:t xml:space="preserve">, R. H., Yousaf, Z., Grigorescu, A., Samoila, A., Chitescu, R. I., &amp; </w:t>
      </w:r>
      <w:proofErr w:type="spellStart"/>
      <w:r w:rsidRPr="00BE5127">
        <w:rPr>
          <w:rFonts w:asciiTheme="majorBidi" w:hAnsiTheme="majorBidi" w:cstheme="majorBidi"/>
          <w:color w:val="222222"/>
          <w:sz w:val="28"/>
          <w:szCs w:val="28"/>
          <w:shd w:val="clear" w:color="auto" w:fill="FFFFFF"/>
        </w:rPr>
        <w:t>Nassani</w:t>
      </w:r>
      <w:proofErr w:type="spellEnd"/>
      <w:r w:rsidRPr="00BE5127">
        <w:rPr>
          <w:rFonts w:asciiTheme="majorBidi" w:hAnsiTheme="majorBidi" w:cstheme="majorBidi"/>
          <w:color w:val="222222"/>
          <w:sz w:val="28"/>
          <w:szCs w:val="28"/>
          <w:shd w:val="clear" w:color="auto" w:fill="FFFFFF"/>
        </w:rPr>
        <w:t xml:space="preserve">, A. A. (2023). Knowledge sharing </w:t>
      </w:r>
      <w:proofErr w:type="gramStart"/>
      <w:r w:rsidRPr="00BE5127">
        <w:rPr>
          <w:rFonts w:asciiTheme="majorBidi" w:hAnsiTheme="majorBidi" w:cstheme="majorBidi"/>
          <w:color w:val="222222"/>
          <w:sz w:val="28"/>
          <w:szCs w:val="28"/>
          <w:shd w:val="clear" w:color="auto" w:fill="FFFFFF"/>
        </w:rPr>
        <w:t>key</w:t>
      </w:r>
      <w:proofErr w:type="gramEnd"/>
      <w:r w:rsidRPr="00BE5127">
        <w:rPr>
          <w:rFonts w:asciiTheme="majorBidi" w:hAnsiTheme="majorBidi" w:cstheme="majorBidi"/>
          <w:color w:val="222222"/>
          <w:sz w:val="28"/>
          <w:szCs w:val="28"/>
          <w:shd w:val="clear" w:color="auto" w:fill="FFFFFF"/>
        </w:rPr>
        <w:t xml:space="preserve"> </w:t>
      </w:r>
      <w:proofErr w:type="gramStart"/>
      <w:r w:rsidRPr="00BE5127">
        <w:rPr>
          <w:rFonts w:asciiTheme="majorBidi" w:hAnsiTheme="majorBidi" w:cstheme="majorBidi"/>
          <w:color w:val="222222"/>
          <w:sz w:val="28"/>
          <w:szCs w:val="28"/>
          <w:shd w:val="clear" w:color="auto" w:fill="FFFFFF"/>
        </w:rPr>
        <w:t>issue</w:t>
      </w:r>
      <w:proofErr w:type="gramEnd"/>
      <w:r w:rsidRPr="00BE5127">
        <w:rPr>
          <w:rFonts w:asciiTheme="majorBidi" w:hAnsiTheme="majorBidi" w:cstheme="majorBidi"/>
          <w:color w:val="222222"/>
          <w:sz w:val="28"/>
          <w:szCs w:val="28"/>
          <w:shd w:val="clear" w:color="auto" w:fill="FFFFFF"/>
        </w:rPr>
        <w:t xml:space="preserve"> for </w:t>
      </w:r>
      <w:r w:rsidRPr="00BE5127">
        <w:rPr>
          <w:rFonts w:asciiTheme="majorBidi" w:hAnsiTheme="majorBidi" w:cstheme="majorBidi"/>
          <w:color w:val="222222"/>
          <w:sz w:val="28"/>
          <w:szCs w:val="28"/>
          <w:shd w:val="clear" w:color="auto" w:fill="FFFFFF"/>
        </w:rPr>
        <w:lastRenderedPageBreak/>
        <w:t>digital technology and artificial intelligence adoption. </w:t>
      </w:r>
      <w:r w:rsidRPr="00BE5127">
        <w:rPr>
          <w:rFonts w:asciiTheme="majorBidi" w:hAnsiTheme="majorBidi" w:cstheme="majorBidi"/>
          <w:i/>
          <w:iCs/>
          <w:color w:val="222222"/>
          <w:sz w:val="28"/>
          <w:szCs w:val="28"/>
          <w:shd w:val="clear" w:color="auto" w:fill="FFFFFF"/>
        </w:rPr>
        <w:t>Systems</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11</w:t>
      </w:r>
      <w:r w:rsidRPr="00BE5127">
        <w:rPr>
          <w:rFonts w:asciiTheme="majorBidi" w:hAnsiTheme="majorBidi" w:cstheme="majorBidi"/>
          <w:color w:val="222222"/>
          <w:sz w:val="28"/>
          <w:szCs w:val="28"/>
          <w:shd w:val="clear" w:color="auto" w:fill="FFFFFF"/>
        </w:rPr>
        <w:t>(7), 316.</w:t>
      </w:r>
      <w:r w:rsidRPr="00BE5127">
        <w:rPr>
          <w:rFonts w:asciiTheme="majorBidi" w:hAnsiTheme="majorBidi" w:cstheme="majorBidi"/>
          <w:color w:val="222222"/>
          <w:sz w:val="28"/>
          <w:szCs w:val="28"/>
          <w:shd w:val="clear" w:color="auto" w:fill="FFFFFF"/>
          <w:rtl/>
        </w:rPr>
        <w:t>‏</w:t>
      </w:r>
      <w:r w:rsidRPr="00BE5127">
        <w:rPr>
          <w:rFonts w:asciiTheme="majorBidi" w:hAnsiTheme="majorBidi" w:cstheme="majorBidi"/>
          <w:color w:val="222222"/>
          <w:sz w:val="28"/>
          <w:szCs w:val="28"/>
          <w:shd w:val="clear" w:color="auto" w:fill="FFFFFF"/>
        </w:rPr>
        <w:t xml:space="preserve"> 1-16</w:t>
      </w:r>
    </w:p>
    <w:p w14:paraId="2E44FE80"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Biswas, T. R., Hossain, M. Z., &amp; Comite, U. (2024). Role of management information systems in enhancing decision-making in large-scale organizations. </w:t>
      </w:r>
      <w:r w:rsidRPr="00BE5127">
        <w:rPr>
          <w:rFonts w:asciiTheme="majorBidi" w:hAnsiTheme="majorBidi" w:cstheme="majorBidi"/>
          <w:i/>
          <w:iCs/>
          <w:color w:val="222222"/>
          <w:sz w:val="28"/>
          <w:szCs w:val="28"/>
          <w:shd w:val="clear" w:color="auto" w:fill="FFFFFF"/>
        </w:rPr>
        <w:t>Pacific Journal of Business Innovation and Strategy</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w:t>
      </w:r>
      <w:r w:rsidRPr="00BE5127">
        <w:rPr>
          <w:rFonts w:asciiTheme="majorBidi" w:hAnsiTheme="majorBidi" w:cstheme="majorBidi"/>
          <w:color w:val="222222"/>
          <w:sz w:val="28"/>
          <w:szCs w:val="28"/>
          <w:shd w:val="clear" w:color="auto" w:fill="FFFFFF"/>
        </w:rPr>
        <w:t>(1), 5-18.</w:t>
      </w:r>
      <w:r w:rsidRPr="00BE5127">
        <w:rPr>
          <w:rFonts w:asciiTheme="majorBidi" w:hAnsiTheme="majorBidi" w:cstheme="majorBidi"/>
          <w:color w:val="222222"/>
          <w:sz w:val="28"/>
          <w:szCs w:val="28"/>
          <w:shd w:val="clear" w:color="auto" w:fill="FFFFFF"/>
          <w:rtl/>
        </w:rPr>
        <w:t>‏</w:t>
      </w:r>
    </w:p>
    <w:p w14:paraId="27E44952"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 xml:space="preserve">Brundin, E., &amp; </w:t>
      </w:r>
      <w:proofErr w:type="spellStart"/>
      <w:r w:rsidRPr="00BE5127">
        <w:rPr>
          <w:rFonts w:asciiTheme="majorBidi" w:hAnsiTheme="majorBidi" w:cstheme="majorBidi"/>
          <w:color w:val="222222"/>
          <w:sz w:val="28"/>
          <w:szCs w:val="28"/>
          <w:shd w:val="clear" w:color="auto" w:fill="FFFFFF"/>
        </w:rPr>
        <w:t>Languilaire</w:t>
      </w:r>
      <w:proofErr w:type="spellEnd"/>
      <w:r w:rsidRPr="00BE5127">
        <w:rPr>
          <w:rFonts w:asciiTheme="majorBidi" w:hAnsiTheme="majorBidi" w:cstheme="majorBidi"/>
          <w:color w:val="222222"/>
          <w:sz w:val="28"/>
          <w:szCs w:val="28"/>
          <w:shd w:val="clear" w:color="auto" w:fill="FFFFFF"/>
        </w:rPr>
        <w:t>, J. C. (2023). When the display of emotion is not enough: An emotion boundary management perspective on the quality of strategic decisions. </w:t>
      </w:r>
      <w:r w:rsidRPr="00BE5127">
        <w:rPr>
          <w:rFonts w:asciiTheme="majorBidi" w:hAnsiTheme="majorBidi" w:cstheme="majorBidi"/>
          <w:i/>
          <w:iCs/>
          <w:color w:val="222222"/>
          <w:sz w:val="28"/>
          <w:szCs w:val="28"/>
          <w:shd w:val="clear" w:color="auto" w:fill="FFFFFF"/>
        </w:rPr>
        <w:t>Long Range Planning</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56</w:t>
      </w:r>
      <w:r w:rsidRPr="00BE5127">
        <w:rPr>
          <w:rFonts w:asciiTheme="majorBidi" w:hAnsiTheme="majorBidi" w:cstheme="majorBidi"/>
          <w:color w:val="222222"/>
          <w:sz w:val="28"/>
          <w:szCs w:val="28"/>
          <w:shd w:val="clear" w:color="auto" w:fill="FFFFFF"/>
        </w:rPr>
        <w:t>(5), 102245.</w:t>
      </w:r>
      <w:r w:rsidRPr="00BE5127">
        <w:rPr>
          <w:rFonts w:asciiTheme="majorBidi" w:hAnsiTheme="majorBidi" w:cstheme="majorBidi"/>
          <w:color w:val="222222"/>
          <w:sz w:val="28"/>
          <w:szCs w:val="28"/>
          <w:shd w:val="clear" w:color="auto" w:fill="FFFFFF"/>
          <w:rtl/>
        </w:rPr>
        <w:t>‏</w:t>
      </w:r>
    </w:p>
    <w:p w14:paraId="7BDD99F0"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Camuffo, A., Gambardella, A., &amp; Pignataro, A. (2023). Framing strategic decisions in the digital world. </w:t>
      </w:r>
      <w:r w:rsidRPr="00BE5127">
        <w:rPr>
          <w:rFonts w:asciiTheme="majorBidi" w:hAnsiTheme="majorBidi" w:cstheme="majorBidi"/>
          <w:i/>
          <w:iCs/>
          <w:color w:val="222222"/>
          <w:sz w:val="28"/>
          <w:szCs w:val="28"/>
          <w:shd w:val="clear" w:color="auto" w:fill="FFFFFF"/>
        </w:rPr>
        <w:t>Strategic Management Review</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4</w:t>
      </w:r>
      <w:r w:rsidRPr="00BE5127">
        <w:rPr>
          <w:rFonts w:asciiTheme="majorBidi" w:hAnsiTheme="majorBidi" w:cstheme="majorBidi"/>
          <w:color w:val="222222"/>
          <w:sz w:val="28"/>
          <w:szCs w:val="28"/>
          <w:shd w:val="clear" w:color="auto" w:fill="FFFFFF"/>
        </w:rPr>
        <w:t>(2), 127-160.</w:t>
      </w:r>
      <w:r w:rsidRPr="00BE5127">
        <w:rPr>
          <w:rFonts w:asciiTheme="majorBidi" w:hAnsiTheme="majorBidi" w:cstheme="majorBidi"/>
          <w:color w:val="222222"/>
          <w:sz w:val="28"/>
          <w:szCs w:val="28"/>
          <w:shd w:val="clear" w:color="auto" w:fill="FFFFFF"/>
          <w:rtl/>
        </w:rPr>
        <w:t>‏</w:t>
      </w:r>
    </w:p>
    <w:p w14:paraId="7F679381"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Csaszar, F. A., Ketkar, H., &amp; Kim, H. (2024). Artificial intelligence and strategic decision-making: Evidence from entrepreneurs and investors. </w:t>
      </w:r>
      <w:r w:rsidRPr="00BE5127">
        <w:rPr>
          <w:rFonts w:asciiTheme="majorBidi" w:hAnsiTheme="majorBidi" w:cstheme="majorBidi"/>
          <w:i/>
          <w:iCs/>
          <w:color w:val="222222"/>
          <w:sz w:val="28"/>
          <w:szCs w:val="28"/>
          <w:shd w:val="clear" w:color="auto" w:fill="FFFFFF"/>
        </w:rPr>
        <w:t>Strategy Science</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9</w:t>
      </w:r>
      <w:r w:rsidRPr="00BE5127">
        <w:rPr>
          <w:rFonts w:asciiTheme="majorBidi" w:hAnsiTheme="majorBidi" w:cstheme="majorBidi"/>
          <w:color w:val="222222"/>
          <w:sz w:val="28"/>
          <w:szCs w:val="28"/>
          <w:shd w:val="clear" w:color="auto" w:fill="FFFFFF"/>
        </w:rPr>
        <w:t>(4), 322-345.</w:t>
      </w:r>
      <w:r w:rsidRPr="00BE5127">
        <w:rPr>
          <w:rFonts w:asciiTheme="majorBidi" w:hAnsiTheme="majorBidi" w:cstheme="majorBidi"/>
          <w:color w:val="222222"/>
          <w:sz w:val="28"/>
          <w:szCs w:val="28"/>
          <w:shd w:val="clear" w:color="auto" w:fill="FFFFFF"/>
          <w:rtl/>
        </w:rPr>
        <w:t>‏</w:t>
      </w:r>
    </w:p>
    <w:p w14:paraId="4392BDDD"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Doshi, A. R., Bell, J. J., Mirzayev, E., &amp; Vanneste, B. S. (2025). Generative artificial intelligence and evaluating strategic decisions. </w:t>
      </w:r>
      <w:r w:rsidRPr="00BE5127">
        <w:rPr>
          <w:rFonts w:asciiTheme="majorBidi" w:hAnsiTheme="majorBidi" w:cstheme="majorBidi"/>
          <w:i/>
          <w:iCs/>
          <w:color w:val="222222"/>
          <w:sz w:val="28"/>
          <w:szCs w:val="28"/>
          <w:shd w:val="clear" w:color="auto" w:fill="FFFFFF"/>
        </w:rPr>
        <w:t>Strategic Management Journal</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46</w:t>
      </w:r>
      <w:r w:rsidRPr="00BE5127">
        <w:rPr>
          <w:rFonts w:asciiTheme="majorBidi" w:hAnsiTheme="majorBidi" w:cstheme="majorBidi"/>
          <w:color w:val="222222"/>
          <w:sz w:val="28"/>
          <w:szCs w:val="28"/>
          <w:shd w:val="clear" w:color="auto" w:fill="FFFFFF"/>
        </w:rPr>
        <w:t>(3), 583-610.</w:t>
      </w:r>
      <w:r w:rsidRPr="00BE5127">
        <w:rPr>
          <w:rFonts w:asciiTheme="majorBidi" w:hAnsiTheme="majorBidi" w:cstheme="majorBidi"/>
          <w:color w:val="222222"/>
          <w:sz w:val="28"/>
          <w:szCs w:val="28"/>
          <w:shd w:val="clear" w:color="auto" w:fill="FFFFFF"/>
          <w:rtl/>
        </w:rPr>
        <w:t>‏</w:t>
      </w:r>
    </w:p>
    <w:p w14:paraId="6F8AA6D1"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Eberhard, K. (2023). The effects of visualization on judgment and decision-making: a systematic literature review. </w:t>
      </w:r>
      <w:r w:rsidRPr="00BE5127">
        <w:rPr>
          <w:rFonts w:asciiTheme="majorBidi" w:hAnsiTheme="majorBidi" w:cstheme="majorBidi"/>
          <w:i/>
          <w:iCs/>
          <w:color w:val="222222"/>
          <w:sz w:val="28"/>
          <w:szCs w:val="28"/>
          <w:shd w:val="clear" w:color="auto" w:fill="FFFFFF"/>
        </w:rPr>
        <w:t>Management Review Quarterly</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73</w:t>
      </w:r>
      <w:r w:rsidRPr="00BE5127">
        <w:rPr>
          <w:rFonts w:asciiTheme="majorBidi" w:hAnsiTheme="majorBidi" w:cstheme="majorBidi"/>
          <w:color w:val="222222"/>
          <w:sz w:val="28"/>
          <w:szCs w:val="28"/>
          <w:shd w:val="clear" w:color="auto" w:fill="FFFFFF"/>
        </w:rPr>
        <w:t>(1), 167-214.</w:t>
      </w:r>
      <w:r w:rsidRPr="00BE5127">
        <w:rPr>
          <w:rFonts w:asciiTheme="majorBidi" w:hAnsiTheme="majorBidi" w:cstheme="majorBidi"/>
          <w:color w:val="222222"/>
          <w:sz w:val="28"/>
          <w:szCs w:val="28"/>
          <w:shd w:val="clear" w:color="auto" w:fill="FFFFFF"/>
          <w:rtl/>
        </w:rPr>
        <w:t>‏</w:t>
      </w:r>
    </w:p>
    <w:p w14:paraId="352E9078"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lastRenderedPageBreak/>
        <w:t>Eberhard, K. (2023). The effects of visualization on judgment and decision-making: a systematic literature review. </w:t>
      </w:r>
      <w:r w:rsidRPr="00BE5127">
        <w:rPr>
          <w:rFonts w:asciiTheme="majorBidi" w:hAnsiTheme="majorBidi" w:cstheme="majorBidi"/>
          <w:i/>
          <w:iCs/>
          <w:color w:val="222222"/>
          <w:sz w:val="28"/>
          <w:szCs w:val="28"/>
          <w:shd w:val="clear" w:color="auto" w:fill="FFFFFF"/>
        </w:rPr>
        <w:t>Management Review Quarterly</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73</w:t>
      </w:r>
      <w:r w:rsidRPr="00BE5127">
        <w:rPr>
          <w:rFonts w:asciiTheme="majorBidi" w:hAnsiTheme="majorBidi" w:cstheme="majorBidi"/>
          <w:color w:val="222222"/>
          <w:sz w:val="28"/>
          <w:szCs w:val="28"/>
          <w:shd w:val="clear" w:color="auto" w:fill="FFFFFF"/>
        </w:rPr>
        <w:t>(1), 167-214.</w:t>
      </w:r>
      <w:r w:rsidRPr="00BE5127">
        <w:rPr>
          <w:rFonts w:asciiTheme="majorBidi" w:hAnsiTheme="majorBidi" w:cstheme="majorBidi"/>
          <w:color w:val="222222"/>
          <w:sz w:val="28"/>
          <w:szCs w:val="28"/>
          <w:shd w:val="clear" w:color="auto" w:fill="FFFFFF"/>
          <w:rtl/>
        </w:rPr>
        <w:t>‏</w:t>
      </w:r>
    </w:p>
    <w:p w14:paraId="56691ED7"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Eberhard, K., &amp; Wulf, T. (2025). Information visualization and strategic problem comprehension as drivers of strategic decisions. </w:t>
      </w:r>
      <w:r w:rsidRPr="00BE5127">
        <w:rPr>
          <w:rFonts w:asciiTheme="majorBidi" w:hAnsiTheme="majorBidi" w:cstheme="majorBidi"/>
          <w:i/>
          <w:iCs/>
          <w:color w:val="222222"/>
          <w:sz w:val="28"/>
          <w:szCs w:val="28"/>
          <w:shd w:val="clear" w:color="auto" w:fill="FFFFFF"/>
        </w:rPr>
        <w:t>European Management Journal</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43</w:t>
      </w:r>
      <w:r w:rsidRPr="00BE5127">
        <w:rPr>
          <w:rFonts w:asciiTheme="majorBidi" w:hAnsiTheme="majorBidi" w:cstheme="majorBidi"/>
          <w:color w:val="222222"/>
          <w:sz w:val="28"/>
          <w:szCs w:val="28"/>
          <w:shd w:val="clear" w:color="auto" w:fill="FFFFFF"/>
        </w:rPr>
        <w:t>(1), 130-141.</w:t>
      </w:r>
      <w:r w:rsidRPr="00BE5127">
        <w:rPr>
          <w:rFonts w:asciiTheme="majorBidi" w:hAnsiTheme="majorBidi" w:cstheme="majorBidi"/>
          <w:color w:val="222222"/>
          <w:sz w:val="28"/>
          <w:szCs w:val="28"/>
          <w:shd w:val="clear" w:color="auto" w:fill="FFFFFF"/>
          <w:rtl/>
        </w:rPr>
        <w:t>‏</w:t>
      </w:r>
    </w:p>
    <w:p w14:paraId="19D0F061"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r w:rsidRPr="00BE5127">
        <w:rPr>
          <w:rFonts w:asciiTheme="majorBidi" w:hAnsiTheme="majorBidi" w:cstheme="majorBidi"/>
          <w:color w:val="222222"/>
          <w:sz w:val="28"/>
          <w:szCs w:val="28"/>
          <w:shd w:val="clear" w:color="auto" w:fill="FFFFFF"/>
        </w:rPr>
        <w:t xml:space="preserve">Felemban, H., Sohail, M., &amp; </w:t>
      </w:r>
      <w:proofErr w:type="spellStart"/>
      <w:r w:rsidRPr="00BE5127">
        <w:rPr>
          <w:rFonts w:asciiTheme="majorBidi" w:hAnsiTheme="majorBidi" w:cstheme="majorBidi"/>
          <w:color w:val="222222"/>
          <w:sz w:val="28"/>
          <w:szCs w:val="28"/>
          <w:shd w:val="clear" w:color="auto" w:fill="FFFFFF"/>
        </w:rPr>
        <w:t>Ruikar</w:t>
      </w:r>
      <w:proofErr w:type="spellEnd"/>
      <w:r w:rsidRPr="00BE5127">
        <w:rPr>
          <w:rFonts w:asciiTheme="majorBidi" w:hAnsiTheme="majorBidi" w:cstheme="majorBidi"/>
          <w:color w:val="222222"/>
          <w:sz w:val="28"/>
          <w:szCs w:val="28"/>
          <w:shd w:val="clear" w:color="auto" w:fill="FFFFFF"/>
        </w:rPr>
        <w:t xml:space="preserve">, K. (2024). Exploring the readiness of </w:t>
      </w:r>
      <w:proofErr w:type="spellStart"/>
      <w:r w:rsidRPr="00BE5127">
        <w:rPr>
          <w:rFonts w:asciiTheme="majorBidi" w:hAnsiTheme="majorBidi" w:cstheme="majorBidi"/>
          <w:color w:val="222222"/>
          <w:sz w:val="28"/>
          <w:szCs w:val="28"/>
          <w:shd w:val="clear" w:color="auto" w:fill="FFFFFF"/>
        </w:rPr>
        <w:t>organisations</w:t>
      </w:r>
      <w:proofErr w:type="spellEnd"/>
      <w:r w:rsidRPr="00BE5127">
        <w:rPr>
          <w:rFonts w:asciiTheme="majorBidi" w:hAnsiTheme="majorBidi" w:cstheme="majorBidi"/>
          <w:color w:val="222222"/>
          <w:sz w:val="28"/>
          <w:szCs w:val="28"/>
          <w:shd w:val="clear" w:color="auto" w:fill="FFFFFF"/>
        </w:rPr>
        <w:t xml:space="preserve"> to adopt artificial intelligence. </w:t>
      </w:r>
      <w:r w:rsidRPr="00BE5127">
        <w:rPr>
          <w:rFonts w:asciiTheme="majorBidi" w:hAnsiTheme="majorBidi" w:cstheme="majorBidi"/>
          <w:i/>
          <w:iCs/>
          <w:color w:val="222222"/>
          <w:sz w:val="28"/>
          <w:szCs w:val="28"/>
          <w:shd w:val="clear" w:color="auto" w:fill="FFFFFF"/>
        </w:rPr>
        <w:t>Buildings</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14</w:t>
      </w:r>
      <w:r w:rsidRPr="00BE5127">
        <w:rPr>
          <w:rFonts w:asciiTheme="majorBidi" w:hAnsiTheme="majorBidi" w:cstheme="majorBidi"/>
          <w:color w:val="222222"/>
          <w:sz w:val="28"/>
          <w:szCs w:val="28"/>
          <w:shd w:val="clear" w:color="auto" w:fill="FFFFFF"/>
        </w:rPr>
        <w:t>(8), 2460.</w:t>
      </w:r>
      <w:r w:rsidRPr="00BE5127">
        <w:rPr>
          <w:rFonts w:asciiTheme="majorBidi" w:hAnsiTheme="majorBidi" w:cstheme="majorBidi"/>
          <w:color w:val="222222"/>
          <w:sz w:val="28"/>
          <w:szCs w:val="28"/>
          <w:shd w:val="clear" w:color="auto" w:fill="FFFFFF"/>
          <w:rtl/>
        </w:rPr>
        <w:t>‏</w:t>
      </w:r>
      <w:r w:rsidRPr="00BE5127">
        <w:rPr>
          <w:rFonts w:asciiTheme="majorBidi" w:hAnsiTheme="majorBidi" w:cstheme="majorBidi"/>
          <w:color w:val="222222"/>
          <w:sz w:val="28"/>
          <w:szCs w:val="28"/>
          <w:shd w:val="clear" w:color="auto" w:fill="FFFFFF"/>
        </w:rPr>
        <w:t xml:space="preserve"> 1-21</w:t>
      </w:r>
    </w:p>
    <w:p w14:paraId="7FA27DA5"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r w:rsidRPr="00BE5127">
        <w:rPr>
          <w:rFonts w:asciiTheme="majorBidi" w:hAnsiTheme="majorBidi" w:cstheme="majorBidi"/>
          <w:color w:val="222222"/>
          <w:sz w:val="28"/>
          <w:szCs w:val="28"/>
          <w:shd w:val="clear" w:color="auto" w:fill="FFFFFF"/>
        </w:rPr>
        <w:t>Fernandez-Vidal, J., Perotti, F. A., Gonzalez, R., &amp; Gasco, J. (2022). Managing digital transformation: The view from the top. </w:t>
      </w:r>
      <w:r w:rsidRPr="00BE5127">
        <w:rPr>
          <w:rFonts w:asciiTheme="majorBidi" w:hAnsiTheme="majorBidi" w:cstheme="majorBidi"/>
          <w:i/>
          <w:iCs/>
          <w:color w:val="222222"/>
          <w:sz w:val="28"/>
          <w:szCs w:val="28"/>
          <w:shd w:val="clear" w:color="auto" w:fill="FFFFFF"/>
        </w:rPr>
        <w:t>Journal of Business Research</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152</w:t>
      </w:r>
      <w:r w:rsidRPr="00BE5127">
        <w:rPr>
          <w:rFonts w:asciiTheme="majorBidi" w:hAnsiTheme="majorBidi" w:cstheme="majorBidi"/>
          <w:color w:val="222222"/>
          <w:sz w:val="28"/>
          <w:szCs w:val="28"/>
          <w:shd w:val="clear" w:color="auto" w:fill="FFFFFF"/>
        </w:rPr>
        <w:t>, 29-41.</w:t>
      </w:r>
      <w:r w:rsidRPr="00BE5127">
        <w:rPr>
          <w:rFonts w:asciiTheme="majorBidi" w:hAnsiTheme="majorBidi" w:cstheme="majorBidi"/>
          <w:color w:val="222222"/>
          <w:sz w:val="28"/>
          <w:szCs w:val="28"/>
          <w:shd w:val="clear" w:color="auto" w:fill="FFFFFF"/>
          <w:rtl/>
        </w:rPr>
        <w:t>‏</w:t>
      </w:r>
    </w:p>
    <w:p w14:paraId="17BB1CED"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 xml:space="preserve">Ghonim, M. A., </w:t>
      </w:r>
      <w:proofErr w:type="spellStart"/>
      <w:r w:rsidRPr="00BE5127">
        <w:rPr>
          <w:rFonts w:asciiTheme="majorBidi" w:hAnsiTheme="majorBidi" w:cstheme="majorBidi"/>
          <w:color w:val="222222"/>
          <w:sz w:val="28"/>
          <w:szCs w:val="28"/>
          <w:shd w:val="clear" w:color="auto" w:fill="FFFFFF"/>
        </w:rPr>
        <w:t>Khashaba</w:t>
      </w:r>
      <w:proofErr w:type="spellEnd"/>
      <w:r w:rsidRPr="00BE5127">
        <w:rPr>
          <w:rFonts w:asciiTheme="majorBidi" w:hAnsiTheme="majorBidi" w:cstheme="majorBidi"/>
          <w:color w:val="222222"/>
          <w:sz w:val="28"/>
          <w:szCs w:val="28"/>
          <w:shd w:val="clear" w:color="auto" w:fill="FFFFFF"/>
        </w:rPr>
        <w:t>, N. M., Al-</w:t>
      </w:r>
      <w:proofErr w:type="spellStart"/>
      <w:r w:rsidRPr="00BE5127">
        <w:rPr>
          <w:rFonts w:asciiTheme="majorBidi" w:hAnsiTheme="majorBidi" w:cstheme="majorBidi"/>
          <w:color w:val="222222"/>
          <w:sz w:val="28"/>
          <w:szCs w:val="28"/>
          <w:shd w:val="clear" w:color="auto" w:fill="FFFFFF"/>
        </w:rPr>
        <w:t>Najaar</w:t>
      </w:r>
      <w:proofErr w:type="spellEnd"/>
      <w:r w:rsidRPr="00BE5127">
        <w:rPr>
          <w:rFonts w:asciiTheme="majorBidi" w:hAnsiTheme="majorBidi" w:cstheme="majorBidi"/>
          <w:color w:val="222222"/>
          <w:sz w:val="28"/>
          <w:szCs w:val="28"/>
          <w:shd w:val="clear" w:color="auto" w:fill="FFFFFF"/>
        </w:rPr>
        <w:t>, H. M., &amp; Khashan, M. A. (2022). Strategic alignment and its impact on decision effectiveness: a comprehensive model. </w:t>
      </w:r>
      <w:r w:rsidRPr="00BE5127">
        <w:rPr>
          <w:rFonts w:asciiTheme="majorBidi" w:hAnsiTheme="majorBidi" w:cstheme="majorBidi"/>
          <w:i/>
          <w:iCs/>
          <w:color w:val="222222"/>
          <w:sz w:val="28"/>
          <w:szCs w:val="28"/>
          <w:shd w:val="clear" w:color="auto" w:fill="FFFFFF"/>
        </w:rPr>
        <w:t>International Journal of Emerging Markets</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17</w:t>
      </w:r>
      <w:r w:rsidRPr="00BE5127">
        <w:rPr>
          <w:rFonts w:asciiTheme="majorBidi" w:hAnsiTheme="majorBidi" w:cstheme="majorBidi"/>
          <w:color w:val="222222"/>
          <w:sz w:val="28"/>
          <w:szCs w:val="28"/>
          <w:shd w:val="clear" w:color="auto" w:fill="FFFFFF"/>
        </w:rPr>
        <w:t>(1), 198-218.</w:t>
      </w:r>
      <w:r w:rsidRPr="00BE5127">
        <w:rPr>
          <w:rFonts w:asciiTheme="majorBidi" w:hAnsiTheme="majorBidi" w:cstheme="majorBidi"/>
          <w:color w:val="222222"/>
          <w:sz w:val="28"/>
          <w:szCs w:val="28"/>
          <w:shd w:val="clear" w:color="auto" w:fill="FFFFFF"/>
          <w:rtl/>
        </w:rPr>
        <w:t>‏</w:t>
      </w:r>
    </w:p>
    <w:p w14:paraId="00517EDA"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BE5127">
        <w:rPr>
          <w:rFonts w:asciiTheme="majorBidi" w:hAnsiTheme="majorBidi" w:cstheme="majorBidi"/>
          <w:color w:val="222222"/>
          <w:sz w:val="28"/>
          <w:szCs w:val="28"/>
          <w:shd w:val="clear" w:color="auto" w:fill="FFFFFF"/>
        </w:rPr>
        <w:t>Hendrawan</w:t>
      </w:r>
      <w:proofErr w:type="spellEnd"/>
      <w:r w:rsidRPr="00BE5127">
        <w:rPr>
          <w:rFonts w:asciiTheme="majorBidi" w:hAnsiTheme="majorBidi" w:cstheme="majorBidi"/>
          <w:color w:val="222222"/>
          <w:sz w:val="28"/>
          <w:szCs w:val="28"/>
          <w:shd w:val="clear" w:color="auto" w:fill="FFFFFF"/>
        </w:rPr>
        <w:t xml:space="preserve">, S. A., </w:t>
      </w:r>
      <w:proofErr w:type="spellStart"/>
      <w:r w:rsidRPr="00BE5127">
        <w:rPr>
          <w:rFonts w:asciiTheme="majorBidi" w:hAnsiTheme="majorBidi" w:cstheme="majorBidi"/>
          <w:color w:val="222222"/>
          <w:sz w:val="28"/>
          <w:szCs w:val="28"/>
          <w:shd w:val="clear" w:color="auto" w:fill="FFFFFF"/>
        </w:rPr>
        <w:t>Chatra</w:t>
      </w:r>
      <w:proofErr w:type="spellEnd"/>
      <w:r w:rsidRPr="00BE5127">
        <w:rPr>
          <w:rFonts w:asciiTheme="majorBidi" w:hAnsiTheme="majorBidi" w:cstheme="majorBidi"/>
          <w:color w:val="222222"/>
          <w:sz w:val="28"/>
          <w:szCs w:val="28"/>
          <w:shd w:val="clear" w:color="auto" w:fill="FFFFFF"/>
        </w:rPr>
        <w:t xml:space="preserve">, A., Iman, N., Hidayatullah, S., &amp; </w:t>
      </w:r>
      <w:proofErr w:type="spellStart"/>
      <w:r w:rsidRPr="00BE5127">
        <w:rPr>
          <w:rFonts w:asciiTheme="majorBidi" w:hAnsiTheme="majorBidi" w:cstheme="majorBidi"/>
          <w:color w:val="222222"/>
          <w:sz w:val="28"/>
          <w:szCs w:val="28"/>
          <w:shd w:val="clear" w:color="auto" w:fill="FFFFFF"/>
        </w:rPr>
        <w:t>Suprayitno</w:t>
      </w:r>
      <w:proofErr w:type="spellEnd"/>
      <w:r w:rsidRPr="00BE5127">
        <w:rPr>
          <w:rFonts w:asciiTheme="majorBidi" w:hAnsiTheme="majorBidi" w:cstheme="majorBidi"/>
          <w:color w:val="222222"/>
          <w:sz w:val="28"/>
          <w:szCs w:val="28"/>
          <w:shd w:val="clear" w:color="auto" w:fill="FFFFFF"/>
        </w:rPr>
        <w:t>, D. (2024). Digital transformation in MSMEs: Challenges and opportunities in technology management. </w:t>
      </w:r>
      <w:proofErr w:type="spellStart"/>
      <w:r w:rsidRPr="00BE5127">
        <w:rPr>
          <w:rFonts w:asciiTheme="majorBidi" w:hAnsiTheme="majorBidi" w:cstheme="majorBidi"/>
          <w:i/>
          <w:iCs/>
          <w:color w:val="222222"/>
          <w:sz w:val="28"/>
          <w:szCs w:val="28"/>
          <w:shd w:val="clear" w:color="auto" w:fill="FFFFFF"/>
        </w:rPr>
        <w:t>Jurnal</w:t>
      </w:r>
      <w:proofErr w:type="spellEnd"/>
      <w:r w:rsidRPr="00BE5127">
        <w:rPr>
          <w:rFonts w:asciiTheme="majorBidi" w:hAnsiTheme="majorBidi" w:cstheme="majorBidi"/>
          <w:i/>
          <w:iCs/>
          <w:color w:val="222222"/>
          <w:sz w:val="28"/>
          <w:szCs w:val="28"/>
          <w:shd w:val="clear" w:color="auto" w:fill="FFFFFF"/>
        </w:rPr>
        <w:t xml:space="preserve"> </w:t>
      </w:r>
      <w:proofErr w:type="spellStart"/>
      <w:r w:rsidRPr="00BE5127">
        <w:rPr>
          <w:rFonts w:asciiTheme="majorBidi" w:hAnsiTheme="majorBidi" w:cstheme="majorBidi"/>
          <w:i/>
          <w:iCs/>
          <w:color w:val="222222"/>
          <w:sz w:val="28"/>
          <w:szCs w:val="28"/>
          <w:shd w:val="clear" w:color="auto" w:fill="FFFFFF"/>
        </w:rPr>
        <w:t>Informasi</w:t>
      </w:r>
      <w:proofErr w:type="spellEnd"/>
      <w:r w:rsidRPr="00BE5127">
        <w:rPr>
          <w:rFonts w:asciiTheme="majorBidi" w:hAnsiTheme="majorBidi" w:cstheme="majorBidi"/>
          <w:i/>
          <w:iCs/>
          <w:color w:val="222222"/>
          <w:sz w:val="28"/>
          <w:szCs w:val="28"/>
          <w:shd w:val="clear" w:color="auto" w:fill="FFFFFF"/>
        </w:rPr>
        <w:t xml:space="preserve"> dan </w:t>
      </w:r>
      <w:proofErr w:type="spellStart"/>
      <w:r w:rsidRPr="00BE5127">
        <w:rPr>
          <w:rFonts w:asciiTheme="majorBidi" w:hAnsiTheme="majorBidi" w:cstheme="majorBidi"/>
          <w:i/>
          <w:iCs/>
          <w:color w:val="222222"/>
          <w:sz w:val="28"/>
          <w:szCs w:val="28"/>
          <w:shd w:val="clear" w:color="auto" w:fill="FFFFFF"/>
        </w:rPr>
        <w:t>Teknologi</w:t>
      </w:r>
      <w:proofErr w:type="spellEnd"/>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6</w:t>
      </w:r>
      <w:r w:rsidRPr="00BE5127">
        <w:rPr>
          <w:rFonts w:asciiTheme="majorBidi" w:hAnsiTheme="majorBidi" w:cstheme="majorBidi"/>
          <w:color w:val="222222"/>
          <w:sz w:val="28"/>
          <w:szCs w:val="28"/>
          <w:shd w:val="clear" w:color="auto" w:fill="FFFFFF"/>
        </w:rPr>
        <w:t>(2), 141-149.</w:t>
      </w:r>
      <w:r w:rsidRPr="00BE5127">
        <w:rPr>
          <w:rFonts w:asciiTheme="majorBidi" w:hAnsiTheme="majorBidi" w:cstheme="majorBidi"/>
          <w:color w:val="222222"/>
          <w:sz w:val="28"/>
          <w:szCs w:val="28"/>
          <w:shd w:val="clear" w:color="auto" w:fill="FFFFFF"/>
          <w:rtl/>
        </w:rPr>
        <w:t>‏</w:t>
      </w:r>
    </w:p>
    <w:p w14:paraId="517C2100"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r w:rsidRPr="00BE5127">
        <w:rPr>
          <w:rFonts w:asciiTheme="majorBidi" w:hAnsiTheme="majorBidi" w:cstheme="majorBidi"/>
          <w:color w:val="222222"/>
          <w:sz w:val="28"/>
          <w:szCs w:val="28"/>
          <w:shd w:val="clear" w:color="auto" w:fill="FFFFFF"/>
        </w:rPr>
        <w:t>Hicham, B., &amp; Hamza, D. T. (2024). Dimensions of artificial intelligence and data strategies in industrial enterprises and achieving sustainable leadership: A reading in the Saudi Industrial National Strategy 2016-2030. </w:t>
      </w:r>
      <w:r w:rsidRPr="00BE5127">
        <w:rPr>
          <w:rFonts w:asciiTheme="majorBidi" w:hAnsiTheme="majorBidi" w:cstheme="majorBidi"/>
          <w:i/>
          <w:iCs/>
          <w:color w:val="222222"/>
          <w:sz w:val="28"/>
          <w:szCs w:val="28"/>
          <w:shd w:val="clear" w:color="auto" w:fill="FFFFFF"/>
        </w:rPr>
        <w:t>Journal of North African Economies</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20</w:t>
      </w:r>
      <w:r w:rsidRPr="00BE5127">
        <w:rPr>
          <w:rFonts w:asciiTheme="majorBidi" w:hAnsiTheme="majorBidi" w:cstheme="majorBidi"/>
          <w:color w:val="222222"/>
          <w:sz w:val="28"/>
          <w:szCs w:val="28"/>
          <w:shd w:val="clear" w:color="auto" w:fill="FFFFFF"/>
        </w:rPr>
        <w:t>(34), 185-204.</w:t>
      </w:r>
      <w:r w:rsidRPr="00BE5127">
        <w:rPr>
          <w:rFonts w:asciiTheme="majorBidi" w:hAnsiTheme="majorBidi" w:cstheme="majorBidi"/>
          <w:color w:val="222222"/>
          <w:sz w:val="28"/>
          <w:szCs w:val="28"/>
          <w:shd w:val="clear" w:color="auto" w:fill="FFFFFF"/>
          <w:rtl/>
        </w:rPr>
        <w:t>‏</w:t>
      </w:r>
    </w:p>
    <w:p w14:paraId="220AD27F"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lastRenderedPageBreak/>
        <w:t xml:space="preserve">Hicham, N., </w:t>
      </w:r>
      <w:proofErr w:type="spellStart"/>
      <w:r w:rsidRPr="00BE5127">
        <w:rPr>
          <w:rFonts w:asciiTheme="majorBidi" w:hAnsiTheme="majorBidi" w:cstheme="majorBidi"/>
          <w:color w:val="222222"/>
          <w:sz w:val="28"/>
          <w:szCs w:val="28"/>
          <w:shd w:val="clear" w:color="auto" w:fill="FFFFFF"/>
        </w:rPr>
        <w:t>Nassera</w:t>
      </w:r>
      <w:proofErr w:type="spellEnd"/>
      <w:r w:rsidRPr="00BE5127">
        <w:rPr>
          <w:rFonts w:asciiTheme="majorBidi" w:hAnsiTheme="majorBidi" w:cstheme="majorBidi"/>
          <w:color w:val="222222"/>
          <w:sz w:val="28"/>
          <w:szCs w:val="28"/>
          <w:shd w:val="clear" w:color="auto" w:fill="FFFFFF"/>
        </w:rPr>
        <w:t>, H., &amp; Karim, S. (2023). Strategic framework for leveraging artificial intelligence in future marketing decision-making. </w:t>
      </w:r>
      <w:r w:rsidRPr="00BE5127">
        <w:rPr>
          <w:rFonts w:asciiTheme="majorBidi" w:hAnsiTheme="majorBidi" w:cstheme="majorBidi"/>
          <w:i/>
          <w:iCs/>
          <w:color w:val="222222"/>
          <w:sz w:val="28"/>
          <w:szCs w:val="28"/>
          <w:shd w:val="clear" w:color="auto" w:fill="FFFFFF"/>
        </w:rPr>
        <w:t>Journal of Intelligent Management Decision</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2</w:t>
      </w:r>
      <w:r w:rsidRPr="00BE5127">
        <w:rPr>
          <w:rFonts w:asciiTheme="majorBidi" w:hAnsiTheme="majorBidi" w:cstheme="majorBidi"/>
          <w:color w:val="222222"/>
          <w:sz w:val="28"/>
          <w:szCs w:val="28"/>
          <w:shd w:val="clear" w:color="auto" w:fill="FFFFFF"/>
        </w:rPr>
        <w:t>(3), 139-150.</w:t>
      </w:r>
      <w:r w:rsidRPr="00BE5127">
        <w:rPr>
          <w:rFonts w:asciiTheme="majorBidi" w:hAnsiTheme="majorBidi" w:cstheme="majorBidi"/>
          <w:color w:val="222222"/>
          <w:sz w:val="28"/>
          <w:szCs w:val="28"/>
          <w:shd w:val="clear" w:color="auto" w:fill="FFFFFF"/>
          <w:rtl/>
        </w:rPr>
        <w:t>‏</w:t>
      </w:r>
    </w:p>
    <w:p w14:paraId="143A1DAB"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proofErr w:type="spellStart"/>
      <w:r w:rsidRPr="00BE5127">
        <w:rPr>
          <w:rFonts w:asciiTheme="majorBidi" w:hAnsiTheme="majorBidi" w:cstheme="majorBidi"/>
          <w:color w:val="222222"/>
          <w:sz w:val="28"/>
          <w:szCs w:val="28"/>
          <w:shd w:val="clear" w:color="auto" w:fill="FFFFFF"/>
        </w:rPr>
        <w:t>Iastremska</w:t>
      </w:r>
      <w:proofErr w:type="spellEnd"/>
      <w:r w:rsidRPr="00BE5127">
        <w:rPr>
          <w:rFonts w:asciiTheme="majorBidi" w:hAnsiTheme="majorBidi" w:cstheme="majorBidi"/>
          <w:color w:val="222222"/>
          <w:sz w:val="28"/>
          <w:szCs w:val="28"/>
          <w:shd w:val="clear" w:color="auto" w:fill="FFFFFF"/>
        </w:rPr>
        <w:t xml:space="preserve">, O., Tryfonova, O., Mantaliuk, O., &amp; </w:t>
      </w:r>
      <w:proofErr w:type="spellStart"/>
      <w:r w:rsidRPr="00BE5127">
        <w:rPr>
          <w:rFonts w:asciiTheme="majorBidi" w:hAnsiTheme="majorBidi" w:cstheme="majorBidi"/>
          <w:color w:val="222222"/>
          <w:sz w:val="28"/>
          <w:szCs w:val="28"/>
          <w:shd w:val="clear" w:color="auto" w:fill="FFFFFF"/>
        </w:rPr>
        <w:t>Baranets</w:t>
      </w:r>
      <w:proofErr w:type="spellEnd"/>
      <w:r w:rsidRPr="00BE5127">
        <w:rPr>
          <w:rFonts w:asciiTheme="majorBidi" w:hAnsiTheme="majorBidi" w:cstheme="majorBidi"/>
          <w:color w:val="222222"/>
          <w:sz w:val="28"/>
          <w:szCs w:val="28"/>
          <w:shd w:val="clear" w:color="auto" w:fill="FFFFFF"/>
        </w:rPr>
        <w:t xml:space="preserve">, H. (2023). The impact of strategic decisions on the future development of </w:t>
      </w:r>
      <w:proofErr w:type="spellStart"/>
      <w:r w:rsidRPr="00BE5127">
        <w:rPr>
          <w:rFonts w:asciiTheme="majorBidi" w:hAnsiTheme="majorBidi" w:cstheme="majorBidi"/>
          <w:color w:val="222222"/>
          <w:sz w:val="28"/>
          <w:szCs w:val="28"/>
          <w:shd w:val="clear" w:color="auto" w:fill="FFFFFF"/>
        </w:rPr>
        <w:t>organisations</w:t>
      </w:r>
      <w:proofErr w:type="spellEnd"/>
      <w:r w:rsidRPr="00BE5127">
        <w:rPr>
          <w:rFonts w:asciiTheme="majorBidi" w:hAnsiTheme="majorBidi" w:cstheme="majorBidi"/>
          <w:color w:val="222222"/>
          <w:sz w:val="28"/>
          <w:szCs w:val="28"/>
          <w:shd w:val="clear" w:color="auto" w:fill="FFFFFF"/>
        </w:rPr>
        <w:t xml:space="preserve"> and economic dynamics. </w:t>
      </w:r>
      <w:r w:rsidRPr="00BE5127">
        <w:rPr>
          <w:rFonts w:asciiTheme="majorBidi" w:hAnsiTheme="majorBidi" w:cstheme="majorBidi"/>
          <w:i/>
          <w:iCs/>
          <w:color w:val="222222"/>
          <w:sz w:val="28"/>
          <w:szCs w:val="28"/>
          <w:shd w:val="clear" w:color="auto" w:fill="FFFFFF"/>
        </w:rPr>
        <w:t xml:space="preserve">Futurity </w:t>
      </w:r>
      <w:proofErr w:type="spellStart"/>
      <w:r w:rsidRPr="00BE5127">
        <w:rPr>
          <w:rFonts w:asciiTheme="majorBidi" w:hAnsiTheme="majorBidi" w:cstheme="majorBidi"/>
          <w:i/>
          <w:iCs/>
          <w:color w:val="222222"/>
          <w:sz w:val="28"/>
          <w:szCs w:val="28"/>
          <w:shd w:val="clear" w:color="auto" w:fill="FFFFFF"/>
        </w:rPr>
        <w:t>Economics&amp;Law</w:t>
      </w:r>
      <w:proofErr w:type="spellEnd"/>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3</w:t>
      </w:r>
      <w:r w:rsidRPr="00BE5127">
        <w:rPr>
          <w:rFonts w:asciiTheme="majorBidi" w:hAnsiTheme="majorBidi" w:cstheme="majorBidi"/>
          <w:color w:val="222222"/>
          <w:sz w:val="28"/>
          <w:szCs w:val="28"/>
          <w:shd w:val="clear" w:color="auto" w:fill="FFFFFF"/>
        </w:rPr>
        <w:t>(4), 117-133.</w:t>
      </w:r>
      <w:r w:rsidRPr="00BE5127">
        <w:rPr>
          <w:rFonts w:asciiTheme="majorBidi" w:hAnsiTheme="majorBidi" w:cstheme="majorBidi"/>
          <w:color w:val="222222"/>
          <w:sz w:val="28"/>
          <w:szCs w:val="28"/>
          <w:shd w:val="clear" w:color="auto" w:fill="FFFFFF"/>
          <w:rtl/>
        </w:rPr>
        <w:t>‏</w:t>
      </w:r>
    </w:p>
    <w:p w14:paraId="1490E032"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 xml:space="preserve">Kaggwa, S., </w:t>
      </w:r>
      <w:proofErr w:type="spellStart"/>
      <w:r w:rsidRPr="00BE5127">
        <w:rPr>
          <w:rFonts w:asciiTheme="majorBidi" w:hAnsiTheme="majorBidi" w:cstheme="majorBidi"/>
          <w:color w:val="222222"/>
          <w:sz w:val="28"/>
          <w:szCs w:val="28"/>
          <w:shd w:val="clear" w:color="auto" w:fill="FFFFFF"/>
        </w:rPr>
        <w:t>Eleogu</w:t>
      </w:r>
      <w:proofErr w:type="spellEnd"/>
      <w:r w:rsidRPr="00BE5127">
        <w:rPr>
          <w:rFonts w:asciiTheme="majorBidi" w:hAnsiTheme="majorBidi" w:cstheme="majorBidi"/>
          <w:color w:val="222222"/>
          <w:sz w:val="28"/>
          <w:szCs w:val="28"/>
          <w:shd w:val="clear" w:color="auto" w:fill="FFFFFF"/>
        </w:rPr>
        <w:t xml:space="preserve">, T. F., Okonkwo, F., </w:t>
      </w:r>
      <w:proofErr w:type="spellStart"/>
      <w:r w:rsidRPr="00BE5127">
        <w:rPr>
          <w:rFonts w:asciiTheme="majorBidi" w:hAnsiTheme="majorBidi" w:cstheme="majorBidi"/>
          <w:color w:val="222222"/>
          <w:sz w:val="28"/>
          <w:szCs w:val="28"/>
          <w:shd w:val="clear" w:color="auto" w:fill="FFFFFF"/>
        </w:rPr>
        <w:t>Farayola</w:t>
      </w:r>
      <w:proofErr w:type="spellEnd"/>
      <w:r w:rsidRPr="00BE5127">
        <w:rPr>
          <w:rFonts w:asciiTheme="majorBidi" w:hAnsiTheme="majorBidi" w:cstheme="majorBidi"/>
          <w:color w:val="222222"/>
          <w:sz w:val="28"/>
          <w:szCs w:val="28"/>
          <w:shd w:val="clear" w:color="auto" w:fill="FFFFFF"/>
        </w:rPr>
        <w:t xml:space="preserve">, O. A., </w:t>
      </w:r>
      <w:proofErr w:type="spellStart"/>
      <w:r w:rsidRPr="00BE5127">
        <w:rPr>
          <w:rFonts w:asciiTheme="majorBidi" w:hAnsiTheme="majorBidi" w:cstheme="majorBidi"/>
          <w:color w:val="222222"/>
          <w:sz w:val="28"/>
          <w:szCs w:val="28"/>
          <w:shd w:val="clear" w:color="auto" w:fill="FFFFFF"/>
        </w:rPr>
        <w:t>Uwaoma</w:t>
      </w:r>
      <w:proofErr w:type="spellEnd"/>
      <w:r w:rsidRPr="00BE5127">
        <w:rPr>
          <w:rFonts w:asciiTheme="majorBidi" w:hAnsiTheme="majorBidi" w:cstheme="majorBidi"/>
          <w:color w:val="222222"/>
          <w:sz w:val="28"/>
          <w:szCs w:val="28"/>
          <w:shd w:val="clear" w:color="auto" w:fill="FFFFFF"/>
        </w:rPr>
        <w:t xml:space="preserve">, P. U., &amp; Akinoso, A. (2024). AI in decision </w:t>
      </w:r>
      <w:proofErr w:type="gramStart"/>
      <w:r w:rsidRPr="00BE5127">
        <w:rPr>
          <w:rFonts w:asciiTheme="majorBidi" w:hAnsiTheme="majorBidi" w:cstheme="majorBidi"/>
          <w:color w:val="222222"/>
          <w:sz w:val="28"/>
          <w:szCs w:val="28"/>
          <w:shd w:val="clear" w:color="auto" w:fill="FFFFFF"/>
        </w:rPr>
        <w:t>making:</w:t>
      </w:r>
      <w:proofErr w:type="gramEnd"/>
      <w:r w:rsidRPr="00BE5127">
        <w:rPr>
          <w:rFonts w:asciiTheme="majorBidi" w:hAnsiTheme="majorBidi" w:cstheme="majorBidi"/>
          <w:color w:val="222222"/>
          <w:sz w:val="28"/>
          <w:szCs w:val="28"/>
          <w:shd w:val="clear" w:color="auto" w:fill="FFFFFF"/>
        </w:rPr>
        <w:t xml:space="preserve"> transforming business strategies. </w:t>
      </w:r>
      <w:r w:rsidRPr="00BE5127">
        <w:rPr>
          <w:rFonts w:asciiTheme="majorBidi" w:hAnsiTheme="majorBidi" w:cstheme="majorBidi"/>
          <w:i/>
          <w:iCs/>
          <w:color w:val="222222"/>
          <w:sz w:val="28"/>
          <w:szCs w:val="28"/>
          <w:shd w:val="clear" w:color="auto" w:fill="FFFFFF"/>
        </w:rPr>
        <w:t>International Journal of Research and Scientific Innovation</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10</w:t>
      </w:r>
      <w:r w:rsidRPr="00BE5127">
        <w:rPr>
          <w:rFonts w:asciiTheme="majorBidi" w:hAnsiTheme="majorBidi" w:cstheme="majorBidi"/>
          <w:color w:val="222222"/>
          <w:sz w:val="28"/>
          <w:szCs w:val="28"/>
          <w:shd w:val="clear" w:color="auto" w:fill="FFFFFF"/>
        </w:rPr>
        <w:t>(12), 423-444.</w:t>
      </w:r>
      <w:r w:rsidRPr="00BE5127">
        <w:rPr>
          <w:rFonts w:asciiTheme="majorBidi" w:hAnsiTheme="majorBidi" w:cstheme="majorBidi"/>
          <w:color w:val="222222"/>
          <w:sz w:val="28"/>
          <w:szCs w:val="28"/>
          <w:shd w:val="clear" w:color="auto" w:fill="FFFFFF"/>
          <w:rtl/>
        </w:rPr>
        <w:t>‏</w:t>
      </w:r>
    </w:p>
    <w:p w14:paraId="14F5A50D"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proofErr w:type="spellStart"/>
      <w:r w:rsidRPr="00BE5127">
        <w:rPr>
          <w:rFonts w:asciiTheme="majorBidi" w:hAnsiTheme="majorBidi" w:cstheme="majorBidi"/>
          <w:color w:val="222222"/>
          <w:sz w:val="28"/>
          <w:szCs w:val="28"/>
          <w:shd w:val="clear" w:color="auto" w:fill="FFFFFF"/>
        </w:rPr>
        <w:t>Kazaba</w:t>
      </w:r>
      <w:proofErr w:type="spellEnd"/>
      <w:r w:rsidRPr="00BE5127">
        <w:rPr>
          <w:rFonts w:asciiTheme="majorBidi" w:hAnsiTheme="majorBidi" w:cstheme="majorBidi"/>
          <w:color w:val="222222"/>
          <w:sz w:val="28"/>
          <w:szCs w:val="28"/>
          <w:shd w:val="clear" w:color="auto" w:fill="FFFFFF"/>
        </w:rPr>
        <w:t>, F. (2024). The Role of Artificial Intelligence in Improving Project Management Processes: An Applied Study on the Information Technology Sector in the Kingdom of Saudi Arabia. </w:t>
      </w:r>
      <w:r w:rsidRPr="00BE5127">
        <w:rPr>
          <w:rFonts w:asciiTheme="majorBidi" w:hAnsiTheme="majorBidi" w:cstheme="majorBidi"/>
          <w:i/>
          <w:iCs/>
          <w:color w:val="222222"/>
          <w:sz w:val="28"/>
          <w:szCs w:val="28"/>
          <w:shd w:val="clear" w:color="auto" w:fill="FFFFFF"/>
        </w:rPr>
        <w:t>International Journal of Financial, Administrative, and Economic Sciences</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3</w:t>
      </w:r>
      <w:r w:rsidRPr="00BE5127">
        <w:rPr>
          <w:rFonts w:asciiTheme="majorBidi" w:hAnsiTheme="majorBidi" w:cstheme="majorBidi"/>
          <w:color w:val="222222"/>
          <w:sz w:val="28"/>
          <w:szCs w:val="28"/>
          <w:shd w:val="clear" w:color="auto" w:fill="FFFFFF"/>
        </w:rPr>
        <w:t>(10), 1291-1328.</w:t>
      </w:r>
    </w:p>
    <w:p w14:paraId="2EC990C2"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Kim, J. S., &amp; Seo, D. (2023). Foresight and strategic decision-making framework from artificial intelligence technology development to utilization activities in small-and-medium-sized enterprises. </w:t>
      </w:r>
      <w:r w:rsidRPr="00BE5127">
        <w:rPr>
          <w:rFonts w:asciiTheme="majorBidi" w:hAnsiTheme="majorBidi" w:cstheme="majorBidi"/>
          <w:i/>
          <w:iCs/>
          <w:color w:val="222222"/>
          <w:sz w:val="28"/>
          <w:szCs w:val="28"/>
          <w:shd w:val="clear" w:color="auto" w:fill="FFFFFF"/>
        </w:rPr>
        <w:t>foresight</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25</w:t>
      </w:r>
      <w:r w:rsidRPr="00BE5127">
        <w:rPr>
          <w:rFonts w:asciiTheme="majorBidi" w:hAnsiTheme="majorBidi" w:cstheme="majorBidi"/>
          <w:color w:val="222222"/>
          <w:sz w:val="28"/>
          <w:szCs w:val="28"/>
          <w:shd w:val="clear" w:color="auto" w:fill="FFFFFF"/>
        </w:rPr>
        <w:t>(6), 769-787.</w:t>
      </w:r>
      <w:r w:rsidRPr="00BE5127">
        <w:rPr>
          <w:rFonts w:asciiTheme="majorBidi" w:hAnsiTheme="majorBidi" w:cstheme="majorBidi"/>
          <w:color w:val="222222"/>
          <w:sz w:val="28"/>
          <w:szCs w:val="28"/>
          <w:shd w:val="clear" w:color="auto" w:fill="FFFFFF"/>
          <w:rtl/>
        </w:rPr>
        <w:t>‏</w:t>
      </w:r>
    </w:p>
    <w:p w14:paraId="05C31C53"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 xml:space="preserve">Kolar, E., </w:t>
      </w:r>
      <w:proofErr w:type="spellStart"/>
      <w:r w:rsidRPr="00BE5127">
        <w:rPr>
          <w:rFonts w:asciiTheme="majorBidi" w:hAnsiTheme="majorBidi" w:cstheme="majorBidi"/>
          <w:color w:val="222222"/>
          <w:sz w:val="28"/>
          <w:szCs w:val="28"/>
          <w:shd w:val="clear" w:color="auto" w:fill="FFFFFF"/>
        </w:rPr>
        <w:t>Tušak</w:t>
      </w:r>
      <w:proofErr w:type="spellEnd"/>
      <w:r w:rsidRPr="00BE5127">
        <w:rPr>
          <w:rFonts w:asciiTheme="majorBidi" w:hAnsiTheme="majorBidi" w:cstheme="majorBidi"/>
          <w:color w:val="222222"/>
          <w:sz w:val="28"/>
          <w:szCs w:val="28"/>
          <w:shd w:val="clear" w:color="auto" w:fill="FFFFFF"/>
        </w:rPr>
        <w:t xml:space="preserve">, M., Robnik, P., &amp; </w:t>
      </w:r>
      <w:proofErr w:type="spellStart"/>
      <w:r w:rsidRPr="00BE5127">
        <w:rPr>
          <w:rFonts w:asciiTheme="majorBidi" w:hAnsiTheme="majorBidi" w:cstheme="majorBidi"/>
          <w:color w:val="222222"/>
          <w:sz w:val="28"/>
          <w:szCs w:val="28"/>
          <w:shd w:val="clear" w:color="auto" w:fill="FFFFFF"/>
        </w:rPr>
        <w:t>Biloslavo</w:t>
      </w:r>
      <w:proofErr w:type="spellEnd"/>
      <w:r w:rsidRPr="00BE5127">
        <w:rPr>
          <w:rFonts w:asciiTheme="majorBidi" w:hAnsiTheme="majorBidi" w:cstheme="majorBidi"/>
          <w:color w:val="222222"/>
          <w:sz w:val="28"/>
          <w:szCs w:val="28"/>
          <w:shd w:val="clear" w:color="auto" w:fill="FFFFFF"/>
        </w:rPr>
        <w:t xml:space="preserve">, R. (2024). Strategic decisions: How good does it fit the decision-making process into the strategic management </w:t>
      </w:r>
      <w:proofErr w:type="gramStart"/>
      <w:r w:rsidRPr="00BE5127">
        <w:rPr>
          <w:rFonts w:asciiTheme="majorBidi" w:hAnsiTheme="majorBidi" w:cstheme="majorBidi"/>
          <w:color w:val="222222"/>
          <w:sz w:val="28"/>
          <w:szCs w:val="28"/>
          <w:shd w:val="clear" w:color="auto" w:fill="FFFFFF"/>
        </w:rPr>
        <w:t>process?.</w:t>
      </w:r>
      <w:proofErr w:type="gramEnd"/>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Journal of engineering management and competitiveness</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14</w:t>
      </w:r>
      <w:r w:rsidRPr="00BE5127">
        <w:rPr>
          <w:rFonts w:asciiTheme="majorBidi" w:hAnsiTheme="majorBidi" w:cstheme="majorBidi"/>
          <w:color w:val="222222"/>
          <w:sz w:val="28"/>
          <w:szCs w:val="28"/>
          <w:shd w:val="clear" w:color="auto" w:fill="FFFFFF"/>
        </w:rPr>
        <w:t>(2), 99-111.</w:t>
      </w:r>
      <w:r w:rsidRPr="00BE5127">
        <w:rPr>
          <w:rFonts w:asciiTheme="majorBidi" w:hAnsiTheme="majorBidi" w:cstheme="majorBidi"/>
          <w:color w:val="222222"/>
          <w:sz w:val="28"/>
          <w:szCs w:val="28"/>
          <w:shd w:val="clear" w:color="auto" w:fill="FFFFFF"/>
          <w:rtl/>
        </w:rPr>
        <w:t>‏</w:t>
      </w:r>
    </w:p>
    <w:p w14:paraId="29225852"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r w:rsidRPr="00BE5127">
        <w:rPr>
          <w:rFonts w:asciiTheme="majorBidi" w:hAnsiTheme="majorBidi" w:cstheme="majorBidi"/>
          <w:color w:val="222222"/>
          <w:sz w:val="28"/>
          <w:szCs w:val="28"/>
          <w:shd w:val="clear" w:color="auto" w:fill="FFFFFF"/>
        </w:rPr>
        <w:lastRenderedPageBreak/>
        <w:t xml:space="preserve">Louati, A., Louati, H., Alharbi, M., </w:t>
      </w:r>
      <w:proofErr w:type="spellStart"/>
      <w:r w:rsidRPr="00BE5127">
        <w:rPr>
          <w:rFonts w:asciiTheme="majorBidi" w:hAnsiTheme="majorBidi" w:cstheme="majorBidi"/>
          <w:color w:val="222222"/>
          <w:sz w:val="28"/>
          <w:szCs w:val="28"/>
          <w:shd w:val="clear" w:color="auto" w:fill="FFFFFF"/>
        </w:rPr>
        <w:t>Kariri</w:t>
      </w:r>
      <w:proofErr w:type="spellEnd"/>
      <w:r w:rsidRPr="00BE5127">
        <w:rPr>
          <w:rFonts w:asciiTheme="majorBidi" w:hAnsiTheme="majorBidi" w:cstheme="majorBidi"/>
          <w:color w:val="222222"/>
          <w:sz w:val="28"/>
          <w:szCs w:val="28"/>
          <w:shd w:val="clear" w:color="auto" w:fill="FFFFFF"/>
        </w:rPr>
        <w:t xml:space="preserve">, E., </w:t>
      </w:r>
      <w:proofErr w:type="spellStart"/>
      <w:r w:rsidRPr="00BE5127">
        <w:rPr>
          <w:rFonts w:asciiTheme="majorBidi" w:hAnsiTheme="majorBidi" w:cstheme="majorBidi"/>
          <w:color w:val="222222"/>
          <w:sz w:val="28"/>
          <w:szCs w:val="28"/>
          <w:shd w:val="clear" w:color="auto" w:fill="FFFFFF"/>
        </w:rPr>
        <w:t>Khawaji</w:t>
      </w:r>
      <w:proofErr w:type="spellEnd"/>
      <w:r w:rsidRPr="00BE5127">
        <w:rPr>
          <w:rFonts w:asciiTheme="majorBidi" w:hAnsiTheme="majorBidi" w:cstheme="majorBidi"/>
          <w:color w:val="222222"/>
          <w:sz w:val="28"/>
          <w:szCs w:val="28"/>
          <w:shd w:val="clear" w:color="auto" w:fill="FFFFFF"/>
        </w:rPr>
        <w:t xml:space="preserve">, T., </w:t>
      </w:r>
      <w:proofErr w:type="spellStart"/>
      <w:r w:rsidRPr="00BE5127">
        <w:rPr>
          <w:rFonts w:asciiTheme="majorBidi" w:hAnsiTheme="majorBidi" w:cstheme="majorBidi"/>
          <w:color w:val="222222"/>
          <w:sz w:val="28"/>
          <w:szCs w:val="28"/>
          <w:shd w:val="clear" w:color="auto" w:fill="FFFFFF"/>
        </w:rPr>
        <w:t>Almubaddil</w:t>
      </w:r>
      <w:proofErr w:type="spellEnd"/>
      <w:r w:rsidRPr="00BE5127">
        <w:rPr>
          <w:rFonts w:asciiTheme="majorBidi" w:hAnsiTheme="majorBidi" w:cstheme="majorBidi"/>
          <w:color w:val="222222"/>
          <w:sz w:val="28"/>
          <w:szCs w:val="28"/>
          <w:shd w:val="clear" w:color="auto" w:fill="FFFFFF"/>
        </w:rPr>
        <w:t xml:space="preserve">, Y., &amp; </w:t>
      </w:r>
      <w:proofErr w:type="spellStart"/>
      <w:r w:rsidRPr="00BE5127">
        <w:rPr>
          <w:rFonts w:asciiTheme="majorBidi" w:hAnsiTheme="majorBidi" w:cstheme="majorBidi"/>
          <w:color w:val="222222"/>
          <w:sz w:val="28"/>
          <w:szCs w:val="28"/>
          <w:shd w:val="clear" w:color="auto" w:fill="FFFFFF"/>
        </w:rPr>
        <w:t>Aldwsary</w:t>
      </w:r>
      <w:proofErr w:type="spellEnd"/>
      <w:r w:rsidRPr="00BE5127">
        <w:rPr>
          <w:rFonts w:asciiTheme="majorBidi" w:hAnsiTheme="majorBidi" w:cstheme="majorBidi"/>
          <w:color w:val="222222"/>
          <w:sz w:val="28"/>
          <w:szCs w:val="28"/>
          <w:shd w:val="clear" w:color="auto" w:fill="FFFFFF"/>
        </w:rPr>
        <w:t>, S. (2024). Machine learning and artificial intelligence for a sustainable tourism: a case study on Saudi Arabia. </w:t>
      </w:r>
      <w:r w:rsidRPr="00BE5127">
        <w:rPr>
          <w:rFonts w:asciiTheme="majorBidi" w:hAnsiTheme="majorBidi" w:cstheme="majorBidi"/>
          <w:i/>
          <w:iCs/>
          <w:color w:val="222222"/>
          <w:sz w:val="28"/>
          <w:szCs w:val="28"/>
          <w:shd w:val="clear" w:color="auto" w:fill="FFFFFF"/>
        </w:rPr>
        <w:t>Information</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15</w:t>
      </w:r>
      <w:r w:rsidRPr="00BE5127">
        <w:rPr>
          <w:rFonts w:asciiTheme="majorBidi" w:hAnsiTheme="majorBidi" w:cstheme="majorBidi"/>
          <w:color w:val="222222"/>
          <w:sz w:val="28"/>
          <w:szCs w:val="28"/>
          <w:shd w:val="clear" w:color="auto" w:fill="FFFFFF"/>
        </w:rPr>
        <w:t>(9), 516.</w:t>
      </w:r>
      <w:r w:rsidRPr="00BE5127">
        <w:rPr>
          <w:rFonts w:asciiTheme="majorBidi" w:hAnsiTheme="majorBidi" w:cstheme="majorBidi"/>
          <w:color w:val="222222"/>
          <w:sz w:val="28"/>
          <w:szCs w:val="28"/>
          <w:shd w:val="clear" w:color="auto" w:fill="FFFFFF"/>
          <w:rtl/>
        </w:rPr>
        <w:t>‏</w:t>
      </w:r>
      <w:r w:rsidRPr="00BE5127">
        <w:rPr>
          <w:rFonts w:asciiTheme="majorBidi" w:hAnsiTheme="majorBidi" w:cstheme="majorBidi"/>
          <w:color w:val="222222"/>
          <w:sz w:val="28"/>
          <w:szCs w:val="28"/>
          <w:shd w:val="clear" w:color="auto" w:fill="FFFFFF"/>
        </w:rPr>
        <w:t xml:space="preserve"> 1-30</w:t>
      </w:r>
    </w:p>
    <w:p w14:paraId="25A31629"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 xml:space="preserve">Meakin, J. (2022). </w:t>
      </w:r>
      <w:proofErr w:type="spellStart"/>
      <w:r w:rsidRPr="00BE5127">
        <w:rPr>
          <w:rFonts w:asciiTheme="majorBidi" w:hAnsiTheme="majorBidi" w:cstheme="majorBidi"/>
          <w:color w:val="222222"/>
          <w:sz w:val="28"/>
          <w:szCs w:val="28"/>
          <w:shd w:val="clear" w:color="auto" w:fill="FFFFFF"/>
        </w:rPr>
        <w:t>Labour</w:t>
      </w:r>
      <w:proofErr w:type="spellEnd"/>
      <w:r w:rsidRPr="00BE5127">
        <w:rPr>
          <w:rFonts w:asciiTheme="majorBidi" w:hAnsiTheme="majorBidi" w:cstheme="majorBidi"/>
          <w:color w:val="222222"/>
          <w:sz w:val="28"/>
          <w:szCs w:val="28"/>
          <w:shd w:val="clear" w:color="auto" w:fill="FFFFFF"/>
        </w:rPr>
        <w:t xml:space="preserve"> movements and the effectiveness of legal strategy: Three tenets. </w:t>
      </w:r>
      <w:r w:rsidRPr="00BE5127">
        <w:rPr>
          <w:rFonts w:asciiTheme="majorBidi" w:hAnsiTheme="majorBidi" w:cstheme="majorBidi"/>
          <w:i/>
          <w:iCs/>
          <w:color w:val="222222"/>
          <w:sz w:val="28"/>
          <w:szCs w:val="28"/>
          <w:shd w:val="clear" w:color="auto" w:fill="FFFFFF"/>
        </w:rPr>
        <w:t xml:space="preserve">International Journal of Comparative </w:t>
      </w:r>
      <w:proofErr w:type="spellStart"/>
      <w:r w:rsidRPr="00BE5127">
        <w:rPr>
          <w:rFonts w:asciiTheme="majorBidi" w:hAnsiTheme="majorBidi" w:cstheme="majorBidi"/>
          <w:i/>
          <w:iCs/>
          <w:color w:val="222222"/>
          <w:sz w:val="28"/>
          <w:szCs w:val="28"/>
          <w:shd w:val="clear" w:color="auto" w:fill="FFFFFF"/>
        </w:rPr>
        <w:t>Labour</w:t>
      </w:r>
      <w:proofErr w:type="spellEnd"/>
      <w:r w:rsidRPr="00BE5127">
        <w:rPr>
          <w:rFonts w:asciiTheme="majorBidi" w:hAnsiTheme="majorBidi" w:cstheme="majorBidi"/>
          <w:i/>
          <w:iCs/>
          <w:color w:val="222222"/>
          <w:sz w:val="28"/>
          <w:szCs w:val="28"/>
          <w:shd w:val="clear" w:color="auto" w:fill="FFFFFF"/>
        </w:rPr>
        <w:t xml:space="preserve"> Law and Industrial Relations</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38</w:t>
      </w:r>
      <w:r w:rsidRPr="00BE5127">
        <w:rPr>
          <w:rFonts w:asciiTheme="majorBidi" w:hAnsiTheme="majorBidi" w:cstheme="majorBidi"/>
          <w:color w:val="222222"/>
          <w:sz w:val="28"/>
          <w:szCs w:val="28"/>
          <w:shd w:val="clear" w:color="auto" w:fill="FFFFFF"/>
        </w:rPr>
        <w:t>(2).</w:t>
      </w:r>
      <w:r w:rsidRPr="00BE5127">
        <w:rPr>
          <w:rFonts w:asciiTheme="majorBidi" w:hAnsiTheme="majorBidi" w:cstheme="majorBidi"/>
          <w:color w:val="222222"/>
          <w:sz w:val="28"/>
          <w:szCs w:val="28"/>
          <w:shd w:val="clear" w:color="auto" w:fill="FFFFFF"/>
          <w:rtl/>
        </w:rPr>
        <w:t>‏</w:t>
      </w:r>
    </w:p>
    <w:p w14:paraId="7C95EA99"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Moinuddin, M., &amp; Usman, M. (2025). Driving strategic decisions: Business intelligence in supply chain and marketing. </w:t>
      </w:r>
      <w:r w:rsidRPr="00BE5127">
        <w:rPr>
          <w:rFonts w:asciiTheme="majorBidi" w:hAnsiTheme="majorBidi" w:cstheme="majorBidi"/>
          <w:i/>
          <w:iCs/>
          <w:color w:val="222222"/>
          <w:sz w:val="28"/>
          <w:szCs w:val="28"/>
          <w:shd w:val="clear" w:color="auto" w:fill="FFFFFF"/>
        </w:rPr>
        <w:t>American Journal of Business, Commerce and Economics</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6</w:t>
      </w:r>
      <w:r w:rsidRPr="00BE5127">
        <w:rPr>
          <w:rFonts w:asciiTheme="majorBidi" w:hAnsiTheme="majorBidi" w:cstheme="majorBidi"/>
          <w:color w:val="222222"/>
          <w:sz w:val="28"/>
          <w:szCs w:val="28"/>
          <w:shd w:val="clear" w:color="auto" w:fill="FFFFFF"/>
        </w:rPr>
        <w:t>(4), 1-14.</w:t>
      </w:r>
      <w:r w:rsidRPr="00BE5127">
        <w:rPr>
          <w:rFonts w:asciiTheme="majorBidi" w:hAnsiTheme="majorBidi" w:cstheme="majorBidi"/>
          <w:color w:val="222222"/>
          <w:sz w:val="28"/>
          <w:szCs w:val="28"/>
          <w:shd w:val="clear" w:color="auto" w:fill="FFFFFF"/>
          <w:rtl/>
        </w:rPr>
        <w:t>‏</w:t>
      </w:r>
    </w:p>
    <w:p w14:paraId="1E55E945"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proofErr w:type="spellStart"/>
      <w:r w:rsidRPr="00BE5127">
        <w:rPr>
          <w:rFonts w:asciiTheme="majorBidi" w:hAnsiTheme="majorBidi" w:cstheme="majorBidi"/>
          <w:color w:val="222222"/>
          <w:sz w:val="28"/>
          <w:szCs w:val="28"/>
          <w:shd w:val="clear" w:color="auto" w:fill="FFFFFF"/>
        </w:rPr>
        <w:t>Neiroukh</w:t>
      </w:r>
      <w:proofErr w:type="spellEnd"/>
      <w:r w:rsidRPr="00BE5127">
        <w:rPr>
          <w:rFonts w:asciiTheme="majorBidi" w:hAnsiTheme="majorBidi" w:cstheme="majorBidi"/>
          <w:color w:val="222222"/>
          <w:sz w:val="28"/>
          <w:szCs w:val="28"/>
          <w:shd w:val="clear" w:color="auto" w:fill="FFFFFF"/>
        </w:rPr>
        <w:t xml:space="preserve">, S., </w:t>
      </w:r>
      <w:proofErr w:type="spellStart"/>
      <w:r w:rsidRPr="00BE5127">
        <w:rPr>
          <w:rFonts w:asciiTheme="majorBidi" w:hAnsiTheme="majorBidi" w:cstheme="majorBidi"/>
          <w:color w:val="222222"/>
          <w:sz w:val="28"/>
          <w:szCs w:val="28"/>
          <w:shd w:val="clear" w:color="auto" w:fill="FFFFFF"/>
        </w:rPr>
        <w:t>Aljuhmani</w:t>
      </w:r>
      <w:proofErr w:type="spellEnd"/>
      <w:r w:rsidRPr="00BE5127">
        <w:rPr>
          <w:rFonts w:asciiTheme="majorBidi" w:hAnsiTheme="majorBidi" w:cstheme="majorBidi"/>
          <w:color w:val="222222"/>
          <w:sz w:val="28"/>
          <w:szCs w:val="28"/>
          <w:shd w:val="clear" w:color="auto" w:fill="FFFFFF"/>
        </w:rPr>
        <w:t xml:space="preserve">, H. Y., &amp; </w:t>
      </w:r>
      <w:proofErr w:type="spellStart"/>
      <w:r w:rsidRPr="00BE5127">
        <w:rPr>
          <w:rFonts w:asciiTheme="majorBidi" w:hAnsiTheme="majorBidi" w:cstheme="majorBidi"/>
          <w:color w:val="222222"/>
          <w:sz w:val="28"/>
          <w:szCs w:val="28"/>
          <w:shd w:val="clear" w:color="auto" w:fill="FFFFFF"/>
        </w:rPr>
        <w:t>Alnajdawi</w:t>
      </w:r>
      <w:proofErr w:type="spellEnd"/>
      <w:r w:rsidRPr="00BE5127">
        <w:rPr>
          <w:rFonts w:asciiTheme="majorBidi" w:hAnsiTheme="majorBidi" w:cstheme="majorBidi"/>
          <w:color w:val="222222"/>
          <w:sz w:val="28"/>
          <w:szCs w:val="28"/>
          <w:shd w:val="clear" w:color="auto" w:fill="FFFFFF"/>
        </w:rPr>
        <w:t>, S. (2024, January). In the era of emerging technologies: discovering the impact of artificial intelligence capabilities on timely decision-making and business performance. In </w:t>
      </w:r>
      <w:r w:rsidRPr="00BE5127">
        <w:rPr>
          <w:rFonts w:asciiTheme="majorBidi" w:hAnsiTheme="majorBidi" w:cstheme="majorBidi"/>
          <w:i/>
          <w:iCs/>
          <w:color w:val="222222"/>
          <w:sz w:val="28"/>
          <w:szCs w:val="28"/>
          <w:shd w:val="clear" w:color="auto" w:fill="FFFFFF"/>
        </w:rPr>
        <w:t>2024 ASU International Conference in Emerging Technologies for Sustainability and Intelligent Systems (ICETSIS)</w:t>
      </w:r>
      <w:r w:rsidRPr="00BE5127">
        <w:rPr>
          <w:rFonts w:asciiTheme="majorBidi" w:hAnsiTheme="majorBidi" w:cstheme="majorBidi"/>
          <w:color w:val="222222"/>
          <w:sz w:val="28"/>
          <w:szCs w:val="28"/>
          <w:shd w:val="clear" w:color="auto" w:fill="FFFFFF"/>
        </w:rPr>
        <w:t> (pp. 1-6). IEEE.</w:t>
      </w:r>
      <w:r w:rsidRPr="00BE5127">
        <w:rPr>
          <w:rFonts w:asciiTheme="majorBidi" w:hAnsiTheme="majorBidi" w:cstheme="majorBidi"/>
          <w:color w:val="222222"/>
          <w:sz w:val="28"/>
          <w:szCs w:val="28"/>
          <w:shd w:val="clear" w:color="auto" w:fill="FFFFFF"/>
          <w:rtl/>
        </w:rPr>
        <w:t>‏</w:t>
      </w:r>
    </w:p>
    <w:p w14:paraId="60E2AEF1"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r w:rsidRPr="00BE5127">
        <w:rPr>
          <w:rFonts w:asciiTheme="majorBidi" w:hAnsiTheme="majorBidi" w:cstheme="majorBidi"/>
          <w:color w:val="222222"/>
          <w:sz w:val="28"/>
          <w:szCs w:val="28"/>
          <w:shd w:val="clear" w:color="auto" w:fill="FFFFFF"/>
        </w:rPr>
        <w:t>Omol, E. J. (2024). Organizational digital transformation: from evolution to future trends. </w:t>
      </w:r>
      <w:r w:rsidRPr="00BE5127">
        <w:rPr>
          <w:rFonts w:asciiTheme="majorBidi" w:hAnsiTheme="majorBidi" w:cstheme="majorBidi"/>
          <w:i/>
          <w:iCs/>
          <w:color w:val="222222"/>
          <w:sz w:val="28"/>
          <w:szCs w:val="28"/>
          <w:shd w:val="clear" w:color="auto" w:fill="FFFFFF"/>
        </w:rPr>
        <w:t>Digital Transformation and Society</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3</w:t>
      </w:r>
      <w:r w:rsidRPr="00BE5127">
        <w:rPr>
          <w:rFonts w:asciiTheme="majorBidi" w:hAnsiTheme="majorBidi" w:cstheme="majorBidi"/>
          <w:color w:val="222222"/>
          <w:sz w:val="28"/>
          <w:szCs w:val="28"/>
          <w:shd w:val="clear" w:color="auto" w:fill="FFFFFF"/>
        </w:rPr>
        <w:t>(3), 240-256.</w:t>
      </w:r>
      <w:r w:rsidRPr="00BE5127">
        <w:rPr>
          <w:rFonts w:asciiTheme="majorBidi" w:hAnsiTheme="majorBidi" w:cstheme="majorBidi"/>
          <w:color w:val="222222"/>
          <w:sz w:val="28"/>
          <w:szCs w:val="28"/>
          <w:shd w:val="clear" w:color="auto" w:fill="FFFFFF"/>
          <w:rtl/>
        </w:rPr>
        <w:t>‏</w:t>
      </w:r>
    </w:p>
    <w:p w14:paraId="735E3A33"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r w:rsidRPr="00BE5127">
        <w:rPr>
          <w:rFonts w:asciiTheme="majorBidi" w:hAnsiTheme="majorBidi" w:cstheme="majorBidi"/>
          <w:color w:val="222222"/>
          <w:sz w:val="28"/>
          <w:szCs w:val="28"/>
          <w:shd w:val="clear" w:color="auto" w:fill="FFFFFF"/>
        </w:rPr>
        <w:t>Plekhanov, D., Franke, H., &amp; Netland, T. H. (2023). Digital transformation: A review and research agenda. </w:t>
      </w:r>
      <w:r w:rsidRPr="00BE5127">
        <w:rPr>
          <w:rFonts w:asciiTheme="majorBidi" w:hAnsiTheme="majorBidi" w:cstheme="majorBidi"/>
          <w:i/>
          <w:iCs/>
          <w:color w:val="222222"/>
          <w:sz w:val="28"/>
          <w:szCs w:val="28"/>
          <w:shd w:val="clear" w:color="auto" w:fill="FFFFFF"/>
        </w:rPr>
        <w:t>European management journal</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41</w:t>
      </w:r>
      <w:r w:rsidRPr="00BE5127">
        <w:rPr>
          <w:rFonts w:asciiTheme="majorBidi" w:hAnsiTheme="majorBidi" w:cstheme="majorBidi"/>
          <w:color w:val="222222"/>
          <w:sz w:val="28"/>
          <w:szCs w:val="28"/>
          <w:shd w:val="clear" w:color="auto" w:fill="FFFFFF"/>
        </w:rPr>
        <w:t>(6), 821-844.</w:t>
      </w:r>
      <w:r w:rsidRPr="00BE5127">
        <w:rPr>
          <w:rFonts w:asciiTheme="majorBidi" w:hAnsiTheme="majorBidi" w:cstheme="majorBidi"/>
          <w:color w:val="222222"/>
          <w:sz w:val="28"/>
          <w:szCs w:val="28"/>
          <w:shd w:val="clear" w:color="auto" w:fill="FFFFFF"/>
          <w:rtl/>
        </w:rPr>
        <w:t>‏</w:t>
      </w:r>
    </w:p>
    <w:p w14:paraId="00EBB0E4"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 xml:space="preserve">Rajagopal, N. K., Qureshi, N. I., Durga, S., Ramirez Asis, E. H., Huerta Soto, R. M., Gupta, S. K., &amp; Deepak, S. (2022). Future of business culture: An artificial intelligence‐driven digital </w:t>
      </w:r>
      <w:r w:rsidRPr="00BE5127">
        <w:rPr>
          <w:rFonts w:asciiTheme="majorBidi" w:hAnsiTheme="majorBidi" w:cstheme="majorBidi"/>
          <w:color w:val="222222"/>
          <w:sz w:val="28"/>
          <w:szCs w:val="28"/>
          <w:shd w:val="clear" w:color="auto" w:fill="FFFFFF"/>
        </w:rPr>
        <w:lastRenderedPageBreak/>
        <w:t>framework for organization decision‐making process. </w:t>
      </w:r>
      <w:r w:rsidRPr="00BE5127">
        <w:rPr>
          <w:rFonts w:asciiTheme="majorBidi" w:hAnsiTheme="majorBidi" w:cstheme="majorBidi"/>
          <w:i/>
          <w:iCs/>
          <w:color w:val="222222"/>
          <w:sz w:val="28"/>
          <w:szCs w:val="28"/>
          <w:shd w:val="clear" w:color="auto" w:fill="FFFFFF"/>
        </w:rPr>
        <w:t>Complexity</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2022</w:t>
      </w:r>
      <w:r w:rsidRPr="00BE5127">
        <w:rPr>
          <w:rFonts w:asciiTheme="majorBidi" w:hAnsiTheme="majorBidi" w:cstheme="majorBidi"/>
          <w:color w:val="222222"/>
          <w:sz w:val="28"/>
          <w:szCs w:val="28"/>
          <w:shd w:val="clear" w:color="auto" w:fill="FFFFFF"/>
        </w:rPr>
        <w:t>(1), 7796507.</w:t>
      </w:r>
      <w:r w:rsidRPr="00BE5127">
        <w:rPr>
          <w:rFonts w:asciiTheme="majorBidi" w:hAnsiTheme="majorBidi" w:cstheme="majorBidi"/>
          <w:color w:val="222222"/>
          <w:sz w:val="28"/>
          <w:szCs w:val="28"/>
          <w:shd w:val="clear" w:color="auto" w:fill="FFFFFF"/>
          <w:rtl/>
        </w:rPr>
        <w:t>‏</w:t>
      </w:r>
    </w:p>
    <w:p w14:paraId="6CEDBFC4"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Rijal, S. (2023). The importance of community involvement in public management planning and decision-making processes. </w:t>
      </w:r>
      <w:r w:rsidRPr="00BE5127">
        <w:rPr>
          <w:rFonts w:asciiTheme="majorBidi" w:hAnsiTheme="majorBidi" w:cstheme="majorBidi"/>
          <w:i/>
          <w:iCs/>
          <w:color w:val="222222"/>
          <w:sz w:val="28"/>
          <w:szCs w:val="28"/>
          <w:shd w:val="clear" w:color="auto" w:fill="FFFFFF"/>
        </w:rPr>
        <w:t>Journal of Contemporary Administration and Management (ADMAN)</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w:t>
      </w:r>
      <w:r w:rsidRPr="00BE5127">
        <w:rPr>
          <w:rFonts w:asciiTheme="majorBidi" w:hAnsiTheme="majorBidi" w:cstheme="majorBidi"/>
          <w:color w:val="222222"/>
          <w:sz w:val="28"/>
          <w:szCs w:val="28"/>
          <w:shd w:val="clear" w:color="auto" w:fill="FFFFFF"/>
        </w:rPr>
        <w:t>(2), 84-92.</w:t>
      </w:r>
      <w:r w:rsidRPr="00BE5127">
        <w:rPr>
          <w:rFonts w:asciiTheme="majorBidi" w:hAnsiTheme="majorBidi" w:cstheme="majorBidi"/>
          <w:color w:val="222222"/>
          <w:sz w:val="28"/>
          <w:szCs w:val="28"/>
          <w:shd w:val="clear" w:color="auto" w:fill="FFFFFF"/>
          <w:rtl/>
        </w:rPr>
        <w:t>‏</w:t>
      </w:r>
    </w:p>
    <w:p w14:paraId="77E2B118"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Schwartz, P. H., &amp; Sachs, G. A. (2022). Rethinking decision quality: measures, meaning, and bioethics. </w:t>
      </w:r>
      <w:r w:rsidRPr="00BE5127">
        <w:rPr>
          <w:rFonts w:asciiTheme="majorBidi" w:hAnsiTheme="majorBidi" w:cstheme="majorBidi"/>
          <w:i/>
          <w:iCs/>
          <w:color w:val="222222"/>
          <w:sz w:val="28"/>
          <w:szCs w:val="28"/>
          <w:shd w:val="clear" w:color="auto" w:fill="FFFFFF"/>
        </w:rPr>
        <w:t>Hastings Center Report</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52</w:t>
      </w:r>
      <w:r w:rsidRPr="00BE5127">
        <w:rPr>
          <w:rFonts w:asciiTheme="majorBidi" w:hAnsiTheme="majorBidi" w:cstheme="majorBidi"/>
          <w:color w:val="222222"/>
          <w:sz w:val="28"/>
          <w:szCs w:val="28"/>
          <w:shd w:val="clear" w:color="auto" w:fill="FFFFFF"/>
        </w:rPr>
        <w:t>(6), 13-22.</w:t>
      </w:r>
      <w:r w:rsidRPr="00BE5127">
        <w:rPr>
          <w:rFonts w:asciiTheme="majorBidi" w:hAnsiTheme="majorBidi" w:cstheme="majorBidi"/>
          <w:color w:val="222222"/>
          <w:sz w:val="28"/>
          <w:szCs w:val="28"/>
          <w:shd w:val="clear" w:color="auto" w:fill="FFFFFF"/>
          <w:rtl/>
        </w:rPr>
        <w:t>‏</w:t>
      </w:r>
    </w:p>
    <w:p w14:paraId="4EB0EADE"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Shah, S., Wang, K., Wilder, B., Perrault, A., &amp; Tambe, M. (2022). Decision-focused learning without decision-making: Learning locally optimized decision losses. </w:t>
      </w:r>
      <w:r w:rsidRPr="00BE5127">
        <w:rPr>
          <w:rFonts w:asciiTheme="majorBidi" w:hAnsiTheme="majorBidi" w:cstheme="majorBidi"/>
          <w:i/>
          <w:iCs/>
          <w:color w:val="222222"/>
          <w:sz w:val="28"/>
          <w:szCs w:val="28"/>
          <w:shd w:val="clear" w:color="auto" w:fill="FFFFFF"/>
        </w:rPr>
        <w:t>Advances in Neural Information Processing Systems</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35</w:t>
      </w:r>
      <w:r w:rsidRPr="00BE5127">
        <w:rPr>
          <w:rFonts w:asciiTheme="majorBidi" w:hAnsiTheme="majorBidi" w:cstheme="majorBidi"/>
          <w:color w:val="222222"/>
          <w:sz w:val="28"/>
          <w:szCs w:val="28"/>
          <w:shd w:val="clear" w:color="auto" w:fill="FFFFFF"/>
        </w:rPr>
        <w:t>, 1320-1332.</w:t>
      </w:r>
      <w:r w:rsidRPr="00BE5127">
        <w:rPr>
          <w:rFonts w:asciiTheme="majorBidi" w:hAnsiTheme="majorBidi" w:cstheme="majorBidi"/>
          <w:color w:val="222222"/>
          <w:sz w:val="28"/>
          <w:szCs w:val="28"/>
          <w:shd w:val="clear" w:color="auto" w:fill="FFFFFF"/>
          <w:rtl/>
        </w:rPr>
        <w:t>‏</w:t>
      </w:r>
    </w:p>
    <w:p w14:paraId="742F17F1"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proofErr w:type="spellStart"/>
      <w:r w:rsidRPr="00BE5127">
        <w:rPr>
          <w:rFonts w:asciiTheme="majorBidi" w:hAnsiTheme="majorBidi" w:cstheme="majorBidi"/>
          <w:color w:val="222222"/>
          <w:sz w:val="28"/>
          <w:szCs w:val="28"/>
          <w:shd w:val="clear" w:color="auto" w:fill="FFFFFF"/>
        </w:rPr>
        <w:t>Sinnaiah</w:t>
      </w:r>
      <w:proofErr w:type="spellEnd"/>
      <w:r w:rsidRPr="00BE5127">
        <w:rPr>
          <w:rFonts w:asciiTheme="majorBidi" w:hAnsiTheme="majorBidi" w:cstheme="majorBidi"/>
          <w:color w:val="222222"/>
          <w:sz w:val="28"/>
          <w:szCs w:val="28"/>
          <w:shd w:val="clear" w:color="auto" w:fill="FFFFFF"/>
        </w:rPr>
        <w:t xml:space="preserve">, T., Adam, S., &amp; Mahadi, B. (2023). A strategic management process: the role of decision-making style and </w:t>
      </w:r>
      <w:proofErr w:type="spellStart"/>
      <w:r w:rsidRPr="00BE5127">
        <w:rPr>
          <w:rFonts w:asciiTheme="majorBidi" w:hAnsiTheme="majorBidi" w:cstheme="majorBidi"/>
          <w:color w:val="222222"/>
          <w:sz w:val="28"/>
          <w:szCs w:val="28"/>
          <w:shd w:val="clear" w:color="auto" w:fill="FFFFFF"/>
        </w:rPr>
        <w:t>organisational</w:t>
      </w:r>
      <w:proofErr w:type="spellEnd"/>
      <w:r w:rsidRPr="00BE5127">
        <w:rPr>
          <w:rFonts w:asciiTheme="majorBidi" w:hAnsiTheme="majorBidi" w:cstheme="majorBidi"/>
          <w:color w:val="222222"/>
          <w:sz w:val="28"/>
          <w:szCs w:val="28"/>
          <w:shd w:val="clear" w:color="auto" w:fill="FFFFFF"/>
        </w:rPr>
        <w:t xml:space="preserve"> performance. </w:t>
      </w:r>
      <w:r w:rsidRPr="00BE5127">
        <w:rPr>
          <w:rFonts w:asciiTheme="majorBidi" w:hAnsiTheme="majorBidi" w:cstheme="majorBidi"/>
          <w:i/>
          <w:iCs/>
          <w:color w:val="222222"/>
          <w:sz w:val="28"/>
          <w:szCs w:val="28"/>
          <w:shd w:val="clear" w:color="auto" w:fill="FFFFFF"/>
        </w:rPr>
        <w:t>Journal of work-applied management</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15</w:t>
      </w:r>
      <w:r w:rsidRPr="00BE5127">
        <w:rPr>
          <w:rFonts w:asciiTheme="majorBidi" w:hAnsiTheme="majorBidi" w:cstheme="majorBidi"/>
          <w:color w:val="222222"/>
          <w:sz w:val="28"/>
          <w:szCs w:val="28"/>
          <w:shd w:val="clear" w:color="auto" w:fill="FFFFFF"/>
        </w:rPr>
        <w:t>(1), 37-50.</w:t>
      </w:r>
      <w:r w:rsidRPr="00BE5127">
        <w:rPr>
          <w:rFonts w:asciiTheme="majorBidi" w:hAnsiTheme="majorBidi" w:cstheme="majorBidi"/>
          <w:color w:val="222222"/>
          <w:sz w:val="28"/>
          <w:szCs w:val="28"/>
          <w:shd w:val="clear" w:color="auto" w:fill="FFFFFF"/>
          <w:rtl/>
        </w:rPr>
        <w:t>‏</w:t>
      </w:r>
    </w:p>
    <w:p w14:paraId="4DB67BD3"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 xml:space="preserve">van Den Oever, K., &amp; Shropshire, C. (2024). More than a feeling: how board </w:t>
      </w:r>
      <w:proofErr w:type="gramStart"/>
      <w:r w:rsidRPr="00BE5127">
        <w:rPr>
          <w:rFonts w:asciiTheme="majorBidi" w:hAnsiTheme="majorBidi" w:cstheme="majorBidi"/>
          <w:color w:val="222222"/>
          <w:sz w:val="28"/>
          <w:szCs w:val="28"/>
          <w:shd w:val="clear" w:color="auto" w:fill="FFFFFF"/>
        </w:rPr>
        <w:t>member displays of</w:t>
      </w:r>
      <w:proofErr w:type="gramEnd"/>
      <w:r w:rsidRPr="00BE5127">
        <w:rPr>
          <w:rFonts w:asciiTheme="majorBidi" w:hAnsiTheme="majorBidi" w:cstheme="majorBidi"/>
          <w:color w:val="222222"/>
          <w:sz w:val="28"/>
          <w:szCs w:val="28"/>
          <w:shd w:val="clear" w:color="auto" w:fill="FFFFFF"/>
        </w:rPr>
        <w:t xml:space="preserve"> anger and happiness influence strategic decisions. </w:t>
      </w:r>
      <w:r w:rsidRPr="00BE5127">
        <w:rPr>
          <w:rFonts w:asciiTheme="majorBidi" w:hAnsiTheme="majorBidi" w:cstheme="majorBidi"/>
          <w:i/>
          <w:iCs/>
          <w:color w:val="222222"/>
          <w:sz w:val="28"/>
          <w:szCs w:val="28"/>
          <w:shd w:val="clear" w:color="auto" w:fill="FFFFFF"/>
        </w:rPr>
        <w:t>Academy of Management Journal</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67</w:t>
      </w:r>
      <w:r w:rsidRPr="00BE5127">
        <w:rPr>
          <w:rFonts w:asciiTheme="majorBidi" w:hAnsiTheme="majorBidi" w:cstheme="majorBidi"/>
          <w:color w:val="222222"/>
          <w:sz w:val="28"/>
          <w:szCs w:val="28"/>
          <w:shd w:val="clear" w:color="auto" w:fill="FFFFFF"/>
        </w:rPr>
        <w:t>(6), 1525-1552.</w:t>
      </w:r>
      <w:r w:rsidRPr="00BE5127">
        <w:rPr>
          <w:rFonts w:asciiTheme="majorBidi" w:hAnsiTheme="majorBidi" w:cstheme="majorBidi"/>
          <w:color w:val="222222"/>
          <w:sz w:val="28"/>
          <w:szCs w:val="28"/>
          <w:shd w:val="clear" w:color="auto" w:fill="FFFFFF"/>
          <w:rtl/>
        </w:rPr>
        <w:t>‏</w:t>
      </w:r>
    </w:p>
    <w:p w14:paraId="6CB9307B"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proofErr w:type="spellStart"/>
      <w:r w:rsidRPr="00BE5127">
        <w:rPr>
          <w:rFonts w:asciiTheme="majorBidi" w:hAnsiTheme="majorBidi" w:cstheme="majorBidi"/>
          <w:color w:val="222222"/>
          <w:sz w:val="28"/>
          <w:szCs w:val="28"/>
          <w:shd w:val="clear" w:color="auto" w:fill="FFFFFF"/>
        </w:rPr>
        <w:t>Vudugula</w:t>
      </w:r>
      <w:proofErr w:type="spellEnd"/>
      <w:r w:rsidRPr="00BE5127">
        <w:rPr>
          <w:rFonts w:asciiTheme="majorBidi" w:hAnsiTheme="majorBidi" w:cstheme="majorBidi"/>
          <w:color w:val="222222"/>
          <w:sz w:val="28"/>
          <w:szCs w:val="28"/>
          <w:shd w:val="clear" w:color="auto" w:fill="FFFFFF"/>
        </w:rPr>
        <w:t xml:space="preserve">, S., </w:t>
      </w:r>
      <w:proofErr w:type="spellStart"/>
      <w:r w:rsidRPr="00BE5127">
        <w:rPr>
          <w:rFonts w:asciiTheme="majorBidi" w:hAnsiTheme="majorBidi" w:cstheme="majorBidi"/>
          <w:color w:val="222222"/>
          <w:sz w:val="28"/>
          <w:szCs w:val="28"/>
          <w:shd w:val="clear" w:color="auto" w:fill="FFFFFF"/>
        </w:rPr>
        <w:t>Chebrolu</w:t>
      </w:r>
      <w:proofErr w:type="spellEnd"/>
      <w:r w:rsidRPr="00BE5127">
        <w:rPr>
          <w:rFonts w:asciiTheme="majorBidi" w:hAnsiTheme="majorBidi" w:cstheme="majorBidi"/>
          <w:color w:val="222222"/>
          <w:sz w:val="28"/>
          <w:szCs w:val="28"/>
          <w:shd w:val="clear" w:color="auto" w:fill="FFFFFF"/>
        </w:rPr>
        <w:t xml:space="preserve">, S. K., Bhuiyan, M., &amp; </w:t>
      </w:r>
      <w:proofErr w:type="spellStart"/>
      <w:r w:rsidRPr="00BE5127">
        <w:rPr>
          <w:rFonts w:asciiTheme="majorBidi" w:hAnsiTheme="majorBidi" w:cstheme="majorBidi"/>
          <w:color w:val="222222"/>
          <w:sz w:val="28"/>
          <w:szCs w:val="28"/>
          <w:shd w:val="clear" w:color="auto" w:fill="FFFFFF"/>
        </w:rPr>
        <w:t>Rozony</w:t>
      </w:r>
      <w:proofErr w:type="spellEnd"/>
      <w:r w:rsidRPr="00BE5127">
        <w:rPr>
          <w:rFonts w:asciiTheme="majorBidi" w:hAnsiTheme="majorBidi" w:cstheme="majorBidi"/>
          <w:color w:val="222222"/>
          <w:sz w:val="28"/>
          <w:szCs w:val="28"/>
          <w:shd w:val="clear" w:color="auto" w:fill="FFFFFF"/>
        </w:rPr>
        <w:t xml:space="preserve">, F. Z. (2023). Integrating artificial intelligence </w:t>
      </w:r>
      <w:proofErr w:type="gramStart"/>
      <w:r w:rsidRPr="00BE5127">
        <w:rPr>
          <w:rFonts w:asciiTheme="majorBidi" w:hAnsiTheme="majorBidi" w:cstheme="majorBidi"/>
          <w:color w:val="222222"/>
          <w:sz w:val="28"/>
          <w:szCs w:val="28"/>
          <w:shd w:val="clear" w:color="auto" w:fill="FFFFFF"/>
        </w:rPr>
        <w:t>in</w:t>
      </w:r>
      <w:proofErr w:type="gramEnd"/>
      <w:r w:rsidRPr="00BE5127">
        <w:rPr>
          <w:rFonts w:asciiTheme="majorBidi" w:hAnsiTheme="majorBidi" w:cstheme="majorBidi"/>
          <w:color w:val="222222"/>
          <w:sz w:val="28"/>
          <w:szCs w:val="28"/>
          <w:shd w:val="clear" w:color="auto" w:fill="FFFFFF"/>
        </w:rPr>
        <w:t xml:space="preserve"> strategic business decision-making: A systematic review of predictive models. </w:t>
      </w:r>
      <w:r w:rsidRPr="00BE5127">
        <w:rPr>
          <w:rFonts w:asciiTheme="majorBidi" w:hAnsiTheme="majorBidi" w:cstheme="majorBidi"/>
          <w:i/>
          <w:iCs/>
          <w:color w:val="222222"/>
          <w:sz w:val="28"/>
          <w:szCs w:val="28"/>
          <w:shd w:val="clear" w:color="auto" w:fill="FFFFFF"/>
        </w:rPr>
        <w:t>International Journal of Scientific Interdisciplinary Research</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4</w:t>
      </w:r>
      <w:r w:rsidRPr="00BE5127">
        <w:rPr>
          <w:rFonts w:asciiTheme="majorBidi" w:hAnsiTheme="majorBidi" w:cstheme="majorBidi"/>
          <w:color w:val="222222"/>
          <w:sz w:val="28"/>
          <w:szCs w:val="28"/>
          <w:shd w:val="clear" w:color="auto" w:fill="FFFFFF"/>
        </w:rPr>
        <w:t>(1), 01-26.</w:t>
      </w:r>
      <w:r w:rsidRPr="00BE5127">
        <w:rPr>
          <w:rFonts w:asciiTheme="majorBidi" w:hAnsiTheme="majorBidi" w:cstheme="majorBidi"/>
          <w:color w:val="222222"/>
          <w:sz w:val="28"/>
          <w:szCs w:val="28"/>
          <w:shd w:val="clear" w:color="auto" w:fill="FFFFFF"/>
          <w:rtl/>
        </w:rPr>
        <w:t>‏</w:t>
      </w:r>
    </w:p>
    <w:p w14:paraId="1785CEEE"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proofErr w:type="spellStart"/>
      <w:r w:rsidRPr="00BE5127">
        <w:rPr>
          <w:rFonts w:asciiTheme="majorBidi" w:hAnsiTheme="majorBidi" w:cstheme="majorBidi"/>
          <w:color w:val="222222"/>
          <w:sz w:val="28"/>
          <w:szCs w:val="28"/>
          <w:shd w:val="clear" w:color="auto" w:fill="FFFFFF"/>
        </w:rPr>
        <w:lastRenderedPageBreak/>
        <w:t>Wasesa</w:t>
      </w:r>
      <w:proofErr w:type="spellEnd"/>
      <w:r w:rsidRPr="00BE5127">
        <w:rPr>
          <w:rFonts w:asciiTheme="majorBidi" w:hAnsiTheme="majorBidi" w:cstheme="majorBidi"/>
          <w:color w:val="222222"/>
          <w:sz w:val="28"/>
          <w:szCs w:val="28"/>
          <w:shd w:val="clear" w:color="auto" w:fill="FFFFFF"/>
        </w:rPr>
        <w:t xml:space="preserve">, I. R. H., </w:t>
      </w:r>
      <w:proofErr w:type="spellStart"/>
      <w:r w:rsidRPr="00BE5127">
        <w:rPr>
          <w:rFonts w:asciiTheme="majorBidi" w:hAnsiTheme="majorBidi" w:cstheme="majorBidi"/>
          <w:color w:val="222222"/>
          <w:sz w:val="28"/>
          <w:szCs w:val="28"/>
          <w:shd w:val="clear" w:color="auto" w:fill="FFFFFF"/>
        </w:rPr>
        <w:t>Permatasari</w:t>
      </w:r>
      <w:proofErr w:type="spellEnd"/>
      <w:r w:rsidRPr="00BE5127">
        <w:rPr>
          <w:rFonts w:asciiTheme="majorBidi" w:hAnsiTheme="majorBidi" w:cstheme="majorBidi"/>
          <w:color w:val="222222"/>
          <w:sz w:val="28"/>
          <w:szCs w:val="28"/>
          <w:shd w:val="clear" w:color="auto" w:fill="FFFFFF"/>
        </w:rPr>
        <w:t xml:space="preserve">, D., </w:t>
      </w:r>
      <w:proofErr w:type="spellStart"/>
      <w:r w:rsidRPr="00BE5127">
        <w:rPr>
          <w:rFonts w:asciiTheme="majorBidi" w:hAnsiTheme="majorBidi" w:cstheme="majorBidi"/>
          <w:color w:val="222222"/>
          <w:sz w:val="28"/>
          <w:szCs w:val="28"/>
          <w:shd w:val="clear" w:color="auto" w:fill="FFFFFF"/>
        </w:rPr>
        <w:t>Angkat</w:t>
      </w:r>
      <w:proofErr w:type="spellEnd"/>
      <w:r w:rsidRPr="00BE5127">
        <w:rPr>
          <w:rFonts w:asciiTheme="majorBidi" w:hAnsiTheme="majorBidi" w:cstheme="majorBidi"/>
          <w:color w:val="222222"/>
          <w:sz w:val="28"/>
          <w:szCs w:val="28"/>
          <w:shd w:val="clear" w:color="auto" w:fill="FFFFFF"/>
        </w:rPr>
        <w:t>, F. A., &amp; Al-</w:t>
      </w:r>
      <w:proofErr w:type="spellStart"/>
      <w:r w:rsidRPr="00BE5127">
        <w:rPr>
          <w:rFonts w:asciiTheme="majorBidi" w:hAnsiTheme="majorBidi" w:cstheme="majorBidi"/>
          <w:color w:val="222222"/>
          <w:sz w:val="28"/>
          <w:szCs w:val="28"/>
          <w:shd w:val="clear" w:color="auto" w:fill="FFFFFF"/>
        </w:rPr>
        <w:t>Khowarizmi</w:t>
      </w:r>
      <w:proofErr w:type="spellEnd"/>
      <w:r w:rsidRPr="00BE5127">
        <w:rPr>
          <w:rFonts w:asciiTheme="majorBidi" w:hAnsiTheme="majorBidi" w:cstheme="majorBidi"/>
          <w:color w:val="222222"/>
          <w:sz w:val="28"/>
          <w:szCs w:val="28"/>
          <w:shd w:val="clear" w:color="auto" w:fill="FFFFFF"/>
        </w:rPr>
        <w:t>, A. K. (2025). Integration of artificial intelligence in management information systems to improve the effectiveness of strategic decision-making in the digital era. </w:t>
      </w:r>
      <w:r w:rsidRPr="00BE5127">
        <w:rPr>
          <w:rFonts w:asciiTheme="majorBidi" w:hAnsiTheme="majorBidi" w:cstheme="majorBidi"/>
          <w:i/>
          <w:iCs/>
          <w:color w:val="222222"/>
          <w:sz w:val="28"/>
          <w:szCs w:val="28"/>
          <w:shd w:val="clear" w:color="auto" w:fill="FFFFFF"/>
        </w:rPr>
        <w:t>Journal of Computer Science, Information Technology and Telecommunication Engineering</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6</w:t>
      </w:r>
      <w:r w:rsidRPr="00BE5127">
        <w:rPr>
          <w:rFonts w:asciiTheme="majorBidi" w:hAnsiTheme="majorBidi" w:cstheme="majorBidi"/>
          <w:color w:val="222222"/>
          <w:sz w:val="28"/>
          <w:szCs w:val="28"/>
          <w:shd w:val="clear" w:color="auto" w:fill="FFFFFF"/>
        </w:rPr>
        <w:t>(2), 923-929.</w:t>
      </w:r>
      <w:r w:rsidRPr="00BE5127">
        <w:rPr>
          <w:rFonts w:asciiTheme="majorBidi" w:hAnsiTheme="majorBidi" w:cstheme="majorBidi"/>
          <w:color w:val="222222"/>
          <w:sz w:val="28"/>
          <w:szCs w:val="28"/>
          <w:shd w:val="clear" w:color="auto" w:fill="FFFFFF"/>
          <w:rtl/>
        </w:rPr>
        <w:t>‏</w:t>
      </w:r>
    </w:p>
    <w:p w14:paraId="036037D6"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r w:rsidRPr="00BE5127">
        <w:rPr>
          <w:rFonts w:asciiTheme="majorBidi" w:hAnsiTheme="majorBidi" w:cstheme="majorBidi"/>
          <w:color w:val="222222"/>
          <w:sz w:val="28"/>
          <w:szCs w:val="28"/>
          <w:shd w:val="clear" w:color="auto" w:fill="FFFFFF"/>
        </w:rPr>
        <w:t xml:space="preserve">Wu, C., Zhang, R., Kotagiri, R., &amp; </w:t>
      </w:r>
      <w:proofErr w:type="spellStart"/>
      <w:r w:rsidRPr="00BE5127">
        <w:rPr>
          <w:rFonts w:asciiTheme="majorBidi" w:hAnsiTheme="majorBidi" w:cstheme="majorBidi"/>
          <w:color w:val="222222"/>
          <w:sz w:val="28"/>
          <w:szCs w:val="28"/>
          <w:shd w:val="clear" w:color="auto" w:fill="FFFFFF"/>
        </w:rPr>
        <w:t>Bouvry</w:t>
      </w:r>
      <w:proofErr w:type="spellEnd"/>
      <w:r w:rsidRPr="00BE5127">
        <w:rPr>
          <w:rFonts w:asciiTheme="majorBidi" w:hAnsiTheme="majorBidi" w:cstheme="majorBidi"/>
          <w:color w:val="222222"/>
          <w:sz w:val="28"/>
          <w:szCs w:val="28"/>
          <w:shd w:val="clear" w:color="auto" w:fill="FFFFFF"/>
        </w:rPr>
        <w:t>, P. (2023). Strategic decisions: survey, taxonomy, and future directions from artificial intelligence perspective. </w:t>
      </w:r>
      <w:r w:rsidRPr="00BE5127">
        <w:rPr>
          <w:rFonts w:asciiTheme="majorBidi" w:hAnsiTheme="majorBidi" w:cstheme="majorBidi"/>
          <w:i/>
          <w:iCs/>
          <w:color w:val="222222"/>
          <w:sz w:val="28"/>
          <w:szCs w:val="28"/>
          <w:shd w:val="clear" w:color="auto" w:fill="FFFFFF"/>
        </w:rPr>
        <w:t>ACM Computing Surveys</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55</w:t>
      </w:r>
      <w:r w:rsidRPr="00BE5127">
        <w:rPr>
          <w:rFonts w:asciiTheme="majorBidi" w:hAnsiTheme="majorBidi" w:cstheme="majorBidi"/>
          <w:color w:val="222222"/>
          <w:sz w:val="28"/>
          <w:szCs w:val="28"/>
          <w:shd w:val="clear" w:color="auto" w:fill="FFFFFF"/>
        </w:rPr>
        <w:t>(12), 1-30.</w:t>
      </w:r>
      <w:r w:rsidRPr="00BE5127">
        <w:rPr>
          <w:rFonts w:asciiTheme="majorBidi" w:hAnsiTheme="majorBidi" w:cstheme="majorBidi"/>
          <w:color w:val="222222"/>
          <w:sz w:val="28"/>
          <w:szCs w:val="28"/>
          <w:shd w:val="clear" w:color="auto" w:fill="FFFFFF"/>
          <w:rtl/>
        </w:rPr>
        <w:t>‏</w:t>
      </w:r>
    </w:p>
    <w:p w14:paraId="1D4AC923"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Pr>
      </w:pPr>
      <w:r w:rsidRPr="00BE5127">
        <w:rPr>
          <w:rFonts w:asciiTheme="majorBidi" w:hAnsiTheme="majorBidi" w:cstheme="majorBidi"/>
          <w:color w:val="222222"/>
          <w:sz w:val="28"/>
          <w:szCs w:val="28"/>
          <w:shd w:val="clear" w:color="auto" w:fill="FFFFFF"/>
        </w:rPr>
        <w:t>Yu, L., &amp; Li, Y. (2022). Artificial intelligence decision-making transparency and employees’ trust: The parallel multiple mediating effect of effectiveness and discomfort. </w:t>
      </w:r>
      <w:r w:rsidRPr="00BE5127">
        <w:rPr>
          <w:rFonts w:asciiTheme="majorBidi" w:hAnsiTheme="majorBidi" w:cstheme="majorBidi"/>
          <w:i/>
          <w:iCs/>
          <w:color w:val="222222"/>
          <w:sz w:val="28"/>
          <w:szCs w:val="28"/>
          <w:shd w:val="clear" w:color="auto" w:fill="FFFFFF"/>
        </w:rPr>
        <w:t>Behavioral Sciences</w:t>
      </w:r>
      <w:r w:rsidRPr="00BE5127">
        <w:rPr>
          <w:rFonts w:asciiTheme="majorBidi" w:hAnsiTheme="majorBidi" w:cstheme="majorBidi"/>
          <w:color w:val="222222"/>
          <w:sz w:val="28"/>
          <w:szCs w:val="28"/>
          <w:shd w:val="clear" w:color="auto" w:fill="FFFFFF"/>
        </w:rPr>
        <w:t>, </w:t>
      </w:r>
      <w:r w:rsidRPr="00BE5127">
        <w:rPr>
          <w:rFonts w:asciiTheme="majorBidi" w:hAnsiTheme="majorBidi" w:cstheme="majorBidi"/>
          <w:i/>
          <w:iCs/>
          <w:color w:val="222222"/>
          <w:sz w:val="28"/>
          <w:szCs w:val="28"/>
          <w:shd w:val="clear" w:color="auto" w:fill="FFFFFF"/>
        </w:rPr>
        <w:t>12</w:t>
      </w:r>
      <w:r w:rsidRPr="00BE5127">
        <w:rPr>
          <w:rFonts w:asciiTheme="majorBidi" w:hAnsiTheme="majorBidi" w:cstheme="majorBidi"/>
          <w:color w:val="222222"/>
          <w:sz w:val="28"/>
          <w:szCs w:val="28"/>
          <w:shd w:val="clear" w:color="auto" w:fill="FFFFFF"/>
        </w:rPr>
        <w:t>(5), 127.</w:t>
      </w:r>
      <w:r w:rsidRPr="00BE5127">
        <w:rPr>
          <w:rFonts w:asciiTheme="majorBidi" w:hAnsiTheme="majorBidi" w:cstheme="majorBidi"/>
          <w:color w:val="222222"/>
          <w:sz w:val="28"/>
          <w:szCs w:val="28"/>
          <w:shd w:val="clear" w:color="auto" w:fill="FFFFFF"/>
          <w:rtl/>
        </w:rPr>
        <w:t>‏</w:t>
      </w:r>
    </w:p>
    <w:p w14:paraId="591306A0" w14:textId="77777777" w:rsidR="00BE5127" w:rsidRPr="00BE5127" w:rsidRDefault="00BE5127" w:rsidP="00BE5127">
      <w:pPr>
        <w:spacing w:line="360" w:lineRule="auto"/>
        <w:ind w:left="1440" w:hanging="720"/>
        <w:jc w:val="both"/>
        <w:rPr>
          <w:rFonts w:asciiTheme="majorBidi" w:hAnsiTheme="majorBidi" w:cstheme="majorBidi"/>
          <w:color w:val="222222"/>
          <w:sz w:val="28"/>
          <w:szCs w:val="28"/>
          <w:shd w:val="clear" w:color="auto" w:fill="FFFFFF"/>
          <w:rtl/>
        </w:rPr>
      </w:pPr>
    </w:p>
    <w:p w14:paraId="64CA793F" w14:textId="3C00AD7A" w:rsidR="0090259A" w:rsidRPr="00AF505F" w:rsidRDefault="0090259A" w:rsidP="00BE5127">
      <w:pPr>
        <w:bidi/>
        <w:jc w:val="center"/>
        <w:rPr>
          <w:rFonts w:asciiTheme="majorBidi" w:hAnsiTheme="majorBidi" w:cstheme="majorBidi"/>
          <w:color w:val="222222"/>
          <w:sz w:val="28"/>
          <w:szCs w:val="28"/>
          <w:shd w:val="clear" w:color="auto" w:fill="FFFFFF"/>
          <w:rtl/>
        </w:rPr>
      </w:pPr>
    </w:p>
    <w:sectPr w:rsidR="0090259A" w:rsidRPr="00AF505F" w:rsidSect="006A2E70">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53712" w14:textId="77777777" w:rsidR="00D30C19" w:rsidRDefault="00D30C19">
      <w:pPr>
        <w:spacing w:after="0" w:line="240" w:lineRule="auto"/>
      </w:pPr>
      <w:r>
        <w:separator/>
      </w:r>
    </w:p>
  </w:endnote>
  <w:endnote w:type="continuationSeparator" w:id="0">
    <w:p w14:paraId="5C8E171C" w14:textId="77777777" w:rsidR="00D30C19" w:rsidRDefault="00D3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Monotype Koufi">
    <w:panose1 w:val="00000000000000000000"/>
    <w:charset w:val="B2"/>
    <w:family w:val="auto"/>
    <w:pitch w:val="variable"/>
    <w:sig w:usb0="02942001"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573601"/>
      <w:docPartObj>
        <w:docPartGallery w:val="Page Numbers (Bottom of Page)"/>
        <w:docPartUnique/>
      </w:docPartObj>
    </w:sdtPr>
    <w:sdtEndPr>
      <w:rPr>
        <w:noProof/>
      </w:rPr>
    </w:sdtEndPr>
    <w:sdtContent>
      <w:p w14:paraId="7450E616" w14:textId="77777777" w:rsidR="006A2E70" w:rsidRDefault="006A2E70">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5E97C30A" w14:textId="77777777" w:rsidR="006A2E70" w:rsidRDefault="006A2E7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9DF6E" w14:textId="77777777" w:rsidR="00D30C19" w:rsidRDefault="00D30C19">
      <w:pPr>
        <w:spacing w:after="0" w:line="240" w:lineRule="auto"/>
      </w:pPr>
      <w:r>
        <w:separator/>
      </w:r>
    </w:p>
  </w:footnote>
  <w:footnote w:type="continuationSeparator" w:id="0">
    <w:p w14:paraId="3D58B1CB" w14:textId="77777777" w:rsidR="00D30C19" w:rsidRDefault="00D30C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F3D64"/>
    <w:multiLevelType w:val="hybridMultilevel"/>
    <w:tmpl w:val="4ECA3584"/>
    <w:lvl w:ilvl="0" w:tplc="10AE36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5A66F8"/>
    <w:multiLevelType w:val="hybridMultilevel"/>
    <w:tmpl w:val="8946B106"/>
    <w:lvl w:ilvl="0" w:tplc="F756502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AD5708"/>
    <w:multiLevelType w:val="multilevel"/>
    <w:tmpl w:val="3096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342461"/>
    <w:multiLevelType w:val="multilevel"/>
    <w:tmpl w:val="CCE63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804809"/>
    <w:multiLevelType w:val="hybridMultilevel"/>
    <w:tmpl w:val="C9601750"/>
    <w:lvl w:ilvl="0" w:tplc="9C7CED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E27456"/>
    <w:multiLevelType w:val="multilevel"/>
    <w:tmpl w:val="94146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710F54"/>
    <w:multiLevelType w:val="multilevel"/>
    <w:tmpl w:val="7378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8D3B0F"/>
    <w:multiLevelType w:val="hybridMultilevel"/>
    <w:tmpl w:val="91F60C12"/>
    <w:lvl w:ilvl="0" w:tplc="3064B1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C71D8B"/>
    <w:multiLevelType w:val="multilevel"/>
    <w:tmpl w:val="3B244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923621"/>
    <w:multiLevelType w:val="hybridMultilevel"/>
    <w:tmpl w:val="6A62C0DE"/>
    <w:lvl w:ilvl="0" w:tplc="43C08A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617CDA"/>
    <w:multiLevelType w:val="hybridMultilevel"/>
    <w:tmpl w:val="310E61A8"/>
    <w:lvl w:ilvl="0" w:tplc="F11688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533581"/>
    <w:multiLevelType w:val="multilevel"/>
    <w:tmpl w:val="8F64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295203"/>
    <w:multiLevelType w:val="hybridMultilevel"/>
    <w:tmpl w:val="BD26EDF6"/>
    <w:lvl w:ilvl="0" w:tplc="5E00AD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D65D22"/>
    <w:multiLevelType w:val="multilevel"/>
    <w:tmpl w:val="74267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0C5D37"/>
    <w:multiLevelType w:val="hybridMultilevel"/>
    <w:tmpl w:val="7A72CBBC"/>
    <w:lvl w:ilvl="0" w:tplc="4ED0D1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B86599"/>
    <w:multiLevelType w:val="hybridMultilevel"/>
    <w:tmpl w:val="361085C0"/>
    <w:lvl w:ilvl="0" w:tplc="B76423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8992789">
    <w:abstractNumId w:val="6"/>
  </w:num>
  <w:num w:numId="2" w16cid:durableId="1638997926">
    <w:abstractNumId w:val="3"/>
  </w:num>
  <w:num w:numId="3" w16cid:durableId="1306735496">
    <w:abstractNumId w:val="13"/>
  </w:num>
  <w:num w:numId="4" w16cid:durableId="983656761">
    <w:abstractNumId w:val="11"/>
  </w:num>
  <w:num w:numId="5" w16cid:durableId="2023973253">
    <w:abstractNumId w:val="2"/>
  </w:num>
  <w:num w:numId="6" w16cid:durableId="782000475">
    <w:abstractNumId w:val="8"/>
  </w:num>
  <w:num w:numId="7" w16cid:durableId="2050760726">
    <w:abstractNumId w:val="5"/>
  </w:num>
  <w:num w:numId="8" w16cid:durableId="1157302940">
    <w:abstractNumId w:val="15"/>
  </w:num>
  <w:num w:numId="9" w16cid:durableId="1876195424">
    <w:abstractNumId w:val="9"/>
  </w:num>
  <w:num w:numId="10" w16cid:durableId="1926331819">
    <w:abstractNumId w:val="0"/>
  </w:num>
  <w:num w:numId="11" w16cid:durableId="148863661">
    <w:abstractNumId w:val="4"/>
  </w:num>
  <w:num w:numId="12" w16cid:durableId="1664971490">
    <w:abstractNumId w:val="12"/>
  </w:num>
  <w:num w:numId="13" w16cid:durableId="922765635">
    <w:abstractNumId w:val="7"/>
  </w:num>
  <w:num w:numId="14" w16cid:durableId="1399935573">
    <w:abstractNumId w:val="14"/>
  </w:num>
  <w:num w:numId="15" w16cid:durableId="349111255">
    <w:abstractNumId w:val="10"/>
  </w:num>
  <w:num w:numId="16" w16cid:durableId="535195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84B"/>
    <w:rsid w:val="00057390"/>
    <w:rsid w:val="00063A93"/>
    <w:rsid w:val="00094A15"/>
    <w:rsid w:val="000E5679"/>
    <w:rsid w:val="000E72B9"/>
    <w:rsid w:val="00117B84"/>
    <w:rsid w:val="0013066F"/>
    <w:rsid w:val="00130FC6"/>
    <w:rsid w:val="00137B3B"/>
    <w:rsid w:val="00144CC4"/>
    <w:rsid w:val="00197228"/>
    <w:rsid w:val="001A7D68"/>
    <w:rsid w:val="001B3155"/>
    <w:rsid w:val="00202AFD"/>
    <w:rsid w:val="00206B3F"/>
    <w:rsid w:val="002265B2"/>
    <w:rsid w:val="00235F9B"/>
    <w:rsid w:val="002450AC"/>
    <w:rsid w:val="00252082"/>
    <w:rsid w:val="00286260"/>
    <w:rsid w:val="002A6A74"/>
    <w:rsid w:val="002A6F9E"/>
    <w:rsid w:val="002E2988"/>
    <w:rsid w:val="002F31E0"/>
    <w:rsid w:val="002F4DFE"/>
    <w:rsid w:val="003570B0"/>
    <w:rsid w:val="00372133"/>
    <w:rsid w:val="0038473F"/>
    <w:rsid w:val="003C64B0"/>
    <w:rsid w:val="003F0047"/>
    <w:rsid w:val="0042670A"/>
    <w:rsid w:val="004553F9"/>
    <w:rsid w:val="0046623A"/>
    <w:rsid w:val="004A0A2E"/>
    <w:rsid w:val="004C33C9"/>
    <w:rsid w:val="004E0C0B"/>
    <w:rsid w:val="005050B7"/>
    <w:rsid w:val="005617FB"/>
    <w:rsid w:val="00581D0A"/>
    <w:rsid w:val="005B7750"/>
    <w:rsid w:val="005D684B"/>
    <w:rsid w:val="005E2ABD"/>
    <w:rsid w:val="005E3FCF"/>
    <w:rsid w:val="00602942"/>
    <w:rsid w:val="0061595F"/>
    <w:rsid w:val="00694ED8"/>
    <w:rsid w:val="006A2E70"/>
    <w:rsid w:val="006F48BF"/>
    <w:rsid w:val="006F5668"/>
    <w:rsid w:val="00720953"/>
    <w:rsid w:val="007330D8"/>
    <w:rsid w:val="00742030"/>
    <w:rsid w:val="0076156D"/>
    <w:rsid w:val="00791C39"/>
    <w:rsid w:val="007A6BF5"/>
    <w:rsid w:val="00801D40"/>
    <w:rsid w:val="00812129"/>
    <w:rsid w:val="00830050"/>
    <w:rsid w:val="0088508C"/>
    <w:rsid w:val="00887924"/>
    <w:rsid w:val="008F3D67"/>
    <w:rsid w:val="008F69CF"/>
    <w:rsid w:val="0090127F"/>
    <w:rsid w:val="0090259A"/>
    <w:rsid w:val="00907458"/>
    <w:rsid w:val="00917B5A"/>
    <w:rsid w:val="0094457A"/>
    <w:rsid w:val="009450E4"/>
    <w:rsid w:val="00950260"/>
    <w:rsid w:val="0099716B"/>
    <w:rsid w:val="009B4B26"/>
    <w:rsid w:val="009F4125"/>
    <w:rsid w:val="009F7331"/>
    <w:rsid w:val="00A0386E"/>
    <w:rsid w:val="00A1165D"/>
    <w:rsid w:val="00A71409"/>
    <w:rsid w:val="00A85296"/>
    <w:rsid w:val="00A933EF"/>
    <w:rsid w:val="00AC2C89"/>
    <w:rsid w:val="00AE394B"/>
    <w:rsid w:val="00AF505F"/>
    <w:rsid w:val="00AF6B65"/>
    <w:rsid w:val="00B52242"/>
    <w:rsid w:val="00B663D4"/>
    <w:rsid w:val="00B804CF"/>
    <w:rsid w:val="00B94435"/>
    <w:rsid w:val="00BB70EF"/>
    <w:rsid w:val="00BE5127"/>
    <w:rsid w:val="00C26D6C"/>
    <w:rsid w:val="00C337D7"/>
    <w:rsid w:val="00C448D9"/>
    <w:rsid w:val="00C80DAC"/>
    <w:rsid w:val="00CB2159"/>
    <w:rsid w:val="00CE066D"/>
    <w:rsid w:val="00CE7982"/>
    <w:rsid w:val="00D30C19"/>
    <w:rsid w:val="00D321AB"/>
    <w:rsid w:val="00D42C46"/>
    <w:rsid w:val="00D45C4B"/>
    <w:rsid w:val="00D6132D"/>
    <w:rsid w:val="00D74D18"/>
    <w:rsid w:val="00D81CB0"/>
    <w:rsid w:val="00D849B5"/>
    <w:rsid w:val="00DD440A"/>
    <w:rsid w:val="00E27801"/>
    <w:rsid w:val="00E27D71"/>
    <w:rsid w:val="00E461E3"/>
    <w:rsid w:val="00E50E11"/>
    <w:rsid w:val="00E70164"/>
    <w:rsid w:val="00E70EFC"/>
    <w:rsid w:val="00E77D96"/>
    <w:rsid w:val="00EA1603"/>
    <w:rsid w:val="00EB35F4"/>
    <w:rsid w:val="00EC5F97"/>
    <w:rsid w:val="00ED3557"/>
    <w:rsid w:val="00F324FA"/>
    <w:rsid w:val="00F62D1F"/>
    <w:rsid w:val="00F703B7"/>
    <w:rsid w:val="00F93775"/>
    <w:rsid w:val="00FD6D47"/>
    <w:rsid w:val="00FF5D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3CBE5"/>
  <w15:chartTrackingRefBased/>
  <w15:docId w15:val="{C8D2003A-F112-40E3-B868-84ED7028E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2988"/>
    <w:pPr>
      <w:ind w:left="720"/>
      <w:contextualSpacing/>
    </w:pPr>
  </w:style>
  <w:style w:type="paragraph" w:styleId="a4">
    <w:name w:val="Normal (Web)"/>
    <w:basedOn w:val="a"/>
    <w:uiPriority w:val="99"/>
    <w:semiHidden/>
    <w:unhideWhenUsed/>
    <w:rsid w:val="00E27D71"/>
    <w:rPr>
      <w:rFonts w:ascii="Times New Roman" w:hAnsi="Times New Roman" w:cs="Times New Roman"/>
      <w:sz w:val="24"/>
      <w:szCs w:val="24"/>
    </w:rPr>
  </w:style>
  <w:style w:type="paragraph" w:styleId="a5">
    <w:name w:val="footer"/>
    <w:basedOn w:val="a"/>
    <w:link w:val="Char"/>
    <w:uiPriority w:val="99"/>
    <w:unhideWhenUsed/>
    <w:rsid w:val="006A2E70"/>
    <w:pPr>
      <w:tabs>
        <w:tab w:val="center" w:pos="4680"/>
        <w:tab w:val="right" w:pos="9360"/>
      </w:tabs>
      <w:spacing w:after="0" w:line="240" w:lineRule="auto"/>
    </w:pPr>
    <w:rPr>
      <w:kern w:val="2"/>
      <w:sz w:val="24"/>
      <w:szCs w:val="24"/>
      <w14:ligatures w14:val="standardContextual"/>
    </w:rPr>
  </w:style>
  <w:style w:type="character" w:customStyle="1" w:styleId="Char">
    <w:name w:val="تذييل الصفحة Char"/>
    <w:basedOn w:val="a0"/>
    <w:link w:val="a5"/>
    <w:uiPriority w:val="99"/>
    <w:rsid w:val="006A2E70"/>
    <w:rPr>
      <w:kern w:val="2"/>
      <w:sz w:val="24"/>
      <w:szCs w:val="24"/>
      <w14:ligatures w14:val="standardContextual"/>
    </w:rPr>
  </w:style>
  <w:style w:type="table" w:styleId="1">
    <w:name w:val="Plain Table 1"/>
    <w:basedOn w:val="a1"/>
    <w:uiPriority w:val="41"/>
    <w:rsid w:val="00AF505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6">
    <w:name w:val="Table Grid"/>
    <w:basedOn w:val="a1"/>
    <w:uiPriority w:val="39"/>
    <w:rsid w:val="00AF5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AF50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3842">
      <w:bodyDiv w:val="1"/>
      <w:marLeft w:val="0"/>
      <w:marRight w:val="0"/>
      <w:marTop w:val="0"/>
      <w:marBottom w:val="0"/>
      <w:divBdr>
        <w:top w:val="none" w:sz="0" w:space="0" w:color="auto"/>
        <w:left w:val="none" w:sz="0" w:space="0" w:color="auto"/>
        <w:bottom w:val="none" w:sz="0" w:space="0" w:color="auto"/>
        <w:right w:val="none" w:sz="0" w:space="0" w:color="auto"/>
      </w:divBdr>
    </w:div>
    <w:div w:id="218326187">
      <w:bodyDiv w:val="1"/>
      <w:marLeft w:val="0"/>
      <w:marRight w:val="0"/>
      <w:marTop w:val="0"/>
      <w:marBottom w:val="0"/>
      <w:divBdr>
        <w:top w:val="none" w:sz="0" w:space="0" w:color="auto"/>
        <w:left w:val="none" w:sz="0" w:space="0" w:color="auto"/>
        <w:bottom w:val="none" w:sz="0" w:space="0" w:color="auto"/>
        <w:right w:val="none" w:sz="0" w:space="0" w:color="auto"/>
      </w:divBdr>
    </w:div>
    <w:div w:id="369570546">
      <w:bodyDiv w:val="1"/>
      <w:marLeft w:val="0"/>
      <w:marRight w:val="0"/>
      <w:marTop w:val="0"/>
      <w:marBottom w:val="0"/>
      <w:divBdr>
        <w:top w:val="none" w:sz="0" w:space="0" w:color="auto"/>
        <w:left w:val="none" w:sz="0" w:space="0" w:color="auto"/>
        <w:bottom w:val="none" w:sz="0" w:space="0" w:color="auto"/>
        <w:right w:val="none" w:sz="0" w:space="0" w:color="auto"/>
      </w:divBdr>
      <w:divsChild>
        <w:div w:id="94448351">
          <w:marLeft w:val="0"/>
          <w:marRight w:val="0"/>
          <w:marTop w:val="0"/>
          <w:marBottom w:val="0"/>
          <w:divBdr>
            <w:top w:val="none" w:sz="0" w:space="0" w:color="auto"/>
            <w:left w:val="none" w:sz="0" w:space="0" w:color="auto"/>
            <w:bottom w:val="none" w:sz="0" w:space="0" w:color="auto"/>
            <w:right w:val="none" w:sz="0" w:space="0" w:color="auto"/>
          </w:divBdr>
          <w:divsChild>
            <w:div w:id="158487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261932">
      <w:bodyDiv w:val="1"/>
      <w:marLeft w:val="0"/>
      <w:marRight w:val="0"/>
      <w:marTop w:val="0"/>
      <w:marBottom w:val="0"/>
      <w:divBdr>
        <w:top w:val="none" w:sz="0" w:space="0" w:color="auto"/>
        <w:left w:val="none" w:sz="0" w:space="0" w:color="auto"/>
        <w:bottom w:val="none" w:sz="0" w:space="0" w:color="auto"/>
        <w:right w:val="none" w:sz="0" w:space="0" w:color="auto"/>
      </w:divBdr>
    </w:div>
    <w:div w:id="630790014">
      <w:bodyDiv w:val="1"/>
      <w:marLeft w:val="0"/>
      <w:marRight w:val="0"/>
      <w:marTop w:val="0"/>
      <w:marBottom w:val="0"/>
      <w:divBdr>
        <w:top w:val="none" w:sz="0" w:space="0" w:color="auto"/>
        <w:left w:val="none" w:sz="0" w:space="0" w:color="auto"/>
        <w:bottom w:val="none" w:sz="0" w:space="0" w:color="auto"/>
        <w:right w:val="none" w:sz="0" w:space="0" w:color="auto"/>
      </w:divBdr>
    </w:div>
    <w:div w:id="637690553">
      <w:bodyDiv w:val="1"/>
      <w:marLeft w:val="0"/>
      <w:marRight w:val="0"/>
      <w:marTop w:val="0"/>
      <w:marBottom w:val="0"/>
      <w:divBdr>
        <w:top w:val="none" w:sz="0" w:space="0" w:color="auto"/>
        <w:left w:val="none" w:sz="0" w:space="0" w:color="auto"/>
        <w:bottom w:val="none" w:sz="0" w:space="0" w:color="auto"/>
        <w:right w:val="none" w:sz="0" w:space="0" w:color="auto"/>
      </w:divBdr>
    </w:div>
    <w:div w:id="707148185">
      <w:bodyDiv w:val="1"/>
      <w:marLeft w:val="0"/>
      <w:marRight w:val="0"/>
      <w:marTop w:val="0"/>
      <w:marBottom w:val="0"/>
      <w:divBdr>
        <w:top w:val="none" w:sz="0" w:space="0" w:color="auto"/>
        <w:left w:val="none" w:sz="0" w:space="0" w:color="auto"/>
        <w:bottom w:val="none" w:sz="0" w:space="0" w:color="auto"/>
        <w:right w:val="none" w:sz="0" w:space="0" w:color="auto"/>
      </w:divBdr>
    </w:div>
    <w:div w:id="794175489">
      <w:bodyDiv w:val="1"/>
      <w:marLeft w:val="0"/>
      <w:marRight w:val="0"/>
      <w:marTop w:val="0"/>
      <w:marBottom w:val="0"/>
      <w:divBdr>
        <w:top w:val="none" w:sz="0" w:space="0" w:color="auto"/>
        <w:left w:val="none" w:sz="0" w:space="0" w:color="auto"/>
        <w:bottom w:val="none" w:sz="0" w:space="0" w:color="auto"/>
        <w:right w:val="none" w:sz="0" w:space="0" w:color="auto"/>
      </w:divBdr>
    </w:div>
    <w:div w:id="806580968">
      <w:bodyDiv w:val="1"/>
      <w:marLeft w:val="0"/>
      <w:marRight w:val="0"/>
      <w:marTop w:val="0"/>
      <w:marBottom w:val="0"/>
      <w:divBdr>
        <w:top w:val="none" w:sz="0" w:space="0" w:color="auto"/>
        <w:left w:val="none" w:sz="0" w:space="0" w:color="auto"/>
        <w:bottom w:val="none" w:sz="0" w:space="0" w:color="auto"/>
        <w:right w:val="none" w:sz="0" w:space="0" w:color="auto"/>
      </w:divBdr>
    </w:div>
    <w:div w:id="818572171">
      <w:bodyDiv w:val="1"/>
      <w:marLeft w:val="0"/>
      <w:marRight w:val="0"/>
      <w:marTop w:val="0"/>
      <w:marBottom w:val="0"/>
      <w:divBdr>
        <w:top w:val="none" w:sz="0" w:space="0" w:color="auto"/>
        <w:left w:val="none" w:sz="0" w:space="0" w:color="auto"/>
        <w:bottom w:val="none" w:sz="0" w:space="0" w:color="auto"/>
        <w:right w:val="none" w:sz="0" w:space="0" w:color="auto"/>
      </w:divBdr>
    </w:div>
    <w:div w:id="903755737">
      <w:bodyDiv w:val="1"/>
      <w:marLeft w:val="0"/>
      <w:marRight w:val="0"/>
      <w:marTop w:val="0"/>
      <w:marBottom w:val="0"/>
      <w:divBdr>
        <w:top w:val="none" w:sz="0" w:space="0" w:color="auto"/>
        <w:left w:val="none" w:sz="0" w:space="0" w:color="auto"/>
        <w:bottom w:val="none" w:sz="0" w:space="0" w:color="auto"/>
        <w:right w:val="none" w:sz="0" w:space="0" w:color="auto"/>
      </w:divBdr>
    </w:div>
    <w:div w:id="910579615">
      <w:bodyDiv w:val="1"/>
      <w:marLeft w:val="0"/>
      <w:marRight w:val="0"/>
      <w:marTop w:val="0"/>
      <w:marBottom w:val="0"/>
      <w:divBdr>
        <w:top w:val="none" w:sz="0" w:space="0" w:color="auto"/>
        <w:left w:val="none" w:sz="0" w:space="0" w:color="auto"/>
        <w:bottom w:val="none" w:sz="0" w:space="0" w:color="auto"/>
        <w:right w:val="none" w:sz="0" w:space="0" w:color="auto"/>
      </w:divBdr>
    </w:div>
    <w:div w:id="999230281">
      <w:bodyDiv w:val="1"/>
      <w:marLeft w:val="0"/>
      <w:marRight w:val="0"/>
      <w:marTop w:val="0"/>
      <w:marBottom w:val="0"/>
      <w:divBdr>
        <w:top w:val="none" w:sz="0" w:space="0" w:color="auto"/>
        <w:left w:val="none" w:sz="0" w:space="0" w:color="auto"/>
        <w:bottom w:val="none" w:sz="0" w:space="0" w:color="auto"/>
        <w:right w:val="none" w:sz="0" w:space="0" w:color="auto"/>
      </w:divBdr>
    </w:div>
    <w:div w:id="1045445941">
      <w:bodyDiv w:val="1"/>
      <w:marLeft w:val="0"/>
      <w:marRight w:val="0"/>
      <w:marTop w:val="0"/>
      <w:marBottom w:val="0"/>
      <w:divBdr>
        <w:top w:val="none" w:sz="0" w:space="0" w:color="auto"/>
        <w:left w:val="none" w:sz="0" w:space="0" w:color="auto"/>
        <w:bottom w:val="none" w:sz="0" w:space="0" w:color="auto"/>
        <w:right w:val="none" w:sz="0" w:space="0" w:color="auto"/>
      </w:divBdr>
    </w:div>
    <w:div w:id="1167788591">
      <w:bodyDiv w:val="1"/>
      <w:marLeft w:val="0"/>
      <w:marRight w:val="0"/>
      <w:marTop w:val="0"/>
      <w:marBottom w:val="0"/>
      <w:divBdr>
        <w:top w:val="none" w:sz="0" w:space="0" w:color="auto"/>
        <w:left w:val="none" w:sz="0" w:space="0" w:color="auto"/>
        <w:bottom w:val="none" w:sz="0" w:space="0" w:color="auto"/>
        <w:right w:val="none" w:sz="0" w:space="0" w:color="auto"/>
      </w:divBdr>
    </w:div>
    <w:div w:id="1199393517">
      <w:bodyDiv w:val="1"/>
      <w:marLeft w:val="0"/>
      <w:marRight w:val="0"/>
      <w:marTop w:val="0"/>
      <w:marBottom w:val="0"/>
      <w:divBdr>
        <w:top w:val="none" w:sz="0" w:space="0" w:color="auto"/>
        <w:left w:val="none" w:sz="0" w:space="0" w:color="auto"/>
        <w:bottom w:val="none" w:sz="0" w:space="0" w:color="auto"/>
        <w:right w:val="none" w:sz="0" w:space="0" w:color="auto"/>
      </w:divBdr>
    </w:div>
    <w:div w:id="1274436080">
      <w:bodyDiv w:val="1"/>
      <w:marLeft w:val="0"/>
      <w:marRight w:val="0"/>
      <w:marTop w:val="0"/>
      <w:marBottom w:val="0"/>
      <w:divBdr>
        <w:top w:val="none" w:sz="0" w:space="0" w:color="auto"/>
        <w:left w:val="none" w:sz="0" w:space="0" w:color="auto"/>
        <w:bottom w:val="none" w:sz="0" w:space="0" w:color="auto"/>
        <w:right w:val="none" w:sz="0" w:space="0" w:color="auto"/>
      </w:divBdr>
    </w:div>
    <w:div w:id="1295866638">
      <w:bodyDiv w:val="1"/>
      <w:marLeft w:val="0"/>
      <w:marRight w:val="0"/>
      <w:marTop w:val="0"/>
      <w:marBottom w:val="0"/>
      <w:divBdr>
        <w:top w:val="none" w:sz="0" w:space="0" w:color="auto"/>
        <w:left w:val="none" w:sz="0" w:space="0" w:color="auto"/>
        <w:bottom w:val="none" w:sz="0" w:space="0" w:color="auto"/>
        <w:right w:val="none" w:sz="0" w:space="0" w:color="auto"/>
      </w:divBdr>
    </w:div>
    <w:div w:id="1316641772">
      <w:bodyDiv w:val="1"/>
      <w:marLeft w:val="0"/>
      <w:marRight w:val="0"/>
      <w:marTop w:val="0"/>
      <w:marBottom w:val="0"/>
      <w:divBdr>
        <w:top w:val="none" w:sz="0" w:space="0" w:color="auto"/>
        <w:left w:val="none" w:sz="0" w:space="0" w:color="auto"/>
        <w:bottom w:val="none" w:sz="0" w:space="0" w:color="auto"/>
        <w:right w:val="none" w:sz="0" w:space="0" w:color="auto"/>
      </w:divBdr>
      <w:divsChild>
        <w:div w:id="1667006245">
          <w:marLeft w:val="0"/>
          <w:marRight w:val="0"/>
          <w:marTop w:val="0"/>
          <w:marBottom w:val="0"/>
          <w:divBdr>
            <w:top w:val="none" w:sz="0" w:space="0" w:color="auto"/>
            <w:left w:val="none" w:sz="0" w:space="0" w:color="auto"/>
            <w:bottom w:val="none" w:sz="0" w:space="0" w:color="auto"/>
            <w:right w:val="none" w:sz="0" w:space="0" w:color="auto"/>
          </w:divBdr>
          <w:divsChild>
            <w:div w:id="90553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124185">
      <w:bodyDiv w:val="1"/>
      <w:marLeft w:val="0"/>
      <w:marRight w:val="0"/>
      <w:marTop w:val="0"/>
      <w:marBottom w:val="0"/>
      <w:divBdr>
        <w:top w:val="none" w:sz="0" w:space="0" w:color="auto"/>
        <w:left w:val="none" w:sz="0" w:space="0" w:color="auto"/>
        <w:bottom w:val="none" w:sz="0" w:space="0" w:color="auto"/>
        <w:right w:val="none" w:sz="0" w:space="0" w:color="auto"/>
      </w:divBdr>
      <w:divsChild>
        <w:div w:id="1576670270">
          <w:marLeft w:val="0"/>
          <w:marRight w:val="0"/>
          <w:marTop w:val="0"/>
          <w:marBottom w:val="0"/>
          <w:divBdr>
            <w:top w:val="none" w:sz="0" w:space="0" w:color="auto"/>
            <w:left w:val="none" w:sz="0" w:space="0" w:color="auto"/>
            <w:bottom w:val="none" w:sz="0" w:space="0" w:color="auto"/>
            <w:right w:val="none" w:sz="0" w:space="0" w:color="auto"/>
          </w:divBdr>
          <w:divsChild>
            <w:div w:id="123215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542937">
      <w:bodyDiv w:val="1"/>
      <w:marLeft w:val="0"/>
      <w:marRight w:val="0"/>
      <w:marTop w:val="0"/>
      <w:marBottom w:val="0"/>
      <w:divBdr>
        <w:top w:val="none" w:sz="0" w:space="0" w:color="auto"/>
        <w:left w:val="none" w:sz="0" w:space="0" w:color="auto"/>
        <w:bottom w:val="none" w:sz="0" w:space="0" w:color="auto"/>
        <w:right w:val="none" w:sz="0" w:space="0" w:color="auto"/>
      </w:divBdr>
    </w:div>
    <w:div w:id="1512254577">
      <w:bodyDiv w:val="1"/>
      <w:marLeft w:val="0"/>
      <w:marRight w:val="0"/>
      <w:marTop w:val="0"/>
      <w:marBottom w:val="0"/>
      <w:divBdr>
        <w:top w:val="none" w:sz="0" w:space="0" w:color="auto"/>
        <w:left w:val="none" w:sz="0" w:space="0" w:color="auto"/>
        <w:bottom w:val="none" w:sz="0" w:space="0" w:color="auto"/>
        <w:right w:val="none" w:sz="0" w:space="0" w:color="auto"/>
      </w:divBdr>
    </w:div>
    <w:div w:id="1539122038">
      <w:bodyDiv w:val="1"/>
      <w:marLeft w:val="0"/>
      <w:marRight w:val="0"/>
      <w:marTop w:val="0"/>
      <w:marBottom w:val="0"/>
      <w:divBdr>
        <w:top w:val="none" w:sz="0" w:space="0" w:color="auto"/>
        <w:left w:val="none" w:sz="0" w:space="0" w:color="auto"/>
        <w:bottom w:val="none" w:sz="0" w:space="0" w:color="auto"/>
        <w:right w:val="none" w:sz="0" w:space="0" w:color="auto"/>
      </w:divBdr>
    </w:div>
    <w:div w:id="1551113269">
      <w:bodyDiv w:val="1"/>
      <w:marLeft w:val="0"/>
      <w:marRight w:val="0"/>
      <w:marTop w:val="0"/>
      <w:marBottom w:val="0"/>
      <w:divBdr>
        <w:top w:val="none" w:sz="0" w:space="0" w:color="auto"/>
        <w:left w:val="none" w:sz="0" w:space="0" w:color="auto"/>
        <w:bottom w:val="none" w:sz="0" w:space="0" w:color="auto"/>
        <w:right w:val="none" w:sz="0" w:space="0" w:color="auto"/>
      </w:divBdr>
    </w:div>
    <w:div w:id="1666547468">
      <w:bodyDiv w:val="1"/>
      <w:marLeft w:val="0"/>
      <w:marRight w:val="0"/>
      <w:marTop w:val="0"/>
      <w:marBottom w:val="0"/>
      <w:divBdr>
        <w:top w:val="none" w:sz="0" w:space="0" w:color="auto"/>
        <w:left w:val="none" w:sz="0" w:space="0" w:color="auto"/>
        <w:bottom w:val="none" w:sz="0" w:space="0" w:color="auto"/>
        <w:right w:val="none" w:sz="0" w:space="0" w:color="auto"/>
      </w:divBdr>
    </w:div>
    <w:div w:id="1690135964">
      <w:bodyDiv w:val="1"/>
      <w:marLeft w:val="0"/>
      <w:marRight w:val="0"/>
      <w:marTop w:val="0"/>
      <w:marBottom w:val="0"/>
      <w:divBdr>
        <w:top w:val="none" w:sz="0" w:space="0" w:color="auto"/>
        <w:left w:val="none" w:sz="0" w:space="0" w:color="auto"/>
        <w:bottom w:val="none" w:sz="0" w:space="0" w:color="auto"/>
        <w:right w:val="none" w:sz="0" w:space="0" w:color="auto"/>
      </w:divBdr>
    </w:div>
    <w:div w:id="1894390813">
      <w:bodyDiv w:val="1"/>
      <w:marLeft w:val="0"/>
      <w:marRight w:val="0"/>
      <w:marTop w:val="0"/>
      <w:marBottom w:val="0"/>
      <w:divBdr>
        <w:top w:val="none" w:sz="0" w:space="0" w:color="auto"/>
        <w:left w:val="none" w:sz="0" w:space="0" w:color="auto"/>
        <w:bottom w:val="none" w:sz="0" w:space="0" w:color="auto"/>
        <w:right w:val="none" w:sz="0" w:space="0" w:color="auto"/>
      </w:divBdr>
    </w:div>
    <w:div w:id="1923297503">
      <w:bodyDiv w:val="1"/>
      <w:marLeft w:val="0"/>
      <w:marRight w:val="0"/>
      <w:marTop w:val="0"/>
      <w:marBottom w:val="0"/>
      <w:divBdr>
        <w:top w:val="none" w:sz="0" w:space="0" w:color="auto"/>
        <w:left w:val="none" w:sz="0" w:space="0" w:color="auto"/>
        <w:bottom w:val="none" w:sz="0" w:space="0" w:color="auto"/>
        <w:right w:val="none" w:sz="0" w:space="0" w:color="auto"/>
      </w:divBdr>
    </w:div>
    <w:div w:id="2019429118">
      <w:bodyDiv w:val="1"/>
      <w:marLeft w:val="0"/>
      <w:marRight w:val="0"/>
      <w:marTop w:val="0"/>
      <w:marBottom w:val="0"/>
      <w:divBdr>
        <w:top w:val="none" w:sz="0" w:space="0" w:color="auto"/>
        <w:left w:val="none" w:sz="0" w:space="0" w:color="auto"/>
        <w:bottom w:val="none" w:sz="0" w:space="0" w:color="auto"/>
        <w:right w:val="none" w:sz="0" w:space="0" w:color="auto"/>
      </w:divBdr>
    </w:div>
    <w:div w:id="203634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vision2030.gov.sa/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47</Pages>
  <Words>13983</Words>
  <Characters>80688</Characters>
  <Application>Microsoft Office Word</Application>
  <DocSecurity>0</DocSecurity>
  <Lines>1613</Lines>
  <Paragraphs>396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ALSHEHRI</dc:creator>
  <cp:keywords/>
  <dc:description/>
  <cp:lastModifiedBy>A K</cp:lastModifiedBy>
  <cp:revision>4</cp:revision>
  <cp:lastPrinted>2026-03-01T01:42:00Z</cp:lastPrinted>
  <dcterms:created xsi:type="dcterms:W3CDTF">2026-03-01T01:44:00Z</dcterms:created>
  <dcterms:modified xsi:type="dcterms:W3CDTF">2026-04-10T20:46:00Z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015d7e5b-1f29-45eb-b564-908587943af3</vt:lpwstr>
  </property>
</Properties>
</file>