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D0E54" w14:textId="77777777" w:rsidR="004B60DD" w:rsidRDefault="004B60DD" w:rsidP="004B60DD">
      <w:pPr>
        <w:rPr>
          <w:rFonts w:ascii="Sakkal Majalla" w:hAnsi="Sakkal Majalla" w:cs="Sakkal Majalla"/>
          <w:sz w:val="28"/>
          <w:szCs w:val="28"/>
          <w:rtl/>
        </w:rPr>
      </w:pPr>
    </w:p>
    <w:p w14:paraId="0EDD0E55" w14:textId="77777777" w:rsidR="004B60DD" w:rsidRDefault="004B60DD" w:rsidP="004B60DD">
      <w:pPr>
        <w:rPr>
          <w:rFonts w:ascii="Sakkal Majalla" w:hAnsi="Sakkal Majalla" w:cs="Sakkal Majalla"/>
          <w:sz w:val="28"/>
          <w:szCs w:val="28"/>
          <w:rtl/>
        </w:rPr>
      </w:pPr>
    </w:p>
    <w:p w14:paraId="0EDD0E56" w14:textId="77777777" w:rsidR="004B60DD" w:rsidRDefault="004B60DD" w:rsidP="004B60DD">
      <w:pPr>
        <w:rPr>
          <w:rFonts w:ascii="Sakkal Majalla" w:hAnsi="Sakkal Majalla" w:cs="Sakkal Majalla"/>
          <w:sz w:val="28"/>
          <w:szCs w:val="28"/>
          <w:rtl/>
        </w:rPr>
      </w:pPr>
    </w:p>
    <w:p w14:paraId="0EDD0E57" w14:textId="77777777" w:rsidR="004B60DD" w:rsidRDefault="004B60DD" w:rsidP="004B60DD">
      <w:pPr>
        <w:rPr>
          <w:rFonts w:ascii="Sakkal Majalla" w:hAnsi="Sakkal Majalla" w:cs="Sakkal Majalla"/>
          <w:sz w:val="28"/>
          <w:szCs w:val="28"/>
          <w:rtl/>
        </w:rPr>
      </w:pPr>
    </w:p>
    <w:p w14:paraId="0EDD0E58" w14:textId="77777777" w:rsidR="004B60DD" w:rsidRDefault="004B60DD" w:rsidP="004B60DD">
      <w:pPr>
        <w:rPr>
          <w:rFonts w:ascii="Sakkal Majalla" w:hAnsi="Sakkal Majalla" w:cs="Sakkal Majalla"/>
          <w:sz w:val="28"/>
          <w:szCs w:val="28"/>
          <w:rtl/>
        </w:rPr>
      </w:pPr>
      <w:bookmarkStart w:id="0" w:name="_Hlk191140068"/>
    </w:p>
    <w:p w14:paraId="0EDD0E59" w14:textId="77777777" w:rsidR="004B60DD" w:rsidRDefault="004B60DD" w:rsidP="004B60DD">
      <w:pPr>
        <w:rPr>
          <w:rFonts w:ascii="Sakkal Majalla" w:hAnsi="Sakkal Majalla" w:cs="Sakkal Majalla"/>
          <w:sz w:val="28"/>
          <w:szCs w:val="28"/>
          <w:rtl/>
        </w:rPr>
      </w:pPr>
    </w:p>
    <w:p w14:paraId="0EDD0E5A" w14:textId="77777777" w:rsidR="004B60DD" w:rsidRDefault="004B60DD" w:rsidP="004B60DD">
      <w:pPr>
        <w:rPr>
          <w:rFonts w:ascii="Sakkal Majalla" w:hAnsi="Sakkal Majalla" w:cs="Sakkal Majalla"/>
          <w:sz w:val="28"/>
          <w:szCs w:val="28"/>
          <w:rtl/>
        </w:rPr>
      </w:pPr>
    </w:p>
    <w:p w14:paraId="0EDD0E5B" w14:textId="77777777" w:rsidR="004B60DD" w:rsidRDefault="004B60DD" w:rsidP="004B60DD">
      <w:pPr>
        <w:rPr>
          <w:rFonts w:ascii="Sakkal Majalla" w:hAnsi="Sakkal Majalla" w:cs="Sakkal Majalla"/>
          <w:sz w:val="28"/>
          <w:szCs w:val="28"/>
          <w:u w:val="single"/>
          <w:rtl/>
        </w:rPr>
      </w:pPr>
    </w:p>
    <w:p w14:paraId="0EDD0E5C" w14:textId="77777777" w:rsidR="004B60DD" w:rsidRPr="009F738B" w:rsidRDefault="004B60DD" w:rsidP="004B60DD">
      <w:pPr>
        <w:pStyle w:val="Heading1"/>
        <w:jc w:val="center"/>
        <w:rPr>
          <w:rFonts w:ascii="Simplified Arabic" w:hAnsi="Simplified Arabic" w:cs="Simplified Arabic"/>
          <w:b/>
          <w:bCs/>
          <w:color w:val="000000" w:themeColor="text1"/>
          <w:rtl/>
        </w:rPr>
      </w:pPr>
      <w:bookmarkStart w:id="1" w:name="_Toc172397775"/>
      <w:bookmarkStart w:id="2" w:name="_Toc172746088"/>
      <w:bookmarkStart w:id="3" w:name="_Toc191138768"/>
      <w:r w:rsidRPr="009F738B">
        <w:rPr>
          <w:rFonts w:ascii="Simplified Arabic" w:hAnsi="Simplified Arabic" w:cs="Simplified Arabic"/>
          <w:b/>
          <w:bCs/>
          <w:color w:val="000000" w:themeColor="text1"/>
          <w:rtl/>
        </w:rPr>
        <w:t>الفصل الأول</w:t>
      </w:r>
      <w:bookmarkEnd w:id="1"/>
      <w:bookmarkEnd w:id="2"/>
      <w:bookmarkEnd w:id="3"/>
    </w:p>
    <w:p w14:paraId="0EDD0E5D" w14:textId="77777777" w:rsidR="004B60DD" w:rsidRDefault="004B60DD" w:rsidP="004B60DD">
      <w:pPr>
        <w:rPr>
          <w:rFonts w:ascii="Sakkal Majalla" w:hAnsi="Sakkal Majalla" w:cs="Sakkal Majalla"/>
          <w:sz w:val="28"/>
          <w:szCs w:val="28"/>
          <w:u w:val="single"/>
          <w:rtl/>
        </w:rPr>
      </w:pPr>
    </w:p>
    <w:p w14:paraId="0EDD0E5E" w14:textId="77777777" w:rsidR="004B60DD" w:rsidRDefault="004B60DD" w:rsidP="004B60DD">
      <w:pPr>
        <w:rPr>
          <w:rFonts w:ascii="Sakkal Majalla" w:hAnsi="Sakkal Majalla" w:cs="Sakkal Majalla"/>
          <w:sz w:val="28"/>
          <w:szCs w:val="28"/>
          <w:u w:val="single"/>
          <w:rtl/>
        </w:rPr>
      </w:pPr>
    </w:p>
    <w:p w14:paraId="0EDD0E5F" w14:textId="77777777" w:rsidR="004B60DD" w:rsidRDefault="004B60DD" w:rsidP="004B60DD">
      <w:pPr>
        <w:rPr>
          <w:rFonts w:ascii="Sakkal Majalla" w:hAnsi="Sakkal Majalla" w:cs="Sakkal Majalla"/>
          <w:sz w:val="28"/>
          <w:szCs w:val="28"/>
          <w:u w:val="single"/>
          <w:rtl/>
        </w:rPr>
      </w:pPr>
    </w:p>
    <w:p w14:paraId="0EDD0E60" w14:textId="77777777" w:rsidR="004B60DD" w:rsidRDefault="004B60DD" w:rsidP="004B60DD">
      <w:pPr>
        <w:rPr>
          <w:rFonts w:ascii="Sakkal Majalla" w:hAnsi="Sakkal Majalla" w:cs="Sakkal Majalla"/>
          <w:sz w:val="28"/>
          <w:szCs w:val="28"/>
          <w:u w:val="single"/>
          <w:rtl/>
        </w:rPr>
      </w:pPr>
    </w:p>
    <w:p w14:paraId="0EDD0E61" w14:textId="77777777" w:rsidR="004B60DD" w:rsidRDefault="004B60DD" w:rsidP="004B60DD">
      <w:pPr>
        <w:rPr>
          <w:rFonts w:ascii="Sakkal Majalla" w:hAnsi="Sakkal Majalla" w:cs="Sakkal Majalla"/>
          <w:sz w:val="28"/>
          <w:szCs w:val="28"/>
          <w:u w:val="single"/>
          <w:rtl/>
        </w:rPr>
      </w:pPr>
    </w:p>
    <w:p w14:paraId="0EDD0E62" w14:textId="77777777" w:rsidR="004B60DD" w:rsidRDefault="004B60DD" w:rsidP="004B60DD">
      <w:pPr>
        <w:rPr>
          <w:rFonts w:ascii="Sakkal Majalla" w:hAnsi="Sakkal Majalla" w:cs="Sakkal Majalla"/>
          <w:sz w:val="28"/>
          <w:szCs w:val="28"/>
          <w:u w:val="single"/>
          <w:rtl/>
        </w:rPr>
      </w:pPr>
    </w:p>
    <w:p w14:paraId="0EDD0E63" w14:textId="77777777" w:rsidR="004B60DD" w:rsidRDefault="004B60DD" w:rsidP="004B60DD">
      <w:pPr>
        <w:rPr>
          <w:rFonts w:ascii="Sakkal Majalla" w:hAnsi="Sakkal Majalla" w:cs="Sakkal Majalla"/>
          <w:sz w:val="28"/>
          <w:szCs w:val="28"/>
          <w:u w:val="single"/>
          <w:rtl/>
        </w:rPr>
      </w:pPr>
    </w:p>
    <w:p w14:paraId="0EDD0E64" w14:textId="77777777" w:rsidR="004B60DD" w:rsidRDefault="004B60DD" w:rsidP="004B60DD">
      <w:pPr>
        <w:rPr>
          <w:rFonts w:ascii="Sakkal Majalla" w:hAnsi="Sakkal Majalla" w:cs="Sakkal Majalla"/>
          <w:sz w:val="28"/>
          <w:szCs w:val="28"/>
          <w:u w:val="single"/>
          <w:rtl/>
        </w:rPr>
      </w:pPr>
    </w:p>
    <w:p w14:paraId="0EDD0E65" w14:textId="77777777" w:rsidR="004B60DD" w:rsidRDefault="004B60DD" w:rsidP="004B60DD">
      <w:pPr>
        <w:rPr>
          <w:rFonts w:ascii="Sakkal Majalla" w:hAnsi="Sakkal Majalla" w:cs="Sakkal Majalla"/>
          <w:sz w:val="28"/>
          <w:szCs w:val="28"/>
          <w:u w:val="single"/>
          <w:rtl/>
        </w:rPr>
      </w:pPr>
    </w:p>
    <w:p w14:paraId="0EDD0E66" w14:textId="77777777" w:rsidR="004B60DD" w:rsidRDefault="004B60DD" w:rsidP="004B60DD">
      <w:pPr>
        <w:rPr>
          <w:rFonts w:ascii="Sakkal Majalla" w:hAnsi="Sakkal Majalla" w:cs="Sakkal Majalla"/>
          <w:sz w:val="28"/>
          <w:szCs w:val="28"/>
          <w:u w:val="single"/>
          <w:rtl/>
        </w:rPr>
      </w:pPr>
    </w:p>
    <w:p w14:paraId="0EDD0E67" w14:textId="77777777" w:rsidR="004B60DD" w:rsidRDefault="004B60DD" w:rsidP="004B60DD">
      <w:pPr>
        <w:rPr>
          <w:rFonts w:ascii="Sakkal Majalla" w:hAnsi="Sakkal Majalla" w:cs="Sakkal Majalla"/>
          <w:sz w:val="28"/>
          <w:szCs w:val="28"/>
          <w:u w:val="single"/>
          <w:rtl/>
        </w:rPr>
      </w:pPr>
    </w:p>
    <w:p w14:paraId="0EDD0E68" w14:textId="77777777" w:rsidR="004B60DD" w:rsidRDefault="004B60DD" w:rsidP="004B60DD">
      <w:pPr>
        <w:rPr>
          <w:rFonts w:ascii="Sakkal Majalla" w:hAnsi="Sakkal Majalla" w:cs="Sakkal Majalla"/>
          <w:sz w:val="28"/>
          <w:szCs w:val="28"/>
          <w:u w:val="single"/>
          <w:rtl/>
        </w:rPr>
      </w:pPr>
    </w:p>
    <w:p w14:paraId="0EDD0E69" w14:textId="77777777" w:rsidR="004B60DD" w:rsidRDefault="004B60DD" w:rsidP="004B60DD">
      <w:pPr>
        <w:rPr>
          <w:rFonts w:ascii="Sakkal Majalla" w:hAnsi="Sakkal Majalla" w:cs="Sakkal Majalla"/>
          <w:sz w:val="28"/>
          <w:szCs w:val="28"/>
          <w:u w:val="single"/>
          <w:rtl/>
        </w:rPr>
      </w:pPr>
    </w:p>
    <w:p w14:paraId="0EDD0E6A" w14:textId="77777777" w:rsidR="004B60DD" w:rsidRDefault="004B60DD" w:rsidP="004B60DD">
      <w:pPr>
        <w:rPr>
          <w:rFonts w:ascii="Sakkal Majalla" w:hAnsi="Sakkal Majalla" w:cs="Sakkal Majalla"/>
          <w:sz w:val="28"/>
          <w:szCs w:val="28"/>
          <w:u w:val="single"/>
          <w:rtl/>
        </w:rPr>
      </w:pPr>
    </w:p>
    <w:p w14:paraId="0EDD0E6B" w14:textId="77777777" w:rsidR="004B60DD" w:rsidRDefault="004B60DD" w:rsidP="004B60DD">
      <w:pPr>
        <w:pStyle w:val="Heading2"/>
        <w:rPr>
          <w:rtl/>
        </w:rPr>
      </w:pPr>
      <w:bookmarkStart w:id="4" w:name="_Toc172397776"/>
      <w:bookmarkStart w:id="5" w:name="_Toc172746089"/>
      <w:bookmarkStart w:id="6" w:name="_Toc191138769"/>
      <w:r w:rsidRPr="009F738B">
        <w:rPr>
          <w:rtl/>
        </w:rPr>
        <w:lastRenderedPageBreak/>
        <w:t>المقدمة</w:t>
      </w:r>
      <w:bookmarkEnd w:id="4"/>
      <w:bookmarkEnd w:id="5"/>
      <w:bookmarkEnd w:id="6"/>
    </w:p>
    <w:p w14:paraId="0EDD0E6C" w14:textId="77777777" w:rsidR="004B60DD" w:rsidRPr="00C5038B" w:rsidRDefault="004B60DD" w:rsidP="004B60DD">
      <w:pPr>
        <w:pStyle w:val="NoSpacing"/>
      </w:pPr>
      <w:r w:rsidRPr="00C5038B">
        <w:rPr>
          <w:rtl/>
        </w:rPr>
        <w:t>شركة جال السعودية، بكونها لاعباً رئيسياً في قطاع حساس مثل الطيران والدفاع، تقدم لنا نموذجاً عملياً ممتازاً لدراسة هذا الأثر. الشركة لا تكتفي فقط بتوظيف السعوديين، بل تتبنى منهجاً شاملاً لتنمية قدراتهم الفنية والإدارية، وتفتح أمامهم مسارات وظيفية واضحة للنمو. كل هذا يتم مع تحقيق توازن دقيق بين احتياجات الشركة التشغيلية وهدف تنمية الكوادر الوطنية، وغالباً ما يتم ذلك عبر برامج تدريب متخصصة بالتعاون مع جهات أكاديمية وتقنية لضمان أعلى مستويات الأداء</w:t>
      </w:r>
      <w:r w:rsidRPr="00C5038B">
        <w:t>.</w:t>
      </w:r>
    </w:p>
    <w:p w14:paraId="0EDD0E6D" w14:textId="77777777" w:rsidR="004B60DD" w:rsidRPr="00872295" w:rsidRDefault="004B60DD" w:rsidP="004B60DD">
      <w:pPr>
        <w:pStyle w:val="NoSpacing"/>
      </w:pPr>
      <w:r w:rsidRPr="00872295">
        <w:rPr>
          <w:rtl/>
          <w:lang w:bidi="ar-SA"/>
        </w:rPr>
        <w:t>لذلك، تهدف هذه الدراسة تحديداً إلى الغوص في تجربة "جال السعودية"، لنفهم بعمق كيف تؤثر استراتيجيات التوطين التي تتبعها الشركة على تطوير مهارات وكفاءات موظفيها السعوديين. سنقوم بتحليل سياساتهم المتبعة، وتقييم برامج التدريب والتأهيل، ومراقبة أثر كل ذلك على أداء الموظفين. كما سنسلط الضوء على التحديات التي تواجههم في هذا الطريق، ونبحث عن فرص التحسين التي يمكن أن تعظّم من نجاح هذه التجربة</w:t>
      </w:r>
      <w:sdt>
        <w:sdtPr>
          <w:rPr>
            <w:rFonts w:hint="cs"/>
            <w:rtl/>
          </w:rPr>
          <w:id w:val="-1698531355"/>
          <w:citation/>
        </w:sdtPr>
        <w:sdtEndPr/>
        <w:sdtContent>
          <w:r>
            <w:rPr>
              <w:rtl/>
            </w:rPr>
            <w:fldChar w:fldCharType="begin"/>
          </w:r>
          <w:r>
            <w:instrText xml:space="preserve"> CITATION Gar19 \l 1033 </w:instrText>
          </w:r>
          <w:r>
            <w:rPr>
              <w:rtl/>
            </w:rPr>
            <w:fldChar w:fldCharType="separate"/>
          </w:r>
          <w:r>
            <w:rPr>
              <w:noProof/>
            </w:rPr>
            <w:t xml:space="preserve"> (Gartenstein-Ross, 2019)</w:t>
          </w:r>
          <w:r>
            <w:rPr>
              <w:rtl/>
            </w:rPr>
            <w:fldChar w:fldCharType="end"/>
          </w:r>
        </w:sdtContent>
      </w:sdt>
      <w:r>
        <w:rPr>
          <w:rFonts w:hint="cs"/>
          <w:rtl/>
        </w:rPr>
        <w:t xml:space="preserve"> </w:t>
      </w:r>
      <w:r>
        <w:t xml:space="preserve">  </w:t>
      </w:r>
      <w:r w:rsidRPr="00872295">
        <w:t>.</w:t>
      </w:r>
    </w:p>
    <w:p w14:paraId="0EDD0E6E" w14:textId="725D4516" w:rsidR="004B60DD" w:rsidRPr="00C5038B" w:rsidRDefault="004B60DD" w:rsidP="004B60DD">
      <w:pPr>
        <w:pStyle w:val="NoSpacing"/>
        <w:rPr>
          <w:rtl/>
        </w:rPr>
      </w:pPr>
      <w:r w:rsidRPr="00872295">
        <w:rPr>
          <w:rtl/>
          <w:lang w:bidi="ar-SA"/>
        </w:rPr>
        <w:t xml:space="preserve">أهمية هذه الدراسة لا تكمن فقط في أنها تتناول موضوعاً استراتيجياً للاقتصاد السعودي، بل في أنها تقدم نتائج وتوصيات مبنية على تجربة حقيقية من أرض الواقع. نأمل أن تكون هذه النتائج مفيدة لصنّاع القرار، سواء في </w:t>
      </w:r>
      <w:r w:rsidR="00ED5AB3">
        <w:rPr>
          <w:rFonts w:hint="cs"/>
          <w:rtl/>
          <w:lang w:bidi="ar-SA"/>
        </w:rPr>
        <w:t>القطاع</w:t>
      </w:r>
      <w:r w:rsidRPr="00872295">
        <w:rPr>
          <w:rtl/>
          <w:lang w:bidi="ar-SA"/>
        </w:rPr>
        <w:t xml:space="preserve"> الحكومي أو الخاص، للمساعدة في بناء نماذج توطين أكثر فاعلية واستدامة. ففي النهاية، الهدف الأسمى هو المساهمة في بناء اقتصاد مزدهر، قائم على رأس المال البشري المحلي المؤهل والقادر على تحقيق طموحاتنا ومواجهة تحديات المستقبل</w:t>
      </w:r>
      <w:r w:rsidRPr="00872295">
        <w:t>.</w:t>
      </w:r>
    </w:p>
    <w:p w14:paraId="0EDD0E6F" w14:textId="77777777" w:rsidR="004B60DD" w:rsidRPr="00C5038B" w:rsidRDefault="004B60DD" w:rsidP="004B60DD">
      <w:pPr>
        <w:pStyle w:val="NoSpacing"/>
        <w:rPr>
          <w:rtl/>
        </w:rPr>
      </w:pPr>
      <w:r w:rsidRPr="00C5038B">
        <w:rPr>
          <w:rtl/>
        </w:rPr>
        <w:t>يشكل التوطين أحد أبرز القضايا التنموية التي تسعى المملكة العربية السعودية إلى تحقيقها ضمن رؤيتها الوطنية 2030، إذ لم يعد النظر إلى توطين الوظائف مقتصرًا على كونه هدفًا اقتصاديًا لزيادة نسب التوظيف بين السعوديين، بل أصبح يمثل تحولًا استراتيجيًا عميقًا يرمي إلى بناء قدرات وطنية حقيقية، تمتلك المهارات اللازمة للمنافسة، والإنتاج، والمساهمة الفعالة في تحقيق التنمية المستدامة. ويكتسب التوطين أهمية خاصة في القطاعات الحيوية ذات الطابع الفني أو الأمني أو التقني، نظرًا لحساسيتها العالية وتأثيرها المباشر على الأمن الاقتصادي والمعرفي للدولة. ومن هذا المنطلق، بات من الضروري تجاوز المفهوم التقليدي للتوطين القائم على الإحلال الكمي للوظائف، إلى نموذج أكثر تطورًا يركز على تطوير الكفاءات الوطنية، وتزويدها بالمعارف والخبرات المهنية المطلوبة في سوق العمل</w:t>
      </w:r>
      <w:r w:rsidRPr="00C5038B">
        <w:rPr>
          <w:rFonts w:hint="cs"/>
          <w:rtl/>
        </w:rPr>
        <w:t xml:space="preserve"> </w:t>
      </w:r>
      <w:sdt>
        <w:sdtPr>
          <w:rPr>
            <w:rFonts w:hint="cs"/>
            <w:rtl/>
          </w:rPr>
          <w:id w:val="-1444155847"/>
          <w:citation/>
        </w:sdtPr>
        <w:sdtEndPr/>
        <w:sdtContent>
          <w:r w:rsidRPr="00C5038B">
            <w:rPr>
              <w:rtl/>
            </w:rPr>
            <w:fldChar w:fldCharType="begin"/>
          </w:r>
          <w:r w:rsidRPr="00C5038B">
            <w:rPr>
              <w:rtl/>
            </w:rPr>
            <w:instrText xml:space="preserve"> </w:instrText>
          </w:r>
          <w:r w:rsidRPr="00C5038B">
            <w:rPr>
              <w:rFonts w:hint="cs"/>
            </w:rPr>
            <w:instrText>CITATION</w:instrText>
          </w:r>
          <w:r w:rsidRPr="00C5038B">
            <w:rPr>
              <w:rFonts w:hint="cs"/>
              <w:rtl/>
            </w:rPr>
            <w:instrText xml:space="preserve"> </w:instrText>
          </w:r>
          <w:r w:rsidRPr="00C5038B">
            <w:rPr>
              <w:rFonts w:hint="cs"/>
            </w:rPr>
            <w:instrText>Bia</w:instrText>
          </w:r>
          <w:r w:rsidRPr="00C5038B">
            <w:rPr>
              <w:rFonts w:hint="cs"/>
              <w:rtl/>
            </w:rPr>
            <w:instrText xml:space="preserve">24 </w:instrText>
          </w:r>
          <w:r w:rsidRPr="00C5038B">
            <w:rPr>
              <w:rFonts w:hint="cs"/>
            </w:rPr>
            <w:instrText xml:space="preserve">\l </w:instrText>
          </w:r>
          <w:r w:rsidRPr="00C5038B">
            <w:rPr>
              <w:rFonts w:hint="cs"/>
              <w:rtl/>
            </w:rPr>
            <w:instrText>3073</w:instrText>
          </w:r>
          <w:r w:rsidRPr="00C5038B">
            <w:rPr>
              <w:rtl/>
            </w:rPr>
            <w:instrText xml:space="preserve"> </w:instrText>
          </w:r>
          <w:r w:rsidRPr="00C5038B">
            <w:rPr>
              <w:rtl/>
            </w:rPr>
            <w:fldChar w:fldCharType="separate"/>
          </w:r>
          <w:r w:rsidRPr="00C5038B">
            <w:rPr>
              <w:rFonts w:hint="cs"/>
              <w:rtl/>
            </w:rPr>
            <w:t>(</w:t>
          </w:r>
          <w:r w:rsidRPr="00C5038B">
            <w:rPr>
              <w:rFonts w:hint="cs"/>
            </w:rPr>
            <w:t>Bianco</w:t>
          </w:r>
          <w:r w:rsidRPr="00C5038B">
            <w:rPr>
              <w:rFonts w:hint="cs"/>
              <w:rtl/>
            </w:rPr>
            <w:t>، 2024)</w:t>
          </w:r>
          <w:r w:rsidRPr="00C5038B">
            <w:rPr>
              <w:rtl/>
            </w:rPr>
            <w:fldChar w:fldCharType="end"/>
          </w:r>
        </w:sdtContent>
      </w:sdt>
      <w:r w:rsidRPr="00C5038B">
        <w:t>.</w:t>
      </w:r>
    </w:p>
    <w:p w14:paraId="0EDD0E70" w14:textId="77777777" w:rsidR="004B60DD" w:rsidRPr="00C5038B" w:rsidRDefault="004B60DD" w:rsidP="004B60DD">
      <w:pPr>
        <w:pStyle w:val="NoSpacing"/>
        <w:rPr>
          <w:rtl/>
        </w:rPr>
      </w:pPr>
      <w:r w:rsidRPr="00C5038B">
        <w:rPr>
          <w:rtl/>
        </w:rPr>
        <w:t xml:space="preserve">في هذا الإطار، تبرز شركة "جـال السعودية" كنموذج واقعي ومهم لدراسة سياسات واستراتيجيات التوطين في قطاع يشهد تطورات متسارعة في البنية التكنولوجية، والمجالات التشغيلية، ومعايير الأداء. وتعمل الشركة في مجال إدارة وصيانة الأنظمة الدفاعية والأنظمة التقنية عالية الدقة، وهو ما يستدعي وجود قوى عاملة سعودية ذات كفاءة مهنية عالية، </w:t>
      </w:r>
      <w:r w:rsidRPr="00C5038B">
        <w:rPr>
          <w:rtl/>
        </w:rPr>
        <w:lastRenderedPageBreak/>
        <w:t>مدربة ومؤهلة للتعامل مع منظومات تقنية معقدة تخضع لمعايير صارمة من الدقة والانضباط والجودة. وبناءً على هذا الواقع، طورت الشركة عددًا من المبادرات والاستراتيجيات التي تهدف إلى توطين الوظائف الفنية والتقنية، وتهيئة بيئة مناسبة لنقل المعرفة من الخبرات الأجنبية إلى الكفاءات السعودية، بما يسهم في بناء قاعدة وطنية صلبة من الموارد البشرية في مجالات كانت فيما مضى تعتمد اعتمادًا شبه كلي على الخبرات الخارجية</w:t>
      </w:r>
      <w:r w:rsidRPr="00C5038B">
        <w:rPr>
          <w:rFonts w:hint="cs"/>
          <w:rtl/>
        </w:rPr>
        <w:t xml:space="preserve"> </w:t>
      </w:r>
      <w:sdt>
        <w:sdtPr>
          <w:rPr>
            <w:rFonts w:hint="cs"/>
            <w:rtl/>
          </w:rPr>
          <w:id w:val="2078464314"/>
          <w:citation/>
        </w:sdtPr>
        <w:sdtEndPr/>
        <w:sdtContent>
          <w:r w:rsidRPr="00C5038B">
            <w:rPr>
              <w:rtl/>
            </w:rPr>
            <w:fldChar w:fldCharType="begin"/>
          </w:r>
          <w:r w:rsidRPr="00C5038B">
            <w:rPr>
              <w:rtl/>
            </w:rPr>
            <w:instrText xml:space="preserve"> </w:instrText>
          </w:r>
          <w:r w:rsidRPr="00C5038B">
            <w:rPr>
              <w:rFonts w:hint="cs"/>
            </w:rPr>
            <w:instrText>CITATION</w:instrText>
          </w:r>
          <w:r w:rsidRPr="00C5038B">
            <w:rPr>
              <w:rFonts w:hint="cs"/>
              <w:rtl/>
            </w:rPr>
            <w:instrText xml:space="preserve"> </w:instrText>
          </w:r>
          <w:r w:rsidRPr="00C5038B">
            <w:rPr>
              <w:rFonts w:hint="cs"/>
            </w:rPr>
            <w:instrText>Ala</w:instrText>
          </w:r>
          <w:r w:rsidRPr="00C5038B">
            <w:rPr>
              <w:rFonts w:hint="cs"/>
              <w:rtl/>
            </w:rPr>
            <w:instrText xml:space="preserve">236 </w:instrText>
          </w:r>
          <w:r w:rsidRPr="00C5038B">
            <w:rPr>
              <w:rFonts w:hint="cs"/>
            </w:rPr>
            <w:instrText xml:space="preserve">\l </w:instrText>
          </w:r>
          <w:r w:rsidRPr="00C5038B">
            <w:rPr>
              <w:rFonts w:hint="cs"/>
              <w:rtl/>
            </w:rPr>
            <w:instrText>3073</w:instrText>
          </w:r>
          <w:r w:rsidRPr="00C5038B">
            <w:rPr>
              <w:rtl/>
            </w:rPr>
            <w:instrText xml:space="preserve"> </w:instrText>
          </w:r>
          <w:r w:rsidRPr="00C5038B">
            <w:rPr>
              <w:rtl/>
            </w:rPr>
            <w:fldChar w:fldCharType="separate"/>
          </w:r>
          <w:r w:rsidRPr="00C5038B">
            <w:rPr>
              <w:rFonts w:hint="cs"/>
              <w:rtl/>
            </w:rPr>
            <w:t>(</w:t>
          </w:r>
          <w:r w:rsidRPr="00C5038B">
            <w:rPr>
              <w:rFonts w:hint="cs"/>
            </w:rPr>
            <w:t>Alanazi</w:t>
          </w:r>
          <w:r w:rsidRPr="00C5038B">
            <w:rPr>
              <w:rFonts w:hint="cs"/>
              <w:rtl/>
            </w:rPr>
            <w:t>، 2023)</w:t>
          </w:r>
          <w:r w:rsidRPr="00C5038B">
            <w:rPr>
              <w:rtl/>
            </w:rPr>
            <w:fldChar w:fldCharType="end"/>
          </w:r>
        </w:sdtContent>
      </w:sdt>
      <w:r w:rsidRPr="00C5038B">
        <w:t>.</w:t>
      </w:r>
    </w:p>
    <w:p w14:paraId="0EDD0E71" w14:textId="77777777" w:rsidR="004B60DD" w:rsidRDefault="004B60DD" w:rsidP="004B60DD">
      <w:pPr>
        <w:pStyle w:val="NoSpacing"/>
        <w:rPr>
          <w:rtl/>
        </w:rPr>
      </w:pPr>
      <w:r w:rsidRPr="007D3ECB">
        <w:rPr>
          <w:rtl/>
        </w:rPr>
        <w:t>إن أهمية دراسة أثر استراتيجيات التوطين في شركة جـال السعودية تنبع من الحاجة إلى تقييم فعالية هذه الاستراتيجيات، ومدى إسهامها الحقيقي في تطوير كفاءات وطنية قادرة على أداء المهام المطلوبة بكفاءة وتميّز. فالمسألة لا تتعلق فقط بنقل الوظائف إلى مواطنين سعوديين، بل بتأهيلهم ليكونوا شركاء فاعلين في التطوير والتحسين والإبداع في مجال عملهم. وتزداد أهمية هذا التقييم في ضوء التحولات التي تشهدها سوق العمل السعودية، التي تتجه إلى تقليل الاعتماد على العمالة الوافدة، وتحقيق نسب توطين عالية خصوصًا في القطاعات التي كانت تُعتبر لفترة طويلة حكرًا على خبرات أجنبية. كما أن الدراسة تمثل إضافة نوعية للمكتبة العلمية، من خلال تقديم تحليل تطبيقي قائم على البيانات الواقعية من داخل بيئة عمل متخصصة ومعقدة مثل بيئة شركة جـال</w:t>
      </w:r>
      <w:r>
        <w:rPr>
          <w:rFonts w:hint="cs"/>
          <w:rtl/>
        </w:rPr>
        <w:t xml:space="preserve"> </w:t>
      </w:r>
      <w:sdt>
        <w:sdtPr>
          <w:rPr>
            <w:rFonts w:hint="cs"/>
            <w:rtl/>
          </w:rPr>
          <w:id w:val="-349029028"/>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Ope</w:instrText>
          </w:r>
          <w:r>
            <w:rPr>
              <w:rFonts w:hint="cs"/>
              <w:rtl/>
            </w:rPr>
            <w:instrText xml:space="preserve">21 </w:instrText>
          </w:r>
          <w:r>
            <w:rPr>
              <w:rFonts w:hint="cs"/>
            </w:rPr>
            <w:instrText xml:space="preserve">\l </w:instrText>
          </w:r>
          <w:r>
            <w:rPr>
              <w:rFonts w:hint="cs"/>
              <w:rtl/>
            </w:rPr>
            <w:instrText>3073</w:instrText>
          </w:r>
          <w:r>
            <w:rPr>
              <w:rtl/>
            </w:rPr>
            <w:instrText xml:space="preserve"> </w:instrText>
          </w:r>
          <w:r>
            <w:rPr>
              <w:rtl/>
            </w:rPr>
            <w:fldChar w:fldCharType="separate"/>
          </w:r>
          <w:r>
            <w:rPr>
              <w:rFonts w:hint="cs"/>
              <w:noProof/>
              <w:rtl/>
            </w:rPr>
            <w:t>(</w:t>
          </w:r>
          <w:r>
            <w:rPr>
              <w:rFonts w:hint="cs"/>
              <w:noProof/>
            </w:rPr>
            <w:t>Opertti</w:t>
          </w:r>
          <w:r>
            <w:rPr>
              <w:rFonts w:hint="cs"/>
              <w:noProof/>
              <w:rtl/>
            </w:rPr>
            <w:t>، 2021)</w:t>
          </w:r>
          <w:r>
            <w:rPr>
              <w:rtl/>
            </w:rPr>
            <w:fldChar w:fldCharType="end"/>
          </w:r>
        </w:sdtContent>
      </w:sdt>
      <w:r w:rsidRPr="007D3ECB">
        <w:t>.</w:t>
      </w:r>
    </w:p>
    <w:p w14:paraId="0EDD0E72" w14:textId="77777777" w:rsidR="004B60DD" w:rsidRPr="007D3ECB" w:rsidRDefault="004B60DD" w:rsidP="004B60DD">
      <w:pPr>
        <w:pStyle w:val="NoSpacing"/>
      </w:pPr>
      <w:r w:rsidRPr="007D3ECB">
        <w:rPr>
          <w:rtl/>
        </w:rPr>
        <w:t>تهدف هذه الدراسة إلى تحليل العلاقة بين استراتيجيات التوطين المطبقة في الشركة وبين مستوى تطوير الكفاءات الوطنية، من حيث جودة التدريب، وملاءمة البرامج التطويرية، وفرص النمو المهني، ومدى رضا الموظف السعودي عن بيئة العمل، وكذلك مدى استمراريته فيها. وستعتمد الدراسة على منهجية علمية كمية لدراسة وتحليل هذه العلاقة، بما يمكّن من الوصول إلى نتائج موضوعية وقابلة للتطبيق. وبذلك، فإن هذه الدراسة لا تسعى فقط إلى فهم الحالة الخاصة بشركة جـال، بل إلى استخلاص مؤشرات ومعايير يمكن البناء عليها لتطوير استراتيجيات التوطين في مؤسسات أخرى مماثلة داخل المملكة</w:t>
      </w:r>
      <w:r>
        <w:rPr>
          <w:rFonts w:hint="cs"/>
          <w:rtl/>
        </w:rPr>
        <w:t xml:space="preserve"> </w:t>
      </w:r>
      <w:sdt>
        <w:sdtPr>
          <w:rPr>
            <w:rFonts w:hint="cs"/>
            <w:rtl/>
          </w:rPr>
          <w:id w:val="-156895340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Alm</w:instrText>
          </w:r>
          <w:r>
            <w:rPr>
              <w:rFonts w:hint="cs"/>
              <w:rtl/>
            </w:rPr>
            <w:instrText xml:space="preserve">211 </w:instrText>
          </w:r>
          <w:r>
            <w:rPr>
              <w:rFonts w:hint="cs"/>
            </w:rPr>
            <w:instrText xml:space="preserve">\l </w:instrText>
          </w:r>
          <w:r>
            <w:rPr>
              <w:rFonts w:hint="cs"/>
              <w:rtl/>
            </w:rPr>
            <w:instrText>3073</w:instrText>
          </w:r>
          <w:r>
            <w:rPr>
              <w:rtl/>
            </w:rPr>
            <w:instrText xml:space="preserve"> </w:instrText>
          </w:r>
          <w:r>
            <w:rPr>
              <w:rtl/>
            </w:rPr>
            <w:fldChar w:fldCharType="separate"/>
          </w:r>
          <w:r>
            <w:rPr>
              <w:rFonts w:hint="cs"/>
              <w:noProof/>
              <w:rtl/>
            </w:rPr>
            <w:t>(</w:t>
          </w:r>
          <w:r>
            <w:rPr>
              <w:rFonts w:hint="cs"/>
              <w:noProof/>
            </w:rPr>
            <w:t>Almomani</w:t>
          </w:r>
          <w:r>
            <w:rPr>
              <w:rFonts w:hint="cs"/>
              <w:noProof/>
              <w:rtl/>
            </w:rPr>
            <w:t>، 2021)</w:t>
          </w:r>
          <w:r>
            <w:rPr>
              <w:rtl/>
            </w:rPr>
            <w:fldChar w:fldCharType="end"/>
          </w:r>
        </w:sdtContent>
      </w:sdt>
      <w:r w:rsidRPr="007D3ECB">
        <w:t>.</w:t>
      </w:r>
    </w:p>
    <w:p w14:paraId="0EDD0E73" w14:textId="77777777" w:rsidR="004B60DD" w:rsidRPr="00872295" w:rsidRDefault="004B60DD" w:rsidP="004B60DD">
      <w:pPr>
        <w:pStyle w:val="NoSpacing"/>
      </w:pPr>
      <w:r w:rsidRPr="00872295">
        <w:rPr>
          <w:rtl/>
          <w:lang w:bidi="ar-SA"/>
        </w:rPr>
        <w:t>في قلب رؤية المملكة الطموحة 2030، يبرز "التوطين" كمفهوم محوري وأساسي. فالتوطين لم يعد مجرد هدف لزيادة أعداد السعوديين في سوق العمل، بل تحوّل إلى استراتيجية متكاملة تهدف إلى بناء اقتصاد قوي ومستدام يعتمد على كفاءات وطنية قادرة على قيادة المستقبل. الفكرة ببساطة هي تمكين شبابنا، ومنحهم الأدوات والفرص اللازمة ليكونوا هم المحرك الحقيقي للتنمية، وتقليل الاعتماد تدريجيًا على العمالة الخارجية في القطاعات الحيوية</w:t>
      </w:r>
      <w:r w:rsidRPr="00872295">
        <w:t>.</w:t>
      </w:r>
    </w:p>
    <w:p w14:paraId="0EDD0E74" w14:textId="77777777" w:rsidR="004B60DD" w:rsidRPr="00872295" w:rsidRDefault="004B60DD" w:rsidP="004B60DD">
      <w:pPr>
        <w:pStyle w:val="NoSpacing"/>
      </w:pPr>
      <w:r w:rsidRPr="00872295">
        <w:rPr>
          <w:rtl/>
          <w:lang w:bidi="ar-SA"/>
        </w:rPr>
        <w:t xml:space="preserve">وهنا يكمن جوهر الموضوع: استراتيجيات التوطين ليست مجرد عملية توظيف. قوتها الحقيقية تظهر عندما تخلق بيئة كاملة تدعم الموظف السعودي، من خلال التدريب المستمر، والتطوير المهني، وصقل المهارات التي يحتاجها الاقتصاد الحديث وسوق العمل سريع التغير. وتعتبر الشركات الكبرى، مثل شركة جال السعودية، هي الميدان الحقيقي الذي تُختبر </w:t>
      </w:r>
      <w:r w:rsidRPr="00872295">
        <w:rPr>
          <w:rtl/>
          <w:lang w:bidi="ar-SA"/>
        </w:rPr>
        <w:lastRenderedPageBreak/>
        <w:t>فيه هذه الاستراتيجيات، حيث تسعى جاهدة لتحويل الخطط إلى واقع ملموس من خلال برامج نوعية لجذب وتطوير المواهب السعودية</w:t>
      </w:r>
      <w:sdt>
        <w:sdtPr>
          <w:rPr>
            <w:rFonts w:hint="cs"/>
            <w:rtl/>
            <w:lang w:bidi="ar-SA"/>
          </w:rPr>
          <w:id w:val="530391745"/>
          <w:citation/>
        </w:sdtPr>
        <w:sdtEndPr/>
        <w:sdtContent>
          <w:r>
            <w:rPr>
              <w:rtl/>
              <w:lang w:bidi="ar-SA"/>
            </w:rPr>
            <w:fldChar w:fldCharType="begin"/>
          </w:r>
          <w:r>
            <w:rPr>
              <w:lang w:bidi="ar-SA"/>
            </w:rPr>
            <w:instrText xml:space="preserve"> CITATION Ala25 \l 1033 </w:instrText>
          </w:r>
          <w:r>
            <w:rPr>
              <w:rtl/>
              <w:lang w:bidi="ar-SA"/>
            </w:rPr>
            <w:fldChar w:fldCharType="separate"/>
          </w:r>
          <w:r>
            <w:rPr>
              <w:noProof/>
              <w:lang w:bidi="ar-SA"/>
            </w:rPr>
            <w:t xml:space="preserve"> (Alayed, 2025)</w:t>
          </w:r>
          <w:r>
            <w:rPr>
              <w:rtl/>
              <w:lang w:bidi="ar-SA"/>
            </w:rPr>
            <w:fldChar w:fldCharType="end"/>
          </w:r>
        </w:sdtContent>
      </w:sdt>
      <w:r>
        <w:rPr>
          <w:rFonts w:hint="cs"/>
          <w:rtl/>
          <w:lang w:bidi="ar-SA"/>
        </w:rPr>
        <w:t xml:space="preserve"> </w:t>
      </w:r>
      <w:r w:rsidRPr="00872295">
        <w:t>.</w:t>
      </w:r>
    </w:p>
    <w:p w14:paraId="0EDD0E75" w14:textId="77777777" w:rsidR="004B60DD" w:rsidRDefault="004B60DD" w:rsidP="004B60DD">
      <w:pPr>
        <w:rPr>
          <w:rtl/>
        </w:rPr>
      </w:pPr>
      <w:bookmarkStart w:id="7" w:name="_Toc169370865"/>
      <w:bookmarkStart w:id="8" w:name="_Toc169565909"/>
      <w:bookmarkStart w:id="9" w:name="_Toc171440855"/>
      <w:bookmarkStart w:id="10" w:name="_Toc191138770"/>
    </w:p>
    <w:p w14:paraId="0EDD0E76" w14:textId="77777777" w:rsidR="004B60DD" w:rsidRDefault="004B60DD" w:rsidP="004B60DD">
      <w:pPr>
        <w:rPr>
          <w:rtl/>
        </w:rPr>
      </w:pPr>
    </w:p>
    <w:p w14:paraId="0EDD0E77" w14:textId="77777777" w:rsidR="004B60DD" w:rsidRDefault="004B60DD" w:rsidP="004B60DD">
      <w:pPr>
        <w:pStyle w:val="Heading1"/>
        <w:spacing w:before="0" w:line="360" w:lineRule="auto"/>
        <w:rPr>
          <w:rFonts w:ascii="Simplified Arabic" w:hAnsi="Simplified Arabic" w:cs="Simplified Arabic"/>
          <w:b/>
          <w:bCs/>
          <w:color w:val="000000" w:themeColor="text1"/>
          <w:sz w:val="28"/>
          <w:szCs w:val="28"/>
          <w:rtl/>
          <w:lang w:bidi="ar-EG"/>
        </w:rPr>
      </w:pPr>
      <w:r w:rsidRPr="00DE5E70">
        <w:rPr>
          <w:rFonts w:ascii="Simplified Arabic" w:hAnsi="Simplified Arabic" w:cs="Simplified Arabic"/>
          <w:b/>
          <w:bCs/>
          <w:color w:val="000000" w:themeColor="text1"/>
          <w:sz w:val="28"/>
          <w:szCs w:val="28"/>
          <w:rtl/>
        </w:rPr>
        <w:t>مشكلة الدراسة</w:t>
      </w:r>
      <w:r w:rsidRPr="00DE5E70">
        <w:rPr>
          <w:rFonts w:ascii="Simplified Arabic" w:hAnsi="Simplified Arabic" w:cs="Simplified Arabic"/>
          <w:b/>
          <w:bCs/>
          <w:color w:val="000000" w:themeColor="text1"/>
          <w:sz w:val="28"/>
          <w:szCs w:val="28"/>
          <w:rtl/>
          <w:lang w:bidi="ar-EG"/>
        </w:rPr>
        <w:t>:</w:t>
      </w:r>
      <w:bookmarkEnd w:id="7"/>
      <w:bookmarkEnd w:id="8"/>
      <w:bookmarkEnd w:id="9"/>
      <w:bookmarkEnd w:id="10"/>
    </w:p>
    <w:p w14:paraId="0EDD0E78" w14:textId="77777777" w:rsidR="004B60DD" w:rsidRPr="00F1042C" w:rsidRDefault="004B60DD" w:rsidP="004B60DD">
      <w:pPr>
        <w:pStyle w:val="NoSpacing"/>
        <w:numPr>
          <w:ilvl w:val="0"/>
          <w:numId w:val="8"/>
        </w:numPr>
      </w:pPr>
      <w:r w:rsidRPr="00F1042C">
        <w:rPr>
          <w:b/>
          <w:bCs/>
          <w:rtl/>
          <w:lang w:bidi="ar-SA"/>
        </w:rPr>
        <w:t>مشكلة الدراسة الأساسية</w:t>
      </w:r>
      <w:r w:rsidRPr="00F1042C">
        <w:rPr>
          <w:b/>
          <w:bCs/>
        </w:rPr>
        <w:t>:</w:t>
      </w:r>
    </w:p>
    <w:p w14:paraId="0EDD0E79" w14:textId="77777777" w:rsidR="004B60DD" w:rsidRPr="00F1042C" w:rsidRDefault="004B60DD" w:rsidP="004B60DD">
      <w:pPr>
        <w:pStyle w:val="NoSpacing"/>
      </w:pPr>
      <w:r w:rsidRPr="00F1042C">
        <w:rPr>
          <w:rtl/>
          <w:lang w:bidi="ar-SA"/>
        </w:rPr>
        <w:t>على الرغم من أن شركة جال السعودية تطبق استراتيجيات التوطين تماشيًا مع رؤية المملكة، إلا أن الأثر الفعلي لهذه المبادرات على تطوير الكفاءات الوطنية لا يزال بحاجة إلى توضيح ودراسة أعمق. هناك فجوة بين تطبيق الاستراتيجية وقياس نتائجها الملموسة على مهارات وأداء الموظف السعودي، خاصة في بيئة عمل تقنية ودقيقة مثل قطاع الطيران. هذه الدراسة تأتي لسد هذه الفجوة عبر تحليل مدى فعالية هذه الاستراتيجيات، وتحديد التحديات التي تواجهها، واستكشاف فرص تحسينها</w:t>
      </w:r>
      <w:sdt>
        <w:sdtPr>
          <w:rPr>
            <w:rFonts w:hint="cs"/>
            <w:rtl/>
          </w:rPr>
          <w:id w:val="198982961"/>
          <w:citation/>
        </w:sdtPr>
        <w:sdtEndPr/>
        <w:sdtContent>
          <w:r>
            <w:rPr>
              <w:rtl/>
            </w:rPr>
            <w:fldChar w:fldCharType="begin"/>
          </w:r>
          <w:r>
            <w:instrText xml:space="preserve"> CITATION Bat13 \l 1033 </w:instrText>
          </w:r>
          <w:r>
            <w:rPr>
              <w:rtl/>
            </w:rPr>
            <w:fldChar w:fldCharType="separate"/>
          </w:r>
          <w:r>
            <w:rPr>
              <w:noProof/>
            </w:rPr>
            <w:t xml:space="preserve"> (Batra, 2013)</w:t>
          </w:r>
          <w:r>
            <w:rPr>
              <w:rtl/>
            </w:rPr>
            <w:fldChar w:fldCharType="end"/>
          </w:r>
        </w:sdtContent>
      </w:sdt>
      <w:r>
        <w:rPr>
          <w:rFonts w:hint="cs"/>
          <w:rtl/>
        </w:rPr>
        <w:t xml:space="preserve"> </w:t>
      </w:r>
      <w:r w:rsidRPr="00F1042C">
        <w:t>.</w:t>
      </w:r>
    </w:p>
    <w:p w14:paraId="0EDD0E7A" w14:textId="77777777" w:rsidR="004B60DD" w:rsidRPr="00F1042C" w:rsidRDefault="004B60DD" w:rsidP="004B60DD">
      <w:pPr>
        <w:pStyle w:val="NoSpacing"/>
        <w:numPr>
          <w:ilvl w:val="0"/>
          <w:numId w:val="7"/>
        </w:numPr>
        <w:rPr>
          <w:b/>
          <w:bCs/>
        </w:rPr>
      </w:pPr>
      <w:r w:rsidRPr="00F1042C">
        <w:rPr>
          <w:b/>
          <w:bCs/>
          <w:rtl/>
          <w:lang w:bidi="ar-SA"/>
        </w:rPr>
        <w:t xml:space="preserve">وتتفرع هذه المشكلة الرئيسية إلى عدة جوانب </w:t>
      </w:r>
      <w:r w:rsidRPr="00345395">
        <w:rPr>
          <w:rFonts w:hint="cs"/>
          <w:b/>
          <w:bCs/>
          <w:rtl/>
          <w:lang w:bidi="ar-SA"/>
        </w:rPr>
        <w:t>فرعية</w:t>
      </w:r>
      <w:r w:rsidRPr="00F1042C">
        <w:rPr>
          <w:b/>
          <w:bCs/>
          <w:rtl/>
          <w:lang w:bidi="ar-SA"/>
        </w:rPr>
        <w:t xml:space="preserve"> تحتاج إلى بحث</w:t>
      </w:r>
      <w:r w:rsidRPr="00F1042C">
        <w:rPr>
          <w:b/>
          <w:bCs/>
        </w:rPr>
        <w:t>:</w:t>
      </w:r>
    </w:p>
    <w:p w14:paraId="0EDD0E7B" w14:textId="77777777" w:rsidR="004B60DD" w:rsidRDefault="004B60DD" w:rsidP="004B60DD">
      <w:pPr>
        <w:pStyle w:val="NoSpacing"/>
        <w:numPr>
          <w:ilvl w:val="0"/>
          <w:numId w:val="6"/>
        </w:numPr>
        <w:rPr>
          <w:rtl/>
        </w:rPr>
      </w:pPr>
      <w:r w:rsidRPr="00F1042C">
        <w:rPr>
          <w:b/>
          <w:bCs/>
          <w:rtl/>
          <w:lang w:bidi="ar-SA"/>
        </w:rPr>
        <w:t>غموض الرؤية الاستراتيجية للتوطين داخل الشركة</w:t>
      </w:r>
      <w:r w:rsidRPr="00F1042C">
        <w:rPr>
          <w:b/>
          <w:bCs/>
        </w:rPr>
        <w:t>:</w:t>
      </w:r>
    </w:p>
    <w:p w14:paraId="0EDD0E7C" w14:textId="77777777" w:rsidR="004B60DD" w:rsidRPr="00FF2762" w:rsidRDefault="004B60DD" w:rsidP="004B60DD">
      <w:pPr>
        <w:pStyle w:val="NoSpacing"/>
        <w:rPr>
          <w:rtl/>
        </w:rPr>
      </w:pPr>
      <w:r w:rsidRPr="00FF2762">
        <w:rPr>
          <w:rtl/>
          <w:lang w:bidi="ar-SA"/>
        </w:rPr>
        <w:t xml:space="preserve">يُلاحظ أحيانًا أن خطط التوطين في بعض المؤسسات تفتقر إلى رؤية طويلة المدى، مما يجعلها تبدو كمبادرات متفرقة وقصيرة الأجل. </w:t>
      </w:r>
      <w:r w:rsidRPr="00FF2762">
        <w:rPr>
          <w:rFonts w:hint="cs"/>
          <w:rtl/>
          <w:lang w:bidi="ar-SA"/>
        </w:rPr>
        <w:t>و</w:t>
      </w:r>
      <w:r w:rsidRPr="00FF2762">
        <w:rPr>
          <w:rFonts w:hint="cs"/>
          <w:rtl/>
        </w:rPr>
        <w:t>ينطبق</w:t>
      </w:r>
      <w:r w:rsidRPr="00FF2762">
        <w:rPr>
          <w:rtl/>
          <w:lang w:bidi="ar-SA"/>
        </w:rPr>
        <w:t xml:space="preserve"> هذا على "جال السعودية"، حيث قد يكون هناك حاجة لضمان أن تكون أهداف التوطين ووسائل تحقيقها واضحة ومتسقة لجميع الأطراف، لربط عملية التوظيف بعملية التطوير بشكل فعال</w:t>
      </w:r>
      <w:sdt>
        <w:sdtPr>
          <w:rPr>
            <w:rFonts w:hint="cs"/>
            <w:rtl/>
          </w:rPr>
          <w:id w:val="584661908"/>
          <w:citation/>
        </w:sdtPr>
        <w:sdtEndPr/>
        <w:sdtContent>
          <w:r w:rsidRPr="00FF2762">
            <w:rPr>
              <w:rtl/>
            </w:rPr>
            <w:fldChar w:fldCharType="begin"/>
          </w:r>
          <w:r w:rsidRPr="00FF2762">
            <w:instrText xml:space="preserve"> CITATION Yue25 \l 1033 </w:instrText>
          </w:r>
          <w:r w:rsidRPr="00FF2762">
            <w:rPr>
              <w:rtl/>
            </w:rPr>
            <w:fldChar w:fldCharType="separate"/>
          </w:r>
          <w:r w:rsidRPr="00FF2762">
            <w:t xml:space="preserve"> </w:t>
          </w:r>
          <w:r w:rsidRPr="00FF2762">
            <w:rPr>
              <w:lang w:bidi="ar-SA"/>
            </w:rPr>
            <w:t>(Yuen, 2025)</w:t>
          </w:r>
          <w:r w:rsidRPr="00FF2762">
            <w:rPr>
              <w:rtl/>
            </w:rPr>
            <w:fldChar w:fldCharType="end"/>
          </w:r>
        </w:sdtContent>
      </w:sdt>
      <w:r>
        <w:rPr>
          <w:rFonts w:hint="cs"/>
          <w:rtl/>
        </w:rPr>
        <w:t>.</w:t>
      </w:r>
      <w:r w:rsidRPr="00FF2762">
        <w:rPr>
          <w:rFonts w:hint="cs"/>
          <w:rtl/>
        </w:rPr>
        <w:t xml:space="preserve"> </w:t>
      </w:r>
    </w:p>
    <w:p w14:paraId="0EDD0E7D" w14:textId="77777777" w:rsidR="004B60DD" w:rsidRPr="00F1042C" w:rsidRDefault="004B60DD" w:rsidP="004B60DD">
      <w:pPr>
        <w:pStyle w:val="NoSpacing"/>
        <w:rPr>
          <w:rtl/>
        </w:rPr>
      </w:pPr>
    </w:p>
    <w:p w14:paraId="0EDD0E7E" w14:textId="77777777" w:rsidR="004B60DD" w:rsidRDefault="004B60DD" w:rsidP="004B60DD">
      <w:pPr>
        <w:pStyle w:val="NoSpacing"/>
        <w:numPr>
          <w:ilvl w:val="0"/>
          <w:numId w:val="5"/>
        </w:numPr>
        <w:rPr>
          <w:rtl/>
        </w:rPr>
      </w:pPr>
      <w:r w:rsidRPr="00F1042C">
        <w:rPr>
          <w:b/>
          <w:bCs/>
          <w:rtl/>
          <w:lang w:bidi="ar-SA"/>
        </w:rPr>
        <w:t>قصور في الجانب العملي لتنمية المهارات الفنية والإدارية</w:t>
      </w:r>
      <w:r w:rsidRPr="00F1042C">
        <w:rPr>
          <w:b/>
          <w:bCs/>
        </w:rPr>
        <w:t>:</w:t>
      </w:r>
    </w:p>
    <w:p w14:paraId="0EDD0E7F" w14:textId="77777777" w:rsidR="004B60DD" w:rsidRPr="00F1042C" w:rsidRDefault="004B60DD" w:rsidP="004B60DD">
      <w:pPr>
        <w:pStyle w:val="NoSpacing"/>
      </w:pPr>
      <w:r w:rsidRPr="00F1042C">
        <w:rPr>
          <w:rtl/>
          <w:lang w:bidi="ar-SA"/>
        </w:rPr>
        <w:t>تتجاوز عملية التوطين مجرد التعيين لتشمل التطوير الفعلي للمهارات. لكن هذا الجانب يواجه تحديات حقيقية، مثل قلة فرص التدريب العملي المتخصص، أو عدم مواكبة البرامج التدريبية للتطورات التقنية السريعة، مما يخلق فجوة بين المؤهلات النظرية والمتطلبات العملية للوظائف</w:t>
      </w:r>
      <w:sdt>
        <w:sdtPr>
          <w:rPr>
            <w:rFonts w:hint="cs"/>
            <w:rtl/>
            <w:lang w:bidi="ar-SA"/>
          </w:rPr>
          <w:id w:val="699678017"/>
          <w:citation/>
        </w:sdtPr>
        <w:sdtEndPr/>
        <w:sdtContent>
          <w:r>
            <w:rPr>
              <w:rtl/>
              <w:lang w:bidi="ar-SA"/>
            </w:rPr>
            <w:fldChar w:fldCharType="begin"/>
          </w:r>
          <w:r>
            <w:rPr>
              <w:lang w:bidi="ar-SA"/>
            </w:rPr>
            <w:instrText xml:space="preserve"> CITATION Esa24 \l 1033 </w:instrText>
          </w:r>
          <w:r>
            <w:rPr>
              <w:rtl/>
              <w:lang w:bidi="ar-SA"/>
            </w:rPr>
            <w:fldChar w:fldCharType="separate"/>
          </w:r>
          <w:r>
            <w:rPr>
              <w:noProof/>
              <w:lang w:bidi="ar-SA"/>
            </w:rPr>
            <w:t xml:space="preserve"> (Esan, 2024)</w:t>
          </w:r>
          <w:r>
            <w:rPr>
              <w:rtl/>
              <w:lang w:bidi="ar-SA"/>
            </w:rPr>
            <w:fldChar w:fldCharType="end"/>
          </w:r>
        </w:sdtContent>
      </w:sdt>
      <w:r>
        <w:rPr>
          <w:rFonts w:hint="cs"/>
          <w:rtl/>
          <w:lang w:bidi="ar-SA"/>
        </w:rPr>
        <w:t xml:space="preserve"> </w:t>
      </w:r>
      <w:r w:rsidRPr="00F1042C">
        <w:t>.</w:t>
      </w:r>
    </w:p>
    <w:p w14:paraId="0EDD0E80" w14:textId="77777777" w:rsidR="004B60DD" w:rsidRDefault="004B60DD" w:rsidP="004B60DD">
      <w:pPr>
        <w:pStyle w:val="NoSpacing"/>
        <w:numPr>
          <w:ilvl w:val="0"/>
          <w:numId w:val="4"/>
        </w:numPr>
        <w:rPr>
          <w:rtl/>
        </w:rPr>
      </w:pPr>
      <w:r w:rsidRPr="00F1042C">
        <w:rPr>
          <w:b/>
          <w:bCs/>
          <w:rtl/>
          <w:lang w:bidi="ar-SA"/>
        </w:rPr>
        <w:t>محدودية البرامج التدريبية المتاحة ضمن مبادرات التوطين</w:t>
      </w:r>
      <w:r w:rsidRPr="00F1042C">
        <w:rPr>
          <w:b/>
          <w:bCs/>
        </w:rPr>
        <w:t>:</w:t>
      </w:r>
    </w:p>
    <w:p w14:paraId="0EDD0E81" w14:textId="77777777" w:rsidR="004B60DD" w:rsidRPr="00F1042C" w:rsidRDefault="004B60DD" w:rsidP="004B60DD">
      <w:pPr>
        <w:pStyle w:val="NoSpacing"/>
      </w:pPr>
      <w:r w:rsidRPr="00F1042C">
        <w:rPr>
          <w:rtl/>
          <w:lang w:bidi="ar-SA"/>
        </w:rPr>
        <w:lastRenderedPageBreak/>
        <w:t>قد لا تكون برامج التدريب والتأهيل الحالية كافية لتلبية احتياجات الموظفين السعوديين بشكل كامل. هذا القصور قد يظهر في ضعف المحتوى، أو قصر المدة الزمنية للبرامج، أو عدم تغطيتها للتخصصات الدقيقة المطلوبة، مما يحد من قدرتهم على التطور والارتقاء بمهامهم الفنية المعقدة</w:t>
      </w:r>
      <w:r w:rsidRPr="00F1042C">
        <w:t>.</w:t>
      </w:r>
    </w:p>
    <w:p w14:paraId="0EDD0E82" w14:textId="77777777" w:rsidR="004B60DD" w:rsidRDefault="004B60DD" w:rsidP="004B60DD">
      <w:pPr>
        <w:pStyle w:val="NoSpacing"/>
        <w:numPr>
          <w:ilvl w:val="0"/>
          <w:numId w:val="3"/>
        </w:numPr>
        <w:rPr>
          <w:rtl/>
        </w:rPr>
      </w:pPr>
      <w:r w:rsidRPr="00F1042C">
        <w:rPr>
          <w:b/>
          <w:bCs/>
          <w:rtl/>
          <w:lang w:bidi="ar-SA"/>
        </w:rPr>
        <w:t>وجود تحديات تنظيمية وثقافية تعيق التنفيذ الفعال</w:t>
      </w:r>
      <w:r w:rsidRPr="00F1042C">
        <w:rPr>
          <w:b/>
          <w:bCs/>
        </w:rPr>
        <w:t>:</w:t>
      </w:r>
    </w:p>
    <w:p w14:paraId="0EDD0E83" w14:textId="77777777" w:rsidR="004B60DD" w:rsidRPr="00F1042C" w:rsidRDefault="004B60DD" w:rsidP="004B60DD">
      <w:pPr>
        <w:pStyle w:val="NoSpacing"/>
      </w:pPr>
      <w:r w:rsidRPr="00F1042C">
        <w:rPr>
          <w:rtl/>
          <w:lang w:bidi="ar-SA"/>
        </w:rPr>
        <w:t>غالبًا ما تكون أكبر العقبات داخلية. تتمثل هذه التحديات في مقاومة محتملة للتغيير من بعض الإدارات، أو ضعف التنسيق بين قسم الموارد البشرية والأقسام الفنية، بالإضافة إلى غياب أنظمة متابعة وتقييم قوية لقياس أثر مبادرات التوطين بشكل دوري ودقيق</w:t>
      </w:r>
      <w:r w:rsidRPr="00F1042C">
        <w:t>.</w:t>
      </w:r>
    </w:p>
    <w:p w14:paraId="0EDD0E84" w14:textId="77777777" w:rsidR="004B60DD" w:rsidRDefault="004B60DD" w:rsidP="004B60DD">
      <w:pPr>
        <w:pStyle w:val="NoSpacing"/>
        <w:numPr>
          <w:ilvl w:val="0"/>
          <w:numId w:val="2"/>
        </w:numPr>
        <w:rPr>
          <w:rtl/>
        </w:rPr>
      </w:pPr>
      <w:r w:rsidRPr="00F1042C">
        <w:rPr>
          <w:b/>
          <w:bCs/>
          <w:rtl/>
          <w:lang w:bidi="ar-SA"/>
        </w:rPr>
        <w:t>ضعف شعور الموظف الوطني بوجود مسار وظيفي واضح</w:t>
      </w:r>
      <w:r w:rsidRPr="00F1042C">
        <w:rPr>
          <w:b/>
          <w:bCs/>
        </w:rPr>
        <w:t>:</w:t>
      </w:r>
    </w:p>
    <w:p w14:paraId="0EDD0E85" w14:textId="77777777" w:rsidR="004B60DD" w:rsidRPr="00F1042C" w:rsidRDefault="004B60DD" w:rsidP="004B60DD">
      <w:pPr>
        <w:pStyle w:val="NoSpacing"/>
      </w:pPr>
      <w:r w:rsidRPr="00F1042C">
        <w:rPr>
          <w:rtl/>
          <w:lang w:bidi="ar-SA"/>
        </w:rPr>
        <w:t>يعد الشعور بالنمو المهني والتقدير من أهم محفزات الموظف. قد يواجه الموظف السعودي شعورًا بأن فرصه في الترقي والتطور محدودة، ربما بسبب نقص الدعم الإداري، أو غموض المسارات الوظيفية، أو غياب الحوافز، مما يؤثر سلبًا على دافعيته واستقراره الوظيفي على المدى الطويل</w:t>
      </w:r>
      <w:sdt>
        <w:sdtPr>
          <w:rPr>
            <w:rFonts w:hint="cs"/>
            <w:rtl/>
          </w:rPr>
          <w:id w:val="-793909945"/>
          <w:citation/>
        </w:sdtPr>
        <w:sdtEndPr/>
        <w:sdtContent>
          <w:r>
            <w:rPr>
              <w:rtl/>
            </w:rPr>
            <w:fldChar w:fldCharType="begin"/>
          </w:r>
          <w:r>
            <w:instrText xml:space="preserve"> CITATION Feb241 \l 1033 </w:instrText>
          </w:r>
          <w:r>
            <w:rPr>
              <w:rtl/>
            </w:rPr>
            <w:fldChar w:fldCharType="separate"/>
          </w:r>
          <w:r>
            <w:rPr>
              <w:noProof/>
            </w:rPr>
            <w:t xml:space="preserve"> (Febrian, 2024)</w:t>
          </w:r>
          <w:r>
            <w:rPr>
              <w:rtl/>
            </w:rPr>
            <w:fldChar w:fldCharType="end"/>
          </w:r>
        </w:sdtContent>
      </w:sdt>
      <w:r>
        <w:rPr>
          <w:rFonts w:hint="cs"/>
          <w:rtl/>
        </w:rPr>
        <w:t xml:space="preserve"> </w:t>
      </w:r>
      <w:r>
        <w:t xml:space="preserve"> .</w:t>
      </w:r>
    </w:p>
    <w:p w14:paraId="0EDD0E86" w14:textId="77777777" w:rsidR="004B60DD" w:rsidRDefault="004B60DD" w:rsidP="004B60DD">
      <w:pPr>
        <w:pStyle w:val="NoSpacing"/>
        <w:numPr>
          <w:ilvl w:val="0"/>
          <w:numId w:val="1"/>
        </w:numPr>
        <w:rPr>
          <w:rtl/>
        </w:rPr>
      </w:pPr>
      <w:r w:rsidRPr="00F1042C">
        <w:rPr>
          <w:b/>
          <w:bCs/>
          <w:rtl/>
          <w:lang w:bidi="ar-SA"/>
        </w:rPr>
        <w:t>الحاجة الملحة لآليات تقييم فعّالة لقياس أثر التوطين</w:t>
      </w:r>
      <w:r w:rsidRPr="00F1042C">
        <w:rPr>
          <w:b/>
          <w:bCs/>
        </w:rPr>
        <w:t>:</w:t>
      </w:r>
    </w:p>
    <w:p w14:paraId="0EDD0E87" w14:textId="77777777" w:rsidR="004B60DD" w:rsidRPr="00F1042C" w:rsidRDefault="004B60DD" w:rsidP="004B60DD">
      <w:pPr>
        <w:pStyle w:val="NoSpacing"/>
      </w:pPr>
      <w:r w:rsidRPr="00F1042C">
        <w:rPr>
          <w:rtl/>
          <w:lang w:bidi="ar-SA"/>
        </w:rPr>
        <w:t>بدون قياس دقيق، يصعب معرفة مدى نجاح أي استراتيجية. هناك غياب ملحوظ لأدوات تقييم منهجية تقيس الأثر الحقيقي لبرامج التوطين على أداء الموظفين وتطور مهاراتهم وقدرتهم على تحمل مسؤوليات أكبر. هذا النقص يعيق عملية اتخاذ قرارات مبنية على بيانات موثوقة لتحسين الاستراتيجية مستقبلاً</w:t>
      </w:r>
      <w:r w:rsidRPr="00F1042C">
        <w:t>.</w:t>
      </w:r>
    </w:p>
    <w:p w14:paraId="0EDD0E88" w14:textId="77777777" w:rsidR="004B60DD" w:rsidRPr="00F1042C" w:rsidRDefault="004B60DD" w:rsidP="004B60DD">
      <w:pPr>
        <w:pStyle w:val="NoSpacing"/>
        <w:rPr>
          <w:rtl/>
        </w:rPr>
      </w:pPr>
    </w:p>
    <w:p w14:paraId="0EDD0E89" w14:textId="77777777" w:rsidR="004B60DD" w:rsidRDefault="004B60DD" w:rsidP="004B60DD">
      <w:pPr>
        <w:spacing w:after="0" w:line="360" w:lineRule="auto"/>
        <w:rPr>
          <w:rFonts w:ascii="Sakkal Majalla" w:hAnsi="Sakkal Majalla" w:cs="Sakkal Majalla"/>
          <w:sz w:val="28"/>
          <w:szCs w:val="28"/>
          <w:rtl/>
          <w:lang w:bidi="ar-EG"/>
        </w:rPr>
      </w:pPr>
    </w:p>
    <w:p w14:paraId="0EDD0E8A" w14:textId="77777777" w:rsidR="004B60DD" w:rsidRPr="00E06C68" w:rsidRDefault="004B60DD" w:rsidP="004B60DD">
      <w:pPr>
        <w:spacing w:after="0" w:line="360" w:lineRule="auto"/>
        <w:rPr>
          <w:rFonts w:ascii="Sakkal Majalla" w:hAnsi="Sakkal Majalla" w:cs="Sakkal Majalla"/>
          <w:sz w:val="28"/>
          <w:szCs w:val="28"/>
          <w:rtl/>
          <w:lang w:bidi="ar-EG"/>
        </w:rPr>
      </w:pPr>
    </w:p>
    <w:p w14:paraId="0EDD0E8B" w14:textId="77777777" w:rsidR="004B60DD" w:rsidRPr="00873C5D" w:rsidRDefault="004B60DD" w:rsidP="004B60DD">
      <w:pPr>
        <w:pStyle w:val="Heading1"/>
        <w:spacing w:before="0" w:line="360" w:lineRule="auto"/>
        <w:rPr>
          <w:rFonts w:ascii="Simplified Arabic" w:hAnsi="Simplified Arabic" w:cs="Simplified Arabic"/>
          <w:b/>
          <w:bCs/>
          <w:color w:val="auto"/>
          <w:sz w:val="28"/>
          <w:szCs w:val="28"/>
          <w:rtl/>
          <w:lang w:bidi="ar-EG"/>
        </w:rPr>
      </w:pPr>
      <w:bookmarkStart w:id="11" w:name="_Toc169565910"/>
      <w:bookmarkStart w:id="12" w:name="_Toc171440856"/>
      <w:bookmarkStart w:id="13" w:name="_Toc191138771"/>
      <w:r w:rsidRPr="00DE5E70">
        <w:rPr>
          <w:rFonts w:ascii="Simplified Arabic" w:hAnsi="Simplified Arabic" w:cs="Simplified Arabic"/>
          <w:b/>
          <w:bCs/>
          <w:color w:val="auto"/>
          <w:sz w:val="28"/>
          <w:szCs w:val="28"/>
          <w:rtl/>
          <w:lang w:bidi="ar-EG"/>
        </w:rPr>
        <w:t>أهمية الدراسة:</w:t>
      </w:r>
      <w:bookmarkEnd w:id="11"/>
      <w:bookmarkEnd w:id="12"/>
      <w:bookmarkEnd w:id="13"/>
    </w:p>
    <w:p w14:paraId="0EDD0E8C" w14:textId="77777777" w:rsidR="004B60DD" w:rsidRPr="00873C5D" w:rsidRDefault="004B60DD" w:rsidP="004B60DD">
      <w:pPr>
        <w:pStyle w:val="NoSpacing"/>
        <w:numPr>
          <w:ilvl w:val="0"/>
          <w:numId w:val="7"/>
        </w:numPr>
      </w:pPr>
      <w:r w:rsidRPr="00873C5D">
        <w:rPr>
          <w:b/>
          <w:bCs/>
          <w:rtl/>
          <w:lang w:bidi="ar-SA"/>
        </w:rPr>
        <w:t>أولاً: الأهمية العلمية للدراسة</w:t>
      </w:r>
    </w:p>
    <w:p w14:paraId="0EDD0E8D" w14:textId="77777777" w:rsidR="004B60DD" w:rsidRPr="00873C5D" w:rsidRDefault="004B60DD" w:rsidP="004B60DD">
      <w:pPr>
        <w:pStyle w:val="NoSpacing"/>
      </w:pPr>
      <w:r w:rsidRPr="00873C5D">
        <w:rPr>
          <w:rtl/>
          <w:lang w:bidi="ar-SA"/>
        </w:rPr>
        <w:t xml:space="preserve">تنبع الأهمية العلمية لهذه الدراسة بشكل أساسي من ندرة الأبحاث التطبيقية التي تتعمق في تحليل أثر استراتيجيات التوطين داخل القطاعات الفنية شديدة التخصص، مثل قطاع الطيران والدفاع. فغالبية الدراسات تناولت التوطين كمفهوم عام أو ركزت على قطاعات خدمية وإدارية، بينما يظل هذا القطاع الحيوي، الذي يعتمد على مهارات تقنية </w:t>
      </w:r>
      <w:r w:rsidRPr="00873C5D">
        <w:rPr>
          <w:rtl/>
          <w:lang w:bidi="ar-SA"/>
        </w:rPr>
        <w:lastRenderedPageBreak/>
        <w:t>متقدمة ومعايير دولية صارمة، منطقة شبه مجهولة بحثيًا. هذا التعقيد يجعل من عملية التوطين فيه تحديًا فريدًا، وبالتالي فإن دراسته تقدم إضافة نوعية تسد فجوة معرفية واضحة في المكتبة العربية</w:t>
      </w:r>
      <w:r w:rsidRPr="00873C5D">
        <w:t>.</w:t>
      </w:r>
    </w:p>
    <w:p w14:paraId="0EDD0E8E" w14:textId="77777777" w:rsidR="004B60DD" w:rsidRPr="00873C5D" w:rsidRDefault="004B60DD" w:rsidP="004B60DD">
      <w:pPr>
        <w:pStyle w:val="NoSpacing"/>
        <w:rPr>
          <w:rtl/>
        </w:rPr>
      </w:pPr>
      <w:r w:rsidRPr="00873C5D">
        <w:rPr>
          <w:rtl/>
          <w:lang w:bidi="ar-SA"/>
        </w:rPr>
        <w:t xml:space="preserve">من خلال التركيز على شركة "جال السعودية" كدراسة حالة، تتجاوز هذه الدراسة الطرح النظري لتقدم نموذجًا تحليليًا واقعيًا. فهي لا تكتفي بوصف سياسات التوطين، بل تسعى إلى تفكيك العلاقة بين هذه السياسات (المدخلات) وبين نتائجها الملموسة على أرض الواقع، متمثلة في الأداء المهني والتطور المهاري للكفاءات الوطنية (المخرجات). هذا الربط العميق يثري فهمنا لكيفية ترجمة الاستراتيجيات إلى نتائج فعلية، وهو ما يفتقر إليه الكثير من الأبحاث في هذا </w:t>
      </w:r>
      <w:r w:rsidRPr="00873C5D">
        <w:rPr>
          <w:rFonts w:hint="cs"/>
          <w:rtl/>
          <w:lang w:bidi="ar-SA"/>
        </w:rPr>
        <w:t>المجال</w:t>
      </w:r>
      <w:r>
        <w:t xml:space="preserve">. </w:t>
      </w:r>
      <w:sdt>
        <w:sdtPr>
          <w:rPr>
            <w:rtl/>
          </w:rPr>
          <w:id w:val="-1571801000"/>
          <w:citation/>
        </w:sdtPr>
        <w:sdtEndPr/>
        <w:sdtContent>
          <w:r>
            <w:rPr>
              <w:rtl/>
            </w:rPr>
            <w:fldChar w:fldCharType="begin"/>
          </w:r>
          <w:r>
            <w:instrText xml:space="preserve"> CITATION Zha241 \l 1033 </w:instrText>
          </w:r>
          <w:r>
            <w:rPr>
              <w:rtl/>
            </w:rPr>
            <w:fldChar w:fldCharType="separate"/>
          </w:r>
          <w:r>
            <w:rPr>
              <w:noProof/>
            </w:rPr>
            <w:t>(Zhao, 2024)</w:t>
          </w:r>
          <w:r>
            <w:rPr>
              <w:rtl/>
            </w:rPr>
            <w:fldChar w:fldCharType="end"/>
          </w:r>
        </w:sdtContent>
      </w:sdt>
    </w:p>
    <w:p w14:paraId="0EDD0E8F" w14:textId="77777777" w:rsidR="004B60DD" w:rsidRPr="00873C5D" w:rsidRDefault="004B60DD" w:rsidP="004B60DD">
      <w:pPr>
        <w:pStyle w:val="NoSpacing"/>
        <w:rPr>
          <w:rtl/>
        </w:rPr>
      </w:pPr>
      <w:r w:rsidRPr="00873C5D">
        <w:rPr>
          <w:rtl/>
          <w:lang w:bidi="ar-SA"/>
        </w:rPr>
        <w:t xml:space="preserve">علاوة على ذلك، تساهم الدراسة بشكل مباشر في إثراء الأدبيات العلمية في حقول متعددة كإدارة الموارد البشرية، وتنمية رأس المال البشري، واستراتيجيات التدريب الحديثة. فالنتائج التي ستخلص إليها يمكن أن تشكل مادة علمية قيمة للباحثين والطلاب في الجامعات، وتكون أساسًا لنقاشات علمية في الندوات والمؤتمرات. والأهم من ذلك، أنها تفتح الباب أمام دراسات مستقبلية أكثر عمقًا، كإجراء مقارنات بين شركات مختلفة في نفس القطاع، أو حتى بين تجارب دول مختلفة تسعى لنفس الهدف، مما يساهم في بناء معرفة تراكمية </w:t>
      </w:r>
      <w:r w:rsidRPr="00873C5D">
        <w:rPr>
          <w:rFonts w:hint="cs"/>
          <w:rtl/>
          <w:lang w:bidi="ar-SA"/>
        </w:rPr>
        <w:t>صلبة</w:t>
      </w:r>
      <w:r>
        <w:t xml:space="preserve">. </w:t>
      </w:r>
      <w:sdt>
        <w:sdtPr>
          <w:rPr>
            <w:rtl/>
          </w:rPr>
          <w:id w:val="1428533069"/>
          <w:citation/>
        </w:sdtPr>
        <w:sdtEndPr/>
        <w:sdtContent>
          <w:r>
            <w:rPr>
              <w:rtl/>
            </w:rPr>
            <w:fldChar w:fldCharType="begin"/>
          </w:r>
          <w:r>
            <w:instrText xml:space="preserve"> CITATION Sai23 \l 1033 </w:instrText>
          </w:r>
          <w:r>
            <w:rPr>
              <w:rtl/>
            </w:rPr>
            <w:fldChar w:fldCharType="separate"/>
          </w:r>
          <w:r>
            <w:rPr>
              <w:noProof/>
            </w:rPr>
            <w:t>(Sairmaly, 2023)</w:t>
          </w:r>
          <w:r>
            <w:rPr>
              <w:rtl/>
            </w:rPr>
            <w:fldChar w:fldCharType="end"/>
          </w:r>
        </w:sdtContent>
      </w:sdt>
      <w:r>
        <w:rPr>
          <w:rFonts w:hint="cs"/>
          <w:rtl/>
        </w:rPr>
        <w:t xml:space="preserve"> </w:t>
      </w:r>
    </w:p>
    <w:p w14:paraId="0EDD0E90" w14:textId="77777777" w:rsidR="004B60DD" w:rsidRDefault="004B60DD" w:rsidP="004B60DD">
      <w:pPr>
        <w:pStyle w:val="NoSpacing"/>
        <w:rPr>
          <w:rtl/>
        </w:rPr>
      </w:pPr>
      <w:r w:rsidRPr="00873C5D">
        <w:rPr>
          <w:rtl/>
          <w:lang w:bidi="ar-SA"/>
        </w:rPr>
        <w:t>أخيرًا، قد تكون هذه الدراسة هي الشرارة التي تطلق أبحاثًا جديدة في زوايا لم تُكتشف بعد. على سبيل المثال، يمكن للباحثين الانطلاق من نتائجها لدراسة الأبعاد النفسية والاجتماعية لعملية التوطين على الموظف الوطني، مثل شعوره بالانتماء، ومستوى الرضا الوظيفي، وتأثير ذلك على صحته النفسية. كما يمكن أن تلهم دراسات أخرى لتحليل أثر سياسات التحفيز المادي والمعنوي على استبقاء الكفاءات الوطنية في بيئات العمل الصعبة والمنافسة</w:t>
      </w:r>
      <w:r w:rsidRPr="00873C5D">
        <w:t>.</w:t>
      </w:r>
    </w:p>
    <w:p w14:paraId="0EDD0E91" w14:textId="77777777" w:rsidR="004B60DD" w:rsidRDefault="004B60DD" w:rsidP="004B60DD">
      <w:pPr>
        <w:pStyle w:val="NoSpacing"/>
        <w:rPr>
          <w:rtl/>
        </w:rPr>
      </w:pPr>
    </w:p>
    <w:p w14:paraId="0EDD0E92" w14:textId="77777777" w:rsidR="004B60DD" w:rsidRPr="00873C5D" w:rsidRDefault="004B60DD" w:rsidP="004B60DD">
      <w:pPr>
        <w:pStyle w:val="NoSpacing"/>
      </w:pPr>
    </w:p>
    <w:p w14:paraId="0EDD0E93" w14:textId="77777777" w:rsidR="004B60DD" w:rsidRPr="00873C5D" w:rsidRDefault="004B60DD" w:rsidP="004B60DD">
      <w:pPr>
        <w:pStyle w:val="NoSpacing"/>
        <w:numPr>
          <w:ilvl w:val="0"/>
          <w:numId w:val="9"/>
        </w:numPr>
      </w:pPr>
      <w:r w:rsidRPr="00873C5D">
        <w:rPr>
          <w:b/>
          <w:bCs/>
          <w:rtl/>
          <w:lang w:bidi="ar-SA"/>
        </w:rPr>
        <w:t>ثانيًا: الأهمية العملية والتطبيقية</w:t>
      </w:r>
    </w:p>
    <w:p w14:paraId="0EDD0E94" w14:textId="77777777" w:rsidR="004B60DD" w:rsidRPr="00873C5D" w:rsidRDefault="004B60DD" w:rsidP="004B60DD">
      <w:pPr>
        <w:pStyle w:val="NoSpacing"/>
      </w:pPr>
      <w:r w:rsidRPr="00873C5D">
        <w:rPr>
          <w:rtl/>
          <w:lang w:bidi="ar-SA"/>
        </w:rPr>
        <w:t>على الصعيد العملي، تمثل هذه الدراسة أداة تشخيصية وإرشادية بالغة الأهمية. بالنسبة لصناع القرار في شركة "جال السعودية" والمؤسسات المماثلة، فإنها تقدم مرآة تعكس الواقع بموضوعية. فبدلاً من الاعتماد على انطباعات عامة، توفر الدراسة تقييمًا منهجيًا يكشف عن جوانب النجاح ومكامن القوة في استراتيجيات التوطين الحالية، وفي نفس الوقت يضع الإصبع على الثغرات والتحديات التي قد تحول دون تحقيق الأثر الكامل لهذه الاستراتيجيات</w:t>
      </w:r>
      <w:r w:rsidRPr="00873C5D">
        <w:t>.</w:t>
      </w:r>
    </w:p>
    <w:p w14:paraId="0EDD0E95" w14:textId="77777777" w:rsidR="004B60DD" w:rsidRPr="00873C5D" w:rsidRDefault="004B60DD" w:rsidP="004B60DD">
      <w:pPr>
        <w:pStyle w:val="NoSpacing"/>
      </w:pPr>
      <w:r w:rsidRPr="00873C5D">
        <w:rPr>
          <w:rtl/>
          <w:lang w:bidi="ar-SA"/>
        </w:rPr>
        <w:t xml:space="preserve">لن تكون مخرجات الدراسة مجرد تحليل نظري، بل ستتضمن توصيات عملية ومحددة يمكن تطبيقها مباشرة لتحسين الأداء. هذه التوصيات، المبنية على بيانات ميدانية، ستساعد الإدارة على صياغة سياسات أكثر نضجًا وفعالية. على سبيل </w:t>
      </w:r>
      <w:r w:rsidRPr="00873C5D">
        <w:rPr>
          <w:rtl/>
          <w:lang w:bidi="ar-SA"/>
        </w:rPr>
        <w:lastRenderedPageBreak/>
        <w:t>المثال، يمكن أن تساعد في تصميم مسارات مهنية واضحة ومحفزة للموظفين السعوديين، أو تطوير مناهج تدريب فنية تتناسب مع أحدث التقنيات، أو ابتكار أنظمة حوافز تربط الأداء بالتقدم الوظيفي، مما يجعل بيئة العمل أكثر جاذبية وقدرة على الاحتفاظ بأفضل المواهب</w:t>
      </w:r>
      <w:r w:rsidRPr="00873C5D">
        <w:t>.</w:t>
      </w:r>
    </w:p>
    <w:p w14:paraId="0EDD0E96" w14:textId="77777777" w:rsidR="004B60DD" w:rsidRPr="00873C5D" w:rsidRDefault="004B60DD" w:rsidP="004B60DD">
      <w:pPr>
        <w:pStyle w:val="NoSpacing"/>
      </w:pPr>
      <w:r w:rsidRPr="00873C5D">
        <w:rPr>
          <w:rtl/>
          <w:lang w:bidi="ar-SA"/>
        </w:rPr>
        <w:t>الأهمية العملية تمتد لتشمل القطاعين العام والخاص على نطاق أوسع. فنتائج الدراسة يمكن أن تشكل قاعدة بيانات موثوقة تساعد صناع القرار على فهم أفضل الممارسات في مجال التوطين. عندما تكون القرارات مبنية على أدلة وبراهين من الواقع، فإنها تكون أكثر قدرة على تحقيق نتائج إيجابية ومستدامة، سواء على مستوى جودة العمل، أو رضا الموظفين، أو تعزيز الأداء المؤسسي ككل</w:t>
      </w:r>
      <w:r w:rsidRPr="00873C5D">
        <w:t>.</w:t>
      </w:r>
    </w:p>
    <w:p w14:paraId="0EDD0E97" w14:textId="77777777" w:rsidR="004B60DD" w:rsidRPr="00873C5D" w:rsidRDefault="004B60DD" w:rsidP="004B60DD">
      <w:pPr>
        <w:pStyle w:val="NoSpacing"/>
      </w:pPr>
      <w:r w:rsidRPr="00873C5D">
        <w:rPr>
          <w:rtl/>
          <w:lang w:bidi="ar-SA"/>
        </w:rPr>
        <w:t>أخيرًا، يمكن أن تلعب مخرجات هذه الدراسة دورًا استشاريًا للجهات الحكومية المعنية، وعلى رأسها وزارة الموارد البشرية والتنمية الاجتماعية. فعندما تسعى الوزارة لتطوير سياسات التوطين على المستوى الوطني أو مراجعة البرامج الحالية، فإن دراسات الحالة المتعمقة كهذه توفر رؤى قيمة حول ما ينجح وما لا ينجح على أرض الواقع، خاصة في القطاعات التخصصية. هذا التكامل بين البحث الأكاديمي والسياسات العامة هو السبيل الأمثل لضمان أن تكون أهداف التنمية الوطنية متناغمة تمامًا مع احتياجات سوق العمل الفعلية</w:t>
      </w:r>
      <w:sdt>
        <w:sdtPr>
          <w:rPr>
            <w:rFonts w:hint="cs"/>
            <w:rtl/>
            <w:lang w:bidi="ar-SA"/>
          </w:rPr>
          <w:id w:val="1280146757"/>
          <w:citation/>
        </w:sdtPr>
        <w:sdtEndPr/>
        <w:sdtContent>
          <w:r>
            <w:rPr>
              <w:rtl/>
              <w:lang w:bidi="ar-SA"/>
            </w:rPr>
            <w:fldChar w:fldCharType="begin"/>
          </w:r>
          <w:r>
            <w:rPr>
              <w:lang w:bidi="ar-SA"/>
            </w:rPr>
            <w:instrText xml:space="preserve"> CITATION Ald254 \l 1033 </w:instrText>
          </w:r>
          <w:r>
            <w:rPr>
              <w:rtl/>
              <w:lang w:bidi="ar-SA"/>
            </w:rPr>
            <w:fldChar w:fldCharType="separate"/>
          </w:r>
          <w:r>
            <w:rPr>
              <w:noProof/>
              <w:lang w:bidi="ar-SA"/>
            </w:rPr>
            <w:t xml:space="preserve"> (Aldabbas, 2025)</w:t>
          </w:r>
          <w:r>
            <w:rPr>
              <w:rtl/>
              <w:lang w:bidi="ar-SA"/>
            </w:rPr>
            <w:fldChar w:fldCharType="end"/>
          </w:r>
        </w:sdtContent>
      </w:sdt>
      <w:r>
        <w:rPr>
          <w:rFonts w:hint="cs"/>
          <w:rtl/>
          <w:lang w:bidi="ar-SA"/>
        </w:rPr>
        <w:t xml:space="preserve"> </w:t>
      </w:r>
      <w:r w:rsidRPr="00873C5D">
        <w:t>.</w:t>
      </w:r>
    </w:p>
    <w:p w14:paraId="0EDD0E98" w14:textId="77777777" w:rsidR="004B60DD" w:rsidRPr="00873C5D" w:rsidRDefault="004B60DD" w:rsidP="004B60DD">
      <w:pPr>
        <w:pStyle w:val="NoSpacing"/>
        <w:rPr>
          <w:rtl/>
        </w:rPr>
      </w:pPr>
    </w:p>
    <w:p w14:paraId="0EDD0E99" w14:textId="77777777" w:rsidR="004B60DD" w:rsidRDefault="004B60DD" w:rsidP="004B60DD">
      <w:pPr>
        <w:pStyle w:val="NoSpacing"/>
        <w:rPr>
          <w:rtl/>
        </w:rPr>
      </w:pPr>
    </w:p>
    <w:p w14:paraId="0EDD0E9A" w14:textId="77777777" w:rsidR="004B60DD" w:rsidRDefault="004B60DD" w:rsidP="004B60DD">
      <w:pPr>
        <w:pStyle w:val="NoSpacing"/>
        <w:rPr>
          <w:rtl/>
        </w:rPr>
      </w:pPr>
    </w:p>
    <w:p w14:paraId="0EDD0E9B" w14:textId="77777777" w:rsidR="004B60DD" w:rsidRPr="00201BD2" w:rsidRDefault="004B60DD" w:rsidP="004B60DD">
      <w:pPr>
        <w:pStyle w:val="NoSpacing"/>
      </w:pPr>
    </w:p>
    <w:p w14:paraId="0EDD0E9C" w14:textId="77777777" w:rsidR="004B60DD" w:rsidRDefault="004B60DD" w:rsidP="004B60DD">
      <w:pPr>
        <w:pStyle w:val="Heading1"/>
        <w:spacing w:before="0" w:line="360" w:lineRule="auto"/>
        <w:rPr>
          <w:rFonts w:ascii="Simplified Arabic" w:hAnsi="Simplified Arabic" w:cs="Simplified Arabic"/>
          <w:b/>
          <w:bCs/>
          <w:color w:val="000000" w:themeColor="text1"/>
          <w:sz w:val="28"/>
          <w:szCs w:val="28"/>
          <w:rtl/>
        </w:rPr>
      </w:pPr>
      <w:bookmarkStart w:id="14" w:name="_Toc169370867"/>
      <w:bookmarkStart w:id="15" w:name="_Toc169565911"/>
      <w:bookmarkStart w:id="16" w:name="_Toc171440857"/>
      <w:bookmarkStart w:id="17" w:name="_Toc191138772"/>
      <w:r w:rsidRPr="00DE5E70">
        <w:rPr>
          <w:rFonts w:ascii="Simplified Arabic" w:hAnsi="Simplified Arabic" w:cs="Simplified Arabic"/>
          <w:b/>
          <w:bCs/>
          <w:color w:val="000000" w:themeColor="text1"/>
          <w:sz w:val="28"/>
          <w:szCs w:val="28"/>
          <w:rtl/>
        </w:rPr>
        <w:t>أهداف الدراسة:</w:t>
      </w:r>
      <w:bookmarkStart w:id="18" w:name="_Toc169370868"/>
      <w:bookmarkStart w:id="19" w:name="_Toc169565912"/>
      <w:bookmarkEnd w:id="14"/>
      <w:bookmarkEnd w:id="15"/>
      <w:bookmarkEnd w:id="16"/>
      <w:bookmarkEnd w:id="17"/>
    </w:p>
    <w:p w14:paraId="0EDD0E9D" w14:textId="77777777" w:rsidR="004B60DD" w:rsidRPr="006739BB" w:rsidRDefault="004B60DD" w:rsidP="004B60DD">
      <w:pPr>
        <w:pStyle w:val="NoSpacing"/>
      </w:pPr>
      <w:r w:rsidRPr="006739BB">
        <w:rPr>
          <w:b/>
          <w:bCs/>
          <w:rtl/>
          <w:lang w:bidi="ar-SA"/>
        </w:rPr>
        <w:t>الهدف الأساسي للدراسة</w:t>
      </w:r>
      <w:r w:rsidRPr="006739BB">
        <w:rPr>
          <w:b/>
          <w:bCs/>
        </w:rPr>
        <w:t>:</w:t>
      </w:r>
    </w:p>
    <w:p w14:paraId="0EDD0E9E" w14:textId="77777777" w:rsidR="004B60DD" w:rsidRPr="006739BB" w:rsidRDefault="004B60DD" w:rsidP="004B60DD">
      <w:pPr>
        <w:pStyle w:val="NoSpacing"/>
      </w:pPr>
      <w:r w:rsidRPr="006739BB">
        <w:rPr>
          <w:rtl/>
          <w:lang w:bidi="ar-SA"/>
        </w:rPr>
        <w:t>الهدف المحوري لهذه الدراسة هو تقديم تحليل شامل وعميق للأثر الفعلي الذي تحدثه استراتيجيات التوطين المطبقة في شركة جال السعودية على مسيرة تطوير الكفاءات الوطنية. نحن لا نسعى فقط إلى وصف هذه الاستراتيجيات، بل إلى قياس مدى نجاحها في تحقيق غايتها الأسمى: تمكين الموظف السعودي، وتزويده بالمهارات والمعرفة اللازمة للنجاح، وفتح آفاق واضحة أمامه للتقدم والترقي داخل بيئة عمل تتسم بالدقة التقنية والتحديات الفنية المتخصصة</w:t>
      </w:r>
      <w:r>
        <w:rPr>
          <w:rFonts w:hint="cs"/>
          <w:rtl/>
          <w:lang w:bidi="ar-SA"/>
        </w:rPr>
        <w:t>.</w:t>
      </w:r>
    </w:p>
    <w:p w14:paraId="0EDD0E9F" w14:textId="77777777" w:rsidR="004B60DD" w:rsidRPr="006739BB" w:rsidRDefault="004B60DD" w:rsidP="004B60DD">
      <w:pPr>
        <w:pStyle w:val="NoSpacing"/>
      </w:pPr>
      <w:r w:rsidRPr="006739BB">
        <w:rPr>
          <w:rtl/>
          <w:lang w:bidi="ar-SA"/>
        </w:rPr>
        <w:lastRenderedPageBreak/>
        <w:t>ولتحقيق هذا الهدف الرئيسي، تنقسم الدراسة إلى مجموعة من الأهداف الفرعية المترابطة التي تشكل خارطة الطريق للبحث</w:t>
      </w:r>
      <w:r w:rsidRPr="006739BB">
        <w:t>:</w:t>
      </w:r>
    </w:p>
    <w:p w14:paraId="0EDD0EA0" w14:textId="77777777" w:rsidR="004B60DD" w:rsidRDefault="004B60DD" w:rsidP="004B60DD">
      <w:pPr>
        <w:pStyle w:val="NoSpacing"/>
        <w:numPr>
          <w:ilvl w:val="0"/>
          <w:numId w:val="10"/>
        </w:numPr>
      </w:pPr>
      <w:r w:rsidRPr="006739BB">
        <w:rPr>
          <w:b/>
          <w:bCs/>
          <w:rtl/>
          <w:lang w:bidi="ar-SA"/>
        </w:rPr>
        <w:t>رصد وتفكيك الاستراتيجيات الحالية للتوطين في "جال السعودية</w:t>
      </w:r>
      <w:r w:rsidRPr="006739BB">
        <w:rPr>
          <w:b/>
          <w:bCs/>
        </w:rPr>
        <w:t>":</w:t>
      </w:r>
    </w:p>
    <w:p w14:paraId="0EDD0EA1" w14:textId="77777777" w:rsidR="004B60DD" w:rsidRPr="006739BB" w:rsidRDefault="004B60DD" w:rsidP="004B60DD">
      <w:pPr>
        <w:pStyle w:val="NoSpacing"/>
        <w:ind w:left="360"/>
        <w:rPr>
          <w:rtl/>
        </w:rPr>
      </w:pPr>
      <w:r w:rsidRPr="006739BB">
        <w:rPr>
          <w:rtl/>
          <w:lang w:bidi="ar-SA"/>
        </w:rPr>
        <w:t>هذا الهدف هو نقطة البداية، حيث سنسعى إلى رسم صورة كاملة وواضحة للنهج الذي تتبعه الشركة. لا يقتصر الأمر على تحديد السياسات المكتوبة، بل يشمل تحليل الخطط العملية والإجراءات التنفيذية المتبعة في توظيف وتدريب وتطوير الكوادر الوطنية. سنبحث في مدى تكامل هذه الاستراتيجيات مع الرؤية العامة للشركة، وهل هي مجرد رد فعل لمتطلبات خارجية أم أنها جزء لا يتجزأ من ثقافة وهوية المؤسسة</w:t>
      </w:r>
      <w:sdt>
        <w:sdtPr>
          <w:rPr>
            <w:rFonts w:hint="cs"/>
            <w:rtl/>
            <w:lang w:bidi="ar-SA"/>
          </w:rPr>
          <w:id w:val="1128119966"/>
          <w:citation/>
        </w:sdtPr>
        <w:sdtEndPr/>
        <w:sdtContent>
          <w:r>
            <w:rPr>
              <w:rtl/>
              <w:lang w:bidi="ar-SA"/>
            </w:rPr>
            <w:fldChar w:fldCharType="begin"/>
          </w:r>
          <w:r>
            <w:rPr>
              <w:lang w:bidi="ar-SA"/>
            </w:rPr>
            <w:instrText xml:space="preserve"> CITATION Sul251 \l 1033 </w:instrText>
          </w:r>
          <w:r>
            <w:rPr>
              <w:rtl/>
              <w:lang w:bidi="ar-SA"/>
            </w:rPr>
            <w:fldChar w:fldCharType="separate"/>
          </w:r>
          <w:r>
            <w:rPr>
              <w:noProof/>
              <w:lang w:bidi="ar-SA"/>
            </w:rPr>
            <w:t xml:space="preserve"> (Sultan, 2025)</w:t>
          </w:r>
          <w:r>
            <w:rPr>
              <w:rtl/>
              <w:lang w:bidi="ar-SA"/>
            </w:rPr>
            <w:fldChar w:fldCharType="end"/>
          </w:r>
        </w:sdtContent>
      </w:sdt>
      <w:r>
        <w:rPr>
          <w:rFonts w:hint="cs"/>
          <w:rtl/>
          <w:lang w:bidi="ar-SA"/>
        </w:rPr>
        <w:t xml:space="preserve"> </w:t>
      </w:r>
      <w:r>
        <w:t xml:space="preserve"> </w:t>
      </w:r>
      <w:r w:rsidRPr="006739BB">
        <w:t>.</w:t>
      </w:r>
      <w:r>
        <w:rPr>
          <w:rFonts w:hint="cs"/>
          <w:rtl/>
        </w:rPr>
        <w:t xml:space="preserve"> </w:t>
      </w:r>
    </w:p>
    <w:p w14:paraId="0EDD0EA2" w14:textId="77777777" w:rsidR="004B60DD" w:rsidRDefault="004B60DD" w:rsidP="004B60DD">
      <w:pPr>
        <w:pStyle w:val="NoSpacing"/>
        <w:numPr>
          <w:ilvl w:val="0"/>
          <w:numId w:val="10"/>
        </w:numPr>
        <w:rPr>
          <w:rtl/>
        </w:rPr>
      </w:pPr>
      <w:r w:rsidRPr="006739BB">
        <w:rPr>
          <w:b/>
          <w:bCs/>
          <w:rtl/>
          <w:lang w:bidi="ar-SA"/>
        </w:rPr>
        <w:t>تقييم الأثر المباشر للتوطين على بناء المهارات الفنية والإدارية</w:t>
      </w:r>
      <w:r w:rsidRPr="006739BB">
        <w:rPr>
          <w:b/>
          <w:bCs/>
        </w:rPr>
        <w:t>:</w:t>
      </w:r>
    </w:p>
    <w:p w14:paraId="0EDD0EA3" w14:textId="77777777" w:rsidR="004B60DD" w:rsidRPr="006739BB" w:rsidRDefault="004B60DD" w:rsidP="004B60DD">
      <w:pPr>
        <w:pStyle w:val="NoSpacing"/>
      </w:pPr>
      <w:r w:rsidRPr="006739BB">
        <w:rPr>
          <w:rtl/>
          <w:lang w:bidi="ar-SA"/>
        </w:rPr>
        <w:t>هنا ننتقل من "ماذا تفعل الشركة؟" إلى "ما هي نتيجة ما تفعله؟". سيركز هذا الهدف على قياس مدى مساهمة استراتيجيات التوطين في صقل المهارات الحقيقية للموظفين السعوديين. سنقوم بتحليل نوعية الخبرات التي يكتسبونها من خلال مهامهم اليومية، وجودة برامج التدريب على رأس العمل، وتقييم مدى قدرتهم على التعامل مع المهام المعقدة بكفاءة وثقة، ومقارنة ذلك بالمعايير المطلوبة في قطاع الطيران والدفاع</w:t>
      </w:r>
      <w:r w:rsidRPr="006739BB">
        <w:t>.</w:t>
      </w:r>
    </w:p>
    <w:p w14:paraId="0EDD0EA4" w14:textId="77777777" w:rsidR="004B60DD" w:rsidRDefault="004B60DD" w:rsidP="004B60DD">
      <w:pPr>
        <w:pStyle w:val="NoSpacing"/>
        <w:numPr>
          <w:ilvl w:val="0"/>
          <w:numId w:val="10"/>
        </w:numPr>
        <w:rPr>
          <w:rtl/>
        </w:rPr>
      </w:pPr>
      <w:r w:rsidRPr="006739BB">
        <w:rPr>
          <w:b/>
          <w:bCs/>
          <w:rtl/>
          <w:lang w:bidi="ar-SA"/>
        </w:rPr>
        <w:t>دراسة وتحليل برامج التدريب والتأهيل الموجهة للكوادر الوطنية</w:t>
      </w:r>
      <w:r w:rsidRPr="006739BB">
        <w:rPr>
          <w:b/>
          <w:bCs/>
        </w:rPr>
        <w:t>:</w:t>
      </w:r>
    </w:p>
    <w:p w14:paraId="0EDD0EA5" w14:textId="77777777" w:rsidR="004B60DD" w:rsidRPr="006739BB" w:rsidRDefault="004B60DD" w:rsidP="004B60DD">
      <w:pPr>
        <w:pStyle w:val="NoSpacing"/>
      </w:pPr>
      <w:r w:rsidRPr="006739BB">
        <w:rPr>
          <w:rtl/>
          <w:lang w:bidi="ar-SA"/>
        </w:rPr>
        <w:t>لا يكفي وجود برامج تدريب، بل يجب أن تكون فعالة ومناسبة. يهدف هذا الجزء من الدراسة إلى الغوص في تفاصيل هذه البرامج: تحليل محتواها، وتقييم مدى ملاءمتها للاحتياجات الفعلية للوظائف التخصصية، ومعرفة ما إذا كانت تواكب أحدث التقنيات والممارسات العالمية. كما سنبحث في أثر هذه البرامج على المدى الطويل، أي هل تساهم في تطوير مهني مستدام أم أنها مجرد دورات قصيرة الأجل ذات تأثير محدود؟</w:t>
      </w:r>
    </w:p>
    <w:p w14:paraId="0EDD0EA6" w14:textId="77777777" w:rsidR="004B60DD" w:rsidRDefault="004B60DD" w:rsidP="004B60DD">
      <w:pPr>
        <w:pStyle w:val="NoSpacing"/>
        <w:numPr>
          <w:ilvl w:val="0"/>
          <w:numId w:val="10"/>
        </w:numPr>
        <w:rPr>
          <w:rtl/>
        </w:rPr>
      </w:pPr>
      <w:r w:rsidRPr="006739BB">
        <w:rPr>
          <w:b/>
          <w:bCs/>
          <w:rtl/>
          <w:lang w:bidi="ar-SA"/>
        </w:rPr>
        <w:t>الكشف عن التحديات والعقبات التي تعترض مسار التوطين</w:t>
      </w:r>
      <w:r w:rsidRPr="006739BB">
        <w:rPr>
          <w:b/>
          <w:bCs/>
        </w:rPr>
        <w:t>:</w:t>
      </w:r>
    </w:p>
    <w:p w14:paraId="0EDD0EA7" w14:textId="77777777" w:rsidR="004B60DD" w:rsidRDefault="004B60DD" w:rsidP="004B60DD">
      <w:pPr>
        <w:pStyle w:val="NoSpacing"/>
      </w:pPr>
      <w:r w:rsidRPr="006739BB">
        <w:rPr>
          <w:rtl/>
          <w:lang w:bidi="ar-SA"/>
        </w:rPr>
        <w:t>لا توجد استراتيجية بدون تحديات. هذا الهدف مخصص لتحديد وتشخيص الصعوبات التي تواجه تنفيذ خطط التوطين بفعالية داخل الشركة. تشمل هذه التحديات الجوانب التنظيمية (مثل البيروقراطية أو ضعف التنسيق بين الأقسام)، والجوانب الثقافية (مثل مقاومة التغيير)، بالإضافة إلى التحديات الفنية (مثل نقص المدربين المؤهلين أو صعوبة توفير بيئات تدريب عملية). فهم هذه العقبات هو الخطوة الأولى نحو التغلب عليها</w:t>
      </w:r>
      <w:r>
        <w:t xml:space="preserve">  . </w:t>
      </w:r>
      <w:sdt>
        <w:sdtPr>
          <w:rPr>
            <w:rtl/>
          </w:rPr>
          <w:id w:val="-1623227270"/>
          <w:citation/>
        </w:sdtPr>
        <w:sdtEndPr/>
        <w:sdtContent>
          <w:r>
            <w:rPr>
              <w:rtl/>
            </w:rPr>
            <w:fldChar w:fldCharType="begin"/>
          </w:r>
          <w:r>
            <w:instrText xml:space="preserve"> CITATION Lee21 \l 1033 </w:instrText>
          </w:r>
          <w:r>
            <w:rPr>
              <w:rtl/>
            </w:rPr>
            <w:fldChar w:fldCharType="separate"/>
          </w:r>
          <w:r>
            <w:rPr>
              <w:noProof/>
            </w:rPr>
            <w:t>(Lee, 2021)</w:t>
          </w:r>
          <w:r>
            <w:rPr>
              <w:rtl/>
            </w:rPr>
            <w:fldChar w:fldCharType="end"/>
          </w:r>
        </w:sdtContent>
      </w:sdt>
    </w:p>
    <w:p w14:paraId="0EDD0EA8" w14:textId="77777777" w:rsidR="004B60DD" w:rsidRDefault="004B60DD" w:rsidP="004B60DD">
      <w:pPr>
        <w:pStyle w:val="NoSpacing"/>
        <w:numPr>
          <w:ilvl w:val="0"/>
          <w:numId w:val="10"/>
        </w:numPr>
        <w:rPr>
          <w:rtl/>
        </w:rPr>
      </w:pPr>
      <w:r w:rsidRPr="006739BB">
        <w:rPr>
          <w:b/>
          <w:bCs/>
          <w:rtl/>
          <w:lang w:bidi="ar-SA"/>
        </w:rPr>
        <w:t>تحليل تصورات الموظفين السعوديين حول فرص نموهم المهني</w:t>
      </w:r>
      <w:r w:rsidRPr="006739BB">
        <w:rPr>
          <w:b/>
          <w:bCs/>
        </w:rPr>
        <w:t>:</w:t>
      </w:r>
    </w:p>
    <w:p w14:paraId="0EDD0EA9" w14:textId="77777777" w:rsidR="004B60DD" w:rsidRPr="006739BB" w:rsidRDefault="004B60DD" w:rsidP="004B60DD">
      <w:pPr>
        <w:pStyle w:val="NoSpacing"/>
      </w:pPr>
      <w:r w:rsidRPr="006739BB">
        <w:rPr>
          <w:rtl/>
          <w:lang w:bidi="ar-SA"/>
        </w:rPr>
        <w:lastRenderedPageBreak/>
        <w:t>في النهاية، نجاح أي استراتيجية يعتمد على قبول وتفاعل الأفراد المستهدفين. لذلك، يسعى هذا الهدف إلى قياس "نبض" الموظفين السعوديين أنفسهم. من خلال استطلاع آرائهم، سنعمل على فهم مدى رضاهم عن فرص التطور والترقي المتاحة لهم، وتقييمهم لمستوى الدعم والتحفيز الذي يتلقونه، وقياس شعورهم بالتمكين والثقة في مستقبلهم الوظيفي داخل الشركة. هذا المنظور الداخلي ضروري للحصول على صورة كاملة</w:t>
      </w:r>
      <w:r w:rsidRPr="006739BB">
        <w:t>.</w:t>
      </w:r>
    </w:p>
    <w:p w14:paraId="0EDD0EAA" w14:textId="77777777" w:rsidR="004B60DD" w:rsidRDefault="004B60DD" w:rsidP="004B60DD">
      <w:pPr>
        <w:pStyle w:val="NoSpacing"/>
        <w:numPr>
          <w:ilvl w:val="0"/>
          <w:numId w:val="10"/>
        </w:numPr>
        <w:rPr>
          <w:rtl/>
        </w:rPr>
      </w:pPr>
      <w:r w:rsidRPr="006739BB">
        <w:rPr>
          <w:b/>
          <w:bCs/>
          <w:rtl/>
          <w:lang w:bidi="ar-SA"/>
        </w:rPr>
        <w:t>الخروج بتوصيات عملية ومقترحات قابلة للتطبيق</w:t>
      </w:r>
      <w:r w:rsidRPr="006739BB">
        <w:rPr>
          <w:b/>
          <w:bCs/>
        </w:rPr>
        <w:t>:</w:t>
      </w:r>
    </w:p>
    <w:p w14:paraId="0EDD0EAB" w14:textId="77777777" w:rsidR="004B60DD" w:rsidRDefault="004B60DD" w:rsidP="004B60DD">
      <w:pPr>
        <w:pStyle w:val="NoSpacing"/>
        <w:rPr>
          <w:rtl/>
        </w:rPr>
      </w:pPr>
      <w:r w:rsidRPr="006739BB">
        <w:rPr>
          <w:rtl/>
          <w:lang w:bidi="ar-SA"/>
        </w:rPr>
        <w:t>الدراسة لن تكتفي بالتشخيص، بل ستسعى إلى تقديم الحلول. بناءً على كل ما سبق من تحليل، سيتمثل الهدف النهائي في صياغة مجموعة من التوصيات والمقترحات المحددة والعملية. هذه التوصيات ستكون موجهة بشكل مباشر إلى إدارة الشركة لتحسين استراتيجياتها، كما يمكن أن تكون مفيدة للجهات الحكومية المعنية بسياسات التوطين، بهدف تعزيز الأثر الإيجابي لهذه السياسات على المستوى الوطني</w:t>
      </w:r>
      <w:r>
        <w:t xml:space="preserve">   . </w:t>
      </w:r>
      <w:sdt>
        <w:sdtPr>
          <w:rPr>
            <w:rtl/>
          </w:rPr>
          <w:id w:val="-1843847573"/>
          <w:citation/>
        </w:sdtPr>
        <w:sdtEndPr/>
        <w:sdtContent>
          <w:r>
            <w:rPr>
              <w:rtl/>
            </w:rPr>
            <w:fldChar w:fldCharType="begin"/>
          </w:r>
          <w:r>
            <w:instrText xml:space="preserve"> CITATION Men24 \l 1033 </w:instrText>
          </w:r>
          <w:r>
            <w:rPr>
              <w:rtl/>
            </w:rPr>
            <w:fldChar w:fldCharType="separate"/>
          </w:r>
          <w:r>
            <w:rPr>
              <w:noProof/>
            </w:rPr>
            <w:t>(Mennella, 2024)</w:t>
          </w:r>
          <w:r>
            <w:rPr>
              <w:rtl/>
            </w:rPr>
            <w:fldChar w:fldCharType="end"/>
          </w:r>
        </w:sdtContent>
      </w:sdt>
    </w:p>
    <w:p w14:paraId="0EDD0EAC" w14:textId="77777777" w:rsidR="004B60DD" w:rsidRPr="00F86C08" w:rsidRDefault="004B60DD" w:rsidP="004B60DD">
      <w:pPr>
        <w:pStyle w:val="NoSpacing"/>
        <w:rPr>
          <w:rtl/>
        </w:rPr>
      </w:pPr>
    </w:p>
    <w:p w14:paraId="0EDD0EAD" w14:textId="77777777" w:rsidR="004B60DD" w:rsidRDefault="004B60DD" w:rsidP="004B60DD">
      <w:pPr>
        <w:pStyle w:val="Heading2"/>
        <w:rPr>
          <w:rtl/>
        </w:rPr>
      </w:pPr>
      <w:bookmarkStart w:id="20" w:name="_Toc171440858"/>
      <w:bookmarkStart w:id="21" w:name="_Toc191138773"/>
      <w:r w:rsidRPr="00DE5E70">
        <w:rPr>
          <w:rtl/>
        </w:rPr>
        <w:t>تساؤلات الدراسة:</w:t>
      </w:r>
      <w:bookmarkEnd w:id="18"/>
      <w:bookmarkEnd w:id="19"/>
      <w:bookmarkEnd w:id="20"/>
      <w:bookmarkEnd w:id="21"/>
    </w:p>
    <w:p w14:paraId="0EDD0EAE" w14:textId="77777777" w:rsidR="004B60DD" w:rsidRDefault="004B60DD" w:rsidP="004B60DD">
      <w:pPr>
        <w:rPr>
          <w:rtl/>
          <w:lang w:bidi="ar-EG"/>
        </w:rPr>
      </w:pPr>
    </w:p>
    <w:p w14:paraId="0EDD0EAF" w14:textId="77777777" w:rsidR="004B60DD" w:rsidRPr="0011159B" w:rsidRDefault="004B60DD" w:rsidP="004B60DD">
      <w:pPr>
        <w:pStyle w:val="NoSpacing"/>
      </w:pPr>
      <w:r w:rsidRPr="0011159B">
        <w:rPr>
          <w:b/>
          <w:bCs/>
          <w:rtl/>
          <w:lang w:bidi="ar-SA"/>
        </w:rPr>
        <w:t>السؤال الرئيسي للدراسة</w:t>
      </w:r>
      <w:r w:rsidRPr="0011159B">
        <w:rPr>
          <w:b/>
          <w:bCs/>
        </w:rPr>
        <w:t>:</w:t>
      </w:r>
    </w:p>
    <w:p w14:paraId="0EDD0EB0" w14:textId="77777777" w:rsidR="004B60DD" w:rsidRPr="0011159B" w:rsidRDefault="004B60DD" w:rsidP="004B60DD">
      <w:pPr>
        <w:pStyle w:val="NoSpacing"/>
        <w:numPr>
          <w:ilvl w:val="0"/>
          <w:numId w:val="10"/>
        </w:numPr>
      </w:pPr>
      <w:r w:rsidRPr="0011159B">
        <w:rPr>
          <w:b/>
          <w:bCs/>
          <w:rtl/>
          <w:lang w:bidi="ar-SA"/>
        </w:rPr>
        <w:t>ما أثر استراتيجيات التوطين التي تطبقها شركة جال السعودية على تطوير الكفاءات الوطنية؟</w:t>
      </w:r>
    </w:p>
    <w:p w14:paraId="0EDD0EB1" w14:textId="77777777" w:rsidR="004B60DD" w:rsidRPr="0011159B" w:rsidRDefault="004B60DD" w:rsidP="004B60DD">
      <w:pPr>
        <w:pStyle w:val="NoSpacing"/>
      </w:pPr>
      <w:r w:rsidRPr="0011159B">
        <w:rPr>
          <w:rtl/>
          <w:lang w:bidi="ar-SA"/>
        </w:rPr>
        <w:t>هذا السؤال هو حجر الزاوية الذي تقوم عليه الدراسة بأكملها. إنه لا يسأل فقط عن وجود استراتيجيات للتوطين، بل يغوص أعمق ليبحث في طبيعة وجودتها وتأثيرها الفعلي</w:t>
      </w:r>
      <w:r w:rsidRPr="0011159B">
        <w:t xml:space="preserve">. </w:t>
      </w:r>
      <w:r w:rsidRPr="0011159B">
        <w:rPr>
          <w:rtl/>
          <w:lang w:bidi="ar-SA"/>
        </w:rPr>
        <w:t>الهدف هنا هو الانتقال من مجرد العد والإحصاء (كم عدد الموظفين السعوديين؟) إلى التقييم النوعي (هل أصبح هؤلاء الموظفون أكثر كفاءة ومهارة وقدرة على قيادة المهام المعقدة؟). بمعنى آخر، يسعى هذا السؤال إلى الكشف عن العلاقة السببية بين جهود الشركة في التوطين والنمو الحقيقي الذي يطرأ على رأس المال البشري الوطني داخلها</w:t>
      </w:r>
      <w:r w:rsidRPr="0011159B">
        <w:t>.</w:t>
      </w:r>
    </w:p>
    <w:p w14:paraId="0EDD0EB2" w14:textId="77777777" w:rsidR="004B60DD" w:rsidRPr="0011159B" w:rsidRDefault="004B60DD" w:rsidP="004B60DD">
      <w:pPr>
        <w:pStyle w:val="NoSpacing"/>
        <w:rPr>
          <w:b/>
          <w:bCs/>
        </w:rPr>
      </w:pPr>
      <w:r w:rsidRPr="0011159B">
        <w:rPr>
          <w:b/>
          <w:bCs/>
          <w:rtl/>
          <w:lang w:bidi="ar-SA"/>
        </w:rPr>
        <w:t xml:space="preserve">وللإجابة على هذا السؤال المحوري بشكل شامل، تتفرع منه الأسئلة </w:t>
      </w:r>
      <w:r w:rsidRPr="0011159B">
        <w:rPr>
          <w:rFonts w:hint="cs"/>
          <w:b/>
          <w:bCs/>
          <w:rtl/>
          <w:lang w:bidi="ar-SA"/>
        </w:rPr>
        <w:t>التالية:</w:t>
      </w:r>
    </w:p>
    <w:p w14:paraId="0EDD0EB3" w14:textId="77777777" w:rsidR="004B60DD" w:rsidRDefault="004B60DD" w:rsidP="004B60DD">
      <w:pPr>
        <w:pStyle w:val="NoSpacing"/>
        <w:numPr>
          <w:ilvl w:val="0"/>
          <w:numId w:val="10"/>
        </w:numPr>
        <w:rPr>
          <w:rtl/>
        </w:rPr>
      </w:pPr>
      <w:r w:rsidRPr="0011159B">
        <w:rPr>
          <w:b/>
          <w:bCs/>
          <w:rtl/>
          <w:lang w:bidi="ar-SA"/>
        </w:rPr>
        <w:t>ما هي الاستراتيجيات التي تتبعها شركة جال السعودية في التوطين؟</w:t>
      </w:r>
    </w:p>
    <w:p w14:paraId="0EDD0EB4" w14:textId="77777777" w:rsidR="004B60DD" w:rsidRPr="0011159B" w:rsidRDefault="004B60DD" w:rsidP="004B60DD">
      <w:pPr>
        <w:pStyle w:val="NoSpacing"/>
      </w:pPr>
      <w:r w:rsidRPr="0011159B">
        <w:rPr>
          <w:rtl/>
          <w:lang w:bidi="ar-SA"/>
        </w:rPr>
        <w:t xml:space="preserve">قبل قياس الأثر، يجب أن نفهم الأداة المستخدمة. هذا السؤال يسعى إلى تفكيك ورسم خريطة واضحة لنهج الشركة في التوطين. هل هو مجرد توظيف مباشر لسد الشواغر، أم أنه نظام متكامل يشمل برامج إحلال تدريجي، وتطوير داخلي، </w:t>
      </w:r>
      <w:r w:rsidRPr="0011159B">
        <w:rPr>
          <w:rtl/>
          <w:lang w:bidi="ar-SA"/>
        </w:rPr>
        <w:lastRenderedPageBreak/>
        <w:t>وتأهيل للخريجين الجدد؟ سنبحث هنا عن السياسات المعلنة والممارسات الفعلية، ونحاول فهم الفلسفة التي تقف وراءها، ومدى انسجامها مع الأهداف الوطنية الأكبر المتمثلة في رؤية المملكة 2030</w:t>
      </w:r>
      <w:r w:rsidRPr="0011159B">
        <w:t>.</w:t>
      </w:r>
    </w:p>
    <w:p w14:paraId="0EDD0EB5" w14:textId="77777777" w:rsidR="004B60DD" w:rsidRDefault="004B60DD" w:rsidP="004B60DD">
      <w:pPr>
        <w:pStyle w:val="NoSpacing"/>
        <w:numPr>
          <w:ilvl w:val="0"/>
          <w:numId w:val="10"/>
        </w:numPr>
        <w:rPr>
          <w:rtl/>
        </w:rPr>
      </w:pPr>
      <w:r w:rsidRPr="0011159B">
        <w:rPr>
          <w:b/>
          <w:bCs/>
          <w:rtl/>
          <w:lang w:bidi="ar-SA"/>
        </w:rPr>
        <w:t>إلى أي مدى تساهم استراتيجيات التوطين في تطوير المهارات الفنية والإدارية للموظف السعودي؟</w:t>
      </w:r>
    </w:p>
    <w:p w14:paraId="0EDD0EB6" w14:textId="77777777" w:rsidR="004B60DD" w:rsidRPr="0011159B" w:rsidRDefault="004B60DD" w:rsidP="004B60DD">
      <w:pPr>
        <w:pStyle w:val="NoSpacing"/>
      </w:pPr>
      <w:r w:rsidRPr="0011159B">
        <w:rPr>
          <w:rtl/>
          <w:lang w:bidi="ar-SA"/>
        </w:rPr>
        <w:t>هذا السؤال هو قلب عملية التقييم. إنه يبحث عن "العائد على الاستثمار" البشري. هل يكتسب الموظف السعودي مهارات حقيقية قابلة للقياس نتيجة لوجوده في بيئة العمل هذه؟ هل يصبح أكثر قدرة على حل المشكلات التقنية المعقدة، أم يظل في دائرة المهام الروتينية؟ سنحاول هنا تقييم القيمة المضافة التي تقدمها الشركة للموظف، ليس فقط كفرصة عمل، بل كمنصة للتطور المهني والارتقاء بالمهارات</w:t>
      </w:r>
      <w:r w:rsidRPr="0011159B">
        <w:t>.</w:t>
      </w:r>
    </w:p>
    <w:p w14:paraId="0EDD0EB7" w14:textId="77777777" w:rsidR="004B60DD" w:rsidRDefault="004B60DD" w:rsidP="004B60DD">
      <w:pPr>
        <w:pStyle w:val="NoSpacing"/>
        <w:numPr>
          <w:ilvl w:val="0"/>
          <w:numId w:val="10"/>
        </w:numPr>
        <w:rPr>
          <w:rtl/>
        </w:rPr>
      </w:pPr>
      <w:r w:rsidRPr="0011159B">
        <w:rPr>
          <w:b/>
          <w:bCs/>
          <w:rtl/>
          <w:lang w:bidi="ar-SA"/>
        </w:rPr>
        <w:t>ما طبيعة البرامج التدريبية التي تقدمها الشركة ضمن سياسة التوطين؟ وهل تلبي احتياجات التطوير المهني؟</w:t>
      </w:r>
    </w:p>
    <w:p w14:paraId="0EDD0EB8" w14:textId="77777777" w:rsidR="004B60DD" w:rsidRPr="0011159B" w:rsidRDefault="004B60DD" w:rsidP="004B60DD">
      <w:pPr>
        <w:pStyle w:val="NoSpacing"/>
      </w:pPr>
      <w:r w:rsidRPr="0011159B">
        <w:rPr>
          <w:rtl/>
          <w:lang w:bidi="ar-SA"/>
        </w:rPr>
        <w:t>التدريب هو المحرك الأساسي لتطوير الكفاءات. هذا السؤال يتجاوز مجرد السؤال "هل يوجد تدريب؟" ليطرح أسئلة أكثر عمقًا: ما هي جودة هذا التدريب؟ هل هو نظري أم عملي؟ هل محتواه مُحدّث ويتوافق مع المتطلبات الفعلية للوظائف الفنية الدقيقة في قطاع الطيران؟ وهل يؤدي في النهاية إلى بناء كفاءات وطنية قادرة على المنافسة والتميز، أم أنه مجرد إجراء روتيني لإتمام متطلبات التوطين؟</w:t>
      </w:r>
    </w:p>
    <w:p w14:paraId="0EDD0EB9" w14:textId="77777777" w:rsidR="004B60DD" w:rsidRDefault="004B60DD" w:rsidP="004B60DD">
      <w:pPr>
        <w:pStyle w:val="NoSpacing"/>
        <w:numPr>
          <w:ilvl w:val="0"/>
          <w:numId w:val="10"/>
        </w:numPr>
        <w:rPr>
          <w:rtl/>
        </w:rPr>
      </w:pPr>
      <w:r w:rsidRPr="0011159B">
        <w:rPr>
          <w:b/>
          <w:bCs/>
          <w:rtl/>
          <w:lang w:bidi="ar-SA"/>
        </w:rPr>
        <w:t>ما التحديات التنظيمية أو الفنية التي تواجه الشركة عند تنفيذ استراتيجيات التوطين؟</w:t>
      </w:r>
    </w:p>
    <w:p w14:paraId="0EDD0EBA" w14:textId="77777777" w:rsidR="004B60DD" w:rsidRPr="0011159B" w:rsidRDefault="004B60DD" w:rsidP="004B60DD">
      <w:pPr>
        <w:pStyle w:val="NoSpacing"/>
      </w:pPr>
      <w:r w:rsidRPr="0011159B">
        <w:rPr>
          <w:rtl/>
          <w:lang w:bidi="ar-SA"/>
        </w:rPr>
        <w:t>لا يمكن فهم قصة النجاح (أو فشل) أي استراتيجية دون فهم العقبات التي واجهتها. يركز هذا السؤال على "ما الذي لا يسير على ما يرام؟". هل هناك مقاومة داخلية للتغيير؟ هل التنسيق بين قسم الموارد البشرية والأقسام الفنية ضعيف؟ هل البنية التحتية الإدارية أو التدريبية قادرة على دعم طموحات التوطين؟ الكشف عن هذه التحديات ليس بهدف النقد، بل بهدف التشخيص الدقيق الذي يمهد الطريق للحلول</w:t>
      </w:r>
      <w:r w:rsidRPr="0011159B">
        <w:t>.</w:t>
      </w:r>
    </w:p>
    <w:p w14:paraId="0EDD0EBB" w14:textId="77777777" w:rsidR="004B60DD" w:rsidRDefault="004B60DD" w:rsidP="004B60DD">
      <w:pPr>
        <w:pStyle w:val="NoSpacing"/>
        <w:numPr>
          <w:ilvl w:val="0"/>
          <w:numId w:val="10"/>
        </w:numPr>
        <w:rPr>
          <w:rtl/>
        </w:rPr>
      </w:pPr>
      <w:r w:rsidRPr="0011159B">
        <w:rPr>
          <w:b/>
          <w:bCs/>
          <w:rtl/>
          <w:lang w:bidi="ar-SA"/>
        </w:rPr>
        <w:t>ما مدى رضا الموظفين السعوديين عن فرصهم في التطور الوظيفي في ظل التوطين؟</w:t>
      </w:r>
    </w:p>
    <w:p w14:paraId="0EDD0EBC" w14:textId="77777777" w:rsidR="004B60DD" w:rsidRPr="0011159B" w:rsidRDefault="004B60DD" w:rsidP="004B60DD">
      <w:pPr>
        <w:pStyle w:val="NoSpacing"/>
      </w:pPr>
      <w:r w:rsidRPr="0011159B">
        <w:rPr>
          <w:rtl/>
          <w:lang w:bidi="ar-SA"/>
        </w:rPr>
        <w:t xml:space="preserve">هذا السؤال يعطي صوتًا للطرف الأهم في المعادلة: الموظف السعودي نفسه. فمهما كانت الاستراتيجيات تبدو رائعة على الورق، فإن نجاحها الحقيقي يقاس بمدى شعور الموظفين بالتقدير والنمو. هل يرون أمامهم </w:t>
      </w:r>
      <w:r w:rsidRPr="0011159B">
        <w:rPr>
          <w:rFonts w:hint="cs"/>
          <w:rtl/>
          <w:lang w:bidi="ar-SA"/>
        </w:rPr>
        <w:t>مسارًا</w:t>
      </w:r>
      <w:r w:rsidRPr="0011159B">
        <w:rPr>
          <w:rFonts w:hint="eastAsia"/>
          <w:rtl/>
          <w:lang w:bidi="ar-SA"/>
        </w:rPr>
        <w:t>،</w:t>
      </w:r>
      <w:r w:rsidRPr="0011159B">
        <w:rPr>
          <w:rtl/>
          <w:lang w:bidi="ar-SA"/>
        </w:rPr>
        <w:t xml:space="preserve"> </w:t>
      </w:r>
      <w:r w:rsidRPr="0011159B">
        <w:rPr>
          <w:rFonts w:hint="cs"/>
          <w:rtl/>
          <w:lang w:bidi="ar-SA"/>
        </w:rPr>
        <w:t>وظيفيًا</w:t>
      </w:r>
      <w:r w:rsidRPr="0011159B">
        <w:rPr>
          <w:rFonts w:hint="eastAsia"/>
          <w:rtl/>
          <w:lang w:bidi="ar-SA"/>
        </w:rPr>
        <w:t>،</w:t>
      </w:r>
      <w:r w:rsidRPr="0011159B">
        <w:rPr>
          <w:rtl/>
          <w:lang w:bidi="ar-SA"/>
        </w:rPr>
        <w:t xml:space="preserve"> </w:t>
      </w:r>
      <w:r w:rsidRPr="0011159B">
        <w:rPr>
          <w:rFonts w:hint="cs"/>
          <w:rtl/>
          <w:lang w:bidi="ar-SA"/>
        </w:rPr>
        <w:t>واضحًا</w:t>
      </w:r>
      <w:r w:rsidRPr="0011159B">
        <w:rPr>
          <w:rFonts w:hint="eastAsia"/>
          <w:rtl/>
          <w:lang w:bidi="ar-SA"/>
        </w:rPr>
        <w:t>،</w:t>
      </w:r>
      <w:r w:rsidRPr="0011159B">
        <w:rPr>
          <w:rtl/>
          <w:lang w:bidi="ar-SA"/>
        </w:rPr>
        <w:t xml:space="preserve"> ومحفزًا؟ هل يشعرون بأن الشركة تستثمر في مستقبلهم حقًا، أم أنهم يشعرون بوجود "سقف زجاجي" يحد من طموحاتهم؟ هذا الشعور بالرضا أو الإحباط هو مؤشر حيوي على استدامة نجاح التوطين</w:t>
      </w:r>
      <w:r w:rsidRPr="0011159B">
        <w:t>.</w:t>
      </w:r>
    </w:p>
    <w:p w14:paraId="0EDD0EBD" w14:textId="77777777" w:rsidR="004B60DD" w:rsidRPr="00F75BB6" w:rsidRDefault="004B60DD" w:rsidP="004B60DD">
      <w:pPr>
        <w:pStyle w:val="NoSpacing"/>
        <w:numPr>
          <w:ilvl w:val="0"/>
          <w:numId w:val="17"/>
        </w:numPr>
        <w:rPr>
          <w:b/>
          <w:bCs/>
          <w:rtl/>
        </w:rPr>
      </w:pPr>
      <w:r w:rsidRPr="00F75BB6">
        <w:rPr>
          <w:b/>
          <w:bCs/>
          <w:rtl/>
          <w:lang w:bidi="ar-SA"/>
        </w:rPr>
        <w:t>ما أبرز المقترحات التي يمكن أن تسهم في تحسين فاعلية التوطين وتطوير الكفاءات الوطنية بشكل مستدام؟</w:t>
      </w:r>
    </w:p>
    <w:p w14:paraId="0EDD0EBE" w14:textId="77777777" w:rsidR="004B60DD" w:rsidRPr="0011159B" w:rsidRDefault="004B60DD" w:rsidP="004B60DD">
      <w:pPr>
        <w:pStyle w:val="NoSpacing"/>
        <w:rPr>
          <w:lang w:bidi="ar-SA"/>
        </w:rPr>
      </w:pPr>
      <w:r w:rsidRPr="0011159B">
        <w:rPr>
          <w:rtl/>
          <w:lang w:bidi="ar-SA"/>
        </w:rPr>
        <w:lastRenderedPageBreak/>
        <w:t>بعد رحلة التحليل والتشخيص، تأتي مرحلة العلاج. هذا السؤال الأخير يهدف إلى تحويل نتائج البحث إلى أفكار عملية. من خلال استخلاص الدروس المستفادة من تجربة "جال السعودية" وآراء من تمت مقابلتهم، سنسعى لتقديم مقترحات بناءة ومحددة يمكن أن تساعد الشركة، وغيرها من المؤسسات، على جعل استراتيجيات التوطين أكثر فاعلية وتأثيرًا، لضمان أن تكون عملية التوطين رحلة تنمية مستدامة وليست مجرد هدف قصير المدى</w:t>
      </w:r>
      <w:r w:rsidRPr="0011159B">
        <w:t>.</w:t>
      </w:r>
    </w:p>
    <w:p w14:paraId="0EDD0EBF" w14:textId="77777777" w:rsidR="004B60DD" w:rsidRPr="00F75BB6" w:rsidRDefault="004B60DD" w:rsidP="004B60DD">
      <w:pPr>
        <w:pStyle w:val="NoSpacing"/>
        <w:rPr>
          <w:rtl/>
        </w:rPr>
      </w:pPr>
    </w:p>
    <w:p w14:paraId="0EDD0EC0" w14:textId="77777777" w:rsidR="004B60DD" w:rsidRDefault="004B60DD" w:rsidP="004B60DD">
      <w:pPr>
        <w:pStyle w:val="Heading1"/>
        <w:spacing w:before="0" w:line="360" w:lineRule="auto"/>
        <w:rPr>
          <w:rFonts w:ascii="Simplified Arabic" w:hAnsi="Simplified Arabic" w:cs="Simplified Arabic"/>
          <w:b/>
          <w:bCs/>
          <w:color w:val="000000" w:themeColor="text1"/>
          <w:sz w:val="28"/>
          <w:szCs w:val="28"/>
          <w:rtl/>
        </w:rPr>
      </w:pPr>
      <w:bookmarkStart w:id="22" w:name="_Toc169370869"/>
      <w:bookmarkStart w:id="23" w:name="_Toc169565913"/>
      <w:bookmarkStart w:id="24" w:name="_Toc171440859"/>
      <w:bookmarkStart w:id="25" w:name="_Toc191138774"/>
      <w:r w:rsidRPr="00DE5E70">
        <w:rPr>
          <w:rFonts w:ascii="Simplified Arabic" w:hAnsi="Simplified Arabic" w:cs="Simplified Arabic"/>
          <w:b/>
          <w:bCs/>
          <w:color w:val="000000" w:themeColor="text1"/>
          <w:sz w:val="28"/>
          <w:szCs w:val="28"/>
          <w:rtl/>
        </w:rPr>
        <w:t>فروض الدراسة:</w:t>
      </w:r>
      <w:bookmarkEnd w:id="22"/>
      <w:bookmarkEnd w:id="23"/>
      <w:bookmarkEnd w:id="24"/>
      <w:bookmarkEnd w:id="25"/>
    </w:p>
    <w:p w14:paraId="0EDD0EC1" w14:textId="77777777" w:rsidR="004B60DD" w:rsidRPr="00A53EC9" w:rsidRDefault="004B60DD" w:rsidP="004B60DD">
      <w:pPr>
        <w:pStyle w:val="NoSpacing"/>
      </w:pPr>
      <w:r w:rsidRPr="00A53EC9">
        <w:rPr>
          <w:b/>
          <w:bCs/>
          <w:rtl/>
          <w:lang w:bidi="ar-SA"/>
        </w:rPr>
        <w:t>الفرضية الأساسية</w:t>
      </w:r>
      <w:r w:rsidRPr="00A53EC9">
        <w:rPr>
          <w:b/>
          <w:bCs/>
        </w:rPr>
        <w:t>:</w:t>
      </w:r>
    </w:p>
    <w:p w14:paraId="0EDD0EC2" w14:textId="77777777" w:rsidR="004B60DD" w:rsidRPr="00A53EC9" w:rsidRDefault="004B60DD" w:rsidP="004B60DD">
      <w:pPr>
        <w:pStyle w:val="NoSpacing"/>
        <w:numPr>
          <w:ilvl w:val="0"/>
          <w:numId w:val="11"/>
        </w:numPr>
      </w:pPr>
      <w:r w:rsidRPr="00A53EC9">
        <w:rPr>
          <w:b/>
          <w:bCs/>
        </w:rPr>
        <w:t>"</w:t>
      </w:r>
      <w:r w:rsidRPr="00A53EC9">
        <w:rPr>
          <w:b/>
          <w:bCs/>
          <w:rtl/>
          <w:lang w:bidi="ar-SA"/>
        </w:rPr>
        <w:t>يوجد أثر ذو دلالة إحصائية لاستراتيجيات التوطين التي تطبقها شركة جال السعودية على تطوير الكفاءات الوطنية</w:t>
      </w:r>
      <w:r w:rsidRPr="00A53EC9">
        <w:rPr>
          <w:b/>
          <w:bCs/>
        </w:rPr>
        <w:t>."</w:t>
      </w:r>
    </w:p>
    <w:p w14:paraId="0EDD0EC3" w14:textId="77777777" w:rsidR="004B60DD" w:rsidRPr="00A53EC9" w:rsidRDefault="004B60DD" w:rsidP="004B60DD">
      <w:pPr>
        <w:pStyle w:val="NoSpacing"/>
      </w:pPr>
      <w:r w:rsidRPr="00A53EC9">
        <w:rPr>
          <w:rtl/>
          <w:lang w:bidi="ar-SA"/>
        </w:rPr>
        <w:t>هذه الفرضية هي العمود الفقري للدراسة، وهي تفترض وجود علاقة إيجابية وقابلة للقياس بين متغيرين: "استراتيجيات التوطين" (السبب) و"تطوير الكفاءات الوطنية" (النتيجة). لا تكتفي هذه الفرضية بالقول إن هناك أثراً، بل تذهب إلى أبعد من ذلك لتفترض أن هذا الأثر "ذو دلالة إحصائية"، مما يعني أنه ليس مجرد صدفة أو نتيجة عشوائية، بل هو نمط واضح يمكن إثباته بالأدلة والبيانات. ستسعى الدراسة لاختبار هذه الفرضية من خلال تحليل مؤشرات مثل تحسن الأداء الوظيفي، واكتساب المهارات، والقدرة على تولي مسؤوليات أكبر لدى الموظفين السعوديين بعد تطبيق هذه الاستراتيجيات</w:t>
      </w:r>
      <w:r w:rsidRPr="00A53EC9">
        <w:t>.</w:t>
      </w:r>
    </w:p>
    <w:p w14:paraId="0EDD0EC4" w14:textId="77777777" w:rsidR="004B60DD" w:rsidRPr="00A53EC9" w:rsidRDefault="004B60DD" w:rsidP="004B60DD">
      <w:pPr>
        <w:pStyle w:val="NoSpacing"/>
      </w:pPr>
    </w:p>
    <w:p w14:paraId="0EDD0EC5" w14:textId="77777777" w:rsidR="004B60DD" w:rsidRPr="00A53EC9" w:rsidRDefault="004B60DD" w:rsidP="004B60DD">
      <w:pPr>
        <w:pStyle w:val="NoSpacing"/>
      </w:pPr>
      <w:r w:rsidRPr="00A53EC9">
        <w:rPr>
          <w:b/>
          <w:bCs/>
          <w:rtl/>
          <w:lang w:bidi="ar-SA"/>
        </w:rPr>
        <w:t>الفروض الفرعية</w:t>
      </w:r>
      <w:r w:rsidRPr="00A53EC9">
        <w:rPr>
          <w:b/>
          <w:bCs/>
        </w:rPr>
        <w:t>:</w:t>
      </w:r>
    </w:p>
    <w:p w14:paraId="0EDD0EC6" w14:textId="77777777" w:rsidR="004B60DD" w:rsidRPr="00A53EC9" w:rsidRDefault="004B60DD" w:rsidP="004B60DD">
      <w:pPr>
        <w:pStyle w:val="NoSpacing"/>
        <w:numPr>
          <w:ilvl w:val="0"/>
          <w:numId w:val="11"/>
        </w:numPr>
      </w:pPr>
      <w:r w:rsidRPr="00A53EC9">
        <w:rPr>
          <w:b/>
          <w:bCs/>
        </w:rPr>
        <w:t>"</w:t>
      </w:r>
      <w:r w:rsidRPr="00A53EC9">
        <w:rPr>
          <w:b/>
          <w:bCs/>
          <w:rtl/>
          <w:lang w:bidi="ar-SA"/>
        </w:rPr>
        <w:t>تعتمد شركة جال السعودية على استراتيجيات توطين واضحة وممنهجة تتوافق مع أهداف رؤية المملكة 2030</w:t>
      </w:r>
      <w:r w:rsidRPr="00A53EC9">
        <w:rPr>
          <w:b/>
          <w:bCs/>
        </w:rPr>
        <w:t>."</w:t>
      </w:r>
    </w:p>
    <w:p w14:paraId="0EDD0EC7" w14:textId="77777777" w:rsidR="004B60DD" w:rsidRPr="00A53EC9" w:rsidRDefault="004B60DD" w:rsidP="004B60DD">
      <w:pPr>
        <w:pStyle w:val="NoSpacing"/>
      </w:pPr>
      <w:r w:rsidRPr="00A53EC9">
        <w:rPr>
          <w:rtl/>
          <w:lang w:bidi="ar-SA"/>
        </w:rPr>
        <w:t xml:space="preserve">تنطلق هذه الفرضية من افتراض أن شركة رائدة مثل "جال السعودية"، تعمل في قطاع استراتيجي، لا بد وأنها قد وضعت خططًا مدروسة للتوطين تتجاوز مجرد التوظيف العشوائي. تفترض هذه الفرضية أن هناك "منهجية" </w:t>
      </w:r>
      <w:r w:rsidRPr="00A53EC9">
        <w:rPr>
          <w:rFonts w:hint="cs"/>
          <w:rtl/>
          <w:lang w:bidi="ar-SA"/>
        </w:rPr>
        <w:t>ووضوحا</w:t>
      </w:r>
      <w:r w:rsidRPr="00A53EC9">
        <w:rPr>
          <w:rtl/>
          <w:lang w:bidi="ar-SA"/>
        </w:rPr>
        <w:t>" في هذه الاستراتيجيات، وأنها مصممة لتكون جزءًا من التوجه الوطني الأكبر. ستعمل الدراسة على اختبار صحة هذا الافتراض من خلال فحص وثائق الشركة، وسياساتها المعلنة، ومقابلة المسؤولين لفهم ما إذا كانت هناك بالفعل رؤية متكاملة ومترابطة توجه جهود التوطين</w:t>
      </w:r>
      <w:r w:rsidRPr="00A53EC9">
        <w:t>.</w:t>
      </w:r>
    </w:p>
    <w:p w14:paraId="0EDD0EC8" w14:textId="77777777" w:rsidR="004B60DD" w:rsidRPr="00A53EC9" w:rsidRDefault="004B60DD" w:rsidP="004B60DD">
      <w:pPr>
        <w:pStyle w:val="NoSpacing"/>
        <w:numPr>
          <w:ilvl w:val="0"/>
          <w:numId w:val="11"/>
        </w:numPr>
      </w:pPr>
      <w:r w:rsidRPr="00A53EC9">
        <w:rPr>
          <w:b/>
          <w:bCs/>
        </w:rPr>
        <w:lastRenderedPageBreak/>
        <w:t>"</w:t>
      </w:r>
      <w:r w:rsidRPr="00A53EC9">
        <w:rPr>
          <w:b/>
          <w:bCs/>
          <w:rtl/>
          <w:lang w:bidi="ar-SA"/>
        </w:rPr>
        <w:t>تسهم استراتيجيات التوطين بشكل فعّال في تنمية المهارات الفنية والإدارية للموظفين السعوديين داخل الشركة</w:t>
      </w:r>
      <w:r w:rsidRPr="00A53EC9">
        <w:rPr>
          <w:b/>
          <w:bCs/>
        </w:rPr>
        <w:t>."</w:t>
      </w:r>
    </w:p>
    <w:p w14:paraId="0EDD0EC9" w14:textId="77777777" w:rsidR="004B60DD" w:rsidRPr="00A53EC9" w:rsidRDefault="004B60DD" w:rsidP="004B60DD">
      <w:pPr>
        <w:pStyle w:val="NoSpacing"/>
      </w:pPr>
      <w:r w:rsidRPr="00A53EC9">
        <w:rPr>
          <w:rtl/>
          <w:lang w:bidi="ar-SA"/>
        </w:rPr>
        <w:t>هذه الفرضية تنتقل من "النية" إلى "الأثر الفعلي". إنها تفترض أن جهود التوطين لا تتوقف عند توفير الوظيفة، بل تمتد لتكون عملية تنموية حقيقية. يتمحور الاختبار هنا حول قياس "القيمة المضافة" التي تكتسبها الكفاءات الوطنية. ستسعى الدراسة لإثبات أن الموظفين السعوديين، بفضل هذه الاستراتيجيات، يصبحون أكثر قدرة على أداء مهامهم الفنية المعقدة، وتتحسن مهاراتهم الإدارية، وتزيد إنتاجيتهم، مما يؤكد أن التوطين هنا هو استثمار حقيقي في رأس المال البشري</w:t>
      </w:r>
      <w:r w:rsidRPr="00A53EC9">
        <w:t>.</w:t>
      </w:r>
    </w:p>
    <w:p w14:paraId="0EDD0ECA" w14:textId="77777777" w:rsidR="004B60DD" w:rsidRPr="00A53EC9" w:rsidRDefault="004B60DD" w:rsidP="004B60DD">
      <w:pPr>
        <w:pStyle w:val="NoSpacing"/>
        <w:numPr>
          <w:ilvl w:val="0"/>
          <w:numId w:val="12"/>
        </w:numPr>
      </w:pPr>
      <w:r w:rsidRPr="00A53EC9">
        <w:rPr>
          <w:b/>
          <w:bCs/>
        </w:rPr>
        <w:t>"</w:t>
      </w:r>
      <w:r w:rsidRPr="00A53EC9">
        <w:rPr>
          <w:b/>
          <w:bCs/>
          <w:rtl/>
          <w:lang w:bidi="ar-SA"/>
        </w:rPr>
        <w:t>البرامج التدريبية المقدّمة ضمن سياسات التوطين بشركة جال السعودية كافية وملائمة لتلبية احتياجات التطوير المهني للكفاءات الوطنية</w:t>
      </w:r>
      <w:r w:rsidRPr="00A53EC9">
        <w:rPr>
          <w:b/>
          <w:bCs/>
        </w:rPr>
        <w:t>."</w:t>
      </w:r>
    </w:p>
    <w:p w14:paraId="0EDD0ECB" w14:textId="77777777" w:rsidR="004B60DD" w:rsidRPr="00A53EC9" w:rsidRDefault="004B60DD" w:rsidP="004B60DD">
      <w:pPr>
        <w:pStyle w:val="NoSpacing"/>
      </w:pPr>
      <w:r w:rsidRPr="00A53EC9">
        <w:rPr>
          <w:rtl/>
          <w:lang w:bidi="ar-SA"/>
        </w:rPr>
        <w:t>تركز هذه الفرضية على أحد أهم أعمدة التوطين: التدريب. هي تفترض أن البرامج التدريبية التي تقدمها الشركة ليست مجرد شكليات، بل هي مصممة بعناية لتكون "كافية" من حيث الكم و"ملائمة" من حيث المحتوى. سيتم اختبار هذه الفرضية من خلال تحليل محتوى الدورات التدريبية، وتقييم مدى ارتباطها بالواقع العملي، واستطلاع آراء الموظفين حول مدى استفادتهم الفعلية منها، وهل أدت بالفعل إلى سد الفجوة بين المهارات الحالية والمتطلبات المستقبلية للوظيفة</w:t>
      </w:r>
      <w:r w:rsidRPr="00A53EC9">
        <w:t>.</w:t>
      </w:r>
    </w:p>
    <w:p w14:paraId="0EDD0ECC" w14:textId="77777777" w:rsidR="004B60DD" w:rsidRPr="00A53EC9" w:rsidRDefault="004B60DD" w:rsidP="004B60DD">
      <w:pPr>
        <w:pStyle w:val="NoSpacing"/>
        <w:numPr>
          <w:ilvl w:val="0"/>
          <w:numId w:val="13"/>
        </w:numPr>
      </w:pPr>
      <w:r w:rsidRPr="00A53EC9">
        <w:rPr>
          <w:b/>
          <w:bCs/>
        </w:rPr>
        <w:t>"</w:t>
      </w:r>
      <w:r w:rsidRPr="00A53EC9">
        <w:rPr>
          <w:b/>
          <w:bCs/>
          <w:rtl/>
          <w:lang w:bidi="ar-SA"/>
        </w:rPr>
        <w:t>تواجه شركة جال السعودية مجموعة من التحديات التنظيمية والفنية التي تؤثر سلبًا على فعالية تنفيذ استراتيجيات التوطين</w:t>
      </w:r>
      <w:r w:rsidRPr="00A53EC9">
        <w:rPr>
          <w:b/>
          <w:bCs/>
        </w:rPr>
        <w:t>."</w:t>
      </w:r>
    </w:p>
    <w:p w14:paraId="0EDD0ECD" w14:textId="77777777" w:rsidR="004B60DD" w:rsidRPr="00A53EC9" w:rsidRDefault="004B60DD" w:rsidP="004B60DD">
      <w:pPr>
        <w:pStyle w:val="NoSpacing"/>
      </w:pPr>
      <w:r w:rsidRPr="00A53EC9">
        <w:rPr>
          <w:rtl/>
          <w:lang w:bidi="ar-SA"/>
        </w:rPr>
        <w:t>هذه الفرضية تضيف بعدًا واقعيًا للدراسة، حيث تفترض أنه لا توجد عملية تغيير مثالية بالكامل. هي تتوقع وجود "عقبات" أو "معوقات" قد تحد من الأثر الإيجابي لسياسات التوطين. قد تكون هذه التحديات تنظيمية (مثل البيروقراطية أو ضعف التنسيق)، أو فنية (مثل نقص الخبرات التدريبية)، أو حتى ثقافية (مثل مقاومة التغيير). اختبار هذه الفرضية سيساعد في رسم صورة أكثر توازنًا وموضوعية، من خلال تحديد نقاط الضعف التي تحتاج إلى معالجة</w:t>
      </w:r>
      <w:r w:rsidRPr="00A53EC9">
        <w:t>.</w:t>
      </w:r>
    </w:p>
    <w:p w14:paraId="0EDD0ECE" w14:textId="77777777" w:rsidR="004B60DD" w:rsidRPr="00A53EC9" w:rsidRDefault="004B60DD" w:rsidP="004B60DD">
      <w:pPr>
        <w:pStyle w:val="NoSpacing"/>
        <w:numPr>
          <w:ilvl w:val="0"/>
          <w:numId w:val="13"/>
        </w:numPr>
      </w:pPr>
      <w:r w:rsidRPr="00A53EC9">
        <w:rPr>
          <w:b/>
          <w:bCs/>
        </w:rPr>
        <w:t>"</w:t>
      </w:r>
      <w:r w:rsidRPr="00A53EC9">
        <w:rPr>
          <w:b/>
          <w:bCs/>
          <w:rtl/>
          <w:lang w:bidi="ar-SA"/>
        </w:rPr>
        <w:t>يوجد مستوى مرتفع من رضا الموظفين السعوديين عن فرص التطور الوظيفي المتاحة لهم في ظل تطبيق استراتيجية التوطين</w:t>
      </w:r>
      <w:r w:rsidRPr="00A53EC9">
        <w:rPr>
          <w:b/>
          <w:bCs/>
        </w:rPr>
        <w:t>."</w:t>
      </w:r>
    </w:p>
    <w:p w14:paraId="0EDD0ECF" w14:textId="77777777" w:rsidR="004B60DD" w:rsidRPr="00A53EC9" w:rsidRDefault="004B60DD" w:rsidP="004B60DD">
      <w:pPr>
        <w:pStyle w:val="NoSpacing"/>
      </w:pPr>
      <w:r w:rsidRPr="00A53EC9">
        <w:rPr>
          <w:rtl/>
          <w:lang w:bidi="ar-SA"/>
        </w:rPr>
        <w:t>تضع هذه الفرضية "العنصر البشري" في صميم التقييم. إنها تفترض أن الاستراتيجيات الناجحة يجب أن تنعكس في شعور الموظفين بالرضا والتقدير. سيتم اختبار هذه الفرضية من خلال قياس تصورات الموظفين السعوديين حول مستقبلهم في الشركة: هل يشعرون بوجود مسار وظيفي واضح؟ هل يرون أن هناك عدالة في فرص الترقي؟ هل يشعرون بالتمكين والدعم؟ مستوى الرضا المرتفع يعتبر مؤشرًا قويًا على نجاح الاستراتيجية في خلق بيئة عمل صحية ومحفزة</w:t>
      </w:r>
      <w:r w:rsidRPr="00A53EC9">
        <w:t>.</w:t>
      </w:r>
    </w:p>
    <w:p w14:paraId="0EDD0ED0" w14:textId="77777777" w:rsidR="004B60DD" w:rsidRPr="00A53EC9" w:rsidRDefault="004B60DD" w:rsidP="004B60DD">
      <w:pPr>
        <w:pStyle w:val="NoSpacing"/>
        <w:numPr>
          <w:ilvl w:val="0"/>
          <w:numId w:val="13"/>
        </w:numPr>
      </w:pPr>
      <w:r w:rsidRPr="00A53EC9">
        <w:rPr>
          <w:b/>
          <w:bCs/>
        </w:rPr>
        <w:lastRenderedPageBreak/>
        <w:t>"</w:t>
      </w:r>
      <w:r w:rsidRPr="00A53EC9">
        <w:rPr>
          <w:b/>
          <w:bCs/>
          <w:rtl/>
          <w:lang w:bidi="ar-SA"/>
        </w:rPr>
        <w:t>يمكن تعزيز فعالية استراتيجيات التوطين من خلال تطبيق مجموعة من المقترحات العملية المبنية على تقييم الأداء والتغذية الراجعة من الموظفين</w:t>
      </w:r>
      <w:r w:rsidRPr="00A53EC9">
        <w:rPr>
          <w:b/>
          <w:bCs/>
        </w:rPr>
        <w:t>."</w:t>
      </w:r>
    </w:p>
    <w:p w14:paraId="0EDD0ED1" w14:textId="77777777" w:rsidR="004B60DD" w:rsidRPr="00A53EC9" w:rsidRDefault="004B60DD" w:rsidP="004B60DD">
      <w:pPr>
        <w:pStyle w:val="NoSpacing"/>
      </w:pPr>
      <w:r w:rsidRPr="00A53EC9">
        <w:rPr>
          <w:rtl/>
          <w:lang w:bidi="ar-SA"/>
        </w:rPr>
        <w:t>هذه الفرضية الأخيرة ذات طابع استشرافي وعملي. هي تفترض أن عملية التحسين ممكنة ومتاحة، وأن مفتاح هذا التحسين يكمن في الاستماع إلى "صوت الميدان" (الموظفين) وربطه بتقييمات الأداء الموضوعية. الهدف من اختبار هذه الفرضية هو الخروج من الدراسة ليس فقط بتشخيص للوضع الراهن، بل بخارطة طريق واضحة للمستقبل، تحتوي على توصيات قابلة للتطبيق يمكن أن تساهم في جعل استراتيجيات التوطين أكثر نجاحًا واستدامة</w:t>
      </w:r>
      <w:r w:rsidRPr="00A53EC9">
        <w:t>.</w:t>
      </w:r>
    </w:p>
    <w:p w14:paraId="0EDD0ED2" w14:textId="77777777" w:rsidR="004B60DD" w:rsidRPr="00A53EC9" w:rsidRDefault="004B60DD" w:rsidP="004B60DD">
      <w:pPr>
        <w:pStyle w:val="NoSpacing"/>
        <w:rPr>
          <w:rtl/>
        </w:rPr>
      </w:pPr>
    </w:p>
    <w:p w14:paraId="0EDD0ED3" w14:textId="77777777" w:rsidR="004B60DD" w:rsidRDefault="004B60DD" w:rsidP="004B60DD">
      <w:pPr>
        <w:rPr>
          <w:rtl/>
        </w:rPr>
      </w:pPr>
    </w:p>
    <w:p w14:paraId="0EDD0ED4" w14:textId="77777777" w:rsidR="004B60DD" w:rsidRDefault="004B60DD" w:rsidP="004B60DD">
      <w:pPr>
        <w:rPr>
          <w:rtl/>
        </w:rPr>
      </w:pPr>
    </w:p>
    <w:p w14:paraId="0EDD0ED5" w14:textId="77777777" w:rsidR="004B60DD" w:rsidRDefault="004B60DD" w:rsidP="004B60DD">
      <w:pPr>
        <w:rPr>
          <w:rtl/>
        </w:rPr>
      </w:pPr>
    </w:p>
    <w:p w14:paraId="0EDD0ED6" w14:textId="77777777" w:rsidR="004B60DD" w:rsidRPr="00A53EC9" w:rsidRDefault="004B60DD" w:rsidP="004B60DD">
      <w:pPr>
        <w:rPr>
          <w:rtl/>
        </w:rPr>
      </w:pPr>
    </w:p>
    <w:p w14:paraId="0EDD0ED7" w14:textId="77777777" w:rsidR="004B60DD" w:rsidRDefault="004B60DD" w:rsidP="004B60DD">
      <w:pPr>
        <w:pStyle w:val="Heading2"/>
        <w:spacing w:line="360" w:lineRule="auto"/>
        <w:rPr>
          <w:rtl/>
        </w:rPr>
      </w:pPr>
      <w:bookmarkStart w:id="26" w:name="_Toc191138775"/>
      <w:r w:rsidRPr="008A269C">
        <w:rPr>
          <w:rtl/>
        </w:rPr>
        <w:t>النظرية العلمية المتبعة لإعداد البحث</w:t>
      </w:r>
      <w:bookmarkEnd w:id="26"/>
      <w:r w:rsidRPr="00DC28DB">
        <w:rPr>
          <w:rtl/>
        </w:rPr>
        <w:t>.</w:t>
      </w:r>
    </w:p>
    <w:p w14:paraId="0EDD0ED8" w14:textId="77777777" w:rsidR="004B60DD" w:rsidRPr="00222419" w:rsidRDefault="004B60DD" w:rsidP="004B60DD">
      <w:pPr>
        <w:pStyle w:val="NoSpacing"/>
      </w:pPr>
      <w:r w:rsidRPr="00222419">
        <w:rPr>
          <w:rtl/>
          <w:lang w:bidi="ar-SA"/>
        </w:rPr>
        <w:t>لفهم ظاهرة معقدة مثل أثر استراتيجيات التوطين على تطوير الكفاءات، لا بد من الاستناد إلى إطار نظري متين يوجه التحليل ويفسر النتائج. ولهذا الغرض، تتبنى هذه الدراسة </w:t>
      </w:r>
      <w:r w:rsidRPr="00222419">
        <w:t>"</w:t>
      </w:r>
      <w:r w:rsidRPr="00222419">
        <w:rPr>
          <w:rtl/>
          <w:lang w:bidi="ar-SA"/>
        </w:rPr>
        <w:t>نظرية رأس المال البشري</w:t>
      </w:r>
      <w:r w:rsidRPr="00222419">
        <w:t>" (Human Capital Theory)</w:t>
      </w:r>
      <w:r w:rsidRPr="00222419">
        <w:rPr>
          <w:rtl/>
          <w:lang w:bidi="ar-SA"/>
        </w:rPr>
        <w:t>، والتي تعد حجر الزاوية في فهم العلاقة بين الاستثمار في الأفراد وتحقيق النمو الاقتصادي والمؤسسي. هذه النظرية، التي ارتبطت بأعمال اقتصاديين بارزين مثل غاري بيكر وثيودور شولتز، تقدم رؤية ثورية مفادها أن التعليم والتدريب والخبرة ليست مجرد نفقات تشغيلية، بل هي استثمارات استراتيجية في "رأس مال" يمتلكه الأفراد، ويعود بعائد مباشر على الفرد والمؤسسة والمجتمع</w:t>
      </w:r>
      <w:r>
        <w:t xml:space="preserve">    </w:t>
      </w:r>
      <w:r w:rsidRPr="00222419">
        <w:t>.</w:t>
      </w:r>
      <w:r>
        <w:t xml:space="preserve"> </w:t>
      </w:r>
      <w:sdt>
        <w:sdtPr>
          <w:rPr>
            <w:rtl/>
          </w:rPr>
          <w:id w:val="1016264375"/>
          <w:citation/>
        </w:sdtPr>
        <w:sdtEndPr/>
        <w:sdtContent>
          <w:r>
            <w:rPr>
              <w:rtl/>
            </w:rPr>
            <w:fldChar w:fldCharType="begin"/>
          </w:r>
          <w:r>
            <w:instrText xml:space="preserve"> CITATION Sun25 \l 1033 </w:instrText>
          </w:r>
          <w:r>
            <w:rPr>
              <w:rtl/>
            </w:rPr>
            <w:fldChar w:fldCharType="separate"/>
          </w:r>
          <w:r>
            <w:rPr>
              <w:noProof/>
            </w:rPr>
            <w:t>(Sun, 2025)</w:t>
          </w:r>
          <w:r>
            <w:rPr>
              <w:rtl/>
            </w:rPr>
            <w:fldChar w:fldCharType="end"/>
          </w:r>
        </w:sdtContent>
      </w:sdt>
      <w:r>
        <w:rPr>
          <w:rFonts w:hint="cs"/>
          <w:rtl/>
        </w:rPr>
        <w:t xml:space="preserve"> </w:t>
      </w:r>
    </w:p>
    <w:p w14:paraId="0EDD0ED9" w14:textId="77777777" w:rsidR="004B60DD" w:rsidRPr="006C7A7B" w:rsidRDefault="004B60DD" w:rsidP="004B60DD">
      <w:pPr>
        <w:pStyle w:val="NoSpacing"/>
      </w:pPr>
      <w:r>
        <w:rPr>
          <w:rFonts w:hint="cs"/>
          <w:rtl/>
        </w:rPr>
        <w:t xml:space="preserve"> </w:t>
      </w:r>
      <w:r w:rsidRPr="006C7A7B">
        <w:rPr>
          <w:rtl/>
        </w:rPr>
        <w:t>جوهر هذه النظرية يكمن في فكرة أن الأفراد الذين يتلقون تعليمًا وتدريبًا أفضل يصبحون أكثر إنتاجية وابتكارًا وقدرة على حل المشكلات. من هذا المنطلق، فإن التوطين لا يعود مجرد عملية إدارية لاستبدال موظف بآخر، بل يتحول إلى فرصة استثمارية هائلة. فعندما تقرر شركة مثل "جال السعودية" تطبيق استراتيجيات التوطين، فإنها، من منظور هذه النظرية، لا تقوم فقط بالامتثال للوائح، بل تقوم ببناء أصول بشرية وطنية طويلة الأمد. هذا الاستثمار في تأهيل الكفاءات الوطنية وصقل مهاراتها الفنية والإدارية هو ما يضمن استدامة الأداء وتحقيق ميزة تنافسية حقيقية</w:t>
      </w:r>
      <w:r w:rsidRPr="006C7A7B">
        <w:t>.</w:t>
      </w:r>
    </w:p>
    <w:p w14:paraId="0EDD0EDA" w14:textId="77777777" w:rsidR="004B60DD" w:rsidRPr="006C7A7B" w:rsidRDefault="004B60DD" w:rsidP="004B60DD">
      <w:pPr>
        <w:pStyle w:val="NoSpacing"/>
      </w:pPr>
      <w:r w:rsidRPr="006C7A7B">
        <w:rPr>
          <w:rtl/>
        </w:rPr>
        <w:t xml:space="preserve">في إطار هذه الدراسة، سيتم توظيف نظرية رأس المال البشري كعدسة تحليلية أساسية. فمن خلالها، سنتمكن من تقييم سياسات "جال السعودية" ليس بناءً على عدد الوظائف التي تم توطينها، بل على مدى نجاح هذه السياسات في زيادة </w:t>
      </w:r>
      <w:r w:rsidRPr="006C7A7B">
        <w:rPr>
          <w:rtl/>
        </w:rPr>
        <w:lastRenderedPageBreak/>
        <w:t xml:space="preserve">"رصيد" رأس المال البشري لدى موظفيها السعوديين. ستساعدنا النظرية في تفكيك العلاقة بين مدخلات عملية التوطين (مثل برامج التدريب وسياسات التوظيف) ومخرجاتها المتمثلة في تطوير مهارات وقدرات الكوادر الوطنية، وقدرتهم على تولي مهام أكثر تعقيدًا </w:t>
      </w:r>
      <w:r w:rsidRPr="006C7A7B">
        <w:rPr>
          <w:rFonts w:hint="cs"/>
          <w:rtl/>
        </w:rPr>
        <w:t>ومسؤولية</w:t>
      </w:r>
      <w:r>
        <w:t xml:space="preserve">. </w:t>
      </w:r>
      <w:sdt>
        <w:sdtPr>
          <w:rPr>
            <w:rtl/>
          </w:rPr>
          <w:id w:val="1652870138"/>
          <w:citation/>
        </w:sdtPr>
        <w:sdtEndPr/>
        <w:sdtContent>
          <w:r>
            <w:rPr>
              <w:rtl/>
            </w:rPr>
            <w:fldChar w:fldCharType="begin"/>
          </w:r>
          <w:r>
            <w:instrText xml:space="preserve"> CITATION Mas20 \l 1033 </w:instrText>
          </w:r>
          <w:r>
            <w:rPr>
              <w:rtl/>
            </w:rPr>
            <w:fldChar w:fldCharType="separate"/>
          </w:r>
          <w:r>
            <w:rPr>
              <w:noProof/>
            </w:rPr>
            <w:t>(Mason, 2020)</w:t>
          </w:r>
          <w:r>
            <w:rPr>
              <w:rtl/>
            </w:rPr>
            <w:fldChar w:fldCharType="end"/>
          </w:r>
        </w:sdtContent>
      </w:sdt>
      <w:r>
        <w:rPr>
          <w:rFonts w:hint="cs"/>
          <w:rtl/>
        </w:rPr>
        <w:t xml:space="preserve"> </w:t>
      </w:r>
    </w:p>
    <w:p w14:paraId="0EDD0EDB" w14:textId="77777777" w:rsidR="004B60DD" w:rsidRPr="006C7A7B" w:rsidRDefault="004B60DD" w:rsidP="004B60DD">
      <w:pPr>
        <w:pStyle w:val="NoSpacing"/>
      </w:pPr>
      <w:r w:rsidRPr="006C7A7B">
        <w:rPr>
          <w:rtl/>
        </w:rPr>
        <w:t>علاوة على ذلك، يتيح لنا هذا الإطار النظري تفسير الظواهر التي سيتم رصدها داخل الشركة بشكل أعمق. على سبيل المثال، يمكن فهم مستوى رضا الموظفين السعوديين ليس فقط كشعور شخصي، بل كنتيجة مباشرة لمدى شعورهم بأن المؤسسة "تستثمر" في مستقبلهم وتطورهم. كما يمكن تحليل التحديات التي تواجه عملية التوطين، ليس كمشاكل إدارية منفصلة، بل "كعوائق" أمام نمو رأس المال البشري. هذا الربط المنهجي بين النظرية والواقع العملي هو ما سيمنح نتائج الدراسة عمقًا ومصداقية</w:t>
      </w:r>
      <w:r w:rsidRPr="006C7A7B">
        <w:t>.</w:t>
      </w:r>
    </w:p>
    <w:p w14:paraId="0EDD0EDC" w14:textId="77777777" w:rsidR="004B60DD" w:rsidRPr="006C7A7B" w:rsidRDefault="004B60DD" w:rsidP="004B60DD">
      <w:pPr>
        <w:pStyle w:val="NoSpacing"/>
      </w:pPr>
      <w:r w:rsidRPr="006C7A7B">
        <w:rPr>
          <w:rtl/>
        </w:rPr>
        <w:t>بذلك، فإن الاعتماد على نظرية رأس المال البشري في هذه الدراسة ليس مجرد إجراء شكلي، بل هو المحرك الفكري الذي سيوجه عملية البحث بأكملها. إنه يوفر اللغة والمفاهيم والأدوات اللازمة لاختبار الفرضيات بشكل منطقي، وفي النهاية، تقديم توصيات عملية ومبنية على فهم علمي لكيفية تحويل سياسات التوطين من مجرد هدف رقمي إلى مشروع تنمية بشرية ناجح ومستدام</w:t>
      </w:r>
      <w:sdt>
        <w:sdtPr>
          <w:rPr>
            <w:rFonts w:hint="cs"/>
            <w:rtl/>
          </w:rPr>
          <w:id w:val="926315900"/>
          <w:citation/>
        </w:sdtPr>
        <w:sdtEndPr/>
        <w:sdtContent>
          <w:r>
            <w:rPr>
              <w:rtl/>
            </w:rPr>
            <w:fldChar w:fldCharType="begin"/>
          </w:r>
          <w:r>
            <w:instrText xml:space="preserve"> CITATION Has21 \l 1033 </w:instrText>
          </w:r>
          <w:r>
            <w:rPr>
              <w:rtl/>
            </w:rPr>
            <w:fldChar w:fldCharType="separate"/>
          </w:r>
          <w:r>
            <w:rPr>
              <w:noProof/>
            </w:rPr>
            <w:t xml:space="preserve"> (Hasan, 2021)</w:t>
          </w:r>
          <w:r>
            <w:rPr>
              <w:rtl/>
            </w:rPr>
            <w:fldChar w:fldCharType="end"/>
          </w:r>
        </w:sdtContent>
      </w:sdt>
      <w:r>
        <w:rPr>
          <w:rFonts w:hint="cs"/>
          <w:rtl/>
        </w:rPr>
        <w:t xml:space="preserve"> </w:t>
      </w:r>
      <w:r>
        <w:t xml:space="preserve"> </w:t>
      </w:r>
      <w:r w:rsidRPr="006C7A7B">
        <w:t>.</w:t>
      </w:r>
      <w:r>
        <w:rPr>
          <w:rFonts w:hint="cs"/>
          <w:rtl/>
        </w:rPr>
        <w:t xml:space="preserve"> </w:t>
      </w:r>
    </w:p>
    <w:p w14:paraId="0EDD0EDD" w14:textId="77777777" w:rsidR="004B60DD" w:rsidRPr="006C7A7B" w:rsidRDefault="004B60DD" w:rsidP="004B60DD">
      <w:pPr>
        <w:rPr>
          <w:rtl/>
          <w:lang w:bidi="ar-EG"/>
        </w:rPr>
      </w:pPr>
    </w:p>
    <w:p w14:paraId="0EDD0EDE" w14:textId="77777777" w:rsidR="004B60DD" w:rsidRDefault="004B60DD" w:rsidP="004B60DD">
      <w:pPr>
        <w:spacing w:after="0" w:line="360" w:lineRule="auto"/>
        <w:rPr>
          <w:rFonts w:ascii="Simplified Arabic" w:hAnsi="Simplified Arabic" w:cs="Simplified Arabic"/>
          <w:b/>
          <w:bCs/>
          <w:sz w:val="28"/>
          <w:szCs w:val="28"/>
          <w:rtl/>
          <w:lang w:bidi="ar-EG"/>
        </w:rPr>
      </w:pPr>
    </w:p>
    <w:p w14:paraId="0EDD0EDF" w14:textId="77777777" w:rsidR="004B60DD" w:rsidRDefault="004B60DD" w:rsidP="004B60DD">
      <w:pPr>
        <w:spacing w:after="0" w:line="360" w:lineRule="auto"/>
        <w:rPr>
          <w:rFonts w:ascii="Simplified Arabic" w:hAnsi="Simplified Arabic" w:cs="Simplified Arabic"/>
          <w:b/>
          <w:bCs/>
          <w:sz w:val="28"/>
          <w:szCs w:val="28"/>
          <w:rtl/>
        </w:rPr>
      </w:pPr>
    </w:p>
    <w:p w14:paraId="0EDD0EE0" w14:textId="77777777" w:rsidR="004B60DD" w:rsidRDefault="004B60DD" w:rsidP="004B60DD">
      <w:pPr>
        <w:spacing w:after="0" w:line="360" w:lineRule="auto"/>
        <w:rPr>
          <w:rFonts w:ascii="Simplified Arabic" w:hAnsi="Simplified Arabic" w:cs="Simplified Arabic"/>
          <w:b/>
          <w:bCs/>
          <w:sz w:val="28"/>
          <w:szCs w:val="28"/>
          <w:rtl/>
        </w:rPr>
      </w:pPr>
    </w:p>
    <w:p w14:paraId="0EDD0EE1" w14:textId="77777777" w:rsidR="004B60DD" w:rsidRDefault="004B60DD" w:rsidP="004B60DD">
      <w:pPr>
        <w:spacing w:after="0" w:line="360" w:lineRule="auto"/>
        <w:rPr>
          <w:rFonts w:ascii="Simplified Arabic" w:hAnsi="Simplified Arabic" w:cs="Simplified Arabic"/>
          <w:b/>
          <w:bCs/>
          <w:sz w:val="28"/>
          <w:szCs w:val="28"/>
          <w:rtl/>
        </w:rPr>
      </w:pPr>
    </w:p>
    <w:p w14:paraId="0EDD0EE2" w14:textId="77777777" w:rsidR="004B60DD" w:rsidRDefault="004B60DD" w:rsidP="004B60DD">
      <w:pPr>
        <w:spacing w:after="0" w:line="360" w:lineRule="auto"/>
        <w:rPr>
          <w:rFonts w:ascii="Simplified Arabic" w:hAnsi="Simplified Arabic" w:cs="Simplified Arabic"/>
          <w:b/>
          <w:bCs/>
          <w:sz w:val="28"/>
          <w:szCs w:val="28"/>
          <w:rtl/>
        </w:rPr>
      </w:pPr>
    </w:p>
    <w:p w14:paraId="0EDD0EE3" w14:textId="77777777" w:rsidR="004B60DD" w:rsidRDefault="004B60DD" w:rsidP="004B60DD">
      <w:pPr>
        <w:spacing w:after="0" w:line="360" w:lineRule="auto"/>
        <w:rPr>
          <w:rFonts w:ascii="Simplified Arabic" w:hAnsi="Simplified Arabic" w:cs="Simplified Arabic"/>
          <w:b/>
          <w:bCs/>
          <w:sz w:val="28"/>
          <w:szCs w:val="28"/>
          <w:rtl/>
        </w:rPr>
      </w:pPr>
    </w:p>
    <w:p w14:paraId="0EDD0EE4" w14:textId="77777777" w:rsidR="004B60DD" w:rsidRDefault="004B60DD" w:rsidP="004B60DD">
      <w:pPr>
        <w:spacing w:after="0" w:line="360" w:lineRule="auto"/>
        <w:rPr>
          <w:rFonts w:ascii="Simplified Arabic" w:hAnsi="Simplified Arabic" w:cs="Simplified Arabic"/>
          <w:b/>
          <w:bCs/>
          <w:sz w:val="28"/>
          <w:szCs w:val="28"/>
          <w:rtl/>
        </w:rPr>
      </w:pPr>
    </w:p>
    <w:p w14:paraId="0EDD0EE5" w14:textId="77777777" w:rsidR="004B60DD" w:rsidRDefault="004B60DD" w:rsidP="004B60DD">
      <w:pPr>
        <w:spacing w:after="0" w:line="360" w:lineRule="auto"/>
        <w:rPr>
          <w:rFonts w:ascii="Simplified Arabic" w:hAnsi="Simplified Arabic" w:cs="Simplified Arabic"/>
          <w:b/>
          <w:bCs/>
          <w:sz w:val="28"/>
          <w:szCs w:val="28"/>
          <w:rtl/>
        </w:rPr>
      </w:pPr>
    </w:p>
    <w:p w14:paraId="0EDD0EE6" w14:textId="77777777" w:rsidR="004B60DD" w:rsidRDefault="004B60DD" w:rsidP="004B60DD">
      <w:pPr>
        <w:spacing w:after="0" w:line="360" w:lineRule="auto"/>
        <w:rPr>
          <w:rFonts w:ascii="Simplified Arabic" w:hAnsi="Simplified Arabic" w:cs="Simplified Arabic"/>
          <w:b/>
          <w:bCs/>
          <w:sz w:val="28"/>
          <w:szCs w:val="28"/>
          <w:rtl/>
        </w:rPr>
      </w:pPr>
    </w:p>
    <w:p w14:paraId="0EDD0EE7" w14:textId="77777777" w:rsidR="004B60DD" w:rsidRDefault="004B60DD" w:rsidP="004B60DD">
      <w:pPr>
        <w:spacing w:after="0" w:line="360" w:lineRule="auto"/>
        <w:rPr>
          <w:rFonts w:ascii="Simplified Arabic" w:hAnsi="Simplified Arabic" w:cs="Simplified Arabic"/>
          <w:b/>
          <w:bCs/>
          <w:sz w:val="28"/>
          <w:szCs w:val="28"/>
          <w:rtl/>
        </w:rPr>
      </w:pPr>
    </w:p>
    <w:p w14:paraId="0EDD0EE8" w14:textId="77777777" w:rsidR="004B60DD" w:rsidRDefault="004B60DD" w:rsidP="004B60DD">
      <w:pPr>
        <w:spacing w:after="0" w:line="360" w:lineRule="auto"/>
        <w:rPr>
          <w:rFonts w:ascii="Simplified Arabic" w:hAnsi="Simplified Arabic" w:cs="Simplified Arabic"/>
          <w:b/>
          <w:bCs/>
          <w:sz w:val="28"/>
          <w:szCs w:val="28"/>
          <w:rtl/>
        </w:rPr>
      </w:pPr>
    </w:p>
    <w:p w14:paraId="0EDD0EE9" w14:textId="77777777" w:rsidR="004B60DD" w:rsidRDefault="004B60DD" w:rsidP="004B60DD">
      <w:pPr>
        <w:spacing w:after="0" w:line="360" w:lineRule="auto"/>
        <w:rPr>
          <w:rFonts w:ascii="Simplified Arabic" w:hAnsi="Simplified Arabic" w:cs="Simplified Arabic"/>
          <w:b/>
          <w:bCs/>
          <w:sz w:val="28"/>
          <w:szCs w:val="28"/>
          <w:rtl/>
        </w:rPr>
      </w:pPr>
    </w:p>
    <w:p w14:paraId="0EDD0EEA" w14:textId="77777777" w:rsidR="004B60DD" w:rsidRDefault="004B60DD" w:rsidP="004B60DD">
      <w:pPr>
        <w:spacing w:after="0" w:line="360" w:lineRule="auto"/>
        <w:rPr>
          <w:rFonts w:ascii="Simplified Arabic" w:hAnsi="Simplified Arabic" w:cs="Simplified Arabic"/>
          <w:b/>
          <w:bCs/>
          <w:sz w:val="28"/>
          <w:szCs w:val="28"/>
          <w:rtl/>
        </w:rPr>
      </w:pPr>
    </w:p>
    <w:p w14:paraId="0EDD0EEB" w14:textId="77777777" w:rsidR="004B60DD" w:rsidRDefault="004B60DD" w:rsidP="004B60DD">
      <w:pPr>
        <w:spacing w:after="0" w:line="360" w:lineRule="auto"/>
        <w:rPr>
          <w:rFonts w:ascii="Simplified Arabic" w:hAnsi="Simplified Arabic" w:cs="Simplified Arabic"/>
          <w:b/>
          <w:bCs/>
          <w:sz w:val="28"/>
          <w:szCs w:val="28"/>
          <w:rtl/>
        </w:rPr>
      </w:pPr>
    </w:p>
    <w:p w14:paraId="0EDD0EEC" w14:textId="77777777" w:rsidR="004B60DD" w:rsidRDefault="004B60DD" w:rsidP="004B60DD">
      <w:pPr>
        <w:spacing w:after="0" w:line="360" w:lineRule="auto"/>
        <w:rPr>
          <w:rFonts w:ascii="Simplified Arabic" w:hAnsi="Simplified Arabic" w:cs="Simplified Arabic"/>
          <w:b/>
          <w:bCs/>
          <w:sz w:val="28"/>
          <w:szCs w:val="28"/>
          <w:rtl/>
        </w:rPr>
      </w:pPr>
    </w:p>
    <w:p w14:paraId="0EDD0EED" w14:textId="77777777" w:rsidR="004B60DD" w:rsidRDefault="004B60DD" w:rsidP="004B60DD">
      <w:pPr>
        <w:spacing w:after="0" w:line="360" w:lineRule="auto"/>
        <w:rPr>
          <w:rFonts w:ascii="Simplified Arabic" w:hAnsi="Simplified Arabic" w:cs="Simplified Arabic"/>
          <w:b/>
          <w:bCs/>
          <w:sz w:val="28"/>
          <w:szCs w:val="28"/>
          <w:rtl/>
        </w:rPr>
      </w:pPr>
    </w:p>
    <w:p w14:paraId="0EDD0EEE" w14:textId="77777777" w:rsidR="004B60DD" w:rsidRDefault="004B60DD" w:rsidP="004B60DD">
      <w:pPr>
        <w:spacing w:after="0" w:line="360" w:lineRule="auto"/>
        <w:rPr>
          <w:rFonts w:ascii="Simplified Arabic" w:hAnsi="Simplified Arabic" w:cs="Simplified Arabic"/>
          <w:b/>
          <w:bCs/>
          <w:sz w:val="28"/>
          <w:szCs w:val="28"/>
          <w:rtl/>
        </w:rPr>
      </w:pPr>
    </w:p>
    <w:p w14:paraId="0EDD0EEF" w14:textId="77777777" w:rsidR="004B60DD" w:rsidRDefault="004B60DD" w:rsidP="004B60DD">
      <w:pPr>
        <w:spacing w:after="0" w:line="360" w:lineRule="auto"/>
        <w:rPr>
          <w:rFonts w:ascii="Simplified Arabic" w:hAnsi="Simplified Arabic" w:cs="Simplified Arabic"/>
          <w:b/>
          <w:bCs/>
          <w:sz w:val="28"/>
          <w:szCs w:val="28"/>
          <w:rtl/>
        </w:rPr>
      </w:pPr>
    </w:p>
    <w:p w14:paraId="0EDD0EF0" w14:textId="77777777" w:rsidR="004B60DD" w:rsidRDefault="004B60DD" w:rsidP="004B60DD">
      <w:pPr>
        <w:spacing w:after="0" w:line="360" w:lineRule="auto"/>
        <w:rPr>
          <w:rFonts w:ascii="Simplified Arabic" w:hAnsi="Simplified Arabic" w:cs="Simplified Arabic"/>
          <w:b/>
          <w:bCs/>
          <w:sz w:val="28"/>
          <w:szCs w:val="28"/>
          <w:rtl/>
        </w:rPr>
      </w:pPr>
    </w:p>
    <w:p w14:paraId="0EDD0EF1" w14:textId="77777777" w:rsidR="004B60DD" w:rsidRDefault="004B60DD" w:rsidP="004B60DD">
      <w:pPr>
        <w:spacing w:after="0" w:line="360" w:lineRule="auto"/>
        <w:rPr>
          <w:rFonts w:ascii="Simplified Arabic" w:hAnsi="Simplified Arabic" w:cs="Simplified Arabic"/>
          <w:b/>
          <w:bCs/>
          <w:sz w:val="28"/>
          <w:szCs w:val="28"/>
          <w:rtl/>
        </w:rPr>
      </w:pPr>
    </w:p>
    <w:p w14:paraId="0EDD0EF2" w14:textId="77777777" w:rsidR="004B60DD" w:rsidRDefault="004B60DD" w:rsidP="004B60DD">
      <w:pPr>
        <w:spacing w:after="0" w:line="360" w:lineRule="auto"/>
        <w:rPr>
          <w:rFonts w:ascii="Simplified Arabic" w:hAnsi="Simplified Arabic" w:cs="Simplified Arabic"/>
          <w:b/>
          <w:bCs/>
          <w:sz w:val="28"/>
          <w:szCs w:val="28"/>
          <w:rtl/>
        </w:rPr>
      </w:pPr>
    </w:p>
    <w:p w14:paraId="0EDD0EF3" w14:textId="77777777" w:rsidR="004B60DD" w:rsidRDefault="004B60DD" w:rsidP="004B60DD">
      <w:pPr>
        <w:spacing w:after="0" w:line="360" w:lineRule="auto"/>
        <w:rPr>
          <w:rFonts w:ascii="Simplified Arabic" w:hAnsi="Simplified Arabic" w:cs="Simplified Arabic"/>
          <w:b/>
          <w:bCs/>
          <w:sz w:val="28"/>
          <w:szCs w:val="28"/>
          <w:rtl/>
        </w:rPr>
      </w:pPr>
    </w:p>
    <w:p w14:paraId="0EDD0EF4" w14:textId="77777777" w:rsidR="004B60DD" w:rsidRDefault="004B60DD" w:rsidP="004B60DD">
      <w:pPr>
        <w:spacing w:after="0" w:line="360" w:lineRule="auto"/>
        <w:rPr>
          <w:rFonts w:ascii="Simplified Arabic" w:hAnsi="Simplified Arabic" w:cs="Simplified Arabic"/>
          <w:b/>
          <w:bCs/>
          <w:sz w:val="28"/>
          <w:szCs w:val="28"/>
          <w:rtl/>
          <w:lang w:bidi="ar-EG"/>
        </w:rPr>
      </w:pPr>
    </w:p>
    <w:p w14:paraId="0EDD0EF5" w14:textId="77777777" w:rsidR="004B60DD" w:rsidRDefault="004B60DD" w:rsidP="004B60DD">
      <w:pPr>
        <w:spacing w:after="0" w:line="360" w:lineRule="auto"/>
        <w:rPr>
          <w:rFonts w:ascii="Simplified Arabic" w:hAnsi="Simplified Arabic" w:cs="Simplified Arabic"/>
          <w:b/>
          <w:bCs/>
          <w:sz w:val="28"/>
          <w:szCs w:val="28"/>
          <w:rtl/>
        </w:rPr>
      </w:pPr>
    </w:p>
    <w:p w14:paraId="0EDD0EF6" w14:textId="77777777" w:rsidR="004B60DD" w:rsidRPr="009F738B" w:rsidRDefault="004B60DD" w:rsidP="004B60DD">
      <w:pPr>
        <w:pStyle w:val="Heading1"/>
        <w:jc w:val="center"/>
        <w:rPr>
          <w:rFonts w:ascii="Simplified Arabic" w:hAnsi="Simplified Arabic" w:cs="Simplified Arabic"/>
          <w:b/>
          <w:bCs/>
          <w:color w:val="000000" w:themeColor="text1"/>
          <w:rtl/>
        </w:rPr>
      </w:pPr>
      <w:bookmarkStart w:id="27" w:name="_Toc172397783"/>
      <w:bookmarkStart w:id="28" w:name="_Toc172746096"/>
      <w:bookmarkStart w:id="29" w:name="_Toc191138776"/>
      <w:r w:rsidRPr="009F738B">
        <w:rPr>
          <w:rFonts w:ascii="Simplified Arabic" w:hAnsi="Simplified Arabic" w:cs="Simplified Arabic"/>
          <w:b/>
          <w:bCs/>
          <w:color w:val="000000" w:themeColor="text1"/>
          <w:rtl/>
        </w:rPr>
        <w:t>الفصل الثاني</w:t>
      </w:r>
      <w:bookmarkEnd w:id="27"/>
      <w:bookmarkEnd w:id="28"/>
      <w:bookmarkEnd w:id="29"/>
    </w:p>
    <w:p w14:paraId="0EDD0EF7" w14:textId="77777777" w:rsidR="004B60DD" w:rsidRPr="009F738B" w:rsidRDefault="004B60DD" w:rsidP="004B60DD">
      <w:pPr>
        <w:pStyle w:val="Heading1"/>
        <w:jc w:val="center"/>
        <w:rPr>
          <w:rFonts w:ascii="Simplified Arabic" w:hAnsi="Simplified Arabic" w:cs="Simplified Arabic"/>
          <w:b/>
          <w:bCs/>
          <w:color w:val="000000" w:themeColor="text1"/>
          <w:rtl/>
        </w:rPr>
      </w:pPr>
      <w:bookmarkStart w:id="30" w:name="_Toc172397784"/>
      <w:bookmarkStart w:id="31" w:name="_Toc172746097"/>
      <w:bookmarkStart w:id="32" w:name="_Toc191138777"/>
      <w:r w:rsidRPr="009F738B">
        <w:rPr>
          <w:rFonts w:ascii="Simplified Arabic" w:hAnsi="Simplified Arabic" w:cs="Simplified Arabic"/>
          <w:b/>
          <w:bCs/>
          <w:color w:val="000000" w:themeColor="text1"/>
          <w:rtl/>
        </w:rPr>
        <w:t>الدراسات السابقة</w:t>
      </w:r>
      <w:bookmarkEnd w:id="30"/>
      <w:bookmarkEnd w:id="31"/>
      <w:bookmarkEnd w:id="32"/>
    </w:p>
    <w:p w14:paraId="0EDD0EF8" w14:textId="77777777" w:rsidR="004B60DD" w:rsidRDefault="004B60DD" w:rsidP="004B60DD">
      <w:pPr>
        <w:rPr>
          <w:b/>
          <w:bCs/>
          <w:rtl/>
        </w:rPr>
      </w:pPr>
    </w:p>
    <w:p w14:paraId="0EDD0EF9" w14:textId="77777777" w:rsidR="004B60DD" w:rsidRPr="003B5A4D" w:rsidRDefault="004B60DD" w:rsidP="004B60DD">
      <w:pPr>
        <w:rPr>
          <w:b/>
          <w:bCs/>
          <w:rtl/>
        </w:rPr>
      </w:pPr>
    </w:p>
    <w:p w14:paraId="0EDD0EFA" w14:textId="77777777" w:rsidR="004B60DD" w:rsidRPr="003B5A4D" w:rsidRDefault="004B60DD" w:rsidP="004B60DD">
      <w:pPr>
        <w:rPr>
          <w:rFonts w:ascii="Sakkal Majalla" w:hAnsi="Sakkal Majalla" w:cs="Sakkal Majalla"/>
          <w:b/>
          <w:bCs/>
          <w:sz w:val="28"/>
          <w:szCs w:val="28"/>
          <w:u w:val="single"/>
          <w:rtl/>
        </w:rPr>
      </w:pPr>
    </w:p>
    <w:p w14:paraId="0EDD0EFB" w14:textId="77777777" w:rsidR="004B60DD" w:rsidRPr="003B5A4D" w:rsidRDefault="004B60DD" w:rsidP="004B60DD">
      <w:pPr>
        <w:rPr>
          <w:rFonts w:ascii="Sakkal Majalla" w:hAnsi="Sakkal Majalla" w:cs="Sakkal Majalla"/>
          <w:b/>
          <w:bCs/>
          <w:sz w:val="28"/>
          <w:szCs w:val="28"/>
          <w:u w:val="single"/>
          <w:rtl/>
        </w:rPr>
      </w:pPr>
    </w:p>
    <w:p w14:paraId="0EDD0EFC" w14:textId="77777777" w:rsidR="004B60DD" w:rsidRPr="003B5A4D" w:rsidRDefault="004B60DD" w:rsidP="004B60DD">
      <w:pPr>
        <w:rPr>
          <w:rFonts w:ascii="Sakkal Majalla" w:hAnsi="Sakkal Majalla" w:cs="Sakkal Majalla"/>
          <w:b/>
          <w:bCs/>
          <w:sz w:val="28"/>
          <w:szCs w:val="28"/>
          <w:u w:val="single"/>
          <w:rtl/>
        </w:rPr>
      </w:pPr>
    </w:p>
    <w:p w14:paraId="0EDD0EFD" w14:textId="77777777" w:rsidR="004B60DD" w:rsidRDefault="004B60DD" w:rsidP="004B60DD">
      <w:pPr>
        <w:rPr>
          <w:rFonts w:ascii="Sakkal Majalla" w:hAnsi="Sakkal Majalla" w:cs="Sakkal Majalla"/>
          <w:sz w:val="28"/>
          <w:szCs w:val="28"/>
          <w:u w:val="single"/>
          <w:rtl/>
        </w:rPr>
      </w:pPr>
    </w:p>
    <w:p w14:paraId="0EDD0EFE" w14:textId="77777777" w:rsidR="004B60DD" w:rsidRDefault="004B60DD" w:rsidP="004B60DD">
      <w:pPr>
        <w:rPr>
          <w:rFonts w:ascii="Sakkal Majalla" w:hAnsi="Sakkal Majalla" w:cs="Sakkal Majalla"/>
          <w:sz w:val="28"/>
          <w:szCs w:val="28"/>
          <w:u w:val="single"/>
          <w:rtl/>
        </w:rPr>
      </w:pPr>
    </w:p>
    <w:p w14:paraId="0EDD0EFF" w14:textId="77777777" w:rsidR="004B60DD" w:rsidRDefault="004B60DD" w:rsidP="004B60DD">
      <w:pPr>
        <w:rPr>
          <w:rFonts w:ascii="Sakkal Majalla" w:hAnsi="Sakkal Majalla" w:cs="Sakkal Majalla"/>
          <w:sz w:val="28"/>
          <w:szCs w:val="28"/>
          <w:u w:val="single"/>
          <w:rtl/>
        </w:rPr>
      </w:pPr>
    </w:p>
    <w:p w14:paraId="0EDD0F00" w14:textId="77777777" w:rsidR="004B60DD" w:rsidRDefault="004B60DD" w:rsidP="004B60DD">
      <w:pPr>
        <w:rPr>
          <w:rFonts w:ascii="Sakkal Majalla" w:hAnsi="Sakkal Majalla" w:cs="Sakkal Majalla"/>
          <w:sz w:val="28"/>
          <w:szCs w:val="28"/>
          <w:u w:val="single"/>
          <w:rtl/>
        </w:rPr>
      </w:pPr>
    </w:p>
    <w:p w14:paraId="0EDD0F01" w14:textId="77777777" w:rsidR="004B60DD" w:rsidRDefault="004B60DD" w:rsidP="004B60DD">
      <w:pPr>
        <w:rPr>
          <w:rFonts w:ascii="Sakkal Majalla" w:hAnsi="Sakkal Majalla" w:cs="Sakkal Majalla"/>
          <w:sz w:val="28"/>
          <w:szCs w:val="28"/>
          <w:u w:val="single"/>
          <w:rtl/>
        </w:rPr>
      </w:pPr>
    </w:p>
    <w:p w14:paraId="0EDD0F02" w14:textId="77777777" w:rsidR="004B60DD" w:rsidRDefault="004B60DD" w:rsidP="004B60DD">
      <w:pPr>
        <w:rPr>
          <w:rFonts w:ascii="Sakkal Majalla" w:hAnsi="Sakkal Majalla" w:cs="Sakkal Majalla"/>
          <w:sz w:val="28"/>
          <w:szCs w:val="28"/>
          <w:u w:val="single"/>
          <w:rtl/>
          <w:lang w:bidi="ar-EG"/>
        </w:rPr>
      </w:pPr>
    </w:p>
    <w:p w14:paraId="0EDD0F03" w14:textId="77777777" w:rsidR="004B60DD" w:rsidRPr="0048136D" w:rsidRDefault="004B60DD" w:rsidP="004B60DD">
      <w:pPr>
        <w:pStyle w:val="Heading2"/>
        <w:rPr>
          <w:rtl/>
        </w:rPr>
      </w:pPr>
      <w:bookmarkStart w:id="33" w:name="_Toc172397785"/>
      <w:bookmarkStart w:id="34" w:name="_Toc172746098"/>
      <w:bookmarkStart w:id="35" w:name="_Toc191138778"/>
      <w:r>
        <w:rPr>
          <w:rFonts w:hint="cs"/>
          <w:rtl/>
        </w:rPr>
        <w:t>ال</w:t>
      </w:r>
      <w:r w:rsidRPr="0048136D">
        <w:rPr>
          <w:rtl/>
        </w:rPr>
        <w:t>مقدمة</w:t>
      </w:r>
      <w:bookmarkEnd w:id="33"/>
      <w:bookmarkEnd w:id="34"/>
      <w:bookmarkEnd w:id="35"/>
    </w:p>
    <w:p w14:paraId="0EDD0F04" w14:textId="77777777" w:rsidR="004B60DD" w:rsidRPr="006856B0" w:rsidRDefault="004B60DD" w:rsidP="004B60DD">
      <w:pPr>
        <w:pStyle w:val="NoSpacing"/>
      </w:pPr>
      <w:r w:rsidRPr="006856B0">
        <w:rPr>
          <w:rtl/>
          <w:lang w:bidi="ar-SA"/>
        </w:rPr>
        <w:t>يُمثل هذا الفصل حجر الزاوية في بناء الدراسة، فهو الجسر الذي يربط بين فكرة البحث الأولية وبين المنهجية العلمية الصارمة التي ستُطبق على أرض الواقع. إنه الخريطة التي يستنير بها الباحث في رحلته، حيث يضع دراسته الحالية في سياقها الصحيح ضمن المشهد العلمي الأوسع. فمن خلال استعراض الجهود السابقة وتحديد الإطار المفاهيمي، لا نقوم فقط بتجميع المعلومات، بل نبني حجة منطقية توضح قيمة هذه الدراسة وأصالتها ومساهمتها المنتظرة</w:t>
      </w:r>
      <w:r w:rsidRPr="006856B0">
        <w:t>.</w:t>
      </w:r>
    </w:p>
    <w:p w14:paraId="0EDD0F05" w14:textId="77777777" w:rsidR="004B60DD" w:rsidRPr="006856B0" w:rsidRDefault="004B60DD" w:rsidP="004B60DD">
      <w:pPr>
        <w:pStyle w:val="NoSpacing"/>
      </w:pPr>
      <w:r w:rsidRPr="006856B0">
        <w:rPr>
          <w:rtl/>
          <w:lang w:bidi="ar-SA"/>
        </w:rPr>
        <w:t>في الجزء الأول من هذا الفصل، سنقوم برحلة استكشافية في الأدبيات العلمية والدراسات السابقة، العربية منها والأجنبية، التي تناولت موضوعات التوطين، وتنمية رأس المال البشري، واستراتيجيات الموارد البشرية. وسنركز بشكل خاص على تلك الدراسات التي لامست بيئات عمل مشابهة لقطاع الطيران والدفاع، أو التي أجريت في سياقات تتطلب مهارات فنية وتقنية عالية. الهدف من هذه الرحلة ليس مجرد السرد، بل هو التحليل النقدي الذي يكشف لنا عن أوجه التشابه والاختلاف، ويساعدنا على تحديد "الفجوة المعرفية" التي لم تتطرق إليها الأبحاث السابقة، وهي الفجوة التي تأتي دراستنا الحالية لتسدها</w:t>
      </w:r>
      <w:r w:rsidRPr="006856B0">
        <w:t>.</w:t>
      </w:r>
    </w:p>
    <w:p w14:paraId="0EDD0F06" w14:textId="77777777" w:rsidR="004B60DD" w:rsidRPr="006856B0" w:rsidRDefault="004B60DD" w:rsidP="004B60DD">
      <w:pPr>
        <w:pStyle w:val="NoSpacing"/>
      </w:pPr>
      <w:r w:rsidRPr="006856B0">
        <w:rPr>
          <w:rtl/>
          <w:lang w:bidi="ar-SA"/>
        </w:rPr>
        <w:t xml:space="preserve">بعد ذلك، ينتقل الفصل إلى تفكيك متغيرات الدراسة وتحليلها بعمق. فلكي يكون بحثنا دقيقاً وموضوعياً، لا بد من تحديد المفاهيم الأساسية بشكل واضح. هنا، سنقدم تعريفات نظرية وإجرائية لكل من المتغيرات المستقلة (استراتيجيات التوطين) والمتغيرات التابعة (تطوير الكفاءات الوطنية). سنقوم بتحديد أبعاد كل متغير والمؤشرات التي سيتم استخدامها </w:t>
      </w:r>
      <w:r w:rsidRPr="006856B0">
        <w:rPr>
          <w:rtl/>
          <w:lang w:bidi="ar-SA"/>
        </w:rPr>
        <w:lastRenderedPageBreak/>
        <w:t>لقياسه، مما يضمن أن تكون أدوات البحث، كالاستبيانات والمقابلات، موجهة بدقة لقياس ما نهدف إلى قياسه بالفعل، ويضمن الاتساق في التحليل لاحقاً</w:t>
      </w:r>
      <w:r w:rsidRPr="006856B0">
        <w:t>.</w:t>
      </w:r>
    </w:p>
    <w:p w14:paraId="0EDD0F07" w14:textId="77777777" w:rsidR="004B60DD" w:rsidRPr="006856B0" w:rsidRDefault="004B60DD" w:rsidP="004B60DD">
      <w:pPr>
        <w:pStyle w:val="NoSpacing"/>
      </w:pPr>
      <w:r w:rsidRPr="006856B0">
        <w:rPr>
          <w:rtl/>
          <w:lang w:bidi="ar-SA"/>
        </w:rPr>
        <w:t>أما الجزء الأخير والأكثر أهمية، فهو مخصص لعرض الإطار النظري الذي يمثل العمود الفقري الفكري للدراسة. وقد تم اختيار </w:t>
      </w:r>
      <w:r w:rsidRPr="006856B0">
        <w:t>"</w:t>
      </w:r>
      <w:r w:rsidRPr="006856B0">
        <w:rPr>
          <w:rtl/>
          <w:lang w:bidi="ar-SA"/>
        </w:rPr>
        <w:t>نظرية رأس المال البشري</w:t>
      </w:r>
      <w:r w:rsidRPr="006856B0">
        <w:t>" </w:t>
      </w:r>
      <w:r w:rsidRPr="006856B0">
        <w:rPr>
          <w:rtl/>
          <w:lang w:bidi="ar-SA"/>
        </w:rPr>
        <w:t>لتكون العدسة التي سننظر من خلالها إلى مشكلة البحث. هذه النظرية، التي تؤكد على أن الاستثمار في الإنسان عبر التعليم والتدريب هو المحرك الأساسي لزيادة الإنتاجية والكفاءة، توفر الأساس العلمي الذي يسمح لنا بتفسير العلاقة بين التوطين والتطوير. هذا الإطار النظري ليس مجرد خلفية أكاديمية، بل هو أداة تحليلية حية ستساعدنا في فهم النتائج وتفسيرها وتقديم توصيات مبنية على أساس علمي متين</w:t>
      </w:r>
      <w:r w:rsidRPr="006856B0">
        <w:t>.</w:t>
      </w:r>
    </w:p>
    <w:p w14:paraId="0EDD0F08" w14:textId="77777777" w:rsidR="004B60DD" w:rsidRDefault="004B60DD" w:rsidP="004B60DD">
      <w:pPr>
        <w:pStyle w:val="NoSpacing"/>
        <w:rPr>
          <w:rtl/>
        </w:rPr>
      </w:pPr>
      <w:r w:rsidRPr="006856B0">
        <w:rPr>
          <w:rtl/>
          <w:lang w:bidi="ar-SA"/>
        </w:rPr>
        <w:t>بهذه المكونات الثلاثة المتكاملة، يسعى هذا الفصل إلى بناء أرضية معرفية صلبة وشاملة. فهو يبرر أهمية الدراسة، ويوضح مفاهيمها، ويضع أساسها النظري، مما يمهد الطريق بشكل منطقي ومنهجي للفصول التالية المتعلقة بالمنهجية وتحليل النتائج، ويعزز من مصداقية البحث وموثوقيته</w:t>
      </w:r>
      <w:r w:rsidRPr="006856B0">
        <w:t>.</w:t>
      </w:r>
    </w:p>
    <w:p w14:paraId="0EDD0F09" w14:textId="77777777" w:rsidR="004B60DD" w:rsidRDefault="004B60DD" w:rsidP="004B60DD">
      <w:pPr>
        <w:pStyle w:val="Heading2"/>
        <w:rPr>
          <w:rtl/>
        </w:rPr>
      </w:pPr>
      <w:bookmarkStart w:id="36" w:name="_Toc191138779"/>
      <w:r>
        <w:rPr>
          <w:rFonts w:hint="cs"/>
          <w:rtl/>
        </w:rPr>
        <w:t>متغيرات الدراسة</w:t>
      </w:r>
      <w:bookmarkEnd w:id="36"/>
    </w:p>
    <w:p w14:paraId="0EDD0F0A" w14:textId="77777777" w:rsidR="004B60DD" w:rsidRPr="00396C9A" w:rsidRDefault="004B60DD" w:rsidP="004B60DD">
      <w:pPr>
        <w:pStyle w:val="NoSpacing"/>
      </w:pPr>
      <w:r w:rsidRPr="00396C9A">
        <w:rPr>
          <w:rtl/>
          <w:lang w:bidi="ar-SA"/>
        </w:rPr>
        <w:t>تُقدم هذه الصورة النموذج المفاهيمي الذي بُنيت عليه الدراسة، وهو يمثل بصريًا الفرضية الأساسية التي يسعى البحث لاختبارها. يوضح المخطط العلاقة السببية بين مجموعة من العوامل (المتغيرات المستقلة) وبين النتيجة النهائية المراد قياسها (المتغير التابع)، مما يساعد على فهم منطق الدراسة بشكل مبسط وواضح</w:t>
      </w:r>
      <w:r w:rsidRPr="00396C9A">
        <w:t>.</w:t>
      </w:r>
    </w:p>
    <w:p w14:paraId="0EDD0F0B" w14:textId="77777777" w:rsidR="004B60DD" w:rsidRPr="00396C9A" w:rsidRDefault="004B60DD" w:rsidP="004B60DD">
      <w:pPr>
        <w:pStyle w:val="NoSpacing"/>
      </w:pPr>
      <w:r w:rsidRPr="00396C9A">
        <w:rPr>
          <w:rtl/>
          <w:lang w:bidi="ar-SA"/>
        </w:rPr>
        <w:t>في قلب هذا النموذج، وعلى يسار المخطط، يقع المتغير التابع</w:t>
      </w:r>
      <w:r w:rsidRPr="00396C9A">
        <w:t xml:space="preserve"> (Dependent Variable)</w:t>
      </w:r>
      <w:r w:rsidRPr="00396C9A">
        <w:rPr>
          <w:rtl/>
          <w:lang w:bidi="ar-SA"/>
        </w:rPr>
        <w:t>، وهو هنا </w:t>
      </w:r>
      <w:r w:rsidRPr="00396C9A">
        <w:t>"</w:t>
      </w:r>
      <w:r w:rsidRPr="00396C9A">
        <w:rPr>
          <w:rtl/>
          <w:lang w:bidi="ar-SA"/>
        </w:rPr>
        <w:t>خطة التوطين</w:t>
      </w:r>
      <w:r w:rsidRPr="00396C9A">
        <w:t xml:space="preserve">". </w:t>
      </w:r>
      <w:r w:rsidRPr="00396C9A">
        <w:rPr>
          <w:rtl/>
          <w:lang w:bidi="ar-SA"/>
        </w:rPr>
        <w:t>من المهم أن نفهم أن المقصود هنا ليس الخطة كمجرد وثيقة، بل مدى نجاح وفعالية هذه الخطة</w:t>
      </w:r>
      <w:r w:rsidRPr="00396C9A">
        <w:t xml:space="preserve">. </w:t>
      </w:r>
      <w:r w:rsidRPr="00396C9A">
        <w:rPr>
          <w:rtl/>
          <w:lang w:bidi="ar-SA"/>
        </w:rPr>
        <w:t>بمعنى آخر، تعتبر "فعالية خطة التوطين" هي النتيجة أو الأثر النهائي الذي تسعى الدراسة لقياسه وفهمه. السؤال الذي يطرحه النموذج هو: ما هي العوامل التي تجعل خطة التوطين ناجحة ومؤثرة على أرض الواقع؟</w:t>
      </w:r>
    </w:p>
    <w:p w14:paraId="0EDD0F0C" w14:textId="77777777" w:rsidR="004B60DD" w:rsidRPr="00396C9A" w:rsidRDefault="004B60DD" w:rsidP="004B60DD">
      <w:pPr>
        <w:pStyle w:val="NoSpacing"/>
      </w:pPr>
      <w:r w:rsidRPr="00396C9A">
        <w:rPr>
          <w:rtl/>
          <w:lang w:bidi="ar-SA"/>
        </w:rPr>
        <w:t>نجد المتغيرات المستقلة</w:t>
      </w:r>
      <w:r w:rsidRPr="00396C9A">
        <w:t xml:space="preserve"> (Independent Variables)</w:t>
      </w:r>
      <w:r w:rsidRPr="00396C9A">
        <w:rPr>
          <w:rtl/>
          <w:lang w:bidi="ar-SA"/>
        </w:rPr>
        <w:t xml:space="preserve">، وهي تمثل المحركات أو العوامل الرئيسية التي يفترض الباحث أنها تؤثر بشكل مباشر في نجاح "خطة التوطين". هذه المتغيرات هي الأسباب التي تؤدي إلى النتيجة، وفي هذا النموذج تم تحديد </w:t>
      </w:r>
      <w:r w:rsidRPr="00396C9A">
        <w:rPr>
          <w:rFonts w:hint="cs"/>
          <w:rtl/>
          <w:lang w:bidi="ar-SA"/>
        </w:rPr>
        <w:t>ثلاث</w:t>
      </w:r>
      <w:r w:rsidRPr="00396C9A">
        <w:rPr>
          <w:rtl/>
          <w:lang w:bidi="ar-SA"/>
        </w:rPr>
        <w:t xml:space="preserve"> متغيرات مستقلة أساسية</w:t>
      </w:r>
      <w:r w:rsidRPr="00396C9A">
        <w:t>:</w:t>
      </w:r>
    </w:p>
    <w:p w14:paraId="0EDD0F0D" w14:textId="77777777" w:rsidR="004B60DD" w:rsidRPr="00396C9A" w:rsidRDefault="004B60DD" w:rsidP="004B60DD">
      <w:pPr>
        <w:pStyle w:val="NoSpacing"/>
        <w:numPr>
          <w:ilvl w:val="0"/>
          <w:numId w:val="14"/>
        </w:numPr>
      </w:pPr>
      <w:r w:rsidRPr="00396C9A">
        <w:rPr>
          <w:b/>
          <w:bCs/>
          <w:rtl/>
          <w:lang w:bidi="ar-SA"/>
        </w:rPr>
        <w:t>تطوير قدرات الموظفين</w:t>
      </w:r>
      <w:r w:rsidRPr="00396C9A">
        <w:rPr>
          <w:b/>
          <w:bCs/>
        </w:rPr>
        <w:t>:</w:t>
      </w:r>
      <w:r w:rsidRPr="00396C9A">
        <w:t> </w:t>
      </w:r>
      <w:r w:rsidRPr="00396C9A">
        <w:rPr>
          <w:rtl/>
          <w:lang w:bidi="ar-SA"/>
        </w:rPr>
        <w:t>هذا المتغير يشير إلى كل الجهود المبذولة في تدريب الموظفين السعوديين وتنمية مهاراتهم الفنية والإدارية. الفرضية هنا هي أن خطة التوطين لا يمكن أن تنجح إذا لم يصاحبها تطوير حقيقي لقدرات الكوادر الوطنية</w:t>
      </w:r>
      <w:r w:rsidRPr="00396C9A">
        <w:t>.</w:t>
      </w:r>
    </w:p>
    <w:p w14:paraId="0EDD0F0E" w14:textId="77777777" w:rsidR="004B60DD" w:rsidRPr="00396C9A" w:rsidRDefault="004B60DD" w:rsidP="004B60DD">
      <w:pPr>
        <w:pStyle w:val="NoSpacing"/>
        <w:numPr>
          <w:ilvl w:val="0"/>
          <w:numId w:val="14"/>
        </w:numPr>
      </w:pPr>
      <w:r w:rsidRPr="00396C9A">
        <w:rPr>
          <w:b/>
          <w:bCs/>
          <w:rtl/>
          <w:lang w:bidi="ar-SA"/>
        </w:rPr>
        <w:lastRenderedPageBreak/>
        <w:t>رفع مستوى الانتاجية</w:t>
      </w:r>
      <w:r w:rsidRPr="00396C9A">
        <w:rPr>
          <w:b/>
          <w:bCs/>
        </w:rPr>
        <w:t>:</w:t>
      </w:r>
      <w:r w:rsidRPr="00396C9A">
        <w:t> </w:t>
      </w:r>
      <w:r w:rsidRPr="00396C9A">
        <w:rPr>
          <w:rtl/>
          <w:lang w:bidi="ar-SA"/>
        </w:rPr>
        <w:t>يقيس هذا المتغير مدى تأثير التوطين على أداء العمل وكفاءته. فخطة التوطين الناجحة هي تلك التي لا تؤدي فقط إلى إحلال الموظفين، بل تساهم أيضاً في تحسين أو على الأقل الحفاظ على مستويات الإنتاجية في الشركة</w:t>
      </w:r>
      <w:r w:rsidRPr="00396C9A">
        <w:t>.</w:t>
      </w:r>
    </w:p>
    <w:p w14:paraId="0EDD0F0F" w14:textId="77777777" w:rsidR="004B60DD" w:rsidRPr="00396C9A" w:rsidRDefault="004B60DD" w:rsidP="004B60DD">
      <w:pPr>
        <w:pStyle w:val="NoSpacing"/>
        <w:numPr>
          <w:ilvl w:val="0"/>
          <w:numId w:val="14"/>
        </w:numPr>
      </w:pPr>
      <w:r w:rsidRPr="00396C9A">
        <w:rPr>
          <w:b/>
          <w:bCs/>
          <w:rtl/>
          <w:lang w:bidi="ar-SA"/>
        </w:rPr>
        <w:t>خلق فرص تعلم</w:t>
      </w:r>
      <w:r w:rsidRPr="00396C9A">
        <w:rPr>
          <w:b/>
          <w:bCs/>
        </w:rPr>
        <w:t>:</w:t>
      </w:r>
      <w:r w:rsidRPr="00396C9A">
        <w:t> </w:t>
      </w:r>
      <w:r w:rsidRPr="00396C9A">
        <w:rPr>
          <w:rtl/>
          <w:lang w:bidi="ar-SA"/>
        </w:rPr>
        <w:t>يركز هذا العامل على البيئة التعليمية التي توفرها الشركة. فنجاح خطة التوطين يعتمد على مدى قدرتها على خلق بيئة عمل تشجع على التعلم المستمر واكتساب الخبرات، وليس مجرد أداء المهام الروتينية</w:t>
      </w:r>
      <w:r w:rsidRPr="00396C9A">
        <w:t>.</w:t>
      </w:r>
    </w:p>
    <w:p w14:paraId="0EDD0F10" w14:textId="77777777" w:rsidR="004B60DD" w:rsidRPr="00396C9A" w:rsidRDefault="004B60DD" w:rsidP="004B60DD">
      <w:pPr>
        <w:pStyle w:val="NoSpacing"/>
      </w:pPr>
      <w:r w:rsidRPr="00396C9A">
        <w:rPr>
          <w:b/>
          <w:bCs/>
          <w:rtl/>
          <w:lang w:bidi="ar-SA"/>
        </w:rPr>
        <w:t>العلاقة بين المتغيرات</w:t>
      </w:r>
    </w:p>
    <w:p w14:paraId="0EDD0F11" w14:textId="77777777" w:rsidR="004B60DD" w:rsidRPr="006856B0" w:rsidRDefault="004B60DD" w:rsidP="004B60DD">
      <w:pPr>
        <w:pStyle w:val="NoSpacing"/>
      </w:pPr>
      <w:r w:rsidRPr="00396C9A">
        <w:rPr>
          <w:rtl/>
          <w:lang w:bidi="ar-SA"/>
        </w:rPr>
        <w:t>العلاقة التي يوضحها المخطط من خلال الأسهم هي علاقة تأثير سببية</w:t>
      </w:r>
      <w:r w:rsidRPr="00396C9A">
        <w:t xml:space="preserve">. </w:t>
      </w:r>
      <w:r w:rsidRPr="00396C9A">
        <w:rPr>
          <w:rtl/>
          <w:lang w:bidi="ar-SA"/>
        </w:rPr>
        <w:t>الأسهم تنطلق من المتغيرات المستقلة الثلاثة (تطوير القدرات، رفع الإنتاجية، خلق فرص تعلم) وتتجه نحو المتغير التابع (خطة التوطين). هذا يعني أن النموذج يفترض أن هذه العوامل الثلاثة مجتمعة هي التي تُفسّر وتُحدّد مدى نجاح "خطة التوطين</w:t>
      </w:r>
      <w:r w:rsidRPr="00396C9A">
        <w:t>".</w:t>
      </w:r>
    </w:p>
    <w:p w14:paraId="0EDD0F12" w14:textId="77777777" w:rsidR="004B60DD" w:rsidRPr="000A49CE" w:rsidRDefault="004B60DD" w:rsidP="004B60DD">
      <w:pPr>
        <w:pStyle w:val="Heading2"/>
      </w:pPr>
      <w:bookmarkStart w:id="37" w:name="_Toc172397786"/>
      <w:bookmarkStart w:id="38" w:name="_Toc172746099"/>
      <w:bookmarkStart w:id="39" w:name="_Toc191138780"/>
      <w:r w:rsidRPr="0048136D">
        <w:rPr>
          <w:rtl/>
        </w:rPr>
        <w:t>الدراسات السابقة</w:t>
      </w:r>
      <w:bookmarkStart w:id="40" w:name="_Toc172397787"/>
      <w:bookmarkStart w:id="41" w:name="_Toc172746100"/>
      <w:bookmarkEnd w:id="37"/>
      <w:bookmarkEnd w:id="38"/>
      <w:bookmarkEnd w:id="39"/>
    </w:p>
    <w:p w14:paraId="0EDD0F13" w14:textId="77777777" w:rsidR="004B60DD" w:rsidRDefault="004B60DD" w:rsidP="004B60DD">
      <w:pPr>
        <w:pStyle w:val="NoSpacing"/>
      </w:pPr>
      <w:r w:rsidRPr="000A49CE">
        <w:rPr>
          <w:rtl/>
        </w:rPr>
        <w:t xml:space="preserve">تركز دراسة </w:t>
      </w:r>
      <w:sdt>
        <w:sdtPr>
          <w:rPr>
            <w:rtl/>
          </w:rPr>
          <w:id w:val="-2012289590"/>
          <w:citation/>
        </w:sdtPr>
        <w:sdtEndPr/>
        <w:sdtContent>
          <w:r>
            <w:rPr>
              <w:rtl/>
            </w:rPr>
            <w:fldChar w:fldCharType="begin"/>
          </w:r>
          <w:r>
            <w:instrText xml:space="preserve"> CITATION Alk232 \l 1033 </w:instrText>
          </w:r>
          <w:r>
            <w:rPr>
              <w:rtl/>
            </w:rPr>
            <w:fldChar w:fldCharType="separate"/>
          </w:r>
          <w:r>
            <w:rPr>
              <w:noProof/>
            </w:rPr>
            <w:t>(Alkhalaf, 2023)</w:t>
          </w:r>
          <w:r>
            <w:rPr>
              <w:rtl/>
            </w:rPr>
            <w:fldChar w:fldCharType="end"/>
          </w:r>
        </w:sdtContent>
      </w:sdt>
      <w:r w:rsidRPr="000A49CE">
        <w:rPr>
          <w:rtl/>
        </w:rPr>
        <w:t xml:space="preserve"> الحالة على كيفية استجابة إدارة الموارد البشرية في إحدى المؤسسات الصحية للعوامل المؤسسية الخارجية، لا سيما القوانين والأنظمة المتعلقة بالعمل. كما تسلط الضوء على أهمية الإدارة الاستراتيجية للموارد البشرية، ومدى تأثير تكامل الاستراتيجيات بين إدارة الأعمال وإدارة الموارد البشرية على نجاح المؤسسة ونموها واستدامتها. وتوضح الدراسة مدى فاعلية ممارسات الموارد البشرية المبنية على أفضل المعايير، وأهمية مراعاة السياق التنظيمي والمؤسسي لضمان نجاح هذه الممارسات. وتتناول الحالة مجموعة الدكتور سليمان الحبيب الطبية، بوصفها إحدى الجهات الرائدة في تقديم الرعاية الصحية في المملكة العربية السعودية، مستعرضة موقعها الحالي، ثم تقدم خلفية مفصلة عن السياق الإقليمي الذي تعمل فيه المجموعة، لفهم العوامل الخارجية التي تؤثر على قراراتها وسياساتها في إدارة الموارد البشرية. وتتناول الدراسة أيضًا شرحًا وافيًا لنظام التوطين، وأسباب تعثر تطبيقه، وردود أفعال أصحاب الأعمال، بالإضافة إلى جهود صناع القرار لتعزيز فاعليته. وفي الختام، توضح الحالة كيف تفاعلت المجموعة مع البيئة الخارجية من خلال استراتيجية واضحة لإدارة الموارد البشرية، نجحت من خلالها في التكيف مع قوانين العمل المحلية وتحقيق التميز في القطاع الصحي. ومن خلال تحليل هذه الحالة، يُدرك القارئ أهمية الإدارة الاستراتيجية للموارد البشرية كركيزة أساسية لبناء مؤسسات قوية، ويستوعب أثر العوامل المؤسسية والقوانين العمالية على هذا المجال، كما يتعرف على أهمية تبني نهج إداري قائم على تحليل السياق، ويقيّم قدرة النظريات الشمولية في الموارد البشرية على تحقيق ميزة تنافسية وأداء </w:t>
      </w:r>
      <w:r w:rsidRPr="000A49CE">
        <w:rPr>
          <w:rtl/>
        </w:rPr>
        <w:lastRenderedPageBreak/>
        <w:t>مؤسسي متميز، إضافة إلى مناقشة قوانين التوطين وضرورة إشراك جميع الأطراف المعنية في صياغة السياسات واتخاذ القرار</w:t>
      </w:r>
      <w:r w:rsidRPr="000A49CE">
        <w:t>.</w:t>
      </w:r>
    </w:p>
    <w:p w14:paraId="0EDD0F14" w14:textId="77777777" w:rsidR="004B60DD" w:rsidRDefault="004B60DD" w:rsidP="004B60DD">
      <w:pPr>
        <w:pStyle w:val="NoSpacing"/>
      </w:pPr>
      <w:r w:rsidRPr="0037735E">
        <w:rPr>
          <w:rtl/>
          <w:lang w:bidi="ar-SA"/>
        </w:rPr>
        <w:t xml:space="preserve">تهدف ورقة </w:t>
      </w:r>
      <w:r>
        <w:rPr>
          <w:rFonts w:hint="cs"/>
          <w:rtl/>
          <w:lang w:bidi="ar-SA"/>
        </w:rPr>
        <w:t xml:space="preserve"> </w:t>
      </w:r>
      <w:sdt>
        <w:sdtPr>
          <w:rPr>
            <w:rtl/>
          </w:rPr>
          <w:id w:val="-578904703"/>
          <w:citation/>
        </w:sdtPr>
        <w:sdtEndPr/>
        <w:sdtContent>
          <w:r>
            <w:rPr>
              <w:rtl/>
            </w:rPr>
            <w:fldChar w:fldCharType="begin"/>
          </w:r>
          <w:r>
            <w:instrText xml:space="preserve"> CITATION Agg25 \l 1033 </w:instrText>
          </w:r>
          <w:r>
            <w:rPr>
              <w:rtl/>
            </w:rPr>
            <w:fldChar w:fldCharType="separate"/>
          </w:r>
          <w:r>
            <w:rPr>
              <w:noProof/>
            </w:rPr>
            <w:t>(Aggarwal, 2025)</w:t>
          </w:r>
          <w:r>
            <w:rPr>
              <w:rtl/>
            </w:rPr>
            <w:fldChar w:fldCharType="end"/>
          </w:r>
        </w:sdtContent>
      </w:sdt>
      <w:r w:rsidRPr="0037735E">
        <w:rPr>
          <w:rtl/>
          <w:lang w:bidi="ar-SA"/>
        </w:rPr>
        <w:t xml:space="preserve"> البحثية إلى تحليل الأدبيات المتعلقة بالبيئة والمجتمع والحوكمة</w:t>
      </w:r>
      <w:r w:rsidRPr="0037735E">
        <w:t xml:space="preserve"> (ESG) </w:t>
      </w:r>
      <w:r w:rsidRPr="0037735E">
        <w:rPr>
          <w:rtl/>
          <w:lang w:bidi="ar-SA"/>
        </w:rPr>
        <w:t>بشكل منهجي، من خلال استكشاف المسبّبات والقرارات والنتائج</w:t>
      </w:r>
      <w:r w:rsidRPr="0037735E">
        <w:t xml:space="preserve"> (ADO) </w:t>
      </w:r>
      <w:r w:rsidRPr="0037735E">
        <w:rPr>
          <w:rtl/>
          <w:lang w:bidi="ar-SA"/>
        </w:rPr>
        <w:t>التي تؤثر على الاستثمارات المرتبطة بـ</w:t>
      </w:r>
      <w:r w:rsidRPr="0037735E">
        <w:t xml:space="preserve"> ESG</w:t>
      </w:r>
      <w:r w:rsidRPr="0037735E">
        <w:rPr>
          <w:rtl/>
          <w:lang w:bidi="ar-SA"/>
        </w:rPr>
        <w:t>، بالإضافة إلى استعراض النظريات المستخدمة في هذا المجال، وسنوات النشر، والمواقع الجغرافية، والمجلات العلمية التي نُشرت فيها هذه الدراسات. كما تسلط الدراسة الضوء على الفجوات البحثية الملحوظة في هذا الحقل، وتتناول الآثار النظرية والتطبيقية للإدارة، وتقترح اتجاهات بحثية مستقبلية في مجال</w:t>
      </w:r>
      <w:r w:rsidRPr="0037735E">
        <w:t xml:space="preserve"> ESG. </w:t>
      </w:r>
      <w:r w:rsidRPr="0037735E">
        <w:rPr>
          <w:rtl/>
          <w:lang w:bidi="ar-SA"/>
        </w:rPr>
        <w:t>وتوضح الورقة كيف تتكامل مكونات</w:t>
      </w:r>
      <w:r w:rsidRPr="0037735E">
        <w:t xml:space="preserve"> ESG </w:t>
      </w:r>
      <w:r w:rsidRPr="0037735E">
        <w:rPr>
          <w:rtl/>
          <w:lang w:bidi="ar-SA"/>
        </w:rPr>
        <w:t>مع أهداف التنمية المستدامة الصادرة عن الأمم المتحدة</w:t>
      </w:r>
      <w:r w:rsidRPr="0037735E">
        <w:t xml:space="preserve"> (SDGs). </w:t>
      </w:r>
      <w:r w:rsidRPr="0037735E">
        <w:rPr>
          <w:rtl/>
          <w:lang w:bidi="ar-SA"/>
        </w:rPr>
        <w:t>اعتمدت الدراسة على إطار عمل</w:t>
      </w:r>
      <w:r w:rsidRPr="0037735E">
        <w:t xml:space="preserve"> PRISMA </w:t>
      </w:r>
      <w:r w:rsidRPr="0037735E">
        <w:rPr>
          <w:rtl/>
          <w:lang w:bidi="ar-SA"/>
        </w:rPr>
        <w:t>لاختيار المقالات من قاعدة بيانات</w:t>
      </w:r>
      <w:r w:rsidRPr="0037735E">
        <w:t xml:space="preserve"> Scopus</w:t>
      </w:r>
      <w:r w:rsidRPr="0037735E">
        <w:rPr>
          <w:rtl/>
          <w:lang w:bidi="ar-SA"/>
        </w:rPr>
        <w:t>، حيث شملت 386 مقالة نُشرت بين عامي 2011 و2024، باستخدام مصطلحات بحث شاملة مثل "التمويل المستدام"، و"التمويل الأخضر"، و"السندات الاجتماعية"، و"السندات الزرقاء"، و"التمويل الاجتماعي"، و"المسؤولية الاجتماعية للشركات". وقد كشفت النتائج أن المؤسسات تستخدم السندات الخضراء والزرقاء والقروض الخضراء لمواجهة التحديات البيئية، بينما تلجأ إلى السندات الاجتماعية والاستثمارات المسؤولة اجتماعيًا لمعالجة القضايا المجتمعية، وتعتمد على ممارسات المسؤولية الاجتماعية ورأس المال الفكري لتعزيز الحوكمة المؤسسية. وتبرز الدراسة أهمية هذه النتائج في توجيه السياسات العامة نحو وضع أطر تنظيمية شاملة تدعم ممارسات</w:t>
      </w:r>
      <w:r w:rsidRPr="0037735E">
        <w:t xml:space="preserve"> ESG</w:t>
      </w:r>
      <w:r w:rsidRPr="0037735E">
        <w:rPr>
          <w:rtl/>
          <w:lang w:bidi="ar-SA"/>
        </w:rPr>
        <w:t>، إلى جانب منح الحوافز والامتيازات الضريبية للشركات التي تتبنى هذه المبادئ. وتتميز هذه الدراسة بأصالتها من خلال تقديم تحليل شامل ومتكامل لأدبيات</w:t>
      </w:r>
      <w:r w:rsidRPr="0037735E">
        <w:t xml:space="preserve"> ESG </w:t>
      </w:r>
      <w:r w:rsidRPr="0037735E">
        <w:rPr>
          <w:rtl/>
          <w:lang w:bidi="ar-SA"/>
        </w:rPr>
        <w:t>باستخدام إطار</w:t>
      </w:r>
      <w:r w:rsidRPr="0037735E">
        <w:t xml:space="preserve"> ADO</w:t>
      </w:r>
      <w:r w:rsidRPr="0037735E">
        <w:rPr>
          <w:rtl/>
          <w:lang w:bidi="ar-SA"/>
        </w:rPr>
        <w:t>، مما يوفر رؤية جديدة تربط بين الاستثمارات المستدامة والأهداف العالمية للتنمية المستدامة</w:t>
      </w:r>
      <w:r w:rsidRPr="0037735E">
        <w:t>.</w:t>
      </w:r>
    </w:p>
    <w:p w14:paraId="0EDD0F15" w14:textId="77777777" w:rsidR="004B60DD" w:rsidRPr="005D0F9F" w:rsidRDefault="004B60DD" w:rsidP="004B60DD">
      <w:pPr>
        <w:pStyle w:val="NoSpacing"/>
      </w:pPr>
      <w:r w:rsidRPr="00DE3BF9">
        <w:rPr>
          <w:rtl/>
          <w:lang w:bidi="ar-SA"/>
        </w:rPr>
        <w:t xml:space="preserve">في ظل بيئة أعمال تنافسية، يُدفع مربو النحل إلى ضرورة خلق قيمة مضافة تتفوق على المنافسين بشكل يصعب تقليده، وهو ما يتطلب توجيه الموارد نحو حلول ابتكارية تضمن استمرارية النشاط وتحقيق أداء اقتصادي مميز. وتشمل هذه الحلول برامج ضمان جودة العسل، وتطوير المنتجات، وتصنيع منتجات عسل ذات قيمة مضافة تُترجم إلى أداء تجاري ناجح. ومع إمكانية تعزيز قدرات قطاع تربية النحل في جمهورية صربيا وتوسيع صادراته إلى ما يتجاوز السوق المحلية، تبرز الحاجة إلى دراسة العوامل المؤثرة على أداء مربّي النحل من الناحية الاقتصادية. ومن هذا المنطلق، تهدف هذه الدراسة إلى تحليل الأثر المباشر وغير المباشر لكل من البيئة التنافسية – بما في ذلك الفرص والتهديدات في السوق والعلاقات مع المستهلكين – والأداء الابتكاري في مجالات التسويق، وتصميم المنتجات، وجودة العسل، والتوزيع، والإنتاج، وسرعة </w:t>
      </w:r>
      <w:r w:rsidRPr="00DE3BF9">
        <w:rPr>
          <w:rtl/>
          <w:lang w:bidi="ar-SA"/>
        </w:rPr>
        <w:lastRenderedPageBreak/>
        <w:t>الوصول إلى السوق، على الأداء التجاري لمربي النحل في صربيا. وقد استخدمت الدراسة منهج النمذجة الهيكلية</w:t>
      </w:r>
      <w:r w:rsidRPr="00DE3BF9">
        <w:t xml:space="preserve"> SEM </w:t>
      </w:r>
      <w:r w:rsidRPr="00DE3BF9">
        <w:rPr>
          <w:rtl/>
          <w:lang w:bidi="ar-SA"/>
        </w:rPr>
        <w:t>من خلال أداة</w:t>
      </w:r>
      <w:r w:rsidRPr="00DE3BF9">
        <w:t xml:space="preserve"> SmartPLS</w:t>
      </w:r>
      <w:r w:rsidRPr="00DE3BF9">
        <w:rPr>
          <w:rtl/>
          <w:lang w:bidi="ar-SA"/>
        </w:rPr>
        <w:t xml:space="preserve">، وأكدت نتائج النموذج أن كلًا من البيئة التنافسية والأداء الابتكاري يؤثران بشكل إيجابي مباشر وذو دلالة إحصائية على أداء نشاط تربية النحل. كما تم إثبات وجود تأثير غير مباشر ضعيف للبيئة التنافسية على أداء مربّي النحل. وأظهر النموذج درجة عالية من التفسير، حيث فسر نسبة كبيرة من التباين في الأداء التجاري من خلال متغيرين مستقلين: البيئة التنافسية والأداء الابتكاري. ونظرًا لعدم وجود دراسات سابقة تربط بين البيئة التنافسية، والأداء الابتكاري، والأداء التجاري في قطاع تربية النحل الصربي، فإن هذه النتائج تكتسب أهمية خاصة للباحثين، والمنظمات المعنية بالنحل، والجهات الاستشارية </w:t>
      </w:r>
      <w:r w:rsidRPr="00DE3BF9">
        <w:rPr>
          <w:rFonts w:hint="cs"/>
          <w:rtl/>
          <w:lang w:bidi="ar-SA"/>
        </w:rPr>
        <w:t>الزراعية</w:t>
      </w:r>
      <w:r w:rsidRPr="005D0F9F">
        <w:t xml:space="preserve">. </w:t>
      </w:r>
      <w:sdt>
        <w:sdtPr>
          <w:rPr>
            <w:rtl/>
          </w:rPr>
          <w:id w:val="-2109647352"/>
          <w:citation/>
        </w:sdtPr>
        <w:sdtEndPr/>
        <w:sdtContent>
          <w:r w:rsidRPr="005D0F9F">
            <w:rPr>
              <w:rtl/>
            </w:rPr>
            <w:fldChar w:fldCharType="begin"/>
          </w:r>
          <w:r w:rsidRPr="005D0F9F">
            <w:instrText xml:space="preserve"> CITATION Čav23 \l 1033 </w:instrText>
          </w:r>
          <w:r w:rsidRPr="005D0F9F">
            <w:rPr>
              <w:rtl/>
            </w:rPr>
            <w:fldChar w:fldCharType="separate"/>
          </w:r>
          <w:r>
            <w:rPr>
              <w:noProof/>
            </w:rPr>
            <w:t>(Čavlin, 2023)</w:t>
          </w:r>
          <w:r w:rsidRPr="005D0F9F">
            <w:rPr>
              <w:rtl/>
            </w:rPr>
            <w:fldChar w:fldCharType="end"/>
          </w:r>
        </w:sdtContent>
      </w:sdt>
    </w:p>
    <w:p w14:paraId="0EDD0F16" w14:textId="77777777" w:rsidR="004B60DD" w:rsidRPr="005D0F9F" w:rsidRDefault="004B60DD" w:rsidP="004B60DD">
      <w:pPr>
        <w:pStyle w:val="NoSpacing"/>
        <w:rPr>
          <w:rtl/>
        </w:rPr>
      </w:pPr>
      <w:r w:rsidRPr="005D0F9F">
        <w:rPr>
          <w:rtl/>
          <w:lang w:bidi="ar-SA"/>
        </w:rPr>
        <w:t xml:space="preserve">تتميّز منطقة الشرق الأوسط بارتفاع نسبة الشباب في التركيبة السكانية، إلا أنها تواجه تحديات اقتصادية غير مستقرة، ما يضع مسؤولية كبيرة على التعليم العالي في دعم التنمية الوطنية من خلال تزويد الأجيال بالمعرفة والمهارات، عبر تطوير مناهج دراسية متراكمة ومتجددة. وتُعد الصيدلة، كغيرها من التخصصات، مجالًا ديناميكيًا يتطلب تحديثًا مستمرًا لضمان استمرارية المهنة وتزويد الخريجين بالمهارات الحديثة. يعرض هذا المقال استراتيجية مقترحة لتطوير منهج الصيدلة، تنطلق من فهم الوضع الراهن في الجامعات من حيث التوافق مع الاعتمادات المحلية والدولية، واحتياجات سوق العمل. وتشمل هذه الاستراتيجية تطوير المنهج على مستويي البرنامج والمقررات الدراسية، وقد تم تطبيقها على برامج الصيدلة في دولة الإمارات العربية المتحدة. ومن خلال التحليل، تم الوصول إلى عدة توصيات لتحسين المناهج. فعلى مستوى الجامعة الفردية، هناك حاجة لتعزيز الموضوعات السريرية في الخطة الدراسية بما يتماشى مع معايير الاعتماد الدولي ورؤية الدولة، وذلك بالاستناد إلى تحليل أعمق لسوق العمل وآراء أصحاب المصلحة داخل الدولة. أما على المستوى الوطني، فتوصي الدراسة بتوحيد إجمالي عدد الساعات المعتمدة المطلوبة للحصول على الدرجة الأكاديمية بين الجامعات، مع وضع حدّ لساعات التدريب السريري المعتمدة. وتتمتع هذه الاستراتيجية بقابلية التعميم لتشمل دولًا أخرى في منطقة الشرق الأوسط، بما يسهم في رفع كفاءة مخرجات التعليم الصيدلي </w:t>
      </w:r>
      <w:r w:rsidRPr="005D0F9F">
        <w:rPr>
          <w:rFonts w:hint="cs"/>
          <w:rtl/>
        </w:rPr>
        <w:t>إقليميًا</w:t>
      </w:r>
      <w:r w:rsidRPr="005D0F9F">
        <w:t xml:space="preserve">. </w:t>
      </w:r>
      <w:sdt>
        <w:sdtPr>
          <w:rPr>
            <w:rtl/>
          </w:rPr>
          <w:id w:val="-1016158327"/>
          <w:citation/>
        </w:sdtPr>
        <w:sdtEndPr/>
        <w:sdtContent>
          <w:r w:rsidRPr="005D0F9F">
            <w:rPr>
              <w:rtl/>
            </w:rPr>
            <w:fldChar w:fldCharType="begin"/>
          </w:r>
          <w:r w:rsidRPr="005D0F9F">
            <w:instrText xml:space="preserve"> CITATION Hat22 \l 1033 </w:instrText>
          </w:r>
          <w:r w:rsidRPr="005D0F9F">
            <w:rPr>
              <w:rtl/>
            </w:rPr>
            <w:fldChar w:fldCharType="separate"/>
          </w:r>
          <w:r>
            <w:rPr>
              <w:noProof/>
            </w:rPr>
            <w:t>(Hatahet, 2022)</w:t>
          </w:r>
          <w:r w:rsidRPr="005D0F9F">
            <w:rPr>
              <w:rtl/>
            </w:rPr>
            <w:fldChar w:fldCharType="end"/>
          </w:r>
        </w:sdtContent>
      </w:sdt>
      <w:r w:rsidRPr="005D0F9F">
        <w:rPr>
          <w:rFonts w:hint="cs"/>
          <w:rtl/>
        </w:rPr>
        <w:t xml:space="preserve"> </w:t>
      </w:r>
    </w:p>
    <w:p w14:paraId="0EDD0F17" w14:textId="77777777" w:rsidR="004B60DD" w:rsidRPr="005D0F9F" w:rsidRDefault="004B60DD" w:rsidP="004B60DD">
      <w:pPr>
        <w:pStyle w:val="NoSpacing"/>
      </w:pPr>
      <w:r w:rsidRPr="005D0F9F">
        <w:rPr>
          <w:rtl/>
          <w:lang w:bidi="ar-SA"/>
        </w:rPr>
        <w:t xml:space="preserve">شهد كوكب الأرض في العقود الأخيرة تغيرات مناخية حادة دفعت القادة العالميين وصنّاع السياسات ورواد الأعمال والبيئيين والأكاديميين والعلماء، منذ عام 1987، إلى توحيد الجهود من أجل تحقيق التنمية المستدامة. ولا تقتصر هذه التنمية على الاستدامة الاقتصادية فحسب، بل تمتد لتشمل الجوانب البيئية والاجتماعية والحوكمة المؤسسية، حيث تُشجع على الإنتاج النظيف، والاستهلاك المسؤول، وتطوير بنى تحتية مستدامة. وفي هذا السياق، يهدف هذا المقال إلى اقتراح إطار تنموي موجّه نحو الاستدامة في المنشآت الصغيرة والمتوسطة العاملة في قطاع الأغذية، من خلال دمج أساليب </w:t>
      </w:r>
      <w:r w:rsidRPr="005D0F9F">
        <w:rPr>
          <w:rtl/>
          <w:lang w:bidi="ar-SA"/>
        </w:rPr>
        <w:lastRenderedPageBreak/>
        <w:t xml:space="preserve">تقييم دورة الحياة </w:t>
      </w:r>
      <w:r w:rsidRPr="005D0F9F">
        <w:t xml:space="preserve">(LCA) </w:t>
      </w:r>
      <w:r w:rsidRPr="005D0F9F">
        <w:rPr>
          <w:rtl/>
          <w:lang w:bidi="ar-SA"/>
        </w:rPr>
        <w:t xml:space="preserve">واستراتيجيات البيئة والمجتمع والحوكمة </w:t>
      </w:r>
      <w:r w:rsidRPr="005D0F9F">
        <w:t xml:space="preserve">(ESG) </w:t>
      </w:r>
      <w:r w:rsidRPr="005D0F9F">
        <w:rPr>
          <w:rtl/>
          <w:lang w:bidi="ar-SA"/>
        </w:rPr>
        <w:t>كعناصر محورية لتقليل انبعاثات ثاني أكسيد الكربون وتعزيز الكفاءة التشغيلية. وقد اعتمدت المنهجية على تحليل مقارن للاستراتيجيات المطبّقة بين عامي 2019 و2023، مدعومًا ببيانات كمية أظهرت انخفاضًا بنسبة 20% في التكاليف التشغيلية، وزيادة بنسبة 10% في الحصة السوقية، وارتفاعًا بنسبة 25% في الإنتاجية لدى الشركات التي تبنّت التقنيات النظيفة. وتُقدّم هذه الدراسة مساهمة فاعلة في ميدان الاستدامة المؤسسية، من خلال طرح نموذج قابل للتكيّف والتطبيق في مختلف البيئات الإقليمية، مما يعزز من الابتكار والمرونة المؤسسية ضمن سياق عالمي يتطلب جهودًا جماعية لتحقيق أهداف التنمية المستدامة</w:t>
      </w:r>
      <w:sdt>
        <w:sdtPr>
          <w:rPr>
            <w:rFonts w:hint="cs"/>
            <w:rtl/>
          </w:rPr>
          <w:id w:val="-962644809"/>
          <w:citation/>
        </w:sdtPr>
        <w:sdtEndPr/>
        <w:sdtContent>
          <w:r w:rsidRPr="005D0F9F">
            <w:rPr>
              <w:rtl/>
            </w:rPr>
            <w:fldChar w:fldCharType="begin"/>
          </w:r>
          <w:r w:rsidRPr="005D0F9F">
            <w:instrText xml:space="preserve"> CITATION Lop24 \l 1033 </w:instrText>
          </w:r>
          <w:r w:rsidRPr="005D0F9F">
            <w:rPr>
              <w:rtl/>
            </w:rPr>
            <w:fldChar w:fldCharType="separate"/>
          </w:r>
          <w:r>
            <w:rPr>
              <w:noProof/>
            </w:rPr>
            <w:t xml:space="preserve"> (Lopez, 2024)</w:t>
          </w:r>
          <w:r w:rsidRPr="005D0F9F">
            <w:rPr>
              <w:rtl/>
            </w:rPr>
            <w:fldChar w:fldCharType="end"/>
          </w:r>
        </w:sdtContent>
      </w:sdt>
      <w:r w:rsidRPr="005D0F9F">
        <w:rPr>
          <w:rFonts w:hint="cs"/>
          <w:rtl/>
        </w:rPr>
        <w:t xml:space="preserve"> </w:t>
      </w:r>
      <w:r w:rsidRPr="005D0F9F">
        <w:t>.</w:t>
      </w:r>
    </w:p>
    <w:p w14:paraId="0EDD0F18" w14:textId="77777777" w:rsidR="004B60DD" w:rsidRPr="00CC0DF6" w:rsidRDefault="004B60DD" w:rsidP="004B60DD">
      <w:pPr>
        <w:pStyle w:val="NoSpacing"/>
      </w:pPr>
      <w:r w:rsidRPr="00CC0DF6">
        <w:rPr>
          <w:rtl/>
        </w:rPr>
        <w:t xml:space="preserve">سلطت أبحاث سابقة الضوء على قضايا العمل المتعلقة بالنوع الاجتماعي، وقدمت توصيات لتعزيز المساواة بين الجنسين داخل قطاع السياحة والضيافة. ومع ذلك، لا يزال من غير الواضح إلى أي مدى تم تحويل هذه المعرفة الأكاديمية إلى ممارسات فعلية داخل المؤسسات السياحية. تهدف هذه الدراسة إلى سد هذه الفجوة من خلال مراجعة منهجية عملية تقارن بين الأدبيات الأكاديمية والأدبيات الرمادية الصادرة عن المنظمات غير الحكومية والشركات السياحية العامة الكبرى، وذلك بهدف تحديد الفجوات بين المعرفة الأكاديمية والتطبيق العملي، وبين الخطاب والممارسة. وقد أظهرت نتائج تحليل 102 دراسة أكاديمية و122 وثيقة رمادية أن كلا النوعين من الأدبيات يفتقران إلى التركيز على الأبعاد الثقافية والفردية في فهم عملية التحيز الجندري، في حين تُمنح الأولوية لنظم التنظيم الاقتصادي والسياقات في الدول المتقدمة. كما تشير المراجعة إلى محدودية تفاصيل تقارير الشركات فيما يتعلق بممارسات المساواة بين الجنسين، وتدعو إلى وضع معايير واضحة أو لوائح تنظيمية لقياس وتوثيق هذه الممارسات في قطاع السياحة. وتُسهم هذه الدراسة في توسيع المعرفة من خلال ربط التطور الأكاديمي بالتطبيقات الواقعية، بهدف بناء بيئة عمل عادلة ومستدامة للنساء والرجال في صناعة </w:t>
      </w:r>
      <w:r w:rsidRPr="00CC0DF6">
        <w:rPr>
          <w:rFonts w:hint="cs"/>
          <w:rtl/>
        </w:rPr>
        <w:t>السياحة</w:t>
      </w:r>
      <w:r>
        <w:t xml:space="preserve">. </w:t>
      </w:r>
      <w:sdt>
        <w:sdtPr>
          <w:rPr>
            <w:rtl/>
          </w:rPr>
          <w:id w:val="2145470824"/>
          <w:citation/>
        </w:sdtPr>
        <w:sdtEndPr/>
        <w:sdtContent>
          <w:r>
            <w:rPr>
              <w:rtl/>
            </w:rPr>
            <w:fldChar w:fldCharType="begin"/>
          </w:r>
          <w:r>
            <w:instrText xml:space="preserve"> CITATION JeJ23 \l 1033 </w:instrText>
          </w:r>
          <w:r>
            <w:rPr>
              <w:rtl/>
            </w:rPr>
            <w:fldChar w:fldCharType="separate"/>
          </w:r>
          <w:r>
            <w:rPr>
              <w:noProof/>
            </w:rPr>
            <w:t>(Je, 2023)</w:t>
          </w:r>
          <w:r>
            <w:rPr>
              <w:rtl/>
            </w:rPr>
            <w:fldChar w:fldCharType="end"/>
          </w:r>
        </w:sdtContent>
      </w:sdt>
      <w:r>
        <w:rPr>
          <w:rFonts w:hint="cs"/>
          <w:rtl/>
        </w:rPr>
        <w:t xml:space="preserve"> </w:t>
      </w:r>
    </w:p>
    <w:p w14:paraId="0EDD0F19" w14:textId="77777777" w:rsidR="004B60DD" w:rsidRDefault="004B60DD" w:rsidP="004B60DD">
      <w:pPr>
        <w:pStyle w:val="NoSpacing"/>
        <w:rPr>
          <w:rtl/>
        </w:rPr>
      </w:pPr>
      <w:r w:rsidRPr="005D0F9F">
        <w:rPr>
          <w:rtl/>
        </w:rPr>
        <w:t xml:space="preserve">تسببت جائحة كوفيد-19 في اضطراب أنماط الفاقد والهدر الغذائي على مستوى العالم نتيجة لتغيرات غير متوقعة في الكميات والتركيبة. وتتناول هذه المراجعة العلمية تأثيرات الجائحة على إنتاج وإدارة الفاقد الغذائي في منطقة الشرق الأدنى وشمال أفريقيا (نينا) خلال مرحلة التعافي، من خلال تحليل شامل للهدر الغذائي على مستوى الأسر، واستكشاف مدى دمج مبادئ الاقتصاد الدائري في الاستراتيجيات والسياسات المتبعة، إضافة إلى طرح آفاق بحثية مستقبلية في هذا المجال الحيوي. وتتمثل أبرز النتائج في ثلاث نقاط رئيسية: أولًا، تؤكد الدراسة أن الهدر الغذائي يمثل تحديًا جوهريًا في منطقة نينا، لما له من آثار سلبية على الأمن الغذائي وندرة المياه وتدهور البيئة. ثانيًا، كشفت الجائحة عن سلوكيات استهلاكية </w:t>
      </w:r>
      <w:r w:rsidRPr="005D0F9F">
        <w:rPr>
          <w:rtl/>
        </w:rPr>
        <w:lastRenderedPageBreak/>
        <w:t>متناقضة، حيث أدى الشراء بدافع الهلع في بدايتها إلى زيادة الهدر، بينما شجعت الصعوبات الاقتصادية لاحقًا على تبني ممارسات أكثر استدامة مثل تخطيط الوجبات والاستفادة من بقايا الطعام. ثالثًا، يُظهر اعتماد نموذج الاقتصاد الدائري إمكانات واعدة في تقليص الهدر وتعزيز الاستدامة، إلا أن تطبيقه لا يزال محدودًا في المنطقة. وتخلص الدراسة إلى أن الجائحة، رغم ما فرضته من تحديات، قدّمت فرصة لإعادة التفكير في سياسات إدارة الفاقد الغذائي، من خلال تعزيز المرونة وتبني ممارسات مستدامة طويلة المدى. وتؤكد الورقة على أهمية استثمار التحول في الوعي العام نحو الاستدامة، بالتوازي مع معالجة العوامل النظامية المسببة للهدر، من أجل بناء منظومات غذائية أكثر كفاءة وقدرة على مواجهة الأزمات المستقبلية</w:t>
      </w:r>
      <w:sdt>
        <w:sdtPr>
          <w:rPr>
            <w:rFonts w:hint="cs"/>
            <w:rtl/>
          </w:rPr>
          <w:id w:val="-461581244"/>
          <w:citation/>
        </w:sdtPr>
        <w:sdtEndPr/>
        <w:sdtContent>
          <w:r>
            <w:rPr>
              <w:rtl/>
            </w:rPr>
            <w:fldChar w:fldCharType="begin"/>
          </w:r>
          <w:r>
            <w:instrText xml:space="preserve"> CITATION Cha24 \l 1033 </w:instrText>
          </w:r>
          <w:r>
            <w:rPr>
              <w:rtl/>
            </w:rPr>
            <w:fldChar w:fldCharType="separate"/>
          </w:r>
          <w:r>
            <w:rPr>
              <w:noProof/>
            </w:rPr>
            <w:t xml:space="preserve"> (Chatti, 2024)</w:t>
          </w:r>
          <w:r>
            <w:rPr>
              <w:rtl/>
            </w:rPr>
            <w:fldChar w:fldCharType="end"/>
          </w:r>
        </w:sdtContent>
      </w:sdt>
      <w:r>
        <w:rPr>
          <w:rFonts w:hint="cs"/>
          <w:rtl/>
        </w:rPr>
        <w:t xml:space="preserve"> </w:t>
      </w:r>
      <w:r w:rsidRPr="005D0F9F">
        <w:t>.</w:t>
      </w:r>
      <w:r>
        <w:rPr>
          <w:rFonts w:hint="cs"/>
          <w:rtl/>
        </w:rPr>
        <w:t xml:space="preserve"> </w:t>
      </w:r>
    </w:p>
    <w:p w14:paraId="0EDD0F1A" w14:textId="77777777" w:rsidR="004B60DD" w:rsidRPr="003E42A8" w:rsidRDefault="004B60DD" w:rsidP="004B60DD">
      <w:pPr>
        <w:pStyle w:val="NoSpacing"/>
      </w:pPr>
      <w:r w:rsidRPr="003E42A8">
        <w:rPr>
          <w:rtl/>
          <w:lang w:bidi="ar-SA"/>
        </w:rPr>
        <w:t>في ظل تصاعد ندرة الموارد، أصبحت التنمية المستدامة من خلال الابتكار ضرورة استراتيجية، لاسيما بالنسبة للمؤسسات الصغيرة والمتوسطة التي تعاني من محدودية الموارد. ومع ذلك، لا يُعد كل ابتكار مسؤولًا بطبيعته. وبالاستناد إلى نظرية الموارد ومنظور القدرات الديناميكية، تهدف هذه الدراسة إلى استكشاف كيف يُسهم الابتكار المسؤول في تحسين الأداء المستدام من خلال الأدوار الوسيطة المتتابعة لكل من المرونة التنظيمية والميزة التنافسية المستدامة. وقد تم جمع البيانات من 179 مؤسسة صغيرة ومتوسطة في ماليزيا باستخدام تصميم زمني متدرج على مرحلتين، وتم تحليلها باستخدام نمذجة المكونات الهرمية بطريقة أقل المربعات الجزئية</w:t>
      </w:r>
      <w:r w:rsidRPr="003E42A8">
        <w:t xml:space="preserve"> (PLS-HCM). </w:t>
      </w:r>
      <w:r w:rsidRPr="003E42A8">
        <w:rPr>
          <w:rtl/>
          <w:lang w:bidi="ar-SA"/>
        </w:rPr>
        <w:t>أظهرت النتائج أن الابتكار المسؤول يُعزز بشكل ملحوظ من مرونة المؤسسة، ما يؤدي إلى تقوية ميزتها التنافسية، وينعكس إيجابًا على أدائها في مجال الاستدامة. وتم نمذجة كل من الابتكار المسؤول والأداء المستدام كمتغيرات عليا مركبة متعددة الأبعاد. ويُثبت الإطار النظري المقترح قدرته التنبؤية العالية ويوضح الآليات الداخلية التي تمكّن المؤسسات الصغيرة والمتوسطة من تحويل الابتكار المسؤول إلى نتائج مستدامة. وتُسهم هذه الدراسة في سد الفجوة بين الجانب النظري والتطبيقي، كما تقدّم إرشادات عملية للمؤسسات الساعية إلى تحقيق توافق فعّال مع أهداف التنمية المستدامة</w:t>
      </w:r>
      <w:sdt>
        <w:sdtPr>
          <w:rPr>
            <w:rtl/>
          </w:rPr>
          <w:id w:val="-1107508339"/>
          <w:citation/>
        </w:sdtPr>
        <w:sdtEndPr/>
        <w:sdtContent>
          <w:r>
            <w:rPr>
              <w:rtl/>
            </w:rPr>
            <w:fldChar w:fldCharType="begin"/>
          </w:r>
          <w:r>
            <w:instrText xml:space="preserve"> CITATION Ooi25 \l 1033 </w:instrText>
          </w:r>
          <w:r>
            <w:rPr>
              <w:rtl/>
            </w:rPr>
            <w:fldChar w:fldCharType="separate"/>
          </w:r>
          <w:r>
            <w:rPr>
              <w:noProof/>
            </w:rPr>
            <w:t xml:space="preserve"> (Ooi, 2025)</w:t>
          </w:r>
          <w:r>
            <w:rPr>
              <w:rtl/>
            </w:rPr>
            <w:fldChar w:fldCharType="end"/>
          </w:r>
        </w:sdtContent>
      </w:sdt>
      <w:r w:rsidRPr="003E42A8">
        <w:t>.</w:t>
      </w:r>
    </w:p>
    <w:p w14:paraId="0EDD0F1B" w14:textId="77777777" w:rsidR="004B60DD" w:rsidRPr="00D508DD" w:rsidRDefault="004B60DD" w:rsidP="004B60DD">
      <w:pPr>
        <w:pStyle w:val="NoSpacing"/>
      </w:pPr>
      <w:r w:rsidRPr="00D508DD">
        <w:rPr>
          <w:rtl/>
          <w:lang w:bidi="ar-SA"/>
        </w:rPr>
        <w:t>يشهد العالم في الوقت الحاضر تسارعًا ملحوظًا في اعتماد أنظمة الطاقة الشمسية الكهروضوئية</w:t>
      </w:r>
      <w:r w:rsidRPr="00D508DD">
        <w:t xml:space="preserve"> (PV) </w:t>
      </w:r>
      <w:r w:rsidRPr="00D508DD">
        <w:rPr>
          <w:rtl/>
          <w:lang w:bidi="ar-SA"/>
        </w:rPr>
        <w:t xml:space="preserve">في مختلف المجالات، بما يشمل القطاعات الصناعية، والمباني السكنية والتجارية، والنقل، والمناطق الصحراوية، وإنارة الشوارع، وغيرها من التطبيقات. وتُعد أنظمة الطاقة الشمسية الكهروضوئية مصدرًا نظيفًا وموثوقًا للطاقة، لا ينضب بخلاف الوقود الأحفوري. وقد شهد سوق الطاقة نموًا سريعًا على مستوى العالم، حيث بلغت القدرات المركبة الجديدة والتراكمية حوالي 37.6 و139.6 جيجاوات على التوالي في عام 2017، ما يُمثل 53% و55% من مجمل الإضافات في الطاقة، الأمر الذي جعل هذا القطاع من الأسرع نموًا عالميًا. وتشير التوقعات إلى أن إجمالي التركيبات الكهروضوئية قد تجاوز 600 جيجاوات </w:t>
      </w:r>
      <w:r w:rsidRPr="00D508DD">
        <w:rPr>
          <w:rtl/>
          <w:lang w:bidi="ar-SA"/>
        </w:rPr>
        <w:lastRenderedPageBreak/>
        <w:t>عالميًا، ومن المتوقع أن يصل إلى 4500 جيجاوات بحلول عام 2050 نتيجة لسياسات واستراتيجيات داعمة في العديد من الدول. وفي عام 2021، أصبحت أكثر من ثلاثة أرباع الدول المتقدمة تحتوي على منظومة واحدة على الأقل للطاقة الشمسية. وتُقدم هذه المقالة مراجعة نقدية موسّعة لمساهمات أنظمة الطاقة الشمسية الكهروضوئية في تحقيق التنمية الوطنية، من خلال منهجية شاملة تبدأ من آليات التقاط الطاقة الشمسية على سطح الأرض، مرورًا بانخفاض الأسعار، وإدارة الأحمال، وانتهاءً بالآثار الاجتماعية والاقتصادية. وقد أظهرت الدراسة أن السياسات المتبعة في الدول الرائدة، مثل الإعفاءات الضريبية، والدعم الرأسمالي، ونظام القياس الصافي، وخفض ضريبة القيمة المضافة، وتعريفات التغذية</w:t>
      </w:r>
      <w:r w:rsidRPr="00D508DD">
        <w:t xml:space="preserve"> (FiTs)</w:t>
      </w:r>
      <w:r w:rsidRPr="00D508DD">
        <w:rPr>
          <w:rtl/>
          <w:lang w:bidi="ar-SA"/>
        </w:rPr>
        <w:t>، ومعايير الحصة من الطاقة المتجددة</w:t>
      </w:r>
      <w:r w:rsidRPr="00D508DD">
        <w:t xml:space="preserve"> (RPS)</w:t>
      </w:r>
      <w:r w:rsidRPr="00D508DD">
        <w:rPr>
          <w:rtl/>
          <w:lang w:bidi="ar-SA"/>
        </w:rPr>
        <w:t xml:space="preserve">، لعبت دورًا كبيرًا في تعزيز وتوسيع نطاق التركيب. كما أن الانخفاض الحاد في أسعار وحدات الطاقة الشمسية من 4731 دولار/واط في عام 2010 إلى 883 دولار/واط في عام 2020 أسهم بشكل كبير في تسريع وتيرة الاعتماد عليها. وبناءً على النتائج، من المتوقع أن يساهم التوسع العالمي في استخدام الطاقة الشمسية في خلق نحو 10 ملايين وظيفة دائمة </w:t>
      </w:r>
      <w:r w:rsidRPr="00D508DD">
        <w:rPr>
          <w:rFonts w:hint="cs"/>
          <w:rtl/>
          <w:lang w:bidi="ar-SA"/>
        </w:rPr>
        <w:t>سنويًا</w:t>
      </w:r>
      <w:r>
        <w:t xml:space="preserve">. </w:t>
      </w:r>
      <w:sdt>
        <w:sdtPr>
          <w:rPr>
            <w:rtl/>
          </w:rPr>
          <w:id w:val="-70745156"/>
          <w:citation/>
        </w:sdtPr>
        <w:sdtEndPr/>
        <w:sdtContent>
          <w:r>
            <w:rPr>
              <w:rtl/>
            </w:rPr>
            <w:fldChar w:fldCharType="begin"/>
          </w:r>
          <w:r>
            <w:instrText xml:space="preserve"> CITATION Ape22 \l 1033 </w:instrText>
          </w:r>
          <w:r>
            <w:rPr>
              <w:rtl/>
            </w:rPr>
            <w:fldChar w:fldCharType="separate"/>
          </w:r>
          <w:r>
            <w:rPr>
              <w:noProof/>
            </w:rPr>
            <w:t>(Apeh, 2022)</w:t>
          </w:r>
          <w:r>
            <w:rPr>
              <w:rtl/>
            </w:rPr>
            <w:fldChar w:fldCharType="end"/>
          </w:r>
        </w:sdtContent>
      </w:sdt>
      <w:r>
        <w:rPr>
          <w:rFonts w:hint="cs"/>
          <w:rtl/>
        </w:rPr>
        <w:t xml:space="preserve">  </w:t>
      </w:r>
    </w:p>
    <w:p w14:paraId="0EDD0F1C" w14:textId="77777777" w:rsidR="004B60DD" w:rsidRDefault="004B60DD" w:rsidP="004B60DD">
      <w:pPr>
        <w:pStyle w:val="NoSpacing"/>
        <w:rPr>
          <w:rtl/>
        </w:rPr>
      </w:pPr>
      <w:r w:rsidRPr="00242BEA">
        <w:rPr>
          <w:rtl/>
        </w:rPr>
        <w:t xml:space="preserve">تهدف دراسة </w:t>
      </w:r>
      <w:sdt>
        <w:sdtPr>
          <w:rPr>
            <w:rtl/>
          </w:rPr>
          <w:id w:val="-569348335"/>
          <w:citation/>
        </w:sdtPr>
        <w:sdtEndPr/>
        <w:sdtContent>
          <w:r>
            <w:rPr>
              <w:rtl/>
            </w:rPr>
            <w:fldChar w:fldCharType="begin"/>
          </w:r>
          <w:r>
            <w:instrText xml:space="preserve"> CITATION Tet25 \l 1033 </w:instrText>
          </w:r>
          <w:r>
            <w:rPr>
              <w:rtl/>
            </w:rPr>
            <w:fldChar w:fldCharType="separate"/>
          </w:r>
          <w:r>
            <w:rPr>
              <w:noProof/>
            </w:rPr>
            <w:t>(Tetteh, 2025)</w:t>
          </w:r>
          <w:r>
            <w:rPr>
              <w:rtl/>
            </w:rPr>
            <w:fldChar w:fldCharType="end"/>
          </w:r>
        </w:sdtContent>
      </w:sdt>
      <w:r w:rsidRPr="00242BEA">
        <w:rPr>
          <w:rtl/>
        </w:rPr>
        <w:t>إلى تحقيق ثلاثة أهداف رئيسية: أولًا، مراجعة الأدبيات الحالية المتعلقة بالعوامل المحفزة لتبني ممارسات اللوجستيات الخضراء</w:t>
      </w:r>
      <w:r w:rsidRPr="00242BEA">
        <w:t xml:space="preserve"> (GLPs)</w:t>
      </w:r>
      <w:r w:rsidRPr="00242BEA">
        <w:rPr>
          <w:rtl/>
        </w:rPr>
        <w:t>؛ ثانيًا، اقتراح إطار مفاهيمي فعّال لتطبيق تلك الممارسات؛ وثالثًا، تقديم توجهات استراتيجية تدعم تطوير البحث العلمي في مجال اللوجستيات الخضراء. وبالاستناد إلى مراجعة شاملة للأدبيات ذات الصلة، وضمن إطار نظرية التعلم الاجتماعي، طورت الدراسة نموذجًا مفاهيميًا يضع القيادة الأخلاقية في سلسلة التوريد</w:t>
      </w:r>
      <w:r w:rsidRPr="00242BEA">
        <w:t xml:space="preserve"> (SCEL) </w:t>
      </w:r>
      <w:r w:rsidRPr="00242BEA">
        <w:rPr>
          <w:rtl/>
        </w:rPr>
        <w:t>كعامل أساسي في بناء الكفاءات البيئية الجوهرية</w:t>
      </w:r>
      <w:r w:rsidRPr="00242BEA">
        <w:t xml:space="preserve"> (GCC)</w:t>
      </w:r>
      <w:r w:rsidRPr="00242BEA">
        <w:rPr>
          <w:rtl/>
        </w:rPr>
        <w:t xml:space="preserve">، والتي تُعد بدورها مُمكنًا رئيسيًا لتبني وتطبيق ممارسات اللوجستيات الخضراء بفعالية. كشفت المراجعة عن تزايد ملحوظ في الدراسات المتعلقة </w:t>
      </w:r>
      <w:r w:rsidRPr="00242BEA">
        <w:rPr>
          <w:rFonts w:hint="cs"/>
          <w:rtl/>
        </w:rPr>
        <w:t>بـ</w:t>
      </w:r>
      <w:r w:rsidRPr="00242BEA">
        <w:t xml:space="preserve"> GLPs</w:t>
      </w:r>
      <w:r w:rsidRPr="00242BEA">
        <w:rPr>
          <w:rtl/>
        </w:rPr>
        <w:t>، لا سيما في الصين، واعتمدت معظم هذه الدراسات على نظريات الموارد، والتنظيم، والنظم، كما استخدمت تصاميم مقطعية وأساليب كمية في التحليل. وباستخدام إطار "المُسبق–القرار–النتائج</w:t>
      </w:r>
      <w:r w:rsidRPr="00242BEA">
        <w:t>" (ADO)</w:t>
      </w:r>
      <w:r w:rsidRPr="00242BEA">
        <w:rPr>
          <w:rtl/>
        </w:rPr>
        <w:t>، حددت الدراسة 14 عاملاً مسبقًا (ثمانية داخلية وستة خارجية)، وأربعة قرارات رئيسية تُسهم في تسريع تبني</w:t>
      </w:r>
      <w:r w:rsidRPr="00242BEA">
        <w:t xml:space="preserve"> GLPs</w:t>
      </w:r>
      <w:r w:rsidRPr="00242BEA">
        <w:rPr>
          <w:rtl/>
        </w:rPr>
        <w:t xml:space="preserve">، وخمسة مخرجات تتضمن الأداء المؤسسي، واستدامة سلسلة الإمداد، وكفاءة الأداء اللوجستي، والأداء البيئي. واستنادًا إلى الفجوات البحثية المكتشفة، تقترح الدراسة أن القيادة الأخلاقية في سلاسل التوريد تسهم مباشرة في تطوير الكفاءات البيئية داخل المؤسسات، من خلال تزويدها بالمعرفة والمهارات والموارد اللازمة للإدارة البيئية، مما يعزز قدرتها على تنفيذ ممارسات لوجستية مستدامة. ورغم أن النموذج المقترح لا يزال نظريًا ويتطلب التحقق التجريبي، إلا أنه يقدم إسهامات عملية لأصحاب القرار في قطاع اللوجستيات من خلال تسليط الضوء على التداخل بين القيادة، والكفاءات، والاستدامة، بما يساعد المؤسسات على </w:t>
      </w:r>
      <w:r w:rsidRPr="00242BEA">
        <w:rPr>
          <w:rtl/>
        </w:rPr>
        <w:lastRenderedPageBreak/>
        <w:t>مواءمة عملياتها مع أهداف التنمية المستدامة العالمية. كما تُعد الدراسة ذات قيمة عالية من حيث الأصالة العلمية، إذ تربط بين</w:t>
      </w:r>
      <w:r w:rsidRPr="00242BEA">
        <w:t xml:space="preserve"> SCEL </w:t>
      </w:r>
      <w:r w:rsidRPr="00242BEA">
        <w:rPr>
          <w:rtl/>
        </w:rPr>
        <w:t>و</w:t>
      </w:r>
      <w:r w:rsidRPr="00242BEA">
        <w:t xml:space="preserve">GCC </w:t>
      </w:r>
      <w:r w:rsidRPr="00242BEA">
        <w:rPr>
          <w:rtl/>
        </w:rPr>
        <w:t>كاستراتيجيتين متكاملتين لتعزيز اللوجستيات الخضراء، وتوسع من نطاق تطبيق نظرية التعلم الاجتماعي في مجال الاستدامة، عبر توضيح الدور الوسيط للكفاءات البيئية في العلاقة بين القيادة الأخلاقية وتطبيق ممارسات الاستدامة، وهو مجال لم يحظَ باهتمام كافٍ في الدراسات السابقة</w:t>
      </w:r>
      <w:r w:rsidRPr="00242BEA">
        <w:t>.</w:t>
      </w:r>
    </w:p>
    <w:p w14:paraId="0EDD0F1D" w14:textId="77777777" w:rsidR="004B60DD" w:rsidRPr="000251D9" w:rsidRDefault="004B60DD" w:rsidP="004B60DD">
      <w:pPr>
        <w:pStyle w:val="NoSpacing"/>
      </w:pPr>
      <w:r w:rsidRPr="000251D9">
        <w:rPr>
          <w:rtl/>
          <w:lang w:bidi="ar-SA"/>
        </w:rPr>
        <w:t>هدفت دراسة</w:t>
      </w:r>
      <w:sdt>
        <w:sdtPr>
          <w:rPr>
            <w:rtl/>
            <w:lang w:bidi="ar-SA"/>
          </w:rPr>
          <w:id w:val="-1679798709"/>
          <w:citation/>
        </w:sdtPr>
        <w:sdtEndPr/>
        <w:sdtContent>
          <w:r>
            <w:rPr>
              <w:rtl/>
              <w:lang w:bidi="ar-SA"/>
            </w:rPr>
            <w:fldChar w:fldCharType="begin"/>
          </w:r>
          <w:r>
            <w:rPr>
              <w:lang w:bidi="ar-SA"/>
            </w:rPr>
            <w:instrText xml:space="preserve"> CITATION Emm23 \l 1033 </w:instrText>
          </w:r>
          <w:r>
            <w:rPr>
              <w:rtl/>
              <w:lang w:bidi="ar-SA"/>
            </w:rPr>
            <w:fldChar w:fldCharType="separate"/>
          </w:r>
          <w:r>
            <w:rPr>
              <w:noProof/>
              <w:lang w:bidi="ar-SA"/>
            </w:rPr>
            <w:t xml:space="preserve"> (Emmanuel, 2023)</w:t>
          </w:r>
          <w:r>
            <w:rPr>
              <w:rtl/>
              <w:lang w:bidi="ar-SA"/>
            </w:rPr>
            <w:fldChar w:fldCharType="end"/>
          </w:r>
        </w:sdtContent>
      </w:sdt>
      <w:r w:rsidRPr="000251D9">
        <w:rPr>
          <w:rtl/>
          <w:lang w:bidi="ar-SA"/>
        </w:rPr>
        <w:t xml:space="preserve"> إلى تحديد أثر هيكل رأس المال على نمو شركات المقاولات، حيث تم اختيار ثلاثين شركة مقاولات مدرجة في البورصة الوطنية في الهند</w:t>
      </w:r>
      <w:r w:rsidRPr="000251D9">
        <w:t xml:space="preserve"> (NSE) </w:t>
      </w:r>
      <w:r w:rsidRPr="000251D9">
        <w:rPr>
          <w:rtl/>
          <w:lang w:bidi="ar-SA"/>
        </w:rPr>
        <w:t>عشوائيًا، واستخدام بياناتها المالية للفترة ما بين 2018 و2022. ركزت الدراسة بشكل خاص على تحليل تأثير نسبة الدين إلى حقوق الملكية</w:t>
      </w:r>
      <w:r w:rsidRPr="000251D9">
        <w:t xml:space="preserve"> (D/E) </w:t>
      </w:r>
      <w:r w:rsidRPr="000251D9">
        <w:rPr>
          <w:rtl/>
          <w:lang w:bidi="ar-SA"/>
        </w:rPr>
        <w:t>على كل من النمو المستدام والنمو الداخلي لتلك الشركات، كما تم فحص العلاقة بين هيكل رأس المال وحجم الشركة. لتحقيق أهداف الدراسة، تم استخدام نموذج نمو مبتكر يُدعى "نموذج إلغاء التعددية الوطنية</w:t>
      </w:r>
      <w:r w:rsidRPr="000251D9">
        <w:t xml:space="preserve">" (Multinationality Cancellation Model - MCM) </w:t>
      </w:r>
      <w:r w:rsidRPr="000251D9">
        <w:rPr>
          <w:rtl/>
          <w:lang w:bidi="ar-SA"/>
        </w:rPr>
        <w:t>إلى جانب نماذج النمو التقليدية مثل معدل النمو المستدام</w:t>
      </w:r>
      <w:r w:rsidRPr="000251D9">
        <w:t xml:space="preserve"> (SGR) </w:t>
      </w:r>
      <w:r w:rsidRPr="000251D9">
        <w:rPr>
          <w:rtl/>
          <w:lang w:bidi="ar-SA"/>
        </w:rPr>
        <w:t>ومعدل النمو الداخلي</w:t>
      </w:r>
      <w:r w:rsidRPr="000251D9">
        <w:t xml:space="preserve"> (IGR). </w:t>
      </w:r>
      <w:r w:rsidRPr="000251D9">
        <w:rPr>
          <w:rtl/>
          <w:lang w:bidi="ar-SA"/>
        </w:rPr>
        <w:t>وأظهرت نتائج التحليل وجود تباين مشترك إيجابي بنسبة 5.6، وارتباط إيجابي بنسبة 6% بين نسبة</w:t>
      </w:r>
      <w:r w:rsidRPr="000251D9">
        <w:t xml:space="preserve"> D/E </w:t>
      </w:r>
      <w:r w:rsidRPr="000251D9">
        <w:rPr>
          <w:rtl/>
          <w:lang w:bidi="ar-SA"/>
        </w:rPr>
        <w:t>وعوامل إلغاء التعددية الوطنية</w:t>
      </w:r>
      <w:r w:rsidRPr="000251D9">
        <w:t xml:space="preserve"> (MCFs)</w:t>
      </w:r>
      <w:r w:rsidRPr="000251D9">
        <w:rPr>
          <w:rtl/>
          <w:lang w:bidi="ar-SA"/>
        </w:rPr>
        <w:t>، ما يشير إلى وجود علاقة طردية بينهما. تمثل هذه النتيجة علامة فارقة جديدة تُمكّن الشركات من اختيار هيكل رأس المال الأنسب لدعم نموها من منظور عالمي. كما أظهرت النتائج أن الشركات التي طابقت استراتيجياتها عن غير قصد متطلبات نموذج</w:t>
      </w:r>
      <w:r w:rsidRPr="000251D9">
        <w:t xml:space="preserve"> MCM</w:t>
      </w:r>
      <w:r w:rsidRPr="000251D9">
        <w:rPr>
          <w:rtl/>
          <w:lang w:bidi="ar-SA"/>
        </w:rPr>
        <w:t>، قد حققت معدلات نمو مستدامة ونمو داخلي مرتفعة. أما الشركات التي لم تتبع هذا التوجه، فقد سجلت معدلات نمو مستدام ونمو داخلي صفرية أو سلبية، مما يؤكد أهمية هذا النموذج في التوجيه الاستراتيجي المالي لشركات المقاولات في ظل بيئة اقتصادية تنافسية</w:t>
      </w:r>
      <w:r w:rsidRPr="000251D9">
        <w:t>.</w:t>
      </w:r>
    </w:p>
    <w:p w14:paraId="0EDD0F1E" w14:textId="77777777" w:rsidR="004B60DD" w:rsidRPr="000251D9" w:rsidRDefault="004B60DD" w:rsidP="004B60DD">
      <w:pPr>
        <w:pStyle w:val="NoSpacing"/>
        <w:rPr>
          <w:rtl/>
        </w:rPr>
      </w:pPr>
    </w:p>
    <w:p w14:paraId="0EDD0F1F" w14:textId="77777777" w:rsidR="004B60DD" w:rsidRPr="00242BEA" w:rsidRDefault="004B60DD" w:rsidP="004B60DD">
      <w:pPr>
        <w:spacing w:line="360" w:lineRule="auto"/>
        <w:rPr>
          <w:rFonts w:ascii="Sakkal Majalla" w:hAnsi="Sakkal Majalla" w:cs="Sakkal Majalla"/>
          <w:sz w:val="28"/>
          <w:szCs w:val="28"/>
          <w:rtl/>
          <w:lang w:bidi="ar-EG"/>
        </w:rPr>
      </w:pPr>
    </w:p>
    <w:p w14:paraId="0EDD0F20" w14:textId="77777777" w:rsidR="004B60DD" w:rsidRDefault="004B60DD" w:rsidP="004B60DD">
      <w:pPr>
        <w:spacing w:line="360" w:lineRule="auto"/>
        <w:rPr>
          <w:rFonts w:ascii="Sakkal Majalla" w:hAnsi="Sakkal Majalla" w:cs="Sakkal Majalla"/>
          <w:sz w:val="28"/>
          <w:szCs w:val="28"/>
          <w:rtl/>
        </w:rPr>
      </w:pPr>
    </w:p>
    <w:p w14:paraId="0EDD0F21" w14:textId="77777777" w:rsidR="004B60DD" w:rsidRDefault="004B60DD" w:rsidP="004B60DD">
      <w:pPr>
        <w:spacing w:line="360" w:lineRule="auto"/>
        <w:rPr>
          <w:rFonts w:ascii="Sakkal Majalla" w:hAnsi="Sakkal Majalla" w:cs="Sakkal Majalla"/>
          <w:sz w:val="28"/>
          <w:szCs w:val="28"/>
          <w:rtl/>
        </w:rPr>
      </w:pPr>
    </w:p>
    <w:p w14:paraId="0EDD0F22" w14:textId="77777777" w:rsidR="004B60DD" w:rsidRDefault="004B60DD" w:rsidP="004B60DD">
      <w:pPr>
        <w:spacing w:line="360" w:lineRule="auto"/>
        <w:rPr>
          <w:rFonts w:ascii="Sakkal Majalla" w:hAnsi="Sakkal Majalla" w:cs="Sakkal Majalla"/>
          <w:sz w:val="28"/>
          <w:szCs w:val="28"/>
          <w:rtl/>
        </w:rPr>
      </w:pPr>
    </w:p>
    <w:p w14:paraId="0EDD0F23" w14:textId="77777777" w:rsidR="004B60DD" w:rsidRDefault="004B60DD" w:rsidP="004B60DD">
      <w:pPr>
        <w:spacing w:line="360" w:lineRule="auto"/>
        <w:rPr>
          <w:rFonts w:ascii="Sakkal Majalla" w:hAnsi="Sakkal Majalla" w:cs="Sakkal Majalla"/>
          <w:sz w:val="28"/>
          <w:szCs w:val="28"/>
          <w:rtl/>
        </w:rPr>
      </w:pPr>
    </w:p>
    <w:p w14:paraId="0EDD0F24" w14:textId="77777777" w:rsidR="004B60DD" w:rsidRDefault="004B60DD" w:rsidP="004B60DD">
      <w:pPr>
        <w:spacing w:line="360" w:lineRule="auto"/>
        <w:rPr>
          <w:rFonts w:ascii="Sakkal Majalla" w:hAnsi="Sakkal Majalla" w:cs="Sakkal Majalla"/>
          <w:sz w:val="28"/>
          <w:szCs w:val="28"/>
          <w:rtl/>
        </w:rPr>
      </w:pPr>
    </w:p>
    <w:p w14:paraId="0EDD0F25" w14:textId="77777777" w:rsidR="004B60DD" w:rsidRDefault="004B60DD" w:rsidP="004B60DD">
      <w:pPr>
        <w:spacing w:line="360" w:lineRule="auto"/>
        <w:rPr>
          <w:rFonts w:ascii="Sakkal Majalla" w:hAnsi="Sakkal Majalla" w:cs="Sakkal Majalla"/>
          <w:sz w:val="28"/>
          <w:szCs w:val="28"/>
          <w:rtl/>
        </w:rPr>
      </w:pPr>
    </w:p>
    <w:p w14:paraId="0EDD0F26" w14:textId="77777777" w:rsidR="004B60DD" w:rsidRPr="00847E70" w:rsidRDefault="004B60DD" w:rsidP="004B60DD">
      <w:pPr>
        <w:spacing w:line="360" w:lineRule="auto"/>
        <w:rPr>
          <w:rFonts w:ascii="Sakkal Majalla" w:hAnsi="Sakkal Majalla" w:cs="Sakkal Majalla"/>
          <w:sz w:val="28"/>
          <w:szCs w:val="28"/>
          <w:rtl/>
        </w:rPr>
      </w:pPr>
    </w:p>
    <w:p w14:paraId="0EDD0F27" w14:textId="77777777" w:rsidR="004B60DD" w:rsidRPr="00365FB4" w:rsidRDefault="004B60DD" w:rsidP="004B60DD">
      <w:pPr>
        <w:pStyle w:val="Heading2"/>
        <w:rPr>
          <w:rtl/>
        </w:rPr>
      </w:pPr>
      <w:bookmarkStart w:id="42" w:name="_Toc191138781"/>
      <w:r w:rsidRPr="00365FB4">
        <w:rPr>
          <w:rtl/>
        </w:rPr>
        <w:t>الإطار النظري</w:t>
      </w:r>
      <w:bookmarkEnd w:id="40"/>
      <w:bookmarkEnd w:id="41"/>
      <w:bookmarkEnd w:id="42"/>
    </w:p>
    <w:p w14:paraId="0EDD0F28" w14:textId="77777777" w:rsidR="004B60DD" w:rsidRPr="008C6507" w:rsidRDefault="004B60DD" w:rsidP="004B60DD">
      <w:pPr>
        <w:spacing w:after="0" w:line="360" w:lineRule="auto"/>
      </w:pPr>
    </w:p>
    <w:p w14:paraId="0EDD0F29" w14:textId="77777777" w:rsidR="004B60DD" w:rsidRDefault="004B60DD" w:rsidP="004B60DD">
      <w:pPr>
        <w:spacing w:after="0" w:line="360" w:lineRule="auto"/>
        <w:rPr>
          <w:rtl/>
        </w:rPr>
      </w:pPr>
      <w:r>
        <w:object w:dxaOrig="8805" w:dyaOrig="2505" w14:anchorId="0EDD0F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125.25pt" o:ole="">
            <v:imagedata r:id="rId6" o:title=""/>
          </v:shape>
          <o:OLEObject Type="Embed" ProgID="Visio.Drawing.15" ShapeID="_x0000_i1025" DrawAspect="Content" ObjectID="_1813506423" r:id="rId7"/>
        </w:object>
      </w:r>
    </w:p>
    <w:p w14:paraId="0EDD0F2A" w14:textId="77777777" w:rsidR="004B60DD" w:rsidRDefault="004B60DD" w:rsidP="004B60DD">
      <w:pPr>
        <w:pStyle w:val="Caption"/>
        <w:rPr>
          <w:rtl/>
          <w:lang w:bidi="ar-EG"/>
        </w:rPr>
      </w:pPr>
      <w:bookmarkStart w:id="43" w:name="_Toc202801877"/>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w:t>
      </w:r>
      <w:r w:rsidRPr="006C66D5">
        <w:rPr>
          <w:rFonts w:cs="Arial" w:hint="eastAsia"/>
          <w:noProof/>
          <w:rtl/>
          <w:lang w:bidi="ar-EG"/>
        </w:rPr>
        <w:t>الإطار</w:t>
      </w:r>
      <w:r w:rsidRPr="006C66D5">
        <w:rPr>
          <w:rFonts w:cs="Arial"/>
          <w:noProof/>
          <w:rtl/>
          <w:lang w:bidi="ar-EG"/>
        </w:rPr>
        <w:t xml:space="preserve"> </w:t>
      </w:r>
      <w:r w:rsidRPr="006C66D5">
        <w:rPr>
          <w:rFonts w:cs="Arial" w:hint="eastAsia"/>
          <w:noProof/>
          <w:rtl/>
          <w:lang w:bidi="ar-EG"/>
        </w:rPr>
        <w:t>النظري</w:t>
      </w:r>
      <w:r w:rsidRPr="006C66D5">
        <w:rPr>
          <w:rFonts w:cs="Arial"/>
          <w:noProof/>
          <w:rtl/>
          <w:lang w:bidi="ar-EG"/>
        </w:rPr>
        <w:t xml:space="preserve"> </w:t>
      </w:r>
      <w:r w:rsidRPr="006C66D5">
        <w:rPr>
          <w:rFonts w:cs="Arial" w:hint="eastAsia"/>
          <w:noProof/>
          <w:rtl/>
          <w:lang w:bidi="ar-EG"/>
        </w:rPr>
        <w:t>للدراسة</w:t>
      </w:r>
      <w:bookmarkEnd w:id="43"/>
      <w:r>
        <w:rPr>
          <w:rFonts w:cs="Arial" w:hint="cs"/>
          <w:noProof/>
          <w:rtl/>
          <w:lang w:bidi="ar-EG"/>
        </w:rPr>
        <w:t xml:space="preserve"> </w:t>
      </w:r>
    </w:p>
    <w:p w14:paraId="0EDD0F2B" w14:textId="77777777" w:rsidR="004B60DD" w:rsidRDefault="004B60DD" w:rsidP="004B60DD">
      <w:pPr>
        <w:pStyle w:val="NoSpacing"/>
        <w:rPr>
          <w:rtl/>
        </w:rPr>
      </w:pPr>
      <w:r w:rsidRPr="008C6507">
        <w:br/>
      </w:r>
      <w:bookmarkEnd w:id="0"/>
      <w:r>
        <w:rPr>
          <w:rtl/>
        </w:rPr>
        <w:t>يعتمد الإطار النظري لهذه الدراسة على دمج مجموعة من النظريات المالية والإدارية التي تُفسر العلاقة بين هيكل رأس المال والنمو المستدام والداخلي لشركات المقاولات. ويساعد هذا الإطار في بناء فهم متكامل لكيفية تأثير القرارات التمويلية على الأداء والنمو المؤسسي، خاصة في سياق بيئة تتسم بالتنافس والتغيرات الاقتصادية. وقد تم الاستناد إلى خمس نظريات محورية لدعم النموذج التحليلي المستخدم في الدراسة، وهي:</w:t>
      </w:r>
    </w:p>
    <w:p w14:paraId="0EDD0F2C" w14:textId="77777777" w:rsidR="004B60DD" w:rsidRDefault="004B60DD" w:rsidP="004B60DD">
      <w:pPr>
        <w:pStyle w:val="NoSpacing"/>
        <w:rPr>
          <w:rtl/>
        </w:rPr>
      </w:pPr>
    </w:p>
    <w:p w14:paraId="0EDD0F2D" w14:textId="77777777" w:rsidR="004B60DD" w:rsidRDefault="004B60DD" w:rsidP="004B60DD">
      <w:pPr>
        <w:pStyle w:val="NoSpacing"/>
        <w:rPr>
          <w:rtl/>
        </w:rPr>
      </w:pPr>
    </w:p>
    <w:p w14:paraId="0EDD0F2E" w14:textId="77777777" w:rsidR="004B60DD" w:rsidRDefault="004B60DD" w:rsidP="004B60DD">
      <w:pPr>
        <w:pStyle w:val="NoSpacing"/>
        <w:rPr>
          <w:rtl/>
        </w:rPr>
      </w:pPr>
    </w:p>
    <w:p w14:paraId="0EDD0F2F" w14:textId="77777777" w:rsidR="004B60DD" w:rsidRDefault="004B60DD" w:rsidP="004B60DD">
      <w:pPr>
        <w:pStyle w:val="NoSpacing"/>
        <w:rPr>
          <w:rtl/>
        </w:rPr>
      </w:pPr>
    </w:p>
    <w:p w14:paraId="0EDD0F30" w14:textId="77777777" w:rsidR="004B60DD" w:rsidRDefault="004B60DD" w:rsidP="004B60DD">
      <w:pPr>
        <w:pStyle w:val="NoSpacing"/>
        <w:rPr>
          <w:rtl/>
        </w:rPr>
      </w:pPr>
    </w:p>
    <w:p w14:paraId="0EDD0F31" w14:textId="77777777" w:rsidR="004B60DD" w:rsidRDefault="004B60DD" w:rsidP="004B60DD">
      <w:pPr>
        <w:pStyle w:val="NoSpacing"/>
        <w:rPr>
          <w:rtl/>
        </w:rPr>
      </w:pPr>
    </w:p>
    <w:p w14:paraId="0EDD0F32" w14:textId="77777777" w:rsidR="004B60DD" w:rsidRDefault="004B60DD" w:rsidP="004B60DD">
      <w:pPr>
        <w:pStyle w:val="NoSpacing"/>
        <w:rPr>
          <w:rtl/>
        </w:rPr>
      </w:pPr>
    </w:p>
    <w:p w14:paraId="0EDD0F33" w14:textId="77777777" w:rsidR="004B60DD" w:rsidRDefault="004B60DD" w:rsidP="004B60DD">
      <w:pPr>
        <w:pStyle w:val="NoSpacing"/>
        <w:rPr>
          <w:rtl/>
        </w:rPr>
      </w:pPr>
    </w:p>
    <w:p w14:paraId="0EDD0F34" w14:textId="77777777" w:rsidR="004B60DD" w:rsidRDefault="004B60DD" w:rsidP="004B60DD">
      <w:pPr>
        <w:pStyle w:val="NoSpacing"/>
        <w:rPr>
          <w:rtl/>
        </w:rPr>
      </w:pPr>
    </w:p>
    <w:p w14:paraId="0EDD0F35" w14:textId="77777777" w:rsidR="004B60DD" w:rsidRDefault="004B60DD" w:rsidP="004B60DD">
      <w:pPr>
        <w:pStyle w:val="NoSpacing"/>
        <w:rPr>
          <w:rtl/>
        </w:rPr>
      </w:pPr>
    </w:p>
    <w:p w14:paraId="0EDD0F36" w14:textId="77777777" w:rsidR="004B60DD" w:rsidRDefault="004B60DD" w:rsidP="004B60DD">
      <w:pPr>
        <w:pStyle w:val="NoSpacing"/>
        <w:rPr>
          <w:rtl/>
        </w:rPr>
      </w:pPr>
    </w:p>
    <w:p w14:paraId="0EDD0F37" w14:textId="77777777" w:rsidR="004B60DD" w:rsidRDefault="004B60DD" w:rsidP="004B60DD">
      <w:pPr>
        <w:pStyle w:val="NoSpacing"/>
        <w:rPr>
          <w:rtl/>
        </w:rPr>
      </w:pPr>
    </w:p>
    <w:p w14:paraId="0EDD0F38" w14:textId="77777777" w:rsidR="004B60DD" w:rsidRDefault="004B60DD" w:rsidP="004B60DD">
      <w:pPr>
        <w:pStyle w:val="Style1"/>
        <w:numPr>
          <w:ilvl w:val="0"/>
          <w:numId w:val="15"/>
        </w:numPr>
        <w:rPr>
          <w:rtl/>
        </w:rPr>
      </w:pPr>
      <w:r>
        <w:rPr>
          <w:rtl/>
        </w:rPr>
        <w:t xml:space="preserve"> نظرية هيكل رأس المال (</w:t>
      </w:r>
      <w:r>
        <w:t>Trade-Off Theory</w:t>
      </w:r>
      <w:r>
        <w:rPr>
          <w:rtl/>
        </w:rPr>
        <w:t>):</w:t>
      </w:r>
    </w:p>
    <w:p w14:paraId="0EDD0F39" w14:textId="77777777" w:rsidR="004B60DD" w:rsidRDefault="004B60DD" w:rsidP="004B60DD">
      <w:pPr>
        <w:pStyle w:val="NoSpacing"/>
        <w:rPr>
          <w:rtl/>
        </w:rPr>
      </w:pPr>
      <w:r>
        <w:rPr>
          <w:rtl/>
        </w:rPr>
        <w:t xml:space="preserve">تفترض هذه النظرية أن الشركات تسعى إلى موازنة الفوائد الضريبية المترتبة على استخدام الديون، مع التكاليف المحتملة للإفلاس الناتج عن الاعتماد الزائد على التمويل بالدين. وتُستخدم هذه النظرية لتفسير سبب اختيار الشركات لنسبة معيّنة من الدين إلى حقوق الملكية بما يتناسب مع تحقيق أقصى قيمة للشركة، وهو ما يتقاطع مع هدف الدراسة في فهم كيف تؤثر نسبة </w:t>
      </w:r>
      <w:r>
        <w:t>D/E</w:t>
      </w:r>
      <w:r>
        <w:rPr>
          <w:rtl/>
        </w:rPr>
        <w:t xml:space="preserve"> على النمو.</w:t>
      </w:r>
    </w:p>
    <w:p w14:paraId="0EDD0F3A" w14:textId="77777777" w:rsidR="004B60DD" w:rsidRDefault="004B60DD" w:rsidP="004B60DD">
      <w:pPr>
        <w:pStyle w:val="Style1"/>
        <w:numPr>
          <w:ilvl w:val="0"/>
          <w:numId w:val="15"/>
        </w:numPr>
        <w:rPr>
          <w:rtl/>
        </w:rPr>
      </w:pPr>
      <w:r>
        <w:rPr>
          <w:rtl/>
        </w:rPr>
        <w:t xml:space="preserve"> نظرية التمويل بالمعلومات غير المتماثلة (</w:t>
      </w:r>
      <w:r>
        <w:t>Pecking Order Theory</w:t>
      </w:r>
      <w:r>
        <w:rPr>
          <w:rtl/>
        </w:rPr>
        <w:t>):</w:t>
      </w:r>
    </w:p>
    <w:p w14:paraId="0EDD0F3B" w14:textId="77777777" w:rsidR="004B60DD" w:rsidRDefault="004B60DD" w:rsidP="004B60DD">
      <w:pPr>
        <w:pStyle w:val="NoSpacing"/>
        <w:rPr>
          <w:rtl/>
        </w:rPr>
      </w:pPr>
      <w:r>
        <w:rPr>
          <w:rtl/>
        </w:rPr>
        <w:t>تشير هذه النظرية إلى أن الشركات تفضل مصادر التمويل وفق تسلسل معين، بدءًا من الأرباح المحتجزة، ثم الديون، وأخيرًا إصدار الأسهم. ويُعزى ذلك إلى أن المعلومات الداخلية التي يمتلكها المديرون لا تتوافر للمستثمرين، مما يؤدي إلى تكاليف إضافية في حال إصدار أسهم. تساعد هذه النظرية في فهم السلوك الفعلي للشركات في اختيار هيكل رأس المال دون النظر فقط إلى النظريات الكلاسيكية.</w:t>
      </w:r>
    </w:p>
    <w:p w14:paraId="0EDD0F3C" w14:textId="77777777" w:rsidR="004B60DD" w:rsidRDefault="004B60DD" w:rsidP="004B60DD">
      <w:pPr>
        <w:pStyle w:val="Style1"/>
        <w:numPr>
          <w:ilvl w:val="0"/>
          <w:numId w:val="15"/>
        </w:numPr>
        <w:rPr>
          <w:rtl/>
        </w:rPr>
      </w:pPr>
      <w:r>
        <w:rPr>
          <w:rtl/>
        </w:rPr>
        <w:t>نظرية النمو المستدام (</w:t>
      </w:r>
      <w:r>
        <w:t>Sustainable Growth Rate Theory</w:t>
      </w:r>
      <w:r>
        <w:rPr>
          <w:rtl/>
        </w:rPr>
        <w:t>):</w:t>
      </w:r>
    </w:p>
    <w:p w14:paraId="0EDD0F3D" w14:textId="77777777" w:rsidR="004B60DD" w:rsidRDefault="004B60DD" w:rsidP="004B60DD">
      <w:pPr>
        <w:pStyle w:val="NoSpacing"/>
        <w:rPr>
          <w:rtl/>
        </w:rPr>
      </w:pPr>
      <w:r>
        <w:rPr>
          <w:rtl/>
        </w:rPr>
        <w:t xml:space="preserve">توضح هذه النظرية أن النمو المستدام هو الحد الأقصى الذي يمكن أن تنمو به الشركة دون الحاجة إلى تمويل خارجي إضافي، مع الحفاظ على نفس هيكل رأس المال. وتُعد هذه النظرية أساسًا تحليليًا لربط النمو مع نسب التمويل، خاصة في دراسة العلاقة بين </w:t>
      </w:r>
      <w:r>
        <w:t>D/E</w:t>
      </w:r>
      <w:r>
        <w:rPr>
          <w:rtl/>
        </w:rPr>
        <w:t xml:space="preserve"> والنمو الداخلي والمستدام.</w:t>
      </w:r>
    </w:p>
    <w:p w14:paraId="0EDD0F3E" w14:textId="77777777" w:rsidR="004B60DD" w:rsidRDefault="004B60DD" w:rsidP="004B60DD">
      <w:pPr>
        <w:pStyle w:val="Style1"/>
        <w:numPr>
          <w:ilvl w:val="0"/>
          <w:numId w:val="15"/>
        </w:numPr>
        <w:rPr>
          <w:rtl/>
        </w:rPr>
      </w:pPr>
      <w:r>
        <w:rPr>
          <w:rtl/>
        </w:rPr>
        <w:t xml:space="preserve"> نظرية القدرة التنافسية المستدامة (</w:t>
      </w:r>
      <w:r>
        <w:t>Sustainable Competitive Advantage Theory</w:t>
      </w:r>
      <w:r>
        <w:rPr>
          <w:rtl/>
        </w:rPr>
        <w:t>):</w:t>
      </w:r>
    </w:p>
    <w:p w14:paraId="0EDD0F3F" w14:textId="77777777" w:rsidR="004B60DD" w:rsidRDefault="004B60DD" w:rsidP="004B60DD">
      <w:pPr>
        <w:pStyle w:val="NoSpacing"/>
        <w:rPr>
          <w:rtl/>
        </w:rPr>
      </w:pPr>
      <w:r>
        <w:rPr>
          <w:rtl/>
        </w:rPr>
        <w:t>تُشير هذه النظرية إلى أن امتلاك الشركة لموارد وخصائص فريدة يصعب تقليدها هو ما يمنحها ميزة تنافسية طويلة الأمد. ويُعزز هيكل رأس المال المناسب من قدرة الشركة على الاستثمار في هذه الموارد، مثل التكنولوجيا والكفاءات، مما يؤدي إلى تحسين الأداء والنمو، وهو ما يُشكل لبّ الدراسة الحالية.</w:t>
      </w:r>
    </w:p>
    <w:p w14:paraId="0EDD0F40" w14:textId="77777777" w:rsidR="004B60DD" w:rsidRDefault="004B60DD" w:rsidP="004B60DD">
      <w:pPr>
        <w:pStyle w:val="Style1"/>
        <w:numPr>
          <w:ilvl w:val="0"/>
          <w:numId w:val="15"/>
        </w:numPr>
        <w:rPr>
          <w:rtl/>
        </w:rPr>
      </w:pPr>
      <w:r>
        <w:rPr>
          <w:rtl/>
        </w:rPr>
        <w:t xml:space="preserve"> نظرية القدرات الديناميكية (</w:t>
      </w:r>
      <w:r>
        <w:t>Dynamic Capabilities Theory</w:t>
      </w:r>
      <w:r>
        <w:rPr>
          <w:rtl/>
        </w:rPr>
        <w:t>):</w:t>
      </w:r>
    </w:p>
    <w:p w14:paraId="0EDD0F41" w14:textId="77777777" w:rsidR="004B60DD" w:rsidRPr="00E64EDD" w:rsidRDefault="004B60DD" w:rsidP="004B60DD">
      <w:pPr>
        <w:pStyle w:val="NoSpacing"/>
      </w:pPr>
      <w:r>
        <w:rPr>
          <w:rtl/>
        </w:rPr>
        <w:lastRenderedPageBreak/>
        <w:t xml:space="preserve">تؤكد هذه النظرية على أهمية قدرة الشركات على التكيف والتجديد باستمرار في استراتيجياتها ومواردها استجابةً للتغيرات في البيئة الخارجية. يرتبط هذا المفهوم ارتباطًا وثيقًا بنموذج </w:t>
      </w:r>
      <w:r>
        <w:t>MCM</w:t>
      </w:r>
      <w:r>
        <w:rPr>
          <w:rtl/>
        </w:rPr>
        <w:t xml:space="preserve"> المستخدم في الدراسة، والذي يبرز كيف يمكن لتكييف هيكل رأس المال بطريقة مرنة أن يُمكّن الشركة من تحقيق نمو إيجابي في الأسواق المحلية والعالمية.</w:t>
      </w:r>
    </w:p>
    <w:p w14:paraId="0EDD0F42" w14:textId="77777777" w:rsidR="000364AD" w:rsidRPr="004B60DD" w:rsidRDefault="000364AD"/>
    <w:sectPr w:rsidR="000364AD" w:rsidRPr="004B60DD" w:rsidSect="000364AD">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8375C"/>
    <w:multiLevelType w:val="hybridMultilevel"/>
    <w:tmpl w:val="DFEC19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5664FE"/>
    <w:multiLevelType w:val="hybridMultilevel"/>
    <w:tmpl w:val="066255F6"/>
    <w:lvl w:ilvl="0" w:tplc="20D84D60">
      <w:start w:val="1"/>
      <w:numFmt w:val="bullet"/>
      <w:pStyle w:val="Style1"/>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6A7296B"/>
    <w:multiLevelType w:val="hybridMultilevel"/>
    <w:tmpl w:val="61C8C5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372F18"/>
    <w:multiLevelType w:val="hybridMultilevel"/>
    <w:tmpl w:val="C75EE8E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8A33C61"/>
    <w:multiLevelType w:val="hybridMultilevel"/>
    <w:tmpl w:val="181683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DD2102"/>
    <w:multiLevelType w:val="hybridMultilevel"/>
    <w:tmpl w:val="E5E2A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B10778"/>
    <w:multiLevelType w:val="hybridMultilevel"/>
    <w:tmpl w:val="CAC0A4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1154C4"/>
    <w:multiLevelType w:val="hybridMultilevel"/>
    <w:tmpl w:val="3A3EE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E2227E"/>
    <w:multiLevelType w:val="hybridMultilevel"/>
    <w:tmpl w:val="E8F243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9A05B3"/>
    <w:multiLevelType w:val="hybridMultilevel"/>
    <w:tmpl w:val="95462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3425DF"/>
    <w:multiLevelType w:val="hybridMultilevel"/>
    <w:tmpl w:val="4C34B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D3F0120"/>
    <w:multiLevelType w:val="multilevel"/>
    <w:tmpl w:val="B7B40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00F7411"/>
    <w:multiLevelType w:val="hybridMultilevel"/>
    <w:tmpl w:val="7C3217D4"/>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3AA3045"/>
    <w:multiLevelType w:val="hybridMultilevel"/>
    <w:tmpl w:val="09F6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E04354"/>
    <w:multiLevelType w:val="hybridMultilevel"/>
    <w:tmpl w:val="EDD83A6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08B65BC"/>
    <w:multiLevelType w:val="hybridMultilevel"/>
    <w:tmpl w:val="336657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98102E"/>
    <w:multiLevelType w:val="hybridMultilevel"/>
    <w:tmpl w:val="DF08D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1665620">
    <w:abstractNumId w:val="13"/>
  </w:num>
  <w:num w:numId="2" w16cid:durableId="859929521">
    <w:abstractNumId w:val="16"/>
  </w:num>
  <w:num w:numId="3" w16cid:durableId="619919447">
    <w:abstractNumId w:val="5"/>
  </w:num>
  <w:num w:numId="4" w16cid:durableId="227150666">
    <w:abstractNumId w:val="9"/>
  </w:num>
  <w:num w:numId="5" w16cid:durableId="1248809740">
    <w:abstractNumId w:val="7"/>
  </w:num>
  <w:num w:numId="6" w16cid:durableId="2054232093">
    <w:abstractNumId w:val="10"/>
  </w:num>
  <w:num w:numId="7" w16cid:durableId="1507475642">
    <w:abstractNumId w:val="14"/>
  </w:num>
  <w:num w:numId="8" w16cid:durableId="1662657895">
    <w:abstractNumId w:val="3"/>
  </w:num>
  <w:num w:numId="9" w16cid:durableId="1168592697">
    <w:abstractNumId w:val="15"/>
  </w:num>
  <w:num w:numId="10" w16cid:durableId="1011224247">
    <w:abstractNumId w:val="6"/>
  </w:num>
  <w:num w:numId="11" w16cid:durableId="2045212840">
    <w:abstractNumId w:val="0"/>
  </w:num>
  <w:num w:numId="12" w16cid:durableId="1785539229">
    <w:abstractNumId w:val="2"/>
  </w:num>
  <w:num w:numId="13" w16cid:durableId="199783706">
    <w:abstractNumId w:val="4"/>
  </w:num>
  <w:num w:numId="14" w16cid:durableId="758213648">
    <w:abstractNumId w:val="11"/>
  </w:num>
  <w:num w:numId="15" w16cid:durableId="116072311">
    <w:abstractNumId w:val="12"/>
  </w:num>
  <w:num w:numId="16" w16cid:durableId="1002585449">
    <w:abstractNumId w:val="1"/>
  </w:num>
  <w:num w:numId="17" w16cid:durableId="7879696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A46"/>
    <w:rsid w:val="000364AD"/>
    <w:rsid w:val="002E45BD"/>
    <w:rsid w:val="00321357"/>
    <w:rsid w:val="00331F56"/>
    <w:rsid w:val="004978DA"/>
    <w:rsid w:val="004B60DD"/>
    <w:rsid w:val="004F6740"/>
    <w:rsid w:val="008A3771"/>
    <w:rsid w:val="00A35F68"/>
    <w:rsid w:val="00D15A46"/>
    <w:rsid w:val="00D74C8E"/>
    <w:rsid w:val="00ED5AB3"/>
    <w:rsid w:val="00EF5A07"/>
    <w:rsid w:val="00F77B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EDD0E54"/>
  <w15:chartTrackingRefBased/>
  <w15:docId w15:val="{E8DF5718-B40C-4454-BA8D-1BF12FC4C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0DD"/>
    <w:pPr>
      <w:bidi/>
      <w:spacing w:line="259" w:lineRule="auto"/>
    </w:pPr>
    <w:rPr>
      <w:sz w:val="22"/>
      <w:szCs w:val="22"/>
    </w:rPr>
  </w:style>
  <w:style w:type="paragraph" w:styleId="Heading1">
    <w:name w:val="heading 1"/>
    <w:basedOn w:val="Normal"/>
    <w:next w:val="Normal"/>
    <w:link w:val="Heading1Char"/>
    <w:uiPriority w:val="9"/>
    <w:qFormat/>
    <w:rsid w:val="00D15A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15A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5A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5A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5A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5A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5A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5A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5A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A46"/>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D15A46"/>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D15A46"/>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D15A46"/>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D15A46"/>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D15A46"/>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D15A46"/>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D15A46"/>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D15A46"/>
    <w:rPr>
      <w:rFonts w:eastAsiaTheme="majorEastAsia" w:cstheme="majorBidi"/>
      <w:noProof/>
      <w:color w:val="272727" w:themeColor="text1" w:themeTint="D8"/>
    </w:rPr>
  </w:style>
  <w:style w:type="paragraph" w:styleId="Title">
    <w:name w:val="Title"/>
    <w:basedOn w:val="Normal"/>
    <w:next w:val="Normal"/>
    <w:link w:val="TitleChar"/>
    <w:uiPriority w:val="10"/>
    <w:qFormat/>
    <w:rsid w:val="00D15A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5A46"/>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D15A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5A46"/>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D15A46"/>
    <w:pPr>
      <w:spacing w:before="160"/>
      <w:jc w:val="center"/>
    </w:pPr>
    <w:rPr>
      <w:i/>
      <w:iCs/>
      <w:color w:val="404040" w:themeColor="text1" w:themeTint="BF"/>
    </w:rPr>
  </w:style>
  <w:style w:type="character" w:customStyle="1" w:styleId="QuoteChar">
    <w:name w:val="Quote Char"/>
    <w:basedOn w:val="DefaultParagraphFont"/>
    <w:link w:val="Quote"/>
    <w:uiPriority w:val="29"/>
    <w:rsid w:val="00D15A46"/>
    <w:rPr>
      <w:i/>
      <w:iCs/>
      <w:noProof/>
      <w:color w:val="404040" w:themeColor="text1" w:themeTint="BF"/>
    </w:rPr>
  </w:style>
  <w:style w:type="paragraph" w:styleId="ListParagraph">
    <w:name w:val="List Paragraph"/>
    <w:basedOn w:val="Normal"/>
    <w:uiPriority w:val="34"/>
    <w:qFormat/>
    <w:rsid w:val="00D15A46"/>
    <w:pPr>
      <w:ind w:left="720"/>
      <w:contextualSpacing/>
    </w:pPr>
  </w:style>
  <w:style w:type="character" w:styleId="IntenseEmphasis">
    <w:name w:val="Intense Emphasis"/>
    <w:basedOn w:val="DefaultParagraphFont"/>
    <w:uiPriority w:val="21"/>
    <w:qFormat/>
    <w:rsid w:val="00D15A46"/>
    <w:rPr>
      <w:i/>
      <w:iCs/>
      <w:color w:val="0F4761" w:themeColor="accent1" w:themeShade="BF"/>
    </w:rPr>
  </w:style>
  <w:style w:type="paragraph" w:styleId="IntenseQuote">
    <w:name w:val="Intense Quote"/>
    <w:basedOn w:val="Normal"/>
    <w:next w:val="Normal"/>
    <w:link w:val="IntenseQuoteChar"/>
    <w:uiPriority w:val="30"/>
    <w:qFormat/>
    <w:rsid w:val="00D15A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5A46"/>
    <w:rPr>
      <w:i/>
      <w:iCs/>
      <w:noProof/>
      <w:color w:val="0F4761" w:themeColor="accent1" w:themeShade="BF"/>
    </w:rPr>
  </w:style>
  <w:style w:type="character" w:styleId="IntenseReference">
    <w:name w:val="Intense Reference"/>
    <w:basedOn w:val="DefaultParagraphFont"/>
    <w:uiPriority w:val="32"/>
    <w:qFormat/>
    <w:rsid w:val="00D15A46"/>
    <w:rPr>
      <w:b/>
      <w:bCs/>
      <w:smallCaps/>
      <w:color w:val="0F4761" w:themeColor="accent1" w:themeShade="BF"/>
      <w:spacing w:val="5"/>
    </w:rPr>
  </w:style>
  <w:style w:type="paragraph" w:styleId="Caption">
    <w:name w:val="caption"/>
    <w:basedOn w:val="Normal"/>
    <w:next w:val="Normal"/>
    <w:uiPriority w:val="35"/>
    <w:unhideWhenUsed/>
    <w:qFormat/>
    <w:rsid w:val="004B60DD"/>
    <w:pPr>
      <w:spacing w:after="200" w:line="240" w:lineRule="auto"/>
      <w:jc w:val="center"/>
    </w:pPr>
    <w:rPr>
      <w:i/>
      <w:iCs/>
      <w:color w:val="0E2841" w:themeColor="text2"/>
      <w:sz w:val="18"/>
      <w:szCs w:val="18"/>
    </w:rPr>
  </w:style>
  <w:style w:type="paragraph" w:styleId="NoSpacing">
    <w:name w:val="No Spacing"/>
    <w:basedOn w:val="Normal"/>
    <w:link w:val="NoSpacingChar"/>
    <w:uiPriority w:val="1"/>
    <w:qFormat/>
    <w:rsid w:val="004B60DD"/>
    <w:pPr>
      <w:spacing w:after="0" w:line="360" w:lineRule="auto"/>
      <w:jc w:val="both"/>
    </w:pPr>
    <w:rPr>
      <w:rFonts w:ascii="Sakkal Majalla" w:hAnsi="Sakkal Majalla" w:cs="Sakkal Majalla"/>
      <w:sz w:val="28"/>
      <w:szCs w:val="28"/>
      <w:lang w:bidi="ar-EG"/>
    </w:rPr>
  </w:style>
  <w:style w:type="paragraph" w:customStyle="1" w:styleId="Style1">
    <w:name w:val="Style1"/>
    <w:basedOn w:val="NoSpacing"/>
    <w:link w:val="Style1Char"/>
    <w:qFormat/>
    <w:rsid w:val="004B60DD"/>
    <w:pPr>
      <w:numPr>
        <w:numId w:val="16"/>
      </w:numPr>
    </w:pPr>
    <w:rPr>
      <w:b/>
      <w:bCs/>
    </w:rPr>
  </w:style>
  <w:style w:type="character" w:customStyle="1" w:styleId="NoSpacingChar">
    <w:name w:val="No Spacing Char"/>
    <w:basedOn w:val="DefaultParagraphFont"/>
    <w:link w:val="NoSpacing"/>
    <w:uiPriority w:val="1"/>
    <w:rsid w:val="004B60DD"/>
    <w:rPr>
      <w:rFonts w:ascii="Sakkal Majalla" w:hAnsi="Sakkal Majalla" w:cs="Sakkal Majalla"/>
      <w:sz w:val="28"/>
      <w:szCs w:val="28"/>
      <w:lang w:bidi="ar-EG"/>
    </w:rPr>
  </w:style>
  <w:style w:type="character" w:customStyle="1" w:styleId="Style1Char">
    <w:name w:val="Style1 Char"/>
    <w:basedOn w:val="NoSpacingChar"/>
    <w:link w:val="Style1"/>
    <w:rsid w:val="004B60DD"/>
    <w:rPr>
      <w:rFonts w:ascii="Sakkal Majalla" w:hAnsi="Sakkal Majalla" w:cs="Sakkal Majalla"/>
      <w:b/>
      <w:bCs/>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Gar19</b:Tag>
    <b:SourceType>Book</b:SourceType>
    <b:Guid>{42DEE5A5-7D26-4969-A5F8-DB3FC8621EA5}</b:Guid>
    <b:Author>
      <b:Author>
        <b:NameList>
          <b:Person>
            <b:Last>Gartenstein-Ross</b:Last>
            <b:First>Daveed</b:First>
          </b:Person>
        </b:NameList>
      </b:Author>
    </b:Author>
    <b:Title>Virtual Plotters. Drones. Weaponized AI?: Violent Non-State Actors as Deadly Early Adopters</b:Title>
    <b:Year>2019</b:Year>
    <b:URL>https://www.researchgate.net/publication/341025114_Virtual_Plotters_Drones_Weaponized_AI_Violent_Non-State_Actors_as_Deadly_Early_Adopters</b:URL>
    <b:RefOrder>6</b:RefOrder>
  </b:Source>
  <b:Source>
    <b:Tag>Bia24</b:Tag>
    <b:SourceType>JournalArticle</b:SourceType>
    <b:Guid>{FF79EEA8-A0C6-4605-BDBE-94F84ED6DCDF}</b:Guid>
    <b:Author>
      <b:Author>
        <b:NameList>
          <b:Person>
            <b:Last>Bianco</b:Last>
            <b:First>Cinzia</b:First>
          </b:Person>
        </b:NameList>
      </b:Author>
    </b:Author>
    <b:Title>Global Saudi: How Europeans can work with an evolving kingdom</b:Title>
    <b:Year>2024</b:Year>
    <b:URL>https://ecfr.eu/publication/global-saudi-how-europeans-can-work-with-an-evolving-kingdom/</b:URL>
    <b:RefOrder>1</b:RefOrder>
  </b:Source>
  <b:Source>
    <b:Tag>Ala236</b:Tag>
    <b:SourceType>JournalArticle</b:SourceType>
    <b:Guid>{7AE5574B-2319-4783-B920-517797446A03}</b:Guid>
    <b:Author>
      <b:Author>
        <b:NameList>
          <b:Person>
            <b:Last>Alanazi</b:Last>
            <b:First>Fayez</b:First>
          </b:Person>
        </b:NameList>
      </b:Author>
    </b:Author>
    <b:Title>Development of Smart Mobility Infrastructure in Saudi Arabia: A Benchmarking Approach</b:Title>
    <b:Year>2023</b:Year>
    <b:URL>https://www.mdpi.com/2071-1050/15/4/3158</b:URL>
    <b:RefOrder>2</b:RefOrder>
  </b:Source>
  <b:Source>
    <b:Tag>Ope21</b:Tag>
    <b:SourceType>JournalArticle</b:SourceType>
    <b:Guid>{967A16F9-E4D3-47DB-83DA-B219196485A3}</b:Guid>
    <b:Author>
      <b:Author>
        <b:NameList>
          <b:Person>
            <b:Last>Opertti</b:Last>
            <b:First>Renato</b:First>
          </b:Person>
        </b:NameList>
      </b:Author>
    </b:Author>
    <b:Title>Learning to build back better futures for education: lessons from educational innovation during the COVID-19 pandemic</b:Title>
    <b:Year>2021</b:Year>
    <b:URL>https://unesdoc.unesco.org/ark:/48223/pf0000383825</b:URL>
    <b:RefOrder>3</b:RefOrder>
  </b:Source>
  <b:Source>
    <b:Tag>Alm211</b:Tag>
    <b:SourceType>JournalArticle</b:SourceType>
    <b:Guid>{87F9045E-2325-443A-9A3A-379F63E22125}</b:Guid>
    <b:Author>
      <b:Author>
        <b:NameList>
          <b:Person>
            <b:Last>Almomani</b:Last>
            <b:First>Laith</b:First>
          </b:Person>
        </b:NameList>
      </b:Author>
    </b:Author>
    <b:Title>The impact of talent management practices on employees' job satisfaction</b:Title>
    <b:Year>2021</b:Year>
    <b:URL>https://www.researchgate.net/publication/357150056_The_impact_of_talent_management_practices_on_employees'_job_satisfaction</b:URL>
    <b:RefOrder>4</b:RefOrder>
  </b:Source>
  <b:Source>
    <b:Tag>Ala25</b:Tag>
    <b:SourceType>Book</b:SourceType>
    <b:Guid>{B4F022F0-9928-4A93-8774-F9499B703361}</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5</b:RefOrder>
  </b:Source>
  <b:Source>
    <b:Tag>Bat13</b:Tag>
    <b:SourceType>Book</b:SourceType>
    <b:Guid>{54CABC22-30E8-4BBA-83B4-6F71A6723CBD}</b:Guid>
    <b:Author>
      <b:Author>
        <b:NameList>
          <b:Person>
            <b:Last>Batra</b:Last>
            <b:First>Narain</b:First>
            <b:Middle>D.</b:Middle>
          </b:Person>
        </b:NameList>
      </b:Author>
    </b:Author>
    <b:Title>The First Freedoms and America's Culture of Innovation</b:Title>
    <b:Year>2013</b:Year>
    <b:URL>https://www.nomos-elibrary.de/en/10.5771/9781442225886/the-first-freedoms-and-america-s-culture-of-innovation</b:URL>
    <b:RefOrder>7</b:RefOrder>
  </b:Source>
  <b:Source>
    <b:Tag>Yue25</b:Tag>
    <b:SourceType>Book</b:SourceType>
    <b:Guid>{F6310602-9273-49E3-ACD3-C75B875E2FDC}</b:Guid>
    <b:Author>
      <b:Author>
        <b:NameList>
          <b:Person>
            <b:Last>Yuen</b:Last>
            <b:First>Kum</b:First>
            <b:Middle>Fai</b:Middle>
          </b:Person>
        </b:NameList>
      </b:Author>
    </b:Author>
    <b:Title>Impact of Critical Situations on Autonomous Vehicles and Strategies for Improvement</b:Title>
    <b:Year>2025</b:Year>
    <b:URL>https://www.mdpi.com/2673-7590/5/2/39</b:URL>
    <b:RefOrder>8</b:RefOrder>
  </b:Source>
  <b:Source>
    <b:Tag>Esa24</b:Tag>
    <b:SourceType>Book</b:SourceType>
    <b:Guid>{51D25061-0B8A-4300-BA96-1B8D3AD6E29C}</b:Guid>
    <b:Author>
      <b:Author>
        <b:NameList>
          <b:Person>
            <b:Last>Esan</b:Last>
            <b:First>Oluwafunmilayo</b:First>
          </b:Person>
        </b:NameList>
      </b:Author>
    </b:Author>
    <b:Title>Supply chain integrating sustainability and ethics: Strategies for modern supply chain management</b:Title>
    <b:Year>2024</b:Year>
    <b:URL>https://www.researchgate.net/publication/380352802_Supply_chain_integrating_sustainability_and_ethics_Strategies_for_modern_supply_chain_management</b:URL>
    <b:RefOrder>9</b:RefOrder>
  </b:Source>
  <b:Source>
    <b:Tag>Feb241</b:Tag>
    <b:SourceType>Book</b:SourceType>
    <b:Guid>{A207DC4C-28A6-46F6-8E90-F957BF28B518}</b:Guid>
    <b:Author>
      <b:Author>
        <b:NameList>
          <b:Person>
            <b:Last>Febrian</b:Last>
            <b:First>Wenny</b:First>
            <b:Middle>Desty</b:Middle>
          </b:Person>
        </b:NameList>
      </b:Author>
    </b:Author>
    <b:Title>Employee Engagement Implementation for Prevent Employee Turnover in Transportation Company</b:Title>
    <b:Year>2024</b:Year>
    <b:URL>https://www.researchgate.net/publication/390750633_Employee_Engagement_Implementation_for_Prevent_Employee_Turnover_in_Transportation_Company</b:URL>
    <b:RefOrder>10</b:RefOrder>
  </b:Source>
  <b:Source>
    <b:Tag>Zha241</b:Tag>
    <b:SourceType>Book</b:SourceType>
    <b:Guid>{F9400C3E-7B59-4F94-A929-0A68C7AC0283}</b:Guid>
    <b:Author>
      <b:Author>
        <b:NameList>
          <b:Person>
            <b:Last>Zhao</b:Last>
            <b:First>Zetian</b:First>
          </b:Person>
        </b:NameList>
      </b:Author>
    </b:Author>
    <b:Title>A comprehensive review on the evolution of bio-inspired sensors from aquatic creatures</b:Title>
    <b:Year>2024</b:Year>
    <b:URL>https://www.sciencedirect.com/science/article/pii/S2666386424003333</b:URL>
    <b:RefOrder>11</b:RefOrder>
  </b:Source>
  <b:Source>
    <b:Tag>Sai23</b:Tag>
    <b:SourceType>Book</b:SourceType>
    <b:Guid>{D21CC833-F9E9-4103-B86B-FDC1221A04FB}</b:Guid>
    <b:Author>
      <b:Author>
        <b:NameList>
          <b:Person>
            <b:Last>Sairmaly</b:Last>
            <b:First>Ferly</b:First>
            <b:Middle>Agustina</b:Middle>
          </b:Person>
        </b:NameList>
      </b:Author>
    </b:Author>
    <b:Title>Human Capital Development and Economic Growth: A Literature Review on Information Technology Investment, Education, Skills, and Productive Labour</b:Title>
    <b:Year>2023</b:Year>
    <b:URL>https://www.researchgate.net/publication/373349775_Human_Capital_Development_and_Economic_Growth_A_Literature_Review_on_Information_Technology_Investment_Education_Skills_and_Productive_Labour</b:URL>
    <b:RefOrder>12</b:RefOrder>
  </b:Source>
  <b:Source>
    <b:Tag>Ald254</b:Tag>
    <b:SourceType>Book</b:SourceType>
    <b:Guid>{5DAEF732-8EFF-4F2F-8C6A-94B9A95C44FB}</b:Guid>
    <b:Author>
      <b:Author>
        <b:NameList>
          <b:Person>
            <b:Last>Aldabbas</b:Last>
            <b:First>Hazem</b:First>
          </b:Person>
        </b:NameList>
      </b:Author>
    </b:Author>
    <b:Title>Determining the Challenges and Future Opportunities in Vocational Education and Training in the UAE: A Systematic Literature Review</b:Title>
    <b:Year>2025</b:Year>
    <b:URL>https://www.researchgate.net/publication/393005329_Determining_the_Challenges_and_Future_Opportunities_in_Vocational_Education_and_Training_in_the_UAE_A_Systematic_Literature_Review</b:URL>
    <b:RefOrder>13</b:RefOrder>
  </b:Source>
  <b:Source>
    <b:Tag>Sul251</b:Tag>
    <b:SourceType>Book</b:SourceType>
    <b:Guid>{4A68ADEC-DBB0-4063-8F2C-645DF2853E94}</b:Guid>
    <b:Author>
      <b:Author>
        <b:NameList>
          <b:Person>
            <b:Last>Sultan</b:Last>
            <b:First>Basel</b:First>
          </b:Person>
        </b:NameList>
      </b:Author>
    </b:Author>
    <b:Title>Bridging the Literature Gap on eProcurement Systems: Insights from Saudi Arabia’s Sustainable Development Transition</b:Title>
    <b:Year>2025</b:Year>
    <b:URL>https://www.mdpi.com/2071-1050/17/8/3429</b:URL>
    <b:RefOrder>14</b:RefOrder>
  </b:Source>
  <b:Source>
    <b:Tag>Lee21</b:Tag>
    <b:SourceType>Book</b:SourceType>
    <b:Guid>{008EAE42-CD1F-4158-96F5-A2CBD13454DD}</b:Guid>
    <b:Author>
      <b:Author>
        <b:NameList>
          <b:Person>
            <b:Last>Lee</b:Last>
            <b:First>Jungyoun</b:First>
          </b:Person>
        </b:NameList>
      </b:Author>
    </b:Author>
    <b:Title>Why Localization Is Necessary as a Business Strategy in Emerging Markets: The Case Comparison of Hyundai and Volkswagen</b:Title>
    <b:Year>2021</b:Year>
    <b:URL>https://www.mdpi.com/2199-8531/7/3/190</b:URL>
    <b:RefOrder>15</b:RefOrder>
  </b:Source>
  <b:Source>
    <b:Tag>Men24</b:Tag>
    <b:SourceType>Book</b:SourceType>
    <b:Guid>{F7FC1509-ADB7-4297-8B0E-7619C9417C0D}</b:Guid>
    <b:Author>
      <b:Author>
        <b:NameList>
          <b:Person>
            <b:Last>Mennella</b:Last>
            <b:First>Ciro</b:First>
          </b:Person>
        </b:NameList>
      </b:Author>
    </b:Author>
    <b:Title>Ethical and regulatory challenges of AI technologies in healthcare: A narrative review</b:Title>
    <b:Year>2024</b:Year>
    <b:URL>https://www.sciencedirect.com/science/article/pii/S2405844024023284</b:URL>
    <b:RefOrder>16</b:RefOrder>
  </b:Source>
  <b:Source>
    <b:Tag>Sun25</b:Tag>
    <b:SourceType>Book</b:SourceType>
    <b:Guid>{1C25964C-322F-4962-8B01-E71ADAE1A728}</b:Guid>
    <b:Author>
      <b:Author>
        <b:NameList>
          <b:Person>
            <b:Last>Sun</b:Last>
            <b:First>Yili</b:First>
          </b:Person>
        </b:NameList>
      </b:Author>
    </b:Author>
    <b:Title>The Strategic Positioning and Implementation Pathways of English Language Teaching in Sino-African Vocational Education Cooperation: -- A Study under the Framework of the Belt and Road Initiative</b:Title>
    <b:Year>2025</b:Year>
    <b:URL>https://www.researchgate.net/publication/392563450_The_Strategic_Positioning_and_Implementation_Pathways_of_English_Language_Teaching_in_Sino-African_Vocational_Education_Cooperation_--_A_Study_under_the_Framework_of_the_Belt_and_Road_Initiative</b:URL>
    <b:RefOrder>17</b:RefOrder>
  </b:Source>
  <b:Source>
    <b:Tag>Mas20</b:Tag>
    <b:SourceType>Book</b:SourceType>
    <b:Guid>{E5ECBBF5-9193-4E7B-9745-C2A503BDBE9F}</b:Guid>
    <b:Author>
      <b:Author>
        <b:NameList>
          <b:Person>
            <b:Last>Mason</b:Last>
            <b:First>Geoff</b:First>
          </b:Person>
        </b:NameList>
      </b:Author>
    </b:Author>
    <b:Title>Higher education, initial vocational education and training and continuing education and training: where should the balance lie?</b:Title>
    <b:Year>2020</b:Year>
    <b:URL>https://www.researchgate.net/publication/342371766_Higher_education_initial_vocational_education_and_training_and_continuing_education_and_training_where_should_the_balance_lie</b:URL>
    <b:RefOrder>18</b:RefOrder>
  </b:Source>
  <b:Source>
    <b:Tag>Has21</b:Tag>
    <b:SourceType>Book</b:SourceType>
    <b:Guid>{6F91284B-9055-4998-92FE-81106C0CE25E}</b:Guid>
    <b:Author>
      <b:Author>
        <b:NameList>
          <b:Person>
            <b:Last>Hasan</b:Last>
            <b:First>Tania</b:First>
          </b:Person>
        </b:NameList>
      </b:Author>
    </b:Author>
    <b:Title>The Influence of Person–Job Fit, Work–Life Balance, and Work Conditions on Organizational Commitment: Investigating the Mediation of Job Satisfaction in the Private Sector of the Emerging Market</b:Title>
    <b:Year>2021</b:Year>
    <b:URL>https://www.mdpi.com/2071-1050/13/12/6622</b:URL>
    <b:RefOrder>19</b:RefOrder>
  </b:Source>
  <b:Source>
    <b:Tag>Alk232</b:Tag>
    <b:SourceType>Book</b:SourceType>
    <b:Guid>{EF7F3EC4-990D-4D41-B494-152E2BE16292}</b:Guid>
    <b:Author>
      <b:Author>
        <b:NameList>
          <b:Person>
            <b:Last>Alkhalaf</b:Last>
            <b:First>Hadeel</b:First>
            <b:Middle>M.</b:Middle>
          </b:Person>
        </b:NameList>
      </b:Author>
    </b:Author>
    <b:Title>Implementing the Localization Law Effectively: The Case of HMG in Saudi Arabia</b:Title>
    <b:Year>2023</b:Year>
    <b:URL>https://www.taylorfrancis.com/chapters/edit/10.4324/9781003307099-23/saudi-arabia-hadeel-alkhalaf</b:URL>
    <b:RefOrder>20</b:RefOrder>
  </b:Source>
  <b:Source>
    <b:Tag>Agg25</b:Tag>
    <b:SourceType>Book</b:SourceType>
    <b:Guid>{C07245F2-FC61-40EA-B324-DC05A8BD0374}</b:Guid>
    <b:Author>
      <b:Author>
        <b:NameList>
          <b:Person>
            <b:Last>Aggarwal</b:Last>
            <b:First>Shalini</b:First>
          </b:Person>
        </b:NameList>
      </b:Author>
    </b:Author>
    <b:Title>Environmental, social and governance investing: systematic literature review using ADO model</b:Title>
    <b:Year>2025</b:Year>
    <b:URL>https://www.emerald.com/insight/content/doi/10.1108/jal-11-2024-0319/full/html</b:URL>
    <b:RefOrder>21</b:RefOrder>
  </b:Source>
  <b:Source>
    <b:Tag>Čav23</b:Tag>
    <b:SourceType>Book</b:SourceType>
    <b:Guid>{00B23996-8492-4E4A-AAF5-68865F98496C}</b:Guid>
    <b:Author>
      <b:Author>
        <b:NameList>
          <b:Person>
            <b:Last>Čavlin</b:Last>
            <b:First>Miroslav</b:First>
          </b:Person>
        </b:NameList>
      </b:Author>
    </b:Author>
    <b:Title>Research on the Determination of the Factors Affecting Business Performance in Beekeeping Production</b:Title>
    <b:Year>2023</b:Year>
    <b:URL>https://www.mdpi.com/2077-0472/13/3/686</b:URL>
    <b:RefOrder>22</b:RefOrder>
  </b:Source>
  <b:Source>
    <b:Tag>Hat22</b:Tag>
    <b:SourceType>Book</b:SourceType>
    <b:Guid>{E4B94C60-0B49-4652-8817-8B9ACBB4B83D}</b:Guid>
    <b:Author>
      <b:Author>
        <b:NameList>
          <b:Person>
            <b:Last>Hatahet</b:Last>
            <b:First>Taher</b:First>
          </b:Person>
        </b:NameList>
      </b:Author>
    </b:Author>
    <b:Title>Strategic job market-guided development of pharmacy bachelor‘s curriculum and its importance in maintaining the profession viability in the Middle Eastern countries: Colleges of pharmacy in the UAE as a model</b:Title>
    <b:Year>2022</b:Year>
    <b:URL>https://www.sciencedirect.com/science/article/pii/S1319016422001803</b:URL>
    <b:RefOrder>23</b:RefOrder>
  </b:Source>
  <b:Source>
    <b:Tag>Lop24</b:Tag>
    <b:SourceType>Book</b:SourceType>
    <b:Guid>{FCD3A5C2-0DEE-433D-A25F-136BC6A73E72}</b:Guid>
    <b:Author>
      <b:Author>
        <b:NameList>
          <b:Person>
            <b:Last>Lopez</b:Last>
            <b:First>Pinedo</b:First>
          </b:Person>
        </b:NameList>
      </b:Author>
    </b:Author>
    <b:Title>Publicación: Sustainability strategies: A proposal for food sector SMEs, based on the integration of life cycle assessment and ESG strategies</b:Title>
    <b:Year>2024</b:Year>
    <b:URL>https://repository.ucc.edu.co/entities/publication/d0975eb8-aa5e-4ef5-b577-5250351757e1</b:URL>
    <b:RefOrder>24</b:RefOrder>
  </b:Source>
  <b:Source>
    <b:Tag>JeJ23</b:Tag>
    <b:SourceType>Book</b:SourceType>
    <b:Guid>{54F06D1F-4FFC-4D1A-991F-3C613EEA2BA5}</b:Guid>
    <b:Author>
      <b:Author>
        <b:NameList>
          <b:Person>
            <b:Last>Je</b:Last>
            <b:First>Jess</b:First>
            <b:Middle>Sanggyeong</b:Middle>
          </b:Person>
        </b:NameList>
      </b:Author>
    </b:Author>
    <b:Title>Gender issues in tourism organisations: insights from a two-phased pragmatic systematic literature review</b:Title>
    <b:Year>2023</b:Year>
    <b:URL>https://www.taylorfrancis.com/chapters/edit/10.4324/9781003329541-13/gender-issues-tourism-organisations-insights-two-phased-pragmatic-systematic-literature-review-jess-sanggyeong-je-catheryn-khoo-elaine-chiao-ling-yang</b:URL>
    <b:RefOrder>25</b:RefOrder>
  </b:Source>
  <b:Source>
    <b:Tag>Cha24</b:Tag>
    <b:SourceType>Book</b:SourceType>
    <b:Guid>{1FE02674-C781-4CD8-A657-FBFFAFA8D53F}</b:Guid>
    <b:Author>
      <b:Author>
        <b:NameList>
          <b:Person>
            <b:Last>Chatti</b:Last>
            <b:First>Chedli</b:First>
            <b:Middle>Baya</b:Middle>
          </b:Person>
        </b:NameList>
      </b:Author>
    </b:Author>
    <b:Title>Closing the Loop: Exploring Food Waste Management in the Near East and North Africa (NENA) Region during the COVID-19 Pandemic</b:Title>
    <b:Year>2024</b:Year>
    <b:URL>https://www.mdpi.com/2071-1050/16/9/3772</b:URL>
    <b:RefOrder>26</b:RefOrder>
  </b:Source>
  <b:Source>
    <b:Tag>Ooi25</b:Tag>
    <b:SourceType>Book</b:SourceType>
    <b:Guid>{D57AE99D-E1C4-4AC6-B0BA-02B189589D3C}</b:Guid>
    <b:Author>
      <b:Author>
        <b:NameList>
          <b:Person>
            <b:Last>Ooi</b:Last>
            <b:First>Say</b:First>
            <b:Middle>Keat</b:Middle>
          </b:Person>
        </b:NameList>
      </b:Author>
    </b:Author>
    <b:Title>Addressing Resource Scarcity: The Role of Responsible Innovation and Resilience in SMEs' Competitive Advantage and Sustainability Performance</b:Title>
    <b:Year>2025</b:Year>
    <b:URL>https://onlinelibrary.wiley.com/doi/abs/10.1002/csr.70005</b:URL>
    <b:RefOrder>27</b:RefOrder>
  </b:Source>
  <b:Source>
    <b:Tag>Ape22</b:Tag>
    <b:SourceType>Book</b:SourceType>
    <b:Guid>{994D03B0-1535-4445-872A-F35E7E55F552}</b:Guid>
    <b:Author>
      <b:Author>
        <b:NameList>
          <b:Person>
            <b:Last>Apeh</b:Last>
            <b:First>Oliver</b:First>
            <b:Middle>O.</b:Middle>
          </b:Person>
        </b:NameList>
      </b:Author>
    </b:Author>
    <b:Title>Contributions of Solar Photovoltaic Systems to Environmental and Socioeconomic Aspects of National Development—A Review</b:Title>
    <b:Year>2022</b:Year>
    <b:URL>https://www.mdpi.com/1996-1073/15/16/5963</b:URL>
    <b:RefOrder>28</b:RefOrder>
  </b:Source>
  <b:Source>
    <b:Tag>Tet25</b:Tag>
    <b:SourceType>Book</b:SourceType>
    <b:Guid>{098EECCE-55C6-47B6-AF1B-A8D2BCC70D20}</b:Guid>
    <b:Author>
      <b:Author>
        <b:NameList>
          <b:Person>
            <b:Last>Tetteh</b:Last>
            <b:First>Francis</b:First>
            <b:Middle>Kamewor</b:Middle>
          </b:Person>
        </b:NameList>
      </b:Author>
    </b:Author>
    <b:Title>Green supply chain management practices: review, framework and future research directions</b:Title>
    <b:Year>2025</b:Year>
    <b:URL>https://www.emerald.com/insight/content/doi/10.1108/jrpc-08-2024-0039/full/html</b:URL>
    <b:RefOrder>29</b:RefOrder>
  </b:Source>
  <b:Source>
    <b:Tag>Emm23</b:Tag>
    <b:SourceType>Book</b:SourceType>
    <b:Guid>{908DD0A6-C576-4331-9368-B536EF74812C}</b:Guid>
    <b:Author>
      <b:Author>
        <b:NameList>
          <b:Person>
            <b:Last>Emmanuel</b:Last>
            <b:First>Ogulo</b:First>
            <b:Middle>James</b:Middle>
          </b:Person>
        </b:NameList>
      </b:Author>
    </b:Author>
    <b:Title>The Impact of Capital Structure on the Growth of Construction Companies</b:Title>
    <b:Year>2023</b:Year>
    <b:URL>https://papers.ssrn.com/sol3/papers.cfm?abstract_id=4326938</b:URL>
    <b:RefOrder>30</b:RefOrder>
  </b:Source>
</b:Sources>
</file>

<file path=customXml/itemProps1.xml><?xml version="1.0" encoding="utf-8"?>
<ds:datastoreItem xmlns:ds="http://schemas.openxmlformats.org/officeDocument/2006/customXml" ds:itemID="{3B68A1DB-6F2D-440C-B6B8-1B155A898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7016</Words>
  <Characters>39997</Characters>
  <Application>Microsoft Office Word</Application>
  <DocSecurity>0</DocSecurity>
  <Lines>333</Lines>
  <Paragraphs>93</Paragraphs>
  <ScaleCrop>false</ScaleCrop>
  <Company/>
  <LinksUpToDate>false</LinksUpToDate>
  <CharactersWithSpaces>46920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Talal Alamri</dc:creator>
  <cp:keywords/>
  <dc:description/>
  <cp:lastModifiedBy>Talal Alamri</cp:lastModifiedBy>
  <cp:revision>3</cp:revision>
  <dcterms:created xsi:type="dcterms:W3CDTF">2025-07-07T14:42:00Z</dcterms:created>
  <dcterms:modified xsi:type="dcterms:W3CDTF">2025-07-08T16:01:00Z</dcterms:modified>
</cp:coreProperties>
</file>