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Rule="auto" w:line="312" w:after="120" w:before="0"/>
        <w:jc w:val="center"/>
        <w:bidi w:val="1"/>
      </w:pPr>
      <w:r>
        <w:rPr>
          <w:rFonts w:ascii="Traditional Arabic" w:hAnsi="Traditional Arabic" w:cs="Traditional Arabic" w:eastAsia="Traditional Arabic"/>
          <w:b/>
          <w:i w:val="0"/>
          <w:sz w:val="32"/>
          <w:rtl w:val="1"/>
        </w:rPr>
        <w:t>جامعة ميدأوشن</w:t>
      </w:r>
    </w:p>
    <w:p>
      <w:pPr>
        <w:spacing w:lineRule="auto" w:line="312" w:after="120" w:before="0"/>
        <w:jc w:val="center"/>
        <w:bidi w:val="1"/>
      </w:pPr>
      <w:r>
        <w:rPr>
          <w:rFonts w:ascii="Traditional Arabic" w:hAnsi="Traditional Arabic" w:cs="Traditional Arabic" w:eastAsia="Traditional Arabic"/>
          <w:b/>
          <w:i w:val="0"/>
          <w:sz w:val="28"/>
          <w:rtl w:val="1"/>
        </w:rPr>
        <w:t>كلية الإدارة</w:t>
      </w:r>
    </w:p>
    <w:p>
      <w:pPr>
        <w:spacing w:lineRule="auto" w:line="312" w:after="120" w:before="0"/>
        <w:jc w:val="center"/>
        <w:bidi w:val="1"/>
      </w:pPr>
      <w:r>
        <w:rPr>
          <w:rFonts w:ascii="Traditional Arabic" w:hAnsi="Traditional Arabic" w:cs="Traditional Arabic" w:eastAsia="Traditional Arabic"/>
          <w:b/>
          <w:i w:val="0"/>
          <w:sz w:val="36"/>
          <w:rtl w:val="1"/>
        </w:rPr>
        <w:t>خطة تسجيل أطروحة دكتوراه</w:t>
      </w:r>
    </w:p>
    <w:p>
      <w:pPr>
        <w:spacing w:lineRule="auto" w:line="312" w:after="120" w:before="0"/>
        <w:jc w:val="center"/>
        <w:bidi w:val="1"/>
      </w:pPr>
      <w:r>
        <w:rPr>
          <w:rFonts w:ascii="Traditional Arabic" w:hAnsi="Traditional Arabic" w:cs="Traditional Arabic" w:eastAsia="Traditional Arabic"/>
          <w:b/>
          <w:i w:val="0"/>
          <w:sz w:val="32"/>
          <w:rtl w:val="1"/>
        </w:rPr>
        <w:t>أثر ممارسات حوكمة المشتريات الحكومية في كفاءة الإنفاق:</w:t>
      </w:r>
    </w:p>
    <w:p>
      <w:pPr>
        <w:spacing w:lineRule="auto" w:line="312" w:after="120" w:before="0"/>
        <w:jc w:val="center"/>
        <w:bidi w:val="1"/>
      </w:pPr>
      <w:r>
        <w:rPr>
          <w:rFonts w:ascii="Traditional Arabic" w:hAnsi="Traditional Arabic" w:cs="Traditional Arabic" w:eastAsia="Traditional Arabic"/>
          <w:b/>
          <w:i w:val="0"/>
          <w:sz w:val="32"/>
          <w:rtl w:val="1"/>
        </w:rPr>
        <w:t>الدور الوسيط لإدارة مخاطر تعارض المصالح في الجهات الحكومية السعودية</w:t>
      </w:r>
    </w:p>
    <w:p>
      <w:pPr>
        <w:spacing w:lineRule="auto" w:line="288" w:after="120" w:before="0"/>
        <w:jc w:val="center"/>
        <w:bidi w:val="0"/>
      </w:pPr>
      <w:r>
        <w:rPr>
          <w:rFonts w:ascii="Traditional Arabic" w:hAnsi="Traditional Arabic" w:cs="Traditional Arabic" w:eastAsia="Traditional Arabic"/>
          <w:b/>
          <w:i w:val="0"/>
          <w:sz w:val="24"/>
        </w:rPr>
        <w:t>The Impact of Government Procurement Governance Practices on Expenditure Efficiency:</w:t>
      </w:r>
    </w:p>
    <w:p>
      <w:pPr>
        <w:spacing w:lineRule="auto" w:line="288" w:after="120" w:before="0"/>
        <w:jc w:val="center"/>
        <w:bidi w:val="0"/>
      </w:pPr>
      <w:r>
        <w:rPr>
          <w:rFonts w:ascii="Traditional Arabic" w:hAnsi="Traditional Arabic" w:cs="Traditional Arabic" w:eastAsia="Traditional Arabic"/>
          <w:b/>
          <w:i w:val="0"/>
          <w:sz w:val="24"/>
        </w:rPr>
        <w:t>The Mediating Role of Conflict-of-Interest Risk Management in Saudi Government Entities</w:t>
      </w:r>
    </w:p>
    <w:p>
      <w:pPr>
        <w:spacing w:lineRule="auto" w:line="360" w:after="120" w:before="0"/>
        <w:jc w:val="right"/>
        <w:bidi w:val="1"/>
      </w:pPr>
      <w:r>
        <w:rPr>
          <w:rFonts w:ascii="Traditional Arabic" w:hAnsi="Traditional Arabic" w:cs="Traditional Arabic" w:eastAsia="Traditional Arabic"/>
          <w:b w:val="0"/>
          <w:i w:val="0"/>
          <w:sz w:val="24"/>
          <w:rtl w:val="1"/>
        </w:rPr>
      </w:r>
    </w:p>
    <w:p>
      <w:pPr>
        <w:spacing w:lineRule="auto" w:line="360" w:after="120" w:before="0"/>
        <w:jc w:val="center"/>
        <w:bidi w:val="1"/>
      </w:pPr>
      <w:r>
        <w:rPr>
          <w:rFonts w:ascii="Traditional Arabic" w:hAnsi="Traditional Arabic" w:cs="Traditional Arabic" w:eastAsia="Traditional Arabic"/>
          <w:b/>
          <w:i w:val="0"/>
          <w:sz w:val="28"/>
          <w:rtl w:val="1"/>
        </w:rPr>
        <w:t>إعداد الباحث:</w:t>
      </w:r>
    </w:p>
    <w:p>
      <w:pPr>
        <w:spacing w:lineRule="auto" w:line="360" w:after="120" w:before="0"/>
        <w:jc w:val="center"/>
        <w:bidi w:val="1"/>
      </w:pPr>
      <w:r>
        <w:rPr>
          <w:rFonts w:ascii="Traditional Arabic" w:hAnsi="Traditional Arabic" w:cs="Traditional Arabic" w:eastAsia="Traditional Arabic"/>
          <w:b/>
          <w:i w:val="0"/>
          <w:sz w:val="28"/>
          <w:rtl w:val="1"/>
        </w:rPr>
        <w:t>فادي بن عبدالصمد مليباري</w:t>
      </w:r>
    </w:p>
    <w:p>
      <w:pPr>
        <w:spacing w:lineRule="auto" w:line="360" w:after="120" w:before="0"/>
        <w:jc w:val="center"/>
        <w:bidi w:val="1"/>
      </w:pPr>
      <w:r>
        <w:rPr>
          <w:rFonts w:ascii="Traditional Arabic" w:hAnsi="Traditional Arabic" w:cs="Traditional Arabic" w:eastAsia="Traditional Arabic"/>
          <w:b w:val="0"/>
          <w:i w:val="0"/>
          <w:sz w:val="24"/>
          <w:rtl w:val="1"/>
        </w:rPr>
        <w:t>الرقم الأكاديمي: [يضاف]</w:t>
      </w:r>
    </w:p>
    <w:p>
      <w:pPr>
        <w:spacing w:lineRule="auto" w:line="360" w:after="120" w:before="0"/>
        <w:jc w:val="center"/>
        <w:bidi w:val="1"/>
      </w:pPr>
      <w:r>
        <w:rPr>
          <w:rFonts w:ascii="Traditional Arabic" w:hAnsi="Traditional Arabic" w:cs="Traditional Arabic" w:eastAsia="Traditional Arabic"/>
          <w:b w:val="0"/>
          <w:i w:val="0"/>
          <w:sz w:val="24"/>
          <w:rtl w:val="1"/>
        </w:rPr>
        <w:t>الكلية: الإدارة</w:t>
      </w:r>
    </w:p>
    <w:p>
      <w:pPr>
        <w:spacing w:lineRule="auto" w:line="360" w:after="120" w:before="0"/>
        <w:jc w:val="center"/>
        <w:bidi w:val="1"/>
      </w:pPr>
      <w:r>
        <w:rPr>
          <w:rFonts w:ascii="Traditional Arabic" w:hAnsi="Traditional Arabic" w:cs="Traditional Arabic" w:eastAsia="Traditional Arabic"/>
          <w:b w:val="0"/>
          <w:i w:val="0"/>
          <w:sz w:val="24"/>
          <w:rtl w:val="1"/>
        </w:rPr>
        <w:t>تاريخ التحديث: 2026م</w:t>
      </w:r>
    </w:p>
    <w:p>
      <w:pPr>
        <w:spacing w:lineRule="auto" w:line="360" w:after="120" w:before="0"/>
        <w:jc w:val="center"/>
        <w:bidi w:val="1"/>
      </w:pPr>
      <w:r>
        <w:rPr>
          <w:rFonts w:ascii="Traditional Arabic" w:hAnsi="Traditional Arabic" w:cs="Traditional Arabic" w:eastAsia="Traditional Arabic"/>
          <w:b/>
          <w:i w:val="0"/>
          <w:sz w:val="24"/>
          <w:highlight w:val="yellow"/>
          <w:rtl w:val="1"/>
        </w:rPr>
        <w:t>ملاحظة: تم تظليل الأجزاء المضافة أو المعدلة باللون الأصفر استجابةً لملاحظات اللجنة العلمية والمشرف.</w:t>
      </w:r>
    </w:p>
    <w:p>
      <w:r>
        <w:rPr/>
        <w:br w:type="page"/>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جدول الاستجابة لملاحظات اللجنة العلمية والمشرف</w:t>
      </w:r>
    </w:p>
    <w:tbl>
      <w:tblPr>
        <w:tblStyle w:val="TableGrid"/>
        <w:tblW w:type="auto" w:w="0"/>
        <w:jc w:val="center"/>
        <w:tblLook w:firstColumn="1" w:firstRow="1" w:lastColumn="0" w:lastRow="0" w:noHBand="0" w:noVBand="1" w:val="04A0"/>
        <w:bidiVisual w:val="1"/>
      </w:tblPr>
      <w:tblGrid>
        <w:gridCol w:w="3024"/>
        <w:gridCol w:w="3024"/>
        <w:gridCol w:w="3024"/>
      </w:tblGrid>
      <w:tr>
        <w:tc>
          <w:tcPr>
            <w:tcW w:type="dxa" w:w="1701"/>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البند</w:t>
            </w:r>
          </w:p>
        </w:tc>
        <w:tc>
          <w:tcPr>
            <w:tcW w:type="dxa" w:w="3969"/>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الملاحظة الرئيسة</w:t>
            </w:r>
          </w:p>
        </w:tc>
        <w:tc>
          <w:tcPr>
            <w:tcW w:type="dxa" w:w="3969"/>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الإجراء التصحيحي المنفذ</w:t>
            </w:r>
          </w:p>
        </w:tc>
      </w:tr>
      <w:tr>
        <w:tc>
          <w:tcPr>
            <w:tcW w:type="dxa" w:w="1701"/>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المقدمة</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إضافة إحصائيات الإنفاق، تقارير هيئة كفاءة الإنفاق، خصوصية المشتريات الحكومية، التدفق المنطقي، ونظرية الوكالة.</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تم تعزيز المقدمة بإحصائيات وزارة المالية لعامي 2025 و2026، ومؤشرات هيئة كفاءة الإنفاق لعام 2024، مع إعادة ترتيب الفقرات وإضافة الإطار النظري.</w:t>
            </w:r>
          </w:p>
        </w:tc>
      </w:tr>
      <w:tr>
        <w:tc>
          <w:tcPr>
            <w:tcW w:type="dxa" w:w="1701"/>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مشكلة الدراسة</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توثيق الإحصائيات، ربط المشكلة برؤية 2030 وبرنامج الاستدامة المالية، وتوضيح الفجوة بين الأنظمة والممارسة.</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تمت إعادة صياغة المشكلة وإضافة مؤشرات محلية وسؤال رئيس موسع يشمل أبعاد المتغيرات الثلاثة.</w:t>
            </w:r>
          </w:p>
        </w:tc>
      </w:tr>
      <w:tr>
        <w:tc>
          <w:tcPr>
            <w:tcW w:type="dxa" w:w="1701"/>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تساؤلات الدراسة</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إعادة صياغة الأسئلة وإضافة سؤال الفروق الديموغرافية وسؤال التفاعل بين أبعاد المتغير الوسيط.</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تمت إعادة صياغة الأسئلة وإضافة السؤالين الثامن والتاسع.</w:t>
            </w:r>
          </w:p>
        </w:tc>
      </w:tr>
      <w:tr>
        <w:tc>
          <w:tcPr>
            <w:tcW w:type="dxa" w:w="1701"/>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أهمية الدراسة</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إضافة الأهمية العربية والخليجية، إسهام نظرية الوكالة، ودعم هيئة كفاءة الإنفاق ووزارة المالية.</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تم توسيع الأهمية النظرية والتطبيقية وإضافة البعد العربي والخليجي وأداة القياس المقترحة.</w:t>
            </w:r>
          </w:p>
        </w:tc>
      </w:tr>
      <w:tr>
        <w:tc>
          <w:tcPr>
            <w:tcW w:type="dxa" w:w="1701"/>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أهداف الدراسة</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صياغة إجرائية وإضافة أهداف الفروق، النموذج التنبؤي، والأثر التفاضلي لأبعاد الحوكمة.</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تمت إعادة صياغة الأهداف بأفعال قابلة للقياس وإضافة الأهداف المطلوبة.</w:t>
            </w:r>
          </w:p>
        </w:tc>
      </w:tr>
      <w:tr>
        <w:tc>
          <w:tcPr>
            <w:tcW w:type="dxa" w:w="1701"/>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الدراسات السابقة</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إضافة دراسات حديثة وعربية وترتيبها حسب المتغيرات وتحديد الفجوات.</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تم توسيع الدراسات المرجعية وإضافة فجوات بحثية صريحة.</w:t>
            </w:r>
          </w:p>
        </w:tc>
      </w:tr>
      <w:tr>
        <w:tc>
          <w:tcPr>
            <w:tcW w:type="dxa" w:w="1701"/>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النظريات الداعمة</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إضافة نظرية الوكالة ونظرية أصحاب المصلحة والتكامل النظري.</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تم إنشاء قسم مستقل للنظريات الداعمة وتفسير العلاقات في النموذج.</w:t>
            </w:r>
          </w:p>
        </w:tc>
      </w:tr>
      <w:tr>
        <w:tc>
          <w:tcPr>
            <w:tcW w:type="dxa" w:w="1701"/>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منهجية الدراسة</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تفصيل العينة، الاستبانات غير المكتملة، تحيز الطريقة الواحدة، تسلسل التحليل، المقابلات، الموافقات.</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تم توسيع المنهجية ومعايير الشمول والاستبعاد وخطة التحليل.</w:t>
            </w:r>
          </w:p>
        </w:tc>
      </w:tr>
      <w:tr>
        <w:tc>
          <w:tcPr>
            <w:tcW w:type="dxa" w:w="1701"/>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الجوانب الشكلية</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إضافة قوائم المحتويات والجداول والأشكال.</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تمت إضافة القوائم المطلوبة في بداية الخطة.</w:t>
            </w:r>
          </w:p>
        </w:tc>
      </w:tr>
    </w:tbl>
    <w:p>
      <w:r>
        <w:rPr/>
        <w:br w:type="page"/>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قائمة المحتويات</w:t>
      </w:r>
    </w:p>
    <w:tbl>
      <w:tblPr>
        <w:tblStyle w:val="TableGrid"/>
        <w:tblW w:type="auto" w:w="0"/>
        <w:jc w:val="center"/>
        <w:tblLook w:firstColumn="1" w:firstRow="1" w:lastColumn="0" w:lastRow="0" w:noHBand="0" w:noVBand="1" w:val="04A0"/>
        <w:bidiVisual w:val="1"/>
      </w:tblPr>
      <w:tblGrid>
        <w:gridCol w:w="3024"/>
        <w:gridCol w:w="3024"/>
        <w:gridCol w:w="3024"/>
      </w:tblGrid>
      <w:tr>
        <w:tc>
          <w:tcPr>
            <w:tcW w:type="dxa" w:w="1701"/>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رقم الصفحة</w:t>
            </w:r>
          </w:p>
        </w:tc>
        <w:tc>
          <w:tcPr>
            <w:tcW w:type="dxa" w:w="5669"/>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العنوان</w:t>
            </w:r>
          </w:p>
        </w:tc>
        <w:tc>
          <w:tcPr>
            <w:tcW w:type="dxa" w:w="1134"/>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م</w:t>
            </w:r>
          </w:p>
        </w:tc>
      </w:tr>
      <w:tr>
        <w:tc>
          <w:tcPr>
            <w:tcW w:type="dxa" w:w="1701"/>
            <w:vAlign w:val="center"/>
          </w:tcPr>
          <w:p>
            <w:pPr>
              <w:jc w:val="center"/>
              <w:bidi w:val="1"/>
            </w:pPr>
            <w:r>
              <w:rPr/>
            </w:r>
            <w:r>
              <w:rPr>
                <w:rFonts w:ascii="Traditional Arabic" w:hAnsi="Traditional Arabic" w:cs="Traditional Arabic"/>
                <w:sz w:val="24"/>
              </w:rPr>
              <w:t>6</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1. عنوان الدراسة باللغة العربية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1</w:t>
            </w:r>
          </w:p>
        </w:tc>
      </w:tr>
      <w:tr>
        <w:tc>
          <w:tcPr>
            <w:tcW w:type="dxa" w:w="1701"/>
            <w:vAlign w:val="center"/>
          </w:tcPr>
          <w:p>
            <w:pPr>
              <w:jc w:val="center"/>
              <w:bidi w:val="1"/>
            </w:pPr>
            <w:r>
              <w:rPr/>
            </w:r>
            <w:r>
              <w:rPr>
                <w:rFonts w:ascii="Traditional Arabic" w:hAnsi="Traditional Arabic" w:cs="Traditional Arabic"/>
                <w:sz w:val="24"/>
              </w:rPr>
              <w:t>6</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2. عنوان الدراسة باللغة الإنجليزية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2</w:t>
            </w:r>
          </w:p>
        </w:tc>
      </w:tr>
      <w:tr>
        <w:tc>
          <w:tcPr>
            <w:tcW w:type="dxa" w:w="1701"/>
            <w:vAlign w:val="center"/>
          </w:tcPr>
          <w:p>
            <w:pPr>
              <w:jc w:val="center"/>
              <w:bidi w:val="1"/>
            </w:pPr>
            <w:r>
              <w:rPr/>
            </w:r>
            <w:r>
              <w:rPr>
                <w:rFonts w:ascii="Traditional Arabic" w:hAnsi="Traditional Arabic" w:cs="Traditional Arabic"/>
                <w:sz w:val="24"/>
              </w:rPr>
              <w:t>6</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3. مقدمة الدراسة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3</w:t>
            </w:r>
          </w:p>
        </w:tc>
      </w:tr>
      <w:tr>
        <w:tc>
          <w:tcPr>
            <w:tcW w:type="dxa" w:w="1701"/>
            <w:vAlign w:val="center"/>
          </w:tcPr>
          <w:p>
            <w:pPr>
              <w:jc w:val="center"/>
              <w:bidi w:val="1"/>
            </w:pPr>
            <w:r>
              <w:rPr/>
            </w:r>
            <w:r>
              <w:rPr>
                <w:rFonts w:ascii="Traditional Arabic" w:hAnsi="Traditional Arabic" w:cs="Traditional Arabic"/>
                <w:sz w:val="24"/>
              </w:rPr>
              <w:t>7</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4. مشكلة الدراسة وتساؤلاتها</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4</w:t>
            </w:r>
          </w:p>
        </w:tc>
      </w:tr>
      <w:tr>
        <w:tc>
          <w:tcPr>
            <w:tcW w:type="dxa" w:w="1701"/>
            <w:vAlign w:val="center"/>
          </w:tcPr>
          <w:p>
            <w:pPr>
              <w:jc w:val="center"/>
              <w:bidi w:val="1"/>
            </w:pPr>
            <w:r>
              <w:rPr/>
            </w:r>
            <w:r>
              <w:rPr>
                <w:rFonts w:ascii="Traditional Arabic" w:hAnsi="Traditional Arabic" w:cs="Traditional Arabic"/>
                <w:sz w:val="24"/>
              </w:rPr>
              <w:t>9</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5. أهمية الدراسة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5</w:t>
            </w:r>
          </w:p>
        </w:tc>
      </w:tr>
      <w:tr>
        <w:tc>
          <w:tcPr>
            <w:tcW w:type="dxa" w:w="1701"/>
            <w:vAlign w:val="center"/>
          </w:tcPr>
          <w:p>
            <w:pPr>
              <w:jc w:val="center"/>
              <w:bidi w:val="1"/>
            </w:pPr>
            <w:r>
              <w:rPr/>
            </w:r>
            <w:r>
              <w:rPr>
                <w:rFonts w:ascii="Traditional Arabic" w:hAnsi="Traditional Arabic" w:cs="Traditional Arabic"/>
                <w:sz w:val="24"/>
              </w:rPr>
              <w:t>10</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6. أهداف الدراسة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6</w:t>
            </w:r>
          </w:p>
        </w:tc>
      </w:tr>
      <w:tr>
        <w:tc>
          <w:tcPr>
            <w:tcW w:type="dxa" w:w="1701"/>
            <w:vAlign w:val="center"/>
          </w:tcPr>
          <w:p>
            <w:pPr>
              <w:jc w:val="center"/>
              <w:bidi w:val="1"/>
            </w:pPr>
            <w:r>
              <w:rPr/>
            </w:r>
            <w:r>
              <w:rPr>
                <w:rFonts w:ascii="Traditional Arabic" w:hAnsi="Traditional Arabic" w:cs="Traditional Arabic"/>
                <w:sz w:val="24"/>
              </w:rPr>
              <w:t>11</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7. فرضيات الدراسة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7</w:t>
            </w:r>
          </w:p>
        </w:tc>
      </w:tr>
      <w:tr>
        <w:tc>
          <w:tcPr>
            <w:tcW w:type="dxa" w:w="1701"/>
            <w:vAlign w:val="center"/>
          </w:tcPr>
          <w:p>
            <w:pPr>
              <w:jc w:val="center"/>
              <w:bidi w:val="1"/>
            </w:pPr>
            <w:r>
              <w:rPr/>
            </w:r>
            <w:r>
              <w:rPr>
                <w:rFonts w:ascii="Traditional Arabic" w:hAnsi="Traditional Arabic" w:cs="Traditional Arabic"/>
                <w:sz w:val="24"/>
              </w:rPr>
              <w:t>12</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8. النظريات الداعمة للدراسة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8</w:t>
            </w:r>
          </w:p>
        </w:tc>
      </w:tr>
      <w:tr>
        <w:tc>
          <w:tcPr>
            <w:tcW w:type="dxa" w:w="1701"/>
            <w:vAlign w:val="center"/>
          </w:tcPr>
          <w:p>
            <w:pPr>
              <w:jc w:val="center"/>
              <w:bidi w:val="1"/>
            </w:pPr>
            <w:r>
              <w:rPr/>
            </w:r>
            <w:r>
              <w:rPr>
                <w:rFonts w:ascii="Traditional Arabic" w:hAnsi="Traditional Arabic" w:cs="Traditional Arabic"/>
                <w:sz w:val="24"/>
              </w:rPr>
              <w:t>13</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9. نموذج الدراسة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9</w:t>
            </w:r>
          </w:p>
        </w:tc>
      </w:tr>
      <w:tr>
        <w:tc>
          <w:tcPr>
            <w:tcW w:type="dxa" w:w="1701"/>
            <w:vAlign w:val="center"/>
          </w:tcPr>
          <w:p>
            <w:pPr>
              <w:jc w:val="center"/>
              <w:bidi w:val="1"/>
            </w:pPr>
            <w:r>
              <w:rPr/>
            </w:r>
            <w:r>
              <w:rPr>
                <w:rFonts w:ascii="Traditional Arabic" w:hAnsi="Traditional Arabic" w:cs="Traditional Arabic"/>
                <w:sz w:val="24"/>
              </w:rPr>
              <w:t>13</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10. مصطلحات الدراسة وتعريفاتها الإجرائية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10</w:t>
            </w:r>
          </w:p>
        </w:tc>
      </w:tr>
      <w:tr>
        <w:tc>
          <w:tcPr>
            <w:tcW w:type="dxa" w:w="1701"/>
            <w:vAlign w:val="center"/>
          </w:tcPr>
          <w:p>
            <w:pPr>
              <w:jc w:val="center"/>
              <w:bidi w:val="1"/>
            </w:pPr>
            <w:r>
              <w:rPr/>
            </w:r>
            <w:r>
              <w:rPr>
                <w:rFonts w:ascii="Traditional Arabic" w:hAnsi="Traditional Arabic" w:cs="Traditional Arabic"/>
                <w:sz w:val="24"/>
              </w:rPr>
              <w:t>14</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11. إجراءات الدراسة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11</w:t>
            </w:r>
          </w:p>
        </w:tc>
      </w:tr>
      <w:tr>
        <w:tc>
          <w:tcPr>
            <w:tcW w:type="dxa" w:w="1701"/>
            <w:vAlign w:val="center"/>
          </w:tcPr>
          <w:p>
            <w:pPr>
              <w:jc w:val="center"/>
              <w:bidi w:val="1"/>
            </w:pPr>
            <w:r>
              <w:rPr/>
            </w:r>
            <w:r>
              <w:rPr>
                <w:rFonts w:ascii="Traditional Arabic" w:hAnsi="Traditional Arabic" w:cs="Traditional Arabic"/>
                <w:sz w:val="24"/>
              </w:rPr>
              <w:t>15</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12. منهج الدراسة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12</w:t>
            </w:r>
          </w:p>
        </w:tc>
      </w:tr>
      <w:tr>
        <w:tc>
          <w:tcPr>
            <w:tcW w:type="dxa" w:w="1701"/>
            <w:vAlign w:val="center"/>
          </w:tcPr>
          <w:p>
            <w:pPr>
              <w:jc w:val="center"/>
              <w:bidi w:val="1"/>
            </w:pPr>
            <w:r>
              <w:rPr/>
            </w:r>
            <w:r>
              <w:rPr>
                <w:rFonts w:ascii="Traditional Arabic" w:hAnsi="Traditional Arabic" w:cs="Traditional Arabic"/>
                <w:sz w:val="24"/>
              </w:rPr>
              <w:t>15</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13. مجتمع وعينة الدراسة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13</w:t>
            </w:r>
          </w:p>
        </w:tc>
      </w:tr>
      <w:tr>
        <w:tc>
          <w:tcPr>
            <w:tcW w:type="dxa" w:w="1701"/>
            <w:vAlign w:val="center"/>
          </w:tcPr>
          <w:p>
            <w:pPr>
              <w:jc w:val="center"/>
              <w:bidi w:val="1"/>
            </w:pPr>
            <w:r>
              <w:rPr/>
            </w:r>
            <w:r>
              <w:rPr>
                <w:rFonts w:ascii="Traditional Arabic" w:hAnsi="Traditional Arabic" w:cs="Traditional Arabic"/>
                <w:sz w:val="24"/>
              </w:rPr>
              <w:t>17</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14. الدراسات المرجعية والفجوات البحثية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14</w:t>
            </w:r>
          </w:p>
        </w:tc>
      </w:tr>
      <w:tr>
        <w:tc>
          <w:tcPr>
            <w:tcW w:type="dxa" w:w="1701"/>
            <w:vAlign w:val="center"/>
          </w:tcPr>
          <w:p>
            <w:pPr>
              <w:jc w:val="center"/>
              <w:bidi w:val="1"/>
            </w:pPr>
            <w:r>
              <w:rPr/>
            </w:r>
            <w:r>
              <w:rPr>
                <w:rFonts w:ascii="Traditional Arabic" w:hAnsi="Traditional Arabic" w:cs="Traditional Arabic"/>
                <w:sz w:val="24"/>
              </w:rPr>
              <w:t>20</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15. حدود الدراسة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15</w:t>
            </w:r>
          </w:p>
        </w:tc>
      </w:tr>
      <w:tr>
        <w:tc>
          <w:tcPr>
            <w:tcW w:type="dxa" w:w="1701"/>
            <w:vAlign w:val="center"/>
          </w:tcPr>
          <w:p>
            <w:pPr>
              <w:jc w:val="center"/>
              <w:bidi w:val="1"/>
            </w:pPr>
            <w:r>
              <w:rPr/>
            </w:r>
            <w:r>
              <w:rPr>
                <w:rFonts w:ascii="Traditional Arabic" w:hAnsi="Traditional Arabic" w:cs="Traditional Arabic"/>
                <w:sz w:val="24"/>
              </w:rPr>
              <w:t>21</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16. وسائل جمع بيانات الدراسة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16</w:t>
            </w:r>
          </w:p>
        </w:tc>
      </w:tr>
      <w:tr>
        <w:tc>
          <w:tcPr>
            <w:tcW w:type="dxa" w:w="1701"/>
            <w:vAlign w:val="center"/>
          </w:tcPr>
          <w:p>
            <w:pPr>
              <w:jc w:val="center"/>
              <w:bidi w:val="1"/>
            </w:pPr>
            <w:r>
              <w:rPr/>
            </w:r>
            <w:r>
              <w:rPr>
                <w:rFonts w:ascii="Traditional Arabic" w:hAnsi="Traditional Arabic" w:cs="Traditional Arabic"/>
                <w:sz w:val="24"/>
              </w:rPr>
              <w:t>21</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17. المعالجات الإحصائية المقترحة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17</w:t>
            </w:r>
          </w:p>
        </w:tc>
      </w:tr>
      <w:tr>
        <w:tc>
          <w:tcPr>
            <w:tcW w:type="dxa" w:w="1701"/>
            <w:vAlign w:val="center"/>
          </w:tcPr>
          <w:p>
            <w:pPr>
              <w:jc w:val="center"/>
              <w:bidi w:val="1"/>
            </w:pPr>
            <w:r>
              <w:rPr/>
            </w:r>
            <w:r>
              <w:rPr>
                <w:rFonts w:ascii="Traditional Arabic" w:hAnsi="Traditional Arabic" w:cs="Traditional Arabic"/>
                <w:sz w:val="24"/>
              </w:rPr>
              <w:t>22</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18. خطوات تنفيذ خطة الدراسة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18</w:t>
            </w:r>
          </w:p>
        </w:tc>
      </w:tr>
      <w:tr>
        <w:tc>
          <w:tcPr>
            <w:tcW w:type="dxa" w:w="1701"/>
            <w:vAlign w:val="center"/>
          </w:tcPr>
          <w:p>
            <w:pPr>
              <w:jc w:val="center"/>
              <w:bidi w:val="1"/>
            </w:pPr>
            <w:r>
              <w:rPr/>
            </w:r>
            <w:r>
              <w:rPr>
                <w:rFonts w:ascii="Traditional Arabic" w:hAnsi="Traditional Arabic" w:cs="Traditional Arabic"/>
                <w:sz w:val="24"/>
              </w:rPr>
              <w:t>23</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19. المراجع</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19</w:t>
            </w:r>
          </w:p>
        </w:tc>
      </w:tr>
      <w:tr>
        <w:tc>
          <w:tcPr>
            <w:tcW w:type="dxa" w:w="1701"/>
            <w:vAlign w:val="center"/>
          </w:tcPr>
          <w:p>
            <w:pPr>
              <w:jc w:val="center"/>
              <w:bidi w:val="1"/>
            </w:pPr>
            <w:r>
              <w:rPr/>
            </w:r>
            <w:r>
              <w:rPr>
                <w:rFonts w:ascii="Traditional Arabic" w:hAnsi="Traditional Arabic" w:cs="Traditional Arabic"/>
                <w:sz w:val="24"/>
              </w:rPr>
              <w:t>25</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20. جدول المراجعة الذاتية</w:t>
            </w:r>
          </w:p>
        </w:tc>
        <w:tc>
          <w:tcPr>
            <w:tcW w:type="dxa" w:w="1134"/>
            <w:vAlign w:val="top"/>
          </w:tcPr>
          <w:p>
            <w:pPr>
              <w:spacing w:lineRule="auto" w:line="360" w:after="120" w:before="0"/>
              <w:jc w:val="right"/>
              <w:bidi w:val="1"/>
            </w:pPr>
            <w:r>
              <w:rPr>
                <w:rFonts w:ascii="Traditional Arabic" w:hAnsi="Traditional Arabic" w:cs="Traditional Arabic" w:eastAsia="Traditional Arabic"/>
                <w:b w:val="0"/>
                <w:i w:val="0"/>
                <w:sz w:val="22"/>
                <w:rtl w:val="1"/>
              </w:rPr>
              <w:t>20</w:t>
            </w:r>
          </w:p>
        </w:tc>
      </w:tr>
    </w:tbl>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قائمة الجداول</w:t>
      </w:r>
    </w:p>
    <w:tbl>
      <w:tblPr>
        <w:tblStyle w:val="TableGrid"/>
        <w:tblW w:type="auto" w:w="0"/>
        <w:jc w:val="center"/>
        <w:tblLook w:firstColumn="1" w:firstRow="1" w:lastColumn="0" w:lastRow="0" w:noHBand="0" w:noVBand="1" w:val="04A0"/>
        <w:bidiVisual w:val="1"/>
      </w:tblPr>
      <w:tblGrid>
        <w:gridCol w:w="3024"/>
        <w:gridCol w:w="3024"/>
        <w:gridCol w:w="3024"/>
      </w:tblGrid>
      <w:tr>
        <w:tc>
          <w:tcPr>
            <w:tcW w:type="dxa" w:w="1701"/>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رقم الصفحة</w:t>
            </w:r>
          </w:p>
        </w:tc>
        <w:tc>
          <w:tcPr>
            <w:tcW w:type="dxa" w:w="5669"/>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عنوان الجدول</w:t>
            </w:r>
          </w:p>
        </w:tc>
        <w:tc>
          <w:tcPr>
            <w:tcW w:type="dxa" w:w="1701"/>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رقم الجدول</w:t>
            </w:r>
          </w:p>
        </w:tc>
      </w:tr>
      <w:tr>
        <w:tc>
          <w:tcPr>
            <w:tcW w:type="dxa" w:w="1701"/>
            <w:vAlign w:val="center"/>
          </w:tcPr>
          <w:p>
            <w:pPr>
              <w:jc w:val="center"/>
              <w:bidi w:val="1"/>
            </w:pPr>
            <w:r>
              <w:rPr/>
            </w:r>
            <w:r>
              <w:rPr>
                <w:rFonts w:ascii="Traditional Arabic" w:hAnsi="Traditional Arabic" w:cs="Traditional Arabic"/>
                <w:sz w:val="24"/>
              </w:rPr>
              <w:t>2</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جدول الاستجابة لملاحظات اللجنة العلمية والمشرف</w:t>
            </w:r>
          </w:p>
        </w:tc>
        <w:tc>
          <w:tcPr>
            <w:tcW w:type="dxa" w:w="1701"/>
            <w:vAlign w:val="top"/>
          </w:tcPr>
          <w:p>
            <w:pPr>
              <w:spacing w:lineRule="auto" w:line="360" w:after="120" w:before="0"/>
              <w:jc w:val="right"/>
              <w:bidi w:val="1"/>
            </w:pPr>
            <w:r>
              <w:rPr>
                <w:rFonts w:ascii="Traditional Arabic" w:hAnsi="Traditional Arabic" w:cs="Traditional Arabic" w:eastAsia="Traditional Arabic"/>
                <w:b w:val="0"/>
                <w:i w:val="0"/>
                <w:sz w:val="22"/>
                <w:rtl w:val="1"/>
              </w:rPr>
              <w:t>جدول (1)</w:t>
            </w:r>
          </w:p>
        </w:tc>
      </w:tr>
      <w:tr>
        <w:tc>
          <w:tcPr>
            <w:tcW w:type="dxa" w:w="1701"/>
            <w:vAlign w:val="center"/>
          </w:tcPr>
          <w:p>
            <w:pPr>
              <w:jc w:val="center"/>
              <w:bidi w:val="1"/>
            </w:pPr>
            <w:r>
              <w:rPr/>
            </w:r>
            <w:r>
              <w:rPr>
                <w:rFonts w:ascii="Traditional Arabic" w:hAnsi="Traditional Arabic" w:cs="Traditional Arabic"/>
                <w:sz w:val="24"/>
              </w:rPr>
              <w:t>13</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ملخص متغيرات الدراسة وأبعادها</w:t>
            </w:r>
          </w:p>
        </w:tc>
        <w:tc>
          <w:tcPr>
            <w:tcW w:type="dxa" w:w="1701"/>
            <w:vAlign w:val="top"/>
          </w:tcPr>
          <w:p>
            <w:pPr>
              <w:spacing w:lineRule="auto" w:line="360" w:after="120" w:before="0"/>
              <w:jc w:val="right"/>
              <w:bidi w:val="1"/>
            </w:pPr>
            <w:r>
              <w:rPr>
                <w:rFonts w:ascii="Traditional Arabic" w:hAnsi="Traditional Arabic" w:cs="Traditional Arabic" w:eastAsia="Traditional Arabic"/>
                <w:b w:val="0"/>
                <w:i w:val="0"/>
                <w:sz w:val="22"/>
                <w:rtl w:val="1"/>
              </w:rPr>
              <w:t>جدول (2)</w:t>
            </w:r>
          </w:p>
        </w:tc>
      </w:tr>
      <w:tr>
        <w:tc>
          <w:tcPr>
            <w:tcW w:type="dxa" w:w="1701"/>
            <w:vAlign w:val="center"/>
          </w:tcPr>
          <w:p>
            <w:pPr>
              <w:jc w:val="center"/>
              <w:bidi w:val="1"/>
            </w:pPr>
            <w:r>
              <w:rPr/>
            </w:r>
            <w:r>
              <w:rPr>
                <w:rFonts w:ascii="Traditional Arabic" w:hAnsi="Traditional Arabic" w:cs="Traditional Arabic"/>
                <w:sz w:val="24"/>
              </w:rPr>
              <w:t>17</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مواءمة أسئلة الدراسة وأهدافها وفرضياتها</w:t>
            </w:r>
          </w:p>
        </w:tc>
        <w:tc>
          <w:tcPr>
            <w:tcW w:type="dxa" w:w="1701"/>
            <w:vAlign w:val="top"/>
          </w:tcPr>
          <w:p>
            <w:pPr>
              <w:spacing w:lineRule="auto" w:line="360" w:after="120" w:before="0"/>
              <w:jc w:val="right"/>
              <w:bidi w:val="1"/>
            </w:pPr>
            <w:r>
              <w:rPr>
                <w:rFonts w:ascii="Traditional Arabic" w:hAnsi="Traditional Arabic" w:cs="Traditional Arabic" w:eastAsia="Traditional Arabic"/>
                <w:b w:val="0"/>
                <w:i w:val="0"/>
                <w:sz w:val="22"/>
                <w:rtl w:val="1"/>
              </w:rPr>
              <w:t>جدول (3)</w:t>
            </w:r>
          </w:p>
        </w:tc>
      </w:tr>
      <w:tr>
        <w:tc>
          <w:tcPr>
            <w:tcW w:type="dxa" w:w="1701"/>
            <w:vAlign w:val="center"/>
          </w:tcPr>
          <w:p>
            <w:pPr>
              <w:jc w:val="center"/>
              <w:bidi w:val="1"/>
            </w:pPr>
            <w:r>
              <w:rPr/>
            </w:r>
            <w:r>
              <w:rPr>
                <w:rFonts w:ascii="Traditional Arabic" w:hAnsi="Traditional Arabic" w:cs="Traditional Arabic"/>
                <w:sz w:val="24"/>
              </w:rPr>
              <w:t>16</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أساس التقسيم الطبقي للعينة ومعايير الشمول والاستبعاد</w:t>
            </w:r>
          </w:p>
        </w:tc>
        <w:tc>
          <w:tcPr>
            <w:tcW w:type="dxa" w:w="1701"/>
            <w:vAlign w:val="top"/>
          </w:tcPr>
          <w:p>
            <w:pPr>
              <w:spacing w:lineRule="auto" w:line="360" w:after="120" w:before="0"/>
              <w:jc w:val="right"/>
              <w:bidi w:val="1"/>
            </w:pPr>
            <w:r>
              <w:rPr>
                <w:rFonts w:ascii="Traditional Arabic" w:hAnsi="Traditional Arabic" w:cs="Traditional Arabic" w:eastAsia="Traditional Arabic"/>
                <w:b w:val="0"/>
                <w:i w:val="0"/>
                <w:sz w:val="22"/>
                <w:rtl w:val="1"/>
              </w:rPr>
              <w:t>جدول (4)</w:t>
            </w:r>
          </w:p>
        </w:tc>
      </w:tr>
      <w:tr>
        <w:tc>
          <w:tcPr>
            <w:tcW w:type="dxa" w:w="1701"/>
            <w:vAlign w:val="center"/>
          </w:tcPr>
          <w:p>
            <w:pPr>
              <w:jc w:val="center"/>
              <w:bidi w:val="1"/>
            </w:pPr>
            <w:r>
              <w:rPr/>
            </w:r>
            <w:r>
              <w:rPr>
                <w:rFonts w:ascii="Traditional Arabic" w:hAnsi="Traditional Arabic" w:cs="Traditional Arabic"/>
                <w:sz w:val="24"/>
              </w:rPr>
              <w:t>22</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تسلسل خطوات تحليل البيانات والمعالجات الإحصائية</w:t>
            </w:r>
          </w:p>
        </w:tc>
        <w:tc>
          <w:tcPr>
            <w:tcW w:type="dxa" w:w="1701"/>
            <w:vAlign w:val="top"/>
          </w:tcPr>
          <w:p>
            <w:pPr>
              <w:spacing w:lineRule="auto" w:line="360" w:after="120" w:before="0"/>
              <w:jc w:val="right"/>
              <w:bidi w:val="1"/>
            </w:pPr>
            <w:r>
              <w:rPr>
                <w:rFonts w:ascii="Traditional Arabic" w:hAnsi="Traditional Arabic" w:cs="Traditional Arabic" w:eastAsia="Traditional Arabic"/>
                <w:b w:val="0"/>
                <w:i w:val="0"/>
                <w:sz w:val="22"/>
                <w:rtl w:val="1"/>
              </w:rPr>
              <w:t>جدول (5)</w:t>
            </w:r>
          </w:p>
        </w:tc>
      </w:tr>
      <w:tr>
        <w:tc>
          <w:tcPr>
            <w:tcW w:type="dxa" w:w="1701"/>
            <w:vAlign w:val="center"/>
          </w:tcPr>
          <w:p>
            <w:pPr>
              <w:jc w:val="center"/>
              <w:bidi w:val="1"/>
            </w:pPr>
            <w:r>
              <w:rPr/>
            </w:r>
            <w:r>
              <w:rPr>
                <w:rFonts w:ascii="Traditional Arabic" w:hAnsi="Traditional Arabic" w:cs="Traditional Arabic"/>
                <w:sz w:val="24"/>
              </w:rPr>
              <w:t>20</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الدراسات المرجعية موزعة حسب متغيرات الدراسة</w:t>
            </w:r>
          </w:p>
        </w:tc>
        <w:tc>
          <w:tcPr>
            <w:tcW w:type="dxa" w:w="1701"/>
            <w:vAlign w:val="top"/>
          </w:tcPr>
          <w:p>
            <w:pPr>
              <w:spacing w:lineRule="auto" w:line="360" w:after="120" w:before="0"/>
              <w:jc w:val="right"/>
              <w:bidi w:val="1"/>
            </w:pPr>
            <w:r>
              <w:rPr>
                <w:rFonts w:ascii="Traditional Arabic" w:hAnsi="Traditional Arabic" w:cs="Traditional Arabic" w:eastAsia="Traditional Arabic"/>
                <w:b w:val="0"/>
                <w:i w:val="0"/>
                <w:sz w:val="22"/>
                <w:rtl w:val="1"/>
              </w:rPr>
              <w:t>جدول (6)</w:t>
            </w:r>
          </w:p>
        </w:tc>
      </w:tr>
      <w:tr>
        <w:tc>
          <w:tcPr>
            <w:tcW w:type="dxa" w:w="1701"/>
            <w:vAlign w:val="center"/>
          </w:tcPr>
          <w:p>
            <w:pPr>
              <w:jc w:val="center"/>
              <w:bidi w:val="1"/>
            </w:pPr>
            <w:r>
              <w:rPr/>
            </w:r>
            <w:r>
              <w:rPr>
                <w:rFonts w:ascii="Traditional Arabic" w:hAnsi="Traditional Arabic" w:cs="Traditional Arabic"/>
                <w:sz w:val="24"/>
              </w:rPr>
              <w:t>25</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جدول المراجعة الذاتية للخطة بعد التعديل</w:t>
            </w:r>
          </w:p>
        </w:tc>
        <w:tc>
          <w:tcPr>
            <w:tcW w:type="dxa" w:w="1701"/>
            <w:vAlign w:val="top"/>
          </w:tcPr>
          <w:p>
            <w:pPr>
              <w:spacing w:lineRule="auto" w:line="360" w:after="120" w:before="0"/>
              <w:jc w:val="right"/>
              <w:bidi w:val="1"/>
            </w:pPr>
            <w:r>
              <w:rPr>
                <w:rFonts w:ascii="Traditional Arabic" w:hAnsi="Traditional Arabic" w:cs="Traditional Arabic" w:eastAsia="Traditional Arabic"/>
                <w:b w:val="0"/>
                <w:i w:val="0"/>
                <w:sz w:val="22"/>
                <w:rtl w:val="1"/>
              </w:rPr>
              <w:t>جدول (7)</w:t>
            </w:r>
          </w:p>
        </w:tc>
      </w:tr>
    </w:tbl>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قائمة الأشكال</w:t>
      </w:r>
    </w:p>
    <w:tbl>
      <w:tblPr>
        <w:tblStyle w:val="TableGrid"/>
        <w:tblW w:type="auto" w:w="0"/>
        <w:jc w:val="center"/>
        <w:tblLook w:firstColumn="1" w:firstRow="1" w:lastColumn="0" w:lastRow="0" w:noHBand="0" w:noVBand="1" w:val="04A0"/>
        <w:bidiVisual w:val="1"/>
      </w:tblPr>
      <w:tblGrid>
        <w:gridCol w:w="3024"/>
        <w:gridCol w:w="3024"/>
        <w:gridCol w:w="3024"/>
      </w:tblGrid>
      <w:tr>
        <w:tc>
          <w:tcPr>
            <w:tcW w:type="dxa" w:w="1701"/>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رقم الصفحة</w:t>
            </w:r>
          </w:p>
        </w:tc>
        <w:tc>
          <w:tcPr>
            <w:tcW w:type="dxa" w:w="5669"/>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عنوان الشكل</w:t>
            </w:r>
          </w:p>
        </w:tc>
        <w:tc>
          <w:tcPr>
            <w:tcW w:type="dxa" w:w="1701"/>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رقم الشكل</w:t>
            </w:r>
          </w:p>
        </w:tc>
      </w:tr>
      <w:tr>
        <w:tc>
          <w:tcPr>
            <w:tcW w:type="dxa" w:w="1701"/>
            <w:vAlign w:val="center"/>
          </w:tcPr>
          <w:p>
            <w:pPr>
              <w:jc w:val="center"/>
              <w:bidi w:val="1"/>
            </w:pPr>
            <w:r>
              <w:rPr/>
            </w:r>
            <w:r>
              <w:rPr>
                <w:rFonts w:ascii="Traditional Arabic" w:hAnsi="Traditional Arabic" w:cs="Traditional Arabic"/>
                <w:sz w:val="24"/>
              </w:rPr>
              <w:t>13</w:t>
            </w:r>
          </w:p>
        </w:tc>
        <w:tc>
          <w:tcPr>
            <w:tcW w:type="dxa" w:w="5669"/>
            <w:vAlign w:val="top"/>
          </w:tcPr>
          <w:p>
            <w:pPr>
              <w:spacing w:lineRule="auto" w:line="360" w:after="120" w:before="0"/>
              <w:jc w:val="right"/>
              <w:bidi w:val="1"/>
            </w:pPr>
            <w:r>
              <w:rPr>
                <w:rFonts w:ascii="Traditional Arabic" w:hAnsi="Traditional Arabic" w:cs="Traditional Arabic" w:eastAsia="Traditional Arabic"/>
                <w:b w:val="0"/>
                <w:i w:val="0"/>
                <w:sz w:val="22"/>
                <w:rtl w:val="1"/>
              </w:rPr>
              <w:t>نموذج الدراسة المقترح</w:t>
            </w:r>
          </w:p>
        </w:tc>
        <w:tc>
          <w:tcPr>
            <w:tcW w:type="dxa" w:w="1701"/>
            <w:vAlign w:val="top"/>
          </w:tcPr>
          <w:p>
            <w:pPr>
              <w:spacing w:lineRule="auto" w:line="360" w:after="120" w:before="0"/>
              <w:jc w:val="right"/>
              <w:bidi w:val="1"/>
            </w:pPr>
            <w:r>
              <w:rPr>
                <w:rFonts w:ascii="Traditional Arabic" w:hAnsi="Traditional Arabic" w:cs="Traditional Arabic" w:eastAsia="Traditional Arabic"/>
                <w:b w:val="0"/>
                <w:i w:val="0"/>
                <w:sz w:val="22"/>
                <w:rtl w:val="1"/>
              </w:rPr>
              <w:t>شكل (1)</w:t>
            </w:r>
          </w:p>
        </w:tc>
      </w:tr>
    </w:tbl>
    <w:p>
      <w:r>
        <w:rPr/>
        <w:br w:type="page"/>
      </w:r>
    </w:p>
    <w:p>
      <w:pPr>
        <w:spacing w:lineRule="auto" w:line="360" w:after="160" w:before="0"/>
        <w:jc w:val="right"/>
        <w:pStyle w:val="Heading1"/>
        <w:bidi w:val="1"/>
      </w:pPr>
      <w:r>
        <w:rPr>
          <w:rFonts w:ascii="Traditional Arabic" w:hAnsi="Traditional Arabic" w:cs="Traditional Arabic" w:eastAsia="Traditional Arabic"/>
          <w:b/>
          <w:i w:val="0"/>
          <w:sz w:val="32"/>
          <w:rtl w:val="1"/>
        </w:rPr>
        <w:t>1. عنوان الدراسة باللغة العربية</w:t>
      </w:r>
    </w:p>
    <w:p>
      <w:pPr>
        <w:spacing w:lineRule="auto" w:line="360" w:after="120" w:before="0"/>
        <w:jc w:val="right"/>
        <w:bidi w:val="1"/>
      </w:pPr>
      <w:r>
        <w:rPr>
          <w:rFonts w:ascii="Traditional Arabic" w:hAnsi="Traditional Arabic" w:cs="Traditional Arabic" w:eastAsia="Traditional Arabic"/>
          <w:b/>
          <w:i w:val="0"/>
          <w:sz w:val="28"/>
          <w:rtl w:val="1"/>
        </w:rPr>
        <w:t>أثر ممارسات حوكمة المشتريات الحكومية في كفاءة الإنفاق: الدور الوسيط لإدارة مخاطر تعارض المصالح في الجهات الحكومية السعودية</w:t>
      </w:r>
    </w:p>
    <w:p>
      <w:pPr>
        <w:spacing w:lineRule="auto" w:line="360" w:after="160" w:before="0"/>
        <w:jc w:val="right"/>
        <w:pStyle w:val="Heading1"/>
        <w:bidi w:val="1"/>
      </w:pPr>
      <w:r>
        <w:rPr>
          <w:rFonts w:ascii="Traditional Arabic" w:hAnsi="Traditional Arabic" w:cs="Traditional Arabic" w:eastAsia="Traditional Arabic"/>
          <w:b/>
          <w:i w:val="0"/>
          <w:sz w:val="32"/>
          <w:rtl w:val="1"/>
        </w:rPr>
        <w:t>2. عنوان الدراسة باللغة الإنجليزية</w:t>
      </w:r>
    </w:p>
    <w:p>
      <w:pPr>
        <w:spacing w:lineRule="auto" w:line="360" w:after="120" w:before="0"/>
        <w:jc w:val="left"/>
        <w:bidi w:val="0"/>
      </w:pPr>
      <w:r>
        <w:rPr>
          <w:rFonts w:ascii="Traditional Arabic" w:hAnsi="Traditional Arabic" w:cs="Traditional Arabic" w:eastAsia="Traditional Arabic"/>
          <w:b/>
          <w:i w:val="0"/>
          <w:sz w:val="24"/>
        </w:rPr>
        <w:t>The Impact of Government Procurement Governance Practices on Expenditure Efficiency: The Mediating Role of Conflict-of-Interest Risk Management in Saudi Government Entities</w:t>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3. مقدمة الدراسة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تمثل المشتريات الحكومية إحدى الوظائف الإدارية ذات الأثر المباشر في جودة الأداء الحكومي وكفاءة استخدام الموارد العامة؛ فهي ليست مجرد إجراءات لشراء السلع أو تنفيذ الأعمال أو الحصول على الخدمات، بل تعد مدخلًا إداريًا مؤثرًا في تحقيق القيمة من المال العام، ورفع جودة المشروعات والخدمات الحكومية، وتعزيز الثقة في عدالة وموضوعية القرارات الحكومية. وتزداد أهمية هذه الوظيفة في المملكة العربية السعودية بالنظر إلى حجم الإنفاق الحكومي المعتمد؛ فقد قدرت وزارة المالية إجمالي النفقات في ميزانية عام 2025م بنحو 1,285 مليار ريال، كما قدر البيان التمهيدي لميزانية عام 2026م إجمالي النفقات بنحو 1,313 مليار ريال، وهو ما يعكس اتساع نطاق الموارد العامة التي تمر عبر قرارات الإنفاق والتعاقد والشراء الحكومي (وزارة المالية، 2025أ؛ وزارة المالية، 2025ب).</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وتختلف المشتريات الحكومية عن المشتريات في القطاع الخاص من حيث طبيعتها التنظيمية، ومصدر تمويلها، وأهدافها، والقيود النظامية التي تحكمها. فالقطاع الخاص يركز غالبًا على تعظيم الربحية ومرونة التفاوض وسرعة القرار، بينما تخضع المشتريات الحكومية لمتطلبات حماية المال العام، وتحقيق الشفافية، وضمان المنافسة العادلة، وتكافؤ الفرص، والامتثال للنظام واللوائح، والرقابة السابقة واللاحقة، إضافة إلى حساسية تعارض المصالح عند مشاركة الموظفين واللجان والموردين في قرارات ذات أثر مالي ومؤسسي واسع.</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وتبرز حوكمة المشتريات الحكومية بوصفها مدخلًا إداريًا لضبط هذه التعقيدات؛ إذ تسهم في تحديد الأدوار والصلاحيات، وتعزيز المساءلة، وضمان شفافية المعلومات، وتحسين جودة التخطيط، ورفع كفاءة الرقابة الداخلية، وتفعيل المشتريات الرقمية. وقد أطلقت هيئة كفاءة الإنفاق والمشروعات الحكومية سبعة أدلة للمشتريات الحكومية بهدف تحسين عمليات الطرح والمشتريات، ودعم رحلة المشتريات، وتطبيق أفضل الممارسات الموحدة، وتعزيز إعداد ونشر خطة المشتريات السنوية بما يحقق الكفاءة ويرفع جودة العمليات المخططة (هيئة كفاءة الإنفاق والمشروعات الحكومية، 2024).</w:t>
      </w:r>
    </w:p>
    <w:p>
      <w:pPr>
        <w:spacing w:lineRule="auto" w:line="360" w:after="120" w:before="0"/>
        <w:jc w:val="right"/>
        <w:bidi w:val="1"/>
      </w:pPr>
      <w:r>
        <w:rPr>
          <w:rFonts w:ascii="Traditional Arabic" w:hAnsi="Traditional Arabic" w:cs="Traditional Arabic" w:eastAsia="Traditional Arabic"/>
          <w:b w:val="0"/>
          <w:i w:val="0"/>
          <w:sz w:val="24"/>
          <w:rtl w:val="1"/>
        </w:rPr>
        <w:t>وتكتسب كفاءة الإنفاق أهمية خاصة في السياق السعودي؛ إذ لا يقتصر المفهوم على خفض الإنفاق أو تقليل الأسعار، بل يرتبط بتعظيم الأثر مقابل الصرف، وتحقيق الاستخدام الأمثل للموارد، ومعالجة أوجه الهدر دون التأثير على جودة الخدمة المقدمة. وتؤكد الورقة البحثية الصادرة عن هيئة كفاءة الإنفاق والمشروعات الحكومية أن كفاءة الإنفاق تتضمن بعدين رئيسين هما الكفاءة الفنية، وكفاءة تخصيص الموارد، بما يجعل قياسها مرتبطًا بجودة التخطيط، وسلامة التخصيص، وفاعلية التنفيذ، لا بمجرد انخفاض سعر الترسية (هيئة كفاءة الإنفاق والمشروعات الحكومية، 2025أ).</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وتشير مؤشرات الهيئة إلى حجم الجهد المؤسسي المبذول في هذا المجال؛ فقد أعلنت الهيئة ضمن إنجازات عام 2024م أنه تم توجيه أكثر من 105 مليارات ريال لإنفاق أكثر استدامة، وانخفاض تعثر المشاريع بنسبة 11%، وتوقيع اتفاقيات إطارية بقيمة 21 مليار ريال، وإدراج 57 ألف منتج وخدمة في سوق اعتماد الإلكتروني، ووجود 191 فريقًا لكفاءة الإنفاق بالجهات الحكومية، إضافة إلى أكثر من 1500 فرصة لتحسين استغلال الموارد الحكومية (هيئة كفاءة الإنفاق والمشروعات الحكومية، 2024أ). كما أشارت الهيئة إلى أن فرق كفاءة الإنفاق وثقت أكثر من 4,000 مبادرة منذ عام 2019م وحتى عام 2024م، بما يؤكد أن كفاءة الإنفاق أصبحت ممارسة مؤسسية ممتدة عبر الجهات الحكومية (هيئة كفاءة الإنفاق والمشروعات الحكومية، 2025ب).</w:t>
      </w:r>
    </w:p>
    <w:p>
      <w:pPr>
        <w:spacing w:lineRule="auto" w:line="360" w:after="120" w:before="0"/>
        <w:jc w:val="right"/>
        <w:bidi w:val="1"/>
      </w:pPr>
      <w:r>
        <w:rPr>
          <w:rFonts w:ascii="Traditional Arabic" w:hAnsi="Traditional Arabic" w:cs="Traditional Arabic" w:eastAsia="Traditional Arabic"/>
          <w:b w:val="0"/>
          <w:i w:val="0"/>
          <w:sz w:val="24"/>
          <w:rtl w:val="1"/>
        </w:rPr>
        <w:t>وفي المقابل، فإن دورة المشتريات الحكومية لا تخلو من مخاطر تنظيمية وسلوكية قد تؤثر في كفاءة الإنفاق، ومن أبرزها مخاطر تعارض المصالح. فالتعارض قد يظهر في مرحلة دراسة الاحتياج، أو إعداد المواصفات، أو فحص العروض، أو الترسية، أو إدارة العقد، وقد يؤدي إلى إضعاف المنافسة، أو التأثير في موضوعية التقييم، أو توجيه الموارد نحو خيارات أقل كفاءة. ولهذا نص نظام المنافسات والمشتريات الحكومية ولائحته على منع تعارض المصالح وتعزيز النزاهة والمنافسة والشفافية، كما صدرت لائحة تنظيم تعارض المصالح بوصفها أداة تنظيمية لضمان الحياد والعدالة في إجراءات المشتريات الحكومية (وزارة المالية، 2021؛ وزارة المالية، 2024).</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وتستند الدراسة نظريًا إلى نظرية الوكالة (Agency Theory) التي تفسر العلاقة بين الأصيل والوكيل في بيئات تتضمن تفويضًا للمسؤولية واحتمالًا لاختلاف المصالح وعدم تماثل المعلومات. وفي سياق المشتريات الحكومية يمكن النظر إلى الدولة والمجتمع بوصفهما الأصيل، وإلى موظفي المشتريات واللجان والجهات المنفذة بوصفهم وكلاء يتولون إدارة الموارد العامة. ومن ثم، تمثل حوكمة المشتريات آلية رقابية لتقليل مشكلات الوكالة، بينما تمثل إدارة مخاطر تعارض المصالح آلية وسيطة تحد من الانحراف السلوكي وتدعم كفاءة الإنفاق (Jensen &amp; Meckling, 1976; Eisenhardt, 1989).</w:t>
      </w:r>
    </w:p>
    <w:p>
      <w:pPr>
        <w:spacing w:lineRule="auto" w:line="360" w:after="120" w:before="0"/>
        <w:jc w:val="right"/>
        <w:bidi w:val="1"/>
      </w:pPr>
      <w:r>
        <w:rPr>
          <w:rFonts w:ascii="Traditional Arabic" w:hAnsi="Traditional Arabic" w:cs="Traditional Arabic" w:eastAsia="Traditional Arabic"/>
          <w:b w:val="0"/>
          <w:i w:val="0"/>
          <w:sz w:val="24"/>
          <w:rtl w:val="1"/>
        </w:rPr>
        <w:t>ومن هذا المنطلق، تأتي هذه الدراسة لبحث أثر ممارسات حوكمة المشتريات الحكومية في كفاءة الإنفاق، مع اختبار الدور الوسيط لإدارة مخاطر تعارض المصالح في الجهات الحكومية السعودية، وبما ينسجم مع التوجهات الوطنية الهادفة إلى رفع كفاءة الإنفاق وتحقيق الاستدامة المالية وتطوير منظومة المشتريات الحكومية.</w:t>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4. مشكلة الدراسة وتساؤلاتها</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شهدت المملكة العربية السعودية تطورًا واضحًا في منظومة المشتريات الحكومية، سواء من خلال نظام المنافسات والمشتريات الحكومية ولائحته التنفيذية، أو من خلال تفعيل المنصات الرقمية، أو تعزيز أدوار وزارة المالية وهيئة كفاءة الإنفاق والمشروعات الحكومية والجهات الرقابية. ومع ذلك، فإن وجود الأطر النظامية لا يضمن بذاته تحقيق كفاءة الإنفاق ما لم تتحول تلك الأطر إلى ممارسات حوكمة مؤسسية قابلة للقياس والتطبيق داخل الجهات الحكومية.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تؤكد المؤشرات المحلية أن كفاءة الإنفاق أصبحت قضية تطبيقية ذات أثر واسع؛ إذ أطلقت الهيئة مبادرات وأدوات ومنصات لرفع كفاءة المشتريات والمشروعات، ومنها منصة فرق كفاءة الإنفاق التي تمكّن الجهات الحكومية من تقديم التقارير الربعية ومراجعة المبادرات والوفورات، ومنصة الشراء الحكومي الموحد التي تستهدف الارتقاء بكفاءة وفاعلية المشتريات الحكومية والتوسع في إجراءات الشراء الاستراتيجي، إضافة إلى أداة التسعير الاسترشادية للمشتريات الحكومية التي تدعم صناعة القرار بالبيانات والتحليلات (هيئة كفاءة الإنفاق والمشروعات الحكومية، 2026).</w:t>
      </w:r>
    </w:p>
    <w:p>
      <w:pPr>
        <w:spacing w:lineRule="auto" w:line="360" w:after="120" w:before="0"/>
        <w:jc w:val="right"/>
        <w:bidi w:val="1"/>
      </w:pPr>
      <w:r>
        <w:rPr>
          <w:rFonts w:ascii="Traditional Arabic" w:hAnsi="Traditional Arabic" w:cs="Traditional Arabic" w:eastAsia="Traditional Arabic"/>
          <w:b w:val="0"/>
          <w:i w:val="0"/>
          <w:sz w:val="24"/>
          <w:rtl w:val="1"/>
        </w:rPr>
        <w:t>وتشير ورقة هيئة كفاءة الإنفاق إلى أن فجوات الكفاءة لا ترجع فقط إلى حجم الموارد المتاحة، بل قد ترتبط بضعف الحوكمة وإدارة الإنفاق، وأن إدارة الإنفاق تمر بثلاث مراحل مترابطة هي التخطيط، وتخصيص الموارد، والتنفيذ. وفي سياق المشتريات الحكومية يمكن ترجمة هذه المراحل إلى التخطيط للاحتياج، وإعداد الكراسة، وطرح المنافسة، وفحص العروض، والترسية، وإدارة العقد. وبذلك فإن أي ضعف في الحوكمة أو إدارة مخاطر تعارض المصالح قد ينعكس على جودة تخصيص الموارد والقيمة المتحققة من الإنفاق العام (هيئة كفاءة الإنفاق والمشروعات الحكومية، 2025أ).</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وتنبع مبررات اختيار الجهات الحكومية السعودية مجالًا للتطبيق من أربعة اعتبارات رئيسة: أولها التوجه الاستراتيجي نحو رفع كفاءة الإنفاق ضمن رؤية السعودية 2030 وبرنامج الاستدامة المالية، وثانيها تطوير نظام المنافسات والمشتريات الحكومية واللوائح المرتبطة به، وثالثها الجهود المؤسسية المتنامية لهيئة كفاءة الإنفاق والمشروعات الحكومية في تمكين الجهات العامة، ورابعها الاهتمام المتزايد بمكافحة الفساد وتعزيز النزاهة والشفافية في إدارة المال العام.</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وعلى الرغم من وجود نصوص تنظيمية واضحة تتعلق بمنع تعارض المصالح والإفصاح عنه، إلا أن التحدي الرئيس يتمثل في الفجوة بين الأنظمة والممارسات؛ فقد تتوافر اللوائح والسياسات، بينما تختلف مستويات التطبيق الفعلي بين الجهات تبعًا لنضج الحوكمة، وخبرة العاملين، ووضوح الصلاحيات، وفاعلية الرقابة، ونضج المشتريات الرقمية. وتمثل هذه الفجوة مجالًا مهمًا للدراسة الإدارية؛ لأنها تنقل موضوع تعارض المصالح من كونه مسألة قانونية أو أخلاقية فقط إلى كونه متغيرًا تنظيميًا قد يفسر مستوى كفاءة الإنفاق.</w:t>
      </w:r>
    </w:p>
    <w:p>
      <w:pPr>
        <w:spacing w:lineRule="auto" w:line="360" w:after="120" w:before="0"/>
        <w:jc w:val="right"/>
        <w:bidi w:val="1"/>
      </w:pPr>
      <w:r>
        <w:rPr>
          <w:rFonts w:ascii="Traditional Arabic" w:hAnsi="Traditional Arabic" w:cs="Traditional Arabic" w:eastAsia="Traditional Arabic"/>
          <w:b w:val="0"/>
          <w:i w:val="0"/>
          <w:sz w:val="24"/>
          <w:rtl w:val="1"/>
        </w:rPr>
        <w:t>وبناءً على ذلك، تتمثل مشكلة الدراسة في الحاجة إلى اختبار أثر ممارسات حوكمة المشتريات الحكومية في كفاءة الإنفاق داخل الجهات الحكومية السعودية، وبيان ما إذا كانت إدارة مخاطر تعارض المصالح تؤدي دورًا وسيطًا في هذه العلاقة، بما يساعد على فهم الآليات التنظيمية التي تحول مبادئ الحوكمة إلى نتائج مالية وإدارية قابلة للقياس.</w:t>
      </w:r>
    </w:p>
    <w:p>
      <w:pPr>
        <w:spacing w:lineRule="auto" w:line="360" w:after="120" w:before="0"/>
        <w:jc w:val="right"/>
        <w:bidi w:val="1"/>
      </w:pPr>
      <w:r>
        <w:rPr>
          <w:rFonts w:ascii="Traditional Arabic" w:hAnsi="Traditional Arabic" w:cs="Traditional Arabic" w:eastAsia="Traditional Arabic"/>
          <w:b/>
          <w:i w:val="0"/>
          <w:sz w:val="28"/>
          <w:highlight w:val="yellow"/>
          <w:rtl w:val="1"/>
        </w:rPr>
        <w:t>السؤال الرئيس للدراسة:</w:t>
      </w:r>
    </w:p>
    <w:p>
      <w:pPr>
        <w:spacing w:lineRule="auto" w:line="360" w:after="120" w:before="0"/>
        <w:jc w:val="right"/>
        <w:bidi w:val="1"/>
      </w:pPr>
      <w:r>
        <w:rPr>
          <w:rFonts w:ascii="Traditional Arabic" w:hAnsi="Traditional Arabic" w:cs="Traditional Arabic" w:eastAsia="Traditional Arabic"/>
          <w:b/>
          <w:i w:val="0"/>
          <w:sz w:val="24"/>
          <w:highlight w:val="yellow"/>
          <w:rtl w:val="1"/>
        </w:rPr>
        <w:t>ما أثر ممارسات حوكمة المشتريات الحكومية بأبعادها (الشفافية، المساءلة، الامتثال، فصل المهام، الرقابة الداخلية، التخطيط، المشتريات الرقمية) في كفاءة الإنفاق بأبعادها (الكفاءة الفنية، كفاءة تخصيص الموارد، خفض الهدر، القيمة مقابل المال، المواءمة الاستراتيجية) في الجهات الحكومية السعودية، وما الدور الوسيط الذي تؤديه إدارة مخاطر تعارض المصالح بأبعادها (الإفصاح، الوقاية، الاكتشاف، المعالجة، التوثيق والمساءلة) في هذه العلاقة؟</w:t>
      </w:r>
    </w:p>
    <w:p>
      <w:pPr>
        <w:spacing w:lineRule="auto" w:line="360" w:after="120" w:before="0"/>
        <w:jc w:val="right"/>
        <w:bidi w:val="1"/>
      </w:pPr>
      <w:r>
        <w:rPr>
          <w:rFonts w:ascii="Traditional Arabic" w:hAnsi="Traditional Arabic" w:cs="Traditional Arabic" w:eastAsia="Traditional Arabic"/>
          <w:b/>
          <w:i w:val="0"/>
          <w:sz w:val="24"/>
          <w:highlight w:val="yellow"/>
          <w:rtl w:val="1"/>
        </w:rPr>
        <w:t>وتتفرع عن السؤال الرئيس التساؤلات الآتية:</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1. ما مستوى تطبيق ممارسات حوكمة المشتريات الحكومية بأبعادها السبعة في الجهات الحكومية السعودية من وجهة نظر المبحوثين؟</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2. ما مستوى إدارة مخاطر تعارض المصالح بأبعادها الخمسة في إجراءات المشتريات الحكومية في الجهات الحكومية السعودية من وجهة نظر المبحوثين؟</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3. ما مستوى كفاءة الإنفاق المرتبط بالمشتريات الحكومية بأبعادها الخمسة في الجهات الحكومية السعودية من وجهة نظر المبحوثين؟</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4. ما أثر كل بُعد من أبعاد ممارسات حوكمة المشتريات الحكومية في كفاءة الإنفاق في الجهات الحكومية السعودية؟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5. ما أثر ممارسات حوكمة المشتريات الحكومية في إدارة مخاطر تعارض المصالح؟</w:t>
      </w:r>
    </w:p>
    <w:p>
      <w:pPr>
        <w:spacing w:lineRule="auto" w:line="360" w:after="120" w:before="0"/>
        <w:ind w:left="170"/>
        <w:jc w:val="right"/>
        <w:bidi w:val="1"/>
      </w:pPr>
      <w:r>
        <w:rPr>
          <w:rFonts w:ascii="Traditional Arabic" w:hAnsi="Traditional Arabic" w:cs="Traditional Arabic" w:eastAsia="Traditional Arabic"/>
          <w:b w:val="0"/>
          <w:i w:val="0"/>
          <w:sz w:val="24"/>
          <w:rtl w:val="1"/>
        </w:rPr>
        <w:t>6. ما أثر إدارة مخاطر تعارض المصالح في 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7. هل تؤدي إدارة مخاطر تعارض المصالح دورًا وسيطًا ذا دلالة إحصائية في العلاقة بين ممارسات حوكمة المشتريات الحكومية وكفاءة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8. هل توجد فروق ذات دلالة إحصائية في استجابات المبحوثين حول أثر ممارسات حوكمة المشتريات الحكومية في كفاءة الإنفاق تعزى للمتغيرات الديموغرافية (الجهة الحكومية، المستوى الوظيفي، سنوات الخبرة، الدور في دورة المشتريات)؟</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9. ما طبيعة التفاعل بين أبعاد إدارة مخاطر تعارض المصالح في دورها الوسيط على العلاقة بين ممارسات حوكمة المشتريات الحكومية وكفاءة الإنفاق؟</w:t>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5. أهمية الدراسة</w:t>
      </w:r>
    </w:p>
    <w:p>
      <w:pPr>
        <w:spacing w:lineRule="auto" w:line="360" w:after="160" w:before="0"/>
        <w:jc w:val="right"/>
        <w:pStyle w:val="Heading2"/>
        <w:bidi w:val="1"/>
      </w:pPr>
      <w:r>
        <w:rPr>
          <w:rFonts w:ascii="Traditional Arabic" w:hAnsi="Traditional Arabic" w:cs="Traditional Arabic" w:eastAsia="Traditional Arabic"/>
          <w:b/>
          <w:i w:val="0"/>
          <w:sz w:val="28"/>
          <w:highlight w:val="yellow"/>
          <w:rtl w:val="1"/>
        </w:rPr>
        <w:t>5.1 الأهمية النظرية</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تسهم الدراسة في إثراء الأدبيات العربية والخليجية في مجال حوكمة المشتريات الحكومية وكفاءة الإنفاق، إذ تمثل إضافة نوعية للمكتبة العربية التي لا تزال محدودة في الدراسات الميدانية التي تربط بين الحوكمة وكفاءة الإنفاق في سياق المشتريات الحكومية السعودية.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 تقدم الدراسة نموذجًا تفسيريًا يربط بين حوكمة المشتريات الحكومية وإدارة مخاطر تعارض المصالح وكفاءة الإنفاق، بما يضيف بعدًا إداريًا لموضوع تعارض المصالح بدلًا من حصره في المعالجة القانونية أو الأخلاقية.</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تسهم الدراسة في اختبار نظرية الوكالة في سياق جديد يتمثل في المشتريات الحكومية، وتوفر أدلة تجريبية حول كيفية تحويل ممارسات الحوكمة إلى كفاءة إنفاق عبر آليات إدارة المخاطر وتقليل تضارب المصالح بين الأصيل والوكيل.</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تسهم الدراسة في توظيف نظرية أصحاب المصلحة لفهم أثر المشتريات الحكومية على المواطنين، الموردين، الجهات الرقابية، وصناع القرار، وبما يوسع مفهوم كفاءة الإنفاق من مجرد وفر مالي إلى قيمة عامة ومؤسسية.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 تستند الدراسة إلى التصور السعودي الرسمي لكفاءة الإنفاق الذي يميز بين الكفاءة الفنية وكفاءة تخصيص الموارد، بما يدعم تطوير أطر قياس أكثر ملاءمة للبيئة الحكومية السعودية.</w:t>
      </w:r>
    </w:p>
    <w:p>
      <w:pPr>
        <w:spacing w:lineRule="auto" w:line="360" w:after="160" w:before="0"/>
        <w:jc w:val="right"/>
        <w:pStyle w:val="Heading2"/>
        <w:bidi w:val="1"/>
      </w:pPr>
      <w:r>
        <w:rPr>
          <w:rFonts w:ascii="Traditional Arabic" w:hAnsi="Traditional Arabic" w:cs="Traditional Arabic" w:eastAsia="Traditional Arabic"/>
          <w:b/>
          <w:i w:val="0"/>
          <w:sz w:val="28"/>
          <w:highlight w:val="yellow"/>
          <w:rtl w:val="1"/>
        </w:rPr>
        <w:t>5.2 الأهمية التطبيقية</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تدعم الدراسة جهود هيئة كفاءة الإنفاق والمشروعات الحكومية ووزارة المالية في تطوير أطر حوكمة المشتريات الحكومية، من خلال تقديم مؤشرات أداء قابلة للقياس حول أثر ممارسات الحوكمة في 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 تساعد نتائج الدراسة صناع القرار في الجهات الحكومية على تحديد أولويات تحسين ممارسات الحوكمة وفقًا لقوة تأثير كل بُعد في كفاءة الإنفاق، بما يوجه التدخلات التطويرية نحو الجوانب الأعلى أثرًا.</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تسهم الدراسة في تطوير أداة قياس (استبانة) يمكن توظيفها في دراسات لاحقة في المملكة ودول الخليج، أو استخدامها داخليًا لتشخيص مستوى نضج حوكمة المشتريات وإدارة مخاطر تعارض المصالح.</w:t>
      </w:r>
    </w:p>
    <w:p>
      <w:pPr>
        <w:spacing w:lineRule="auto" w:line="360" w:after="120" w:before="0"/>
        <w:ind w:left="170"/>
        <w:jc w:val="right"/>
        <w:bidi w:val="1"/>
      </w:pPr>
      <w:r>
        <w:rPr>
          <w:rFonts w:ascii="Traditional Arabic" w:hAnsi="Traditional Arabic" w:cs="Traditional Arabic" w:eastAsia="Traditional Arabic"/>
          <w:b w:val="0"/>
          <w:i w:val="0"/>
          <w:sz w:val="24"/>
          <w:rtl w:val="1"/>
        </w:rPr>
        <w:t>• قد تساعد الدراسة إدارات المشتريات والعقود والحوكمة والمراجعة الداخلية في تصميم إجراءات عملية للإفصاح عن المصالح، وفصل المهام، وتوثيق القرارات، وتعزيز المساءلة خلال دورة المشتريات.</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تسهم الدراسة في الانتقال من قياس كفاءة المشتريات بناءً على الوفورات السعرية فقط إلى قياس أكثر شمولًا يشمل الكفاءة الفنية، وكفاءة تخصيص الموارد، وخفض الهدر، والقيمة مقابل المال، والمواءمة الاستراتيجية.</w:t>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6. أهداف الدراسة</w:t>
      </w:r>
    </w:p>
    <w:p>
      <w:pPr>
        <w:spacing w:lineRule="auto" w:line="360" w:after="120" w:before="0"/>
        <w:ind w:left="170"/>
        <w:jc w:val="right"/>
        <w:bidi w:val="1"/>
      </w:pPr>
      <w:r>
        <w:rPr>
          <w:rFonts w:ascii="Traditional Arabic" w:hAnsi="Traditional Arabic" w:cs="Traditional Arabic" w:eastAsia="Traditional Arabic"/>
          <w:b w:val="0"/>
          <w:i w:val="0"/>
          <w:sz w:val="24"/>
          <w:rtl w:val="1"/>
        </w:rPr>
        <w:t>1. قياس مستوى تطبيق ممارسات حوكمة المشتريات الحكومية بأبعادها السبعة في الجهات الحكومية السعودية خلال فترة الدراسة.</w:t>
      </w:r>
    </w:p>
    <w:p>
      <w:pPr>
        <w:spacing w:lineRule="auto" w:line="360" w:after="120" w:before="0"/>
        <w:ind w:left="170"/>
        <w:jc w:val="right"/>
        <w:bidi w:val="1"/>
      </w:pPr>
      <w:r>
        <w:rPr>
          <w:rFonts w:ascii="Traditional Arabic" w:hAnsi="Traditional Arabic" w:cs="Traditional Arabic" w:eastAsia="Traditional Arabic"/>
          <w:b w:val="0"/>
          <w:i w:val="0"/>
          <w:sz w:val="24"/>
          <w:rtl w:val="1"/>
        </w:rPr>
        <w:t>2. قياس مستوى إدارة مخاطر تعارض المصالح بأبعادها الخمسة في إجراءات المشتريات الحكومية.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3. قياس مستوى كفاءة الإنفاق المرتبط بالمشتريات الحكومية وفق أبعاد الكفاءة الفنية، وكفاءة تخصيص الموارد، وخفض الهدر، والقيمة مقابل المال، والمواءمة الاستراتيجية.</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4. تحليل الأثر التفاضلي لكل بُعد من أبعاد ممارسات حوكمة المشتريات الحكومية في 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5. اختبار أثر ممارسات حوكمة المشتريات الحكومية في إدارة مخاطر تعارض المصالح.</w:t>
      </w:r>
    </w:p>
    <w:p>
      <w:pPr>
        <w:spacing w:lineRule="auto" w:line="360" w:after="120" w:before="0"/>
        <w:ind w:left="170"/>
        <w:jc w:val="right"/>
        <w:bidi w:val="1"/>
      </w:pPr>
      <w:r>
        <w:rPr>
          <w:rFonts w:ascii="Traditional Arabic" w:hAnsi="Traditional Arabic" w:cs="Traditional Arabic" w:eastAsia="Traditional Arabic"/>
          <w:b w:val="0"/>
          <w:i w:val="0"/>
          <w:sz w:val="24"/>
          <w:rtl w:val="1"/>
        </w:rPr>
        <w:t>6. اختبار أثر إدارة مخاطر تعارض المصالح في 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7. اختبار الدور الوسيط لإدارة مخاطر تعارض المصالح في العلاقة بين ممارسات حوكمة المشتريات الحكومية وكفاءة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8. اختبار الفروق ذات الدلالة الإحصائية في استجابات المبحوثين حول أثر ممارسات حوكمة المشتريات الحكومية في كفاءة الإنفاق بين الجهات الحكومية المختلفة وفقًا للجهة، والمستوى الوظيفي، وسنوات الخبرة، والدور في دورة المشتريات.</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9. بناء نموذج رياضي/انحداري يمكن من التنبؤ بمستوى كفاءة الإنفاق في الجهات الحكومية في ضوء مستوى ممارسات حوكمة المشتريات الحكومية وإدارة مخاطر تعارض المصالح.</w:t>
      </w:r>
    </w:p>
    <w:p>
      <w:pPr>
        <w:spacing w:lineRule="auto" w:line="360" w:after="120" w:before="0"/>
        <w:ind w:left="170"/>
        <w:jc w:val="right"/>
        <w:bidi w:val="1"/>
      </w:pPr>
      <w:r>
        <w:rPr>
          <w:rFonts w:ascii="Traditional Arabic" w:hAnsi="Traditional Arabic" w:cs="Traditional Arabic" w:eastAsia="Traditional Arabic"/>
          <w:b w:val="0"/>
          <w:i w:val="0"/>
          <w:sz w:val="24"/>
          <w:rtl w:val="1"/>
        </w:rPr>
        <w:t>10. استخلاص توصيات عملية قابلة للتطبيق لتعزيز حوكمة المشتريات الحكومية وتحسين كفاءة الإنفاق والحد من مخاطر تعارض المصالح في الجهات الحكومية السعودية.</w:t>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7. فرضيات الدراسة</w:t>
      </w:r>
    </w:p>
    <w:p>
      <w:pPr>
        <w:spacing w:lineRule="auto" w:line="360" w:after="120" w:before="0"/>
        <w:ind w:left="170"/>
        <w:jc w:val="right"/>
        <w:bidi w:val="1"/>
      </w:pPr>
      <w:r>
        <w:rPr>
          <w:rFonts w:ascii="Traditional Arabic" w:hAnsi="Traditional Arabic" w:cs="Traditional Arabic" w:eastAsia="Traditional Arabic"/>
          <w:b w:val="0"/>
          <w:i w:val="0"/>
          <w:sz w:val="24"/>
          <w:rtl w:val="1"/>
        </w:rPr>
        <w:t>• H1: يوجد أثر ذو دلالة إحصائية لممارسات حوكمة المشتريات الحكومية في كفاءة الإنفاق في الجهات الحكومية السعودية.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 H1a: يوجد أثر ذو دلالة إحصائية للشفافية في 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 H1b: يوجد أثر ذو دلالة إحصائية للمساءلة في 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 H1c: يوجد أثر ذو دلالة إحصائية للامتثال النظامي في 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 H1d: يوجد أثر ذو دلالة إحصائية لفصل المهام وتحديد الصلاحيات في 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 H1e: يوجد أثر ذو دلالة إحصائية للرقابة الداخلية في 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 H1f: يوجد أثر ذو دلالة إحصائية للتخطيط والإعداد للمشتريات في 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 H1g: يوجد أثر ذو دلالة إحصائية لنضج المشتريات الرقمية في 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 H2: يوجد أثر ذو دلالة إحصائية لممارسات حوكمة المشتريات الحكومية في إدارة مخاطر تعارض المصالح.</w:t>
      </w:r>
    </w:p>
    <w:p>
      <w:pPr>
        <w:spacing w:lineRule="auto" w:line="360" w:after="120" w:before="0"/>
        <w:ind w:left="170"/>
        <w:jc w:val="right"/>
        <w:bidi w:val="1"/>
      </w:pPr>
      <w:r>
        <w:rPr>
          <w:rFonts w:ascii="Traditional Arabic" w:hAnsi="Traditional Arabic" w:cs="Traditional Arabic" w:eastAsia="Traditional Arabic"/>
          <w:b w:val="0"/>
          <w:i w:val="0"/>
          <w:sz w:val="24"/>
          <w:rtl w:val="1"/>
        </w:rPr>
        <w:t>• H3: يوجد أثر ذو دلالة إحصائية لإدارة مخاطر تعارض المصالح في 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 H4: تؤدي إدارة مخاطر تعارض المصالح دورًا وسيطًا ذا دلالة إحصائية في العلاقة بين ممارسات حوكمة المشتريات الحكومية وكفاءة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H5: توجد فروق ذات دلالة إحصائية في استجابات المبحوثين حول متغيرات الدراسة تعزى إلى الجهة الحكومية، والمستوى الوظيفي، وسنوات الخبرة، والدور في دورة المشتريات.</w:t>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8. النظريات الداعمة للدراسة</w:t>
      </w:r>
    </w:p>
    <w:p>
      <w:pPr>
        <w:spacing w:lineRule="auto" w:line="360" w:after="160" w:before="0"/>
        <w:jc w:val="right"/>
        <w:pStyle w:val="Heading2"/>
        <w:bidi w:val="1"/>
      </w:pPr>
      <w:r>
        <w:rPr>
          <w:rFonts w:ascii="Traditional Arabic" w:hAnsi="Traditional Arabic" w:cs="Traditional Arabic" w:eastAsia="Traditional Arabic"/>
          <w:b/>
          <w:i w:val="0"/>
          <w:sz w:val="28"/>
          <w:highlight w:val="yellow"/>
          <w:rtl w:val="1"/>
        </w:rPr>
        <w:t>8.1 نظرية الوكالة (Agency Theory)</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تعد نظرية الوكالة من أكثر النظريات ملاءمة لتفسير مشكلات الحوكمة في المشتريات الحكومية؛ إذ تقوم على وجود علاقة بين الأصيل الذي يملك المصلحة أو المورد، والوكيل الذي يتخذ القرار أو يدير المورد نيابة عنه. وتنشأ مشكلة الوكالة عندما تختلف مصالح الوكيل عن مصالح الأصيل، أو عندما لا تتوافر معلومات كافية لدى الأصيل لمراقبة سلوك الوكيل بشكل كامل (Jensen &amp; Meckling, 1976; Eisenhardt, 1989).</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في سياق الدراسة الحالية، تمثل الدولة والمجتمع والمستفيدون النهائيون الأصيل، بينما يمثل موظفو المشتريات وأعضاء اللجان ومنفذو إجراءات الشراء وكلاء يتخذون قرارات بشأن المال العام. وتفسر هذه النظرية كيف يمكن أن تؤدي ممارسات الحوكمة - مثل الشفافية، وفصل المهام، والرقابة، والمساءلة - إلى تقليل تكاليف الوكالة والحد من السلوك الانتهازي أو القرارات المتأثرة بالمصالح الخاصة.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تساعد نظرية الوكالة كذلك في تفسير الدور الوسيط لإدارة مخاطر تعارض المصالح؛ لأن الإفصاح والوقاية والمعالجة والتوثيق تمثل آليات للحد من عدم تماثل المعلومات وتقييد احتمالات انحراف الوكيل عن مصلحة الأصيل. ومن ثم، فإن إدارة مخاطر تعارض المصالح لا تعمل كإجراء امتثال فقط، بل كآلية تفسيرية تربط الحوكمة بكفاءة الإنفاق.</w:t>
      </w:r>
    </w:p>
    <w:p>
      <w:pPr>
        <w:spacing w:lineRule="auto" w:line="360" w:after="160" w:before="0"/>
        <w:jc w:val="right"/>
        <w:pStyle w:val="Heading2"/>
        <w:bidi w:val="1"/>
      </w:pPr>
      <w:r>
        <w:rPr>
          <w:rFonts w:ascii="Traditional Arabic" w:hAnsi="Traditional Arabic" w:cs="Traditional Arabic" w:eastAsia="Traditional Arabic"/>
          <w:b/>
          <w:i w:val="0"/>
          <w:sz w:val="28"/>
          <w:highlight w:val="yellow"/>
          <w:rtl w:val="1"/>
        </w:rPr>
        <w:t>8.2 نظرية أصحاب المصلحة (Stakeholder Theory)</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تستند نظرية أصحاب المصلحة إلى أن المنظمة لا تعمل لخدمة طرف واحد فقط، بل تتأثر بمجموعة من الأطراف ولها مسؤولية تجاههم، ومن أبرز روادها Freeman (1984). وفي المشتريات الحكومية، يشمل أصحاب المصلحة المواطنين، والجهات الحكومية، والموردين، والجهات الرقابية، وصناع القرار، والمستفيدين من الخدمات العامة.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تفسر هذه النظرية خصوصية كفاءة الإنفاق الحكومي؛ إذ لا تكفي كفاءة السعر أو خفض التكلفة إذا لم تتحقق العدالة، وجودة المخرجات، ورضا المستفيدين، واستدامة الموردين، وثقة المجتمع في إدارة المال العام. وبذلك تساعد النظرية في توسيع مفهوم كفاءة الإنفاق من نتيجة مالية إلى نتيجة ذات بعد مؤسسي ومجتمعي.</w:t>
      </w:r>
    </w:p>
    <w:p>
      <w:pPr>
        <w:spacing w:lineRule="auto" w:line="360" w:after="160" w:before="0"/>
        <w:jc w:val="right"/>
        <w:pStyle w:val="Heading2"/>
        <w:bidi w:val="1"/>
      </w:pPr>
      <w:r>
        <w:rPr>
          <w:rFonts w:ascii="Traditional Arabic" w:hAnsi="Traditional Arabic" w:cs="Traditional Arabic" w:eastAsia="Traditional Arabic"/>
          <w:b/>
          <w:i w:val="0"/>
          <w:sz w:val="28"/>
          <w:highlight w:val="yellow"/>
          <w:rtl w:val="1"/>
        </w:rPr>
        <w:t>8.3 التكامل النظري</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يتكامل الإطاران النظريان في تفسير نموذج الدراسة؛ فنظرية الوكالة تفسر الحاجة إلى الحوكمة والرقابة للحد من تضارب المصالح بين الأصيل والوكيل، بينما تفسر نظرية أصحاب المصلحة ضرورة أن تنتج تلك الحوكمة قيمة عامة تتجاوز خفض التكلفة إلى تعزيز الثقة والعدالة وجودة الخدمات. ومن ثم، يمكن تصور العلاقة النظرية على النحو الآتي: حوكمة المشتريات كآلية رقابية ← إدارة مخاطر تعارض المصالح كآلية وسيطة ← كفاءة الإنفاق كنتيجة مالية ومؤسسية ومجتمعية.</w:t>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9. نموذج الدراسة</w:t>
      </w:r>
    </w:p>
    <w:p>
      <w:pPr>
        <w:spacing w:lineRule="auto" w:line="360" w:after="120" w:before="0"/>
        <w:jc w:val="right"/>
        <w:bidi w:val="1"/>
      </w:pPr>
      <w:r>
        <w:rPr>
          <w:rFonts w:ascii="Traditional Arabic" w:hAnsi="Traditional Arabic" w:cs="Traditional Arabic" w:eastAsia="Traditional Arabic"/>
          <w:b w:val="0"/>
          <w:i w:val="0"/>
          <w:sz w:val="24"/>
          <w:rtl w:val="1"/>
        </w:rPr>
        <w:t>يقوم نموذج الدراسة على ثلاثة متغيرات رئيسة: ممارسات حوكمة المشتريات الحكومية كمتغير مستقل، وإدارة مخاطر تعارض المصالح كمتغير وسيط، وكفاءة الإنفاق كمتغير تابع. ويبين الجدول الآتي أبعاد كل متغير:</w:t>
      </w:r>
    </w:p>
    <w:tbl>
      <w:tblPr>
        <w:tblStyle w:val="TableGrid"/>
        <w:tblW w:type="auto" w:w="0"/>
        <w:jc w:val="center"/>
        <w:tblLook w:firstColumn="1" w:firstRow="1" w:lastColumn="0" w:lastRow="0" w:noHBand="0" w:noVBand="1" w:val="04A0"/>
        <w:bidiVisual w:val="1"/>
      </w:tblPr>
      <w:tblGrid>
        <w:gridCol w:w="3024"/>
        <w:gridCol w:w="3024"/>
        <w:gridCol w:w="3024"/>
      </w:tblGrid>
      <w:tr>
        <w:tc>
          <w:tcPr>
            <w:tcW w:type="dxa" w:w="2835"/>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المتغير</w:t>
            </w:r>
          </w:p>
        </w:tc>
        <w:tc>
          <w:tcPr>
            <w:tcW w:type="dxa" w:w="1701"/>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نوع المتغير</w:t>
            </w:r>
          </w:p>
        </w:tc>
        <w:tc>
          <w:tcPr>
            <w:tcW w:type="dxa" w:w="5102"/>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الأبعاد</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ممارسات حوكمة المشتريات الحكومية</w:t>
            </w:r>
          </w:p>
        </w:tc>
        <w:tc>
          <w:tcPr>
            <w:tcW w:type="dxa" w:w="1701"/>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مستقل</w:t>
            </w:r>
          </w:p>
        </w:tc>
        <w:tc>
          <w:tcPr>
            <w:tcW w:type="dxa" w:w="5102"/>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الشفافية، المساءلة، الامتثال النظامي، فصل المهام وتحديد الصلاحيات، الرقابة الداخلية، التخطيط والإعداد للمشتريات، نضج المشتريات الرقمية</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إدارة مخاطر تعارض المصالح</w:t>
            </w:r>
          </w:p>
        </w:tc>
        <w:tc>
          <w:tcPr>
            <w:tcW w:type="dxa" w:w="1701"/>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وسيط</w:t>
            </w:r>
          </w:p>
        </w:tc>
        <w:tc>
          <w:tcPr>
            <w:tcW w:type="dxa" w:w="5102"/>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الإفصاح، الوقاية، الاكتشاف، المعالجة، التوثيق والمساءلة</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كفاءة الإنفاق</w:t>
            </w:r>
          </w:p>
        </w:tc>
        <w:tc>
          <w:tcPr>
            <w:tcW w:type="dxa" w:w="1701"/>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تابع</w:t>
            </w:r>
          </w:p>
        </w:tc>
        <w:tc>
          <w:tcPr>
            <w:tcW w:type="dxa" w:w="5102"/>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الكفاءة الفنية، كفاءة تخصيص الموارد، خفض الهدر، القيمة مقابل المال، المواءمة الاستراتيجية</w:t>
            </w:r>
          </w:p>
        </w:tc>
      </w:tr>
    </w:tbl>
    <w:p>
      <w:pPr>
        <w:spacing w:lineRule="auto" w:line="360" w:after="240" w:before="0"/>
        <w:jc w:val="center"/>
        <w:bidi w:val="1"/>
      </w:pPr>
      <w:r>
        <w:rPr>
          <w:rFonts w:ascii="Traditional Arabic" w:hAnsi="Traditional Arabic" w:cs="Traditional Arabic" w:eastAsia="Traditional Arabic"/>
          <w:b/>
          <w:i w:val="0"/>
          <w:sz w:val="22"/>
          <w:highlight w:val="yellow"/>
          <w:rtl w:val="1"/>
        </w:rPr>
        <w:t>جدول (2): ملخص متغيرات الدراسة وأبعادها</w:t>
      </w:r>
    </w:p>
    <w:tbl>
      <w:tblPr>
        <w:tblStyle w:val="TableGrid"/>
        <w:tblW w:type="auto" w:w="0"/>
        <w:jc w:val="center"/>
        <w:tblLook w:firstColumn="1" w:firstRow="1" w:lastColumn="0" w:lastRow="0" w:noHBand="0" w:noVBand="1" w:val="04A0"/>
        <w:bidiVisual w:val="1"/>
      </w:tblPr>
      <w:tblGrid>
        <w:gridCol w:w="1814"/>
        <w:gridCol w:w="1814"/>
        <w:gridCol w:w="1814"/>
        <w:gridCol w:w="1814"/>
        <w:gridCol w:w="1814"/>
      </w:tblGrid>
      <w:tr>
        <w:tc>
          <w:tcPr>
            <w:tcW w:type="dxa" w:w="1814"/>
            <w:shd w:fill="EAF4E2"/>
          </w:tcPr>
          <w:p>
            <w:pPr>
              <w:spacing w:lineRule="auto" w:line="360" w:after="120" w:before="0"/>
              <w:jc w:val="center"/>
              <w:bidi w:val="1"/>
            </w:pPr>
            <w:r>
              <w:rPr>
                <w:rFonts w:ascii="Traditional Arabic" w:hAnsi="Traditional Arabic" w:cs="Traditional Arabic" w:eastAsia="Traditional Arabic"/>
                <w:b/>
                <w:i w:val="0"/>
                <w:sz w:val="24"/>
                <w:rtl w:val="1"/>
              </w:rPr>
              <w:t>كفاءة الإنفاق</w:t>
              <w:br/>
              <w:t>(متغير تابع)</w:t>
            </w:r>
          </w:p>
        </w:tc>
        <w:tc>
          <w:tcPr>
            <w:tcW w:type="dxa" w:w="1814"/>
            <w:shd w:fill="FFFFFF"/>
          </w:tcPr>
          <w:p>
            <w:pPr>
              <w:spacing w:lineRule="auto" w:line="360" w:after="120" w:before="0"/>
              <w:jc w:val="center"/>
              <w:bidi w:val="1"/>
            </w:pPr>
            <w:r>
              <w:rPr>
                <w:rFonts w:ascii="Traditional Arabic" w:hAnsi="Traditional Arabic" w:cs="Traditional Arabic" w:eastAsia="Traditional Arabic"/>
                <w:b/>
                <w:i w:val="0"/>
                <w:sz w:val="24"/>
                <w:rtl w:val="1"/>
              </w:rPr>
              <w:t>←</w:t>
            </w:r>
          </w:p>
        </w:tc>
        <w:tc>
          <w:tcPr>
            <w:tcW w:type="dxa" w:w="1814"/>
            <w:shd w:fill="EAF4E2"/>
          </w:tcPr>
          <w:p>
            <w:pPr>
              <w:spacing w:lineRule="auto" w:line="360" w:after="120" w:before="0"/>
              <w:jc w:val="center"/>
              <w:bidi w:val="1"/>
            </w:pPr>
            <w:r>
              <w:rPr>
                <w:rFonts w:ascii="Traditional Arabic" w:hAnsi="Traditional Arabic" w:cs="Traditional Arabic" w:eastAsia="Traditional Arabic"/>
                <w:b/>
                <w:i w:val="0"/>
                <w:sz w:val="24"/>
                <w:rtl w:val="1"/>
              </w:rPr>
              <w:t>إدارة مخاطر تعارض المصالح</w:t>
              <w:br/>
              <w:t>(متغير وسيط)</w:t>
            </w:r>
          </w:p>
        </w:tc>
        <w:tc>
          <w:tcPr>
            <w:tcW w:type="dxa" w:w="1814"/>
            <w:shd w:fill="FFFFFF"/>
          </w:tcPr>
          <w:p>
            <w:pPr>
              <w:spacing w:lineRule="auto" w:line="360" w:after="120" w:before="0"/>
              <w:jc w:val="center"/>
              <w:bidi w:val="1"/>
            </w:pPr>
            <w:r>
              <w:rPr>
                <w:rFonts w:ascii="Traditional Arabic" w:hAnsi="Traditional Arabic" w:cs="Traditional Arabic" w:eastAsia="Traditional Arabic"/>
                <w:b/>
                <w:i w:val="0"/>
                <w:sz w:val="24"/>
                <w:rtl w:val="1"/>
              </w:rPr>
              <w:t>←</w:t>
            </w:r>
          </w:p>
        </w:tc>
        <w:tc>
          <w:tcPr>
            <w:tcW w:type="dxa" w:w="1814"/>
            <w:shd w:fill="EAF4E2"/>
          </w:tcPr>
          <w:p>
            <w:pPr>
              <w:spacing w:lineRule="auto" w:line="360" w:after="120" w:before="0"/>
              <w:jc w:val="center"/>
              <w:bidi w:val="1"/>
            </w:pPr>
            <w:r>
              <w:rPr>
                <w:rFonts w:ascii="Traditional Arabic" w:hAnsi="Traditional Arabic" w:cs="Traditional Arabic" w:eastAsia="Traditional Arabic"/>
                <w:b/>
                <w:i w:val="0"/>
                <w:sz w:val="24"/>
                <w:rtl w:val="1"/>
              </w:rPr>
              <w:t>ممارسات حوكمة المشتريات الحكومية</w:t>
              <w:br/>
              <w:t>(متغير مستقل)</w:t>
            </w:r>
          </w:p>
        </w:tc>
      </w:tr>
    </w:tbl>
    <w:p>
      <w:pPr>
        <w:spacing w:lineRule="auto" w:line="360" w:after="240" w:before="0"/>
        <w:jc w:val="center"/>
        <w:bidi w:val="1"/>
      </w:pPr>
      <w:r>
        <w:rPr>
          <w:rFonts w:ascii="Traditional Arabic" w:hAnsi="Traditional Arabic" w:cs="Traditional Arabic" w:eastAsia="Traditional Arabic"/>
          <w:b/>
          <w:i w:val="0"/>
          <w:sz w:val="22"/>
          <w:highlight w:val="yellow"/>
          <w:rtl w:val="1"/>
        </w:rPr>
        <w:t>شكل (1): نموذج الدراسة المقترح</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يفترض النموذج أن حوكمة المشتريات تؤثر مباشرة في كفاءة الإنفاق، وتؤثر كذلك في إدارة مخاطر تعارض المصالح. كما يفترض أن إدارة مخاطر تعارض المصالح تؤثر في كفاءة الإنفاق وتتوسط العلاقة بين الحوكمة والكفاءة. وبذلك يختبر النموذج الأثر المباشر وغير المباشر، إضافة إلى الأثر التفاضلي لأبعاد الحوكمة.</w:t>
      </w:r>
    </w:p>
    <w:p>
      <w:pPr>
        <w:spacing w:lineRule="auto" w:line="360" w:after="160" w:before="0"/>
        <w:jc w:val="right"/>
        <w:pStyle w:val="Heading1"/>
        <w:bidi w:val="1"/>
      </w:pPr>
      <w:r>
        <w:rPr>
          <w:rFonts w:ascii="Traditional Arabic" w:hAnsi="Traditional Arabic" w:cs="Traditional Arabic" w:eastAsia="Traditional Arabic"/>
          <w:b/>
          <w:i w:val="0"/>
          <w:sz w:val="32"/>
          <w:rtl w:val="1"/>
        </w:rPr>
        <w:t>10. مصطلحات الدراسة وتعريفاتها الإجرائية</w:t>
      </w:r>
    </w:p>
    <w:tbl>
      <w:tblPr>
        <w:tblStyle w:val="TableGrid"/>
        <w:tblW w:type="auto" w:w="0"/>
        <w:jc w:val="center"/>
        <w:tblLook w:firstColumn="1" w:firstRow="1" w:lastColumn="0" w:lastRow="0" w:noHBand="0" w:noVBand="1" w:val="04A0"/>
        <w:bidiVisual w:val="1"/>
      </w:tblPr>
      <w:tblGrid>
        <w:gridCol w:w="3024"/>
        <w:gridCol w:w="3024"/>
        <w:gridCol w:w="3024"/>
      </w:tblGrid>
      <w:tr>
        <w:tc>
          <w:tcPr>
            <w:tcW w:type="dxa" w:w="2268"/>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المصطلح</w:t>
            </w:r>
          </w:p>
        </w:tc>
        <w:tc>
          <w:tcPr>
            <w:tcW w:type="dxa" w:w="3402"/>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التعريف المفاهيمي</w:t>
            </w:r>
          </w:p>
        </w:tc>
        <w:tc>
          <w:tcPr>
            <w:tcW w:type="dxa" w:w="3969"/>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التعريف الإجرائي</w:t>
            </w:r>
          </w:p>
        </w:tc>
      </w:tr>
      <w:tr>
        <w:tc>
          <w:tcPr>
            <w:tcW w:type="dxa" w:w="2268"/>
            <w:vAlign w:val="top"/>
          </w:tcPr>
          <w:p>
            <w:pPr>
              <w:spacing w:lineRule="auto" w:line="360" w:after="120" w:before="0"/>
              <w:jc w:val="right"/>
              <w:bidi w:val="1"/>
            </w:pPr>
            <w:r>
              <w:rPr>
                <w:rFonts w:ascii="Traditional Arabic" w:hAnsi="Traditional Arabic" w:cs="Traditional Arabic" w:eastAsia="Traditional Arabic"/>
                <w:b w:val="0"/>
                <w:i w:val="0"/>
                <w:sz w:val="22"/>
                <w:rtl w:val="1"/>
              </w:rPr>
              <w:t>حوكمة المشتريات الحكومية</w:t>
            </w:r>
          </w:p>
        </w:tc>
        <w:tc>
          <w:tcPr>
            <w:tcW w:type="dxa" w:w="3402"/>
            <w:vAlign w:val="top"/>
          </w:tcPr>
          <w:p>
            <w:pPr>
              <w:spacing w:lineRule="auto" w:line="360" w:after="120" w:before="0"/>
              <w:jc w:val="right"/>
              <w:bidi w:val="1"/>
            </w:pPr>
            <w:r>
              <w:rPr>
                <w:rFonts w:ascii="Traditional Arabic" w:hAnsi="Traditional Arabic" w:cs="Traditional Arabic" w:eastAsia="Traditional Arabic"/>
                <w:b w:val="0"/>
                <w:i w:val="0"/>
                <w:sz w:val="22"/>
                <w:rtl w:val="1"/>
              </w:rPr>
              <w:t>مجموعة السياسات والإجراءات والممارسات التي تضبط دورة المشتريات الحكومية بما يضمن الشفافية والمساءلة والامتثال وفصل الصلاحيات وعدالة المنافسة وموضوعية قرارات الترسية.</w:t>
            </w:r>
          </w:p>
        </w:tc>
        <w:tc>
          <w:tcPr>
            <w:tcW w:type="dxa" w:w="3969"/>
            <w:vAlign w:val="top"/>
          </w:tcPr>
          <w:p>
            <w:pPr>
              <w:spacing w:lineRule="auto" w:line="360" w:after="120" w:before="0"/>
              <w:jc w:val="right"/>
              <w:bidi w:val="1"/>
            </w:pPr>
            <w:r>
              <w:rPr>
                <w:rFonts w:ascii="Traditional Arabic" w:hAnsi="Traditional Arabic" w:cs="Traditional Arabic" w:eastAsia="Traditional Arabic"/>
                <w:b w:val="0"/>
                <w:i w:val="0"/>
                <w:sz w:val="22"/>
                <w:rtl w:val="1"/>
              </w:rPr>
              <w:t>درجة تطبيق الجهة الحكومية لأبعاد الشفافية، المساءلة، الامتثال، فصل المهام، الرقابة الداخلية، التخطيط، والمشتريات الرقمية كما تقاس باستبانة الدراسة.</w:t>
            </w:r>
          </w:p>
        </w:tc>
      </w:tr>
      <w:tr>
        <w:tc>
          <w:tcPr>
            <w:tcW w:type="dxa" w:w="2268"/>
            <w:vAlign w:val="top"/>
          </w:tcPr>
          <w:p>
            <w:pPr>
              <w:spacing w:lineRule="auto" w:line="360" w:after="120" w:before="0"/>
              <w:jc w:val="right"/>
              <w:bidi w:val="1"/>
            </w:pPr>
            <w:r>
              <w:rPr>
                <w:rFonts w:ascii="Traditional Arabic" w:hAnsi="Traditional Arabic" w:cs="Traditional Arabic" w:eastAsia="Traditional Arabic"/>
                <w:b w:val="0"/>
                <w:i w:val="0"/>
                <w:sz w:val="22"/>
                <w:rtl w:val="1"/>
              </w:rPr>
              <w:t>إدارة مخاطر تعارض المصالح</w:t>
            </w:r>
          </w:p>
        </w:tc>
        <w:tc>
          <w:tcPr>
            <w:tcW w:type="dxa" w:w="3402"/>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الإجراءات التي تتخذها الجهة الحكومية لتحديد حالات التعارض الفعلية أو المحتملة أو المتصورة والإفصاح عنها والحد من آثارها.</w:t>
            </w:r>
          </w:p>
        </w:tc>
        <w:tc>
          <w:tcPr>
            <w:tcW w:type="dxa" w:w="3969"/>
            <w:vAlign w:val="top"/>
          </w:tcPr>
          <w:p>
            <w:pPr>
              <w:spacing w:lineRule="auto" w:line="360" w:after="120" w:before="0"/>
              <w:jc w:val="right"/>
              <w:bidi w:val="1"/>
            </w:pPr>
            <w:r>
              <w:rPr>
                <w:rFonts w:ascii="Traditional Arabic" w:hAnsi="Traditional Arabic" w:cs="Traditional Arabic" w:eastAsia="Traditional Arabic"/>
                <w:b w:val="0"/>
                <w:i w:val="0"/>
                <w:sz w:val="22"/>
                <w:rtl w:val="1"/>
              </w:rPr>
              <w:t>درجة فاعلية الجهة في تطبيق الإفصاح والوقاية والاكتشاف والمعالجة والتوثيق والمساءلة بشأن تعارض المصالح.</w:t>
            </w:r>
          </w:p>
        </w:tc>
      </w:tr>
      <w:tr>
        <w:tc>
          <w:tcPr>
            <w:tcW w:type="dxa" w:w="2268"/>
            <w:vAlign w:val="top"/>
          </w:tcPr>
          <w:p>
            <w:pPr>
              <w:spacing w:lineRule="auto" w:line="360" w:after="120" w:before="0"/>
              <w:jc w:val="right"/>
              <w:bidi w:val="1"/>
            </w:pPr>
            <w:r>
              <w:rPr>
                <w:rFonts w:ascii="Traditional Arabic" w:hAnsi="Traditional Arabic" w:cs="Traditional Arabic" w:eastAsia="Traditional Arabic"/>
                <w:b w:val="0"/>
                <w:i w:val="0"/>
                <w:sz w:val="22"/>
                <w:rtl w:val="1"/>
              </w:rPr>
              <w:t>كفاءة الإنفاق</w:t>
            </w:r>
          </w:p>
        </w:tc>
        <w:tc>
          <w:tcPr>
            <w:tcW w:type="dxa" w:w="3402"/>
            <w:vAlign w:val="top"/>
          </w:tcPr>
          <w:p>
            <w:pPr>
              <w:spacing w:lineRule="auto" w:line="360" w:after="120" w:before="0"/>
              <w:jc w:val="right"/>
              <w:bidi w:val="1"/>
            </w:pPr>
            <w:r>
              <w:rPr>
                <w:rFonts w:ascii="Traditional Arabic" w:hAnsi="Traditional Arabic" w:cs="Traditional Arabic" w:eastAsia="Traditional Arabic"/>
                <w:b w:val="0"/>
                <w:i w:val="0"/>
                <w:sz w:val="22"/>
                <w:rtl w:val="1"/>
              </w:rPr>
              <w:t>تعظيم الأثر مقابل الصرف من خلال الاستخدام الأمثل للموارد ومعالجة الهدر دون التأثير على جودة الخدمة المقدمة.</w:t>
            </w:r>
          </w:p>
        </w:tc>
        <w:tc>
          <w:tcPr>
            <w:tcW w:type="dxa" w:w="3969"/>
            <w:vAlign w:val="top"/>
          </w:tcPr>
          <w:p>
            <w:pPr>
              <w:spacing w:lineRule="auto" w:line="360" w:after="120" w:before="0"/>
              <w:jc w:val="right"/>
              <w:bidi w:val="1"/>
            </w:pPr>
            <w:r>
              <w:rPr>
                <w:rFonts w:ascii="Traditional Arabic" w:hAnsi="Traditional Arabic" w:cs="Traditional Arabic" w:eastAsia="Traditional Arabic"/>
                <w:b w:val="0"/>
                <w:i w:val="0"/>
                <w:sz w:val="22"/>
                <w:rtl w:val="1"/>
              </w:rPr>
              <w:t>قدرة الجهة على تحقيق أفضل أثر من الإنفاق على المشتريات والعقود من خلال الكفاءة الفنية، وكفاءة تخصيص الموارد، وخفض الهدر، والقيمة مقابل المال، والمواءمة الاستراتيجية.</w:t>
            </w:r>
          </w:p>
        </w:tc>
      </w:tr>
      <w:tr>
        <w:tc>
          <w:tcPr>
            <w:tcW w:type="dxa" w:w="2268"/>
            <w:vAlign w:val="top"/>
          </w:tcPr>
          <w:p>
            <w:pPr>
              <w:spacing w:lineRule="auto" w:line="360" w:after="120" w:before="0"/>
              <w:jc w:val="right"/>
              <w:bidi w:val="1"/>
            </w:pPr>
            <w:r>
              <w:rPr>
                <w:rFonts w:ascii="Traditional Arabic" w:hAnsi="Traditional Arabic" w:cs="Traditional Arabic" w:eastAsia="Traditional Arabic"/>
                <w:b w:val="0"/>
                <w:i w:val="0"/>
                <w:sz w:val="22"/>
                <w:rtl w:val="1"/>
              </w:rPr>
              <w:t>تعارض المصالح</w:t>
            </w:r>
          </w:p>
        </w:tc>
        <w:tc>
          <w:tcPr>
            <w:tcW w:type="dxa" w:w="3402"/>
            <w:vAlign w:val="top"/>
          </w:tcPr>
          <w:p>
            <w:pPr>
              <w:spacing w:lineRule="auto" w:line="360" w:after="120" w:before="0"/>
              <w:jc w:val="right"/>
              <w:bidi w:val="1"/>
            </w:pPr>
            <w:r>
              <w:rPr>
                <w:rFonts w:ascii="Traditional Arabic" w:hAnsi="Traditional Arabic" w:cs="Traditional Arabic" w:eastAsia="Traditional Arabic"/>
                <w:b w:val="0"/>
                <w:i w:val="0"/>
                <w:sz w:val="22"/>
                <w:rtl w:val="1"/>
              </w:rPr>
              <w:t>وجود مصلحة شخصية مباشرة أو غير مباشرة قد تؤثر أو يُتصور أنها تؤثر في حياد وموضوعية من يشارك في دورة المشتريات.</w:t>
            </w:r>
          </w:p>
        </w:tc>
        <w:tc>
          <w:tcPr>
            <w:tcW w:type="dxa" w:w="3969"/>
            <w:vAlign w:val="top"/>
          </w:tcPr>
          <w:p>
            <w:pPr>
              <w:spacing w:lineRule="auto" w:line="360" w:after="120" w:before="0"/>
              <w:jc w:val="right"/>
              <w:bidi w:val="1"/>
            </w:pPr>
            <w:r>
              <w:rPr>
                <w:rFonts w:ascii="Traditional Arabic" w:hAnsi="Traditional Arabic" w:cs="Traditional Arabic" w:eastAsia="Traditional Arabic"/>
                <w:b w:val="0"/>
                <w:i w:val="0"/>
                <w:sz w:val="22"/>
                <w:rtl w:val="1"/>
              </w:rPr>
              <w:t>مدى وجود أو احتمال وجود مصالح تؤثر في حياد المشاركين في المشتريات كما تظهر في مؤشرات الإفصاح والوقاية والاكتشاف والمعالجة والتوثيق.</w:t>
            </w:r>
          </w:p>
        </w:tc>
      </w:tr>
    </w:tbl>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11. إجراءات الدراسة</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1. مراجعة الأدبيات العربية والأجنبية ذات العلاقة بحوكمة المشتريات الحكومية، كفاءة الإنفاق، تعارض المصالح، نظرية الوكالة، ونظرية أصحاب المصلحة.</w:t>
      </w:r>
    </w:p>
    <w:p>
      <w:pPr>
        <w:spacing w:lineRule="auto" w:line="360" w:after="120" w:before="0"/>
        <w:ind w:left="170"/>
        <w:jc w:val="right"/>
        <w:bidi w:val="1"/>
      </w:pPr>
      <w:r>
        <w:rPr>
          <w:rFonts w:ascii="Traditional Arabic" w:hAnsi="Traditional Arabic" w:cs="Traditional Arabic" w:eastAsia="Traditional Arabic"/>
          <w:b w:val="0"/>
          <w:i w:val="0"/>
          <w:sz w:val="24"/>
          <w:rtl w:val="1"/>
        </w:rPr>
        <w:t>2. تحليل الوثائق الرسمية ذات العلاقة، ومنها نظام المنافسات والمشتريات الحكومية، لائحة تنظيم تعارض المصالح، وثائق هيئة كفاءة الإنفاق والمشروعات الحكومية، وبيانات وزارة المالية.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3. بناء النموذج المفاهيمي وتحديد أبعاد المتغيرات وفق الأدبيات والمصادر النظامية والتطبيقية.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4. تصميم أداة الدراسة في صورة استبانة وفق مقياس ليكرت الخماسي، مع ربط كل محور بأبعاد المتغيرات.</w:t>
      </w:r>
    </w:p>
    <w:p>
      <w:pPr>
        <w:spacing w:lineRule="auto" w:line="360" w:after="120" w:before="0"/>
        <w:ind w:left="170"/>
        <w:jc w:val="right"/>
        <w:bidi w:val="1"/>
      </w:pPr>
      <w:r>
        <w:rPr>
          <w:rFonts w:ascii="Traditional Arabic" w:hAnsi="Traditional Arabic" w:cs="Traditional Arabic" w:eastAsia="Traditional Arabic"/>
          <w:b w:val="0"/>
          <w:i w:val="0"/>
          <w:sz w:val="24"/>
          <w:rtl w:val="1"/>
        </w:rPr>
        <w:t>5. عرض الاستبانة على محكمين أكاديميين ومهنيين متخصصين في الإدارة والمشتريات الحكومية والحوكمة للتحقق من الصدق الظاهري والمحتوائي.</w:t>
      </w:r>
    </w:p>
    <w:p>
      <w:pPr>
        <w:spacing w:lineRule="auto" w:line="360" w:after="120" w:before="0"/>
        <w:ind w:left="170"/>
        <w:jc w:val="right"/>
        <w:bidi w:val="1"/>
      </w:pPr>
      <w:r>
        <w:rPr>
          <w:rFonts w:ascii="Traditional Arabic" w:hAnsi="Traditional Arabic" w:cs="Traditional Arabic" w:eastAsia="Traditional Arabic"/>
          <w:b w:val="0"/>
          <w:i w:val="0"/>
          <w:sz w:val="24"/>
          <w:rtl w:val="1"/>
        </w:rPr>
        <w:t>6. تنفيذ دراسة استطلاعية على عينة محدودة لاختبار وضوح الفقرات وثبات الأداة.</w:t>
      </w:r>
    </w:p>
    <w:p>
      <w:pPr>
        <w:spacing w:lineRule="auto" w:line="360" w:after="120" w:before="0"/>
        <w:ind w:left="170"/>
        <w:jc w:val="right"/>
        <w:bidi w:val="1"/>
      </w:pPr>
      <w:r>
        <w:rPr>
          <w:rFonts w:ascii="Traditional Arabic" w:hAnsi="Traditional Arabic" w:cs="Traditional Arabic" w:eastAsia="Traditional Arabic"/>
          <w:b w:val="0"/>
          <w:i w:val="0"/>
          <w:sz w:val="24"/>
          <w:rtl w:val="1"/>
        </w:rPr>
        <w:t>7. جمع البيانات من العينة الأساسية، وتنظيفها، ومعالجتها، ثم إجراء التحليلات الإحصائية لاختبار الفرضيات.</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8. إجراء مقابلات معمقة محدودة مع عدد من القيادات أو الخبراء في المشتريات الحكومية لدعم تفسير النتائج الكمية، دون أن تتحول الدراسة إلى منهج نوعي كامل.</w:t>
      </w:r>
    </w:p>
    <w:p>
      <w:pPr>
        <w:spacing w:lineRule="auto" w:line="360" w:after="120" w:before="0"/>
        <w:ind w:left="170"/>
        <w:jc w:val="right"/>
        <w:bidi w:val="1"/>
      </w:pPr>
      <w:r>
        <w:rPr>
          <w:rFonts w:ascii="Traditional Arabic" w:hAnsi="Traditional Arabic" w:cs="Traditional Arabic" w:eastAsia="Traditional Arabic"/>
          <w:b w:val="0"/>
          <w:i w:val="0"/>
          <w:sz w:val="24"/>
          <w:rtl w:val="1"/>
        </w:rPr>
        <w:t>9. تفسير النتائج في ضوء الإطار النظري والدراسات السابقة والواقع التنظيمي السعودي.</w:t>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12. منهج الدراسة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تعتمد الدراسة على المنهج الوصفي التحليلي بأسلوب كمي، لأنه الأنسب لقياس مستويات تطبيق ممارسات الحوكمة وإدارة مخاطر تعارض المصالح وكفاءة الإنفاق، واختبار العلاقات المباشرة وغير المباشرة بين المتغيرات. كما ستدعم الدراسة الكمية بمراجعة وثائقية ومقابلات معمقة محدودة لتفسير النتائج وتدعيم الجانب التطبيقي.</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سيتم توظيف نمذجة المعادلات الهيكلية أو تحليل المسار لاختبار النموذج البنائي، وبخاصة دور إدارة مخاطر تعارض المصالح كمتغير وسيط. ويعد هذا الأسلوب مناسبًا بالنظر إلى تعدد أبعاد المتغيرات والحاجة إلى اختبار العلاقات المركبة بينها.</w:t>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13. مجتمع وعينة الدراسة</w:t>
      </w:r>
    </w:p>
    <w:p>
      <w:pPr>
        <w:spacing w:lineRule="auto" w:line="360" w:after="160" w:before="0"/>
        <w:jc w:val="right"/>
        <w:pStyle w:val="Heading2"/>
        <w:bidi w:val="1"/>
      </w:pPr>
      <w:r>
        <w:rPr>
          <w:rFonts w:ascii="Traditional Arabic" w:hAnsi="Traditional Arabic" w:cs="Traditional Arabic" w:eastAsia="Traditional Arabic"/>
          <w:b/>
          <w:i w:val="0"/>
          <w:sz w:val="28"/>
          <w:highlight w:val="yellow"/>
          <w:rtl w:val="1"/>
        </w:rPr>
        <w:t>13.1 مجتمع الدراسة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يتكون مجتمع الدراسة من العاملين والمختصين في مجال المشتريات والعقود الحكومية في المملكة العربية السعودية، ممن لهم علاقة مباشرة أو غير مباشرة بدورة المشتريات الحكومية، ويشمل ذلك موظفي إدارات المشتريات والعقود، أعضاء لجان فتح وفحص العروض، المختصين بإعداد كراسات الشروط والمواصفات، مديري العقود والمشاريع الحكومية، ومختصي الحوكمة والامتثال والمراجعة الداخلية وكفاءة الإنفاق.</w:t>
      </w:r>
    </w:p>
    <w:p>
      <w:pPr>
        <w:spacing w:lineRule="auto" w:line="360" w:after="160" w:before="0"/>
        <w:jc w:val="right"/>
        <w:pStyle w:val="Heading2"/>
        <w:bidi w:val="1"/>
      </w:pPr>
      <w:r>
        <w:rPr>
          <w:rFonts w:ascii="Traditional Arabic" w:hAnsi="Traditional Arabic" w:cs="Traditional Arabic" w:eastAsia="Traditional Arabic"/>
          <w:b/>
          <w:i w:val="0"/>
          <w:sz w:val="28"/>
          <w:highlight w:val="yellow"/>
          <w:rtl w:val="1"/>
        </w:rPr>
        <w:t>13.2 عينة الدراسة وأساس التقسيم الطبقي</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تقترح الدراسة استخدام عينة قصدية طبقية، بحيث يتم تقسيم العينة وفقًا لأنواع الجهات الحكومية (وزارات، هيئات، مؤسسات عامة)، وحجم الجهة (كبيرة، متوسطة، صغيرة)، مع مراعاة توزيع المستويات الوظيفية داخل كل جهة (إدارة عليا، إدارة وسطى، مستوى تنفيذي)، وتنوع أدوار المشاركين في دورة المشتريات.</w:t>
      </w:r>
    </w:p>
    <w:tbl>
      <w:tblPr>
        <w:tblStyle w:val="TableGrid"/>
        <w:tblW w:type="auto" w:w="0"/>
        <w:jc w:val="center"/>
        <w:tblLook w:firstColumn="1" w:firstRow="1" w:lastColumn="0" w:lastRow="0" w:noHBand="0" w:noVBand="1" w:val="04A0"/>
        <w:bidiVisual w:val="1"/>
      </w:tblPr>
      <w:tblGrid>
        <w:gridCol w:w="4536"/>
        <w:gridCol w:w="4536"/>
      </w:tblGrid>
      <w:tr>
        <w:tc>
          <w:tcPr>
            <w:tcW w:type="dxa" w:w="2835"/>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البند</w:t>
            </w:r>
          </w:p>
        </w:tc>
        <w:tc>
          <w:tcPr>
            <w:tcW w:type="dxa" w:w="6803"/>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التفصيل</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أساس التقسيم الطبقي</w:t>
            </w:r>
          </w:p>
        </w:tc>
        <w:tc>
          <w:tcPr>
            <w:tcW w:type="dxa" w:w="6803"/>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وزارات، هيئات، مؤسسات عامة، مع مراعاة حجم الجهة وطبيعة نشاطها.</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المستويات الوظيفية</w:t>
            </w:r>
          </w:p>
        </w:tc>
        <w:tc>
          <w:tcPr>
            <w:tcW w:type="dxa" w:w="6803"/>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إدارة عليا، إدارة وسطى، موظفون تنفيذيون، أعضاء لجان.</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معايير الشمول</w:t>
            </w:r>
          </w:p>
        </w:tc>
        <w:tc>
          <w:tcPr>
            <w:tcW w:type="dxa" w:w="6803"/>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خبرة أو مشاركة مباشرة في أعمال المشتريات أو العقود أو اللجان أو الحوكمة أو كفاءة الإنفاق، وخبرة لا تقل عن سنة واحدة في المجال.</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معايير الاستبعاد</w:t>
            </w:r>
          </w:p>
        </w:tc>
        <w:tc>
          <w:tcPr>
            <w:tcW w:type="dxa" w:w="6803"/>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استبعاد من لا علاقة لهم بدورة المشتريات، أو من لا يستكملون الحد الأدنى من الإجابة، أو من يقدمون إجابات نمطية غير صالحة للتحليل.</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حجم العينة المقترح</w:t>
            </w:r>
          </w:p>
        </w:tc>
        <w:tc>
          <w:tcPr>
            <w:tcW w:type="dxa" w:w="6803"/>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من 300 إلى 400 مشارك كحد مناسب للتحليل المتقدم واختبار النموذج البنائي.</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الحصول على الموافقات</w:t>
            </w:r>
          </w:p>
        </w:tc>
        <w:tc>
          <w:tcPr>
            <w:tcW w:type="dxa" w:w="6803"/>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مخاطبة الجهات الحكومية أو الإدارات المختصة رسميًا، مع توضيح هدف الدراسة وسرية البيانات وأن المشاركة لأغراض بحثية فقط.</w:t>
            </w:r>
          </w:p>
        </w:tc>
      </w:tr>
    </w:tbl>
    <w:p>
      <w:pPr>
        <w:spacing w:lineRule="auto" w:line="360" w:after="240" w:before="0"/>
        <w:jc w:val="center"/>
        <w:bidi w:val="1"/>
      </w:pPr>
      <w:r>
        <w:rPr>
          <w:rFonts w:ascii="Traditional Arabic" w:hAnsi="Traditional Arabic" w:cs="Traditional Arabic" w:eastAsia="Traditional Arabic"/>
          <w:b/>
          <w:i w:val="0"/>
          <w:sz w:val="22"/>
          <w:highlight w:val="yellow"/>
          <w:rtl w:val="1"/>
        </w:rPr>
        <w:t>جدول (4): أساس التقسيم الطبقي للعينة ومعايير الشمول والاستبعاد</w:t>
      </w:r>
    </w:p>
    <w:p>
      <w:pPr>
        <w:spacing w:lineRule="auto" w:line="360" w:after="160" w:before="0"/>
        <w:jc w:val="right"/>
        <w:pStyle w:val="Heading2"/>
        <w:bidi w:val="1"/>
      </w:pPr>
      <w:r>
        <w:rPr>
          <w:rFonts w:ascii="Traditional Arabic" w:hAnsi="Traditional Arabic" w:cs="Traditional Arabic" w:eastAsia="Traditional Arabic"/>
          <w:b/>
          <w:i w:val="0"/>
          <w:sz w:val="28"/>
          <w:highlight w:val="yellow"/>
          <w:rtl w:val="1"/>
        </w:rPr>
        <w:t>13.3 جودة البيانات والتحيزات المحتملة</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سيتم استبعاد الاستبانات التي تقل نسبة الإجابة فيها عن 80% من الفقرات، واستخدام طريقة التعويض بالمتوسط (Mean Substitution) للفقرات المفقودة بنسبة لا تتجاوز 5%، متى كان ذلك مناسبًا إحصائيًا.</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سيتم الحد من تحيز الطريقة الواحدة من خلال تأكيد سرية البيانات في مقدمة الاستبانة، وتشجيع الإجابة الصادقة، وفصل محاور الاستبانة بصياغة تقلل من استنتاج العلاقة بين المتغيرات من قبل المبحوثين.</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سيتم تطبيق اختبار Harman’s Single Factor Test ضمن تحليل العوامل الاستكشافية للتحقق من عدم سيطرة عامل واحد على معظم التباين، مع إمكانية استخدام اختبارات إضافية للتحقق من تحيز الطريقة الواحدة حسب متطلبات التحليل.</w:t>
      </w:r>
    </w:p>
    <w:p>
      <w:pPr>
        <w:spacing w:lineRule="auto" w:line="360" w:after="120" w:before="0"/>
        <w:ind w:left="170"/>
        <w:jc w:val="right"/>
        <w:bidi w:val="1"/>
      </w:pPr>
      <w:r>
        <w:rPr>
          <w:rFonts w:ascii="Traditional Arabic" w:hAnsi="Traditional Arabic" w:cs="Traditional Arabic" w:eastAsia="Traditional Arabic"/>
          <w:b w:val="0"/>
          <w:i w:val="0"/>
          <w:sz w:val="24"/>
          <w:rtl w:val="1"/>
        </w:rPr>
        <w:t>• سيتم فحص القيم الشاذة، والبيانات الناقصة، والتوزيع الطبيعي، ومؤشرات الاتساق الداخلي قبل البدء في اختبار الفرضيات.</w:t>
      </w:r>
    </w:p>
    <w:p>
      <w:pPr>
        <w:spacing w:lineRule="auto" w:line="360" w:after="160" w:before="0"/>
        <w:jc w:val="right"/>
        <w:pStyle w:val="Heading2"/>
        <w:bidi w:val="1"/>
      </w:pPr>
      <w:r>
        <w:rPr>
          <w:rFonts w:ascii="Traditional Arabic" w:hAnsi="Traditional Arabic" w:cs="Traditional Arabic" w:eastAsia="Traditional Arabic"/>
          <w:b/>
          <w:i w:val="0"/>
          <w:sz w:val="28"/>
          <w:highlight w:val="yellow"/>
          <w:rtl w:val="1"/>
        </w:rPr>
        <w:t>13.4 مواءمة أسئلة الدراسة وأهدافها وفرضياتها</w:t>
      </w:r>
    </w:p>
    <w:tbl>
      <w:tblPr>
        <w:tblStyle w:val="TableGrid"/>
        <w:tblW w:type="auto" w:w="0"/>
        <w:jc w:val="center"/>
        <w:tblLook w:firstColumn="1" w:firstRow="1" w:lastColumn="0" w:lastRow="0" w:noHBand="0" w:noVBand="1" w:val="04A0"/>
        <w:bidiVisual w:val="1"/>
      </w:tblPr>
      <w:tblGrid>
        <w:gridCol w:w="3024"/>
        <w:gridCol w:w="3024"/>
        <w:gridCol w:w="3024"/>
      </w:tblGrid>
      <w:tr>
        <w:tc>
          <w:tcPr>
            <w:tcW w:type="dxa" w:w="2835"/>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محور السؤال</w:t>
            </w:r>
          </w:p>
        </w:tc>
        <w:tc>
          <w:tcPr>
            <w:tcW w:type="dxa" w:w="3969"/>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الهدف المقابل</w:t>
            </w:r>
          </w:p>
        </w:tc>
        <w:tc>
          <w:tcPr>
            <w:tcW w:type="dxa" w:w="2835"/>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الفرضية/الاختبار</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مستوى حوكمة المشتريات</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قياس مستوى تطبيق أبعاد الحوكمة</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إحصاء وصفي</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مستوى إدارة مخاطر تعارض المصالح</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قياس مستوى تطبيق أبعاد إدارة المخاطر</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إحصاء وصفي</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مستوى كفاءة الإنفاق</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قياس كفاءة الإنفاق بأبعادها</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إحصاء وصفي</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أثر أبعاد الحوكمة في كفاءة الإنفاق</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تحليل الأثر التفاضلي للأبعاد</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H1 وفروعها</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أثر الحوكمة في إدارة مخاطر التعارض</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اختبار علاقة الحوكمة بالمتغير الوسيط</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H2</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أثر إدارة مخاطر التعارض في كفاءة الإنفاق</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اختبار أثر المتغير الوسيط في التابع</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H3</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الدور الوسيط</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اختبار الوساطة باستخدام Bootstrap</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H4</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الفروق الديموغرافية</w:t>
            </w:r>
          </w:p>
        </w:tc>
        <w:tc>
          <w:tcPr>
            <w:tcW w:type="dxa" w:w="39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اختبار الفروق وفق خصائص العينة</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H5</w:t>
            </w:r>
          </w:p>
        </w:tc>
      </w:tr>
    </w:tbl>
    <w:p>
      <w:pPr>
        <w:spacing w:lineRule="auto" w:line="360" w:after="240" w:before="0"/>
        <w:jc w:val="center"/>
        <w:bidi w:val="1"/>
      </w:pPr>
      <w:r>
        <w:rPr>
          <w:rFonts w:ascii="Traditional Arabic" w:hAnsi="Traditional Arabic" w:cs="Traditional Arabic" w:eastAsia="Traditional Arabic"/>
          <w:b/>
          <w:i w:val="0"/>
          <w:sz w:val="22"/>
          <w:highlight w:val="yellow"/>
          <w:rtl w:val="1"/>
        </w:rPr>
        <w:t>جدول (3): مواءمة أسئلة الدراسة وأهدافها وفرضياتها</w:t>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14. الدراسات المرجعية والفجوات البحثية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تم ترتيب الدراسات المرجعية وفق متغيرات الدراسة؛ بدءًا بالمتغير المستقل (حوكمة المشتريات الحكومية)، ثم المتغير الوسيط (إدارة مخاطر تعارض المصالح)، ثم المتغير التابع (كفاءة الإنفاق)، مع مراعاة الترتيب الزمني قدر الإمكان.</w:t>
      </w:r>
    </w:p>
    <w:p>
      <w:pPr>
        <w:spacing w:lineRule="auto" w:line="360" w:after="160" w:before="0"/>
        <w:jc w:val="right"/>
        <w:pStyle w:val="Heading2"/>
        <w:bidi w:val="1"/>
      </w:pPr>
      <w:r>
        <w:rPr>
          <w:rFonts w:ascii="Traditional Arabic" w:hAnsi="Traditional Arabic" w:cs="Traditional Arabic" w:eastAsia="Traditional Arabic"/>
          <w:b/>
          <w:i w:val="0"/>
          <w:sz w:val="28"/>
          <w:highlight w:val="yellow"/>
          <w:rtl w:val="1"/>
        </w:rPr>
        <w:t>14.1 دراسات مرتبطة بـ حوكمة المشتريات الحكومية</w:t>
      </w:r>
    </w:p>
    <w:p>
      <w:pPr>
        <w:spacing w:lineRule="auto" w:line="360" w:after="120" w:before="0"/>
        <w:jc w:val="right"/>
        <w:bidi w:val="1"/>
      </w:pPr>
      <w:r>
        <w:rPr>
          <w:rFonts w:ascii="Traditional Arabic" w:hAnsi="Traditional Arabic" w:cs="Traditional Arabic" w:eastAsia="Traditional Arabic"/>
          <w:b/>
          <w:i w:val="0"/>
          <w:sz w:val="24"/>
          <w:highlight w:val="yellow"/>
          <w:rtl w:val="1"/>
        </w:rPr>
        <w:t>دراسة Alanzi (2021) بعنوان: Saudi Procurement System and Regulations: Overview of Local and International Administrative Contracts.</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هدفت الدراسة إلى: تحليل نظام المشتريات السعودي في سياق العقود الإدارية المحلية والدولية، وبيان أثر التنظيمات الحديثة في رفع كفاءة إجراءات التعاقد.</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أهم النتائج وأوجه الاستفادة: بيّنت الدراسة أن النظام السعودي عزز الشفافية والمنافسة، كما أوضحت الحاجة إلى مواءمة التطبيق العملي مع المتطلبات التنظيمية. تستفيد الدراسة الحالية منها في تأصيل البيئة النظامية، وتختلف عنها بأنها دراسة ميدانية إدارية لا تحليل قانوني فقط.</w:t>
      </w:r>
    </w:p>
    <w:p>
      <w:pPr>
        <w:spacing w:lineRule="auto" w:line="360" w:after="120" w:before="0"/>
        <w:jc w:val="right"/>
        <w:bidi w:val="1"/>
      </w:pPr>
      <w:r>
        <w:rPr>
          <w:rFonts w:ascii="Traditional Arabic" w:hAnsi="Traditional Arabic" w:cs="Traditional Arabic" w:eastAsia="Traditional Arabic"/>
          <w:b/>
          <w:i w:val="0"/>
          <w:sz w:val="24"/>
          <w:highlight w:val="yellow"/>
          <w:rtl w:val="1"/>
        </w:rPr>
        <w:t>دراسة OECD (2025) بعنوان: Digital Transformation of Public Procurement.</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هدفت الدراسة إلى: دراسة متطلبات التحول الرقمي في المشتريات العامة، وتحليل دور الحوكمة المؤسسية والبيانات في دعم الشفافية والقيمة مقابل المال.</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أهم النتائج وأوجه الاستفادة: أوضحت أن التحول الرقمي الناجح يتطلب ترتيبات حوكمة قوية وقيادة مؤسسية وأدوارًا واضحة. وتستفيد الدراسة الحالية منها في دعم بعد نضج المشتريات الرقمية.</w:t>
      </w:r>
    </w:p>
    <w:p>
      <w:pPr>
        <w:spacing w:lineRule="auto" w:line="360" w:after="120" w:before="0"/>
        <w:jc w:val="right"/>
        <w:bidi w:val="1"/>
      </w:pPr>
      <w:r>
        <w:rPr>
          <w:rFonts w:ascii="Traditional Arabic" w:hAnsi="Traditional Arabic" w:cs="Traditional Arabic" w:eastAsia="Traditional Arabic"/>
          <w:b/>
          <w:i w:val="0"/>
          <w:sz w:val="24"/>
          <w:highlight w:val="yellow"/>
          <w:rtl w:val="1"/>
        </w:rPr>
        <w:t>دراسة Matas (2025) بعنوان: Can We Have Both? The Challenges of Efficiency Outcomes in a Public Procurement System and Reaching the Strategic Goals of Procurement.</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هدفت الدراسة إلى: استكشاف كفاءة التكلفة في إجراءات المشتريات العامة وتحليل العلاقة بين الشفافية والاستراتيجيات الثانوية وكفاءة الإنفاق.</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أهم النتائج وأوجه الاستفادة: توصلت الدراسة إلى أهمية الشفافية والأسواق المفتوحة في تحقيق نتائج أفضل، كما أبرزت تحدي التوازن بين الكفاءة والأهداف الاستراتيجية.</w:t>
      </w:r>
    </w:p>
    <w:p>
      <w:pPr>
        <w:spacing w:lineRule="auto" w:line="360" w:after="120" w:before="0"/>
        <w:jc w:val="right"/>
        <w:bidi w:val="1"/>
      </w:pPr>
      <w:r>
        <w:rPr>
          <w:rFonts w:ascii="Traditional Arabic" w:hAnsi="Traditional Arabic" w:cs="Traditional Arabic" w:eastAsia="Traditional Arabic"/>
          <w:b/>
          <w:i w:val="0"/>
          <w:sz w:val="24"/>
          <w:highlight w:val="yellow"/>
          <w:rtl w:val="1"/>
        </w:rPr>
        <w:t>دراسة Gaeta &amp; Malandrino (2026) بعنوان: Transparency or Access? E-Procurement’s Two Paths to Integrity: Evidence from Italy.</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هدفت الدراسة إلى: اختبار ارتباط تبني المشتريات الإلكترونية بالشفافية والمنافسة الإجرائية، ودراسة أثر الرقمنة على الحد من مخاطر الفساد.</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أهم النتائج وأوجه الاستفادة: أظهرت النتائج أن الرقمنة قد تعزز المنافسة والتتبع والإفصاح، مع اختلاف الأثر بحسب نوع الإجراء. وتفيد الدراسة الحالية في دعم بعد المشتريات الرقمية.</w:t>
      </w:r>
    </w:p>
    <w:p>
      <w:pPr>
        <w:spacing w:lineRule="auto" w:line="360" w:after="160" w:before="0"/>
        <w:jc w:val="right"/>
        <w:pStyle w:val="Heading2"/>
        <w:bidi w:val="1"/>
      </w:pPr>
      <w:r>
        <w:rPr>
          <w:rFonts w:ascii="Traditional Arabic" w:hAnsi="Traditional Arabic" w:cs="Traditional Arabic" w:eastAsia="Traditional Arabic"/>
          <w:b/>
          <w:i w:val="0"/>
          <w:sz w:val="28"/>
          <w:highlight w:val="yellow"/>
          <w:rtl w:val="1"/>
        </w:rPr>
        <w:t>14.2 دراسات مرتبطة بـ إدارة مخاطر تعارض المصالح</w:t>
      </w:r>
    </w:p>
    <w:p>
      <w:pPr>
        <w:spacing w:lineRule="auto" w:line="360" w:after="120" w:before="0"/>
        <w:jc w:val="right"/>
        <w:bidi w:val="1"/>
      </w:pPr>
      <w:r>
        <w:rPr>
          <w:rFonts w:ascii="Traditional Arabic" w:hAnsi="Traditional Arabic" w:cs="Traditional Arabic" w:eastAsia="Traditional Arabic"/>
          <w:b/>
          <w:i w:val="0"/>
          <w:sz w:val="24"/>
          <w:highlight w:val="yellow"/>
          <w:rtl w:val="1"/>
        </w:rPr>
        <w:t>دراسة World Bank (2020) بعنوان: Procurement Guidance: Conflict of Interest.</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هدفت الدراسة إلى: تقديم إرشادات لتحديد وإدارة تعارض المصالح في لجان التقييم والمشتريات، وتوضيح آليات الإفصاح والوقاية والمعالجة.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أهم النتائج وأوجه الاستفادة: أكد الدليل أهمية الإفصاح والحياد وموضوعية التقييم، ويستفاد منه في بناء أبعاد المتغير الوسيط في الدراسة الحالية.</w:t>
      </w:r>
    </w:p>
    <w:p>
      <w:pPr>
        <w:spacing w:lineRule="auto" w:line="360" w:after="120" w:before="0"/>
        <w:jc w:val="right"/>
        <w:bidi w:val="1"/>
      </w:pPr>
      <w:r>
        <w:rPr>
          <w:rFonts w:ascii="Traditional Arabic" w:hAnsi="Traditional Arabic" w:cs="Traditional Arabic" w:eastAsia="Traditional Arabic"/>
          <w:b/>
          <w:i w:val="0"/>
          <w:sz w:val="24"/>
          <w:highlight w:val="yellow"/>
          <w:rtl w:val="1"/>
        </w:rPr>
        <w:t>دراسة الفراج (2023) بعنوان: تعارض المصالح في نظام المنافسات والمشتريات الحكومية السعودي وجزاء الإخلال به.</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هدفت الدراسة إلى: تحليل أحكام تعارض المصالح في نظام المنافسات والمشتريات السعودي وبيان الجزاءات النظامية المترتبة على الإخلال.</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أهم النتائج وأوجه الاستفادة: توصلت الدراسة إلى أن المنظم السعودي حرص على قطع طرق الفساد وشبهة الفساد وحماية المال العام. وتختلف الدراسة الحالية عنها في دراسة تعارض المصالح كمتغير إداري وسيط قابل للقياس.</w:t>
      </w:r>
    </w:p>
    <w:p>
      <w:pPr>
        <w:spacing w:lineRule="auto" w:line="360" w:after="120" w:before="0"/>
        <w:jc w:val="right"/>
        <w:bidi w:val="1"/>
      </w:pPr>
      <w:r>
        <w:rPr>
          <w:rFonts w:ascii="Traditional Arabic" w:hAnsi="Traditional Arabic" w:cs="Traditional Arabic" w:eastAsia="Traditional Arabic"/>
          <w:b/>
          <w:i w:val="0"/>
          <w:sz w:val="24"/>
          <w:highlight w:val="yellow"/>
          <w:rtl w:val="1"/>
        </w:rPr>
        <w:t>دراسة OECD (2026) بعنوان: Anti-Corruption and Integrity Outlook 2026 - Integrity in Public Procurement.</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هدفت الدراسة إلى: تحليل ضمانات النزاهة وتعارض المصالح في المشتريات العامة، وبيان الحاجة إلى نهج قائم على المخاطر في التحقق من الإقرارات والعقوبات.</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أهم النتائج وأوجه الاستفادة: أوصى التقرير بتعزيز فاعلية ضمانات تعارض المصالح من خلال التحقق القائم على المخاطر. وتفيد الدراسة الحالية في بناء منطق إدارة مخاطر التعارض كآلية وسيطة.</w:t>
      </w:r>
    </w:p>
    <w:p>
      <w:pPr>
        <w:spacing w:lineRule="auto" w:line="360" w:after="120" w:before="0"/>
        <w:jc w:val="right"/>
        <w:bidi w:val="1"/>
      </w:pPr>
      <w:r>
        <w:rPr>
          <w:rFonts w:ascii="Traditional Arabic" w:hAnsi="Traditional Arabic" w:cs="Traditional Arabic" w:eastAsia="Traditional Arabic"/>
          <w:b/>
          <w:i w:val="0"/>
          <w:sz w:val="24"/>
          <w:highlight w:val="yellow"/>
          <w:rtl w:val="1"/>
        </w:rPr>
        <w:t>دراسة OECD (2026) بعنوان: Competition and Corruption in Public Procurement.</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هدفت الدراسة إلى: تحليل العلاقة بين الفساد والمنافسة في المشتريات العامة وبيان صور الفساد التي تشمل الرشوة والنفوذ غير المشروع وتعارض المصالح والاحتيال.</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أهم النتائج وأوجه الاستفادة: أوضح التقرير أن الفساد في المشتريات يضعف المنافسة ويهدر الأموال العامة ويضر بالكفاءة الاقتصادية. وتستفيد الدراسة الحالية منه في ربط تعارض المصالح بكفاءة الإنفاق.</w:t>
      </w:r>
    </w:p>
    <w:p>
      <w:pPr>
        <w:spacing w:lineRule="auto" w:line="360" w:after="160" w:before="0"/>
        <w:jc w:val="right"/>
        <w:pStyle w:val="Heading2"/>
        <w:bidi w:val="1"/>
      </w:pPr>
      <w:r>
        <w:rPr>
          <w:rFonts w:ascii="Traditional Arabic" w:hAnsi="Traditional Arabic" w:cs="Traditional Arabic" w:eastAsia="Traditional Arabic"/>
          <w:b/>
          <w:i w:val="0"/>
          <w:sz w:val="28"/>
          <w:highlight w:val="yellow"/>
          <w:rtl w:val="1"/>
        </w:rPr>
        <w:t>14.3 دراسات مرتبطة بـ كفاءة الإنفاق</w:t>
      </w:r>
    </w:p>
    <w:p>
      <w:pPr>
        <w:spacing w:lineRule="auto" w:line="360" w:after="120" w:before="0"/>
        <w:jc w:val="right"/>
        <w:bidi w:val="1"/>
      </w:pPr>
      <w:r>
        <w:rPr>
          <w:rFonts w:ascii="Traditional Arabic" w:hAnsi="Traditional Arabic" w:cs="Traditional Arabic" w:eastAsia="Traditional Arabic"/>
          <w:b/>
          <w:i w:val="0"/>
          <w:sz w:val="24"/>
          <w:highlight w:val="yellow"/>
          <w:rtl w:val="1"/>
        </w:rPr>
        <w:t>دراسة الخريجي (2021) بعنوان: قياس كفاءة الإنفاق الحكومي في المملكة العربية السعودية: دراسة مقارنة بمجموعة الدول العشرين.</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هدفت الدراسة إلى: قياس الكفاءة النسبية للإنفاق الحكومي في المملكة مقارنة بمجموعة العشرين باستخدام تحليل مغلف البيانات، وبناء مؤشرات أداء وكفاءة للقطاع الحكومي.</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أهم النتائج وأوجه الاستفادة: توصلت الدراسة إلى تفاوت كفاءة الإنفاق بين القطاعات، وإلى وجود هدر في بعض المجالات. وتفيد الدراسة الحالية في تأصيل قياس كفاءة الإنفاق في السعودية، مع اختلافها في تركيزها على المشتريات الحكومية.</w:t>
      </w:r>
    </w:p>
    <w:p>
      <w:pPr>
        <w:spacing w:lineRule="auto" w:line="360" w:after="120" w:before="0"/>
        <w:jc w:val="right"/>
        <w:bidi w:val="1"/>
      </w:pPr>
      <w:r>
        <w:rPr>
          <w:rFonts w:ascii="Traditional Arabic" w:hAnsi="Traditional Arabic" w:cs="Traditional Arabic" w:eastAsia="Traditional Arabic"/>
          <w:b/>
          <w:i w:val="0"/>
          <w:sz w:val="24"/>
          <w:highlight w:val="yellow"/>
          <w:rtl w:val="1"/>
        </w:rPr>
        <w:t>دراسة الغامدي (2023) بعنوان: ضمانات تحقيق كفاءة الإنفاق في العقود الحكومية والرقابة عليها في النظام السعودي.</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هدفت الدراسة إلى: بيان آليات تحقيق كفاءة الإنفاق في مراحل العقود الحكومية ودور الجهات الرقابية، وتحليل النصوص النظامية ذات الصلة.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أهم النتائج وأوجه الاستفادة: أوصت الدراسة بضبط إجراءات العقد الحكومي وتدريب الكوادر المتخصصة. وتختلف الدراسة الحالية عنها في اعتمادها على اختبار ميداني لأثر الحوكمة وإدارة مخاطر التعارض.</w:t>
      </w:r>
    </w:p>
    <w:p>
      <w:pPr>
        <w:spacing w:lineRule="auto" w:line="360" w:after="120" w:before="0"/>
        <w:jc w:val="right"/>
        <w:bidi w:val="1"/>
      </w:pPr>
      <w:r>
        <w:rPr>
          <w:rFonts w:ascii="Traditional Arabic" w:hAnsi="Traditional Arabic" w:cs="Traditional Arabic" w:eastAsia="Traditional Arabic"/>
          <w:b/>
          <w:i w:val="0"/>
          <w:sz w:val="24"/>
          <w:highlight w:val="yellow"/>
          <w:rtl w:val="1"/>
        </w:rPr>
        <w:t>دراسة هيئة كفاءة الإنفاق والمشروعات الحكومية (2025) بعنوان: مفهوم كفاءة الإنفاق في المملكة العربية السعودية: مفاهيم ودروس رئيسية.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هدفت الدراسة إلى: توضيح مفهوم كفاءة الإنفاق ومنهجيات قياسه وأسباب فجوات الكفاءة ودور الهيئة والجهات الحكومية في رفع كفاءة الإنفاق.</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أهم النتائج وأوجه الاستفادة: ميزت الورقة بين الكفاءة الفنية وكفاءة تخصيص الموارد، وربطت فجوات الكفاءة بضعف الحوكمة وإدارة الإنفاق. وتعد مرجعًا رئيسًا لتعريف المتغير التابع.</w:t>
      </w:r>
    </w:p>
    <w:p>
      <w:pPr>
        <w:spacing w:lineRule="auto" w:line="360" w:after="120" w:before="0"/>
        <w:jc w:val="right"/>
        <w:bidi w:val="1"/>
      </w:pPr>
      <w:r>
        <w:rPr>
          <w:rFonts w:ascii="Traditional Arabic" w:hAnsi="Traditional Arabic" w:cs="Traditional Arabic" w:eastAsia="Traditional Arabic"/>
          <w:b/>
          <w:i w:val="0"/>
          <w:sz w:val="24"/>
          <w:highlight w:val="yellow"/>
          <w:rtl w:val="1"/>
        </w:rPr>
        <w:t>دراسة Kundu, James, &amp; Rigby (2025) بعنوان: Impacts of Policy-Driven Public Procurement: A Methodological Review.</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هدفت الدراسة إلى: مراجعة منهجية لطرق قياس أثر المشتريات العامة والبيانات المستخدمة في تقييم آثارها الاقتصادية والاجتماعية.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أهم النتائج وأوجه الاستفادة: أوضحت الدراسة وجود فجوات في قياس أثر المشتريات العامة، والحاجة إلى بيانات ومنهجيات أكثر دقة. وتفيد الدراسة الحالية في تبرير استخدام نموذج ميداني يقيس الأثر غير المباشر.</w:t>
      </w:r>
    </w:p>
    <w:p>
      <w:pPr>
        <w:spacing w:lineRule="auto" w:line="360" w:after="120" w:before="0"/>
        <w:jc w:val="right"/>
        <w:bidi w:val="1"/>
      </w:pPr>
      <w:r>
        <w:rPr>
          <w:rFonts w:ascii="Traditional Arabic" w:hAnsi="Traditional Arabic" w:cs="Traditional Arabic" w:eastAsia="Traditional Arabic"/>
          <w:b/>
          <w:i w:val="0"/>
          <w:sz w:val="24"/>
          <w:highlight w:val="yellow"/>
          <w:rtl w:val="1"/>
        </w:rPr>
        <w:t>دراسة الحسين الجواني (2026) بعنوان: تعزيز كفاءة الإنفاق وحماية المال العام في نظام المنافسات والمشتريات الحكومية وفق رؤية المملكة 2030.</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هدفت الدراسة إلى: تحليل دور نظام المنافسات والمشتريات في حماية المال العام ورفع كفاءة الإنفاق في ضوء رؤية المملكة 2030.</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أهم النتائج وأوجه الاستفادة: أبرزت الدراسة أهمية الشفافية والمساءلة والرقابة في تعزيز كفاءة الإنفاق. وتختلف الدراسة الحالية عنها في اختبار العلاقات إحصائيًا وإدخال متغير وسيط.</w:t>
      </w:r>
    </w:p>
    <w:p>
      <w:pPr>
        <w:spacing w:lineRule="auto" w:line="360" w:after="240" w:before="0"/>
        <w:jc w:val="center"/>
        <w:bidi w:val="1"/>
      </w:pPr>
      <w:r>
        <w:rPr>
          <w:rFonts w:ascii="Traditional Arabic" w:hAnsi="Traditional Arabic" w:cs="Traditional Arabic" w:eastAsia="Traditional Arabic"/>
          <w:b/>
          <w:i w:val="0"/>
          <w:sz w:val="22"/>
          <w:highlight w:val="yellow"/>
          <w:rtl w:val="1"/>
        </w:rPr>
        <w:t>جدول (6): الدراسات المرجعية موزعة حسب متغيرات الدراسة</w:t>
      </w:r>
    </w:p>
    <w:p>
      <w:pPr>
        <w:spacing w:lineRule="auto" w:line="360" w:after="160" w:before="0"/>
        <w:jc w:val="right"/>
        <w:pStyle w:val="Heading2"/>
        <w:bidi w:val="1"/>
      </w:pPr>
      <w:r>
        <w:rPr>
          <w:rFonts w:ascii="Traditional Arabic" w:hAnsi="Traditional Arabic" w:cs="Traditional Arabic" w:eastAsia="Traditional Arabic"/>
          <w:b/>
          <w:i w:val="0"/>
          <w:sz w:val="28"/>
          <w:highlight w:val="yellow"/>
          <w:rtl w:val="1"/>
        </w:rPr>
        <w:t>14.4 الفجوات البحثية</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الفجوة الأولى: محدودية الدراسات التي تناولت حوكمة المشتريات الحكومية وكفاءة الإنفاق في البيئة السعودية بشكل ميداني من منظور إداري كمي.</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الفجوة الثانية: ندرة الدراسات التي اختبرت الآليات التنظيمية الوسيطة، وبخاصة إدارة مخاطر تعارض المصالح، في العلاقة بين الحوكمة وكفاءة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الفجوة الثالثة: قلة الدراسات التي تناولت تعارض المصالح بوصفه متغيرًا إداريًا مؤثرًا في جودة القرار الشرائي وكفاءة تخصيص الموارد، وليس مجرد مسألة قانونية أو أخلاقية.</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الفجوة الرابعة: غياب الدراسات التي تدرس كفاءة الإنفاق في المشتريات الحكومية وفق التصور السعودي الرسمي الذي يميز بين الكفاءة الفنية وكفاءة تخصيص الموارد، ويربطهما بخفض الهدر والقيمة مقابل المال والمواءمة الاستراتيجية.</w:t>
      </w:r>
    </w:p>
    <w:p>
      <w:pPr>
        <w:spacing w:lineRule="auto" w:line="360" w:after="160" w:before="0"/>
        <w:jc w:val="right"/>
        <w:pStyle w:val="Heading1"/>
        <w:bidi w:val="1"/>
      </w:pPr>
      <w:r>
        <w:rPr>
          <w:rFonts w:ascii="Traditional Arabic" w:hAnsi="Traditional Arabic" w:cs="Traditional Arabic" w:eastAsia="Traditional Arabic"/>
          <w:b/>
          <w:i w:val="0"/>
          <w:sz w:val="32"/>
          <w:rtl w:val="1"/>
        </w:rPr>
        <w:t>15. حدود الدراسة</w:t>
      </w:r>
    </w:p>
    <w:p>
      <w:pPr>
        <w:spacing w:lineRule="auto" w:line="360" w:after="120" w:before="0"/>
        <w:ind w:left="170"/>
        <w:jc w:val="right"/>
        <w:bidi w:val="1"/>
      </w:pPr>
      <w:r>
        <w:rPr>
          <w:rFonts w:ascii="Traditional Arabic" w:hAnsi="Traditional Arabic" w:cs="Traditional Arabic" w:eastAsia="Traditional Arabic"/>
          <w:b w:val="0"/>
          <w:i w:val="0"/>
          <w:sz w:val="24"/>
          <w:rtl w:val="1"/>
        </w:rPr>
        <w:t>• الحدود الموضوعية: تقتصر الدراسة على أثر ممارسات حوكمة المشتريات الحكومية في كفاءة الإنفاق، مع اختبار الدور الوسيط لإدارة مخاطر تعارض المصالح.</w:t>
      </w:r>
    </w:p>
    <w:p>
      <w:pPr>
        <w:spacing w:lineRule="auto" w:line="360" w:after="120" w:before="0"/>
        <w:ind w:left="170"/>
        <w:jc w:val="right"/>
        <w:bidi w:val="1"/>
      </w:pPr>
      <w:r>
        <w:rPr>
          <w:rFonts w:ascii="Traditional Arabic" w:hAnsi="Traditional Arabic" w:cs="Traditional Arabic" w:eastAsia="Traditional Arabic"/>
          <w:b w:val="0"/>
          <w:i w:val="0"/>
          <w:sz w:val="24"/>
          <w:rtl w:val="1"/>
        </w:rPr>
        <w:t>• الحدود المكانية: تطبق الدراسة على الجهات الحكومية في المملكة العربية السعودية.</w:t>
      </w:r>
    </w:p>
    <w:p>
      <w:pPr>
        <w:spacing w:lineRule="auto" w:line="360" w:after="120" w:before="0"/>
        <w:ind w:left="170"/>
        <w:jc w:val="right"/>
        <w:bidi w:val="1"/>
      </w:pPr>
      <w:r>
        <w:rPr>
          <w:rFonts w:ascii="Traditional Arabic" w:hAnsi="Traditional Arabic" w:cs="Traditional Arabic" w:eastAsia="Traditional Arabic"/>
          <w:b w:val="0"/>
          <w:i w:val="0"/>
          <w:sz w:val="24"/>
          <w:rtl w:val="1"/>
        </w:rPr>
        <w:t>• الحدود الزمانية: تطبق الدراسة خلال العام الأكاديمي الذي يتم فيه اعتماد الخطة وجمع البيانات.</w:t>
      </w:r>
    </w:p>
    <w:p>
      <w:pPr>
        <w:spacing w:lineRule="auto" w:line="360" w:after="120" w:before="0"/>
        <w:ind w:left="170"/>
        <w:jc w:val="right"/>
        <w:bidi w:val="1"/>
      </w:pPr>
      <w:r>
        <w:rPr>
          <w:rFonts w:ascii="Traditional Arabic" w:hAnsi="Traditional Arabic" w:cs="Traditional Arabic" w:eastAsia="Traditional Arabic"/>
          <w:b w:val="0"/>
          <w:i w:val="0"/>
          <w:sz w:val="24"/>
          <w:rtl w:val="1"/>
        </w:rPr>
        <w:t>• الحدود البشرية: تقتصر الدراسة على المختصين والعاملين في المشتريات والعقود الحكومية واللجان ذات العلاقة ومختصي الحوكمة والامتثال وكفاءة الإنفاق.</w:t>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16. وسائل جمع بيانات الدراسة</w:t>
      </w:r>
    </w:p>
    <w:p>
      <w:pPr>
        <w:spacing w:lineRule="auto" w:line="360" w:after="120" w:before="0"/>
        <w:ind w:left="170"/>
        <w:jc w:val="right"/>
        <w:bidi w:val="1"/>
      </w:pPr>
      <w:r>
        <w:rPr>
          <w:rFonts w:ascii="Traditional Arabic" w:hAnsi="Traditional Arabic" w:cs="Traditional Arabic" w:eastAsia="Traditional Arabic"/>
          <w:b w:val="0"/>
          <w:i w:val="0"/>
          <w:sz w:val="24"/>
          <w:rtl w:val="1"/>
        </w:rPr>
        <w:t>• الاستبانة: تمثل الأداة الرئيسة لجمع البيانات، وستصمم وفق مقياس ليكرت الخماسي لقياس أبعاد المتغيرات الثلاثة.</w:t>
      </w:r>
    </w:p>
    <w:p>
      <w:pPr>
        <w:spacing w:lineRule="auto" w:line="360" w:after="120" w:before="0"/>
        <w:ind w:left="170"/>
        <w:jc w:val="right"/>
        <w:bidi w:val="1"/>
      </w:pPr>
      <w:r>
        <w:rPr>
          <w:rFonts w:ascii="Traditional Arabic" w:hAnsi="Traditional Arabic" w:cs="Traditional Arabic" w:eastAsia="Traditional Arabic"/>
          <w:b w:val="0"/>
          <w:i w:val="0"/>
          <w:sz w:val="24"/>
          <w:rtl w:val="1"/>
        </w:rPr>
        <w:t>• المراجعة الوثائقية: تشمل الأنظمة واللوائح والتقارير الرسمية الصادرة عن وزارة المالية وهيئة كفاءة الإنفاق والمشروعات الحكومية والجهات ذات العلاقة.</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المقابلات المعمقة المحدودة: تقترح الدراسة إجراء مقابلات مع عدد محدود من القيادات أو الخبراء في المشتريات الحكومية لدعم تفسير النتائج الكمية والتحقق من ملاءمة الأبعاد للواقع العملي.</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 التحكيم العلمي والمهني: عرض الاستبانة على محكمين أكاديميين ومهنيين للتأكد من صدق المحتوى وملاءمة الصياغة.</w:t>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17. المعالجات الإحصائية المقترحة</w:t>
      </w:r>
    </w:p>
    <w:tbl>
      <w:tblPr>
        <w:tblStyle w:val="TableGrid"/>
        <w:tblW w:type="auto" w:w="0"/>
        <w:jc w:val="center"/>
        <w:tblLook w:firstColumn="1" w:firstRow="1" w:lastColumn="0" w:lastRow="0" w:noHBand="0" w:noVBand="1" w:val="04A0"/>
        <w:bidiVisual w:val="1"/>
      </w:tblPr>
      <w:tblGrid>
        <w:gridCol w:w="3024"/>
        <w:gridCol w:w="3024"/>
        <w:gridCol w:w="3024"/>
      </w:tblGrid>
      <w:tr>
        <w:tc>
          <w:tcPr>
            <w:tcW w:type="dxa" w:w="1134"/>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م</w:t>
            </w:r>
          </w:p>
        </w:tc>
        <w:tc>
          <w:tcPr>
            <w:tcW w:type="dxa" w:w="2835"/>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المرحلة</w:t>
            </w:r>
          </w:p>
        </w:tc>
        <w:tc>
          <w:tcPr>
            <w:tcW w:type="dxa" w:w="5669"/>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الإجراء/الاختبار</w:t>
            </w:r>
          </w:p>
        </w:tc>
      </w:tr>
      <w:tr>
        <w:tc>
          <w:tcPr>
            <w:tcW w:type="dxa" w:w="1134"/>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1</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تنظيف البيانات</w:t>
            </w:r>
          </w:p>
        </w:tc>
        <w:tc>
          <w:tcPr>
            <w:tcW w:type="dxa" w:w="56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فحص القيم الناقصة، الاستجابات غير المكتملة، القيم الشاذة، والاستجابات النمطية.</w:t>
            </w:r>
          </w:p>
        </w:tc>
      </w:tr>
      <w:tr>
        <w:tc>
          <w:tcPr>
            <w:tcW w:type="dxa" w:w="1134"/>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2</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اختبار الصدق والثبات</w:t>
            </w:r>
          </w:p>
        </w:tc>
        <w:tc>
          <w:tcPr>
            <w:tcW w:type="dxa" w:w="56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معامل كرونباخ ألفا، الصدق الظاهري والمحتوائي، الصدق البنائي والتقاربي والتمييزي.</w:t>
            </w:r>
          </w:p>
        </w:tc>
      </w:tr>
      <w:tr>
        <w:tc>
          <w:tcPr>
            <w:tcW w:type="dxa" w:w="1134"/>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3</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الإحصاء الوصفي</w:t>
            </w:r>
          </w:p>
        </w:tc>
        <w:tc>
          <w:tcPr>
            <w:tcW w:type="dxa" w:w="56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المتوسطات، الانحرافات المعيارية، التكرارات، النسب المئوية.</w:t>
            </w:r>
          </w:p>
        </w:tc>
      </w:tr>
      <w:tr>
        <w:tc>
          <w:tcPr>
            <w:tcW w:type="dxa" w:w="1134"/>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4</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اختبار تحيز الطريقة الواحدة</w:t>
            </w:r>
          </w:p>
        </w:tc>
        <w:tc>
          <w:tcPr>
            <w:tcW w:type="dxa" w:w="56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Harman’s Single Factor Test ضمن تحليل العوامل الاستكشافية.</w:t>
            </w:r>
          </w:p>
        </w:tc>
      </w:tr>
      <w:tr>
        <w:tc>
          <w:tcPr>
            <w:tcW w:type="dxa" w:w="1134"/>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5</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اختبار الفروق</w:t>
            </w:r>
          </w:p>
        </w:tc>
        <w:tc>
          <w:tcPr>
            <w:tcW w:type="dxa" w:w="56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T-test وANOVA وفق المتغيرات الديموغرافية.</w:t>
            </w:r>
          </w:p>
        </w:tc>
      </w:tr>
      <w:tr>
        <w:tc>
          <w:tcPr>
            <w:tcW w:type="dxa" w:w="1134"/>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6</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تحليل الارتباط</w:t>
            </w:r>
          </w:p>
        </w:tc>
        <w:tc>
          <w:tcPr>
            <w:tcW w:type="dxa" w:w="56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معامل ارتباط بيرسون بين المتغيرات وأبعادها.</w:t>
            </w:r>
          </w:p>
        </w:tc>
      </w:tr>
      <w:tr>
        <w:tc>
          <w:tcPr>
            <w:tcW w:type="dxa" w:w="1134"/>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7</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تحليل الانحدار المتعدد</w:t>
            </w:r>
          </w:p>
        </w:tc>
        <w:tc>
          <w:tcPr>
            <w:tcW w:type="dxa" w:w="56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اختبار الأثر التفاضلي لأبعاد الحوكمة في كفاءة الإنفاق وبناء نموذج تنبؤي.</w:t>
            </w:r>
          </w:p>
        </w:tc>
      </w:tr>
      <w:tr>
        <w:tc>
          <w:tcPr>
            <w:tcW w:type="dxa" w:w="1134"/>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8</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النموذج البنائي SEM</w:t>
            </w:r>
          </w:p>
        </w:tc>
        <w:tc>
          <w:tcPr>
            <w:tcW w:type="dxa" w:w="56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اختبار العلاقات المباشرة وغير المباشرة بين المتغيرات.</w:t>
            </w:r>
          </w:p>
        </w:tc>
      </w:tr>
      <w:tr>
        <w:tc>
          <w:tcPr>
            <w:tcW w:type="dxa" w:w="1134"/>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9</w:t>
            </w:r>
          </w:p>
        </w:tc>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اختبار الوساطة</w:t>
            </w:r>
          </w:p>
        </w:tc>
        <w:tc>
          <w:tcPr>
            <w:tcW w:type="dxa" w:w="5669"/>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استخدام Bootstrap لاختبار الأثر الوسيط لإدارة مخاطر تعارض المصالح.</w:t>
            </w:r>
          </w:p>
        </w:tc>
      </w:tr>
    </w:tbl>
    <w:p>
      <w:pPr>
        <w:spacing w:lineRule="auto" w:line="360" w:after="240" w:before="0"/>
        <w:jc w:val="center"/>
        <w:bidi w:val="1"/>
      </w:pPr>
      <w:r>
        <w:rPr>
          <w:rFonts w:ascii="Traditional Arabic" w:hAnsi="Traditional Arabic" w:cs="Traditional Arabic" w:eastAsia="Traditional Arabic"/>
          <w:b/>
          <w:i w:val="0"/>
          <w:sz w:val="22"/>
          <w:highlight w:val="yellow"/>
          <w:rtl w:val="1"/>
        </w:rPr>
        <w:t>جدول (5): تسلسل خطوات تحليل البيانات والمعالجات الإحصائية</w:t>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18. خطوات تنفيذ خطة الدراسة</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1. اعتماد العنوان النهائي والخطة بعد معالجة ملاحظات اللجنة العلمية والمشرف.</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2. استكمال مراجعة الأدبيات والدراسات السابقة العربية والأجنبية الحديثة.</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3. تحليل الوثائق الرسمية والأنظمة واللوائح ذات العلاقة بالمشتريات الحكومية وتعارض المصالح وكفاءة الإنفاق.</w:t>
      </w:r>
    </w:p>
    <w:p>
      <w:pPr>
        <w:spacing w:lineRule="auto" w:line="360" w:after="120" w:before="0"/>
        <w:ind w:left="170"/>
        <w:jc w:val="right"/>
        <w:bidi w:val="1"/>
      </w:pPr>
      <w:r>
        <w:rPr>
          <w:rFonts w:ascii="Traditional Arabic" w:hAnsi="Traditional Arabic" w:cs="Traditional Arabic" w:eastAsia="Traditional Arabic"/>
          <w:b w:val="0"/>
          <w:i w:val="0"/>
          <w:sz w:val="24"/>
          <w:rtl w:val="1"/>
        </w:rPr>
        <w:t>4. تطوير النموذج المفاهيمي النهائي وتحديد أبعاد المتغيرات.</w:t>
      </w:r>
    </w:p>
    <w:p>
      <w:pPr>
        <w:spacing w:lineRule="auto" w:line="360" w:after="120" w:before="0"/>
        <w:ind w:left="170"/>
        <w:jc w:val="right"/>
        <w:bidi w:val="1"/>
      </w:pPr>
      <w:r>
        <w:rPr>
          <w:rFonts w:ascii="Traditional Arabic" w:hAnsi="Traditional Arabic" w:cs="Traditional Arabic" w:eastAsia="Traditional Arabic"/>
          <w:b w:val="0"/>
          <w:i w:val="0"/>
          <w:sz w:val="24"/>
          <w:rtl w:val="1"/>
        </w:rPr>
        <w:t>5. تصميم أداة الدراسة وتحكيمها أكاديميًا ومهنيًا.</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6. الحصول على الموافقات اللازمة من الجهات الحكومية أو الإدارات المختصة للمشاركة في الدراسة.</w:t>
      </w:r>
    </w:p>
    <w:p>
      <w:pPr>
        <w:spacing w:lineRule="auto" w:line="360" w:after="120" w:before="0"/>
        <w:ind w:left="170"/>
        <w:jc w:val="right"/>
        <w:bidi w:val="1"/>
      </w:pPr>
      <w:r>
        <w:rPr>
          <w:rFonts w:ascii="Traditional Arabic" w:hAnsi="Traditional Arabic" w:cs="Traditional Arabic" w:eastAsia="Traditional Arabic"/>
          <w:b w:val="0"/>
          <w:i w:val="0"/>
          <w:sz w:val="24"/>
          <w:rtl w:val="1"/>
        </w:rPr>
        <w:t>7. تنفيذ الدراسة الاستطلاعية وإجراء التعديلات اللازمة على الأداة.</w:t>
      </w:r>
    </w:p>
    <w:p>
      <w:pPr>
        <w:spacing w:lineRule="auto" w:line="360" w:after="120" w:before="0"/>
        <w:ind w:left="170"/>
        <w:jc w:val="right"/>
        <w:bidi w:val="1"/>
      </w:pPr>
      <w:r>
        <w:rPr>
          <w:rFonts w:ascii="Traditional Arabic" w:hAnsi="Traditional Arabic" w:cs="Traditional Arabic" w:eastAsia="Traditional Arabic"/>
          <w:b w:val="0"/>
          <w:i w:val="0"/>
          <w:sz w:val="24"/>
          <w:rtl w:val="1"/>
        </w:rPr>
        <w:t>8. جمع البيانات من العينة الأساسية وفق خطة العينة الطبقية.</w:t>
      </w:r>
    </w:p>
    <w:p>
      <w:pPr>
        <w:spacing w:lineRule="auto" w:line="360" w:after="120" w:before="0"/>
        <w:ind w:left="170"/>
        <w:jc w:val="right"/>
        <w:bidi w:val="1"/>
      </w:pPr>
      <w:r>
        <w:rPr>
          <w:rFonts w:ascii="Traditional Arabic" w:hAnsi="Traditional Arabic" w:cs="Traditional Arabic" w:eastAsia="Traditional Arabic"/>
          <w:b w:val="0"/>
          <w:i w:val="0"/>
          <w:sz w:val="24"/>
          <w:highlight w:val="yellow"/>
          <w:rtl w:val="1"/>
        </w:rPr>
        <w:t>9. تنظيف البيانات ومعالجة القيم الناقصة والتحقق من صلاحية الاستجابات.</w:t>
      </w:r>
    </w:p>
    <w:p>
      <w:pPr>
        <w:spacing w:lineRule="auto" w:line="360" w:after="120" w:before="0"/>
        <w:ind w:left="170"/>
        <w:jc w:val="right"/>
        <w:bidi w:val="1"/>
      </w:pPr>
      <w:r>
        <w:rPr>
          <w:rFonts w:ascii="Traditional Arabic" w:hAnsi="Traditional Arabic" w:cs="Traditional Arabic" w:eastAsia="Traditional Arabic"/>
          <w:b w:val="0"/>
          <w:i w:val="0"/>
          <w:sz w:val="24"/>
          <w:rtl w:val="1"/>
        </w:rPr>
        <w:t>10. تنفيذ التحليلات الإحصائية وفق التسلسل المحدد.</w:t>
      </w:r>
    </w:p>
    <w:p>
      <w:pPr>
        <w:spacing w:lineRule="auto" w:line="360" w:after="120" w:before="0"/>
        <w:ind w:left="170"/>
        <w:jc w:val="right"/>
        <w:bidi w:val="1"/>
      </w:pPr>
      <w:r>
        <w:rPr>
          <w:rFonts w:ascii="Traditional Arabic" w:hAnsi="Traditional Arabic" w:cs="Traditional Arabic" w:eastAsia="Traditional Arabic"/>
          <w:b w:val="0"/>
          <w:i w:val="0"/>
          <w:sz w:val="24"/>
          <w:rtl w:val="1"/>
        </w:rPr>
        <w:t>11. تفسير النتائج في ضوء النظريات الداعمة والدراسات السابقة والسياق السعودي.</w:t>
      </w:r>
    </w:p>
    <w:p>
      <w:pPr>
        <w:spacing w:lineRule="auto" w:line="360" w:after="120" w:before="0"/>
        <w:ind w:left="170"/>
        <w:jc w:val="right"/>
        <w:bidi w:val="1"/>
      </w:pPr>
      <w:r>
        <w:rPr>
          <w:rFonts w:ascii="Traditional Arabic" w:hAnsi="Traditional Arabic" w:cs="Traditional Arabic" w:eastAsia="Traditional Arabic"/>
          <w:b w:val="0"/>
          <w:i w:val="0"/>
          <w:sz w:val="24"/>
          <w:rtl w:val="1"/>
        </w:rPr>
        <w:t>12. صياغة التوصيات التطبيقية لصناع القرار والجهات ذات العلاقة.</w:t>
      </w:r>
    </w:p>
    <w:p>
      <w:pPr>
        <w:spacing w:lineRule="auto" w:line="360" w:after="120" w:before="0"/>
        <w:ind w:left="170"/>
        <w:jc w:val="right"/>
        <w:bidi w:val="1"/>
      </w:pPr>
      <w:r>
        <w:rPr>
          <w:rFonts w:ascii="Traditional Arabic" w:hAnsi="Traditional Arabic" w:cs="Traditional Arabic" w:eastAsia="Traditional Arabic"/>
          <w:b w:val="0"/>
          <w:i w:val="0"/>
          <w:sz w:val="24"/>
          <w:rtl w:val="1"/>
        </w:rPr>
        <w:t>13. إعداد الرسالة النهائية وفق متطلبات جامعة ميدأوشن والتوثيق بنظام APA الإصدار السابع.</w:t>
      </w:r>
    </w:p>
    <w:p>
      <w:pPr>
        <w:spacing w:lineRule="auto" w:line="360" w:after="160" w:before="0"/>
        <w:jc w:val="right"/>
        <w:pStyle w:val="Heading1"/>
        <w:bidi w:val="1"/>
      </w:pPr>
      <w:r>
        <w:rPr>
          <w:rFonts w:ascii="Traditional Arabic" w:hAnsi="Traditional Arabic" w:cs="Traditional Arabic" w:eastAsia="Traditional Arabic"/>
          <w:b/>
          <w:i w:val="0"/>
          <w:sz w:val="32"/>
          <w:highlight w:val="yellow"/>
          <w:rtl w:val="1"/>
        </w:rPr>
        <w:t>19. المراجع وفق APA الإصدار السابع</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الحسين الجواني، وحيدة. (2026). تعزيز كفاءة الإنفاق وحماية المال العام في نظام المنافسات والمشتريات الحكومية وفق رؤية المملكة 2030. روح القوانين.</w:t>
      </w:r>
    </w:p>
    <w:p>
      <w:pPr>
        <w:spacing w:lineRule="auto" w:line="360" w:after="120" w:before="0"/>
        <w:jc w:val="right"/>
        <w:bidi w:val="1"/>
      </w:pPr>
      <w:r>
        <w:rPr>
          <w:rFonts w:ascii="Traditional Arabic" w:hAnsi="Traditional Arabic" w:cs="Traditional Arabic" w:eastAsia="Traditional Arabic"/>
          <w:b w:val="0"/>
          <w:i w:val="0"/>
          <w:sz w:val="24"/>
          <w:rtl w:val="1"/>
        </w:rPr>
        <w:t>الخريجي، مشاعل بنت فهد. (2021). قياس كفاءة الإنفاق الحكومي في المملكة العربية السعودية: دراسة مقارنة بمجموعة الدول العشرين (G20). مجلة العلوم الإنسانية والاجتماعية، جامعة الإمام محمد بن سعود الإسلامية.</w:t>
      </w:r>
    </w:p>
    <w:p>
      <w:pPr>
        <w:spacing w:lineRule="auto" w:line="360" w:after="120" w:before="0"/>
        <w:jc w:val="right"/>
        <w:bidi w:val="1"/>
      </w:pPr>
      <w:r>
        <w:rPr>
          <w:rFonts w:ascii="Traditional Arabic" w:hAnsi="Traditional Arabic" w:cs="Traditional Arabic" w:eastAsia="Traditional Arabic"/>
          <w:b w:val="0"/>
          <w:i w:val="0"/>
          <w:sz w:val="24"/>
          <w:rtl w:val="1"/>
        </w:rPr>
        <w:t>الفراج، أحمد بن سليمان بن أحمد. (2023). تعارض المصالح في نظام المنافسات والمشتريات الحكومية السعودي وجزاء الإخلال به. مجلة البحوث الفقهية والقانونية، ع40، ج1، 971-1017.</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الغامدي، نايف بن سعد بن محمد. (2023). ضمانات تحقيق كفاءة الإنفاق في العقود الحكومية والرقابة عليها في النظام السعودي. مجلة كلية الشريعة والقانون بطنطا، 2023(38)، ج4، 1-67.</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هيئة كفاءة الإنفاق والمشروعات الحكومية. (2024أ). إنجازات الهيئة خلال عام 2024م. هيئة كفاءة الإنفاق والمشروعات الحكومية.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هيئة كفاءة الإنفاق والمشروعات الحكومية. (2024ب). إطلاق سبعة أدلة إرشادية للمشتريات الحكومية. هيئة كفاءة الإنفاق والمشروعات الحكومية.</w:t>
      </w:r>
    </w:p>
    <w:p>
      <w:pPr>
        <w:spacing w:lineRule="auto" w:line="360" w:after="120" w:before="0"/>
        <w:jc w:val="right"/>
        <w:bidi w:val="1"/>
      </w:pPr>
      <w:r>
        <w:rPr>
          <w:rFonts w:ascii="Traditional Arabic" w:hAnsi="Traditional Arabic" w:cs="Traditional Arabic" w:eastAsia="Traditional Arabic"/>
          <w:b w:val="0"/>
          <w:i w:val="0"/>
          <w:sz w:val="24"/>
          <w:rtl w:val="1"/>
        </w:rPr>
        <w:t>هيئة كفاءة الإنفاق والمشروعات الحكومية. (2025أ). مفهوم كفاءة الإنفاق في المملكة العربية السعودية: مفاهيم ودروس رئيسية. هيئة كفاءة الإنفاق والمشروعات الحكومية.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هيئة كفاءة الإنفاق والمشروعات الحكومية. (2025ب). أكثر من 4 آلاف مبادرة لكفاءة الإنفاق في الجهات الحكومية. هيئة كفاءة الإنفاق والمشروعات الحكومية.</w:t>
      </w:r>
    </w:p>
    <w:p>
      <w:pPr>
        <w:spacing w:lineRule="auto" w:line="360" w:after="120" w:before="0"/>
        <w:jc w:val="right"/>
        <w:bidi w:val="1"/>
      </w:pPr>
      <w:r>
        <w:rPr>
          <w:rFonts w:ascii="Traditional Arabic" w:hAnsi="Traditional Arabic" w:cs="Traditional Arabic" w:eastAsia="Traditional Arabic"/>
          <w:b w:val="0"/>
          <w:i w:val="0"/>
          <w:sz w:val="24"/>
          <w:rtl w:val="1"/>
        </w:rPr>
        <w:t>هيئة كفاءة الإنفاق والمشروعات الحكومية. (2026). الخدمات الإلكترونية. هيئة كفاءة الإنفاق والمشروعات الحكومية.</w:t>
      </w:r>
    </w:p>
    <w:p>
      <w:pPr>
        <w:spacing w:lineRule="auto" w:line="360" w:after="120" w:before="0"/>
        <w:jc w:val="right"/>
        <w:bidi w:val="1"/>
      </w:pPr>
      <w:r>
        <w:rPr>
          <w:rFonts w:ascii="Traditional Arabic" w:hAnsi="Traditional Arabic" w:cs="Traditional Arabic" w:eastAsia="Traditional Arabic"/>
          <w:b w:val="0"/>
          <w:i w:val="0"/>
          <w:sz w:val="24"/>
          <w:rtl w:val="1"/>
        </w:rPr>
        <w:t>وزارة المالية. (2021). لائحة تنظيم تعارض المصالح في تطبيق نظام المنافسات والمشتريات الحكومية ولائحته التنفيذية. وزارة المالية، المملكة العربية السعودية.</w:t>
      </w:r>
    </w:p>
    <w:p>
      <w:pPr>
        <w:spacing w:lineRule="auto" w:line="360" w:after="120" w:before="0"/>
        <w:jc w:val="right"/>
        <w:bidi w:val="1"/>
      </w:pPr>
      <w:r>
        <w:rPr>
          <w:rFonts w:ascii="Traditional Arabic" w:hAnsi="Traditional Arabic" w:cs="Traditional Arabic" w:eastAsia="Traditional Arabic"/>
          <w:b w:val="0"/>
          <w:i w:val="0"/>
          <w:sz w:val="24"/>
          <w:rtl w:val="1"/>
        </w:rPr>
        <w:t>وزارة المالية. (2024). نظام المنافسات والمشتريات الحكومية ولائحته التنفيذية. وزارة المالية، المملكة العربية السعودية.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وزارة المالية. (2025أ). الميزانية العامة للدولة للعام المالي 2025م. وزارة المالية، المملكة العربية السعودية.</w:t>
      </w:r>
    </w:p>
    <w:p>
      <w:pPr>
        <w:spacing w:lineRule="auto" w:line="360" w:after="120" w:before="0"/>
        <w:jc w:val="right"/>
        <w:bidi w:val="1"/>
      </w:pPr>
      <w:r>
        <w:rPr>
          <w:rFonts w:ascii="Traditional Arabic" w:hAnsi="Traditional Arabic" w:cs="Traditional Arabic" w:eastAsia="Traditional Arabic"/>
          <w:b w:val="0"/>
          <w:i w:val="0"/>
          <w:sz w:val="24"/>
          <w:highlight w:val="yellow"/>
          <w:rtl w:val="1"/>
        </w:rPr>
        <w:t>وزارة المالية. (2025ب). البيان التمهيدي لميزانية العام المالي 2026م. وزارة المالية، المملكة العربية السعودية.</w:t>
      </w:r>
    </w:p>
    <w:p>
      <w:pPr>
        <w:spacing w:lineRule="auto" w:line="360" w:after="120" w:before="0"/>
        <w:jc w:val="left"/>
        <w:bidi w:val="0"/>
      </w:pPr>
      <w:r>
        <w:rPr>
          <w:rFonts w:ascii="Traditional Arabic" w:hAnsi="Traditional Arabic" w:cs="Traditional Arabic" w:eastAsia="Traditional Arabic"/>
          <w:b w:val="0"/>
          <w:i w:val="0"/>
          <w:sz w:val="24"/>
        </w:rPr>
        <w:t>Alanzi, A. A. (2021). Saudi procurement system and regulations: Overview of local and international administrative contracts. Laws, 10(2), 37.</w:t>
      </w:r>
    </w:p>
    <w:p>
      <w:pPr>
        <w:spacing w:lineRule="auto" w:line="360" w:after="120" w:before="0"/>
        <w:jc w:val="left"/>
        <w:bidi w:val="0"/>
      </w:pPr>
      <w:r>
        <w:rPr>
          <w:rFonts w:ascii="Traditional Arabic" w:hAnsi="Traditional Arabic" w:cs="Traditional Arabic" w:eastAsia="Traditional Arabic"/>
          <w:b w:val="0"/>
          <w:i w:val="0"/>
          <w:sz w:val="24"/>
        </w:rPr>
        <w:t>Curristine, T., Lonti, Z., &amp; Joumard, I. (2007). Improving public sector efficiency: Challenges and opportunities. OECD Journal on Budgeting, 7(1), 1-41.</w:t>
      </w:r>
    </w:p>
    <w:p>
      <w:pPr>
        <w:spacing w:lineRule="auto" w:line="360" w:after="120" w:before="0"/>
        <w:jc w:val="left"/>
        <w:bidi w:val="0"/>
      </w:pPr>
      <w:r>
        <w:rPr>
          <w:rFonts w:ascii="Traditional Arabic" w:hAnsi="Traditional Arabic" w:cs="Traditional Arabic" w:eastAsia="Traditional Arabic"/>
          <w:b w:val="0"/>
          <w:i w:val="0"/>
          <w:sz w:val="24"/>
          <w:highlight w:val="yellow"/>
        </w:rPr>
        <w:t>Eisenhardt, K. M. (1989). Agency theory: An assessment and review. Academy of Management Review, 14(1), 57-74.</w:t>
      </w:r>
    </w:p>
    <w:p>
      <w:pPr>
        <w:spacing w:lineRule="auto" w:line="360" w:after="120" w:before="0"/>
        <w:jc w:val="left"/>
        <w:bidi w:val="0"/>
      </w:pPr>
      <w:r>
        <w:rPr>
          <w:rFonts w:ascii="Traditional Arabic" w:hAnsi="Traditional Arabic" w:cs="Traditional Arabic" w:eastAsia="Traditional Arabic"/>
          <w:b w:val="0"/>
          <w:i w:val="0"/>
          <w:sz w:val="24"/>
          <w:highlight w:val="yellow"/>
        </w:rPr>
        <w:t>Freeman, R. E. (1984). Strategic management: A stakeholder approach. Pitman.</w:t>
      </w:r>
    </w:p>
    <w:p>
      <w:pPr>
        <w:spacing w:lineRule="auto" w:line="360" w:after="120" w:before="0"/>
        <w:jc w:val="left"/>
        <w:bidi w:val="0"/>
      </w:pPr>
      <w:r>
        <w:rPr>
          <w:rFonts w:ascii="Traditional Arabic" w:hAnsi="Traditional Arabic" w:cs="Traditional Arabic" w:eastAsia="Traditional Arabic"/>
          <w:b w:val="0"/>
          <w:i w:val="0"/>
          <w:sz w:val="24"/>
          <w:highlight w:val="yellow"/>
        </w:rPr>
        <w:t>Gaeta, G. L., &amp; Malandrino, A. (2026). Transparency or access? E-procurement’s two paths to integrity: Evidence from Italy. Regulation &amp; Governance.</w:t>
      </w:r>
    </w:p>
    <w:p>
      <w:pPr>
        <w:spacing w:lineRule="auto" w:line="360" w:after="120" w:before="0"/>
        <w:jc w:val="left"/>
        <w:bidi w:val="0"/>
      </w:pPr>
      <w:r>
        <w:rPr>
          <w:rFonts w:ascii="Traditional Arabic" w:hAnsi="Traditional Arabic" w:cs="Traditional Arabic" w:eastAsia="Traditional Arabic"/>
          <w:b w:val="0"/>
          <w:i w:val="0"/>
          <w:sz w:val="24"/>
        </w:rPr>
        <w:t>Herrera, S., &amp; Pang, G. (2005). Efficiency of public spending in developing countries: An efficiency frontier approach. World Bank Policy Research Working Paper No. 3645.</w:t>
      </w:r>
    </w:p>
    <w:p>
      <w:pPr>
        <w:spacing w:lineRule="auto" w:line="360" w:after="120" w:before="0"/>
        <w:jc w:val="left"/>
        <w:bidi w:val="0"/>
      </w:pPr>
      <w:r>
        <w:rPr>
          <w:rFonts w:ascii="Traditional Arabic" w:hAnsi="Traditional Arabic" w:cs="Traditional Arabic" w:eastAsia="Traditional Arabic"/>
          <w:b w:val="0"/>
          <w:i w:val="0"/>
          <w:sz w:val="24"/>
        </w:rPr>
        <w:t>Jensen, M. C., &amp; Meckling, W. H. (1976). Theory of the firm: Managerial behavior, agency costs and ownership structure. Journal of Financial Economics, 3(4), 305-360.</w:t>
      </w:r>
    </w:p>
    <w:p>
      <w:pPr>
        <w:spacing w:lineRule="auto" w:line="360" w:after="120" w:before="0"/>
        <w:jc w:val="left"/>
        <w:bidi w:val="0"/>
      </w:pPr>
      <w:r>
        <w:rPr>
          <w:rFonts w:ascii="Traditional Arabic" w:hAnsi="Traditional Arabic" w:cs="Traditional Arabic" w:eastAsia="Traditional Arabic"/>
          <w:b w:val="0"/>
          <w:i w:val="0"/>
          <w:sz w:val="24"/>
          <w:highlight w:val="yellow"/>
        </w:rPr>
        <w:t>Kundu, O., James, A. D., &amp; Rigby, J. (2025). Impacts of policy-driven public procurement: A methodological review. Science and Public Policy, 52(1), 50-65.</w:t>
      </w:r>
    </w:p>
    <w:p>
      <w:pPr>
        <w:spacing w:lineRule="auto" w:line="360" w:after="120" w:before="0"/>
        <w:jc w:val="left"/>
        <w:bidi w:val="0"/>
      </w:pPr>
      <w:r>
        <w:rPr>
          <w:rFonts w:ascii="Traditional Arabic" w:hAnsi="Traditional Arabic" w:cs="Traditional Arabic" w:eastAsia="Traditional Arabic"/>
          <w:b w:val="0"/>
          <w:i w:val="0"/>
          <w:sz w:val="24"/>
          <w:highlight w:val="yellow"/>
        </w:rPr>
        <w:t>Matas, S. (2025). Can we have both? The challenges of efficiency outcomes in a public procurement system and reaching the strategic goals of procurement. Sustainability, 17(6), 2475.</w:t>
      </w:r>
    </w:p>
    <w:p>
      <w:pPr>
        <w:spacing w:lineRule="auto" w:line="360" w:after="120" w:before="0"/>
        <w:jc w:val="left"/>
        <w:bidi w:val="0"/>
      </w:pPr>
      <w:r>
        <w:rPr>
          <w:rFonts w:ascii="Traditional Arabic" w:hAnsi="Traditional Arabic" w:cs="Traditional Arabic" w:eastAsia="Traditional Arabic"/>
          <w:b w:val="0"/>
          <w:i w:val="0"/>
          <w:sz w:val="24"/>
          <w:highlight w:val="yellow"/>
        </w:rPr>
        <w:t>Organisation for Economic Co-operation and Development. (2025a). Government at a glance 2025. OECD Publishing.</w:t>
      </w:r>
    </w:p>
    <w:p>
      <w:pPr>
        <w:spacing w:lineRule="auto" w:line="360" w:after="120" w:before="0"/>
        <w:jc w:val="left"/>
        <w:bidi w:val="0"/>
      </w:pPr>
      <w:r>
        <w:rPr>
          <w:rFonts w:ascii="Traditional Arabic" w:hAnsi="Traditional Arabic" w:cs="Traditional Arabic" w:eastAsia="Traditional Arabic"/>
          <w:b w:val="0"/>
          <w:i w:val="0"/>
          <w:sz w:val="24"/>
          <w:highlight w:val="yellow"/>
        </w:rPr>
        <w:t>Organisation for Economic Co-operation and Development. (2025b). Digital transformation of public procurement. OECD Publishing.</w:t>
      </w:r>
    </w:p>
    <w:p>
      <w:pPr>
        <w:spacing w:lineRule="auto" w:line="360" w:after="120" w:before="0"/>
        <w:jc w:val="left"/>
        <w:bidi w:val="0"/>
      </w:pPr>
      <w:r>
        <w:rPr>
          <w:rFonts w:ascii="Traditional Arabic" w:hAnsi="Traditional Arabic" w:cs="Traditional Arabic" w:eastAsia="Traditional Arabic"/>
          <w:b w:val="0"/>
          <w:i w:val="0"/>
          <w:sz w:val="24"/>
          <w:highlight w:val="yellow"/>
        </w:rPr>
        <w:t>Organisation for Economic Co-operation and Development. (2026a). Anti-corruption and integrity outlook 2026. OECD Publishing.</w:t>
      </w:r>
    </w:p>
    <w:p>
      <w:pPr>
        <w:spacing w:lineRule="auto" w:line="360" w:after="120" w:before="0"/>
        <w:jc w:val="left"/>
        <w:bidi w:val="0"/>
      </w:pPr>
      <w:r>
        <w:rPr>
          <w:rFonts w:ascii="Traditional Arabic" w:hAnsi="Traditional Arabic" w:cs="Traditional Arabic" w:eastAsia="Traditional Arabic"/>
          <w:b w:val="0"/>
          <w:i w:val="0"/>
          <w:sz w:val="24"/>
          <w:highlight w:val="yellow"/>
        </w:rPr>
        <w:t>Organisation for Economic Co-operation and Development. (2026b). Competition and corruption in public procurement. OECD.</w:t>
      </w:r>
    </w:p>
    <w:p>
      <w:pPr>
        <w:spacing w:lineRule="auto" w:line="360" w:after="120" w:before="0"/>
        <w:jc w:val="left"/>
        <w:bidi w:val="0"/>
      </w:pPr>
      <w:r>
        <w:rPr>
          <w:rFonts w:ascii="Traditional Arabic" w:hAnsi="Traditional Arabic" w:cs="Traditional Arabic" w:eastAsia="Traditional Arabic"/>
          <w:b w:val="0"/>
          <w:i w:val="0"/>
          <w:sz w:val="24"/>
          <w:highlight w:val="yellow"/>
        </w:rPr>
        <w:t>World Bank. (2020). Procurement guidance: Conflict of interest. World Bank.</w:t>
      </w:r>
    </w:p>
    <w:p>
      <w:pPr>
        <w:spacing w:lineRule="auto" w:line="360" w:after="160" w:before="0"/>
        <w:jc w:val="right"/>
        <w:pStyle w:val="Heading1"/>
        <w:bidi w:val="1"/>
      </w:pPr>
      <w:r>
        <w:rPr>
          <w:rFonts w:ascii="Traditional Arabic" w:hAnsi="Traditional Arabic" w:cs="Traditional Arabic" w:eastAsia="Traditional Arabic"/>
          <w:b/>
          <w:i w:val="0"/>
          <w:sz w:val="32"/>
          <w:rtl w:val="1"/>
        </w:rPr>
        <w:t>20. جدول المراجعة الذاتية للخطة بعد التعديل</w:t>
      </w:r>
    </w:p>
    <w:tbl>
      <w:tblPr>
        <w:tblStyle w:val="TableGrid"/>
        <w:tblW w:type="auto" w:w="0"/>
        <w:jc w:val="center"/>
        <w:tblLook w:firstColumn="1" w:firstRow="1" w:lastColumn="0" w:lastRow="0" w:noHBand="0" w:noVBand="1" w:val="04A0"/>
        <w:bidiVisual w:val="1"/>
      </w:tblPr>
      <w:tblGrid>
        <w:gridCol w:w="4536"/>
        <w:gridCol w:w="4536"/>
      </w:tblGrid>
      <w:tr>
        <w:tc>
          <w:tcPr>
            <w:tcW w:type="dxa" w:w="2835"/>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عنصر المراجعة</w:t>
            </w:r>
          </w:p>
        </w:tc>
        <w:tc>
          <w:tcPr>
            <w:tcW w:type="dxa" w:w="6803"/>
            <w:shd w:fill="D9EAF7"/>
            <w:vAlign w:val="center"/>
          </w:tcPr>
          <w:p>
            <w:pPr>
              <w:spacing w:lineRule="auto" w:line="360" w:after="120" w:before="0"/>
              <w:jc w:val="center"/>
              <w:bidi w:val="1"/>
            </w:pPr>
            <w:r>
              <w:rPr>
                <w:rFonts w:ascii="Traditional Arabic" w:hAnsi="Traditional Arabic" w:cs="Traditional Arabic" w:eastAsia="Traditional Arabic"/>
                <w:b/>
                <w:i w:val="0"/>
                <w:sz w:val="24"/>
                <w:rtl w:val="1"/>
              </w:rPr>
              <w:t>التقييم بعد التعديل</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اتساق العنوان مع المشكلة</w:t>
            </w:r>
          </w:p>
        </w:tc>
        <w:tc>
          <w:tcPr>
            <w:tcW w:type="dxa" w:w="6803"/>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متسق؛ لأن العنوان يعالج العلاقة بين الحوكمة وكفاءة الإنفاق مع اختبار الدور الوسيط لإدارة مخاطر تعارض المصالح.</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اتساق الأسئلة مع الأهداف</w:t>
            </w:r>
          </w:p>
        </w:tc>
        <w:tc>
          <w:tcPr>
            <w:tcW w:type="dxa" w:w="6803"/>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تمت مواءمة كل سؤال مع هدف قابل للقياس وتحليل إحصائي مناسب.</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اتساق الفرضيات مع النموذج</w:t>
            </w:r>
          </w:p>
        </w:tc>
        <w:tc>
          <w:tcPr>
            <w:tcW w:type="dxa" w:w="6803"/>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الفرضيات تغطي العلاقات المباشرة والوسيطة والفروق الديموغرافية.</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قوة الإطار النظري</w:t>
            </w:r>
          </w:p>
        </w:tc>
        <w:tc>
          <w:tcPr>
            <w:tcW w:type="dxa" w:w="6803"/>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تم دعم الخطة بنظرية الوكالة ونظرية أصحاب المصلحة وتوضيح التكامل بينهما.</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مناسبة المنهج</w:t>
            </w:r>
          </w:p>
        </w:tc>
        <w:tc>
          <w:tcPr>
            <w:tcW w:type="dxa" w:w="6803"/>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المنهج الكمي الوصفي التحليلي مناسب لاختبار العلاقات والنموذج الوسيط، مع دعم تفسيري بمقابلات محدودة.</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وضوح المجتمع والعينة</w:t>
            </w:r>
          </w:p>
        </w:tc>
        <w:tc>
          <w:tcPr>
            <w:tcW w:type="dxa" w:w="6803"/>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تم تحديد المجتمع، العينة الطبقية، معايير الشمول والاستبعاد، وآلية الحصول على الموافقات.</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كفاية الدراسات المرجعية</w:t>
            </w:r>
          </w:p>
        </w:tc>
        <w:tc>
          <w:tcPr>
            <w:tcW w:type="dxa" w:w="6803"/>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تمت إضافة مراجع رسمية سعودية ودراسات عربية ودولية حديثة، مع ترتيبها وفق متغيرات الدراسة.</w:t>
            </w:r>
          </w:p>
        </w:tc>
      </w:tr>
      <w:tr>
        <w:tc>
          <w:tcPr>
            <w:tcW w:type="dxa" w:w="2835"/>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نقاط ستستكمل عند التنفيذ</w:t>
            </w:r>
          </w:p>
        </w:tc>
        <w:tc>
          <w:tcPr>
            <w:tcW w:type="dxa" w:w="6803"/>
            <w:shd w:fill="FFF2CC"/>
            <w:vAlign w:val="top"/>
          </w:tcPr>
          <w:p>
            <w:pPr>
              <w:spacing w:lineRule="auto" w:line="360" w:after="120" w:before="0"/>
              <w:jc w:val="right"/>
              <w:bidi w:val="1"/>
            </w:pPr>
            <w:r>
              <w:rPr>
                <w:rFonts w:ascii="Traditional Arabic" w:hAnsi="Traditional Arabic" w:cs="Traditional Arabic" w:eastAsia="Traditional Arabic"/>
                <w:b w:val="0"/>
                <w:i w:val="0"/>
                <w:sz w:val="22"/>
                <w:rtl w:val="1"/>
              </w:rPr>
              <w:t>بناء الاستبانة التفصيلية، الحصول على الموافقات، تحديد الجهات المشاركة، ثم تطبيق الدراسة الاستطلاعية.</w:t>
            </w:r>
          </w:p>
        </w:tc>
      </w:tr>
    </w:tbl>
    <w:p>
      <w:pPr>
        <w:spacing w:lineRule="auto" w:line="360" w:after="240" w:before="0"/>
        <w:jc w:val="center"/>
        <w:bidi w:val="1"/>
      </w:pPr>
      <w:r>
        <w:rPr>
          <w:rFonts w:ascii="Traditional Arabic" w:hAnsi="Traditional Arabic" w:cs="Traditional Arabic" w:eastAsia="Traditional Arabic"/>
          <w:b/>
          <w:i w:val="0"/>
          <w:sz w:val="22"/>
          <w:rtl w:val="1"/>
        </w:rPr>
        <w:t>جدول (7): جدول المراجعة الذاتية للخطة بعد التعديل</w:t>
      </w:r>
    </w:p>
    <w:sectPr w:rsidR="00FC693F" w:rsidRPr="0006063C" w:rsidSect="00034616">
      <w:footerReference w:type="default" r:id="rId9"/>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lineRule="auto" w:line="360" w:after="120" w:before="0"/>
      <w:jc w:val="center"/>
      <w:bidi w:val="1"/>
    </w:pPr>
    <w:r>
      <w:rPr>
        <w:rFonts w:ascii="Traditional Arabic" w:hAnsi="Traditional Arabic" w:cs="Traditional Arabic" w:eastAsia="Traditional Arabic"/>
        <w:b w:val="0"/>
        <w:i w:val="0"/>
        <w:sz w:val="20"/>
        <w:rtl w:val="1"/>
      </w:rPr>
      <w:t xml:space="preserve">صفحة </w:t>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bidi w:val="1"/>
    </w:pPr>
    <w:rPr>
      <w:rFonts w:ascii="Traditional Arabic" w:hAnsi="Traditional Arabic" w:cs="Traditional Arabic" w:eastAsia="Traditional Arabic"/>
      <w:b w:val="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bidi w:val="1"/>
    </w:pPr>
    <w:rPr>
      <w:rFonts w:asciiTheme="majorHAnsi" w:eastAsiaTheme="majorEastAsia" w:hAnsiTheme="majorHAnsi" w:cstheme="majorBidi" w:ascii="Traditional Arabic" w:hAnsi="Traditional Arabic" w:cs="Traditional Arabic" w:eastAsia="Traditional Arabic"/>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bidi w:val="1"/>
    </w:pPr>
    <w:rPr>
      <w:rFonts w:asciiTheme="majorHAnsi" w:eastAsiaTheme="majorEastAsia" w:hAnsiTheme="majorHAnsi" w:cstheme="majorBidi" w:ascii="Traditional Arabic" w:hAnsi="Traditional Arabic" w:cs="Traditional Arabic" w:eastAsia="Traditional Arabic"/>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bidi w:val="1"/>
    </w:pPr>
    <w:rPr>
      <w:rFonts w:asciiTheme="majorHAnsi" w:eastAsiaTheme="majorEastAsia" w:hAnsiTheme="majorHAnsi" w:cstheme="majorBidi" w:ascii="Traditional Arabic" w:hAnsi="Traditional Arabic" w:cs="Traditional Arabic" w:eastAsia="Traditional Arabic"/>
      <w:b/>
      <w:bCs/>
      <w:color w:val="4F81BD" w:themeColor="accent1"/>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