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37E40" w14:textId="77777777" w:rsidR="00B24BED" w:rsidRPr="00B24BED" w:rsidRDefault="00B24BED" w:rsidP="00B24BED">
      <w:pPr>
        <w:pStyle w:val="isselectedend"/>
        <w:pBdr>
          <w:bottom w:val="single" w:sz="4" w:space="1" w:color="auto"/>
        </w:pBdr>
        <w:bidi/>
        <w:jc w:val="center"/>
        <w:rPr>
          <w:rFonts w:ascii="Sakkal Majalla" w:eastAsia="Arial" w:hAnsi="Sakkal Majalla" w:cs="Sakkal Majalla"/>
          <w:b/>
          <w:bCs/>
          <w:sz w:val="28"/>
          <w:szCs w:val="28"/>
        </w:rPr>
      </w:pPr>
      <w:bookmarkStart w:id="0" w:name="_GoBack"/>
      <w:r w:rsidRPr="00B24BED">
        <w:rPr>
          <w:rFonts w:ascii="Sakkal Majalla" w:eastAsia="Arial" w:hAnsi="Sakkal Majalla" w:cs="Sakkal Majalla"/>
          <w:b/>
          <w:bCs/>
          <w:sz w:val="28"/>
          <w:szCs w:val="28"/>
          <w:rtl/>
        </w:rPr>
        <w:t>الفصل الثالث من رسالة الدكتوراه</w:t>
      </w:r>
    </w:p>
    <w:bookmarkEnd w:id="0"/>
    <w:p w14:paraId="6CF2AC3B" w14:textId="77777777" w:rsidR="00695159" w:rsidRPr="00695159" w:rsidRDefault="00695159" w:rsidP="00695159">
      <w:pPr>
        <w:tabs>
          <w:tab w:val="left" w:pos="1975"/>
        </w:tabs>
        <w:bidi/>
        <w:spacing w:line="240" w:lineRule="auto"/>
        <w:jc w:val="center"/>
        <w:rPr>
          <w:rFonts w:ascii="Sakkal Majalla" w:eastAsia="Simplified Arabic" w:hAnsi="Sakkal Majalla" w:cs="Sakkal Majalla"/>
          <w:b/>
          <w:bCs/>
          <w:sz w:val="28"/>
          <w:szCs w:val="28"/>
        </w:rPr>
      </w:pPr>
      <w:r w:rsidRPr="00695159">
        <w:rPr>
          <w:rFonts w:ascii="Sakkal Majalla" w:eastAsia="Simplified Arabic" w:hAnsi="Sakkal Majalla" w:cs="Sakkal Majalla"/>
          <w:b/>
          <w:bCs/>
          <w:sz w:val="28"/>
          <w:szCs w:val="28"/>
          <w:rtl/>
        </w:rPr>
        <w:t>الفصل الثالث: الطريقة والإجراءات</w:t>
      </w:r>
    </w:p>
    <w:p w14:paraId="34C63225" w14:textId="6B5CF24B"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proofErr w:type="gramStart"/>
      <w:r w:rsidRPr="00695159">
        <w:rPr>
          <w:rFonts w:ascii="Sakkal Majalla" w:eastAsia="Simplified Arabic" w:hAnsi="Sakkal Majalla" w:cs="Sakkal Majalla"/>
          <w:b/>
          <w:bCs/>
          <w:sz w:val="24"/>
          <w:szCs w:val="24"/>
        </w:rPr>
        <w:t xml:space="preserve">3.0 </w:t>
      </w:r>
      <w:r>
        <w:rPr>
          <w:rFonts w:ascii="Sakkal Majalla" w:eastAsia="Simplified Arabic" w:hAnsi="Sakkal Majalla" w:cs="Sakkal Majalla" w:hint="cs"/>
          <w:b/>
          <w:bCs/>
          <w:sz w:val="24"/>
          <w:szCs w:val="24"/>
          <w:rtl/>
        </w:rPr>
        <w:t xml:space="preserve"> </w:t>
      </w:r>
      <w:r w:rsidRPr="00695159">
        <w:rPr>
          <w:rFonts w:ascii="Sakkal Majalla" w:eastAsia="Simplified Arabic" w:hAnsi="Sakkal Majalla" w:cs="Sakkal Majalla"/>
          <w:b/>
          <w:bCs/>
          <w:sz w:val="24"/>
          <w:szCs w:val="24"/>
          <w:rtl/>
        </w:rPr>
        <w:t>مقدمة</w:t>
      </w:r>
      <w:proofErr w:type="gramEnd"/>
      <w:r w:rsidRPr="00695159">
        <w:rPr>
          <w:rFonts w:ascii="Sakkal Majalla" w:eastAsia="Simplified Arabic" w:hAnsi="Sakkal Majalla" w:cs="Sakkal Majalla"/>
          <w:b/>
          <w:bCs/>
          <w:sz w:val="24"/>
          <w:szCs w:val="24"/>
          <w:rtl/>
        </w:rPr>
        <w:t xml:space="preserve"> الفصل الثالث</w:t>
      </w:r>
    </w:p>
    <w:p w14:paraId="327E7FB2"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يتناول هذا الفصل المنهجية والإجراءات التي سيتم اتباعها لتحقيق أهداف الدراسة واختبار فرضياتها، وذلك من خلال تحديد منهج البحث، ومجتمع الدراسة وعينتها، وأداة جمع البيانات، ومتغيرات الدراسة، وإجراءات بناء الاستبانة وتحكيمها، إضافة إلى توضيح أساليب المعالجة الإحصائية المقترحة</w:t>
      </w:r>
      <w:r w:rsidRPr="00695159">
        <w:rPr>
          <w:rFonts w:ascii="Sakkal Majalla" w:eastAsia="Simplified Arabic" w:hAnsi="Sakkal Majalla" w:cs="Sakkal Majalla"/>
          <w:b/>
          <w:sz w:val="24"/>
          <w:szCs w:val="24"/>
        </w:rPr>
        <w:t>.</w:t>
      </w:r>
    </w:p>
    <w:p w14:paraId="39F5A9BB"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ويأتي هذا الفصل امتدادًا للفصلين السابقين؛ إذ يستند إلى مشكلة الدراسة وأسئلتها وفرضياتها، وإلى النموذج المفاهيمي الذي يربط بين التحوّل الرقمي المؤسسي والرضا الوظيفي لدى موظفي وزارة الموارد البشرية والتنمية الاجتماعية، مع اختبار دور قبول التقنية والإجهاد التقني والخصائص الديموغرافية في تفسير هذه العلاقة</w:t>
      </w:r>
      <w:r w:rsidRPr="00695159">
        <w:rPr>
          <w:rFonts w:ascii="Sakkal Majalla" w:eastAsia="Simplified Arabic" w:hAnsi="Sakkal Majalla" w:cs="Sakkal Majalla"/>
          <w:b/>
          <w:sz w:val="24"/>
          <w:szCs w:val="24"/>
        </w:rPr>
        <w:t>.</w:t>
      </w:r>
    </w:p>
    <w:p w14:paraId="207D2B26"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ولا يتضمن هذا الفصل عرضًا لأي نتائج فعلية؛ إذ تُعرض النتائج وتحليلها بعد جمع البيانات في الفصل الرابع، بينما يقتصر هذا الفصل على بيان المنهج والإجراءات وخطة التحليل</w:t>
      </w:r>
      <w:r w:rsidRPr="00695159">
        <w:rPr>
          <w:rFonts w:ascii="Sakkal Majalla" w:eastAsia="Simplified Arabic" w:hAnsi="Sakkal Majalla" w:cs="Sakkal Majalla"/>
          <w:b/>
          <w:sz w:val="24"/>
          <w:szCs w:val="24"/>
        </w:rPr>
        <w:t>.</w:t>
      </w:r>
    </w:p>
    <w:p w14:paraId="7CED1DD4" w14:textId="67C81E4E"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proofErr w:type="gramStart"/>
      <w:r w:rsidRPr="00695159">
        <w:rPr>
          <w:rFonts w:ascii="Sakkal Majalla" w:eastAsia="Simplified Arabic" w:hAnsi="Sakkal Majalla" w:cs="Sakkal Majalla"/>
          <w:b/>
          <w:bCs/>
          <w:sz w:val="24"/>
          <w:szCs w:val="24"/>
        </w:rPr>
        <w:t xml:space="preserve">3.1 </w:t>
      </w:r>
      <w:r>
        <w:rPr>
          <w:rFonts w:ascii="Sakkal Majalla" w:eastAsia="Simplified Arabic" w:hAnsi="Sakkal Majalla" w:cs="Sakkal Majalla" w:hint="cs"/>
          <w:b/>
          <w:bCs/>
          <w:sz w:val="24"/>
          <w:szCs w:val="24"/>
          <w:rtl/>
        </w:rPr>
        <w:t xml:space="preserve"> </w:t>
      </w:r>
      <w:r w:rsidRPr="00695159">
        <w:rPr>
          <w:rFonts w:ascii="Sakkal Majalla" w:eastAsia="Simplified Arabic" w:hAnsi="Sakkal Majalla" w:cs="Sakkal Majalla"/>
          <w:b/>
          <w:bCs/>
          <w:sz w:val="24"/>
          <w:szCs w:val="24"/>
          <w:rtl/>
        </w:rPr>
        <w:t>منهج</w:t>
      </w:r>
      <w:proofErr w:type="gramEnd"/>
      <w:r w:rsidRPr="00695159">
        <w:rPr>
          <w:rFonts w:ascii="Sakkal Majalla" w:eastAsia="Simplified Arabic" w:hAnsi="Sakkal Majalla" w:cs="Sakkal Majalla"/>
          <w:b/>
          <w:bCs/>
          <w:sz w:val="24"/>
          <w:szCs w:val="24"/>
          <w:rtl/>
        </w:rPr>
        <w:t xml:space="preserve"> البحث</w:t>
      </w:r>
    </w:p>
    <w:p w14:paraId="2F9E43BB"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تعتمد هذه الدراسة على المنهج الوصفي التحليلي ذي المدخل الكمي؛ وذلك لكونها تهدف إلى وصف مستوى متغيرات الدراسة، وتحليل العلاقات بينها، واختبار أثر التحوّل الرقمي المؤسسي بأبعاده الأربعة في الرضا الوظيفي، إضافة إلى اختبار الأدوار التفسيرية لكل من قبول التقنية والإجهاد التقني، والدور المحتمل للخصائص الديموغرافية في تعديل العلاقة بين المتغيرات</w:t>
      </w:r>
      <w:r w:rsidRPr="00695159">
        <w:rPr>
          <w:rFonts w:ascii="Sakkal Majalla" w:eastAsia="Simplified Arabic" w:hAnsi="Sakkal Majalla" w:cs="Sakkal Majalla"/>
          <w:b/>
          <w:sz w:val="24"/>
          <w:szCs w:val="24"/>
        </w:rPr>
        <w:t>.</w:t>
      </w:r>
    </w:p>
    <w:p w14:paraId="65991E32"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ويُعد المنهج الكمي مناسبًا لطبيعة هذه الدراسة؛ لأن متغيراتها قابلة للقياس من خلال استبانة منظمة، كما أن فرضياتها تتطلب استخدام أساليب إحصائية لاختبار العلاقات المباشرة وغير المباشرة والمعدِّلة. وبذلك، يتيح هذا المنهج الانتقال من البناء النظري الذي تم عرضه في الفصل الثاني إلى اختبار ميداني منظم للعلاقات المقترحة في النموذج المفاهيمي للدراسة</w:t>
      </w:r>
      <w:r w:rsidRPr="00695159">
        <w:rPr>
          <w:rFonts w:ascii="Sakkal Majalla" w:eastAsia="Simplified Arabic" w:hAnsi="Sakkal Majalla" w:cs="Sakkal Majalla"/>
          <w:b/>
          <w:sz w:val="24"/>
          <w:szCs w:val="24"/>
        </w:rPr>
        <w:t>.</w:t>
      </w:r>
    </w:p>
    <w:p w14:paraId="3E284605"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وتُصنف الدراسة من حيث الزمن ضمن الدراسات المقطعية؛ إذ سيتم جمع البيانات في فترة زمنية محددة من عينة الدراسة، بما يسمح بقياس تصورات الموظفين حول التحوّل الرقمي المؤسسي والرضا الوظيفي وبقية المتغيرات في تلك الفترة، دون ادعاء إثبات السببية المطلقة قبل التحقق من البيانات وتحليلها</w:t>
      </w:r>
      <w:r w:rsidRPr="00695159">
        <w:rPr>
          <w:rFonts w:ascii="Sakkal Majalla" w:eastAsia="Simplified Arabic" w:hAnsi="Sakkal Majalla" w:cs="Sakkal Majalla"/>
          <w:b/>
          <w:sz w:val="24"/>
          <w:szCs w:val="24"/>
        </w:rPr>
        <w:t>.</w:t>
      </w:r>
    </w:p>
    <w:p w14:paraId="2A131033" w14:textId="033F884E"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r>
        <w:rPr>
          <w:rFonts w:ascii="Sakkal Majalla" w:eastAsia="Simplified Arabic" w:hAnsi="Sakkal Majalla" w:cs="Sakkal Majalla"/>
          <w:b/>
          <w:bCs/>
          <w:sz w:val="24"/>
          <w:szCs w:val="24"/>
        </w:rPr>
        <w:t xml:space="preserve"> </w:t>
      </w:r>
      <w:r w:rsidRPr="00695159">
        <w:rPr>
          <w:rFonts w:ascii="Sakkal Majalla" w:eastAsia="Simplified Arabic" w:hAnsi="Sakkal Majalla" w:cs="Sakkal Majalla"/>
          <w:b/>
          <w:bCs/>
          <w:sz w:val="24"/>
          <w:szCs w:val="24"/>
        </w:rPr>
        <w:t xml:space="preserve">3.2 </w:t>
      </w:r>
      <w:r w:rsidRPr="00695159">
        <w:rPr>
          <w:rFonts w:ascii="Sakkal Majalla" w:eastAsia="Simplified Arabic" w:hAnsi="Sakkal Majalla" w:cs="Sakkal Majalla"/>
          <w:b/>
          <w:bCs/>
          <w:sz w:val="24"/>
          <w:szCs w:val="24"/>
          <w:rtl/>
        </w:rPr>
        <w:t>مجتمع الدراسة وعينتها</w:t>
      </w:r>
    </w:p>
    <w:p w14:paraId="38613AF6"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يتكوّن المجتمع العام للدراسة من موظفي وزارة الموارد البشرية والتنمية الاجتماعية في المملكة العربية السعودية، والبالغ عددهم قرابة (20,000) موظف. ونظرًا إلى أن موضوع الدراسة يرتبط بالتحوّل الرقمي المؤسسي وتجربة الموظف مع الأنظمة والمنصات الرقمية الداخلية، فقد تم تحديد المجتمع المستهدف بصورة أدق في الموظفين المستخدمين الرئيسيين للأنظمة الرقمية الداخلية في الوزارة، والبالغ عددهم قرابة (2,000) موظف</w:t>
      </w:r>
      <w:r w:rsidRPr="00695159">
        <w:rPr>
          <w:rFonts w:ascii="Sakkal Majalla" w:eastAsia="Simplified Arabic" w:hAnsi="Sakkal Majalla" w:cs="Sakkal Majalla"/>
          <w:b/>
          <w:sz w:val="24"/>
          <w:szCs w:val="24"/>
        </w:rPr>
        <w:t>.</w:t>
      </w:r>
    </w:p>
    <w:p w14:paraId="051FBF52"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lastRenderedPageBreak/>
        <w:t>ويُعد هذا التحديد مناسبًا لطبيعة الدراسة؛ لأن هذه الفئة هي الأكثر قدرة على تقييم أبعاد التحوّل الرقمي المؤسسي، والمتمثلة في توفر الأنظمة الرقمية، وكفاءة الأنظمة والعمليات الرقمية، وجودة الدعم الفني والتدريب الرقمي، وتكامل العمليات الرقمية وتبسيط الإجراءات. كما أن هذه الفئة أكثر قدرة على تقدير أثر تلك الأبعاد في الرضا الوظيفي، وقبول التقنية، والإجهاد التقني</w:t>
      </w:r>
      <w:r w:rsidRPr="00695159">
        <w:rPr>
          <w:rFonts w:ascii="Sakkal Majalla" w:eastAsia="Simplified Arabic" w:hAnsi="Sakkal Majalla" w:cs="Sakkal Majalla"/>
          <w:b/>
          <w:sz w:val="24"/>
          <w:szCs w:val="24"/>
        </w:rPr>
        <w:t>.</w:t>
      </w:r>
    </w:p>
    <w:p w14:paraId="2DFB5900"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وسيتم اعتماد أسلوب العينة الطبقية العشوائية النسبية من المجتمع المستهدف، وذلك لضمان تمثيل مناسب للفئات الوظيفية أو القطاعات والإدارات المختلفة داخل الوزارة، متى توافرت بيانات توزيع المستخدمين الرئيسيين للأنظمة الرقمية. ويُعد هذا الأسلوب مناسبًا لطبيعة الدراسة؛ لأنه يقلل من تحيز الاختيار، ويساعد على تمثيل الفئات المختلفة التي قد تتباين في مستوى استخدامها للأنظمة الرقمية أو تأثرها بالتحوّل الرقمي المؤسسي</w:t>
      </w:r>
      <w:r w:rsidRPr="00695159">
        <w:rPr>
          <w:rFonts w:ascii="Sakkal Majalla" w:eastAsia="Simplified Arabic" w:hAnsi="Sakkal Majalla" w:cs="Sakkal Majalla"/>
          <w:b/>
          <w:sz w:val="24"/>
          <w:szCs w:val="24"/>
        </w:rPr>
        <w:t>.</w:t>
      </w:r>
    </w:p>
    <w:p w14:paraId="1E920EEC"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وفي حال تعذر الحصول على إطار تفصيلي كامل يوضح توزيع جميع المستخدمين الرئيسيين حسب القطاعات أو الإدارات، فسيتم استخدام عينة طبقية ميسّرة من المستخدمين الرئيسيين للأنظمة الرقمية، مع توضيح ذلك ضمن حدود الدراسة؛ بحيث تُوجَّه الاستبانة إلى الموظفين الذين تتوافر لديهم خبرة عملية مباشرة في استخدام الأنظمة الرقمية الداخلية ذات الصلة بموضوع الدراسة</w:t>
      </w:r>
      <w:r w:rsidRPr="00695159">
        <w:rPr>
          <w:rFonts w:ascii="Sakkal Majalla" w:eastAsia="Simplified Arabic" w:hAnsi="Sakkal Majalla" w:cs="Sakkal Majalla"/>
          <w:b/>
          <w:sz w:val="24"/>
          <w:szCs w:val="24"/>
        </w:rPr>
        <w:t>.</w:t>
      </w:r>
    </w:p>
    <w:p w14:paraId="645336DE"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واستنادًا إلى حجم المجتمع المستهدف البالغ قرابة (2,000) موظف، وبما يتفق مع متطلبات الدراسات الكمية وتحليل النماذج متعددة المتغيرات، سيتم استهداف ما لا يقل عن (323) استجابة صالحة للتحليل بوصفها حدًا مناسبًا عند مستوى ثقة (95%) وهامش خطأ تقريبي (5%). ولزيادة موثوقية التحليل وتعويض الاستجابات غير المكتملة، ستستهدف الدراسة جمع ما يقارب (350) استجابة صالحة للتحليل</w:t>
      </w:r>
      <w:r w:rsidRPr="00695159">
        <w:rPr>
          <w:rFonts w:ascii="Sakkal Majalla" w:eastAsia="Simplified Arabic" w:hAnsi="Sakkal Majalla" w:cs="Sakkal Majalla"/>
          <w:b/>
          <w:sz w:val="24"/>
          <w:szCs w:val="24"/>
        </w:rPr>
        <w:t>.</w:t>
      </w:r>
    </w:p>
    <w:p w14:paraId="676CD942"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ويُعد هذا الحجم ملائمًا لطبيعة الدراسة؛ لأنه يتيح وصف خصائص العينة، واختبار العلاقات المباشرة وغير المباشرة بين المتغيرات، وفحص الصدق والثبات، وتطبيق نمذجة المعادلات البنائية بالحد الأدنى للمربعات الجزئية</w:t>
      </w:r>
      <w:r w:rsidRPr="00695159">
        <w:rPr>
          <w:rFonts w:ascii="Sakkal Majalla" w:eastAsia="Simplified Arabic" w:hAnsi="Sakkal Majalla" w:cs="Sakkal Majalla"/>
          <w:b/>
          <w:sz w:val="24"/>
          <w:szCs w:val="24"/>
        </w:rPr>
        <w:t xml:space="preserve"> (PLS-SEM)</w:t>
      </w:r>
      <w:r w:rsidRPr="00695159">
        <w:rPr>
          <w:rFonts w:ascii="Sakkal Majalla" w:eastAsia="Simplified Arabic" w:hAnsi="Sakkal Majalla" w:cs="Sakkal Majalla"/>
          <w:b/>
          <w:sz w:val="24"/>
          <w:szCs w:val="24"/>
          <w:rtl/>
        </w:rPr>
        <w:t>، دون تحميل الدراسة متطلبات ميدانية مبالغًا فيها</w:t>
      </w:r>
      <w:r w:rsidRPr="00695159">
        <w:rPr>
          <w:rFonts w:ascii="Sakkal Majalla" w:eastAsia="Simplified Arabic" w:hAnsi="Sakkal Majalla" w:cs="Sakkal Majalla"/>
          <w:b/>
          <w:sz w:val="24"/>
          <w:szCs w:val="24"/>
        </w:rPr>
        <w:t>.</w:t>
      </w:r>
    </w:p>
    <w:p w14:paraId="55D7A76B" w14:textId="375CD661"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r>
        <w:rPr>
          <w:rFonts w:ascii="Sakkal Majalla" w:eastAsia="Simplified Arabic" w:hAnsi="Sakkal Majalla" w:cs="Sakkal Majalla"/>
          <w:b/>
          <w:bCs/>
          <w:sz w:val="24"/>
          <w:szCs w:val="24"/>
        </w:rPr>
        <w:t xml:space="preserve"> </w:t>
      </w:r>
      <w:r w:rsidRPr="00695159">
        <w:rPr>
          <w:rFonts w:ascii="Sakkal Majalla" w:eastAsia="Simplified Arabic" w:hAnsi="Sakkal Majalla" w:cs="Sakkal Majalla"/>
          <w:b/>
          <w:bCs/>
          <w:sz w:val="24"/>
          <w:szCs w:val="24"/>
        </w:rPr>
        <w:t xml:space="preserve">3.3 </w:t>
      </w:r>
      <w:r w:rsidRPr="00695159">
        <w:rPr>
          <w:rFonts w:ascii="Sakkal Majalla" w:eastAsia="Simplified Arabic" w:hAnsi="Sakkal Majalla" w:cs="Sakkal Majalla"/>
          <w:b/>
          <w:bCs/>
          <w:sz w:val="24"/>
          <w:szCs w:val="24"/>
          <w:rtl/>
        </w:rPr>
        <w:t>أداة جمع البيانات</w:t>
      </w:r>
    </w:p>
    <w:p w14:paraId="4D3EAA08"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تعتمد الدراسة على الاستبانة بوصفها أداة رئيسة لجمع البيانات، وذلك لملاءمتها للمنهج الكمي، وقدرتها على جمع بيانات منظمة من عدد مناسب من الموظفين خلال فترة زمنية محددة. كما تساعد الاستبانة في قياس تصورات المبحوثين حول متغيرات غير مباشرة مثل قبول التقنية والإجهاد التقني والرضا الوظيفي</w:t>
      </w:r>
      <w:r w:rsidRPr="00695159">
        <w:rPr>
          <w:rFonts w:ascii="Sakkal Majalla" w:eastAsia="Simplified Arabic" w:hAnsi="Sakkal Majalla" w:cs="Sakkal Majalla"/>
          <w:b/>
          <w:sz w:val="24"/>
          <w:szCs w:val="24"/>
        </w:rPr>
        <w:t>.</w:t>
      </w:r>
    </w:p>
    <w:p w14:paraId="780DDFE7"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تم بناء الاستبانة بالاستناد إلى الإطار النظري والدراسات السابقة ذات العلاقة، مع تكييف الفقرات بما يتناسب مع سياق وزارة الموارد البشرية والتنمية الاجتماعية. وقد روعي في صياغة الفقرات أن تكون واضحة ومباشرة، وأن تقيس كل فقرة معنى واحدًا فقط، وأن تكون مناسبة للمستجيبين من مختلف المستويات الوظيفية</w:t>
      </w:r>
      <w:r w:rsidRPr="00695159">
        <w:rPr>
          <w:rFonts w:ascii="Sakkal Majalla" w:eastAsia="Simplified Arabic" w:hAnsi="Sakkal Majalla" w:cs="Sakkal Majalla"/>
          <w:b/>
          <w:sz w:val="24"/>
          <w:szCs w:val="24"/>
        </w:rPr>
        <w:t>.</w:t>
      </w:r>
    </w:p>
    <w:p w14:paraId="47538971"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تتكون الاستبانة من قسمين رئيسين: يتضمن القسم الأول البيانات الشخصية والوظيفية، مثل الجنس، والعمر، والمؤهل العلمي، وسنوات الخبرة، والمستوى الوظيفي، وطبيعة العمل أو الإدارة. أما القسم الثاني فيتضمن فقرات قياس متغيرات الدراسة، وهي: التحوّل الرقمي المؤسسي، وقبول التقنية، والإجهاد التقني، والرضا الوظيفي</w:t>
      </w:r>
      <w:r w:rsidRPr="00695159">
        <w:rPr>
          <w:rFonts w:ascii="Sakkal Majalla" w:eastAsia="Simplified Arabic" w:hAnsi="Sakkal Majalla" w:cs="Sakkal Majalla"/>
          <w:b/>
          <w:sz w:val="24"/>
          <w:szCs w:val="24"/>
        </w:rPr>
        <w:t>.</w:t>
      </w:r>
    </w:p>
    <w:p w14:paraId="6ACC9CE0"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 xml:space="preserve">وسيتم استخدام مقياس </w:t>
      </w:r>
      <w:proofErr w:type="spellStart"/>
      <w:r w:rsidRPr="00695159">
        <w:rPr>
          <w:rFonts w:ascii="Sakkal Majalla" w:eastAsia="Simplified Arabic" w:hAnsi="Sakkal Majalla" w:cs="Sakkal Majalla"/>
          <w:b/>
          <w:sz w:val="24"/>
          <w:szCs w:val="24"/>
          <w:rtl/>
        </w:rPr>
        <w:t>ليكرت</w:t>
      </w:r>
      <w:proofErr w:type="spellEnd"/>
      <w:r w:rsidRPr="00695159">
        <w:rPr>
          <w:rFonts w:ascii="Sakkal Majalla" w:eastAsia="Simplified Arabic" w:hAnsi="Sakkal Majalla" w:cs="Sakkal Majalla"/>
          <w:b/>
          <w:sz w:val="24"/>
          <w:szCs w:val="24"/>
          <w:rtl/>
        </w:rPr>
        <w:t xml:space="preserve"> الخماسي لقياس درجة موافقة المستجيبين على فقرات الاستبانة، وفق الدرجات الآتية: موافق بشدة، موافق، محايد، غير موافق، غير موافق بشدة</w:t>
      </w:r>
      <w:r w:rsidRPr="00695159">
        <w:rPr>
          <w:rFonts w:ascii="Sakkal Majalla" w:eastAsia="Simplified Arabic" w:hAnsi="Sakkal Majalla" w:cs="Sakkal Majalla"/>
          <w:b/>
          <w:sz w:val="24"/>
          <w:szCs w:val="24"/>
        </w:rPr>
        <w:t>.</w:t>
      </w:r>
    </w:p>
    <w:p w14:paraId="46AB1BA2"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lastRenderedPageBreak/>
        <w:t>وسيتم نشر الاستبانة إلكترونيًا باستخدام منصة</w:t>
      </w:r>
      <w:r w:rsidRPr="00695159">
        <w:rPr>
          <w:rFonts w:ascii="Sakkal Majalla" w:eastAsia="Simplified Arabic" w:hAnsi="Sakkal Majalla" w:cs="Sakkal Majalla"/>
          <w:b/>
          <w:sz w:val="24"/>
          <w:szCs w:val="24"/>
        </w:rPr>
        <w:t xml:space="preserve"> Google Forms</w:t>
      </w:r>
      <w:r w:rsidRPr="00695159">
        <w:rPr>
          <w:rFonts w:ascii="Sakkal Majalla" w:eastAsia="Simplified Arabic" w:hAnsi="Sakkal Majalla" w:cs="Sakkal Majalla"/>
          <w:b/>
          <w:sz w:val="24"/>
          <w:szCs w:val="24"/>
          <w:rtl/>
        </w:rPr>
        <w:t>، وذلك لسهولة توزيعها على الموظفين المستهدفين، وإمكان الوصول إليها من خلال رابط إلكتروني، إضافة إلى سهولة تنظيم الاستجابات واستخراجها بصيغة قابلة للتحليل الإحصائي. وسيتم تضمين رابط الاستبانة بعد اعتماد النسخة النهائية من المشرف والمحكمين</w:t>
      </w:r>
      <w:r w:rsidRPr="00695159">
        <w:rPr>
          <w:rFonts w:ascii="Sakkal Majalla" w:eastAsia="Simplified Arabic" w:hAnsi="Sakkal Majalla" w:cs="Sakkal Majalla"/>
          <w:b/>
          <w:sz w:val="24"/>
          <w:szCs w:val="24"/>
        </w:rPr>
        <w:t>.</w:t>
      </w:r>
    </w:p>
    <w:p w14:paraId="23C4454C" w14:textId="77777777" w:rsidR="00695159" w:rsidRDefault="00695159" w:rsidP="00695159">
      <w:pPr>
        <w:tabs>
          <w:tab w:val="left" w:pos="1975"/>
        </w:tabs>
        <w:bidi/>
        <w:spacing w:line="240" w:lineRule="auto"/>
        <w:rPr>
          <w:rFonts w:ascii="Sakkal Majalla" w:eastAsia="Simplified Arabic" w:hAnsi="Sakkal Majalla" w:cs="Sakkal Majalla"/>
          <w:b/>
          <w:bCs/>
          <w:sz w:val="24"/>
          <w:szCs w:val="24"/>
          <w:rtl/>
        </w:rPr>
      </w:pPr>
    </w:p>
    <w:p w14:paraId="2D50032C" w14:textId="1E259B51"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r>
        <w:rPr>
          <w:rFonts w:ascii="Sakkal Majalla" w:eastAsia="Simplified Arabic" w:hAnsi="Sakkal Majalla" w:cs="Sakkal Majalla"/>
          <w:b/>
          <w:bCs/>
          <w:sz w:val="24"/>
          <w:szCs w:val="24"/>
        </w:rPr>
        <w:t xml:space="preserve"> </w:t>
      </w:r>
      <w:r w:rsidRPr="00695159">
        <w:rPr>
          <w:rFonts w:ascii="Sakkal Majalla" w:eastAsia="Simplified Arabic" w:hAnsi="Sakkal Majalla" w:cs="Sakkal Majalla"/>
          <w:b/>
          <w:bCs/>
          <w:sz w:val="24"/>
          <w:szCs w:val="24"/>
        </w:rPr>
        <w:t xml:space="preserve">3.4 </w:t>
      </w:r>
      <w:r w:rsidRPr="00695159">
        <w:rPr>
          <w:rFonts w:ascii="Sakkal Majalla" w:eastAsia="Simplified Arabic" w:hAnsi="Sakkal Majalla" w:cs="Sakkal Majalla"/>
          <w:b/>
          <w:bCs/>
          <w:sz w:val="24"/>
          <w:szCs w:val="24"/>
          <w:rtl/>
        </w:rPr>
        <w:t>متغيرات الدراسة وتعريفاتها الإجرائية</w:t>
      </w:r>
    </w:p>
    <w:tbl>
      <w:tblPr>
        <w:tblStyle w:val="GridTable4-Accent3"/>
        <w:bidiVisual/>
        <w:tblW w:w="0" w:type="auto"/>
        <w:tblLook w:val="04A0" w:firstRow="1" w:lastRow="0" w:firstColumn="1" w:lastColumn="0" w:noHBand="0" w:noVBand="1"/>
      </w:tblPr>
      <w:tblGrid>
        <w:gridCol w:w="1532"/>
        <w:gridCol w:w="1189"/>
        <w:gridCol w:w="2525"/>
        <w:gridCol w:w="2406"/>
        <w:gridCol w:w="2097"/>
      </w:tblGrid>
      <w:tr w:rsidR="00695159" w:rsidRPr="00695159" w14:paraId="22B5B8E5" w14:textId="77777777" w:rsidTr="00695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968958" w14:textId="77777777" w:rsidR="00695159" w:rsidRPr="00695159" w:rsidRDefault="00695159" w:rsidP="00695159">
            <w:pPr>
              <w:tabs>
                <w:tab w:val="left" w:pos="1975"/>
              </w:tabs>
              <w:bidi/>
              <w:spacing w:line="240" w:lineRule="auto"/>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المتغير</w:t>
            </w:r>
          </w:p>
        </w:tc>
        <w:tc>
          <w:tcPr>
            <w:tcW w:w="0" w:type="auto"/>
            <w:hideMark/>
          </w:tcPr>
          <w:p w14:paraId="371FF76B"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نوعه</w:t>
            </w:r>
          </w:p>
        </w:tc>
        <w:tc>
          <w:tcPr>
            <w:tcW w:w="0" w:type="auto"/>
            <w:hideMark/>
          </w:tcPr>
          <w:p w14:paraId="6063A6DA"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التعريف الإجرائي</w:t>
            </w:r>
          </w:p>
        </w:tc>
        <w:tc>
          <w:tcPr>
            <w:tcW w:w="0" w:type="auto"/>
            <w:hideMark/>
          </w:tcPr>
          <w:p w14:paraId="6A04D102"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الأبعاد</w:t>
            </w:r>
          </w:p>
        </w:tc>
        <w:tc>
          <w:tcPr>
            <w:tcW w:w="0" w:type="auto"/>
            <w:hideMark/>
          </w:tcPr>
          <w:p w14:paraId="55D3356F"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مصدر القياس</w:t>
            </w:r>
          </w:p>
        </w:tc>
      </w:tr>
      <w:tr w:rsidR="00695159" w:rsidRPr="00695159" w14:paraId="1077D88C"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82ED4D"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التحوّل الرقمي المؤسسي</w:t>
            </w:r>
          </w:p>
        </w:tc>
        <w:tc>
          <w:tcPr>
            <w:tcW w:w="0" w:type="auto"/>
            <w:hideMark/>
          </w:tcPr>
          <w:p w14:paraId="29D68116"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مستقل</w:t>
            </w:r>
          </w:p>
        </w:tc>
        <w:tc>
          <w:tcPr>
            <w:tcW w:w="0" w:type="auto"/>
            <w:hideMark/>
          </w:tcPr>
          <w:p w14:paraId="2522E1DD"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درجة إدراك الموظف لجودة التحوّل الرقمي في العمليات الداخلية من حيث توفر الأنظمة وكفاءتها والدعم والتكامل</w:t>
            </w:r>
            <w:r w:rsidRPr="00695159">
              <w:rPr>
                <w:rFonts w:ascii="Sakkal Majalla" w:eastAsia="Simplified Arabic" w:hAnsi="Sakkal Majalla" w:cs="Sakkal Majalla"/>
                <w:b/>
                <w:sz w:val="24"/>
                <w:szCs w:val="24"/>
              </w:rPr>
              <w:t>.</w:t>
            </w:r>
          </w:p>
        </w:tc>
        <w:tc>
          <w:tcPr>
            <w:tcW w:w="0" w:type="auto"/>
            <w:hideMark/>
          </w:tcPr>
          <w:p w14:paraId="463FAFF4"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توفر الأنظمة الرقمية؛ كفاءة الأنظمة والعمليات؛ جودة الدعم والتدريب؛ تكامل العمليات وتبسيط الإجراءات</w:t>
            </w:r>
            <w:r w:rsidRPr="00695159">
              <w:rPr>
                <w:rFonts w:ascii="Sakkal Majalla" w:eastAsia="Simplified Arabic" w:hAnsi="Sakkal Majalla" w:cs="Sakkal Majalla"/>
                <w:b/>
                <w:sz w:val="24"/>
                <w:szCs w:val="24"/>
              </w:rPr>
              <w:t>.</w:t>
            </w:r>
          </w:p>
        </w:tc>
        <w:tc>
          <w:tcPr>
            <w:tcW w:w="0" w:type="auto"/>
            <w:hideMark/>
          </w:tcPr>
          <w:p w14:paraId="144E0739"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Vial (2019); </w:t>
            </w:r>
            <w:proofErr w:type="spellStart"/>
            <w:r w:rsidRPr="00695159">
              <w:rPr>
                <w:rFonts w:ascii="Sakkal Majalla" w:eastAsia="Simplified Arabic" w:hAnsi="Sakkal Majalla" w:cs="Sakkal Majalla"/>
                <w:b/>
                <w:sz w:val="24"/>
                <w:szCs w:val="24"/>
              </w:rPr>
              <w:t>Mergel</w:t>
            </w:r>
            <w:proofErr w:type="spellEnd"/>
            <w:r w:rsidRPr="00695159">
              <w:rPr>
                <w:rFonts w:ascii="Sakkal Majalla" w:eastAsia="Simplified Arabic" w:hAnsi="Sakkal Majalla" w:cs="Sakkal Majalla"/>
                <w:b/>
                <w:sz w:val="24"/>
                <w:szCs w:val="24"/>
              </w:rPr>
              <w:t xml:space="preserve"> et al. (2019); </w:t>
            </w:r>
            <w:proofErr w:type="spellStart"/>
            <w:r w:rsidRPr="00695159">
              <w:rPr>
                <w:rFonts w:ascii="Sakkal Majalla" w:eastAsia="Simplified Arabic" w:hAnsi="Sakkal Majalla" w:cs="Sakkal Majalla"/>
                <w:b/>
                <w:sz w:val="24"/>
                <w:szCs w:val="24"/>
              </w:rPr>
              <w:t>DeLone</w:t>
            </w:r>
            <w:proofErr w:type="spellEnd"/>
            <w:r w:rsidRPr="00695159">
              <w:rPr>
                <w:rFonts w:ascii="Sakkal Majalla" w:eastAsia="Simplified Arabic" w:hAnsi="Sakkal Majalla" w:cs="Sakkal Majalla"/>
                <w:b/>
                <w:sz w:val="24"/>
                <w:szCs w:val="24"/>
              </w:rPr>
              <w:t xml:space="preserve"> &amp; McLean (2003)</w:t>
            </w:r>
          </w:p>
        </w:tc>
      </w:tr>
      <w:tr w:rsidR="00695159" w:rsidRPr="00695159" w14:paraId="2404BD80"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60BB273C"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قبول التقنية</w:t>
            </w:r>
          </w:p>
        </w:tc>
        <w:tc>
          <w:tcPr>
            <w:tcW w:w="0" w:type="auto"/>
            <w:hideMark/>
          </w:tcPr>
          <w:p w14:paraId="06DD015E"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وسيط</w:t>
            </w:r>
          </w:p>
        </w:tc>
        <w:tc>
          <w:tcPr>
            <w:tcW w:w="0" w:type="auto"/>
            <w:hideMark/>
          </w:tcPr>
          <w:p w14:paraId="678A1B15"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درجة إدراك الموظف لمنفعة الأنظمة الرقمية وسهولة استخدامها في أداء العمل</w:t>
            </w:r>
            <w:r w:rsidRPr="00695159">
              <w:rPr>
                <w:rFonts w:ascii="Sakkal Majalla" w:eastAsia="Simplified Arabic" w:hAnsi="Sakkal Majalla" w:cs="Sakkal Majalla"/>
                <w:b/>
                <w:sz w:val="24"/>
                <w:szCs w:val="24"/>
              </w:rPr>
              <w:t>.</w:t>
            </w:r>
          </w:p>
        </w:tc>
        <w:tc>
          <w:tcPr>
            <w:tcW w:w="0" w:type="auto"/>
            <w:hideMark/>
          </w:tcPr>
          <w:p w14:paraId="383DEDB7"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المنفعة المتصورة؛ سهولة الاستخدام المتصورة</w:t>
            </w:r>
            <w:r w:rsidRPr="00695159">
              <w:rPr>
                <w:rFonts w:ascii="Sakkal Majalla" w:eastAsia="Simplified Arabic" w:hAnsi="Sakkal Majalla" w:cs="Sakkal Majalla"/>
                <w:b/>
                <w:sz w:val="24"/>
                <w:szCs w:val="24"/>
              </w:rPr>
              <w:t>.</w:t>
            </w:r>
          </w:p>
        </w:tc>
        <w:tc>
          <w:tcPr>
            <w:tcW w:w="0" w:type="auto"/>
            <w:hideMark/>
          </w:tcPr>
          <w:p w14:paraId="3AD54D56"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Davis (1989); Venkatesh &amp; Davis (2000); Venkatesh &amp; </w:t>
            </w:r>
            <w:proofErr w:type="spellStart"/>
            <w:r w:rsidRPr="00695159">
              <w:rPr>
                <w:rFonts w:ascii="Sakkal Majalla" w:eastAsia="Simplified Arabic" w:hAnsi="Sakkal Majalla" w:cs="Sakkal Majalla"/>
                <w:b/>
                <w:sz w:val="24"/>
                <w:szCs w:val="24"/>
              </w:rPr>
              <w:t>Bala</w:t>
            </w:r>
            <w:proofErr w:type="spellEnd"/>
            <w:r w:rsidRPr="00695159">
              <w:rPr>
                <w:rFonts w:ascii="Sakkal Majalla" w:eastAsia="Simplified Arabic" w:hAnsi="Sakkal Majalla" w:cs="Sakkal Majalla"/>
                <w:b/>
                <w:sz w:val="24"/>
                <w:szCs w:val="24"/>
              </w:rPr>
              <w:t xml:space="preserve"> (2008)</w:t>
            </w:r>
          </w:p>
        </w:tc>
      </w:tr>
      <w:tr w:rsidR="00695159" w:rsidRPr="00695159" w14:paraId="606F997A"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E6A87F"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الإجهاد التقني</w:t>
            </w:r>
          </w:p>
        </w:tc>
        <w:tc>
          <w:tcPr>
            <w:tcW w:w="0" w:type="auto"/>
            <w:hideMark/>
          </w:tcPr>
          <w:p w14:paraId="7FDAF789"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وسيط</w:t>
            </w:r>
          </w:p>
        </w:tc>
        <w:tc>
          <w:tcPr>
            <w:tcW w:w="0" w:type="auto"/>
            <w:hideMark/>
          </w:tcPr>
          <w:p w14:paraId="0E573616"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مستوى الضغط الناتج عن متطلبات استخدام التقنية في العمل عندما تتجاوز القدرة على التكيف أو تؤثر في حدود العمل والحياة</w:t>
            </w:r>
            <w:r w:rsidRPr="00695159">
              <w:rPr>
                <w:rFonts w:ascii="Sakkal Majalla" w:eastAsia="Simplified Arabic" w:hAnsi="Sakkal Majalla" w:cs="Sakkal Majalla"/>
                <w:b/>
                <w:sz w:val="24"/>
                <w:szCs w:val="24"/>
              </w:rPr>
              <w:t>.</w:t>
            </w:r>
          </w:p>
        </w:tc>
        <w:tc>
          <w:tcPr>
            <w:tcW w:w="0" w:type="auto"/>
            <w:hideMark/>
          </w:tcPr>
          <w:p w14:paraId="42C2B273"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العبء التقني؛ التعقيد التقني؛ عدم اليقين التقني؛ الاقتحام التقني</w:t>
            </w:r>
            <w:r w:rsidRPr="00695159">
              <w:rPr>
                <w:rFonts w:ascii="Sakkal Majalla" w:eastAsia="Simplified Arabic" w:hAnsi="Sakkal Majalla" w:cs="Sakkal Majalla"/>
                <w:b/>
                <w:sz w:val="24"/>
                <w:szCs w:val="24"/>
              </w:rPr>
              <w:t>.</w:t>
            </w:r>
          </w:p>
        </w:tc>
        <w:tc>
          <w:tcPr>
            <w:tcW w:w="0" w:type="auto"/>
            <w:hideMark/>
          </w:tcPr>
          <w:p w14:paraId="4244B20E"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Ragu-Nathan et al. (2008); </w:t>
            </w:r>
            <w:proofErr w:type="spellStart"/>
            <w:r w:rsidRPr="00695159">
              <w:rPr>
                <w:rFonts w:ascii="Sakkal Majalla" w:eastAsia="Simplified Arabic" w:hAnsi="Sakkal Majalla" w:cs="Sakkal Majalla"/>
                <w:b/>
                <w:sz w:val="24"/>
                <w:szCs w:val="24"/>
              </w:rPr>
              <w:t>Tarafdar</w:t>
            </w:r>
            <w:proofErr w:type="spellEnd"/>
            <w:r w:rsidRPr="00695159">
              <w:rPr>
                <w:rFonts w:ascii="Sakkal Majalla" w:eastAsia="Simplified Arabic" w:hAnsi="Sakkal Majalla" w:cs="Sakkal Majalla"/>
                <w:b/>
                <w:sz w:val="24"/>
                <w:szCs w:val="24"/>
              </w:rPr>
              <w:t xml:space="preserve"> et al. (2007, 2011); </w:t>
            </w:r>
            <w:proofErr w:type="spellStart"/>
            <w:r w:rsidRPr="00695159">
              <w:rPr>
                <w:rFonts w:ascii="Sakkal Majalla" w:eastAsia="Simplified Arabic" w:hAnsi="Sakkal Majalla" w:cs="Sakkal Majalla"/>
                <w:b/>
                <w:sz w:val="24"/>
                <w:szCs w:val="24"/>
              </w:rPr>
              <w:t>Ayyagari</w:t>
            </w:r>
            <w:proofErr w:type="spellEnd"/>
            <w:r w:rsidRPr="00695159">
              <w:rPr>
                <w:rFonts w:ascii="Sakkal Majalla" w:eastAsia="Simplified Arabic" w:hAnsi="Sakkal Majalla" w:cs="Sakkal Majalla"/>
                <w:b/>
                <w:sz w:val="24"/>
                <w:szCs w:val="24"/>
              </w:rPr>
              <w:t xml:space="preserve"> et al. (2011)</w:t>
            </w:r>
          </w:p>
        </w:tc>
      </w:tr>
      <w:tr w:rsidR="00695159" w:rsidRPr="00695159" w14:paraId="0BA0644A"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345FC7B8"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الرضا الوظيفي</w:t>
            </w:r>
          </w:p>
        </w:tc>
        <w:tc>
          <w:tcPr>
            <w:tcW w:w="0" w:type="auto"/>
            <w:hideMark/>
          </w:tcPr>
          <w:p w14:paraId="597DB4FC"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تابع</w:t>
            </w:r>
          </w:p>
        </w:tc>
        <w:tc>
          <w:tcPr>
            <w:tcW w:w="0" w:type="auto"/>
            <w:hideMark/>
          </w:tcPr>
          <w:p w14:paraId="46950AE7"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مستوى رضا الموظف عن عمله وتجربته الوظيفية في بيئة العمل الرقمية</w:t>
            </w:r>
            <w:r w:rsidRPr="00695159">
              <w:rPr>
                <w:rFonts w:ascii="Sakkal Majalla" w:eastAsia="Simplified Arabic" w:hAnsi="Sakkal Majalla" w:cs="Sakkal Majalla"/>
                <w:b/>
                <w:sz w:val="24"/>
                <w:szCs w:val="24"/>
              </w:rPr>
              <w:t>.</w:t>
            </w:r>
          </w:p>
        </w:tc>
        <w:tc>
          <w:tcPr>
            <w:tcW w:w="0" w:type="auto"/>
            <w:hideMark/>
          </w:tcPr>
          <w:p w14:paraId="5ED01436"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الرضا الوظيفي في بيئة العمل الرقمية</w:t>
            </w:r>
            <w:r w:rsidRPr="00695159">
              <w:rPr>
                <w:rFonts w:ascii="Sakkal Majalla" w:eastAsia="Simplified Arabic" w:hAnsi="Sakkal Majalla" w:cs="Sakkal Majalla"/>
                <w:b/>
                <w:sz w:val="24"/>
                <w:szCs w:val="24"/>
              </w:rPr>
              <w:t>.</w:t>
            </w:r>
          </w:p>
        </w:tc>
        <w:tc>
          <w:tcPr>
            <w:tcW w:w="0" w:type="auto"/>
            <w:hideMark/>
          </w:tcPr>
          <w:p w14:paraId="6FA442B7"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Spector (</w:t>
            </w:r>
            <w:proofErr w:type="gramStart"/>
            <w:r w:rsidRPr="00695159">
              <w:rPr>
                <w:rFonts w:ascii="Sakkal Majalla" w:eastAsia="Simplified Arabic" w:hAnsi="Sakkal Majalla" w:cs="Sakkal Majalla"/>
                <w:b/>
                <w:sz w:val="24"/>
                <w:szCs w:val="24"/>
              </w:rPr>
              <w:t>1997)</w:t>
            </w:r>
            <w:r w:rsidRPr="00695159">
              <w:rPr>
                <w:rFonts w:ascii="Sakkal Majalla" w:eastAsia="Simplified Arabic" w:hAnsi="Sakkal Majalla" w:cs="Sakkal Majalla"/>
                <w:b/>
                <w:sz w:val="24"/>
                <w:szCs w:val="24"/>
                <w:rtl/>
              </w:rPr>
              <w:t>،</w:t>
            </w:r>
            <w:proofErr w:type="gramEnd"/>
            <w:r w:rsidRPr="00695159">
              <w:rPr>
                <w:rFonts w:ascii="Sakkal Majalla" w:eastAsia="Simplified Arabic" w:hAnsi="Sakkal Majalla" w:cs="Sakkal Majalla"/>
                <w:b/>
                <w:sz w:val="24"/>
                <w:szCs w:val="24"/>
                <w:rtl/>
              </w:rPr>
              <w:t xml:space="preserve"> مع تكييف الفقرات لسياق الدراسة الحالية</w:t>
            </w:r>
            <w:r w:rsidRPr="00695159">
              <w:rPr>
                <w:rFonts w:ascii="Sakkal Majalla" w:eastAsia="Simplified Arabic" w:hAnsi="Sakkal Majalla" w:cs="Sakkal Majalla"/>
                <w:b/>
                <w:sz w:val="24"/>
                <w:szCs w:val="24"/>
              </w:rPr>
              <w:t>.</w:t>
            </w:r>
          </w:p>
        </w:tc>
      </w:tr>
      <w:tr w:rsidR="00695159" w:rsidRPr="00695159" w14:paraId="54A47D60"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341D76"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الخصائص الديموغرافية والوظيفية</w:t>
            </w:r>
          </w:p>
        </w:tc>
        <w:tc>
          <w:tcPr>
            <w:tcW w:w="0" w:type="auto"/>
            <w:hideMark/>
          </w:tcPr>
          <w:p w14:paraId="215B02A6"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معدّلة/وصفية</w:t>
            </w:r>
          </w:p>
        </w:tc>
        <w:tc>
          <w:tcPr>
            <w:tcW w:w="0" w:type="auto"/>
            <w:hideMark/>
          </w:tcPr>
          <w:p w14:paraId="3B81586C"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خصائص شخصية ووظيفية تستخدم لوصف العينة واختبار الفروق أو الاعتدال المحتمل</w:t>
            </w:r>
            <w:r w:rsidRPr="00695159">
              <w:rPr>
                <w:rFonts w:ascii="Sakkal Majalla" w:eastAsia="Simplified Arabic" w:hAnsi="Sakkal Majalla" w:cs="Sakkal Majalla"/>
                <w:b/>
                <w:sz w:val="24"/>
                <w:szCs w:val="24"/>
              </w:rPr>
              <w:t>.</w:t>
            </w:r>
          </w:p>
        </w:tc>
        <w:tc>
          <w:tcPr>
            <w:tcW w:w="0" w:type="auto"/>
            <w:hideMark/>
          </w:tcPr>
          <w:p w14:paraId="6C29F0F6"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الجنس؛ العمر؛ المؤهل العلمي؛ سنوات الخبرة؛ المستوى الوظيفي؛ الإدارة/طبيعة العمل</w:t>
            </w:r>
            <w:r w:rsidRPr="00695159">
              <w:rPr>
                <w:rFonts w:ascii="Sakkal Majalla" w:eastAsia="Simplified Arabic" w:hAnsi="Sakkal Majalla" w:cs="Sakkal Majalla"/>
                <w:b/>
                <w:sz w:val="24"/>
                <w:szCs w:val="24"/>
              </w:rPr>
              <w:t>.</w:t>
            </w:r>
          </w:p>
        </w:tc>
        <w:tc>
          <w:tcPr>
            <w:tcW w:w="0" w:type="auto"/>
            <w:hideMark/>
          </w:tcPr>
          <w:p w14:paraId="200E0362"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Venkatesh et al. (2003); Morris &amp; Venkatesh (2000)</w:t>
            </w:r>
          </w:p>
        </w:tc>
      </w:tr>
    </w:tbl>
    <w:p w14:paraId="456A9D3F"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ويُنبَّه إلى أن “التحديات التقنية” لا تُعامل في هذه الدراسة كبعد مستقل ضمن التحوّل الرقمي المؤسسي؛ فإذا ارتبطت بالأعطال أو البطء أو ضعف الاستقرار عُدّت مؤشرات عكسية ضمن كفاءة الأنظمة والعمليات، أما إذا ارتبطت بالعبء أو التعقيد أو الاقتحام أو صعوبة مواكبة التغيرات التقنية فتُدرج ضمن متغير الإجهاد التقني</w:t>
      </w:r>
      <w:r w:rsidRPr="00695159">
        <w:rPr>
          <w:rFonts w:ascii="Sakkal Majalla" w:eastAsia="Simplified Arabic" w:hAnsi="Sakkal Majalla" w:cs="Sakkal Majalla"/>
          <w:b/>
          <w:sz w:val="24"/>
          <w:szCs w:val="24"/>
        </w:rPr>
        <w:t>.</w:t>
      </w:r>
    </w:p>
    <w:p w14:paraId="261F5DC5" w14:textId="2D218CC6"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proofErr w:type="gramStart"/>
      <w:r w:rsidRPr="00695159">
        <w:rPr>
          <w:rFonts w:ascii="Sakkal Majalla" w:eastAsia="Simplified Arabic" w:hAnsi="Sakkal Majalla" w:cs="Sakkal Majalla"/>
          <w:b/>
          <w:bCs/>
          <w:sz w:val="24"/>
          <w:szCs w:val="24"/>
        </w:rPr>
        <w:lastRenderedPageBreak/>
        <w:t xml:space="preserve">3.5 </w:t>
      </w:r>
      <w:r>
        <w:rPr>
          <w:rFonts w:ascii="Sakkal Majalla" w:eastAsia="Simplified Arabic" w:hAnsi="Sakkal Majalla" w:cs="Sakkal Majalla" w:hint="cs"/>
          <w:b/>
          <w:bCs/>
          <w:sz w:val="24"/>
          <w:szCs w:val="24"/>
          <w:rtl/>
        </w:rPr>
        <w:t xml:space="preserve"> </w:t>
      </w:r>
      <w:r w:rsidRPr="00695159">
        <w:rPr>
          <w:rFonts w:ascii="Sakkal Majalla" w:eastAsia="Simplified Arabic" w:hAnsi="Sakkal Majalla" w:cs="Sakkal Majalla"/>
          <w:b/>
          <w:bCs/>
          <w:sz w:val="24"/>
          <w:szCs w:val="24"/>
          <w:rtl/>
        </w:rPr>
        <w:t>بناء</w:t>
      </w:r>
      <w:proofErr w:type="gramEnd"/>
      <w:r w:rsidRPr="00695159">
        <w:rPr>
          <w:rFonts w:ascii="Sakkal Majalla" w:eastAsia="Simplified Arabic" w:hAnsi="Sakkal Majalla" w:cs="Sakkal Majalla"/>
          <w:b/>
          <w:bCs/>
          <w:sz w:val="24"/>
          <w:szCs w:val="24"/>
          <w:rtl/>
        </w:rPr>
        <w:t xml:space="preserve"> أداة الدراسة وتحكيمها</w:t>
      </w:r>
    </w:p>
    <w:p w14:paraId="1C5D06EA"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سيتم إعداد الصورة الأولية للاستبانة بعد مراجعة الأدبيات والدراسات السابقة ذات الصلة بمتغيرات الدراسة. وستُعرض الأداة على مجموعة من المحكمين المتخصصين في الإدارة، ونظم المعلومات، والقياس، أو من لهم خبرة بموضوع الدراسة، وذلك للتحقق من ملاءمة الفقرات لأبعادها، وسلامة الصياغة اللغوية، ووضوح العبارات ودقتها، ومدى انتماء كل فقرة للمحور المخصص لها</w:t>
      </w:r>
      <w:r w:rsidRPr="00695159">
        <w:rPr>
          <w:rFonts w:ascii="Sakkal Majalla" w:eastAsia="Simplified Arabic" w:hAnsi="Sakkal Majalla" w:cs="Sakkal Majalla"/>
          <w:b/>
          <w:sz w:val="24"/>
          <w:szCs w:val="24"/>
        </w:rPr>
        <w:t>.</w:t>
      </w:r>
    </w:p>
    <w:p w14:paraId="37DF0943"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ويُطلب من المحكمين إبداء ملاحظاتهم حول كل فقرة، واقتراح الحذف أو التعديل أو الإضافة عند الحاجة. وبعد استلام ملاحظات المحكمين، سيتم تحليلها وإجراء التعديلات المناسبة على فقرات الاستبانة، بما يعزز الصدق الظاهري وصدق المحتوى للأداة قبل تطبيقها على عينة الدراسة</w:t>
      </w:r>
      <w:r w:rsidRPr="00695159">
        <w:rPr>
          <w:rFonts w:ascii="Sakkal Majalla" w:eastAsia="Simplified Arabic" w:hAnsi="Sakkal Majalla" w:cs="Sakkal Majalla"/>
          <w:b/>
          <w:sz w:val="24"/>
          <w:szCs w:val="24"/>
        </w:rPr>
        <w:t>.</w:t>
      </w:r>
    </w:p>
    <w:p w14:paraId="02732968"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وإذا تم تطبيق دراسة استطلاعية، فسيتم استخدامها للتحقق من وضوح التعليمات والفقرات للمستجيبين، ولحساب مؤشرات أولية للثبات والاتساق الداخلي، دون اعتبار نتائجها بديلًا عن التحليل النهائي</w:t>
      </w:r>
      <w:r w:rsidRPr="00695159">
        <w:rPr>
          <w:rFonts w:ascii="Sakkal Majalla" w:eastAsia="Simplified Arabic" w:hAnsi="Sakkal Majalla" w:cs="Sakkal Majalla"/>
          <w:b/>
          <w:sz w:val="24"/>
          <w:szCs w:val="24"/>
        </w:rPr>
        <w:t>.</w:t>
      </w:r>
    </w:p>
    <w:p w14:paraId="17083AFF" w14:textId="77777777"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r w:rsidRPr="00695159">
        <w:rPr>
          <w:rFonts w:ascii="Sakkal Majalla" w:eastAsia="Simplified Arabic" w:hAnsi="Sakkal Majalla" w:cs="Sakkal Majalla"/>
          <w:b/>
          <w:bCs/>
          <w:sz w:val="24"/>
          <w:szCs w:val="24"/>
        </w:rPr>
        <w:t xml:space="preserve">3.6 </w:t>
      </w:r>
      <w:r w:rsidRPr="00695159">
        <w:rPr>
          <w:rFonts w:ascii="Sakkal Majalla" w:eastAsia="Simplified Arabic" w:hAnsi="Sakkal Majalla" w:cs="Sakkal Majalla"/>
          <w:b/>
          <w:bCs/>
          <w:sz w:val="24"/>
          <w:szCs w:val="24"/>
          <w:rtl/>
        </w:rPr>
        <w:t>إجراءات تنفيذ الدراسة</w:t>
      </w:r>
    </w:p>
    <w:tbl>
      <w:tblPr>
        <w:tblStyle w:val="GridTable4-Accent3"/>
        <w:bidiVisual/>
        <w:tblW w:w="0" w:type="auto"/>
        <w:tblLook w:val="04A0" w:firstRow="1" w:lastRow="0" w:firstColumn="1" w:lastColumn="0" w:noHBand="0" w:noVBand="1"/>
      </w:tblPr>
      <w:tblGrid>
        <w:gridCol w:w="675"/>
        <w:gridCol w:w="3020"/>
        <w:gridCol w:w="2843"/>
        <w:gridCol w:w="1849"/>
      </w:tblGrid>
      <w:tr w:rsidR="00695159" w:rsidRPr="00695159" w14:paraId="6D32BC52" w14:textId="77777777" w:rsidTr="00695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CC15AB"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tl/>
              </w:rPr>
              <w:t>المرحلة</w:t>
            </w:r>
          </w:p>
        </w:tc>
        <w:tc>
          <w:tcPr>
            <w:tcW w:w="0" w:type="auto"/>
            <w:hideMark/>
          </w:tcPr>
          <w:p w14:paraId="7D68011B"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tl/>
              </w:rPr>
              <w:t>الإجراء</w:t>
            </w:r>
          </w:p>
        </w:tc>
        <w:tc>
          <w:tcPr>
            <w:tcW w:w="0" w:type="auto"/>
            <w:hideMark/>
          </w:tcPr>
          <w:p w14:paraId="19FF6DA9"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tl/>
              </w:rPr>
              <w:t>الهدف</w:t>
            </w:r>
          </w:p>
        </w:tc>
        <w:tc>
          <w:tcPr>
            <w:tcW w:w="0" w:type="auto"/>
            <w:hideMark/>
          </w:tcPr>
          <w:p w14:paraId="771EA1D1"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tl/>
              </w:rPr>
              <w:t>المخرج المتوقع</w:t>
            </w:r>
          </w:p>
        </w:tc>
      </w:tr>
      <w:tr w:rsidR="00695159" w:rsidRPr="00695159" w14:paraId="75F8A93D"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6F771F"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tl/>
              </w:rPr>
            </w:pPr>
            <w:r w:rsidRPr="00695159">
              <w:rPr>
                <w:rFonts w:ascii="Sakkal Majalla" w:eastAsia="Simplified Arabic" w:hAnsi="Sakkal Majalla" w:cs="Sakkal Majalla"/>
                <w:b w:val="0"/>
                <w:bCs w:val="0"/>
                <w:sz w:val="24"/>
                <w:szCs w:val="24"/>
              </w:rPr>
              <w:t>1</w:t>
            </w:r>
          </w:p>
        </w:tc>
        <w:tc>
          <w:tcPr>
            <w:tcW w:w="0" w:type="auto"/>
            <w:hideMark/>
          </w:tcPr>
          <w:p w14:paraId="2539B84E"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مراجعة الأدبيات والفصول السابقة</w:t>
            </w:r>
          </w:p>
        </w:tc>
        <w:tc>
          <w:tcPr>
            <w:tcW w:w="0" w:type="auto"/>
            <w:hideMark/>
          </w:tcPr>
          <w:p w14:paraId="32604C39"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تثبيت المتغيرات والأبعاد</w:t>
            </w:r>
          </w:p>
        </w:tc>
        <w:tc>
          <w:tcPr>
            <w:tcW w:w="0" w:type="auto"/>
            <w:hideMark/>
          </w:tcPr>
          <w:p w14:paraId="3358EFEA"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نموذج قياس أولي</w:t>
            </w:r>
          </w:p>
        </w:tc>
      </w:tr>
      <w:tr w:rsidR="00695159" w:rsidRPr="00695159" w14:paraId="1FFF83D5"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5F818311"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Pr>
              <w:t>2</w:t>
            </w:r>
          </w:p>
        </w:tc>
        <w:tc>
          <w:tcPr>
            <w:tcW w:w="0" w:type="auto"/>
            <w:hideMark/>
          </w:tcPr>
          <w:p w14:paraId="068E1166"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بناء فقرات الاستبانة</w:t>
            </w:r>
          </w:p>
        </w:tc>
        <w:tc>
          <w:tcPr>
            <w:tcW w:w="0" w:type="auto"/>
            <w:hideMark/>
          </w:tcPr>
          <w:p w14:paraId="133E30F4"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تحويل المتغيرات إلى فقرات قابلة للقياس</w:t>
            </w:r>
          </w:p>
        </w:tc>
        <w:tc>
          <w:tcPr>
            <w:tcW w:w="0" w:type="auto"/>
            <w:hideMark/>
          </w:tcPr>
          <w:p w14:paraId="53E8AB46"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مسودة أداة الدراسة</w:t>
            </w:r>
          </w:p>
        </w:tc>
      </w:tr>
      <w:tr w:rsidR="00695159" w:rsidRPr="00695159" w14:paraId="2FEA6CF3"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714F55"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Pr>
              <w:t>3</w:t>
            </w:r>
          </w:p>
        </w:tc>
        <w:tc>
          <w:tcPr>
            <w:tcW w:w="0" w:type="auto"/>
            <w:hideMark/>
          </w:tcPr>
          <w:p w14:paraId="1DFD3843"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إعداد استبانة التحكيم</w:t>
            </w:r>
          </w:p>
        </w:tc>
        <w:tc>
          <w:tcPr>
            <w:tcW w:w="0" w:type="auto"/>
            <w:hideMark/>
          </w:tcPr>
          <w:p w14:paraId="166427A7"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عرض الأداة على المحكمين</w:t>
            </w:r>
          </w:p>
        </w:tc>
        <w:tc>
          <w:tcPr>
            <w:tcW w:w="0" w:type="auto"/>
            <w:hideMark/>
          </w:tcPr>
          <w:p w14:paraId="1B51E5D2"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نموذج تحكيم</w:t>
            </w:r>
          </w:p>
        </w:tc>
      </w:tr>
      <w:tr w:rsidR="00695159" w:rsidRPr="00695159" w14:paraId="3CF43A40"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4F6280F1"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Pr>
              <w:t>4</w:t>
            </w:r>
          </w:p>
        </w:tc>
        <w:tc>
          <w:tcPr>
            <w:tcW w:w="0" w:type="auto"/>
            <w:hideMark/>
          </w:tcPr>
          <w:p w14:paraId="10F96F27"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تحكيم الأداة</w:t>
            </w:r>
          </w:p>
        </w:tc>
        <w:tc>
          <w:tcPr>
            <w:tcW w:w="0" w:type="auto"/>
            <w:hideMark/>
          </w:tcPr>
          <w:p w14:paraId="4C29D73A"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التحقق من ملاءمة الفقرات ووضوحها</w:t>
            </w:r>
          </w:p>
        </w:tc>
        <w:tc>
          <w:tcPr>
            <w:tcW w:w="0" w:type="auto"/>
            <w:hideMark/>
          </w:tcPr>
          <w:p w14:paraId="7C329E6A"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ملاحظات المحكمين</w:t>
            </w:r>
          </w:p>
        </w:tc>
      </w:tr>
      <w:tr w:rsidR="00695159" w:rsidRPr="00695159" w14:paraId="4C7DF781"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6B78E7"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Pr>
              <w:t>5</w:t>
            </w:r>
          </w:p>
        </w:tc>
        <w:tc>
          <w:tcPr>
            <w:tcW w:w="0" w:type="auto"/>
            <w:hideMark/>
          </w:tcPr>
          <w:p w14:paraId="3609EC9E"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تعديل الأداة</w:t>
            </w:r>
          </w:p>
        </w:tc>
        <w:tc>
          <w:tcPr>
            <w:tcW w:w="0" w:type="auto"/>
            <w:hideMark/>
          </w:tcPr>
          <w:p w14:paraId="35C733CE"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تحسين الصياغة والاتساق</w:t>
            </w:r>
          </w:p>
        </w:tc>
        <w:tc>
          <w:tcPr>
            <w:tcW w:w="0" w:type="auto"/>
            <w:hideMark/>
          </w:tcPr>
          <w:p w14:paraId="361B32F0"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استبانة معدلة</w:t>
            </w:r>
          </w:p>
        </w:tc>
      </w:tr>
      <w:tr w:rsidR="00695159" w:rsidRPr="00695159" w14:paraId="4D5235E2"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178CF34C"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Pr>
              <w:t>6</w:t>
            </w:r>
          </w:p>
        </w:tc>
        <w:tc>
          <w:tcPr>
            <w:tcW w:w="0" w:type="auto"/>
            <w:hideMark/>
          </w:tcPr>
          <w:p w14:paraId="155E5F83"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تطبيق استطلاعي إن وجد</w:t>
            </w:r>
          </w:p>
        </w:tc>
        <w:tc>
          <w:tcPr>
            <w:tcW w:w="0" w:type="auto"/>
            <w:hideMark/>
          </w:tcPr>
          <w:p w14:paraId="6082E135"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فحص وضوح الأداة وثباتها مبدئيًا</w:t>
            </w:r>
          </w:p>
        </w:tc>
        <w:tc>
          <w:tcPr>
            <w:tcW w:w="0" w:type="auto"/>
            <w:hideMark/>
          </w:tcPr>
          <w:p w14:paraId="18068613"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مؤشرات أولية</w:t>
            </w:r>
          </w:p>
        </w:tc>
      </w:tr>
      <w:tr w:rsidR="00695159" w:rsidRPr="00695159" w14:paraId="2C518E7F"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9F4AB"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Pr>
              <w:t>7</w:t>
            </w:r>
          </w:p>
        </w:tc>
        <w:tc>
          <w:tcPr>
            <w:tcW w:w="0" w:type="auto"/>
            <w:hideMark/>
          </w:tcPr>
          <w:p w14:paraId="5B5C2E98"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توزيع الاستبانة النهائية عبر</w:t>
            </w:r>
            <w:r w:rsidRPr="00695159">
              <w:rPr>
                <w:rFonts w:ascii="Sakkal Majalla" w:eastAsia="Simplified Arabic" w:hAnsi="Sakkal Majalla" w:cs="Sakkal Majalla"/>
                <w:sz w:val="24"/>
                <w:szCs w:val="24"/>
              </w:rPr>
              <w:t xml:space="preserve"> Google Forms</w:t>
            </w:r>
          </w:p>
        </w:tc>
        <w:tc>
          <w:tcPr>
            <w:tcW w:w="0" w:type="auto"/>
            <w:hideMark/>
          </w:tcPr>
          <w:p w14:paraId="7A745B53"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جمع البيانات من العينة</w:t>
            </w:r>
          </w:p>
        </w:tc>
        <w:tc>
          <w:tcPr>
            <w:tcW w:w="0" w:type="auto"/>
            <w:hideMark/>
          </w:tcPr>
          <w:p w14:paraId="5CE084C0"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قاعدة بيانات</w:t>
            </w:r>
          </w:p>
        </w:tc>
      </w:tr>
      <w:tr w:rsidR="00695159" w:rsidRPr="00695159" w14:paraId="39BCB629"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4FD46252" w14:textId="77777777" w:rsidR="00695159" w:rsidRPr="00695159" w:rsidRDefault="00695159" w:rsidP="00695159">
            <w:pPr>
              <w:tabs>
                <w:tab w:val="left" w:pos="1975"/>
              </w:tabs>
              <w:bidi/>
              <w:spacing w:line="240" w:lineRule="auto"/>
              <w:rPr>
                <w:rFonts w:ascii="Sakkal Majalla" w:eastAsia="Simplified Arabic" w:hAnsi="Sakkal Majalla" w:cs="Sakkal Majalla"/>
                <w:b w:val="0"/>
                <w:bCs w:val="0"/>
                <w:sz w:val="24"/>
                <w:szCs w:val="24"/>
              </w:rPr>
            </w:pPr>
            <w:r w:rsidRPr="00695159">
              <w:rPr>
                <w:rFonts w:ascii="Sakkal Majalla" w:eastAsia="Simplified Arabic" w:hAnsi="Sakkal Majalla" w:cs="Sakkal Majalla"/>
                <w:b w:val="0"/>
                <w:bCs w:val="0"/>
                <w:sz w:val="24"/>
                <w:szCs w:val="24"/>
              </w:rPr>
              <w:t>8</w:t>
            </w:r>
          </w:p>
        </w:tc>
        <w:tc>
          <w:tcPr>
            <w:tcW w:w="0" w:type="auto"/>
            <w:hideMark/>
          </w:tcPr>
          <w:p w14:paraId="21CCC8DF"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تحليل البيانات</w:t>
            </w:r>
          </w:p>
        </w:tc>
        <w:tc>
          <w:tcPr>
            <w:tcW w:w="0" w:type="auto"/>
            <w:hideMark/>
          </w:tcPr>
          <w:p w14:paraId="4842C7C3"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اختبار الفرضيات</w:t>
            </w:r>
          </w:p>
        </w:tc>
        <w:tc>
          <w:tcPr>
            <w:tcW w:w="0" w:type="auto"/>
            <w:hideMark/>
          </w:tcPr>
          <w:p w14:paraId="44F658E2"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نتائج الفصل الرابع لاحقًا</w:t>
            </w:r>
          </w:p>
        </w:tc>
      </w:tr>
    </w:tbl>
    <w:p w14:paraId="593255A3" w14:textId="77777777" w:rsidR="00695159" w:rsidRDefault="00695159" w:rsidP="00695159">
      <w:pPr>
        <w:tabs>
          <w:tab w:val="left" w:pos="1975"/>
        </w:tabs>
        <w:bidi/>
        <w:spacing w:line="240" w:lineRule="auto"/>
        <w:rPr>
          <w:rFonts w:ascii="Sakkal Majalla" w:eastAsia="Simplified Arabic" w:hAnsi="Sakkal Majalla" w:cs="Sakkal Majalla"/>
          <w:b/>
          <w:bCs/>
          <w:sz w:val="24"/>
          <w:szCs w:val="24"/>
          <w:rtl/>
        </w:rPr>
      </w:pPr>
    </w:p>
    <w:p w14:paraId="17A5177E" w14:textId="2A7B59D7"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r>
        <w:rPr>
          <w:rFonts w:ascii="Sakkal Majalla" w:eastAsia="Simplified Arabic" w:hAnsi="Sakkal Majalla" w:cs="Sakkal Majalla"/>
          <w:b/>
          <w:bCs/>
          <w:sz w:val="24"/>
          <w:szCs w:val="24"/>
        </w:rPr>
        <w:t xml:space="preserve"> </w:t>
      </w:r>
      <w:r w:rsidRPr="00695159">
        <w:rPr>
          <w:rFonts w:ascii="Sakkal Majalla" w:eastAsia="Simplified Arabic" w:hAnsi="Sakkal Majalla" w:cs="Sakkal Majalla"/>
          <w:b/>
          <w:bCs/>
          <w:sz w:val="24"/>
          <w:szCs w:val="24"/>
        </w:rPr>
        <w:t xml:space="preserve">3.7 </w:t>
      </w:r>
      <w:r w:rsidRPr="00695159">
        <w:rPr>
          <w:rFonts w:ascii="Sakkal Majalla" w:eastAsia="Simplified Arabic" w:hAnsi="Sakkal Majalla" w:cs="Sakkal Majalla"/>
          <w:b/>
          <w:bCs/>
          <w:sz w:val="24"/>
          <w:szCs w:val="24"/>
          <w:rtl/>
        </w:rPr>
        <w:t>تصميم الدراسة والمعالجة الإحصائية</w:t>
      </w:r>
    </w:p>
    <w:p w14:paraId="3382F306"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سيتم تحليل البيانات باستخدام أساليب إحصائية تتناسب مع طبيعة الأسئلة والفرضيات. في البداية، سيتم فحص البيانات مبدئيًا من حيث الاكتمال والقيم المفقودة والاتساق العام، ثم استخدام الإحصاءات الوصفية لعرض خصائص العينة ومستويات متغيرات الدراسة</w:t>
      </w:r>
      <w:r w:rsidRPr="00695159">
        <w:rPr>
          <w:rFonts w:ascii="Sakkal Majalla" w:eastAsia="Simplified Arabic" w:hAnsi="Sakkal Majalla" w:cs="Sakkal Majalla"/>
          <w:b/>
          <w:sz w:val="24"/>
          <w:szCs w:val="24"/>
        </w:rPr>
        <w:t>.</w:t>
      </w:r>
    </w:p>
    <w:p w14:paraId="41B1F423"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lastRenderedPageBreak/>
        <w:t xml:space="preserve">بعد ذلك، سيتم التحقق من خصائص أداة القياس من خلال مؤشرات الثبات والصدق. وتشمل اختبارات الثبات معامل </w:t>
      </w:r>
      <w:proofErr w:type="spellStart"/>
      <w:r w:rsidRPr="00695159">
        <w:rPr>
          <w:rFonts w:ascii="Sakkal Majalla" w:eastAsia="Simplified Arabic" w:hAnsi="Sakkal Majalla" w:cs="Sakkal Majalla"/>
          <w:b/>
          <w:sz w:val="24"/>
          <w:szCs w:val="24"/>
          <w:rtl/>
        </w:rPr>
        <w:t>كرونباخ</w:t>
      </w:r>
      <w:proofErr w:type="spellEnd"/>
      <w:r w:rsidRPr="00695159">
        <w:rPr>
          <w:rFonts w:ascii="Sakkal Majalla" w:eastAsia="Simplified Arabic" w:hAnsi="Sakkal Majalla" w:cs="Sakkal Majalla"/>
          <w:b/>
          <w:sz w:val="24"/>
          <w:szCs w:val="24"/>
          <w:rtl/>
        </w:rPr>
        <w:t xml:space="preserve"> ألفا والموثوقية المركبة، بينما تشمل اختبارات الصدق فحص التحميلات </w:t>
      </w:r>
      <w:proofErr w:type="spellStart"/>
      <w:r w:rsidRPr="00695159">
        <w:rPr>
          <w:rFonts w:ascii="Sakkal Majalla" w:eastAsia="Simplified Arabic" w:hAnsi="Sakkal Majalla" w:cs="Sakkal Majalla"/>
          <w:b/>
          <w:sz w:val="24"/>
          <w:szCs w:val="24"/>
          <w:rtl/>
        </w:rPr>
        <w:t>العاملية</w:t>
      </w:r>
      <w:proofErr w:type="spellEnd"/>
      <w:r w:rsidRPr="00695159">
        <w:rPr>
          <w:rFonts w:ascii="Sakkal Majalla" w:eastAsia="Simplified Arabic" w:hAnsi="Sakkal Majalla" w:cs="Sakkal Majalla"/>
          <w:b/>
          <w:sz w:val="24"/>
          <w:szCs w:val="24"/>
          <w:rtl/>
        </w:rPr>
        <w:t xml:space="preserve">، والصدق </w:t>
      </w:r>
      <w:proofErr w:type="spellStart"/>
      <w:r w:rsidRPr="00695159">
        <w:rPr>
          <w:rFonts w:ascii="Sakkal Majalla" w:eastAsia="Simplified Arabic" w:hAnsi="Sakkal Majalla" w:cs="Sakkal Majalla"/>
          <w:b/>
          <w:sz w:val="24"/>
          <w:szCs w:val="24"/>
          <w:rtl/>
        </w:rPr>
        <w:t>التقاربي</w:t>
      </w:r>
      <w:proofErr w:type="spellEnd"/>
      <w:r w:rsidRPr="00695159">
        <w:rPr>
          <w:rFonts w:ascii="Sakkal Majalla" w:eastAsia="Simplified Arabic" w:hAnsi="Sakkal Majalla" w:cs="Sakkal Majalla"/>
          <w:b/>
          <w:sz w:val="24"/>
          <w:szCs w:val="24"/>
          <w:rtl/>
        </w:rPr>
        <w:t xml:space="preserve"> من خلال متوسط التباين المستخرج، والصدق التمييزي من خلال مؤشرات مثل</w:t>
      </w:r>
      <w:r w:rsidRPr="00695159">
        <w:rPr>
          <w:rFonts w:ascii="Sakkal Majalla" w:eastAsia="Simplified Arabic" w:hAnsi="Sakkal Majalla" w:cs="Sakkal Majalla"/>
          <w:b/>
          <w:sz w:val="24"/>
          <w:szCs w:val="24"/>
        </w:rPr>
        <w:t xml:space="preserve"> HTMT </w:t>
      </w:r>
      <w:r w:rsidRPr="00695159">
        <w:rPr>
          <w:rFonts w:ascii="Sakkal Majalla" w:eastAsia="Simplified Arabic" w:hAnsi="Sakkal Majalla" w:cs="Sakkal Majalla"/>
          <w:b/>
          <w:sz w:val="24"/>
          <w:szCs w:val="24"/>
          <w:rtl/>
        </w:rPr>
        <w:t>أو</w:t>
      </w:r>
      <w:r w:rsidRPr="00695159">
        <w:rPr>
          <w:rFonts w:ascii="Sakkal Majalla" w:eastAsia="Simplified Arabic" w:hAnsi="Sakkal Majalla" w:cs="Sakkal Majalla"/>
          <w:b/>
          <w:sz w:val="24"/>
          <w:szCs w:val="24"/>
        </w:rPr>
        <w:t xml:space="preserve"> </w:t>
      </w:r>
      <w:proofErr w:type="spellStart"/>
      <w:r w:rsidRPr="00695159">
        <w:rPr>
          <w:rFonts w:ascii="Sakkal Majalla" w:eastAsia="Simplified Arabic" w:hAnsi="Sakkal Majalla" w:cs="Sakkal Majalla"/>
          <w:b/>
          <w:sz w:val="24"/>
          <w:szCs w:val="24"/>
        </w:rPr>
        <w:t>Fornell-Larcker</w:t>
      </w:r>
      <w:proofErr w:type="spellEnd"/>
      <w:r w:rsidRPr="00695159">
        <w:rPr>
          <w:rFonts w:ascii="Sakkal Majalla" w:eastAsia="Simplified Arabic" w:hAnsi="Sakkal Majalla" w:cs="Sakkal Majalla"/>
          <w:b/>
          <w:sz w:val="24"/>
          <w:szCs w:val="24"/>
        </w:rPr>
        <w:t xml:space="preserve"> </w:t>
      </w:r>
      <w:r w:rsidRPr="00695159">
        <w:rPr>
          <w:rFonts w:ascii="Sakkal Majalla" w:eastAsia="Simplified Arabic" w:hAnsi="Sakkal Majalla" w:cs="Sakkal Majalla"/>
          <w:b/>
          <w:sz w:val="24"/>
          <w:szCs w:val="24"/>
          <w:rtl/>
        </w:rPr>
        <w:t>بحسب ما يتناسب مع نموذج القياس</w:t>
      </w:r>
      <w:r w:rsidRPr="00695159">
        <w:rPr>
          <w:rFonts w:ascii="Sakkal Majalla" w:eastAsia="Simplified Arabic" w:hAnsi="Sakkal Majalla" w:cs="Sakkal Majalla"/>
          <w:b/>
          <w:sz w:val="24"/>
          <w:szCs w:val="24"/>
        </w:rPr>
        <w:t>.</w:t>
      </w:r>
    </w:p>
    <w:p w14:paraId="62EFBD14"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ولاختبار الفرضيات، يمكن استخدام نمذجة المعادلات البنائية بالحد الأدنى للمربعات الجزئية</w:t>
      </w:r>
      <w:r w:rsidRPr="00695159">
        <w:rPr>
          <w:rFonts w:ascii="Sakkal Majalla" w:eastAsia="Simplified Arabic" w:hAnsi="Sakkal Majalla" w:cs="Sakkal Majalla"/>
          <w:b/>
          <w:sz w:val="24"/>
          <w:szCs w:val="24"/>
        </w:rPr>
        <w:t xml:space="preserve"> (PLS-SEM)</w:t>
      </w:r>
      <w:r w:rsidRPr="00695159">
        <w:rPr>
          <w:rFonts w:ascii="Sakkal Majalla" w:eastAsia="Simplified Arabic" w:hAnsi="Sakkal Majalla" w:cs="Sakkal Majalla"/>
          <w:b/>
          <w:sz w:val="24"/>
          <w:szCs w:val="24"/>
          <w:rtl/>
        </w:rPr>
        <w:t>، نظرًا لملاءمتها للنماذج التي تتضمن متغيرات متعددة ومسارات مباشرة وغير مباشرة ومعدِّلة. وسيتم اختبار الأثر المباشر لأبعاد التحوّل الرقمي المؤسسي في الرضا الوظيفي، واختبار الوساطة لكل من قبول التقنية والإجهاد التقني، واختبار الدور المعدِّل المحتمل للخصائص الديموغرافية وفق الأسلوب الإحصائي الملائم</w:t>
      </w:r>
      <w:r w:rsidRPr="00695159">
        <w:rPr>
          <w:rFonts w:ascii="Sakkal Majalla" w:eastAsia="Simplified Arabic" w:hAnsi="Sakkal Majalla" w:cs="Sakkal Majalla"/>
          <w:b/>
          <w:sz w:val="24"/>
          <w:szCs w:val="24"/>
        </w:rPr>
        <w:t>.</w:t>
      </w:r>
    </w:p>
    <w:tbl>
      <w:tblPr>
        <w:tblStyle w:val="GridTable4-Accent3"/>
        <w:bidiVisual/>
        <w:tblW w:w="0" w:type="auto"/>
        <w:tblLook w:val="04A0" w:firstRow="1" w:lastRow="0" w:firstColumn="1" w:lastColumn="0" w:noHBand="0" w:noVBand="1"/>
      </w:tblPr>
      <w:tblGrid>
        <w:gridCol w:w="1876"/>
        <w:gridCol w:w="3413"/>
        <w:gridCol w:w="3061"/>
      </w:tblGrid>
      <w:tr w:rsidR="00695159" w:rsidRPr="00695159" w14:paraId="32104449" w14:textId="77777777" w:rsidTr="006951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35845B" w14:textId="77777777" w:rsidR="00695159" w:rsidRPr="00695159" w:rsidRDefault="00695159" w:rsidP="00695159">
            <w:pPr>
              <w:tabs>
                <w:tab w:val="left" w:pos="1975"/>
              </w:tabs>
              <w:bidi/>
              <w:spacing w:line="240" w:lineRule="auto"/>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هدف التحليل</w:t>
            </w:r>
          </w:p>
        </w:tc>
        <w:tc>
          <w:tcPr>
            <w:tcW w:w="0" w:type="auto"/>
            <w:hideMark/>
          </w:tcPr>
          <w:p w14:paraId="7A235399"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الأسلوب الإحصائي المقترح</w:t>
            </w:r>
          </w:p>
        </w:tc>
        <w:tc>
          <w:tcPr>
            <w:tcW w:w="0" w:type="auto"/>
            <w:hideMark/>
          </w:tcPr>
          <w:p w14:paraId="384B0BCB" w14:textId="77777777" w:rsidR="00695159" w:rsidRPr="00695159" w:rsidRDefault="00695159" w:rsidP="00695159">
            <w:pPr>
              <w:tabs>
                <w:tab w:val="left" w:pos="1975"/>
              </w:tabs>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Simplified Arabic" w:hAnsi="Sakkal Majalla" w:cs="Sakkal Majalla"/>
                <w:sz w:val="24"/>
                <w:szCs w:val="24"/>
              </w:rPr>
            </w:pPr>
            <w:r w:rsidRPr="00695159">
              <w:rPr>
                <w:rFonts w:ascii="Sakkal Majalla" w:eastAsia="Simplified Arabic" w:hAnsi="Sakkal Majalla" w:cs="Sakkal Majalla"/>
                <w:sz w:val="24"/>
                <w:szCs w:val="24"/>
                <w:rtl/>
              </w:rPr>
              <w:t>الغرض</w:t>
            </w:r>
          </w:p>
        </w:tc>
      </w:tr>
      <w:tr w:rsidR="00695159" w:rsidRPr="00695159" w14:paraId="5E7149AE"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1880AF"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وصف خصائص العينة</w:t>
            </w:r>
          </w:p>
        </w:tc>
        <w:tc>
          <w:tcPr>
            <w:tcW w:w="0" w:type="auto"/>
            <w:hideMark/>
          </w:tcPr>
          <w:p w14:paraId="080D7D17"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التكرارات والنسب المئوية</w:t>
            </w:r>
          </w:p>
        </w:tc>
        <w:tc>
          <w:tcPr>
            <w:tcW w:w="0" w:type="auto"/>
            <w:hideMark/>
          </w:tcPr>
          <w:p w14:paraId="088481B9"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عرض الخصائص الديموغرافية والوظيفية</w:t>
            </w:r>
          </w:p>
        </w:tc>
      </w:tr>
      <w:tr w:rsidR="00695159" w:rsidRPr="00695159" w14:paraId="44D6DF92"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3B24903F"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وصف استجابات العينة</w:t>
            </w:r>
          </w:p>
        </w:tc>
        <w:tc>
          <w:tcPr>
            <w:tcW w:w="0" w:type="auto"/>
            <w:hideMark/>
          </w:tcPr>
          <w:p w14:paraId="04BE9A48"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المتوسطات والانحرافات المعيارية</w:t>
            </w:r>
          </w:p>
        </w:tc>
        <w:tc>
          <w:tcPr>
            <w:tcW w:w="0" w:type="auto"/>
            <w:hideMark/>
          </w:tcPr>
          <w:p w14:paraId="1F316405"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تحديد مستوى المتغيرات</w:t>
            </w:r>
          </w:p>
        </w:tc>
      </w:tr>
      <w:tr w:rsidR="00695159" w:rsidRPr="00695159" w14:paraId="384CDA7D"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4BB005"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فحص الثبات</w:t>
            </w:r>
          </w:p>
        </w:tc>
        <w:tc>
          <w:tcPr>
            <w:tcW w:w="0" w:type="auto"/>
            <w:hideMark/>
          </w:tcPr>
          <w:p w14:paraId="2CAC6A56"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Cronbach’s Alpha </w:t>
            </w:r>
            <w:r w:rsidRPr="00695159">
              <w:rPr>
                <w:rFonts w:ascii="Sakkal Majalla" w:eastAsia="Simplified Arabic" w:hAnsi="Sakkal Majalla" w:cs="Sakkal Majalla"/>
                <w:b/>
                <w:sz w:val="24"/>
                <w:szCs w:val="24"/>
                <w:rtl/>
              </w:rPr>
              <w:t>و</w:t>
            </w:r>
            <w:r w:rsidRPr="00695159">
              <w:rPr>
                <w:rFonts w:ascii="Sakkal Majalla" w:eastAsia="Simplified Arabic" w:hAnsi="Sakkal Majalla" w:cs="Sakkal Majalla"/>
                <w:b/>
                <w:sz w:val="24"/>
                <w:szCs w:val="24"/>
              </w:rPr>
              <w:t>Composite Reliability</w:t>
            </w:r>
          </w:p>
        </w:tc>
        <w:tc>
          <w:tcPr>
            <w:tcW w:w="0" w:type="auto"/>
            <w:hideMark/>
          </w:tcPr>
          <w:p w14:paraId="6D7839C3"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التحقق من الاتساق الداخلي</w:t>
            </w:r>
          </w:p>
        </w:tc>
      </w:tr>
      <w:tr w:rsidR="00695159" w:rsidRPr="00695159" w14:paraId="1E6BDF85"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7766AF92"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 xml:space="preserve">فحص الصدق </w:t>
            </w:r>
            <w:proofErr w:type="spellStart"/>
            <w:r w:rsidRPr="00695159">
              <w:rPr>
                <w:rFonts w:ascii="Sakkal Majalla" w:eastAsia="Simplified Arabic" w:hAnsi="Sakkal Majalla" w:cs="Sakkal Majalla"/>
                <w:b w:val="0"/>
                <w:sz w:val="24"/>
                <w:szCs w:val="24"/>
                <w:rtl/>
              </w:rPr>
              <w:t>التقاربي</w:t>
            </w:r>
            <w:proofErr w:type="spellEnd"/>
          </w:p>
        </w:tc>
        <w:tc>
          <w:tcPr>
            <w:tcW w:w="0" w:type="auto"/>
            <w:hideMark/>
          </w:tcPr>
          <w:p w14:paraId="396A5CCA"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Factor Loadings </w:t>
            </w:r>
            <w:r w:rsidRPr="00695159">
              <w:rPr>
                <w:rFonts w:ascii="Sakkal Majalla" w:eastAsia="Simplified Arabic" w:hAnsi="Sakkal Majalla" w:cs="Sakkal Majalla"/>
                <w:b/>
                <w:sz w:val="24"/>
                <w:szCs w:val="24"/>
                <w:rtl/>
              </w:rPr>
              <w:t>و</w:t>
            </w:r>
            <w:r w:rsidRPr="00695159">
              <w:rPr>
                <w:rFonts w:ascii="Sakkal Majalla" w:eastAsia="Simplified Arabic" w:hAnsi="Sakkal Majalla" w:cs="Sakkal Majalla"/>
                <w:b/>
                <w:sz w:val="24"/>
                <w:szCs w:val="24"/>
              </w:rPr>
              <w:t>AVE</w:t>
            </w:r>
          </w:p>
        </w:tc>
        <w:tc>
          <w:tcPr>
            <w:tcW w:w="0" w:type="auto"/>
            <w:hideMark/>
          </w:tcPr>
          <w:p w14:paraId="407688D3"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التحقق من تمثيل الفقرات للأبعاد</w:t>
            </w:r>
          </w:p>
        </w:tc>
      </w:tr>
      <w:tr w:rsidR="00695159" w:rsidRPr="00695159" w14:paraId="264E57C5"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6AB521"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فحص الصدق التمييزي</w:t>
            </w:r>
          </w:p>
        </w:tc>
        <w:tc>
          <w:tcPr>
            <w:tcW w:w="0" w:type="auto"/>
            <w:hideMark/>
          </w:tcPr>
          <w:p w14:paraId="37B3753A"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HTMT </w:t>
            </w:r>
            <w:r w:rsidRPr="00695159">
              <w:rPr>
                <w:rFonts w:ascii="Sakkal Majalla" w:eastAsia="Simplified Arabic" w:hAnsi="Sakkal Majalla" w:cs="Sakkal Majalla"/>
                <w:b/>
                <w:sz w:val="24"/>
                <w:szCs w:val="24"/>
                <w:rtl/>
              </w:rPr>
              <w:t>أو</w:t>
            </w:r>
            <w:r w:rsidRPr="00695159">
              <w:rPr>
                <w:rFonts w:ascii="Sakkal Majalla" w:eastAsia="Simplified Arabic" w:hAnsi="Sakkal Majalla" w:cs="Sakkal Majalla"/>
                <w:b/>
                <w:sz w:val="24"/>
                <w:szCs w:val="24"/>
              </w:rPr>
              <w:t xml:space="preserve"> </w:t>
            </w:r>
            <w:proofErr w:type="spellStart"/>
            <w:r w:rsidRPr="00695159">
              <w:rPr>
                <w:rFonts w:ascii="Sakkal Majalla" w:eastAsia="Simplified Arabic" w:hAnsi="Sakkal Majalla" w:cs="Sakkal Majalla"/>
                <w:b/>
                <w:sz w:val="24"/>
                <w:szCs w:val="24"/>
              </w:rPr>
              <w:t>Fornell-Larcker</w:t>
            </w:r>
            <w:proofErr w:type="spellEnd"/>
          </w:p>
        </w:tc>
        <w:tc>
          <w:tcPr>
            <w:tcW w:w="0" w:type="auto"/>
            <w:hideMark/>
          </w:tcPr>
          <w:p w14:paraId="7AA4FB6C"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التأكد من تمايز المتغيرات</w:t>
            </w:r>
          </w:p>
        </w:tc>
      </w:tr>
      <w:tr w:rsidR="00695159" w:rsidRPr="00695159" w14:paraId="2CFC38B4"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2689EC05"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اختبار الأثر المباشر</w:t>
            </w:r>
          </w:p>
        </w:tc>
        <w:tc>
          <w:tcPr>
            <w:tcW w:w="0" w:type="auto"/>
            <w:hideMark/>
          </w:tcPr>
          <w:p w14:paraId="14305249"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Path Coefficients </w:t>
            </w:r>
            <w:r w:rsidRPr="00695159">
              <w:rPr>
                <w:rFonts w:ascii="Sakkal Majalla" w:eastAsia="Simplified Arabic" w:hAnsi="Sakkal Majalla" w:cs="Sakkal Majalla"/>
                <w:b/>
                <w:sz w:val="24"/>
                <w:szCs w:val="24"/>
                <w:rtl/>
              </w:rPr>
              <w:t>و</w:t>
            </w:r>
            <w:r w:rsidRPr="00695159">
              <w:rPr>
                <w:rFonts w:ascii="Sakkal Majalla" w:eastAsia="Simplified Arabic" w:hAnsi="Sakkal Majalla" w:cs="Sakkal Majalla"/>
                <w:b/>
                <w:sz w:val="24"/>
                <w:szCs w:val="24"/>
              </w:rPr>
              <w:t>Bootstrapping</w:t>
            </w:r>
          </w:p>
        </w:tc>
        <w:tc>
          <w:tcPr>
            <w:tcW w:w="0" w:type="auto"/>
            <w:hideMark/>
          </w:tcPr>
          <w:p w14:paraId="1CD18586"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اختبار فرضيات الأثر المباشر</w:t>
            </w:r>
          </w:p>
        </w:tc>
      </w:tr>
      <w:tr w:rsidR="00695159" w:rsidRPr="00695159" w14:paraId="27C61EB4"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80EC1"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اختبار الوساطة</w:t>
            </w:r>
          </w:p>
        </w:tc>
        <w:tc>
          <w:tcPr>
            <w:tcW w:w="0" w:type="auto"/>
            <w:hideMark/>
          </w:tcPr>
          <w:p w14:paraId="2CFAF940"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Indirect Effects </w:t>
            </w:r>
            <w:r w:rsidRPr="00695159">
              <w:rPr>
                <w:rFonts w:ascii="Sakkal Majalla" w:eastAsia="Simplified Arabic" w:hAnsi="Sakkal Majalla" w:cs="Sakkal Majalla"/>
                <w:b/>
                <w:sz w:val="24"/>
                <w:szCs w:val="24"/>
                <w:rtl/>
              </w:rPr>
              <w:t>و</w:t>
            </w:r>
            <w:r w:rsidRPr="00695159">
              <w:rPr>
                <w:rFonts w:ascii="Sakkal Majalla" w:eastAsia="Simplified Arabic" w:hAnsi="Sakkal Majalla" w:cs="Sakkal Majalla"/>
                <w:b/>
                <w:sz w:val="24"/>
                <w:szCs w:val="24"/>
              </w:rPr>
              <w:t>Bootstrapping</w:t>
            </w:r>
          </w:p>
        </w:tc>
        <w:tc>
          <w:tcPr>
            <w:tcW w:w="0" w:type="auto"/>
            <w:hideMark/>
          </w:tcPr>
          <w:p w14:paraId="3338DEBF"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اختبار وساطة قبول التقنية والإجهاد التقني</w:t>
            </w:r>
          </w:p>
        </w:tc>
      </w:tr>
      <w:tr w:rsidR="00695159" w:rsidRPr="00695159" w14:paraId="1583FF36" w14:textId="77777777" w:rsidTr="00695159">
        <w:tc>
          <w:tcPr>
            <w:cnfStyle w:val="001000000000" w:firstRow="0" w:lastRow="0" w:firstColumn="1" w:lastColumn="0" w:oddVBand="0" w:evenVBand="0" w:oddHBand="0" w:evenHBand="0" w:firstRowFirstColumn="0" w:firstRowLastColumn="0" w:lastRowFirstColumn="0" w:lastRowLastColumn="0"/>
            <w:tcW w:w="0" w:type="auto"/>
            <w:hideMark/>
          </w:tcPr>
          <w:p w14:paraId="7694A6A5"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اختبار الاعتدال</w:t>
            </w:r>
          </w:p>
        </w:tc>
        <w:tc>
          <w:tcPr>
            <w:tcW w:w="0" w:type="auto"/>
            <w:hideMark/>
          </w:tcPr>
          <w:p w14:paraId="3FC9FE2E"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Moderation </w:t>
            </w:r>
            <w:r w:rsidRPr="00695159">
              <w:rPr>
                <w:rFonts w:ascii="Sakkal Majalla" w:eastAsia="Simplified Arabic" w:hAnsi="Sakkal Majalla" w:cs="Sakkal Majalla"/>
                <w:b/>
                <w:sz w:val="24"/>
                <w:szCs w:val="24"/>
                <w:rtl/>
              </w:rPr>
              <w:t>أو</w:t>
            </w:r>
            <w:r w:rsidRPr="00695159">
              <w:rPr>
                <w:rFonts w:ascii="Sakkal Majalla" w:eastAsia="Simplified Arabic" w:hAnsi="Sakkal Majalla" w:cs="Sakkal Majalla"/>
                <w:b/>
                <w:sz w:val="24"/>
                <w:szCs w:val="24"/>
              </w:rPr>
              <w:t xml:space="preserve"> Multi-Group Analysis</w:t>
            </w:r>
          </w:p>
        </w:tc>
        <w:tc>
          <w:tcPr>
            <w:tcW w:w="0" w:type="auto"/>
            <w:hideMark/>
          </w:tcPr>
          <w:p w14:paraId="4328F677" w14:textId="77777777" w:rsidR="00695159" w:rsidRPr="00695159" w:rsidRDefault="00695159" w:rsidP="00695159">
            <w:pPr>
              <w:tabs>
                <w:tab w:val="left" w:pos="1975"/>
              </w:tabs>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اختبار دور الخصائص الديموغرافية</w:t>
            </w:r>
          </w:p>
        </w:tc>
      </w:tr>
      <w:tr w:rsidR="00695159" w:rsidRPr="00695159" w14:paraId="63699521" w14:textId="77777777" w:rsidTr="006951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E27524" w14:textId="77777777" w:rsidR="00695159" w:rsidRPr="00695159" w:rsidRDefault="00695159" w:rsidP="00695159">
            <w:pPr>
              <w:tabs>
                <w:tab w:val="left" w:pos="1975"/>
              </w:tabs>
              <w:bidi/>
              <w:spacing w:line="240" w:lineRule="auto"/>
              <w:rPr>
                <w:rFonts w:ascii="Sakkal Majalla" w:eastAsia="Simplified Arabic" w:hAnsi="Sakkal Majalla" w:cs="Sakkal Majalla"/>
                <w:b w:val="0"/>
                <w:sz w:val="24"/>
                <w:szCs w:val="24"/>
              </w:rPr>
            </w:pPr>
            <w:r w:rsidRPr="00695159">
              <w:rPr>
                <w:rFonts w:ascii="Sakkal Majalla" w:eastAsia="Simplified Arabic" w:hAnsi="Sakkal Majalla" w:cs="Sakkal Majalla"/>
                <w:b w:val="0"/>
                <w:sz w:val="24"/>
                <w:szCs w:val="24"/>
                <w:rtl/>
              </w:rPr>
              <w:t>تقييم النموذج</w:t>
            </w:r>
          </w:p>
        </w:tc>
        <w:tc>
          <w:tcPr>
            <w:tcW w:w="0" w:type="auto"/>
            <w:hideMark/>
          </w:tcPr>
          <w:p w14:paraId="21B4943C"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Pr>
              <w:t xml:space="preserve">R² </w:t>
            </w:r>
            <w:r w:rsidRPr="00695159">
              <w:rPr>
                <w:rFonts w:ascii="Sakkal Majalla" w:eastAsia="Simplified Arabic" w:hAnsi="Sakkal Majalla" w:cs="Sakkal Majalla"/>
                <w:b/>
                <w:sz w:val="24"/>
                <w:szCs w:val="24"/>
                <w:rtl/>
              </w:rPr>
              <w:t>و</w:t>
            </w:r>
            <w:r w:rsidRPr="00695159">
              <w:rPr>
                <w:rFonts w:ascii="Sakkal Majalla" w:eastAsia="Simplified Arabic" w:hAnsi="Sakkal Majalla" w:cs="Sakkal Majalla"/>
                <w:b/>
                <w:sz w:val="24"/>
                <w:szCs w:val="24"/>
              </w:rPr>
              <w:t xml:space="preserve">f² </w:t>
            </w:r>
            <w:r w:rsidRPr="00695159">
              <w:rPr>
                <w:rFonts w:ascii="Sakkal Majalla" w:eastAsia="Simplified Arabic" w:hAnsi="Sakkal Majalla" w:cs="Sakkal Majalla"/>
                <w:b/>
                <w:sz w:val="24"/>
                <w:szCs w:val="24"/>
                <w:rtl/>
              </w:rPr>
              <w:t>و</w:t>
            </w:r>
            <w:r w:rsidRPr="00695159">
              <w:rPr>
                <w:rFonts w:ascii="Sakkal Majalla" w:eastAsia="Simplified Arabic" w:hAnsi="Sakkal Majalla" w:cs="Sakkal Majalla"/>
                <w:b/>
                <w:sz w:val="24"/>
                <w:szCs w:val="24"/>
              </w:rPr>
              <w:t>Q²</w:t>
            </w:r>
          </w:p>
        </w:tc>
        <w:tc>
          <w:tcPr>
            <w:tcW w:w="0" w:type="auto"/>
            <w:hideMark/>
          </w:tcPr>
          <w:p w14:paraId="27A79771" w14:textId="77777777" w:rsidR="00695159" w:rsidRPr="00695159" w:rsidRDefault="00695159" w:rsidP="00695159">
            <w:pPr>
              <w:tabs>
                <w:tab w:val="left" w:pos="1975"/>
              </w:tabs>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تقدير القدرة التفسيرية والتنبؤية</w:t>
            </w:r>
          </w:p>
        </w:tc>
      </w:tr>
    </w:tbl>
    <w:p w14:paraId="45F3F2C2" w14:textId="77777777" w:rsidR="00695159" w:rsidRDefault="00695159" w:rsidP="00695159">
      <w:pPr>
        <w:tabs>
          <w:tab w:val="left" w:pos="1975"/>
        </w:tabs>
        <w:bidi/>
        <w:spacing w:line="240" w:lineRule="auto"/>
        <w:rPr>
          <w:rFonts w:ascii="Sakkal Majalla" w:eastAsia="Simplified Arabic" w:hAnsi="Sakkal Majalla" w:cs="Sakkal Majalla"/>
          <w:b/>
          <w:bCs/>
          <w:sz w:val="24"/>
          <w:szCs w:val="24"/>
          <w:rtl/>
        </w:rPr>
      </w:pPr>
    </w:p>
    <w:p w14:paraId="648AECFA" w14:textId="1FFCF29B" w:rsidR="00695159" w:rsidRPr="00695159" w:rsidRDefault="00695159" w:rsidP="00695159">
      <w:pPr>
        <w:tabs>
          <w:tab w:val="left" w:pos="1975"/>
        </w:tabs>
        <w:bidi/>
        <w:spacing w:line="240" w:lineRule="auto"/>
        <w:rPr>
          <w:rFonts w:ascii="Sakkal Majalla" w:eastAsia="Simplified Arabic" w:hAnsi="Sakkal Majalla" w:cs="Sakkal Majalla"/>
          <w:b/>
          <w:bCs/>
          <w:sz w:val="24"/>
          <w:szCs w:val="24"/>
        </w:rPr>
      </w:pPr>
      <w:r>
        <w:rPr>
          <w:rFonts w:ascii="Sakkal Majalla" w:eastAsia="Simplified Arabic" w:hAnsi="Sakkal Majalla" w:cs="Sakkal Majalla"/>
          <w:b/>
          <w:bCs/>
          <w:sz w:val="24"/>
          <w:szCs w:val="24"/>
        </w:rPr>
        <w:t xml:space="preserve"> </w:t>
      </w:r>
      <w:r w:rsidRPr="00695159">
        <w:rPr>
          <w:rFonts w:ascii="Sakkal Majalla" w:eastAsia="Simplified Arabic" w:hAnsi="Sakkal Majalla" w:cs="Sakkal Majalla"/>
          <w:b/>
          <w:bCs/>
          <w:sz w:val="24"/>
          <w:szCs w:val="24"/>
        </w:rPr>
        <w:t xml:space="preserve">3.8 </w:t>
      </w:r>
      <w:r w:rsidRPr="00695159">
        <w:rPr>
          <w:rFonts w:ascii="Sakkal Majalla" w:eastAsia="Simplified Arabic" w:hAnsi="Sakkal Majalla" w:cs="Sakkal Majalla"/>
          <w:b/>
          <w:bCs/>
          <w:sz w:val="24"/>
          <w:szCs w:val="24"/>
          <w:rtl/>
        </w:rPr>
        <w:t>الاعتبارات الأخلاقية</w:t>
      </w:r>
    </w:p>
    <w:p w14:paraId="40B2126E"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سيتم الالتزام بالاعتبارات الأخلاقية في جميع مراحل الدراسة؛ إذ ستُوضح للمشاركين طبيعة الدراسة وهدفها، وأن المشاركة اختيارية، وأن البيانات ستُستخدم لأغراض البحث العلمي فقط. كما ستتم المحافظة على سرية إجابات المشاركين، ولن تُستخدم البيانات للتعريف بأي فرد أو تقييم أدائه الوظيفي</w:t>
      </w:r>
      <w:r w:rsidRPr="00695159">
        <w:rPr>
          <w:rFonts w:ascii="Sakkal Majalla" w:eastAsia="Simplified Arabic" w:hAnsi="Sakkal Majalla" w:cs="Sakkal Majalla"/>
          <w:b/>
          <w:sz w:val="24"/>
          <w:szCs w:val="24"/>
        </w:rPr>
        <w:t>.</w:t>
      </w:r>
    </w:p>
    <w:p w14:paraId="0A79D71D"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وسيتم تجنب جمع أي بيانات شخصية غير لازمة لأهداف الدراسة، كما ستُعرض النتائج لاحقًا بصورة إجمالية لا تسمح بالتعرف على هوية المشاركين أو إداراتهم على نحو فردي</w:t>
      </w:r>
      <w:r w:rsidRPr="00695159">
        <w:rPr>
          <w:rFonts w:ascii="Sakkal Majalla" w:eastAsia="Simplified Arabic" w:hAnsi="Sakkal Majalla" w:cs="Sakkal Majalla"/>
          <w:b/>
          <w:sz w:val="24"/>
          <w:szCs w:val="24"/>
        </w:rPr>
        <w:t>.</w:t>
      </w:r>
    </w:p>
    <w:p w14:paraId="70772B60" w14:textId="77777777" w:rsidR="00B24BED" w:rsidRDefault="00695159" w:rsidP="00695159">
      <w:pPr>
        <w:tabs>
          <w:tab w:val="left" w:pos="1975"/>
        </w:tabs>
        <w:bidi/>
        <w:spacing w:line="240" w:lineRule="auto"/>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Pr>
        <w:t xml:space="preserve"> 3.9 </w:t>
      </w:r>
    </w:p>
    <w:p w14:paraId="7F3E1C25" w14:textId="5FCA56F7" w:rsidR="00695159" w:rsidRPr="00695159" w:rsidRDefault="00695159" w:rsidP="00B24BED">
      <w:pPr>
        <w:tabs>
          <w:tab w:val="left" w:pos="1975"/>
        </w:tabs>
        <w:bidi/>
        <w:spacing w:line="240" w:lineRule="auto"/>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tl/>
        </w:rPr>
        <w:lastRenderedPageBreak/>
        <w:t>خلاصة الفصل الثالث</w:t>
      </w:r>
    </w:p>
    <w:p w14:paraId="0CCAA284" w14:textId="77777777" w:rsidR="00695159" w:rsidRPr="00695159" w:rsidRDefault="00695159" w:rsidP="00695159">
      <w:pPr>
        <w:tabs>
          <w:tab w:val="left" w:pos="1975"/>
        </w:tabs>
        <w:bidi/>
        <w:spacing w:line="240" w:lineRule="auto"/>
        <w:rPr>
          <w:rFonts w:ascii="Sakkal Majalla" w:eastAsia="Simplified Arabic" w:hAnsi="Sakkal Majalla" w:cs="Sakkal Majalla"/>
          <w:b/>
          <w:sz w:val="24"/>
          <w:szCs w:val="24"/>
        </w:rPr>
      </w:pPr>
      <w:r w:rsidRPr="00695159">
        <w:rPr>
          <w:rFonts w:ascii="Sakkal Majalla" w:eastAsia="Simplified Arabic" w:hAnsi="Sakkal Majalla" w:cs="Sakkal Majalla"/>
          <w:b/>
          <w:sz w:val="24"/>
          <w:szCs w:val="24"/>
          <w:rtl/>
        </w:rPr>
        <w:t>عرض هذا الفصل المنهج والإجراءات المقترحة لتنفيذ الدراسة، من حيث تحديد المجتمع والعينة، وأداة جمع البيانات، ومتغيرات الدراسة، وإجراءات التحكيم، وخطة التحليل الإحصائي. ويُمهّد هذا الفصل للفصل الرابع الذي سيعرض نتائج التحليل بعد جمع البيانات ميدانيًا ومعالجتها إحصائيًا</w:t>
      </w:r>
      <w:r w:rsidRPr="00695159">
        <w:rPr>
          <w:rFonts w:ascii="Sakkal Majalla" w:eastAsia="Simplified Arabic" w:hAnsi="Sakkal Majalla" w:cs="Sakkal Majalla"/>
          <w:b/>
          <w:sz w:val="24"/>
          <w:szCs w:val="24"/>
        </w:rPr>
        <w:t>.</w:t>
      </w:r>
    </w:p>
    <w:p w14:paraId="705A4724" w14:textId="77777777" w:rsidR="00695159" w:rsidRDefault="00695159" w:rsidP="00695159">
      <w:pPr>
        <w:tabs>
          <w:tab w:val="left" w:pos="1975"/>
        </w:tabs>
        <w:bidi/>
        <w:spacing w:line="240" w:lineRule="auto"/>
        <w:rPr>
          <w:rFonts w:ascii="Sakkal Majalla" w:eastAsia="Simplified Arabic" w:hAnsi="Sakkal Majalla" w:cs="Sakkal Majalla"/>
          <w:b/>
          <w:bCs/>
          <w:sz w:val="24"/>
          <w:szCs w:val="24"/>
          <w:rtl/>
        </w:rPr>
      </w:pPr>
    </w:p>
    <w:p w14:paraId="7F9E6818" w14:textId="77777777" w:rsidR="00695159" w:rsidRDefault="00695159" w:rsidP="00695159">
      <w:pPr>
        <w:tabs>
          <w:tab w:val="left" w:pos="1975"/>
        </w:tabs>
        <w:bidi/>
        <w:spacing w:line="240" w:lineRule="auto"/>
        <w:rPr>
          <w:rFonts w:ascii="Sakkal Majalla" w:eastAsia="Simplified Arabic" w:hAnsi="Sakkal Majalla" w:cs="Sakkal Majalla"/>
          <w:b/>
          <w:bCs/>
          <w:sz w:val="24"/>
          <w:szCs w:val="24"/>
          <w:rtl/>
        </w:rPr>
      </w:pPr>
    </w:p>
    <w:p w14:paraId="22908AB2" w14:textId="77777777" w:rsidR="00695159" w:rsidRDefault="00695159" w:rsidP="00695159">
      <w:pPr>
        <w:tabs>
          <w:tab w:val="left" w:pos="1975"/>
        </w:tabs>
        <w:bidi/>
        <w:spacing w:line="240" w:lineRule="auto"/>
        <w:rPr>
          <w:rFonts w:ascii="Sakkal Majalla" w:eastAsia="Simplified Arabic" w:hAnsi="Sakkal Majalla" w:cs="Sakkal Majalla"/>
          <w:b/>
          <w:bCs/>
          <w:sz w:val="24"/>
          <w:szCs w:val="24"/>
          <w:rtl/>
        </w:rPr>
      </w:pPr>
    </w:p>
    <w:p w14:paraId="54C96B28" w14:textId="7B0C511C" w:rsidR="00695159" w:rsidRPr="00695159" w:rsidRDefault="00695159" w:rsidP="00695159">
      <w:pPr>
        <w:tabs>
          <w:tab w:val="left" w:pos="1975"/>
        </w:tabs>
        <w:bidi/>
        <w:spacing w:line="240" w:lineRule="auto"/>
        <w:jc w:val="center"/>
        <w:rPr>
          <w:rFonts w:ascii="Sakkal Majalla" w:eastAsia="Simplified Arabic" w:hAnsi="Sakkal Majalla" w:cs="Sakkal Majalla"/>
          <w:b/>
          <w:bCs/>
          <w:sz w:val="24"/>
          <w:szCs w:val="24"/>
        </w:rPr>
      </w:pPr>
      <w:r w:rsidRPr="00695159">
        <w:rPr>
          <w:rFonts w:ascii="Sakkal Majalla" w:eastAsia="Simplified Arabic" w:hAnsi="Sakkal Majalla" w:cs="Sakkal Majalla"/>
          <w:b/>
          <w:bCs/>
          <w:sz w:val="24"/>
          <w:szCs w:val="24"/>
          <w:rtl/>
        </w:rPr>
        <w:t>المراجع المستخدمة في الفصل الثالث</w:t>
      </w:r>
    </w:p>
    <w:p w14:paraId="4E20C921" w14:textId="77777777" w:rsidR="00695159" w:rsidRPr="00695159" w:rsidRDefault="00695159" w:rsidP="00695159">
      <w:pPr>
        <w:tabs>
          <w:tab w:val="left" w:pos="1975"/>
        </w:tabs>
        <w:bidi/>
        <w:spacing w:line="240" w:lineRule="auto"/>
        <w:jc w:val="right"/>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Pr>
        <w:t xml:space="preserve">Davis, F. D. (1989). Perceived usefulness, perceived ease of use, and user acceptance of information technology. </w:t>
      </w:r>
      <w:r w:rsidRPr="00695159">
        <w:rPr>
          <w:rFonts w:ascii="Sakkal Majalla" w:eastAsia="Simplified Arabic" w:hAnsi="Sakkal Majalla" w:cs="Sakkal Majalla"/>
          <w:bCs/>
          <w:i/>
          <w:iCs/>
          <w:sz w:val="24"/>
          <w:szCs w:val="24"/>
        </w:rPr>
        <w:t>MIS Quarterly, 13</w:t>
      </w:r>
      <w:r w:rsidRPr="00695159">
        <w:rPr>
          <w:rFonts w:ascii="Sakkal Majalla" w:eastAsia="Simplified Arabic" w:hAnsi="Sakkal Majalla" w:cs="Sakkal Majalla"/>
          <w:bCs/>
          <w:sz w:val="24"/>
          <w:szCs w:val="24"/>
        </w:rPr>
        <w:t>(3), 319–340.</w:t>
      </w:r>
    </w:p>
    <w:p w14:paraId="5AD0CA88" w14:textId="77777777" w:rsidR="00695159" w:rsidRPr="00695159" w:rsidRDefault="00695159" w:rsidP="00695159">
      <w:pPr>
        <w:tabs>
          <w:tab w:val="left" w:pos="1975"/>
        </w:tabs>
        <w:bidi/>
        <w:spacing w:line="240" w:lineRule="auto"/>
        <w:jc w:val="right"/>
        <w:rPr>
          <w:rFonts w:ascii="Sakkal Majalla" w:eastAsia="Simplified Arabic" w:hAnsi="Sakkal Majalla" w:cs="Sakkal Majalla"/>
          <w:bCs/>
          <w:sz w:val="24"/>
          <w:szCs w:val="24"/>
        </w:rPr>
      </w:pPr>
      <w:proofErr w:type="spellStart"/>
      <w:r w:rsidRPr="00695159">
        <w:rPr>
          <w:rFonts w:ascii="Sakkal Majalla" w:eastAsia="Simplified Arabic" w:hAnsi="Sakkal Majalla" w:cs="Sakkal Majalla"/>
          <w:bCs/>
          <w:sz w:val="24"/>
          <w:szCs w:val="24"/>
        </w:rPr>
        <w:t>DeLone</w:t>
      </w:r>
      <w:proofErr w:type="spellEnd"/>
      <w:r w:rsidRPr="00695159">
        <w:rPr>
          <w:rFonts w:ascii="Sakkal Majalla" w:eastAsia="Simplified Arabic" w:hAnsi="Sakkal Majalla" w:cs="Sakkal Majalla"/>
          <w:bCs/>
          <w:sz w:val="24"/>
          <w:szCs w:val="24"/>
        </w:rPr>
        <w:t xml:space="preserve">, W. H., &amp; McLean, E. R. (2003). The </w:t>
      </w:r>
      <w:proofErr w:type="spellStart"/>
      <w:r w:rsidRPr="00695159">
        <w:rPr>
          <w:rFonts w:ascii="Sakkal Majalla" w:eastAsia="Simplified Arabic" w:hAnsi="Sakkal Majalla" w:cs="Sakkal Majalla"/>
          <w:bCs/>
          <w:sz w:val="24"/>
          <w:szCs w:val="24"/>
        </w:rPr>
        <w:t>DeLone</w:t>
      </w:r>
      <w:proofErr w:type="spellEnd"/>
      <w:r w:rsidRPr="00695159">
        <w:rPr>
          <w:rFonts w:ascii="Sakkal Majalla" w:eastAsia="Simplified Arabic" w:hAnsi="Sakkal Majalla" w:cs="Sakkal Majalla"/>
          <w:bCs/>
          <w:sz w:val="24"/>
          <w:szCs w:val="24"/>
        </w:rPr>
        <w:t xml:space="preserve"> and McLean model of information systems success: A ten-year update. </w:t>
      </w:r>
      <w:r w:rsidRPr="00695159">
        <w:rPr>
          <w:rFonts w:ascii="Sakkal Majalla" w:eastAsia="Simplified Arabic" w:hAnsi="Sakkal Majalla" w:cs="Sakkal Majalla"/>
          <w:bCs/>
          <w:i/>
          <w:iCs/>
          <w:sz w:val="24"/>
          <w:szCs w:val="24"/>
        </w:rPr>
        <w:t>Journal of Management Information Systems, 19</w:t>
      </w:r>
      <w:r w:rsidRPr="00695159">
        <w:rPr>
          <w:rFonts w:ascii="Sakkal Majalla" w:eastAsia="Simplified Arabic" w:hAnsi="Sakkal Majalla" w:cs="Sakkal Majalla"/>
          <w:bCs/>
          <w:sz w:val="24"/>
          <w:szCs w:val="24"/>
        </w:rPr>
        <w:t>(4), 9–30.</w:t>
      </w:r>
    </w:p>
    <w:p w14:paraId="16F6B18E" w14:textId="77777777" w:rsidR="00695159" w:rsidRPr="00695159" w:rsidRDefault="00695159" w:rsidP="00695159">
      <w:pPr>
        <w:tabs>
          <w:tab w:val="left" w:pos="1975"/>
        </w:tabs>
        <w:bidi/>
        <w:spacing w:line="240" w:lineRule="auto"/>
        <w:jc w:val="right"/>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Pr>
        <w:t xml:space="preserve">Hair, J. F., </w:t>
      </w:r>
      <w:proofErr w:type="spellStart"/>
      <w:r w:rsidRPr="00695159">
        <w:rPr>
          <w:rFonts w:ascii="Sakkal Majalla" w:eastAsia="Simplified Arabic" w:hAnsi="Sakkal Majalla" w:cs="Sakkal Majalla"/>
          <w:bCs/>
          <w:sz w:val="24"/>
          <w:szCs w:val="24"/>
        </w:rPr>
        <w:t>Hult</w:t>
      </w:r>
      <w:proofErr w:type="spellEnd"/>
      <w:r w:rsidRPr="00695159">
        <w:rPr>
          <w:rFonts w:ascii="Sakkal Majalla" w:eastAsia="Simplified Arabic" w:hAnsi="Sakkal Majalla" w:cs="Sakkal Majalla"/>
          <w:bCs/>
          <w:sz w:val="24"/>
          <w:szCs w:val="24"/>
        </w:rPr>
        <w:t xml:space="preserve">, G. T. M., </w:t>
      </w:r>
      <w:proofErr w:type="spellStart"/>
      <w:r w:rsidRPr="00695159">
        <w:rPr>
          <w:rFonts w:ascii="Sakkal Majalla" w:eastAsia="Simplified Arabic" w:hAnsi="Sakkal Majalla" w:cs="Sakkal Majalla"/>
          <w:bCs/>
          <w:sz w:val="24"/>
          <w:szCs w:val="24"/>
        </w:rPr>
        <w:t>Ringle</w:t>
      </w:r>
      <w:proofErr w:type="spellEnd"/>
      <w:r w:rsidRPr="00695159">
        <w:rPr>
          <w:rFonts w:ascii="Sakkal Majalla" w:eastAsia="Simplified Arabic" w:hAnsi="Sakkal Majalla" w:cs="Sakkal Majalla"/>
          <w:bCs/>
          <w:sz w:val="24"/>
          <w:szCs w:val="24"/>
        </w:rPr>
        <w:t xml:space="preserve">, C. M., &amp; </w:t>
      </w:r>
      <w:proofErr w:type="spellStart"/>
      <w:r w:rsidRPr="00695159">
        <w:rPr>
          <w:rFonts w:ascii="Sakkal Majalla" w:eastAsia="Simplified Arabic" w:hAnsi="Sakkal Majalla" w:cs="Sakkal Majalla"/>
          <w:bCs/>
          <w:sz w:val="24"/>
          <w:szCs w:val="24"/>
        </w:rPr>
        <w:t>Sarstedt</w:t>
      </w:r>
      <w:proofErr w:type="spellEnd"/>
      <w:r w:rsidRPr="00695159">
        <w:rPr>
          <w:rFonts w:ascii="Sakkal Majalla" w:eastAsia="Simplified Arabic" w:hAnsi="Sakkal Majalla" w:cs="Sakkal Majalla"/>
          <w:bCs/>
          <w:sz w:val="24"/>
          <w:szCs w:val="24"/>
        </w:rPr>
        <w:t xml:space="preserve">, M. (2022). </w:t>
      </w:r>
      <w:r w:rsidRPr="00695159">
        <w:rPr>
          <w:rFonts w:ascii="Sakkal Majalla" w:eastAsia="Simplified Arabic" w:hAnsi="Sakkal Majalla" w:cs="Sakkal Majalla"/>
          <w:bCs/>
          <w:i/>
          <w:iCs/>
          <w:sz w:val="24"/>
          <w:szCs w:val="24"/>
        </w:rPr>
        <w:t>A primer on partial least squares structural equation modeling (PLS-SEM)</w:t>
      </w:r>
      <w:r w:rsidRPr="00695159">
        <w:rPr>
          <w:rFonts w:ascii="Sakkal Majalla" w:eastAsia="Simplified Arabic" w:hAnsi="Sakkal Majalla" w:cs="Sakkal Majalla"/>
          <w:bCs/>
          <w:sz w:val="24"/>
          <w:szCs w:val="24"/>
        </w:rPr>
        <w:t xml:space="preserve"> (3rd ed.). Sage.</w:t>
      </w:r>
    </w:p>
    <w:p w14:paraId="11064884" w14:textId="77777777" w:rsidR="00695159" w:rsidRPr="00695159" w:rsidRDefault="00695159" w:rsidP="00695159">
      <w:pPr>
        <w:tabs>
          <w:tab w:val="left" w:pos="1975"/>
        </w:tabs>
        <w:bidi/>
        <w:spacing w:line="240" w:lineRule="auto"/>
        <w:jc w:val="right"/>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Pr>
        <w:t xml:space="preserve">Ragu-Nathan, T. S., </w:t>
      </w:r>
      <w:proofErr w:type="spellStart"/>
      <w:r w:rsidRPr="00695159">
        <w:rPr>
          <w:rFonts w:ascii="Sakkal Majalla" w:eastAsia="Simplified Arabic" w:hAnsi="Sakkal Majalla" w:cs="Sakkal Majalla"/>
          <w:bCs/>
          <w:sz w:val="24"/>
          <w:szCs w:val="24"/>
        </w:rPr>
        <w:t>Tarafdar</w:t>
      </w:r>
      <w:proofErr w:type="spellEnd"/>
      <w:r w:rsidRPr="00695159">
        <w:rPr>
          <w:rFonts w:ascii="Sakkal Majalla" w:eastAsia="Simplified Arabic" w:hAnsi="Sakkal Majalla" w:cs="Sakkal Majalla"/>
          <w:bCs/>
          <w:sz w:val="24"/>
          <w:szCs w:val="24"/>
        </w:rPr>
        <w:t xml:space="preserve">, M., Ragu-Nathan, B. S., &amp; Tu, Q. (2008). Consequences of technostress for end users in organizations: Conceptual development and empirical validation. </w:t>
      </w:r>
      <w:r w:rsidRPr="00695159">
        <w:rPr>
          <w:rFonts w:ascii="Sakkal Majalla" w:eastAsia="Simplified Arabic" w:hAnsi="Sakkal Majalla" w:cs="Sakkal Majalla"/>
          <w:bCs/>
          <w:i/>
          <w:iCs/>
          <w:sz w:val="24"/>
          <w:szCs w:val="24"/>
        </w:rPr>
        <w:t>Information Systems Research, 19</w:t>
      </w:r>
      <w:r w:rsidRPr="00695159">
        <w:rPr>
          <w:rFonts w:ascii="Sakkal Majalla" w:eastAsia="Simplified Arabic" w:hAnsi="Sakkal Majalla" w:cs="Sakkal Majalla"/>
          <w:bCs/>
          <w:sz w:val="24"/>
          <w:szCs w:val="24"/>
        </w:rPr>
        <w:t>(4), 417–433.</w:t>
      </w:r>
    </w:p>
    <w:p w14:paraId="39189EB6" w14:textId="77777777" w:rsidR="00695159" w:rsidRPr="00695159" w:rsidRDefault="00695159" w:rsidP="00695159">
      <w:pPr>
        <w:tabs>
          <w:tab w:val="left" w:pos="1975"/>
        </w:tabs>
        <w:bidi/>
        <w:spacing w:line="240" w:lineRule="auto"/>
        <w:jc w:val="right"/>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Pr>
        <w:t xml:space="preserve">Spector, P. E. (1997). </w:t>
      </w:r>
      <w:r w:rsidRPr="00695159">
        <w:rPr>
          <w:rFonts w:ascii="Sakkal Majalla" w:eastAsia="Simplified Arabic" w:hAnsi="Sakkal Majalla" w:cs="Sakkal Majalla"/>
          <w:bCs/>
          <w:i/>
          <w:iCs/>
          <w:sz w:val="24"/>
          <w:szCs w:val="24"/>
        </w:rPr>
        <w:t>Job satisfaction: Application, assessment, causes, and consequences</w:t>
      </w:r>
      <w:r w:rsidRPr="00695159">
        <w:rPr>
          <w:rFonts w:ascii="Sakkal Majalla" w:eastAsia="Simplified Arabic" w:hAnsi="Sakkal Majalla" w:cs="Sakkal Majalla"/>
          <w:bCs/>
          <w:sz w:val="24"/>
          <w:szCs w:val="24"/>
        </w:rPr>
        <w:t>. Sage.</w:t>
      </w:r>
    </w:p>
    <w:p w14:paraId="008D6CC9" w14:textId="77777777" w:rsidR="00695159" w:rsidRPr="00695159" w:rsidRDefault="00695159" w:rsidP="00695159">
      <w:pPr>
        <w:tabs>
          <w:tab w:val="left" w:pos="1975"/>
        </w:tabs>
        <w:bidi/>
        <w:spacing w:line="240" w:lineRule="auto"/>
        <w:jc w:val="right"/>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Pr>
        <w:t xml:space="preserve">Venkatesh, V., &amp; Davis, F. D. (2000). A theoretical extension of the Technology Acceptance Model: Four longitudinal field studies. </w:t>
      </w:r>
      <w:r w:rsidRPr="00695159">
        <w:rPr>
          <w:rFonts w:ascii="Sakkal Majalla" w:eastAsia="Simplified Arabic" w:hAnsi="Sakkal Majalla" w:cs="Sakkal Majalla"/>
          <w:bCs/>
          <w:i/>
          <w:iCs/>
          <w:sz w:val="24"/>
          <w:szCs w:val="24"/>
        </w:rPr>
        <w:t>Management Science, 46</w:t>
      </w:r>
      <w:r w:rsidRPr="00695159">
        <w:rPr>
          <w:rFonts w:ascii="Sakkal Majalla" w:eastAsia="Simplified Arabic" w:hAnsi="Sakkal Majalla" w:cs="Sakkal Majalla"/>
          <w:bCs/>
          <w:sz w:val="24"/>
          <w:szCs w:val="24"/>
        </w:rPr>
        <w:t>(2), 186–204.</w:t>
      </w:r>
    </w:p>
    <w:p w14:paraId="4C930521" w14:textId="77777777" w:rsidR="00695159" w:rsidRPr="00695159" w:rsidRDefault="00695159" w:rsidP="00695159">
      <w:pPr>
        <w:tabs>
          <w:tab w:val="left" w:pos="1975"/>
        </w:tabs>
        <w:bidi/>
        <w:spacing w:line="240" w:lineRule="auto"/>
        <w:jc w:val="right"/>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Pr>
        <w:t xml:space="preserve">Venkatesh, V., Morris, M. G., Davis, G. B., &amp; Davis, F. D. (2003). User acceptance of information technology: Toward a unified view. </w:t>
      </w:r>
      <w:r w:rsidRPr="00695159">
        <w:rPr>
          <w:rFonts w:ascii="Sakkal Majalla" w:eastAsia="Simplified Arabic" w:hAnsi="Sakkal Majalla" w:cs="Sakkal Majalla"/>
          <w:bCs/>
          <w:i/>
          <w:iCs/>
          <w:sz w:val="24"/>
          <w:szCs w:val="24"/>
        </w:rPr>
        <w:t>MIS Quarterly, 27</w:t>
      </w:r>
      <w:r w:rsidRPr="00695159">
        <w:rPr>
          <w:rFonts w:ascii="Sakkal Majalla" w:eastAsia="Simplified Arabic" w:hAnsi="Sakkal Majalla" w:cs="Sakkal Majalla"/>
          <w:bCs/>
          <w:sz w:val="24"/>
          <w:szCs w:val="24"/>
        </w:rPr>
        <w:t>(3), 425–478.</w:t>
      </w:r>
    </w:p>
    <w:p w14:paraId="3F389FFA" w14:textId="77777777" w:rsidR="00695159" w:rsidRPr="00695159" w:rsidRDefault="00695159" w:rsidP="00695159">
      <w:pPr>
        <w:tabs>
          <w:tab w:val="left" w:pos="1975"/>
        </w:tabs>
        <w:bidi/>
        <w:spacing w:line="240" w:lineRule="auto"/>
        <w:jc w:val="right"/>
        <w:rPr>
          <w:rFonts w:ascii="Sakkal Majalla" w:eastAsia="Simplified Arabic" w:hAnsi="Sakkal Majalla" w:cs="Sakkal Majalla"/>
          <w:bCs/>
          <w:sz w:val="24"/>
          <w:szCs w:val="24"/>
        </w:rPr>
      </w:pPr>
      <w:r w:rsidRPr="00695159">
        <w:rPr>
          <w:rFonts w:ascii="Sakkal Majalla" w:eastAsia="Simplified Arabic" w:hAnsi="Sakkal Majalla" w:cs="Sakkal Majalla"/>
          <w:bCs/>
          <w:sz w:val="24"/>
          <w:szCs w:val="24"/>
        </w:rPr>
        <w:t xml:space="preserve">Vial, G. (2019). Understanding digital transformation: A review and a research agenda. </w:t>
      </w:r>
      <w:r w:rsidRPr="00695159">
        <w:rPr>
          <w:rFonts w:ascii="Sakkal Majalla" w:eastAsia="Simplified Arabic" w:hAnsi="Sakkal Majalla" w:cs="Sakkal Majalla"/>
          <w:bCs/>
          <w:i/>
          <w:iCs/>
          <w:sz w:val="24"/>
          <w:szCs w:val="24"/>
        </w:rPr>
        <w:t>The Journal of Strategic Information Systems, 28</w:t>
      </w:r>
      <w:r w:rsidRPr="00695159">
        <w:rPr>
          <w:rFonts w:ascii="Sakkal Majalla" w:eastAsia="Simplified Arabic" w:hAnsi="Sakkal Majalla" w:cs="Sakkal Majalla"/>
          <w:bCs/>
          <w:sz w:val="24"/>
          <w:szCs w:val="24"/>
        </w:rPr>
        <w:t>(2), 118–144.</w:t>
      </w:r>
    </w:p>
    <w:p w14:paraId="07DDD474" w14:textId="77777777" w:rsidR="00371693" w:rsidRDefault="00371693" w:rsidP="00371693">
      <w:pPr>
        <w:tabs>
          <w:tab w:val="left" w:pos="1975"/>
        </w:tabs>
        <w:bidi/>
        <w:spacing w:line="240" w:lineRule="auto"/>
        <w:rPr>
          <w:rFonts w:ascii="Sakkal Majalla" w:eastAsia="Simplified Arabic" w:hAnsi="Sakkal Majalla" w:cs="Sakkal Majalla"/>
          <w:bCs/>
          <w:sz w:val="24"/>
          <w:szCs w:val="24"/>
          <w:u w:val="single"/>
          <w:rtl/>
        </w:rPr>
      </w:pPr>
    </w:p>
    <w:p w14:paraId="08C8EC21" w14:textId="77777777" w:rsidR="00371693" w:rsidRDefault="00371693" w:rsidP="00371693">
      <w:pPr>
        <w:tabs>
          <w:tab w:val="left" w:pos="1975"/>
        </w:tabs>
        <w:bidi/>
        <w:spacing w:line="240" w:lineRule="auto"/>
        <w:rPr>
          <w:rFonts w:ascii="Sakkal Majalla" w:eastAsia="Simplified Arabic" w:hAnsi="Sakkal Majalla" w:cs="Sakkal Majalla"/>
          <w:bCs/>
          <w:sz w:val="24"/>
          <w:szCs w:val="24"/>
          <w:u w:val="single"/>
          <w:rtl/>
        </w:rPr>
      </w:pPr>
    </w:p>
    <w:p w14:paraId="5ED4E5F8" w14:textId="77777777" w:rsidR="00371693" w:rsidRDefault="00371693" w:rsidP="00371693">
      <w:pPr>
        <w:tabs>
          <w:tab w:val="left" w:pos="1975"/>
        </w:tabs>
        <w:bidi/>
        <w:spacing w:line="240" w:lineRule="auto"/>
        <w:rPr>
          <w:rFonts w:ascii="Sakkal Majalla" w:eastAsia="Simplified Arabic" w:hAnsi="Sakkal Majalla" w:cs="Sakkal Majalla"/>
          <w:bCs/>
          <w:sz w:val="24"/>
          <w:szCs w:val="24"/>
          <w:u w:val="single"/>
          <w:rtl/>
        </w:rPr>
      </w:pPr>
    </w:p>
    <w:sectPr w:rsidR="00371693">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8B703" w14:textId="77777777" w:rsidR="00887BA0" w:rsidRDefault="00887BA0">
      <w:pPr>
        <w:spacing w:line="240" w:lineRule="auto"/>
      </w:pPr>
      <w:r>
        <w:separator/>
      </w:r>
    </w:p>
  </w:endnote>
  <w:endnote w:type="continuationSeparator" w:id="0">
    <w:p w14:paraId="3EDF2FCC" w14:textId="77777777" w:rsidR="00887BA0" w:rsidRDefault="00887B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lexandria Medium">
    <w:altName w:val="Arial"/>
    <w:charset w:val="00"/>
    <w:family w:val="auto"/>
    <w:pitch w:val="variable"/>
    <w:sig w:usb0="A00020FF"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27248" w14:textId="756D66E8" w:rsidR="00443BE0" w:rsidRDefault="00887BA0">
    <w:pPr>
      <w:spacing w:line="276" w:lineRule="auto"/>
      <w:ind w:right="-421"/>
      <w:rPr>
        <w:rFonts w:ascii="Alexandria Medium" w:hAnsi="Alexandria Medium" w:cs="Alexandria Medium"/>
        <w:b/>
        <w:bCs/>
        <w:color w:val="767171" w:themeColor="background2" w:themeShade="80"/>
        <w:sz w:val="20"/>
        <w:szCs w:val="20"/>
      </w:rPr>
    </w:pPr>
    <w:hyperlink r:id="rId1" w:history="1">
      <w:r w:rsidR="00443BE0">
        <w:rPr>
          <w:rStyle w:val="Hyperlink"/>
          <w:rFonts w:ascii="Alexandria Medium" w:hAnsi="Alexandria Medium" w:cs="Alexandria Medium"/>
          <w:b/>
          <w:bCs/>
          <w:color w:val="023160" w:themeColor="hyperlink" w:themeShade="80"/>
          <w:u w:val="none"/>
        </w:rPr>
        <w:t>www.midocean.edu.km</w:t>
      </w:r>
    </w:hyperlink>
    <w:r w:rsidR="00443BE0">
      <w:rPr>
        <w:rFonts w:ascii="Alexandria Medium" w:hAnsi="Alexandria Medium" w:cs="Alexandria Medium"/>
        <w:b/>
        <w:bCs/>
        <w:color w:val="767171" w:themeColor="background2" w:themeShade="80"/>
      </w:rPr>
      <w:br/>
    </w:r>
    <w:r w:rsidR="00443BE0">
      <w:rPr>
        <w:rFonts w:ascii="Alexandria Medium" w:hAnsi="Alexandria Medium" w:cs="Alexandria Medium"/>
        <w:b/>
        <w:bCs/>
        <w:color w:val="767171" w:themeColor="background2" w:themeShade="80"/>
        <w:sz w:val="16"/>
        <w:szCs w:val="16"/>
      </w:rPr>
      <w:t xml:space="preserve">Comoros Address: </w:t>
    </w:r>
    <w:r w:rsidR="00443BE0">
      <w:rPr>
        <w:rFonts w:ascii="Alexandria Medium" w:hAnsi="Alexandria Medium" w:cs="Alexandria Medium"/>
        <w:color w:val="767171" w:themeColor="background2" w:themeShade="80"/>
        <w:sz w:val="16"/>
        <w:szCs w:val="16"/>
      </w:rPr>
      <w:t xml:space="preserve">(Headquarters) Midocean university, 8764+GH9 </w:t>
    </w:r>
    <w:proofErr w:type="spellStart"/>
    <w:r w:rsidR="00443BE0">
      <w:rPr>
        <w:rFonts w:ascii="Alexandria Medium" w:hAnsi="Alexandria Medium" w:cs="Alexandria Medium"/>
        <w:color w:val="767171" w:themeColor="background2" w:themeShade="80"/>
        <w:sz w:val="16"/>
        <w:szCs w:val="16"/>
      </w:rPr>
      <w:t>Matelec</w:t>
    </w:r>
    <w:proofErr w:type="spellEnd"/>
    <w:r w:rsidR="00443BE0">
      <w:rPr>
        <w:rFonts w:ascii="Alexandria Medium" w:hAnsi="Alexandria Medium" w:cs="Alexandria Medium"/>
        <w:color w:val="767171" w:themeColor="background2" w:themeShade="80"/>
        <w:sz w:val="16"/>
        <w:szCs w:val="16"/>
      </w:rPr>
      <w:t xml:space="preserve"> street, BP 684 Moroni, RP 98123 Moroni, Comoros</w:t>
    </w:r>
    <w:r w:rsidR="00443BE0">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B1A16" w14:textId="77777777" w:rsidR="00887BA0" w:rsidRDefault="00887BA0">
      <w:pPr>
        <w:spacing w:after="0"/>
      </w:pPr>
      <w:r>
        <w:separator/>
      </w:r>
    </w:p>
  </w:footnote>
  <w:footnote w:type="continuationSeparator" w:id="0">
    <w:p w14:paraId="32A6CF30" w14:textId="77777777" w:rsidR="00887BA0" w:rsidRDefault="00887BA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952DB" w14:textId="77777777" w:rsidR="00443BE0" w:rsidRDefault="00443BE0">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37172F96"/>
    <w:multiLevelType w:val="multilevel"/>
    <w:tmpl w:val="A8D8E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AC55A6"/>
    <w:multiLevelType w:val="multilevel"/>
    <w:tmpl w:val="330C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3"/>
  </w:num>
  <w:num w:numId="4">
    <w:abstractNumId w:val="0"/>
  </w:num>
  <w:num w:numId="5">
    <w:abstractNumId w:val="1"/>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96579"/>
    <w:rsid w:val="000A0440"/>
    <w:rsid w:val="000A09B4"/>
    <w:rsid w:val="000A724C"/>
    <w:rsid w:val="000E5439"/>
    <w:rsid w:val="001063D3"/>
    <w:rsid w:val="0010676A"/>
    <w:rsid w:val="001F6F22"/>
    <w:rsid w:val="002821F1"/>
    <w:rsid w:val="0028456B"/>
    <w:rsid w:val="0028538F"/>
    <w:rsid w:val="002F6034"/>
    <w:rsid w:val="00302C00"/>
    <w:rsid w:val="003221E1"/>
    <w:rsid w:val="0034109A"/>
    <w:rsid w:val="00371693"/>
    <w:rsid w:val="00383945"/>
    <w:rsid w:val="003855AC"/>
    <w:rsid w:val="00393FD2"/>
    <w:rsid w:val="003F20BF"/>
    <w:rsid w:val="00443BE0"/>
    <w:rsid w:val="00477883"/>
    <w:rsid w:val="004B753D"/>
    <w:rsid w:val="004C4D69"/>
    <w:rsid w:val="00503BF2"/>
    <w:rsid w:val="00506531"/>
    <w:rsid w:val="00564B17"/>
    <w:rsid w:val="005732B7"/>
    <w:rsid w:val="005D7B78"/>
    <w:rsid w:val="00654CED"/>
    <w:rsid w:val="00656535"/>
    <w:rsid w:val="006729E2"/>
    <w:rsid w:val="00695159"/>
    <w:rsid w:val="006C3FEE"/>
    <w:rsid w:val="007734C1"/>
    <w:rsid w:val="0077719D"/>
    <w:rsid w:val="007B57D2"/>
    <w:rsid w:val="007D6E3C"/>
    <w:rsid w:val="007E650F"/>
    <w:rsid w:val="00832A2B"/>
    <w:rsid w:val="008432DF"/>
    <w:rsid w:val="0085052C"/>
    <w:rsid w:val="00887BA0"/>
    <w:rsid w:val="008A4B41"/>
    <w:rsid w:val="008A5DB1"/>
    <w:rsid w:val="008E3E29"/>
    <w:rsid w:val="008F1759"/>
    <w:rsid w:val="00937B43"/>
    <w:rsid w:val="00A477DD"/>
    <w:rsid w:val="00A549D0"/>
    <w:rsid w:val="00AC3873"/>
    <w:rsid w:val="00AD14FC"/>
    <w:rsid w:val="00AE40D8"/>
    <w:rsid w:val="00AE6E4B"/>
    <w:rsid w:val="00B2020D"/>
    <w:rsid w:val="00B24BED"/>
    <w:rsid w:val="00B24F35"/>
    <w:rsid w:val="00B703D9"/>
    <w:rsid w:val="00BF3465"/>
    <w:rsid w:val="00C11541"/>
    <w:rsid w:val="00C63ADA"/>
    <w:rsid w:val="00C66629"/>
    <w:rsid w:val="00C919CB"/>
    <w:rsid w:val="00CD2749"/>
    <w:rsid w:val="00D63861"/>
    <w:rsid w:val="00DF2960"/>
    <w:rsid w:val="00E767F7"/>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semiHidden/>
    <w:unhideWhenUsed/>
    <w:qFormat/>
    <w:rsid w:val="00695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65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E650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semiHidden/>
    <w:rsid w:val="00695159"/>
    <w:rPr>
      <w:rFonts w:asciiTheme="majorHAnsi" w:eastAsiaTheme="majorEastAsia" w:hAnsiTheme="majorHAnsi" w:cstheme="majorBidi"/>
      <w:color w:val="2F5496" w:themeColor="accent1" w:themeShade="BF"/>
      <w:kern w:val="2"/>
      <w:sz w:val="26"/>
      <w:szCs w:val="26"/>
      <w14:ligatures w14:val="standardContextual"/>
    </w:rPr>
  </w:style>
  <w:style w:type="table" w:styleId="GridTable4-Accent3">
    <w:name w:val="Grid Table 4 Accent 3"/>
    <w:basedOn w:val="TableNormal"/>
    <w:uiPriority w:val="49"/>
    <w:rsid w:val="006951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semiHidden/>
    <w:rsid w:val="007E650F"/>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7E650F"/>
    <w:rPr>
      <w:rFonts w:asciiTheme="majorHAnsi" w:eastAsiaTheme="majorEastAsia" w:hAnsiTheme="majorHAnsi" w:cstheme="majorBidi"/>
      <w:i/>
      <w:iCs/>
      <w:color w:val="2F5496" w:themeColor="accent1" w:themeShade="BF"/>
      <w:kern w:val="2"/>
      <w:sz w:val="22"/>
      <w:szCs w:val="22"/>
      <w14:ligatures w14:val="standardContextual"/>
    </w:rPr>
  </w:style>
  <w:style w:type="table" w:styleId="TableGridLight">
    <w:name w:val="Grid Table Light"/>
    <w:basedOn w:val="TableNormal"/>
    <w:uiPriority w:val="40"/>
    <w:rsid w:val="008432D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2023">
      <w:bodyDiv w:val="1"/>
      <w:marLeft w:val="0"/>
      <w:marRight w:val="0"/>
      <w:marTop w:val="0"/>
      <w:marBottom w:val="0"/>
      <w:divBdr>
        <w:top w:val="none" w:sz="0" w:space="0" w:color="auto"/>
        <w:left w:val="none" w:sz="0" w:space="0" w:color="auto"/>
        <w:bottom w:val="none" w:sz="0" w:space="0" w:color="auto"/>
        <w:right w:val="none" w:sz="0" w:space="0" w:color="auto"/>
      </w:divBdr>
    </w:div>
    <w:div w:id="297801541">
      <w:bodyDiv w:val="1"/>
      <w:marLeft w:val="0"/>
      <w:marRight w:val="0"/>
      <w:marTop w:val="0"/>
      <w:marBottom w:val="0"/>
      <w:divBdr>
        <w:top w:val="none" w:sz="0" w:space="0" w:color="auto"/>
        <w:left w:val="none" w:sz="0" w:space="0" w:color="auto"/>
        <w:bottom w:val="none" w:sz="0" w:space="0" w:color="auto"/>
        <w:right w:val="none" w:sz="0" w:space="0" w:color="auto"/>
      </w:divBdr>
    </w:div>
    <w:div w:id="516625602">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62261494">
      <w:bodyDiv w:val="1"/>
      <w:marLeft w:val="0"/>
      <w:marRight w:val="0"/>
      <w:marTop w:val="0"/>
      <w:marBottom w:val="0"/>
      <w:divBdr>
        <w:top w:val="none" w:sz="0" w:space="0" w:color="auto"/>
        <w:left w:val="none" w:sz="0" w:space="0" w:color="auto"/>
        <w:bottom w:val="none" w:sz="0" w:space="0" w:color="auto"/>
        <w:right w:val="none" w:sz="0" w:space="0" w:color="auto"/>
      </w:divBdr>
    </w:div>
    <w:div w:id="825436698">
      <w:bodyDiv w:val="1"/>
      <w:marLeft w:val="0"/>
      <w:marRight w:val="0"/>
      <w:marTop w:val="0"/>
      <w:marBottom w:val="0"/>
      <w:divBdr>
        <w:top w:val="none" w:sz="0" w:space="0" w:color="auto"/>
        <w:left w:val="none" w:sz="0" w:space="0" w:color="auto"/>
        <w:bottom w:val="none" w:sz="0" w:space="0" w:color="auto"/>
        <w:right w:val="none" w:sz="0" w:space="0" w:color="auto"/>
      </w:divBdr>
    </w:div>
    <w:div w:id="938492218">
      <w:bodyDiv w:val="1"/>
      <w:marLeft w:val="0"/>
      <w:marRight w:val="0"/>
      <w:marTop w:val="0"/>
      <w:marBottom w:val="0"/>
      <w:divBdr>
        <w:top w:val="none" w:sz="0" w:space="0" w:color="auto"/>
        <w:left w:val="none" w:sz="0" w:space="0" w:color="auto"/>
        <w:bottom w:val="none" w:sz="0" w:space="0" w:color="auto"/>
        <w:right w:val="none" w:sz="0" w:space="0" w:color="auto"/>
      </w:divBdr>
    </w:div>
    <w:div w:id="1626891605">
      <w:bodyDiv w:val="1"/>
      <w:marLeft w:val="0"/>
      <w:marRight w:val="0"/>
      <w:marTop w:val="0"/>
      <w:marBottom w:val="0"/>
      <w:divBdr>
        <w:top w:val="none" w:sz="0" w:space="0" w:color="auto"/>
        <w:left w:val="none" w:sz="0" w:space="0" w:color="auto"/>
        <w:bottom w:val="none" w:sz="0" w:space="0" w:color="auto"/>
        <w:right w:val="none" w:sz="0" w:space="0" w:color="auto"/>
      </w:divBdr>
    </w:div>
    <w:div w:id="1670719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1817</Words>
  <Characters>10357</Characters>
  <Application>Microsoft Office Word</Application>
  <DocSecurity>0</DocSecurity>
  <Lines>86</Lines>
  <Paragraphs>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Saud A. Alhamad</cp:lastModifiedBy>
  <cp:revision>2</cp:revision>
  <cp:lastPrinted>2024-09-19T10:32:00Z</cp:lastPrinted>
  <dcterms:created xsi:type="dcterms:W3CDTF">2026-06-24T13:44:00Z</dcterms:created>
  <dcterms:modified xsi:type="dcterms:W3CDTF">2026-06-24T13:44:00Z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