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41B9D" w14:textId="77777777" w:rsidR="00514AF6" w:rsidRDefault="00514AF6" w:rsidP="00514AF6">
      <w:pPr>
        <w:rPr>
          <w:rFonts w:ascii="Sakkal Majalla" w:hAnsi="Sakkal Majalla" w:cs="Sakkal Majalla"/>
          <w:sz w:val="28"/>
          <w:szCs w:val="28"/>
          <w:rtl/>
          <w:lang w:bidi="ar-EG"/>
        </w:rPr>
      </w:pPr>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05E459F1" wp14:editId="245B19AA">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A7632">
        <w:rPr>
          <w:rFonts w:ascii="Sakkal Majalla" w:hAnsi="Sakkal Majalla" w:cs="Sakkal Majalla"/>
          <w:b/>
          <w:bCs/>
          <w:sz w:val="28"/>
          <w:szCs w:val="28"/>
          <w:rtl/>
          <w:lang w:bidi="ar-EG"/>
        </w:rPr>
        <w:t xml:space="preserve">جامعة </w:t>
      </w:r>
      <w:proofErr w:type="spellStart"/>
      <w:r w:rsidRPr="00DA7632">
        <w:rPr>
          <w:rFonts w:ascii="Sakkal Majalla" w:hAnsi="Sakkal Majalla" w:cs="Sakkal Majalla"/>
          <w:b/>
          <w:bCs/>
          <w:sz w:val="28"/>
          <w:szCs w:val="28"/>
          <w:rtl/>
          <w:lang w:bidi="ar-EG"/>
        </w:rPr>
        <w:t>ميدأوشن</w:t>
      </w:r>
      <w:proofErr w:type="spellEnd"/>
      <w:r w:rsidRPr="00DA7632">
        <w:rPr>
          <w:rFonts w:ascii="Sakkal Majalla" w:hAnsi="Sakkal Majalla" w:cs="Sakkal Majalla"/>
          <w:b/>
          <w:bCs/>
          <w:sz w:val="28"/>
          <w:szCs w:val="28"/>
          <w:rtl/>
          <w:lang w:bidi="ar-EG"/>
        </w:rPr>
        <w:t xml:space="preserve"> </w:t>
      </w:r>
    </w:p>
    <w:p w14:paraId="3AD3FBF3" w14:textId="77777777" w:rsidR="00514AF6" w:rsidRPr="00DA7632" w:rsidRDefault="00514AF6" w:rsidP="00514AF6">
      <w:pPr>
        <w:rPr>
          <w:rFonts w:ascii="Sakkal Majalla" w:hAnsi="Sakkal Majalla" w:cs="Sakkal Majalla"/>
          <w:sz w:val="28"/>
          <w:szCs w:val="28"/>
          <w:rtl/>
          <w:lang w:bidi="ar-EG"/>
        </w:rPr>
      </w:pPr>
      <w:r w:rsidRPr="00DA7632">
        <w:rPr>
          <w:rFonts w:ascii="Sakkal Majalla" w:hAnsi="Sakkal Majalla" w:cs="Sakkal Majalla"/>
          <w:sz w:val="28"/>
          <w:szCs w:val="28"/>
          <w:lang w:bidi="ar-EG"/>
        </w:rPr>
        <w:t xml:space="preserve">  </w:t>
      </w:r>
      <w:r w:rsidRPr="00DA7632">
        <w:rPr>
          <w:rFonts w:ascii="Sakkal Majalla" w:hAnsi="Sakkal Majalla" w:cs="Sakkal Majalla"/>
          <w:sz w:val="28"/>
          <w:szCs w:val="28"/>
          <w:rtl/>
          <w:lang w:bidi="ar-EG"/>
        </w:rPr>
        <w:t xml:space="preserve">كلية الإدارة </w:t>
      </w:r>
    </w:p>
    <w:p w14:paraId="71756FAB" w14:textId="77777777" w:rsidR="00514AF6" w:rsidRPr="00DA7632" w:rsidRDefault="00514AF6" w:rsidP="00514AF6">
      <w:pPr>
        <w:rPr>
          <w:rFonts w:ascii="Sakkal Majalla" w:hAnsi="Sakkal Majalla" w:cs="Sakkal Majalla"/>
          <w:sz w:val="28"/>
          <w:szCs w:val="28"/>
          <w:rtl/>
        </w:rPr>
      </w:pPr>
      <w:r w:rsidRPr="00DA7632">
        <w:rPr>
          <w:rFonts w:ascii="Sakkal Majalla" w:hAnsi="Sakkal Majalla" w:cs="Sakkal Majalla"/>
          <w:sz w:val="28"/>
          <w:szCs w:val="28"/>
          <w:rtl/>
          <w:lang w:bidi="ar-EG"/>
        </w:rPr>
        <w:t xml:space="preserve">قسم </w:t>
      </w:r>
      <w:r w:rsidRPr="00DA7632">
        <w:rPr>
          <w:rFonts w:ascii="Sakkal Majalla" w:hAnsi="Sakkal Majalla" w:cs="Sakkal Majalla" w:hint="cs"/>
          <w:sz w:val="28"/>
          <w:szCs w:val="28"/>
          <w:rtl/>
          <w:lang w:bidi="ar-EG"/>
        </w:rPr>
        <w:t xml:space="preserve">/ </w:t>
      </w:r>
      <w:r w:rsidRPr="00753A31">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موارد بشرية</w:t>
      </w:r>
    </w:p>
    <w:p w14:paraId="4149DD85" w14:textId="77777777" w:rsidR="00514AF6" w:rsidRPr="00DA7632" w:rsidRDefault="00514AF6" w:rsidP="00514AF6">
      <w:pPr>
        <w:rPr>
          <w:rFonts w:ascii="Sakkal Majalla" w:hAnsi="Sakkal Majalla" w:cs="Sakkal Majalla"/>
          <w:sz w:val="28"/>
          <w:szCs w:val="28"/>
          <w:rtl/>
          <w:lang w:bidi="ar-EG"/>
        </w:rPr>
      </w:pPr>
    </w:p>
    <w:p w14:paraId="49C40E75" w14:textId="77777777" w:rsidR="00514AF6" w:rsidRDefault="00514AF6" w:rsidP="00514AF6">
      <w:pPr>
        <w:rPr>
          <w:rFonts w:ascii="Sakkal Majalla" w:hAnsi="Sakkal Majalla" w:cs="Sakkal Majalla"/>
          <w:sz w:val="28"/>
          <w:szCs w:val="28"/>
          <w:lang w:bidi="ar-EG"/>
        </w:rPr>
      </w:pPr>
    </w:p>
    <w:p w14:paraId="016B81DD" w14:textId="77777777" w:rsidR="00514AF6" w:rsidRPr="00DA7632" w:rsidRDefault="00514AF6" w:rsidP="00514AF6">
      <w:pPr>
        <w:rPr>
          <w:rFonts w:ascii="Sakkal Majalla" w:hAnsi="Sakkal Majalla" w:cs="Sakkal Majalla"/>
          <w:sz w:val="28"/>
          <w:szCs w:val="28"/>
          <w:rtl/>
          <w:lang w:bidi="ar-EG"/>
        </w:rPr>
      </w:pPr>
    </w:p>
    <w:p w14:paraId="1461A938" w14:textId="77777777" w:rsidR="00514AF6" w:rsidRPr="00DA7632" w:rsidRDefault="00514AF6" w:rsidP="00514AF6">
      <w:pPr>
        <w:rPr>
          <w:rFonts w:ascii="Sakkal Majalla" w:hAnsi="Sakkal Majalla" w:cs="Sakkal Majalla"/>
          <w:sz w:val="28"/>
          <w:szCs w:val="28"/>
          <w:rtl/>
          <w:lang w:bidi="ar-EG"/>
        </w:rPr>
      </w:pPr>
    </w:p>
    <w:p w14:paraId="01A58A16" w14:textId="77777777" w:rsidR="00514AF6" w:rsidRPr="00E14DC8" w:rsidRDefault="00514AF6" w:rsidP="00514AF6">
      <w:pPr>
        <w:jc w:val="center"/>
        <w:rPr>
          <w:rFonts w:ascii="Sakkal Majalla" w:hAnsi="Sakkal Majalla" w:cs="Sakkal Majalla"/>
          <w:b/>
          <w:bCs/>
          <w:sz w:val="28"/>
          <w:szCs w:val="28"/>
          <w:rtl/>
          <w:lang w:bidi="ar-EG"/>
        </w:rPr>
      </w:pPr>
      <w:r w:rsidRPr="00E14DC8">
        <w:rPr>
          <w:rFonts w:ascii="Sakkal Majalla" w:hAnsi="Sakkal Majalla" w:cs="Sakkal Majalla"/>
          <w:b/>
          <w:bCs/>
          <w:sz w:val="28"/>
          <w:szCs w:val="28"/>
          <w:rtl/>
          <w:lang w:bidi="ar-EG"/>
        </w:rPr>
        <w:t>عنوان البحث</w:t>
      </w:r>
    </w:p>
    <w:p w14:paraId="1FA6571E" w14:textId="77777777" w:rsidR="00D87892" w:rsidRPr="004070E6" w:rsidRDefault="00D87892" w:rsidP="00D87892">
      <w:pPr>
        <w:jc w:val="center"/>
        <w:rPr>
          <w:rFonts w:ascii="Sakkal Majalla" w:hAnsi="Sakkal Majalla" w:cs="Sakkal Majalla"/>
          <w:sz w:val="28"/>
          <w:szCs w:val="28"/>
          <w:rtl/>
        </w:rPr>
      </w:pPr>
      <w:r w:rsidRPr="004070E6">
        <w:rPr>
          <w:rFonts w:ascii="Sakkal Majalla" w:hAnsi="Sakkal Majalla" w:cs="Sakkal Majalla"/>
          <w:sz w:val="28"/>
          <w:szCs w:val="28"/>
          <w:rtl/>
        </w:rPr>
        <w:t xml:space="preserve">أثر برامج التوازن بين العمل والحياة على رضا الموظفين وأدائهم: دراسة حالة في </w:t>
      </w:r>
      <w:r>
        <w:rPr>
          <w:rFonts w:ascii="Sakkal Majalla" w:hAnsi="Sakkal Majalla" w:cs="Sakkal Majalla" w:hint="cs"/>
          <w:sz w:val="28"/>
          <w:szCs w:val="28"/>
          <w:rtl/>
        </w:rPr>
        <w:t>شركات الإنشاء</w:t>
      </w:r>
      <w:r w:rsidRPr="004070E6">
        <w:rPr>
          <w:rFonts w:ascii="Sakkal Majalla" w:hAnsi="Sakkal Majalla" w:cs="Sakkal Majalla"/>
          <w:sz w:val="28"/>
          <w:szCs w:val="28"/>
          <w:rtl/>
        </w:rPr>
        <w:t xml:space="preserve"> </w:t>
      </w:r>
      <w:r>
        <w:rPr>
          <w:rFonts w:ascii="Sakkal Majalla" w:hAnsi="Sakkal Majalla" w:cs="Sakkal Majalla" w:hint="cs"/>
          <w:sz w:val="28"/>
          <w:szCs w:val="28"/>
          <w:rtl/>
        </w:rPr>
        <w:t>ب</w:t>
      </w:r>
      <w:r w:rsidRPr="004070E6">
        <w:rPr>
          <w:rFonts w:ascii="Sakkal Majalla" w:hAnsi="Sakkal Majalla" w:cs="Sakkal Majalla"/>
          <w:sz w:val="28"/>
          <w:szCs w:val="28"/>
          <w:rtl/>
        </w:rPr>
        <w:t>المملكة العربية السعودية</w:t>
      </w:r>
    </w:p>
    <w:p w14:paraId="56603686" w14:textId="77777777" w:rsidR="00D87892" w:rsidRPr="00EE0191" w:rsidRDefault="00D87892" w:rsidP="00514AF6">
      <w:pPr>
        <w:jc w:val="center"/>
        <w:rPr>
          <w:rFonts w:ascii="Sakkal Majalla" w:hAnsi="Sakkal Majalla" w:cs="Sakkal Majalla"/>
          <w:sz w:val="28"/>
          <w:szCs w:val="28"/>
          <w:rtl/>
        </w:rPr>
      </w:pPr>
    </w:p>
    <w:p w14:paraId="47FEB94F" w14:textId="77777777" w:rsidR="00514AF6" w:rsidRPr="001902DB" w:rsidRDefault="00514AF6" w:rsidP="00514AF6">
      <w:pPr>
        <w:jc w:val="center"/>
        <w:rPr>
          <w:rFonts w:ascii="Sakkal Majalla" w:hAnsi="Sakkal Majalla" w:cs="Sakkal Majalla"/>
          <w:b/>
          <w:bCs/>
          <w:sz w:val="28"/>
          <w:szCs w:val="28"/>
          <w:rtl/>
        </w:rPr>
      </w:pPr>
    </w:p>
    <w:p w14:paraId="1217EFBB" w14:textId="77777777" w:rsidR="00514AF6" w:rsidRPr="001902DB" w:rsidRDefault="00514AF6" w:rsidP="00514AF6">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 </w:t>
      </w:r>
      <w:r w:rsidRPr="00E14DC8">
        <w:rPr>
          <w:rFonts w:ascii="Sakkal Majalla" w:hAnsi="Sakkal Majalla" w:cs="Sakkal Majalla" w:hint="cs"/>
          <w:sz w:val="28"/>
          <w:szCs w:val="28"/>
          <w:rtl/>
        </w:rPr>
        <w:t>نوف إبراهيم الهايف</w:t>
      </w:r>
    </w:p>
    <w:p w14:paraId="3B549F38" w14:textId="77777777" w:rsidR="00514AF6" w:rsidRPr="001902DB" w:rsidRDefault="00514AF6" w:rsidP="00514AF6">
      <w:pPr>
        <w:jc w:val="center"/>
        <w:rPr>
          <w:rFonts w:ascii="Sakkal Majalla" w:hAnsi="Sakkal Majalla" w:cs="Sakkal Majalla"/>
          <w:b/>
          <w:bCs/>
          <w:sz w:val="28"/>
          <w:szCs w:val="28"/>
          <w:rtl/>
          <w:lang w:bidi="ar-EG"/>
        </w:rPr>
      </w:pPr>
    </w:p>
    <w:p w14:paraId="386CE95B" w14:textId="77777777" w:rsidR="00514AF6" w:rsidRPr="001902DB" w:rsidRDefault="00514AF6" w:rsidP="00514AF6">
      <w:pPr>
        <w:jc w:val="center"/>
        <w:rPr>
          <w:rFonts w:ascii="Sakkal Majalla" w:hAnsi="Sakkal Majalla" w:cs="Sakkal Majalla"/>
          <w:b/>
          <w:bCs/>
          <w:sz w:val="28"/>
          <w:szCs w:val="28"/>
          <w:rtl/>
          <w:lang w:bidi="ar-EG"/>
        </w:rPr>
      </w:pPr>
    </w:p>
    <w:p w14:paraId="454122DF" w14:textId="77777777" w:rsidR="00514AF6" w:rsidRPr="001902DB" w:rsidRDefault="00514AF6" w:rsidP="00514AF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r w:rsidRPr="00E14DC8">
        <w:rPr>
          <w:rFonts w:ascii="Sakkal Majalla" w:hAnsi="Sakkal Majalla" w:cs="Sakkal Majalla" w:hint="cs"/>
          <w:sz w:val="28"/>
          <w:szCs w:val="28"/>
          <w:rtl/>
          <w:lang w:bidi="ar-EG"/>
        </w:rPr>
        <w:t>أسماء أبو عنزه</w:t>
      </w:r>
    </w:p>
    <w:p w14:paraId="6EE3A48B" w14:textId="77777777" w:rsidR="00514AF6" w:rsidRPr="00DA7632" w:rsidRDefault="00514AF6" w:rsidP="00514AF6">
      <w:pPr>
        <w:jc w:val="center"/>
        <w:rPr>
          <w:rFonts w:ascii="Sakkal Majalla" w:hAnsi="Sakkal Majalla" w:cs="Sakkal Majalla"/>
          <w:sz w:val="28"/>
          <w:szCs w:val="28"/>
          <w:rtl/>
          <w:lang w:bidi="ar-EG"/>
        </w:rPr>
      </w:pPr>
    </w:p>
    <w:p w14:paraId="2E2C590A" w14:textId="77777777" w:rsidR="00514AF6" w:rsidRPr="00DA7632" w:rsidRDefault="00514AF6" w:rsidP="00514AF6">
      <w:pPr>
        <w:jc w:val="center"/>
        <w:rPr>
          <w:rFonts w:ascii="Sakkal Majalla" w:hAnsi="Sakkal Majalla" w:cs="Sakkal Majalla"/>
          <w:sz w:val="28"/>
          <w:szCs w:val="28"/>
          <w:rtl/>
          <w:lang w:bidi="ar-EG"/>
        </w:rPr>
      </w:pPr>
    </w:p>
    <w:p w14:paraId="7660A7E0" w14:textId="77777777" w:rsidR="00514AF6" w:rsidRPr="00E14DC8" w:rsidRDefault="00514AF6" w:rsidP="00514AF6">
      <w:pPr>
        <w:jc w:val="center"/>
        <w:rPr>
          <w:rFonts w:ascii="Sakkal Majalla" w:hAnsi="Sakkal Majalla" w:cs="Sakkal Majalla"/>
          <w:b/>
          <w:bCs/>
          <w:sz w:val="28"/>
          <w:szCs w:val="28"/>
          <w:rtl/>
          <w:lang w:bidi="ar-EG"/>
        </w:rPr>
      </w:pPr>
      <w:r w:rsidRPr="00E14DC8">
        <w:rPr>
          <w:rFonts w:ascii="Sakkal Majalla" w:hAnsi="Sakkal Majalla" w:cs="Sakkal Majalla"/>
          <w:b/>
          <w:bCs/>
          <w:sz w:val="28"/>
          <w:szCs w:val="28"/>
          <w:rtl/>
          <w:lang w:bidi="ar-EG"/>
        </w:rPr>
        <w:t>العام الدراسي:</w:t>
      </w:r>
    </w:p>
    <w:p w14:paraId="75153502" w14:textId="77777777" w:rsidR="00514AF6" w:rsidRDefault="00514AF6" w:rsidP="00514AF6">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2024</w:t>
      </w:r>
    </w:p>
    <w:p w14:paraId="499F78A6" w14:textId="77777777" w:rsidR="00514AF6" w:rsidRDefault="00514AF6" w:rsidP="00514AF6">
      <w:pPr>
        <w:jc w:val="center"/>
        <w:rPr>
          <w:rFonts w:ascii="Sakkal Majalla" w:hAnsi="Sakkal Majalla" w:cs="Sakkal Majalla"/>
          <w:sz w:val="28"/>
          <w:szCs w:val="28"/>
          <w:rtl/>
          <w:lang w:bidi="ar-EG"/>
        </w:rPr>
      </w:pPr>
    </w:p>
    <w:p w14:paraId="6782852F" w14:textId="77777777" w:rsidR="00D55C33" w:rsidRDefault="00D55C33">
      <w:pPr>
        <w:rPr>
          <w:rtl/>
        </w:rPr>
      </w:pPr>
    </w:p>
    <w:p w14:paraId="6B842DEC" w14:textId="77777777" w:rsidR="00514AF6" w:rsidRDefault="00514AF6">
      <w:pPr>
        <w:rPr>
          <w:rtl/>
        </w:rPr>
      </w:pPr>
    </w:p>
    <w:p w14:paraId="378C00AB" w14:textId="77777777" w:rsidR="00514AF6" w:rsidRDefault="00514AF6">
      <w:pPr>
        <w:rPr>
          <w:rtl/>
        </w:rPr>
      </w:pPr>
    </w:p>
    <w:p w14:paraId="271643A7" w14:textId="77777777" w:rsidR="00514AF6" w:rsidRDefault="00514AF6">
      <w:pPr>
        <w:rPr>
          <w:rtl/>
        </w:rPr>
      </w:pPr>
    </w:p>
    <w:p w14:paraId="7F6F923A" w14:textId="77777777" w:rsidR="00514AF6" w:rsidRDefault="00514AF6" w:rsidP="00514AF6">
      <w:pPr>
        <w:spacing w:line="278" w:lineRule="auto"/>
        <w:rPr>
          <w:rFonts w:ascii="Sakkal Majalla" w:hAnsi="Sakkal Majalla" w:cs="Sakkal Majalla"/>
          <w:b/>
          <w:bCs/>
          <w:sz w:val="28"/>
          <w:szCs w:val="28"/>
          <w:lang w:bidi="ar-EG"/>
        </w:rPr>
      </w:pPr>
    </w:p>
    <w:p w14:paraId="7649A7B7" w14:textId="77777777" w:rsidR="00514AF6" w:rsidRDefault="00514AF6" w:rsidP="00514AF6">
      <w:pPr>
        <w:spacing w:line="278" w:lineRule="auto"/>
        <w:rPr>
          <w:rFonts w:ascii="Sakkal Majalla" w:hAnsi="Sakkal Majalla" w:cs="Sakkal Majalla"/>
          <w:b/>
          <w:bCs/>
          <w:sz w:val="28"/>
          <w:szCs w:val="28"/>
          <w:rtl/>
          <w:lang w:bidi="ar-EG"/>
        </w:rPr>
      </w:pPr>
    </w:p>
    <w:p w14:paraId="5253EBF6" w14:textId="77777777" w:rsidR="00D87892" w:rsidRDefault="00D87892" w:rsidP="00514AF6">
      <w:pPr>
        <w:spacing w:line="278" w:lineRule="auto"/>
        <w:rPr>
          <w:rFonts w:ascii="Sakkal Majalla" w:hAnsi="Sakkal Majalla" w:cs="Sakkal Majalla"/>
          <w:b/>
          <w:bCs/>
          <w:sz w:val="28"/>
          <w:szCs w:val="28"/>
          <w:rtl/>
          <w:lang w:bidi="ar-EG"/>
        </w:rPr>
      </w:pPr>
    </w:p>
    <w:p w14:paraId="49075411" w14:textId="77777777" w:rsidR="00D87892" w:rsidRDefault="00D87892" w:rsidP="00514AF6">
      <w:pPr>
        <w:spacing w:line="278" w:lineRule="auto"/>
        <w:rPr>
          <w:rFonts w:ascii="Sakkal Majalla" w:hAnsi="Sakkal Majalla" w:cs="Sakkal Majalla"/>
          <w:b/>
          <w:bCs/>
          <w:sz w:val="28"/>
          <w:szCs w:val="28"/>
          <w:rtl/>
          <w:lang w:bidi="ar-EG"/>
        </w:rPr>
      </w:pPr>
    </w:p>
    <w:p w14:paraId="47FFAA1E" w14:textId="77777777" w:rsidR="00D87892" w:rsidRDefault="00D87892" w:rsidP="00514AF6">
      <w:pPr>
        <w:spacing w:line="278" w:lineRule="auto"/>
        <w:rPr>
          <w:rFonts w:ascii="Sakkal Majalla" w:hAnsi="Sakkal Majalla" w:cs="Sakkal Majalla"/>
          <w:b/>
          <w:bCs/>
          <w:sz w:val="28"/>
          <w:szCs w:val="28"/>
          <w:rtl/>
          <w:lang w:bidi="ar-EG"/>
        </w:rPr>
      </w:pPr>
    </w:p>
    <w:p w14:paraId="224BB041" w14:textId="77777777" w:rsidR="00D87892" w:rsidRDefault="00D87892" w:rsidP="00514AF6">
      <w:pPr>
        <w:spacing w:line="278" w:lineRule="auto"/>
        <w:rPr>
          <w:rFonts w:ascii="Sakkal Majalla" w:hAnsi="Sakkal Majalla" w:cs="Sakkal Majalla"/>
          <w:b/>
          <w:bCs/>
          <w:sz w:val="28"/>
          <w:szCs w:val="28"/>
          <w:rtl/>
          <w:lang w:bidi="ar-EG"/>
        </w:rPr>
      </w:pPr>
    </w:p>
    <w:p w14:paraId="2EBBDB4D" w14:textId="77777777" w:rsidR="00D87892" w:rsidRDefault="00D87892" w:rsidP="00514AF6">
      <w:pPr>
        <w:spacing w:line="278" w:lineRule="auto"/>
        <w:rPr>
          <w:rFonts w:ascii="Sakkal Majalla" w:hAnsi="Sakkal Majalla" w:cs="Sakkal Majalla"/>
          <w:b/>
          <w:bCs/>
          <w:sz w:val="28"/>
          <w:szCs w:val="28"/>
          <w:rtl/>
          <w:lang w:bidi="ar-EG"/>
        </w:rPr>
      </w:pPr>
    </w:p>
    <w:p w14:paraId="3150A7E6" w14:textId="77777777" w:rsidR="00D87892" w:rsidRDefault="00D87892" w:rsidP="00D87892">
      <w:pPr>
        <w:spacing w:line="278" w:lineRule="auto"/>
        <w:jc w:val="center"/>
        <w:rPr>
          <w:rFonts w:ascii="Sakkal Majalla" w:hAnsi="Sakkal Majalla" w:cs="Sakkal Majalla"/>
          <w:b/>
          <w:bCs/>
          <w:sz w:val="28"/>
          <w:szCs w:val="28"/>
          <w:rtl/>
          <w:lang w:bidi="ar-EG"/>
        </w:rPr>
      </w:pPr>
    </w:p>
    <w:p w14:paraId="02B40002" w14:textId="77777777" w:rsidR="00514AF6" w:rsidRPr="00332D45" w:rsidRDefault="00514AF6" w:rsidP="00D87892">
      <w:pPr>
        <w:pStyle w:val="Heading1"/>
        <w:jc w:val="center"/>
        <w:rPr>
          <w:rtl/>
        </w:rPr>
      </w:pPr>
      <w:bookmarkStart w:id="0" w:name="_Toc180619264"/>
      <w:r w:rsidRPr="00332D45">
        <w:rPr>
          <w:rtl/>
        </w:rPr>
        <w:t>الفصل الأول</w:t>
      </w:r>
      <w:bookmarkEnd w:id="0"/>
    </w:p>
    <w:p w14:paraId="4E710F30" w14:textId="77777777" w:rsidR="00514AF6" w:rsidRDefault="00514AF6" w:rsidP="00514AF6">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26082B3" w14:textId="77777777" w:rsidR="00514AF6" w:rsidRDefault="00514AF6" w:rsidP="00514AF6">
      <w:pPr>
        <w:pStyle w:val="Heading2"/>
        <w:rPr>
          <w:rtl/>
        </w:rPr>
      </w:pPr>
      <w:bookmarkStart w:id="1" w:name="_Toc180619265"/>
      <w:r>
        <w:rPr>
          <w:rFonts w:hint="cs"/>
          <w:rtl/>
        </w:rPr>
        <w:lastRenderedPageBreak/>
        <w:t>ال</w:t>
      </w:r>
      <w:r w:rsidRPr="00332D45">
        <w:rPr>
          <w:rFonts w:hint="cs"/>
          <w:rtl/>
        </w:rPr>
        <w:t>مقدمة:</w:t>
      </w:r>
      <w:bookmarkEnd w:id="1"/>
    </w:p>
    <w:p w14:paraId="7159714B" w14:textId="77777777" w:rsidR="00D87892" w:rsidRDefault="00D87892" w:rsidP="00D87892">
      <w:pPr>
        <w:pStyle w:val="a0"/>
        <w:rPr>
          <w:rtl/>
        </w:rPr>
      </w:pPr>
      <w:r>
        <w:rPr>
          <w:rtl/>
        </w:rPr>
        <w:t>تعتبر برامج التوازن بين العمل والحياة من العناصر الحيوية التي تساهم في تحسين بيئة العمل وزيادة رضا الموظفين وأدائهم. في عالمنا المعاصر، حيث تزداد الضغوط المهنية وتقل ساعات الراحة، يصبح من الضروري توفير سياسات تدعم توازن الأفراد بين الالتزامات المهنية والحياتية. في المملكة العربية السعودية، ومع تزايد أهمية هذا الموضوع، تظهر شركات الإنشاء كقطاع رئيسي يحتاج إلى دراسة تأثير هذه البرامج على القوى العاملة. هذه الدراسة تهدف إلى تسليط الضوء على العلاقة بين برامج التوازن بين العمل والحياة ورضا الموظفين وأدائهم، من خلال التركيز على شركات الإنشاء، التي تعد من أهم القطاعات الاقتصادية في البلاد</w:t>
      </w:r>
      <w:r>
        <w:rPr>
          <w:rFonts w:hint="cs"/>
          <w:rtl/>
        </w:rPr>
        <w:t xml:space="preserve"> </w:t>
      </w:r>
      <w:sdt>
        <w:sdtPr>
          <w:rPr>
            <w:rFonts w:hint="cs"/>
            <w:rtl/>
          </w:rPr>
          <w:id w:val="-47953995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Aln241 \l 3073</w:instrText>
          </w:r>
          <w:r>
            <w:rPr>
              <w:rtl/>
            </w:rPr>
            <w:instrText xml:space="preserve"> </w:instrText>
          </w:r>
          <w:r>
            <w:rPr>
              <w:rtl/>
            </w:rPr>
            <w:fldChar w:fldCharType="separate"/>
          </w:r>
          <w:r>
            <w:rPr>
              <w:rFonts w:hint="cs"/>
              <w:noProof/>
              <w:rtl/>
            </w:rPr>
            <w:t>(</w:t>
          </w:r>
          <w:r>
            <w:rPr>
              <w:rFonts w:hint="cs"/>
              <w:noProof/>
            </w:rPr>
            <w:t>Alnajim</w:t>
          </w:r>
          <w:r>
            <w:rPr>
              <w:rFonts w:hint="cs"/>
              <w:noProof/>
              <w:rtl/>
            </w:rPr>
            <w:t>، 2024)</w:t>
          </w:r>
          <w:r>
            <w:rPr>
              <w:rtl/>
            </w:rPr>
            <w:fldChar w:fldCharType="end"/>
          </w:r>
        </w:sdtContent>
      </w:sdt>
      <w:r>
        <w:rPr>
          <w:rtl/>
        </w:rPr>
        <w:t>.</w:t>
      </w:r>
    </w:p>
    <w:p w14:paraId="0F5C3DCA" w14:textId="77777777" w:rsidR="00D87892" w:rsidRDefault="00D87892" w:rsidP="00D87892">
      <w:pPr>
        <w:pStyle w:val="a0"/>
        <w:rPr>
          <w:rtl/>
        </w:rPr>
      </w:pPr>
      <w:r>
        <w:rPr>
          <w:rtl/>
        </w:rPr>
        <w:t>رضا الموظفين يُعتبر متغيراً تابعاً مهماً في أي دراسة تتعلق ببيئة العمل. وهو يعكس مدى شعور الموظف بالارتياح والسعادة تجاه عمله، بما يشمل الظروف المادية والمعنوية التي يعيشها في بيئة العمل. يؤثر رضا الموظفين على عدة جوانب، منها الالتزام الوظيفي، والإنتاجية، والإبداع. عندما يشعر الموظف بالرضا، فإنه يكون أكثر استعدادًا للقيام بمهامه بفاعلية، مما ينعكس إيجاباً على أداء الشركة بشكل عام. تعتبر برامج التوازن بين العمل والحياة، مثل المرونة في ساعات العمل، ودعم العائلة، وتوفير إجازات إضافية، من العوامل التي تعزز هذا الرضا وتساعد في تحقيق التوازن النفسي والجسدي للموظفين</w:t>
      </w:r>
      <w:r>
        <w:rPr>
          <w:rFonts w:hint="cs"/>
          <w:rtl/>
        </w:rPr>
        <w:t xml:space="preserve"> </w:t>
      </w:r>
      <w:sdt>
        <w:sdtPr>
          <w:rPr>
            <w:rFonts w:hint="cs"/>
            <w:rtl/>
          </w:rPr>
          <w:id w:val="21284935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Bat19 \l 3073</w:instrText>
          </w:r>
          <w:r>
            <w:rPr>
              <w:rtl/>
            </w:rPr>
            <w:instrText xml:space="preserve"> </w:instrText>
          </w:r>
          <w:r>
            <w:rPr>
              <w:rtl/>
            </w:rPr>
            <w:fldChar w:fldCharType="separate"/>
          </w:r>
          <w:r>
            <w:rPr>
              <w:rFonts w:hint="cs"/>
              <w:noProof/>
              <w:rtl/>
            </w:rPr>
            <w:t>(</w:t>
          </w:r>
          <w:r>
            <w:rPr>
              <w:rFonts w:hint="cs"/>
              <w:noProof/>
            </w:rPr>
            <w:t>Bataineh</w:t>
          </w:r>
          <w:r>
            <w:rPr>
              <w:rFonts w:hint="cs"/>
              <w:noProof/>
              <w:rtl/>
            </w:rPr>
            <w:t>، 2019)</w:t>
          </w:r>
          <w:r>
            <w:rPr>
              <w:rtl/>
            </w:rPr>
            <w:fldChar w:fldCharType="end"/>
          </w:r>
        </w:sdtContent>
      </w:sdt>
      <w:r>
        <w:rPr>
          <w:rtl/>
        </w:rPr>
        <w:t>.</w:t>
      </w:r>
    </w:p>
    <w:p w14:paraId="60BB2574" w14:textId="77777777" w:rsidR="00D87892" w:rsidRDefault="00D87892" w:rsidP="00D87892">
      <w:pPr>
        <w:pStyle w:val="a0"/>
        <w:rPr>
          <w:rtl/>
        </w:rPr>
      </w:pPr>
      <w:r>
        <w:rPr>
          <w:rtl/>
        </w:rPr>
        <w:t>برامج التوازن بين العمل والحياة هي متغير مستقل في هذه الدراسة، وتُشير إلى السياسات والممارسات التي تتبناها الشركات لتعزيز التوازن بين الحياة الشخصية والمهنية للموظفين. تشمل هذه البرامج مجموعة متنوعة من المبادرات، مثل ساعات العمل المرنة، والعمل عن بُعد، وتوفير إجازات للأمور العائلية. تهدف هذه البرامج إلى تقليل الضغط النفسي الناتج عن التعارض بين الالتزامات العملية والعائلية، مما يسهم في تحسين جودة حياة الموظف. يُعتبر وجود هذه البرامج عاملاً مهماً في جذب المواهب والاحتفاظ بها، حيث يسعى الموظفون إلى العمل في بيئات تدعم توازن حياتهم</w:t>
      </w:r>
      <w:r>
        <w:rPr>
          <w:rFonts w:hint="cs"/>
          <w:rtl/>
        </w:rPr>
        <w:t xml:space="preserve"> </w:t>
      </w:r>
      <w:sdt>
        <w:sdtPr>
          <w:rPr>
            <w:rFonts w:hint="cs"/>
            <w:rtl/>
          </w:rPr>
          <w:id w:val="-4552594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Sir \l 3073</w:instrText>
          </w:r>
          <w:r>
            <w:rPr>
              <w:rtl/>
            </w:rPr>
            <w:instrText xml:space="preserve"> </w:instrText>
          </w:r>
          <w:r>
            <w:rPr>
              <w:rtl/>
            </w:rPr>
            <w:fldChar w:fldCharType="separate"/>
          </w:r>
          <w:r>
            <w:rPr>
              <w:rFonts w:hint="cs"/>
              <w:noProof/>
              <w:rtl/>
            </w:rPr>
            <w:t>(</w:t>
          </w:r>
          <w:r>
            <w:rPr>
              <w:rFonts w:hint="cs"/>
              <w:noProof/>
            </w:rPr>
            <w:t>Siraj</w:t>
          </w:r>
          <w:r>
            <w:rPr>
              <w:rFonts w:hint="cs"/>
              <w:noProof/>
              <w:rtl/>
            </w:rPr>
            <w:t>، 2023)</w:t>
          </w:r>
          <w:r>
            <w:rPr>
              <w:rtl/>
            </w:rPr>
            <w:fldChar w:fldCharType="end"/>
          </w:r>
        </w:sdtContent>
      </w:sdt>
      <w:r>
        <w:rPr>
          <w:rtl/>
        </w:rPr>
        <w:t>.</w:t>
      </w:r>
    </w:p>
    <w:p w14:paraId="0698C064" w14:textId="77777777" w:rsidR="00D87892" w:rsidRDefault="00D87892" w:rsidP="00D87892">
      <w:pPr>
        <w:pStyle w:val="a0"/>
        <w:rPr>
          <w:rtl/>
        </w:rPr>
      </w:pPr>
      <w:r>
        <w:rPr>
          <w:rtl/>
        </w:rPr>
        <w:t xml:space="preserve">العلاقة بين برامج التوازن بين العمل والحياة ورضا الموظفين وأدائهم هي علاقة تفاعلية تؤثر فيها العوامل المتعددة. فعندما تُطبق الشركات برامج فعالة للتوازن بين العمل والحياة، فإن ذلك ينعكس إيجابًا على رضا الموظفين، حيث يشعر الموظفون بأن احتياجاتهم الشخصية تُحترم، مما يعزز التزامهم وحماسهم تجاه العمل. من جهة أخرى، كلما زاد رضا الموظف، زادت </w:t>
      </w:r>
      <w:r>
        <w:rPr>
          <w:rtl/>
        </w:rPr>
        <w:lastRenderedPageBreak/>
        <w:t>احتمالية تحسين أدائه في العمل. هذه الديناميكية تشير إلى أن تحسين بيئة العمل من خلال برامج التوازن يمكن أن يُسهم بشكل كبير في رفع مستويات الأداء والإنتاجية</w:t>
      </w:r>
      <w:r>
        <w:rPr>
          <w:rFonts w:hint="cs"/>
          <w:rtl/>
        </w:rPr>
        <w:t xml:space="preserve"> </w:t>
      </w:r>
      <w:sdt>
        <w:sdtPr>
          <w:rPr>
            <w:rFonts w:hint="cs"/>
            <w:rtl/>
          </w:rPr>
          <w:id w:val="1327456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Sub21 \l 3073</w:instrText>
          </w:r>
          <w:r>
            <w:rPr>
              <w:rtl/>
            </w:rPr>
            <w:instrText xml:space="preserve"> </w:instrText>
          </w:r>
          <w:r>
            <w:rPr>
              <w:rtl/>
            </w:rPr>
            <w:fldChar w:fldCharType="separate"/>
          </w:r>
          <w:r>
            <w:rPr>
              <w:rFonts w:hint="cs"/>
              <w:noProof/>
              <w:rtl/>
            </w:rPr>
            <w:t>(</w:t>
          </w:r>
          <w:r>
            <w:rPr>
              <w:rFonts w:hint="cs"/>
              <w:noProof/>
            </w:rPr>
            <w:t>Subbarayalu</w:t>
          </w:r>
          <w:r>
            <w:rPr>
              <w:rFonts w:hint="cs"/>
              <w:noProof/>
              <w:rtl/>
            </w:rPr>
            <w:t>، 2021)</w:t>
          </w:r>
          <w:r>
            <w:rPr>
              <w:rtl/>
            </w:rPr>
            <w:fldChar w:fldCharType="end"/>
          </w:r>
        </w:sdtContent>
      </w:sdt>
      <w:r>
        <w:rPr>
          <w:rtl/>
        </w:rPr>
        <w:t>.</w:t>
      </w:r>
    </w:p>
    <w:p w14:paraId="2D19695D" w14:textId="77777777" w:rsidR="00D87892" w:rsidRDefault="00D87892" w:rsidP="00D87892">
      <w:pPr>
        <w:pStyle w:val="a0"/>
        <w:rPr>
          <w:rtl/>
        </w:rPr>
      </w:pPr>
      <w:r>
        <w:rPr>
          <w:rtl/>
        </w:rPr>
        <w:t>تهدف هذه الدراسة إلى استكشاف العلاقة بين برامج التوازن بين العمل والحياة ورضا الموظفين وأدائهم في شركات الإنشاء بالمملكة العربية السعودية. من خلال تحليل العوامل المؤثرة وقياس التأثيرات، تسعى الدراسة إلى تقديم توصيات عملية يمكن أن تساعد الشركات في تصميم وتنفيذ برامج فعالة تعزز من رضا الموظفين وأدائهم. يُعتبر فهم هذه العلاقة أمراً ضرورياً لمواجهة التحديات التي تواجهها القوى العاملة في قطاع الإنشاء، والذي يعتمد بشكل كبير على تحقيق التوازن بين ضغوط العمل واحتياجات الموظفين، مما يُسهم في تحقيق نجاح مستدام للشركات</w:t>
      </w:r>
      <w:r>
        <w:rPr>
          <w:rFonts w:hint="cs"/>
          <w:rtl/>
        </w:rPr>
        <w:t xml:space="preserve"> </w:t>
      </w:r>
      <w:sdt>
        <w:sdtPr>
          <w:rPr>
            <w:rFonts w:hint="cs"/>
            <w:rtl/>
          </w:rPr>
          <w:id w:val="213544639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Mos182 \l 3073</w:instrText>
          </w:r>
          <w:r>
            <w:rPr>
              <w:rtl/>
            </w:rPr>
            <w:instrText xml:space="preserve"> </w:instrText>
          </w:r>
          <w:r>
            <w:rPr>
              <w:rtl/>
            </w:rPr>
            <w:fldChar w:fldCharType="separate"/>
          </w:r>
          <w:r>
            <w:rPr>
              <w:rFonts w:hint="cs"/>
              <w:noProof/>
              <w:rtl/>
            </w:rPr>
            <w:t>(</w:t>
          </w:r>
          <w:r>
            <w:rPr>
              <w:rFonts w:hint="cs"/>
              <w:noProof/>
            </w:rPr>
            <w:t>Moshashai</w:t>
          </w:r>
          <w:r>
            <w:rPr>
              <w:rFonts w:hint="cs"/>
              <w:noProof/>
              <w:rtl/>
            </w:rPr>
            <w:t>، 2018)</w:t>
          </w:r>
          <w:r>
            <w:rPr>
              <w:rtl/>
            </w:rPr>
            <w:fldChar w:fldCharType="end"/>
          </w:r>
        </w:sdtContent>
      </w:sdt>
      <w:r>
        <w:rPr>
          <w:rtl/>
        </w:rPr>
        <w:t>.</w:t>
      </w:r>
    </w:p>
    <w:p w14:paraId="6E92D953" w14:textId="77777777" w:rsidR="00514AF6" w:rsidRPr="009F54D0" w:rsidRDefault="00514AF6" w:rsidP="00514AF6">
      <w:pPr>
        <w:pStyle w:val="a0"/>
        <w:rPr>
          <w:rtl/>
        </w:rPr>
      </w:pPr>
    </w:p>
    <w:p w14:paraId="12A83446" w14:textId="77777777" w:rsidR="00514AF6" w:rsidRPr="00A2723F" w:rsidRDefault="00514AF6" w:rsidP="00514AF6">
      <w:pPr>
        <w:pStyle w:val="Heading2"/>
        <w:rPr>
          <w:rtl/>
        </w:rPr>
      </w:pPr>
      <w:bookmarkStart w:id="2" w:name="_Toc171379042"/>
      <w:bookmarkStart w:id="3" w:name="_Toc174371283"/>
      <w:bookmarkStart w:id="4" w:name="_Toc179282771"/>
      <w:bookmarkStart w:id="5" w:name="_Toc180619266"/>
      <w:r>
        <w:rPr>
          <w:rtl/>
        </w:rPr>
        <w:t>مشكلة الدراسة:</w:t>
      </w:r>
      <w:bookmarkEnd w:id="2"/>
      <w:bookmarkEnd w:id="3"/>
      <w:bookmarkEnd w:id="4"/>
      <w:bookmarkEnd w:id="5"/>
    </w:p>
    <w:p w14:paraId="59EA234A"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تعتبر مسألة التوازن بين العمل والحياة واحدة من القضايا الجوهرية التي تشغل بال الموظفين وأرباب العمل في جميع أنحاء العالم. في المملكة العربية السعودية، أصبحت هذه المسألة أكثر إلحاحاً في ضوء التحولات الاقتصادية والاجتماعية التي تسعى إليها رؤية 2030. إن تحقيق توازن صحي بين متطلبات العمل واحتياجات الحياة الشخصية يُعد عاملاً حيوياً في تحسين جودة الحياة وتعزيز الرضا الوظيفي، مما يساهم بدوره في رفع مستوى الأداء والإنتاجية داخل المؤسسات. ومع ذلك، فإن فهم التأثير الحقيقي لهذه البرامج يتطلب دراسة معمقة ومفصلة تأخذ في الاعتبار السياق المحلي والتحديات الفريدة التي تواجه الموظفين وأرباب العمل في المملكة.</w:t>
      </w:r>
    </w:p>
    <w:p w14:paraId="0658C120"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التحديات في تطبيق برامج التوازن بين العمل والحياة</w:t>
      </w:r>
    </w:p>
    <w:p w14:paraId="15F5AA0A"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إحدى أبرز المشاكل التي تواجه تطبيق برامج التوازن بين العمل والحياة هي التباين الكبير بين القطاعات المختلفة في تبني وتطبيق هذه البرامج. فقد تكون بعض القطاعات، مثل التكنولوجيا والمالية، أكثر مرونة في تطبيق سياسات العمل عن بُعد وساعات العمل المرنة، بينما تواجه قطاعات أخرى، مثل الصناعة والتصنيع، صعوبة أكبر في تقديم هذه الامتيازات نظراً لطبيعة العمل التي تتطلب حضوراً ميدانياً مستمراً. هذا التباين يخلق فجوة في الفوائد التي يمكن أن يجنيها الموظفون بناءً على القطاع الذي يعملون فيه، مما يؤثر على رضاهم وأدائهم بشكل متفاوت.</w:t>
      </w:r>
    </w:p>
    <w:p w14:paraId="0C890B11"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lastRenderedPageBreak/>
        <w:t>تأثير الثقافة الاجتماعية على تطبيق البرامج</w:t>
      </w:r>
    </w:p>
    <w:p w14:paraId="007A3EF5"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في المجتمع السعودي، تلعب الثقافة الاجتماعية والعائلية دوراً كبيراً في تشكيل توقعات الأفراد حول التوازن بين العمل والحياة. بالنسبة للكثير من الموظفين، خاصة النساء، قد تكون هناك ضغوط اجتماعية وعائلية تجعل من الصعب التوفيق بين متطلبات العمل والحياة الشخصية. النساء العاملات، على وجه الخصوص، يواجهن تحديات إضافية تتعلق بالمسؤوليات العائلية وتوقعات المجتمع. لذا، فإن تصميم برامج التوازن بين العمل والحياة يجب أن يأخذ في الاعتبار هذه العوامل الثقافية والاجتماعية لضمان تقديم حلول فعالة تلبي احتياجات جميع الموظفين.</w:t>
      </w:r>
    </w:p>
    <w:p w14:paraId="6CCDDDD2"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قياس فعالية البرامج</w:t>
      </w:r>
    </w:p>
    <w:p w14:paraId="30C3B08F"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إحدى المشاكل الأخرى تتعلق بكيفية قياس فعالية برامج التوازن بين العمل والحياة. فبينما تشير العديد من الدراسات إلى الفوائد المحتملة لهذه البرامج، إلا أن هناك حاجة لمزيد من البحوث الميدانية التي تركز على السياق السعودي بشكل خاص. التحدي يكمن في تطوير مؤشرات قياس دقيقة وموضوعية تستطيع أن تعكس تأثير هذه البرامج على رضا الموظفين وأدائهم بشكل حقيقي. هذه المؤشرات يجب أن تشمل عوامل مثل معدل الرضا الوظيفي، مستوى الإنتاجية، معدل دوران الموظفين، بالإضافة إلى مستوى الضغط والإرهاق النفسي.</w:t>
      </w:r>
    </w:p>
    <w:p w14:paraId="5E593949"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دور الإدارة والقيادة في نجاح البرامج</w:t>
      </w:r>
    </w:p>
    <w:p w14:paraId="1FF78F78"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نجاح برامج التوازن بين العمل والحياة يعتمد بشكل كبير على التزام الإدارة العليا ودعمها لهذه المبادرات. إذا لم تكن هناك قيادة واضحة ودعم قوي من الإدارة، فقد تصبح هذه البرامج مجرد إجراءات شكلية دون تأثير حقيقي على أرض الواقع. لذلك، يجب على الإدارات التنفيذية والمؤسسات أن تلتزم بتوفير الموارد اللازمة وتطوير سياسات مستدامة تعزز من التوازن بين العمل والحياة. بالإضافة إلى ذلك، يجب على القادة أن يكونوا نموذجاً يحتذى به في تطبيق هذه السياسات وتشجيع الموظفين على الاستفادة منها.</w:t>
      </w:r>
    </w:p>
    <w:p w14:paraId="7747C249"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بيئة العمل وتأثيرها على البرامج</w:t>
      </w:r>
    </w:p>
    <w:p w14:paraId="16F5669B"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 xml:space="preserve">تعتبر بيئة العمل عنصراً حاسماً في نجاح برامج التوازن بين العمل والحياة. فإذا كانت بيئة العمل مشحونة بالضغوط والمطالب العالية، فقد تصبح أي برامج توازن بين العمل والحياة غير فعالة. يجب على المؤسسات العمل على خلق ثقافة </w:t>
      </w:r>
      <w:r w:rsidRPr="00E5033C">
        <w:rPr>
          <w:rFonts w:ascii="Sakkal Majalla" w:hAnsi="Sakkal Majalla" w:cs="Sakkal Majalla"/>
          <w:sz w:val="28"/>
          <w:szCs w:val="28"/>
          <w:rtl/>
          <w:lang w:bidi="ar-EG"/>
        </w:rPr>
        <w:lastRenderedPageBreak/>
        <w:t>تنظيمية تدعم التوازن بين العمل والحياة وتقدر قيمة الراحة النفسية والجسدية للموظفين. ذلك يتطلب تقديم تدريبات وبرامج توعية للموظفين حول أهمية التوازن بين العمل والحياة وتشجيعهم على تبني عادات صحية وإيجابية في بيئة العمل.</w:t>
      </w:r>
    </w:p>
    <w:p w14:paraId="5F6DF3FD" w14:textId="77777777" w:rsidR="00514AF6"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إن مشكلة الدراسة حول أثر برامج التوازن بين العمل والحياة على رضا الموظفين وأدائهم في المملكة العربية السعودية تُعد من القضايا المعقدة التي تتطلب دراسة شاملة ومعمقة. التحديات المتعلقة بتطبيق هذه البرامج والاختلافات الثقافية والاجتماعية، بالإضافة إلى كيفية قياس فعاليتها، تجعل من الضروري تبني نهج متعدد الأبعاد يأخذ في الاعتبار جميع هذه العوامل. من خلال فهم هذه التحديات وتطوير سياسات ملائمة، يمكن للمؤسسات في المملكة تعزيز رضا الموظفين وزيادة إنتاجيتهم، مما يساهم في تحقيق التنمية المستدامة وتحقيق أهداف رؤية 2030.</w:t>
      </w:r>
    </w:p>
    <w:p w14:paraId="18362D25" w14:textId="77777777" w:rsidR="00514AF6" w:rsidRPr="00E347E5" w:rsidRDefault="00514AF6" w:rsidP="00514AF6">
      <w:pPr>
        <w:pStyle w:val="Heading2"/>
        <w:rPr>
          <w:rtl/>
        </w:rPr>
      </w:pPr>
      <w:bookmarkStart w:id="6" w:name="_Toc171379044"/>
      <w:bookmarkStart w:id="7" w:name="_Toc174371285"/>
      <w:bookmarkStart w:id="8" w:name="_Toc179282773"/>
      <w:bookmarkStart w:id="9" w:name="_Toc180619267"/>
      <w:r>
        <w:rPr>
          <w:rtl/>
        </w:rPr>
        <w:t>أهداف الدراسة:</w:t>
      </w:r>
      <w:bookmarkStart w:id="10" w:name="_Toc171379043"/>
      <w:bookmarkStart w:id="11" w:name="_Toc174371284"/>
      <w:bookmarkStart w:id="12" w:name="_Toc179282772"/>
      <w:bookmarkEnd w:id="6"/>
      <w:bookmarkEnd w:id="7"/>
      <w:bookmarkEnd w:id="8"/>
      <w:bookmarkEnd w:id="9"/>
    </w:p>
    <w:p w14:paraId="716E9E0F" w14:textId="77777777" w:rsidR="00514AF6" w:rsidRDefault="00514AF6" w:rsidP="00514AF6">
      <w:pPr>
        <w:pStyle w:val="ListParagraph"/>
        <w:numPr>
          <w:ilvl w:val="0"/>
          <w:numId w:val="3"/>
        </w:numPr>
        <w:spacing w:after="0" w:line="360" w:lineRule="auto"/>
        <w:rPr>
          <w:rFonts w:ascii="Sakkal Majalla" w:hAnsi="Sakkal Majalla" w:cs="Sakkal Majalla"/>
          <w:b/>
          <w:bCs/>
          <w:sz w:val="28"/>
          <w:szCs w:val="28"/>
        </w:rPr>
      </w:pPr>
      <w:r w:rsidRPr="00DD123A">
        <w:rPr>
          <w:rFonts w:ascii="Sakkal Majalla" w:hAnsi="Sakkal Majalla" w:cs="Sakkal Majalla"/>
          <w:b/>
          <w:bCs/>
          <w:sz w:val="28"/>
          <w:szCs w:val="28"/>
          <w:rtl/>
        </w:rPr>
        <w:t>الهدف الرئيسي</w:t>
      </w:r>
    </w:p>
    <w:p w14:paraId="3BB29970" w14:textId="77777777" w:rsidR="00514AF6" w:rsidRPr="00E5033C" w:rsidRDefault="00514AF6" w:rsidP="00514AF6">
      <w:pPr>
        <w:spacing w:after="0" w:line="360" w:lineRule="auto"/>
        <w:rPr>
          <w:rFonts w:ascii="Sakkal Majalla" w:hAnsi="Sakkal Majalla" w:cs="Sakkal Majalla"/>
          <w:sz w:val="28"/>
          <w:szCs w:val="28"/>
        </w:rPr>
      </w:pPr>
      <w:r w:rsidRPr="00E5033C">
        <w:rPr>
          <w:rFonts w:ascii="Sakkal Majalla" w:hAnsi="Sakkal Majalla" w:cs="Sakkal Majalla"/>
          <w:sz w:val="28"/>
          <w:szCs w:val="28"/>
          <w:rtl/>
        </w:rPr>
        <w:t>تهدف هذه الدراسة بشكل رئيسي إلى استكشاف وتحليل أثر برامج التوازن بين العمل والحياة على رضا الموظفين وأدائهم في المملكة العربية السعودية. يعتبر فهم هذه العلاقة محورياً في تطوير استراتيجيات فعّالة لبيئة العمل التي تسعى إلى تحقيق التوازن بين احتياجات العمل واحتياجات الحياة الشخصية للموظفين. هذا الهدف الرئيسي ينبثق منه مجموعة من الأهداف الفرعية التي تساهم في تحقيق الفهم الشامل والوافي لتأثير هذه البرامج على مختلف جوانب العمل والحياة</w:t>
      </w:r>
      <w:r w:rsidRPr="00E5033C">
        <w:rPr>
          <w:rFonts w:ascii="Sakkal Majalla" w:hAnsi="Sakkal Majalla" w:cs="Sakkal Majalla"/>
          <w:sz w:val="28"/>
          <w:szCs w:val="28"/>
        </w:rPr>
        <w:t>.</w:t>
      </w:r>
    </w:p>
    <w:p w14:paraId="4DB53E6B" w14:textId="77777777" w:rsidR="00514AF6" w:rsidRDefault="00514AF6" w:rsidP="00514AF6">
      <w:pPr>
        <w:pStyle w:val="ListParagraph"/>
        <w:numPr>
          <w:ilvl w:val="0"/>
          <w:numId w:val="3"/>
        </w:numPr>
        <w:spacing w:after="0" w:line="360" w:lineRule="auto"/>
        <w:rPr>
          <w:rFonts w:ascii="Sakkal Majalla" w:hAnsi="Sakkal Majalla" w:cs="Sakkal Majalla"/>
          <w:b/>
          <w:bCs/>
          <w:sz w:val="28"/>
          <w:szCs w:val="28"/>
        </w:rPr>
      </w:pPr>
      <w:r w:rsidRPr="00DD123A">
        <w:rPr>
          <w:rFonts w:ascii="Sakkal Majalla" w:hAnsi="Sakkal Majalla" w:cs="Sakkal Majalla"/>
          <w:b/>
          <w:bCs/>
          <w:sz w:val="28"/>
          <w:szCs w:val="28"/>
          <w:rtl/>
        </w:rPr>
        <w:t>الأهداف الفرعية</w:t>
      </w:r>
    </w:p>
    <w:p w14:paraId="3D287BD1" w14:textId="77777777" w:rsidR="00514AF6" w:rsidRPr="00E5033C" w:rsidRDefault="00514AF6" w:rsidP="00514AF6">
      <w:pPr>
        <w:pStyle w:val="ListParagraph"/>
        <w:numPr>
          <w:ilvl w:val="0"/>
          <w:numId w:val="4"/>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قياس مستوى رضا الموظفين عن برامج التوازن بين العمل والحياة</w:t>
      </w:r>
    </w:p>
    <w:p w14:paraId="5522DECF"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قياس مدى رضا الموظفين عن برامج التوازن بين العمل والحياة المقدمة في مؤسساتهم. من خلال استطلاع آراء الموظفين وتقييم تجربتهم الشخصية مع هذه البرامج، يمكن الحصول على بيانات قيمة تساعد في فهم مستوى الرضا الوظيفي وكيفية تأثير هذه البرامج على شعور الموظفين بالراحة والرضا. هذه البيانات يمكن أن تسهم في تحسين تصميم البرامج الحالية وتطوير سياسات جديدة تلبي احتياجات الموظفين بشكل أفضل.</w:t>
      </w:r>
    </w:p>
    <w:p w14:paraId="35CA9BE4"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تحليل تأثير برامج التوازن بين العمل والحياة على الأداء الوظيفي</w:t>
      </w:r>
    </w:p>
    <w:p w14:paraId="38CB5ADC"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 xml:space="preserve">يهدف هذا الهدف إلى تحليل كيفية تأثير برامج التوازن بين العمل والحياة على الأداء الوظيفي للموظفين. من خلال دراسة العلاقة بين توفير بيئة عمل متوازنة وأداء الموظفين في مهامهم اليومية، يمكن تحديد العوامل التي تساهم في تحسين </w:t>
      </w:r>
      <w:r w:rsidRPr="00E5033C">
        <w:rPr>
          <w:rFonts w:ascii="Sakkal Majalla" w:hAnsi="Sakkal Majalla" w:cs="Sakkal Majalla"/>
          <w:sz w:val="28"/>
          <w:szCs w:val="28"/>
          <w:rtl/>
        </w:rPr>
        <w:lastRenderedPageBreak/>
        <w:t>الإنتاجية والكفاءة. هذا يشمل تحليل البيانات المتعلقة بالإنتاجية، معدلات الغياب، ومستويات الإبداع والابتكار في العمل. هذه النتائج تساهم في فهم الأثر العملي لتطبيق هذه البرامج على الأداء المؤسسي.</w:t>
      </w:r>
    </w:p>
    <w:p w14:paraId="6C698C60"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استكشاف تأثير التوازن بين العمل والحياة على الصحة النفسية والجسدية للموظفين</w:t>
      </w:r>
    </w:p>
    <w:p w14:paraId="283B32A4"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استكشاف كيفية تأثير برامج التوازن بين العمل والحياة على الصحة النفسية والجسدية للموظفين. من خلال تحليل مستويات التوتر، الإحباط، والإجهاد، بالإضافة إلى حالات الصحة الجسدية مثل مشاكل القلب، الضغط، والسكري، يمكن فهم كيف تسهم هذه البرامج في تحسين أو تدهور الحالة الصحية للموظفين. نتائج هذه الدراسة تساعد في تطوير برامج دعم نفسي وصحي تلبي احتياجات الموظفين وتعزز من صحتهم العامة.</w:t>
      </w:r>
    </w:p>
    <w:p w14:paraId="0212897C"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تقييم فعالية سياسات العمل المرن والإجازات المدفوعة</w:t>
      </w:r>
    </w:p>
    <w:p w14:paraId="1C310D9A"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تقييم فعالية سياسات العمل المرن والإجازات المدفوعة كجزء من برامج التوازن بين العمل والحياة. من خلال دراسة تجارب الموظفين مع هذه السياسات وتحليل مدى تأثيرها على رضاهم وأدائهم، يمكن تحديد مدى فعالية هذه السياسات وتقديم توصيات لتحسينها. هذا يشمل تحليل البيانات المتعلقة بالمرونة في ساعات العمل، إمكانية العمل عن بُعد، ونظام الإجازات المدفوعة، وكيفية تأثير هذه السياسات على الإنتاجية والرضا الوظيفي.</w:t>
      </w:r>
    </w:p>
    <w:p w14:paraId="20E37F3A"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استكشاف الفروق بين الجنسين في الاستفادة من برامج التوازن بين العمل والحياة</w:t>
      </w:r>
    </w:p>
    <w:p w14:paraId="529499FA"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استكشاف الفروق بين الجنسين في الاستفادة من برامج التوازن بين العمل والحياة. من خلال تحليل كيفية استفادة الرجال والنساء من هذه البرامج ومدى تأثيرها على رضاهم وأدائهم، يمكن فهم الفروق النوعية في تجربة الموظفين مع هذه البرامج. هذا يساعد في تطوير سياسات توازن بين العمل والحياة تكون شاملة ومراعية للفروق بين الجنسين، مما يضمن توفير بيئة عمل داعمة ومناسبة للجميع.</w:t>
      </w:r>
    </w:p>
    <w:p w14:paraId="29E3F7B8"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تحديد التحديات والفرص في تطبيق برامج التوازن بين العمل والحياة في السعودية</w:t>
      </w:r>
    </w:p>
    <w:p w14:paraId="29A316E7"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تحديد التحديات والفرص المرتبطة بتطبيق برامج التوازن بين العمل والحياة في سياق المملكة العربية السعودية. من خلال دراسة العقبات التي تواجه المؤسسات في تنفيذ هذه البرامج وتحليل الفرص المتاحة لتحسينها، يمكن تقديم توصيات عملية تساعد في تجاوز التحديات وتحقيق استفادة أكبر من هذه البرامج. هذا يشمل تحليل البيئة الثقافية والاجتماعية، اللوائح والسياسات الحكومية، والممارسات المؤسسية السائدة.</w:t>
      </w:r>
    </w:p>
    <w:p w14:paraId="70B25336"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lastRenderedPageBreak/>
        <w:t>تقديم توصيات لتحسين برامج التوازن بين العمل والحياة</w:t>
      </w:r>
    </w:p>
    <w:p w14:paraId="042F40C6"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يهدف هذا الهدف إلى تقديم توصيات عملية لتحسين برامج التوازن بين العمل والحياة بناءً على نتائج الدراسة. من خلال تحليل البيانات وتحديد أفضل الممارسات، يمكن تقديم توصيات محددة للمؤسسات حول كيفية تصميم وتنفيذ برامج فعّالة تلبي احتياجات الموظفين وتعزز من رضاهم وأدائهم. هذه التوصيات تشمل سياسات العمل المرن، الدعم الصحي والنفسي، وتحسين بيئة العمل العامة.</w:t>
      </w:r>
    </w:p>
    <w:p w14:paraId="23D48CAD" w14:textId="77777777" w:rsidR="00514AF6" w:rsidRPr="00E5033C" w:rsidRDefault="00514AF6" w:rsidP="00514AF6">
      <w:pPr>
        <w:spacing w:after="0" w:line="360" w:lineRule="auto"/>
        <w:rPr>
          <w:rFonts w:ascii="Sakkal Majalla" w:hAnsi="Sakkal Majalla" w:cs="Sakkal Majalla"/>
          <w:sz w:val="28"/>
          <w:szCs w:val="28"/>
          <w:rtl/>
        </w:rPr>
      </w:pPr>
      <w:r w:rsidRPr="00E5033C">
        <w:rPr>
          <w:rFonts w:ascii="Sakkal Majalla" w:hAnsi="Sakkal Majalla" w:cs="Sakkal Majalla"/>
          <w:sz w:val="28"/>
          <w:szCs w:val="28"/>
          <w:rtl/>
        </w:rPr>
        <w:t>تهدف هذه الدراسة إلى توفير فهم شامل وعميق لتأثير برامج التوازن بين العمل والحياة على رضا الموظفين وأدائهم في المملكة العربية السعودية. من خلال تحقيق الأهداف الفرعية المذكورة، يمكن تقديم رؤى وتوصيات تسهم في تطوير بيئات عمل داعمة وفعّالة تعزز من رضا الموظفين وإنتاجيتهم، مما ينعكس إيجابياً على الأداء المؤسسي العام. هذه الدراسة تعد إضافة قيمة للأدبيات البحثية في مجال إدارة الموارد البشرية وتطبيقاتها العملية في سياق المملكة.</w:t>
      </w:r>
    </w:p>
    <w:p w14:paraId="2C258AC9" w14:textId="77777777" w:rsidR="00514AF6" w:rsidRPr="00E347E5" w:rsidRDefault="00514AF6" w:rsidP="00514AF6">
      <w:pPr>
        <w:pStyle w:val="a0"/>
        <w:rPr>
          <w:rtl/>
          <w:lang w:bidi="ar-SA"/>
        </w:rPr>
      </w:pPr>
    </w:p>
    <w:p w14:paraId="374A14DD" w14:textId="77777777" w:rsidR="00514AF6" w:rsidRDefault="00514AF6" w:rsidP="00514AF6">
      <w:pPr>
        <w:pStyle w:val="Heading2"/>
      </w:pPr>
      <w:bookmarkStart w:id="13" w:name="_Toc180619268"/>
      <w:r>
        <w:rPr>
          <w:rtl/>
        </w:rPr>
        <w:t>أهمية الدراسة:</w:t>
      </w:r>
      <w:bookmarkEnd w:id="10"/>
      <w:bookmarkEnd w:id="11"/>
      <w:bookmarkEnd w:id="12"/>
      <w:bookmarkEnd w:id="13"/>
    </w:p>
    <w:p w14:paraId="300F45F1" w14:textId="77777777" w:rsidR="00514AF6" w:rsidRPr="00E5033C" w:rsidRDefault="00514AF6" w:rsidP="00514AF6">
      <w:pPr>
        <w:pStyle w:val="a"/>
        <w:rPr>
          <w:rtl/>
        </w:rPr>
      </w:pPr>
      <w:r>
        <w:rPr>
          <w:rFonts w:hint="cs"/>
          <w:rtl/>
        </w:rPr>
        <w:t>أهمية الدراسة العملية</w:t>
      </w:r>
    </w:p>
    <w:p w14:paraId="54FAF85B"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تعتبر برامج التوازن بين العمل والحياة من الأدوات العملية الهامة التي يمكن أن تسهم بشكل كبير في تحسين بيئة العمل ورفع مستوى رضا الموظفين وأدائهم. في المملكة العربية السعودية، تكتسب هذه البرامج أهمية خاصة في ضوء التغيرات الاقتصادية والاجتماعية الكبيرة التي تمر بها البلاد. هذه الدراسة تهدف إلى استكشاف الأثر العملي لهذه البرامج على الموظفين وأدائهم، وتوفير توصيات تطبيقية للمؤسسات لتحسين سياساتها وإجراءاتها.</w:t>
      </w:r>
    </w:p>
    <w:p w14:paraId="3B1691AD"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تحسين رضا الموظفين</w:t>
      </w:r>
    </w:p>
    <w:p w14:paraId="6BDF72C9"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 xml:space="preserve">تعد مسألة رضا الموظفين من الجوانب الحيوية التي تؤثر على الأداء العام للمؤسسات. توفر برامج التوازن بين العمل والحياة بيئة عمل داعمة تساعد الموظفين على تحقيق التوازن بين متطلبات العمل واحتياجات الحياة الشخصية. من خلال تقليل الضغوط النفسية والإجهاد المرتبط بالعمل، يمكن لهذه البرامج أن تساهم في رفع مستوى الرضا الوظيفي، مما ينعكس </w:t>
      </w:r>
      <w:r w:rsidRPr="00E5033C">
        <w:rPr>
          <w:rFonts w:ascii="Sakkal Majalla" w:hAnsi="Sakkal Majalla" w:cs="Sakkal Majalla"/>
          <w:sz w:val="28"/>
          <w:szCs w:val="28"/>
          <w:rtl/>
          <w:lang w:bidi="ar-EG"/>
        </w:rPr>
        <w:lastRenderedPageBreak/>
        <w:t>إيجابياً على مستوى التحفيز والإنتاجية. لذا، فإن فهم الأثر العملي لهذه البرامج يمكن أن يساعد المؤسسات على تطوير سياسات تلبي احتياجات الموظفين وتعزز من رضاهم.</w:t>
      </w:r>
    </w:p>
    <w:p w14:paraId="76437A29"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زيادة الإنتاجية</w:t>
      </w:r>
    </w:p>
    <w:p w14:paraId="15B25B87"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تشير العديد من الدراسات إلى أن الموظفين الذين يتمتعون بتوازن صحي بين العمل والحياة يكونون أكثر إنتاجية وإبداعاً في أداء مهامهم. في السياق السعودي، يمكن لتطبيق برامج التوازن بين العمل والحياة أن يسهم في تحسين مستوى الأداء المؤسسي بشكل ملحوظ. من خلال تقديم ساعات عمل مرنة، وإجازات مدفوعة، وخيارات العمل عن بُعد، يمكن للمؤسسات تمكين موظفيها من العمل بكفاءة أكبر وتقديم أفضل ما لديهم. هذا ينعكس بشكل مباشر على زيادة الإنتاجية وتحقيق الأهداف المؤسسية بكفاءة أعلى.</w:t>
      </w:r>
    </w:p>
    <w:p w14:paraId="766DFB6B"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تقليل معدل دوران الموظفين</w:t>
      </w:r>
    </w:p>
    <w:p w14:paraId="74532C9B"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تعد مشكلة ارتفاع معدل دوران الموظفين من التحديات الرئيسية التي تواجه العديد من المؤسسات. تطبيق برامج التوازن بين العمل والحياة يمكن أن يسهم بشكل كبير في تقليل هذا المعدل من خلال تعزيز ولاء الموظفين وتحسين رضاهم. عندما يشعر الموظفون بأن مؤسستهم تهتم برفاهيتهم وتعمل على تحقيق التوازن بين حياتهم المهنية والشخصية، يكونون أكثر ميلاً للبقاء في وظائفهم لفترات أطول. هذا يساهم في تقليل تكاليف التوظيف والتدريب المرتبطة بتعاقب الموظفين.</w:t>
      </w:r>
    </w:p>
    <w:p w14:paraId="35E33683"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تحسين الصحة النفسية والجسدية</w:t>
      </w:r>
    </w:p>
    <w:p w14:paraId="68AF1156"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تلعب الصحة النفسية والجسدية دوراً محورياً في أداء الموظفين وإنتاجيتهم. برامج التوازن بين العمل والحياة يمكن أن تساهم في تحسين صحة الموظفين من خلال تقليل مستويات التوتر والإجهاد المرتبطة بالعمل. تقديم فترات استراحة منتظمة، وتوفير خيارات العمل عن بُعد، وتنظيم أنشطة ترفيهية واجتماعية يمكن أن يعزز من صحة الموظفين بشكل عام. المؤسسات التي تهتم بصحة موظفيها تجد نفسها أكثر قدرة على تحقيق أداء عالٍ ومستدام.</w:t>
      </w:r>
    </w:p>
    <w:p w14:paraId="1F38F09A"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تعزيز الابتكار والإبداع</w:t>
      </w:r>
    </w:p>
    <w:p w14:paraId="66730E0C"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 xml:space="preserve">بيئة العمل التي تدعم التوازن بين العمل والحياة تشجع الموظفين على الابتكار والإبداع. عندما يشعر الموظفون بأن لديهم الوقت الكافي للاسترخاء والتفكير بحرية، يكونون أكثر قدرة على تقديم أفكار جديدة وحلول مبتكرة. في المملكة العربية </w:t>
      </w:r>
      <w:r w:rsidRPr="00E5033C">
        <w:rPr>
          <w:rFonts w:ascii="Sakkal Majalla" w:hAnsi="Sakkal Majalla" w:cs="Sakkal Majalla"/>
          <w:sz w:val="28"/>
          <w:szCs w:val="28"/>
          <w:rtl/>
          <w:lang w:bidi="ar-EG"/>
        </w:rPr>
        <w:lastRenderedPageBreak/>
        <w:t>السعودية، حيث تسعى المؤسسات إلى تحقيق تطور وتقدم مستدامين، يمكن لبرامج التوازن بين العمل والحياة أن تلعب دوراً كبيراً في تعزيز ثقافة الابتكار والإبداع داخل المؤسسات.</w:t>
      </w:r>
    </w:p>
    <w:p w14:paraId="66EED4D9"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دعم تحقيق أهداف رؤية 2030</w:t>
      </w:r>
    </w:p>
    <w:p w14:paraId="736877A6"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تلعب برامج التوازن بين العمل والحياة دوراً مهماً في دعم تحقيق أهداف رؤية 2030 التي تسعى إلى تحسين جودة الحياة وتعزيز رفاهية المواطنين. من خلال تحسين بيئة العمل ورفع مستوى رضا الموظفين، يمكن للمؤسسات المساهمة في تحقيق هذه الأهداف على المستوى الوطني. تطبيق هذه البرامج يساعد في بناء قوى عاملة متكاملة ومزدهرة، قادرة على مواجهة التحديات والمساهمة في التنمية المستدامة.</w:t>
      </w:r>
    </w:p>
    <w:p w14:paraId="09C30DF3"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توفير بيئة عمل مرنة وشاملة</w:t>
      </w:r>
    </w:p>
    <w:p w14:paraId="1AFAD375"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تعتبر المرونة والشمولية من الجوانب الأساسية التي تسعى المؤسسات الحديثة إلى تحقيقها. برامج التوازن بين العمل والحياة تتيح للمؤسسات تقديم بيئة عمل مرنة تتناسب مع احتياجات الموظفين المختلفة. من خلال تقديم خيارات متنوعة للعمل، يمكن للمؤسسات جذب مواهب متنوعة من خلفيات مختلفة، مما يعزز من تنوع القوى العاملة ويزيد من قدرتها على الابتكار والتكيف مع التغيرات.</w:t>
      </w:r>
    </w:p>
    <w:p w14:paraId="238F017A" w14:textId="77777777" w:rsidR="00514AF6" w:rsidRPr="00E5033C" w:rsidRDefault="00514AF6" w:rsidP="00514AF6">
      <w:pPr>
        <w:pStyle w:val="ListParagraph"/>
        <w:numPr>
          <w:ilvl w:val="0"/>
          <w:numId w:val="2"/>
        </w:numPr>
        <w:spacing w:after="0"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تعزيز سمعة المؤسسة</w:t>
      </w:r>
    </w:p>
    <w:p w14:paraId="40387438"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تطبيق برامج التوازن بين العمل والحياة يمكن أن يسهم في تحسين سمعة المؤسسة وجذب المواهب المتميزة. المؤسسات التي تهتم برفاهية موظفيها وتعمل على تحقيق توازن صحي بين العمل والحياة تتمتع بسمعة إيجابية في سوق العمل. هذا يساعد في جذب الكفاءات والمواهب التي تبحث عن بيئة عمل داعمة ومتوازنة، مما يعزز من قدرة المؤسسة على تحقيق نجاح مستدام.</w:t>
      </w:r>
    </w:p>
    <w:p w14:paraId="50CF6C72" w14:textId="77777777" w:rsidR="00514AF6" w:rsidRPr="00E5033C"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تتجلى الأهمية العملية لدراسة أثر برامج التوازن بين العمل والحياة على رضا الموظفين وأدائهم في المملكة العربية السعودية في العديد من الجوانب الحيوية. من تحسين رضا الموظفين وزيادة إنتاجيتهم، إلى تقليل معدل دوران الموظفين وتحسين الصحة النفسية والجسدية، تسهم هذه البرامج في تحقيق فوائد متعددة للمؤسسات. كما أنها تدعم تحقيق أهداف رؤية 2030 وتعزز من سمعة المؤسسة وجاذبيتها في سوق العمل. هذه الدراسة تقدم إرشادات عملية للمؤسسات لتطبيق برامج توازن بين العمل والحياة بفعالية، مما يساهم في بناء بيئات عمل مزدهرة ومستدامة في المملكة.</w:t>
      </w:r>
    </w:p>
    <w:p w14:paraId="40804507" w14:textId="77777777" w:rsidR="00514AF6" w:rsidRPr="00E5033C" w:rsidRDefault="00514AF6" w:rsidP="00514AF6">
      <w:pPr>
        <w:pStyle w:val="a"/>
        <w:rPr>
          <w:rtl/>
        </w:rPr>
      </w:pPr>
      <w:r>
        <w:rPr>
          <w:rFonts w:hint="cs"/>
          <w:rtl/>
        </w:rPr>
        <w:lastRenderedPageBreak/>
        <w:t>أهمية الدراسة العلمية</w:t>
      </w:r>
    </w:p>
    <w:p w14:paraId="13E501CD"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في سياق التحولات الاقتصادية والاجتماعية التي تشهدها المملكة العربية السعودية في إطار رؤية 2030، أصبح البحث عن أفضل الممارسات الإدارية لتحسين رضا الموظفين وزيادة إنتاجيتهم ضرورة ملحة. تأتي برامج التوازن بين العمل والحياة في مقدمة هذه الممارسات، حيث تساهم في خلق بيئة عمل إيجابية تساعد الموظفين على تحقيق التوازن بين متطلبات العمل واحتياجات الحياة الشخصية. هذا الموضوع يحظى بأهمية علمية كبيرة نظراً لتأثيره المباشر على الأداء المؤسسي وجودة الحياة العملية.</w:t>
      </w:r>
    </w:p>
    <w:p w14:paraId="5382CA4C"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تطوير نظريات الإدارة الحديثة</w:t>
      </w:r>
    </w:p>
    <w:p w14:paraId="5B97A19F"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تبرز أهمية هذه الدراسة من الناحية العلمية في كونها تسهم في تطوير نظريات الإدارة الحديثة المتعلقة بالتوازن بين العمل والحياة. فبينما تشير الدراسات العالمية إلى فوائد هذه البرامج، إلا أن هناك نقصاً في الأبحاث التي تركز على السياق السعودي. دراسة تأثير برامج التوازن بين العمل والحياة على رضا الموظفين وأدائهم في المملكة تتيح فهماً أعمق لكيفية تطبيق هذه البرامج في بيئات ثقافية واجتماعية مختلفة، مما يساهم في تطوير نظريات الإدارة بشكل يعكس التنوع الثقافي والاجتماعي.</w:t>
      </w:r>
    </w:p>
    <w:p w14:paraId="63202CB2"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إسهام في الأدبيات البحثية</w:t>
      </w:r>
    </w:p>
    <w:p w14:paraId="645FA3FE"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تعد هذه الدراسة إضافة قيمة للأدبيات البحثية في مجالي إدارة الموارد البشرية وعلم النفس التنظيمي. من خلال تحليل تأثير برامج التوازن بين العمل والحياة في سياق محدد مثل المملكة العربية السعودية، توفر الدراسة بيانات وأدلة علمية يمكن الاعتماد عليها لتطوير برامج وسياسات جديدة. هذه البيانات تساعد الباحثين والأكاديميين في فهم العلاقة بين التوازن بين العمل والحياة والرضا الوظيفي، وكيفية تأثير هذا التوازن على الأداء والإنتاجية.</w:t>
      </w:r>
    </w:p>
    <w:p w14:paraId="442346BA"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تحسين جودة الحياة العملية</w:t>
      </w:r>
    </w:p>
    <w:p w14:paraId="185D264A"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 xml:space="preserve">تعتبر نتائج هذه الدراسة مهمة في تحسين جودة الحياة العملية للموظفين. من خلال تقديم توصيات مبنية على أسس علمية، يمكن للمؤسسات تطبيق برامج توازن بين العمل والحياة تساعد الموظفين على تحقيق توازن صحي بين حياتهم المهنية </w:t>
      </w:r>
      <w:r w:rsidRPr="00E5033C">
        <w:rPr>
          <w:rFonts w:ascii="Sakkal Majalla" w:hAnsi="Sakkal Majalla" w:cs="Sakkal Majalla"/>
          <w:sz w:val="28"/>
          <w:szCs w:val="28"/>
          <w:rtl/>
          <w:lang w:bidi="ar-EG"/>
        </w:rPr>
        <w:lastRenderedPageBreak/>
        <w:t>والشخصية. هذه التوصيات يمكن أن تشمل سياسات العمل المرن، وإجازات مدفوعة، ودعم نفسي واجتماعي، مما ينعكس إيجاباً على رضا الموظفين وأدائهم.</w:t>
      </w:r>
    </w:p>
    <w:p w14:paraId="48929AC2"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تعزيز الأداء المؤسسي</w:t>
      </w:r>
    </w:p>
    <w:p w14:paraId="3B47CEF5"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تساعد هذه الدراسة المؤسسات في فهم كيفية استخدام برامج التوازن بين العمل والحياة كأداة استراتيجية لتعزيز الأداء المؤسسي. من خلال تحسين رضا الموظفين وزيادة إنتاجيتهم، يمكن للمؤسسات تحقيق أهدافها بشكل أكثر فعالية وكفاءة. كما أن تقديم بيئة عمل داعمة ومرنة يسهم في جذب المواهب والاحتفاظ بها، مما يعزز من تنافسية المؤسسة في السوق.</w:t>
      </w:r>
    </w:p>
    <w:p w14:paraId="4CDB559C"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دعم السياسات الحكومية</w:t>
      </w:r>
    </w:p>
    <w:p w14:paraId="15701BE3"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تسهم نتائج هذه الدراسة في دعم السياسات الحكومية التي تهدف إلى تحسين جودة الحياة وتعزيز رفاهية المواطنين في المملكة العربية السعودية. من خلال تقديم بيانات وأدلة علمية حول فعالية برامج التوازن بين العمل والحياة، يمكن للحكومة تطوير سياسات عامة تدعم هذه البرامج وتروج لها بين المؤسسات العامة والخاصة. هذا يسهم في تحقيق أهداف رؤية 2030 المتعلقة بتحسين جودة الحياة وزيادة الإنتاجية.</w:t>
      </w:r>
    </w:p>
    <w:p w14:paraId="08EAA19E"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تطبيقات متعددة القطاعات</w:t>
      </w:r>
    </w:p>
    <w:p w14:paraId="2C46EF2F"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يمكن تطبيق نتائج هذه الدراسة في مختلف القطاعات الاقتصادية بالمملكة، مما يتيح تحسينات واسعة النطاق في بيئات العمل. سواء في القطاع العام أو الخاص، يمكن للمؤسسات الاستفادة من التوصيات المستخلصة من الدراسة لتطبيق برامج توازن بين العمل والحياة تتناسب مع احتياجات موظفيها وطبيعة أعمالها. هذا يتيح تحقيق فوائد متعددة تشمل تحسين الرضا الوظيفي، وزيادة الإنتاجية، وتقليل معدل دوران الموظفين.</w:t>
      </w:r>
    </w:p>
    <w:p w14:paraId="3852AE2C"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الإسهام في التنمية المستدامة</w:t>
      </w:r>
    </w:p>
    <w:p w14:paraId="56F0AE7E"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 xml:space="preserve">تعتبر هذه الدراسة جزءاً من الجهود المبذولة لتحقيق التنمية المستدامة في المملكة. من خلال تحسين بيئات العمل وتعزيز رضا الموظفين، تسهم برامج التوازن بين العمل والحياة في بناء اقتصاد قوي ومستدام يعتمد على قوى عاملة مبدعة ومنتجة. </w:t>
      </w:r>
      <w:r w:rsidRPr="00E5033C">
        <w:rPr>
          <w:rFonts w:ascii="Sakkal Majalla" w:hAnsi="Sakkal Majalla" w:cs="Sakkal Majalla"/>
          <w:sz w:val="28"/>
          <w:szCs w:val="28"/>
          <w:rtl/>
          <w:lang w:bidi="ar-EG"/>
        </w:rPr>
        <w:lastRenderedPageBreak/>
        <w:t>هذه الجهود تساهم في تحقيق أهداف التنمية المستدامة المتعلقة بالصحة الجيدة والرفاهية، والعمل اللائق والنمو الاقتصادي.</w:t>
      </w:r>
    </w:p>
    <w:p w14:paraId="6A62EFD0"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lang w:bidi="ar-EG"/>
        </w:rPr>
      </w:pPr>
      <w:r w:rsidRPr="00E5033C">
        <w:rPr>
          <w:rFonts w:ascii="Sakkal Majalla" w:hAnsi="Sakkal Majalla" w:cs="Sakkal Majalla"/>
          <w:b/>
          <w:bCs/>
          <w:sz w:val="28"/>
          <w:szCs w:val="28"/>
          <w:rtl/>
          <w:lang w:bidi="ar-EG"/>
        </w:rPr>
        <w:t>تعزيز المسؤولية الاجتماعية</w:t>
      </w:r>
    </w:p>
    <w:p w14:paraId="7096E8CF" w14:textId="77777777" w:rsidR="00514AF6" w:rsidRPr="00E5033C" w:rsidRDefault="00514AF6" w:rsidP="00514AF6">
      <w:pPr>
        <w:spacing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أخيراً، تسهم هذه الدراسة في تعزيز مفهوم المسؤولية الاجتماعية للمؤسسات. من خلال تطبيق برامج التوازن بين العمل والحياة، تظهر المؤسسات التزامها برفاهية موظفيها واهتمامها بتلبية احتياجاتهم الشخصية والمهنية. هذا يعزز من صورة المؤسسة كمؤسسة مسؤولة اجتماعياً، مما يزيد من جاذبيتها للعملاء والشركاء والمستثمرين.</w:t>
      </w:r>
    </w:p>
    <w:p w14:paraId="686E3CC4" w14:textId="77777777" w:rsidR="00514AF6" w:rsidRDefault="00514AF6" w:rsidP="00514AF6">
      <w:pPr>
        <w:spacing w:after="0" w:line="360" w:lineRule="auto"/>
        <w:rPr>
          <w:rFonts w:ascii="Sakkal Majalla" w:hAnsi="Sakkal Majalla" w:cs="Sakkal Majalla"/>
          <w:sz w:val="28"/>
          <w:szCs w:val="28"/>
          <w:rtl/>
          <w:lang w:bidi="ar-EG"/>
        </w:rPr>
      </w:pPr>
      <w:r w:rsidRPr="00E5033C">
        <w:rPr>
          <w:rFonts w:ascii="Sakkal Majalla" w:hAnsi="Sakkal Majalla" w:cs="Sakkal Majalla"/>
          <w:sz w:val="28"/>
          <w:szCs w:val="28"/>
          <w:rtl/>
          <w:lang w:bidi="ar-EG"/>
        </w:rPr>
        <w:t>تبرز أهمية دراسة أثر برامج التوازن بين العمل والحياة على رضا الموظفين وأدائهم في المملكة العربية السعودية من جوانب متعددة. تسهم هذه الدراسة في تطوير نظريات الإدارة، وإثراء الأدبيات البحثية، وتحسين جودة الحياة العملية، وتعزيز الأداء المؤسسي، ودعم السياسات الحكومية، وتطبيقاتها المتعددة في مختلف القطاعات، والإسهام في التنمية المستدامة، وتعزيز المسؤولية الاجتماعية. كل هذه الجوانب تجعل من هذه الدراسة ضرورة علمية تسهم في تحقيق التنمية الشاملة والمستدامة في المملكة.</w:t>
      </w:r>
    </w:p>
    <w:p w14:paraId="681E16DF" w14:textId="77777777" w:rsidR="00514AF6" w:rsidRPr="00DA7632" w:rsidRDefault="00514AF6" w:rsidP="00514AF6">
      <w:pPr>
        <w:pStyle w:val="a0"/>
      </w:pPr>
    </w:p>
    <w:p w14:paraId="656069E3" w14:textId="77777777" w:rsidR="00514AF6" w:rsidRDefault="00514AF6" w:rsidP="00514AF6">
      <w:pPr>
        <w:pStyle w:val="Heading2"/>
        <w:rPr>
          <w:rtl/>
        </w:rPr>
      </w:pPr>
      <w:bookmarkStart w:id="14" w:name="_Toc171379045"/>
      <w:bookmarkStart w:id="15" w:name="_Toc174371286"/>
      <w:bookmarkStart w:id="16" w:name="_Toc179282774"/>
      <w:bookmarkStart w:id="17" w:name="_Toc180619269"/>
      <w:r>
        <w:rPr>
          <w:rtl/>
        </w:rPr>
        <w:t>تساؤلات الدراسة</w:t>
      </w:r>
      <w:r>
        <w:rPr>
          <w:rFonts w:hint="cs"/>
          <w:rtl/>
        </w:rPr>
        <w:t>:</w:t>
      </w:r>
      <w:bookmarkEnd w:id="14"/>
      <w:bookmarkEnd w:id="15"/>
      <w:bookmarkEnd w:id="16"/>
      <w:bookmarkEnd w:id="17"/>
    </w:p>
    <w:p w14:paraId="3ECB137D" w14:textId="77777777" w:rsidR="00514AF6" w:rsidRDefault="00514AF6" w:rsidP="00514AF6">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0FB77D14" w14:textId="77777777" w:rsidR="00514AF6" w:rsidRPr="00CF7507" w:rsidRDefault="00514AF6" w:rsidP="00514AF6">
      <w:pPr>
        <w:pStyle w:val="ListParagraph"/>
        <w:numPr>
          <w:ilvl w:val="0"/>
          <w:numId w:val="5"/>
        </w:numPr>
        <w:spacing w:after="0" w:line="360" w:lineRule="auto"/>
        <w:rPr>
          <w:rFonts w:ascii="Sakkal Majalla" w:hAnsi="Sakkal Majalla" w:cs="Sakkal Majalla"/>
          <w:sz w:val="28"/>
          <w:szCs w:val="28"/>
          <w:rtl/>
        </w:rPr>
      </w:pPr>
      <w:r w:rsidRPr="00CF7507">
        <w:rPr>
          <w:rFonts w:ascii="Sakkal Majalla" w:hAnsi="Sakkal Majalla" w:cs="Sakkal Majalla"/>
          <w:sz w:val="28"/>
          <w:szCs w:val="28"/>
          <w:rtl/>
        </w:rPr>
        <w:t>كيف تؤثر برامج التوازن بين العمل والحياة على رضا الموظفين وأدائهم في المملكة العربية السعودية؟</w:t>
      </w:r>
    </w:p>
    <w:p w14:paraId="0D461381" w14:textId="77777777" w:rsidR="00514AF6" w:rsidRDefault="00514AF6" w:rsidP="00514AF6">
      <w:pPr>
        <w:spacing w:after="0" w:line="360" w:lineRule="auto"/>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p>
    <w:p w14:paraId="5466E7EC" w14:textId="77777777" w:rsidR="00514AF6" w:rsidRPr="00CF7507" w:rsidRDefault="00514AF6" w:rsidP="00514AF6">
      <w:pPr>
        <w:pStyle w:val="ListParagraph"/>
        <w:numPr>
          <w:ilvl w:val="0"/>
          <w:numId w:val="6"/>
        </w:numPr>
        <w:spacing w:after="0" w:line="360" w:lineRule="auto"/>
        <w:rPr>
          <w:rFonts w:ascii="Sakkal Majalla" w:hAnsi="Sakkal Majalla" w:cs="Sakkal Majalla"/>
          <w:sz w:val="28"/>
          <w:szCs w:val="28"/>
          <w:lang w:bidi="ar-EG"/>
        </w:rPr>
      </w:pPr>
      <w:r w:rsidRPr="00CF7507">
        <w:rPr>
          <w:rFonts w:ascii="Sakkal Majalla" w:hAnsi="Sakkal Majalla" w:cs="Sakkal Majalla"/>
          <w:sz w:val="28"/>
          <w:szCs w:val="28"/>
          <w:rtl/>
        </w:rPr>
        <w:t>ما هي أهمية برامج التوازن بين العمل والحياة في تعزيز رضا الموظفين في المؤسسات السعودية؟</w:t>
      </w:r>
    </w:p>
    <w:p w14:paraId="0ADC1B16" w14:textId="77777777" w:rsidR="00514AF6" w:rsidRPr="00CF7507" w:rsidRDefault="00514AF6" w:rsidP="00514AF6">
      <w:pPr>
        <w:pStyle w:val="ListParagraph"/>
        <w:numPr>
          <w:ilvl w:val="0"/>
          <w:numId w:val="6"/>
        </w:numPr>
        <w:spacing w:after="0" w:line="360" w:lineRule="auto"/>
        <w:rPr>
          <w:rFonts w:ascii="Sakkal Majalla" w:hAnsi="Sakkal Majalla" w:cs="Sakkal Majalla"/>
          <w:sz w:val="28"/>
          <w:szCs w:val="28"/>
          <w:lang w:bidi="ar-EG"/>
        </w:rPr>
      </w:pPr>
      <w:r w:rsidRPr="00CF7507">
        <w:rPr>
          <w:rFonts w:ascii="Sakkal Majalla" w:hAnsi="Sakkal Majalla" w:cs="Sakkal Majalla"/>
          <w:sz w:val="28"/>
          <w:szCs w:val="28"/>
          <w:rtl/>
        </w:rPr>
        <w:t>كيف يمكن تحسين أداء الموظفين من خلال تطبيق برامج التوازن بين العمل والحياة في السعودية؟</w:t>
      </w:r>
    </w:p>
    <w:p w14:paraId="3907C002" w14:textId="77777777" w:rsidR="00514AF6" w:rsidRPr="00CF7507" w:rsidRDefault="00514AF6" w:rsidP="00514AF6">
      <w:pPr>
        <w:pStyle w:val="ListParagraph"/>
        <w:numPr>
          <w:ilvl w:val="0"/>
          <w:numId w:val="6"/>
        </w:numPr>
        <w:spacing w:after="0" w:line="360" w:lineRule="auto"/>
        <w:rPr>
          <w:rFonts w:ascii="Sakkal Majalla" w:hAnsi="Sakkal Majalla" w:cs="Sakkal Majalla"/>
          <w:sz w:val="28"/>
          <w:szCs w:val="28"/>
          <w:lang w:bidi="ar-EG"/>
        </w:rPr>
      </w:pPr>
      <w:r w:rsidRPr="00CF7507">
        <w:rPr>
          <w:rFonts w:ascii="Sakkal Majalla" w:hAnsi="Sakkal Majalla" w:cs="Sakkal Majalla"/>
          <w:sz w:val="28"/>
          <w:szCs w:val="28"/>
          <w:rtl/>
        </w:rPr>
        <w:t>ما هي العوامل التي تؤثر على فعالية برامج التوازن بين العمل والحياة في المملكة العربية السعودية؟</w:t>
      </w:r>
    </w:p>
    <w:p w14:paraId="795DDC39" w14:textId="77777777" w:rsidR="00514AF6" w:rsidRPr="00CF7507" w:rsidRDefault="00514AF6" w:rsidP="00514AF6">
      <w:pPr>
        <w:pStyle w:val="ListParagraph"/>
        <w:numPr>
          <w:ilvl w:val="0"/>
          <w:numId w:val="6"/>
        </w:numPr>
        <w:spacing w:after="0" w:line="360" w:lineRule="auto"/>
        <w:rPr>
          <w:rFonts w:ascii="Sakkal Majalla" w:hAnsi="Sakkal Majalla" w:cs="Sakkal Majalla"/>
          <w:sz w:val="28"/>
          <w:szCs w:val="28"/>
          <w:lang w:bidi="ar-EG"/>
        </w:rPr>
      </w:pPr>
      <w:r w:rsidRPr="00CF7507">
        <w:rPr>
          <w:rFonts w:ascii="Sakkal Majalla" w:hAnsi="Sakkal Majalla" w:cs="Sakkal Majalla"/>
          <w:sz w:val="28"/>
          <w:szCs w:val="28"/>
          <w:rtl/>
        </w:rPr>
        <w:t>كيف يمكن قياس تأثير برامج التوازن بين العمل والحياة على رضا الموظفين وأدائهم بطريقة كمية في السعودية؟</w:t>
      </w:r>
    </w:p>
    <w:p w14:paraId="20D66C32" w14:textId="77777777" w:rsidR="00514AF6" w:rsidRPr="009F54D0" w:rsidRDefault="00514AF6" w:rsidP="00514AF6">
      <w:pPr>
        <w:pStyle w:val="ListParagraph"/>
        <w:numPr>
          <w:ilvl w:val="0"/>
          <w:numId w:val="6"/>
        </w:numPr>
        <w:spacing w:after="0" w:line="360" w:lineRule="auto"/>
        <w:rPr>
          <w:rFonts w:ascii="Sakkal Majalla" w:hAnsi="Sakkal Majalla" w:cs="Sakkal Majalla"/>
          <w:sz w:val="28"/>
          <w:szCs w:val="28"/>
          <w:rtl/>
        </w:rPr>
      </w:pPr>
      <w:r w:rsidRPr="00CF7507">
        <w:rPr>
          <w:rFonts w:ascii="Sakkal Majalla" w:hAnsi="Sakkal Majalla" w:cs="Sakkal Majalla"/>
          <w:sz w:val="28"/>
          <w:szCs w:val="28"/>
          <w:rtl/>
        </w:rPr>
        <w:lastRenderedPageBreak/>
        <w:t>ما هي التحديات التي تواجه تطبيق برامج التوازن بين العمل والحياة في البيئة الثقافية والاجتماعية للمملكة العربية السعودية؟</w:t>
      </w:r>
    </w:p>
    <w:p w14:paraId="5D018CCF" w14:textId="77777777" w:rsidR="00514AF6" w:rsidRPr="009F54D0" w:rsidRDefault="00514AF6" w:rsidP="00514AF6">
      <w:pPr>
        <w:rPr>
          <w:rtl/>
          <w:lang w:bidi="ar-EG"/>
        </w:rPr>
      </w:pPr>
    </w:p>
    <w:p w14:paraId="1F83C874" w14:textId="77777777" w:rsidR="00514AF6" w:rsidRDefault="00514AF6" w:rsidP="00514AF6">
      <w:pPr>
        <w:pStyle w:val="Heading2"/>
      </w:pPr>
      <w:bookmarkStart w:id="18" w:name="_Toc171379046"/>
      <w:bookmarkStart w:id="19" w:name="_Toc174371287"/>
      <w:bookmarkStart w:id="20" w:name="_Toc179282775"/>
      <w:bookmarkStart w:id="21" w:name="_Toc180619270"/>
      <w:r>
        <w:rPr>
          <w:rtl/>
        </w:rPr>
        <w:t>فر</w:t>
      </w:r>
      <w:r>
        <w:rPr>
          <w:rFonts w:hint="cs"/>
          <w:rtl/>
        </w:rPr>
        <w:t>ضيات</w:t>
      </w:r>
      <w:r>
        <w:rPr>
          <w:rtl/>
        </w:rPr>
        <w:t xml:space="preserve"> الدراسة:</w:t>
      </w:r>
      <w:bookmarkEnd w:id="18"/>
      <w:bookmarkEnd w:id="19"/>
      <w:bookmarkEnd w:id="20"/>
      <w:bookmarkEnd w:id="21"/>
    </w:p>
    <w:p w14:paraId="1DADC928" w14:textId="77777777" w:rsidR="00514AF6" w:rsidRDefault="00514AF6" w:rsidP="00514AF6">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w:t>
      </w:r>
      <w:r>
        <w:rPr>
          <w:rFonts w:ascii="Sakkal Majalla" w:hAnsi="Sakkal Majalla" w:cs="Sakkal Majalla" w:hint="cs"/>
          <w:b/>
          <w:bCs/>
          <w:sz w:val="28"/>
          <w:szCs w:val="28"/>
          <w:rtl/>
        </w:rPr>
        <w:t>ية</w:t>
      </w:r>
      <w:r w:rsidRPr="00A02D3C">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sidRPr="00A02D3C">
        <w:rPr>
          <w:rFonts w:ascii="Sakkal Majalla" w:hAnsi="Sakkal Majalla" w:cs="Sakkal Majalla"/>
          <w:b/>
          <w:bCs/>
          <w:sz w:val="28"/>
          <w:szCs w:val="28"/>
          <w:rtl/>
        </w:rPr>
        <w:t>:</w:t>
      </w:r>
    </w:p>
    <w:p w14:paraId="2F0AD428" w14:textId="77777777" w:rsidR="00514AF6" w:rsidRPr="00CF7507" w:rsidRDefault="00514AF6" w:rsidP="00514AF6">
      <w:pPr>
        <w:pStyle w:val="ListParagraph"/>
        <w:numPr>
          <w:ilvl w:val="0"/>
          <w:numId w:val="7"/>
        </w:numPr>
        <w:spacing w:after="0" w:line="360" w:lineRule="auto"/>
        <w:rPr>
          <w:rFonts w:ascii="Sakkal Majalla" w:hAnsi="Sakkal Majalla" w:cs="Sakkal Majalla"/>
          <w:sz w:val="28"/>
          <w:szCs w:val="28"/>
          <w:rtl/>
        </w:rPr>
      </w:pPr>
      <w:r w:rsidRPr="00CF7507">
        <w:rPr>
          <w:rFonts w:ascii="Sakkal Majalla" w:hAnsi="Sakkal Majalla" w:cs="Sakkal Majalla"/>
          <w:sz w:val="28"/>
          <w:szCs w:val="28"/>
          <w:rtl/>
        </w:rPr>
        <w:t>برنامج التوازن بين العمل والحياة له تأثير إيجابي</w:t>
      </w:r>
      <w:r w:rsidRPr="00CF7507">
        <w:rPr>
          <w:rFonts w:ascii="Sakkal Majalla" w:hAnsi="Sakkal Majalla" w:cs="Sakkal Majalla"/>
          <w:sz w:val="28"/>
          <w:szCs w:val="28"/>
        </w:rPr>
        <w:t xml:space="preserve"> </w:t>
      </w:r>
      <w:r w:rsidRPr="00CF7507">
        <w:rPr>
          <w:rFonts w:ascii="Sakkal Majalla" w:hAnsi="Sakkal Majalla" w:cs="Sakkal Majalla"/>
          <w:sz w:val="28"/>
          <w:szCs w:val="28"/>
          <w:rtl/>
        </w:rPr>
        <w:t>على رضا الموظفين وأدائهم في المملكة العربية السعودية</w:t>
      </w:r>
      <w:r w:rsidRPr="00CF7507">
        <w:rPr>
          <w:rFonts w:ascii="Sakkal Majalla" w:hAnsi="Sakkal Majalla" w:cs="Sakkal Majalla"/>
          <w:sz w:val="28"/>
          <w:szCs w:val="28"/>
        </w:rPr>
        <w:t>.</w:t>
      </w:r>
    </w:p>
    <w:p w14:paraId="4D79C717" w14:textId="77777777" w:rsidR="00514AF6" w:rsidRDefault="00514AF6" w:rsidP="00514AF6">
      <w:pPr>
        <w:spacing w:after="0" w:line="360" w:lineRule="auto"/>
        <w:rPr>
          <w:rFonts w:ascii="Sakkal Majalla" w:hAnsi="Sakkal Majalla" w:cs="Sakkal Majalla"/>
          <w:b/>
          <w:bCs/>
          <w:sz w:val="28"/>
          <w:szCs w:val="28"/>
          <w:rtl/>
        </w:rPr>
      </w:pPr>
      <w:r w:rsidRPr="00992F7A">
        <w:rPr>
          <w:rFonts w:ascii="Sakkal Majalla" w:hAnsi="Sakkal Majalla" w:cs="Sakkal Majalla" w:hint="cs"/>
          <w:b/>
          <w:bCs/>
          <w:sz w:val="28"/>
          <w:szCs w:val="28"/>
          <w:rtl/>
        </w:rPr>
        <w:t>الفروض الفرعية:</w:t>
      </w:r>
    </w:p>
    <w:p w14:paraId="53D79EE9" w14:textId="77777777" w:rsidR="00514AF6" w:rsidRPr="00CF7507" w:rsidRDefault="00514AF6" w:rsidP="00514AF6">
      <w:pPr>
        <w:pStyle w:val="ListParagraph"/>
        <w:numPr>
          <w:ilvl w:val="0"/>
          <w:numId w:val="8"/>
        </w:numPr>
        <w:spacing w:after="0" w:line="360" w:lineRule="auto"/>
        <w:rPr>
          <w:rFonts w:ascii="Sakkal Majalla" w:hAnsi="Sakkal Majalla" w:cs="Sakkal Majalla"/>
          <w:sz w:val="28"/>
          <w:szCs w:val="28"/>
        </w:rPr>
      </w:pPr>
      <w:r w:rsidRPr="00CF7507">
        <w:rPr>
          <w:rFonts w:ascii="Sakkal Majalla" w:hAnsi="Sakkal Majalla" w:cs="Sakkal Majalla"/>
          <w:sz w:val="28"/>
          <w:szCs w:val="28"/>
          <w:rtl/>
        </w:rPr>
        <w:t>وجود برامج فعالة للتوازن بين العمل والحياة تعزز رضا الموظفين في المؤسسات السعودية</w:t>
      </w:r>
      <w:r w:rsidRPr="00CF7507">
        <w:rPr>
          <w:rFonts w:ascii="Sakkal Majalla" w:hAnsi="Sakkal Majalla" w:cs="Sakkal Majalla"/>
          <w:sz w:val="28"/>
          <w:szCs w:val="28"/>
        </w:rPr>
        <w:t>.</w:t>
      </w:r>
    </w:p>
    <w:p w14:paraId="11F83D85" w14:textId="77777777" w:rsidR="00514AF6" w:rsidRPr="00CF7507" w:rsidRDefault="00514AF6" w:rsidP="00514AF6">
      <w:pPr>
        <w:pStyle w:val="ListParagraph"/>
        <w:numPr>
          <w:ilvl w:val="0"/>
          <w:numId w:val="8"/>
        </w:numPr>
        <w:spacing w:after="0" w:line="360" w:lineRule="auto"/>
        <w:rPr>
          <w:rFonts w:ascii="Sakkal Majalla" w:hAnsi="Sakkal Majalla" w:cs="Sakkal Majalla"/>
          <w:sz w:val="28"/>
          <w:szCs w:val="28"/>
        </w:rPr>
      </w:pPr>
      <w:r w:rsidRPr="00CF7507">
        <w:rPr>
          <w:rFonts w:ascii="Sakkal Majalla" w:hAnsi="Sakkal Majalla" w:cs="Sakkal Majalla"/>
          <w:sz w:val="28"/>
          <w:szCs w:val="28"/>
          <w:rtl/>
        </w:rPr>
        <w:t>تحسين رضا الموظفين من خلال برامج التوازن بين العمل والحياة يؤدي إلى تحسين أدائهم الفردي في العمل</w:t>
      </w:r>
      <w:r w:rsidRPr="00CF7507">
        <w:rPr>
          <w:rFonts w:ascii="Sakkal Majalla" w:hAnsi="Sakkal Majalla" w:cs="Sakkal Majalla"/>
          <w:sz w:val="28"/>
          <w:szCs w:val="28"/>
        </w:rPr>
        <w:t>.</w:t>
      </w:r>
    </w:p>
    <w:p w14:paraId="7B5CC7DE" w14:textId="77777777" w:rsidR="00514AF6" w:rsidRPr="00CF7507" w:rsidRDefault="00514AF6" w:rsidP="00514AF6">
      <w:pPr>
        <w:pStyle w:val="ListParagraph"/>
        <w:numPr>
          <w:ilvl w:val="0"/>
          <w:numId w:val="8"/>
        </w:numPr>
        <w:spacing w:after="0" w:line="360" w:lineRule="auto"/>
        <w:rPr>
          <w:rFonts w:ascii="Sakkal Majalla" w:hAnsi="Sakkal Majalla" w:cs="Sakkal Majalla"/>
          <w:sz w:val="28"/>
          <w:szCs w:val="28"/>
        </w:rPr>
      </w:pPr>
      <w:r w:rsidRPr="00CF7507">
        <w:rPr>
          <w:rFonts w:ascii="Sakkal Majalla" w:hAnsi="Sakkal Majalla" w:cs="Sakkal Majalla"/>
          <w:sz w:val="28"/>
          <w:szCs w:val="28"/>
          <w:rtl/>
        </w:rPr>
        <w:t>العوامل الثقافية والاجتماعية في المملكة العربية السعودية تؤثر في فعالية برامج التوازن بين العمل والحياة وبالتالي على رضا الموظفين وأدائهم</w:t>
      </w:r>
      <w:r w:rsidRPr="00CF7507">
        <w:rPr>
          <w:rFonts w:ascii="Sakkal Majalla" w:hAnsi="Sakkal Majalla" w:cs="Sakkal Majalla"/>
          <w:sz w:val="28"/>
          <w:szCs w:val="28"/>
        </w:rPr>
        <w:t>.</w:t>
      </w:r>
    </w:p>
    <w:p w14:paraId="316C8476" w14:textId="77777777" w:rsidR="00514AF6" w:rsidRPr="00CF7507" w:rsidRDefault="00514AF6" w:rsidP="00514AF6">
      <w:pPr>
        <w:pStyle w:val="ListParagraph"/>
        <w:numPr>
          <w:ilvl w:val="0"/>
          <w:numId w:val="8"/>
        </w:numPr>
        <w:spacing w:after="0" w:line="360" w:lineRule="auto"/>
        <w:rPr>
          <w:rFonts w:ascii="Sakkal Majalla" w:hAnsi="Sakkal Majalla" w:cs="Sakkal Majalla"/>
          <w:sz w:val="28"/>
          <w:szCs w:val="28"/>
        </w:rPr>
      </w:pPr>
      <w:r w:rsidRPr="00CF7507">
        <w:rPr>
          <w:rFonts w:ascii="Sakkal Majalla" w:hAnsi="Sakkal Majalla" w:cs="Sakkal Majalla"/>
          <w:sz w:val="28"/>
          <w:szCs w:val="28"/>
          <w:rtl/>
        </w:rPr>
        <w:t>هناك تفاعل إيجابي بين رضا الموظفين وأدائهم الوظيفي عند تطبيق برامج التوازن بين العمل والحياة في السعودية</w:t>
      </w:r>
      <w:r w:rsidRPr="00CF7507">
        <w:rPr>
          <w:rFonts w:ascii="Sakkal Majalla" w:hAnsi="Sakkal Majalla" w:cs="Sakkal Majalla"/>
          <w:sz w:val="28"/>
          <w:szCs w:val="28"/>
        </w:rPr>
        <w:t>.</w:t>
      </w:r>
    </w:p>
    <w:p w14:paraId="2B22839A" w14:textId="77777777" w:rsidR="00514AF6" w:rsidRPr="009F54D0" w:rsidRDefault="00514AF6" w:rsidP="00514AF6">
      <w:pPr>
        <w:pStyle w:val="a0"/>
        <w:rPr>
          <w:rtl/>
        </w:rPr>
      </w:pPr>
    </w:p>
    <w:p w14:paraId="661F7187" w14:textId="77777777" w:rsidR="00514AF6" w:rsidRPr="00332D45" w:rsidRDefault="00514AF6" w:rsidP="00514AF6">
      <w:pPr>
        <w:pStyle w:val="Heading2"/>
        <w:rPr>
          <w:rtl/>
        </w:rPr>
      </w:pPr>
      <w:bookmarkStart w:id="22" w:name="_Toc180418603"/>
      <w:bookmarkStart w:id="23" w:name="_Toc180619271"/>
      <w:r w:rsidRPr="00332D45">
        <w:rPr>
          <w:rtl/>
        </w:rPr>
        <w:t>النظرية العلمية المتبعة لإعداد البحث</w:t>
      </w:r>
      <w:bookmarkEnd w:id="22"/>
      <w:bookmarkEnd w:id="23"/>
    </w:p>
    <w:p w14:paraId="5F5325ED"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تعد دراسة أثر برامج التوازن بين العمل والحياة على رضا الموظفين وأدائهم من الدراسات الهامة التي تعتمد على مجموعة من الأسس النظرية المتكاملة. تهدف هذه المنطلقات النظرية إلى توفير إطار علمي ومنهجي لفهم العلاقة بين هذه البرامج والنتائج المترتبة عليها من حيث الرضا والأداء الوظيفي.</w:t>
      </w:r>
    </w:p>
    <w:p w14:paraId="13E2E5CB"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التوازن بين العمل والحياة</w:t>
      </w:r>
    </w:p>
    <w:p w14:paraId="0296576B"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 xml:space="preserve">تقوم نظرية التوازن بين العمل والحياة على فكرة أن الأفراد يحتاجون إلى تحقيق توازن صحي بين متطلبات العمل والتزاماتهم الحياتية والشخصية. هذه النظرية تنطلق من فرضية أن العمل والحياة الشخصية ليسا </w:t>
      </w:r>
      <w:proofErr w:type="gramStart"/>
      <w:r w:rsidRPr="00E5033C">
        <w:rPr>
          <w:rFonts w:ascii="Sakkal Majalla" w:hAnsi="Sakkal Majalla" w:cs="Sakkal Majalla"/>
          <w:sz w:val="28"/>
          <w:szCs w:val="28"/>
          <w:rtl/>
        </w:rPr>
        <w:t>منفصلين</w:t>
      </w:r>
      <w:proofErr w:type="gramEnd"/>
      <w:r w:rsidRPr="00E5033C">
        <w:rPr>
          <w:rFonts w:ascii="Sakkal Majalla" w:hAnsi="Sakkal Majalla" w:cs="Sakkal Majalla"/>
          <w:sz w:val="28"/>
          <w:szCs w:val="28"/>
          <w:rtl/>
        </w:rPr>
        <w:t xml:space="preserve"> بل هما مترابطان ويؤثر كل منهما على الآخر بشكل مباشر. برامج التوازن بين العمل والحياة تهدف إلى خلق بيئة عمل مرنة تدعم هذا التوازن من </w:t>
      </w:r>
      <w:r w:rsidRPr="00E5033C">
        <w:rPr>
          <w:rFonts w:ascii="Sakkal Majalla" w:hAnsi="Sakkal Majalla" w:cs="Sakkal Majalla"/>
          <w:sz w:val="28"/>
          <w:szCs w:val="28"/>
          <w:rtl/>
        </w:rPr>
        <w:lastRenderedPageBreak/>
        <w:t>خلال تقديم سياسات مثل ساعات العمل المرنة، العمل عن بُعد، والإجازات المدفوعة. فهم كيفية تطبيق هذه النظرية في بيئة العمل السعودية يساعد في تحسين جودة الحياة الوظيفية والمهنية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9298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Hre23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Hreha</w:t>
          </w:r>
          <w:r w:rsidRPr="0012171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5CA45FF6"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الرضا الوظيفي</w:t>
      </w:r>
    </w:p>
    <w:p w14:paraId="29025423"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تعد نظرية الرضا الوظيفي من النظريات الأساسية في علم النفس التنظيمي. تنطلق هذه النظرية من فرضية أن رضا الموظفين يتعلق بعدة عوامل منها بيئة العمل، الأجور، فرص التقدم الوظيفي، والعلاقات مع الزملاء والمديرين. تطبيق برامج التوازن بين العمل والحياة يمكن أن يعزز من الرضا الوظيفي من خلال توفير بيئة عمل داعمة ومتوازنة. دراسة هذه النظرية تساهم في فهم كيف يمكن لتطبيق مثل هذه البرامج أن يؤثر على مستوى الرضا العام للموظفين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0926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Roselidyawaty</w:t>
          </w:r>
          <w:r w:rsidRPr="0012171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59627F2E"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الأداء الوظيفي</w:t>
      </w:r>
    </w:p>
    <w:p w14:paraId="32B5F7F4"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تهدف نظرية الأداء الوظيفي إلى فهم العوامل التي تؤثر على إنتاجية وكفاءة الموظفين في أداء مهامهم الوظيفية. تنطلق هذه النظرية من فرضية أن الأداء الوظيفي يتأثر بشكل كبير بمستوى الرضا والتحفيز الذي يشعر به الموظف. برامج التوازن بين العمل والحياة يمكن أن تسهم في تحسين الأداء الوظيفي من خلال تقليل مستويات الإجهاد والتوتر، وزيادة الشعور بالتحفيز والرضا. دراسة هذه النظرية تساهم في تحديد كيفية تأثير هذه البرامج على الأداء الفعلي للموظفين في سياق العمل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41561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Kri18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Krishnan</w:t>
          </w:r>
          <w:r w:rsidRPr="00121715">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09F6293B"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الضغوط النفسية</w:t>
      </w:r>
    </w:p>
    <w:p w14:paraId="43986AE4"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تعتبر نظرية الضغوط النفسية من النظريات التي تركز على فهم كيفية تأثير العوامل الخارجية والداخلية على الحالة النفسية للموظفين. تطبيق برامج التوازن بين العمل والحياة يمكن أن يساعد في تقليل الضغوط النفسية المرتبطة بالعمل من خلال توفير بيئة عمل مرنة وداعمة. فهم هذه النظرية يساعد في تحليل كيف يمكن لتقليل الضغوط النفسية أن يعزز من رضا الموظفين وأدائهم في المؤسسات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80224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Kamaldeep Bhui</w:t>
          </w:r>
          <w:r w:rsidRPr="00121715">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p>
    <w:p w14:paraId="494977FB"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الدعم التنظيمي</w:t>
      </w:r>
    </w:p>
    <w:p w14:paraId="228CB925"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lastRenderedPageBreak/>
        <w:t>تقوم نظرية الدعم التنظيمي على فرضية أن الموظفين يكونون أكثر رضا وإنتاجية عندما يشعرون بأن مؤسستهم تدعمهم وتقدر جهودهم. تطبيق برامج التوازن بين العمل والحياة يمكن أن يعتبر شكلاً من أشكال الدعم التنظيمي الذي يعزز من الشعور بالانتماء والرضا الوظيفي. دراسة هذه النظرية تساهم في فهم كيف يمكن للمؤسسات السعودية تطبيق سياسات دعم فعالة لتعزيز رضا وأداء موظفيها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72405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Eis20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Eisenberger</w:t>
          </w:r>
          <w:r w:rsidRPr="0012171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0BA77592"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نظرية التوقعات</w:t>
      </w:r>
    </w:p>
    <w:p w14:paraId="32560D33"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تنطلق نظرية التوقعات من فرضية أن الموظفين لديهم توقعات معينة من وظائفهم وأن مستوى رضاهم وأدائهم يتأثر بمدى تحقيق هذه التوقعات. برامج التوازن بين العمل والحياة يمكن أن تسهم في تحقيق توقعات الموظفين من خلال توفير بيئة عمل تلبي احتياجاتهم الشخصية والمهنية. فهم هذه النظرية يساعد في تحديد كيف يمكن لتلبية توقعات الموظفين أن يعزز من رضاهم وأدائهم في سياق العمل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04372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Fang</w:t>
          </w:r>
          <w:r w:rsidRPr="0012171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2A4528FB"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العلاقة بين العمل والحياة وجودة الحياة</w:t>
      </w:r>
    </w:p>
    <w:p w14:paraId="3A41FBA7"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تعتبر جودة الحياة من المفاهيم التي تشمل العديد من الجوانب المتعلقة برفاهية الأفراد، بما في ذلك الصحة النفسية والجسدية، والعلاقات الاجتماعية، والرضا العام عن الحياة. برامج التوازن بين العمل والحياة تهدف إلى تحسين جودة حياة الموظفين من خلال توفير بيئة عمل تدعم التوازن بين العمل والاحتياجات الشخصية. فهم هذه العلاقة يساعد في تحليل كيف يمكن لتحسين جودة حياة الموظفين أن يؤثر بشكل إيجابي على رضاهم وأدائهم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72682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Kashyap</w:t>
          </w:r>
          <w:r w:rsidRPr="00121715">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106000AD" w14:textId="77777777" w:rsidR="00514AF6" w:rsidRPr="00E5033C" w:rsidRDefault="00514AF6" w:rsidP="00514AF6">
      <w:pPr>
        <w:pStyle w:val="ListParagraph"/>
        <w:numPr>
          <w:ilvl w:val="0"/>
          <w:numId w:val="2"/>
        </w:numPr>
        <w:spacing w:line="360" w:lineRule="auto"/>
        <w:rPr>
          <w:rFonts w:ascii="Sakkal Majalla" w:hAnsi="Sakkal Majalla" w:cs="Sakkal Majalla"/>
          <w:b/>
          <w:bCs/>
          <w:sz w:val="28"/>
          <w:szCs w:val="28"/>
          <w:rtl/>
        </w:rPr>
      </w:pPr>
      <w:r w:rsidRPr="00E5033C">
        <w:rPr>
          <w:rFonts w:ascii="Sakkal Majalla" w:hAnsi="Sakkal Majalla" w:cs="Sakkal Majalla"/>
          <w:b/>
          <w:bCs/>
          <w:sz w:val="28"/>
          <w:szCs w:val="28"/>
          <w:rtl/>
        </w:rPr>
        <w:t>تطبيقات المنطلقات النظرية في السياق السعودي</w:t>
      </w:r>
    </w:p>
    <w:p w14:paraId="4E069981" w14:textId="77777777" w:rsidR="00514AF6" w:rsidRPr="00E5033C"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t>تطبيق هذه النظريات في السياق السعودي يتطلب مراعاة العوامل الثقافية والاجتماعية التي تؤثر على بيئة العمل والموظفين. فهم الثقافة المحلية والتحديات الاجتماعية يمكن أن يساعد في تصميم برامج توازن بين العمل والحياة تكون فعالة ومناسبة للبيئة السعودية. دراسة تطبيقات هذه النظريات في المؤسسات السعودية تساهم في تقديم توصيات عملية لتحسين بيئة العمل ورفع مستوى رضا وأداء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11028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21715">
            <w:rPr>
              <w:rFonts w:ascii="Sakkal Majalla" w:hAnsi="Sakkal Majalla" w:cs="Sakkal Majalla" w:hint="cs"/>
              <w:noProof/>
              <w:sz w:val="28"/>
              <w:szCs w:val="28"/>
              <w:rtl/>
              <w:lang w:bidi="ar-EG"/>
            </w:rPr>
            <w:t>(</w:t>
          </w:r>
          <w:r w:rsidRPr="00121715">
            <w:rPr>
              <w:rFonts w:ascii="Sakkal Majalla" w:hAnsi="Sakkal Majalla" w:cs="Sakkal Majalla" w:hint="cs"/>
              <w:noProof/>
              <w:sz w:val="28"/>
              <w:szCs w:val="28"/>
              <w:lang w:bidi="ar-EG"/>
            </w:rPr>
            <w:t>Ramadani</w:t>
          </w:r>
          <w:r w:rsidRPr="0012171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033C">
        <w:rPr>
          <w:rFonts w:ascii="Sakkal Majalla" w:hAnsi="Sakkal Majalla" w:cs="Sakkal Majalla"/>
          <w:sz w:val="28"/>
          <w:szCs w:val="28"/>
          <w:rtl/>
        </w:rPr>
        <w:t>.</w:t>
      </w:r>
    </w:p>
    <w:p w14:paraId="6E3BCD97" w14:textId="77777777" w:rsidR="00514AF6" w:rsidRDefault="00514AF6" w:rsidP="00514AF6">
      <w:pPr>
        <w:spacing w:line="360" w:lineRule="auto"/>
        <w:rPr>
          <w:rFonts w:ascii="Sakkal Majalla" w:hAnsi="Sakkal Majalla" w:cs="Sakkal Majalla"/>
          <w:sz w:val="28"/>
          <w:szCs w:val="28"/>
          <w:rtl/>
        </w:rPr>
      </w:pPr>
      <w:r w:rsidRPr="00E5033C">
        <w:rPr>
          <w:rFonts w:ascii="Sakkal Majalla" w:hAnsi="Sakkal Majalla" w:cs="Sakkal Majalla"/>
          <w:sz w:val="28"/>
          <w:szCs w:val="28"/>
          <w:rtl/>
        </w:rPr>
        <w:lastRenderedPageBreak/>
        <w:t>تعتمد دراسة أثر برامج التوازن بين العمل والحياة على رضا الموظفين وأدائهم في المملكة العربية السعودية على مجموعة من المنطلقات النظرية التي توفر إطاراً علمياً لفهم هذه العلاقة. من خلال تطبيق هذه النظريات في السياق السعودي، يمكن تقديم توصيات فعالة لتحسين بيئة العمل وتعزيز رضا وأداء الموظفين، مما ينعكس إيجابياً على الأداء المؤسسي العام.</w:t>
      </w:r>
    </w:p>
    <w:p w14:paraId="074B10FF" w14:textId="77777777" w:rsidR="00514AF6" w:rsidRPr="009F54D0" w:rsidRDefault="00514AF6" w:rsidP="00514AF6">
      <w:pPr>
        <w:pStyle w:val="a0"/>
        <w:rPr>
          <w:rtl/>
          <w:lang w:bidi="ar-SA"/>
        </w:rPr>
      </w:pPr>
    </w:p>
    <w:p w14:paraId="65D7B2EB" w14:textId="77777777" w:rsidR="00514AF6" w:rsidRDefault="00514AF6" w:rsidP="00514AF6">
      <w:pPr>
        <w:pStyle w:val="a0"/>
        <w:rPr>
          <w:rtl/>
        </w:rPr>
      </w:pPr>
    </w:p>
    <w:p w14:paraId="1EF7C8A0" w14:textId="77777777" w:rsidR="00514AF6" w:rsidRDefault="00514AF6" w:rsidP="00514AF6">
      <w:pPr>
        <w:pStyle w:val="a0"/>
        <w:rPr>
          <w:rtl/>
        </w:rPr>
      </w:pPr>
    </w:p>
    <w:p w14:paraId="22D86124" w14:textId="77777777" w:rsidR="00514AF6" w:rsidRDefault="00514AF6" w:rsidP="00514AF6">
      <w:pPr>
        <w:pStyle w:val="a0"/>
        <w:rPr>
          <w:rtl/>
        </w:rPr>
      </w:pPr>
    </w:p>
    <w:p w14:paraId="621372B3" w14:textId="77777777" w:rsidR="00514AF6" w:rsidRDefault="00514AF6" w:rsidP="00514AF6">
      <w:pPr>
        <w:pStyle w:val="a0"/>
        <w:rPr>
          <w:rtl/>
        </w:rPr>
      </w:pPr>
    </w:p>
    <w:p w14:paraId="1F2427F4" w14:textId="77777777" w:rsidR="00514AF6" w:rsidRDefault="00514AF6" w:rsidP="00514AF6">
      <w:pPr>
        <w:pStyle w:val="a0"/>
        <w:rPr>
          <w:rtl/>
        </w:rPr>
      </w:pPr>
    </w:p>
    <w:p w14:paraId="491D76D5" w14:textId="77777777" w:rsidR="00514AF6" w:rsidRDefault="00514AF6" w:rsidP="00514AF6">
      <w:pPr>
        <w:pStyle w:val="a0"/>
        <w:rPr>
          <w:rtl/>
        </w:rPr>
      </w:pPr>
    </w:p>
    <w:p w14:paraId="0A64B641" w14:textId="7124B127" w:rsidR="00514AF6" w:rsidRDefault="00D87892" w:rsidP="00D87892">
      <w:pPr>
        <w:tabs>
          <w:tab w:val="left" w:pos="1032"/>
        </w:tabs>
        <w:rPr>
          <w:rFonts w:ascii="Sakkal Majalla" w:hAnsi="Sakkal Majalla" w:cs="Sakkal Majalla"/>
          <w:sz w:val="28"/>
          <w:szCs w:val="28"/>
          <w:rtl/>
        </w:rPr>
      </w:pPr>
      <w:r>
        <w:rPr>
          <w:rFonts w:ascii="Sakkal Majalla" w:hAnsi="Sakkal Majalla" w:cs="Sakkal Majalla"/>
          <w:sz w:val="28"/>
          <w:szCs w:val="28"/>
          <w:rtl/>
        </w:rPr>
        <w:tab/>
      </w:r>
    </w:p>
    <w:p w14:paraId="38E41ACF" w14:textId="77777777" w:rsidR="00D87892" w:rsidRDefault="00D87892" w:rsidP="00D87892">
      <w:pPr>
        <w:tabs>
          <w:tab w:val="left" w:pos="1032"/>
        </w:tabs>
        <w:rPr>
          <w:rFonts w:ascii="Sakkal Majalla" w:hAnsi="Sakkal Majalla" w:cs="Sakkal Majalla"/>
          <w:sz w:val="28"/>
          <w:szCs w:val="28"/>
          <w:rtl/>
        </w:rPr>
      </w:pPr>
    </w:p>
    <w:p w14:paraId="7309F955" w14:textId="77777777" w:rsidR="00D87892" w:rsidRDefault="00D87892" w:rsidP="00D87892">
      <w:pPr>
        <w:tabs>
          <w:tab w:val="left" w:pos="1032"/>
        </w:tabs>
        <w:rPr>
          <w:rFonts w:ascii="Sakkal Majalla" w:hAnsi="Sakkal Majalla" w:cs="Sakkal Majalla"/>
          <w:sz w:val="28"/>
          <w:szCs w:val="28"/>
          <w:rtl/>
        </w:rPr>
      </w:pPr>
    </w:p>
    <w:p w14:paraId="38E8266B" w14:textId="77777777" w:rsidR="00D87892" w:rsidRDefault="00D87892" w:rsidP="00D87892">
      <w:pPr>
        <w:tabs>
          <w:tab w:val="left" w:pos="1032"/>
        </w:tabs>
        <w:rPr>
          <w:rFonts w:ascii="Sakkal Majalla" w:hAnsi="Sakkal Majalla" w:cs="Sakkal Majalla"/>
          <w:sz w:val="28"/>
          <w:szCs w:val="28"/>
          <w:rtl/>
        </w:rPr>
      </w:pPr>
    </w:p>
    <w:p w14:paraId="297AB3D1" w14:textId="77777777" w:rsidR="00D87892" w:rsidRDefault="00D87892" w:rsidP="00D87892">
      <w:pPr>
        <w:tabs>
          <w:tab w:val="left" w:pos="1032"/>
        </w:tabs>
        <w:rPr>
          <w:rFonts w:ascii="Sakkal Majalla" w:hAnsi="Sakkal Majalla" w:cs="Sakkal Majalla"/>
          <w:sz w:val="28"/>
          <w:szCs w:val="28"/>
          <w:rtl/>
        </w:rPr>
      </w:pPr>
    </w:p>
    <w:p w14:paraId="3CF5BC4C" w14:textId="77777777" w:rsidR="00D87892" w:rsidRDefault="00D87892" w:rsidP="00D87892">
      <w:pPr>
        <w:tabs>
          <w:tab w:val="left" w:pos="1032"/>
        </w:tabs>
        <w:rPr>
          <w:rFonts w:ascii="Sakkal Majalla" w:hAnsi="Sakkal Majalla" w:cs="Sakkal Majalla"/>
          <w:sz w:val="28"/>
          <w:szCs w:val="28"/>
          <w:rtl/>
        </w:rPr>
      </w:pPr>
    </w:p>
    <w:p w14:paraId="19B0E733" w14:textId="77777777" w:rsidR="00D87892" w:rsidRDefault="00D87892" w:rsidP="00D87892">
      <w:pPr>
        <w:tabs>
          <w:tab w:val="left" w:pos="1032"/>
        </w:tabs>
        <w:rPr>
          <w:rFonts w:ascii="Sakkal Majalla" w:hAnsi="Sakkal Majalla" w:cs="Sakkal Majalla"/>
          <w:sz w:val="28"/>
          <w:szCs w:val="28"/>
          <w:rtl/>
        </w:rPr>
      </w:pPr>
    </w:p>
    <w:p w14:paraId="19A3047D" w14:textId="77777777" w:rsidR="00D87892" w:rsidRDefault="00D87892" w:rsidP="00D87892">
      <w:pPr>
        <w:tabs>
          <w:tab w:val="left" w:pos="1032"/>
        </w:tabs>
        <w:rPr>
          <w:rFonts w:ascii="Sakkal Majalla" w:hAnsi="Sakkal Majalla" w:cs="Sakkal Majalla"/>
          <w:sz w:val="28"/>
          <w:szCs w:val="28"/>
          <w:rtl/>
        </w:rPr>
      </w:pPr>
    </w:p>
    <w:p w14:paraId="1A976555" w14:textId="77777777" w:rsidR="00D87892" w:rsidRDefault="00D87892" w:rsidP="00D87892">
      <w:pPr>
        <w:tabs>
          <w:tab w:val="left" w:pos="1032"/>
        </w:tabs>
        <w:rPr>
          <w:rFonts w:ascii="Sakkal Majalla" w:hAnsi="Sakkal Majalla" w:cs="Sakkal Majalla"/>
          <w:sz w:val="28"/>
          <w:szCs w:val="28"/>
          <w:rtl/>
        </w:rPr>
      </w:pPr>
    </w:p>
    <w:p w14:paraId="3DE2B526" w14:textId="77777777" w:rsidR="00D87892" w:rsidRDefault="00D87892" w:rsidP="00D87892">
      <w:pPr>
        <w:tabs>
          <w:tab w:val="left" w:pos="1032"/>
        </w:tabs>
        <w:rPr>
          <w:rFonts w:ascii="Sakkal Majalla" w:hAnsi="Sakkal Majalla" w:cs="Sakkal Majalla"/>
          <w:sz w:val="28"/>
          <w:szCs w:val="28"/>
          <w:rtl/>
        </w:rPr>
      </w:pPr>
    </w:p>
    <w:p w14:paraId="34923731" w14:textId="77777777" w:rsidR="00D87892" w:rsidRDefault="00D87892" w:rsidP="00D87892">
      <w:pPr>
        <w:tabs>
          <w:tab w:val="left" w:pos="1032"/>
        </w:tabs>
        <w:rPr>
          <w:rFonts w:ascii="Sakkal Majalla" w:hAnsi="Sakkal Majalla" w:cs="Sakkal Majalla"/>
          <w:sz w:val="28"/>
          <w:szCs w:val="28"/>
          <w:rtl/>
        </w:rPr>
      </w:pPr>
    </w:p>
    <w:p w14:paraId="2F666C93" w14:textId="77777777" w:rsidR="00D87892" w:rsidRDefault="00D87892" w:rsidP="00D87892">
      <w:pPr>
        <w:tabs>
          <w:tab w:val="left" w:pos="1032"/>
        </w:tabs>
        <w:rPr>
          <w:rFonts w:ascii="Sakkal Majalla" w:hAnsi="Sakkal Majalla" w:cs="Sakkal Majalla"/>
          <w:sz w:val="28"/>
          <w:szCs w:val="28"/>
          <w:rtl/>
        </w:rPr>
      </w:pPr>
    </w:p>
    <w:p w14:paraId="37C3299F" w14:textId="77777777" w:rsidR="00D87892" w:rsidRDefault="00D87892" w:rsidP="00D87892">
      <w:pPr>
        <w:tabs>
          <w:tab w:val="left" w:pos="1032"/>
        </w:tabs>
        <w:rPr>
          <w:rFonts w:ascii="Sakkal Majalla" w:hAnsi="Sakkal Majalla" w:cs="Sakkal Majalla"/>
          <w:sz w:val="28"/>
          <w:szCs w:val="28"/>
          <w:rtl/>
        </w:rPr>
      </w:pPr>
    </w:p>
    <w:p w14:paraId="056A09C6" w14:textId="77777777" w:rsidR="00D87892" w:rsidRDefault="00D87892" w:rsidP="00D87892">
      <w:pPr>
        <w:tabs>
          <w:tab w:val="left" w:pos="1032"/>
        </w:tabs>
        <w:rPr>
          <w:rFonts w:ascii="Sakkal Majalla" w:hAnsi="Sakkal Majalla" w:cs="Sakkal Majalla"/>
          <w:sz w:val="28"/>
          <w:szCs w:val="28"/>
          <w:rtl/>
        </w:rPr>
      </w:pPr>
    </w:p>
    <w:p w14:paraId="5B0CED7D" w14:textId="77777777" w:rsidR="00D87892" w:rsidRDefault="00D87892" w:rsidP="00D87892">
      <w:pPr>
        <w:tabs>
          <w:tab w:val="left" w:pos="1032"/>
        </w:tabs>
        <w:rPr>
          <w:rFonts w:ascii="Sakkal Majalla" w:hAnsi="Sakkal Majalla" w:cs="Sakkal Majalla"/>
          <w:sz w:val="28"/>
          <w:szCs w:val="28"/>
          <w:rtl/>
        </w:rPr>
      </w:pPr>
    </w:p>
    <w:p w14:paraId="54B08C2A" w14:textId="77777777" w:rsidR="00514AF6" w:rsidRDefault="00514AF6" w:rsidP="00514AF6">
      <w:pPr>
        <w:rPr>
          <w:rtl/>
          <w:lang w:bidi="ar-EG"/>
        </w:rPr>
      </w:pPr>
    </w:p>
    <w:p w14:paraId="13FE1C13" w14:textId="77777777" w:rsidR="00514AF6" w:rsidRDefault="00514AF6" w:rsidP="00514AF6">
      <w:pPr>
        <w:rPr>
          <w:rtl/>
          <w:lang w:bidi="ar-EG"/>
        </w:rPr>
      </w:pPr>
    </w:p>
    <w:p w14:paraId="1687BF33" w14:textId="77777777" w:rsidR="00514AF6" w:rsidRDefault="00514AF6" w:rsidP="00514AF6">
      <w:pPr>
        <w:rPr>
          <w:rtl/>
          <w:lang w:bidi="ar-EG"/>
        </w:rPr>
      </w:pPr>
    </w:p>
    <w:p w14:paraId="70BEC724" w14:textId="77777777" w:rsidR="00514AF6" w:rsidRDefault="00514AF6" w:rsidP="00514AF6">
      <w:pPr>
        <w:rPr>
          <w:rtl/>
          <w:lang w:bidi="ar-EG"/>
        </w:rPr>
      </w:pPr>
    </w:p>
    <w:p w14:paraId="61EA9215" w14:textId="77777777" w:rsidR="00514AF6" w:rsidRDefault="00514AF6" w:rsidP="00514AF6">
      <w:pPr>
        <w:rPr>
          <w:rtl/>
          <w:lang w:bidi="ar-EG"/>
        </w:rPr>
      </w:pPr>
    </w:p>
    <w:p w14:paraId="7EF31FF1" w14:textId="77777777" w:rsidR="00514AF6" w:rsidRDefault="00514AF6" w:rsidP="00514AF6">
      <w:pPr>
        <w:rPr>
          <w:rtl/>
          <w:lang w:bidi="ar-EG"/>
        </w:rPr>
      </w:pPr>
    </w:p>
    <w:p w14:paraId="501D6B78" w14:textId="77777777" w:rsidR="00514AF6" w:rsidRPr="00F93624" w:rsidRDefault="00514AF6" w:rsidP="00D87892">
      <w:pPr>
        <w:pStyle w:val="Heading1"/>
        <w:jc w:val="center"/>
        <w:rPr>
          <w:rtl/>
        </w:rPr>
      </w:pPr>
      <w:bookmarkStart w:id="24" w:name="_Toc180619272"/>
      <w:r>
        <w:rPr>
          <w:rFonts w:hint="cs"/>
          <w:rtl/>
        </w:rPr>
        <w:t>الفصل الثاني: دراسات السابقة</w:t>
      </w:r>
      <w:bookmarkEnd w:id="24"/>
      <w:r>
        <w:rPr>
          <w:sz w:val="28"/>
          <w:rtl/>
        </w:rPr>
        <w:br w:type="page"/>
      </w:r>
    </w:p>
    <w:p w14:paraId="13B0AB72" w14:textId="77777777" w:rsidR="00514AF6" w:rsidRDefault="00514AF6" w:rsidP="00514AF6">
      <w:pPr>
        <w:pStyle w:val="Heading2"/>
        <w:rPr>
          <w:rtl/>
        </w:rPr>
      </w:pPr>
      <w:bookmarkStart w:id="25" w:name="_Toc180619273"/>
      <w:r>
        <w:rPr>
          <w:rFonts w:hint="cs"/>
          <w:rtl/>
        </w:rPr>
        <w:lastRenderedPageBreak/>
        <w:t>المقدمة</w:t>
      </w:r>
      <w:bookmarkEnd w:id="25"/>
    </w:p>
    <w:p w14:paraId="7BADE783" w14:textId="77777777" w:rsidR="00514AF6" w:rsidRDefault="00514AF6" w:rsidP="00514AF6">
      <w:pPr>
        <w:pStyle w:val="a0"/>
        <w:rPr>
          <w:rtl/>
        </w:rPr>
      </w:pPr>
      <w:r>
        <w:rPr>
          <w:rtl/>
        </w:rPr>
        <w:t>يتناول الفصل الثاني من هذه الدراسة المتغيرات البحثية الأساسية والدراسات السابقة ذات الصلة، حيث يعتبر هذا الفصل جانبًا حاسمًا من الإطار النظري للبحث. يحاول الفصل دراسة تأثير برامج التوازن بين العمل والحياة على سعادة الموظفين وأدائهم، الأمر الذي يتطلب تحقيقًا شاملاً للجوانب العديدة التي تلعب دورًا في هذا السياق.</w:t>
      </w:r>
      <w:r>
        <w:rPr>
          <w:rFonts w:hint="cs"/>
          <w:rtl/>
        </w:rPr>
        <w:t xml:space="preserve"> </w:t>
      </w:r>
      <w:r>
        <w:rPr>
          <w:rtl/>
        </w:rPr>
        <w:t xml:space="preserve">سيناقش هذا الفصل العديد من القضايا الحرجة، بدءًا بتعريف مفهوم التوازن بين العمل والحياة وأهميته في سياقات العمل الحالية، من خلال تحليل الأبحاث السابقة التي درست العلاقة بين برامج التوازن بين </w:t>
      </w:r>
      <w:proofErr w:type="gramStart"/>
      <w:r>
        <w:rPr>
          <w:rtl/>
        </w:rPr>
        <w:t>العمل</w:t>
      </w:r>
      <w:proofErr w:type="gramEnd"/>
      <w:r>
        <w:rPr>
          <w:rtl/>
        </w:rPr>
        <w:t xml:space="preserve"> والحياة وسعادة الموظفين وأدائهم. كما سيتم تقييم النتائج والاتجاهات التي حدثت في الأدبيات الأكاديمية السابقة، بهدف فهم الخلفية العامة التي تساهم في نمو هذه المبادرات في المملكة العربية السعودية.</w:t>
      </w:r>
      <w:r>
        <w:rPr>
          <w:rFonts w:hint="cs"/>
          <w:rtl/>
        </w:rPr>
        <w:t xml:space="preserve"> </w:t>
      </w:r>
      <w:r>
        <w:rPr>
          <w:rtl/>
        </w:rPr>
        <w:t>كما سيتم فحص العوامل المستقلة والتابعة التي قد تؤثر على نتائج الدراسة، مع مراعاة الخصوصيات الثقافية والاجتماعية التي تميز المملكة. يسعى البحث من خلال هذا الفصل إلى تقديم إطار نظري شامل يمكن الاعتماد عليه لفهم العلاقة المعقدة بين التوازن بين العمل والحياة ورضا الموظفين وأدائهم، مما يساهم في تعزيز فعالية برامج التوازن في المنظمات السعودية.</w:t>
      </w:r>
    </w:p>
    <w:p w14:paraId="59978825" w14:textId="77777777" w:rsidR="00514AF6" w:rsidRDefault="00514AF6" w:rsidP="00514AF6">
      <w:pPr>
        <w:pStyle w:val="a0"/>
        <w:rPr>
          <w:rtl/>
        </w:rPr>
      </w:pPr>
    </w:p>
    <w:p w14:paraId="254EE183" w14:textId="77777777" w:rsidR="00514AF6" w:rsidRDefault="00514AF6" w:rsidP="00514AF6">
      <w:pPr>
        <w:pStyle w:val="a0"/>
        <w:rPr>
          <w:rtl/>
        </w:rPr>
      </w:pPr>
    </w:p>
    <w:p w14:paraId="5E2E31E9" w14:textId="77777777" w:rsidR="00514AF6" w:rsidRDefault="00514AF6" w:rsidP="00514AF6">
      <w:pPr>
        <w:pStyle w:val="a0"/>
        <w:rPr>
          <w:rtl/>
        </w:rPr>
      </w:pPr>
    </w:p>
    <w:p w14:paraId="2D3D90E3" w14:textId="77777777" w:rsidR="00514AF6" w:rsidRDefault="00514AF6" w:rsidP="00514AF6">
      <w:pPr>
        <w:pStyle w:val="a0"/>
        <w:rPr>
          <w:rtl/>
        </w:rPr>
      </w:pPr>
    </w:p>
    <w:p w14:paraId="2DEC14C1" w14:textId="77777777" w:rsidR="00514AF6" w:rsidRDefault="00514AF6" w:rsidP="00514AF6">
      <w:pPr>
        <w:pStyle w:val="a0"/>
        <w:rPr>
          <w:rtl/>
        </w:rPr>
      </w:pPr>
    </w:p>
    <w:p w14:paraId="54E5041B" w14:textId="77777777" w:rsidR="00514AF6" w:rsidRDefault="00514AF6" w:rsidP="00514AF6">
      <w:pPr>
        <w:pStyle w:val="a0"/>
        <w:rPr>
          <w:rtl/>
        </w:rPr>
      </w:pPr>
    </w:p>
    <w:p w14:paraId="70DB7166" w14:textId="77777777" w:rsidR="00514AF6" w:rsidRDefault="00514AF6" w:rsidP="00514AF6">
      <w:pPr>
        <w:pStyle w:val="a0"/>
        <w:rPr>
          <w:rtl/>
        </w:rPr>
      </w:pPr>
    </w:p>
    <w:p w14:paraId="2D9A3DFB" w14:textId="77777777" w:rsidR="00514AF6" w:rsidRPr="00FE1535" w:rsidRDefault="00514AF6" w:rsidP="00514AF6">
      <w:pPr>
        <w:pStyle w:val="a0"/>
        <w:rPr>
          <w:rtl/>
        </w:rPr>
      </w:pPr>
    </w:p>
    <w:p w14:paraId="11489DA1" w14:textId="77777777" w:rsidR="00514AF6" w:rsidRDefault="00514AF6" w:rsidP="00514AF6">
      <w:pPr>
        <w:pStyle w:val="Heading2"/>
        <w:rPr>
          <w:rtl/>
        </w:rPr>
      </w:pPr>
      <w:bookmarkStart w:id="26" w:name="_Toc180619274"/>
      <w:r>
        <w:rPr>
          <w:rFonts w:hint="cs"/>
          <w:rtl/>
        </w:rPr>
        <w:lastRenderedPageBreak/>
        <w:t>متغيرات الدراسة</w:t>
      </w:r>
      <w:bookmarkEnd w:id="26"/>
    </w:p>
    <w:p w14:paraId="29D3DBFE" w14:textId="77777777" w:rsidR="00514AF6" w:rsidRDefault="00514AF6" w:rsidP="00514AF6">
      <w:pPr>
        <w:pStyle w:val="a"/>
        <w:rPr>
          <w:rtl/>
        </w:rPr>
      </w:pPr>
      <w:r>
        <w:rPr>
          <w:rtl/>
        </w:rPr>
        <w:t>المتغير</w:t>
      </w:r>
      <w:r>
        <w:rPr>
          <w:rFonts w:hint="cs"/>
          <w:rtl/>
        </w:rPr>
        <w:t>ات</w:t>
      </w:r>
      <w:r>
        <w:rPr>
          <w:rtl/>
        </w:rPr>
        <w:t xml:space="preserve"> المستقل:</w:t>
      </w:r>
    </w:p>
    <w:p w14:paraId="3FAB6315" w14:textId="77777777" w:rsidR="00514AF6" w:rsidRDefault="00514AF6" w:rsidP="00514AF6">
      <w:pPr>
        <w:pStyle w:val="a0"/>
        <w:numPr>
          <w:ilvl w:val="0"/>
          <w:numId w:val="9"/>
        </w:numPr>
        <w:rPr>
          <w:rtl/>
        </w:rPr>
      </w:pPr>
      <w:r>
        <w:rPr>
          <w:rtl/>
        </w:rPr>
        <w:t>زيادة الرضا الوظيفي</w:t>
      </w:r>
    </w:p>
    <w:p w14:paraId="2D05053B" w14:textId="77777777" w:rsidR="00514AF6" w:rsidRDefault="00514AF6" w:rsidP="00514AF6">
      <w:pPr>
        <w:pStyle w:val="a0"/>
        <w:rPr>
          <w:rtl/>
        </w:rPr>
      </w:pPr>
      <w:r>
        <w:rPr>
          <w:rtl/>
        </w:rPr>
        <w:t xml:space="preserve">يعد زيادة الرضا الوظيفي أحد العناصر الأساسية التي تحدد فعالية برامج التوازن بين العمل والحياة، حيث </w:t>
      </w:r>
      <w:proofErr w:type="gramStart"/>
      <w:r>
        <w:rPr>
          <w:rtl/>
        </w:rPr>
        <w:t>أن</w:t>
      </w:r>
      <w:proofErr w:type="gramEnd"/>
      <w:r>
        <w:rPr>
          <w:rtl/>
        </w:rPr>
        <w:t xml:space="preserve"> الحفاظ على التوازن الجيد بين الواجبات المهنية والحياة الشخصية يزيد بشكل كبير من شعور الموظفين بالرضا. وتساهم هذه المتعة في زيادة شعور الموظف بالانتماء إلى العمل وتعزيز درجة تفانيه في تحقيق أهدافه. كما أن الرضا الوظيفي المرتبط بتوفير برامج التوازن يعزز من أجواء الإلهام، حيث يشعر الموظفون بالتقدير من قبل الإدارة، مما يلهمهم لأداء أفضل ويعزز التزامهم بالشركة على المدى الطويل</w:t>
      </w:r>
      <w:sdt>
        <w:sdtPr>
          <w:rPr>
            <w:rtl/>
          </w:rPr>
          <w:id w:val="-154127125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Sil21 \l 3073</w:instrText>
          </w:r>
          <w:r>
            <w:rPr>
              <w:rtl/>
            </w:rPr>
            <w:instrText xml:space="preserve"> </w:instrText>
          </w:r>
          <w:r>
            <w:rPr>
              <w:rtl/>
            </w:rPr>
            <w:fldChar w:fldCharType="separate"/>
          </w:r>
          <w:r>
            <w:rPr>
              <w:noProof/>
              <w:rtl/>
            </w:rPr>
            <w:t xml:space="preserve"> </w:t>
          </w:r>
          <w:r>
            <w:rPr>
              <w:rFonts w:hint="cs"/>
              <w:noProof/>
              <w:rtl/>
            </w:rPr>
            <w:t>(</w:t>
          </w:r>
          <w:r>
            <w:rPr>
              <w:rFonts w:hint="cs"/>
              <w:noProof/>
            </w:rPr>
            <w:t>Silaban</w:t>
          </w:r>
          <w:r>
            <w:rPr>
              <w:rFonts w:hint="cs"/>
              <w:noProof/>
              <w:rtl/>
            </w:rPr>
            <w:t>، 2021)</w:t>
          </w:r>
          <w:r>
            <w:rPr>
              <w:rtl/>
            </w:rPr>
            <w:fldChar w:fldCharType="end"/>
          </w:r>
        </w:sdtContent>
      </w:sdt>
      <w:r>
        <w:rPr>
          <w:rtl/>
        </w:rPr>
        <w:t>.</w:t>
      </w:r>
    </w:p>
    <w:p w14:paraId="34A671CA" w14:textId="77777777" w:rsidR="00514AF6" w:rsidRDefault="00514AF6" w:rsidP="00514AF6">
      <w:pPr>
        <w:pStyle w:val="a0"/>
        <w:numPr>
          <w:ilvl w:val="0"/>
          <w:numId w:val="9"/>
        </w:numPr>
        <w:rPr>
          <w:rtl/>
        </w:rPr>
      </w:pPr>
      <w:r>
        <w:rPr>
          <w:rtl/>
        </w:rPr>
        <w:t>دعم الإنتاجية</w:t>
      </w:r>
    </w:p>
    <w:p w14:paraId="7068258D" w14:textId="77777777" w:rsidR="00514AF6" w:rsidRDefault="00514AF6" w:rsidP="00514AF6">
      <w:pPr>
        <w:pStyle w:val="a0"/>
        <w:rPr>
          <w:rtl/>
        </w:rPr>
      </w:pPr>
      <w:r>
        <w:rPr>
          <w:rtl/>
        </w:rPr>
        <w:t>تلعب برامج التوازن بين العمل والحياة دورًا حاسمًا في تحسين إنتاجية الموظفين، حيث تتيح للناس الاستفادة من ساعات العمل المرنة وفرص الترفيه والتسلية، مما يساهم في خفض الضغوط النفسية والجسدية. وبفضل هذا التوازن، يصبح الموظفون أكثر قدرة على التركيز على الأنشطة المطلوبة وتحقيق أهداف العمل بكفاءة أكبر. عندما تتاح للموظفين فرص الاسترخاء وتجديد طاقتهم، تتحسن إنتاجيتهم وتقل مخاطر التعب أو الإجهاد، مما يعزز الأداء العام للشركة ويعزز كفاءة الإنجاز. وبالتالي، فإن الإنتاجية هي إحصائية أساسية لتقييم تأثير مبادرات التوازن</w:t>
      </w:r>
      <w:sdt>
        <w:sdtPr>
          <w:rPr>
            <w:rtl/>
          </w:rPr>
          <w:id w:val="149653383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Mar242 \l 3073</w:instrText>
          </w:r>
          <w:r>
            <w:rPr>
              <w:rtl/>
            </w:rPr>
            <w:instrText xml:space="preserve"> </w:instrText>
          </w:r>
          <w:r>
            <w:rPr>
              <w:rtl/>
            </w:rPr>
            <w:fldChar w:fldCharType="separate"/>
          </w:r>
          <w:r>
            <w:rPr>
              <w:noProof/>
              <w:rtl/>
            </w:rPr>
            <w:t xml:space="preserve"> </w:t>
          </w:r>
          <w:r>
            <w:rPr>
              <w:rFonts w:hint="cs"/>
              <w:noProof/>
              <w:rtl/>
            </w:rPr>
            <w:t>(</w:t>
          </w:r>
          <w:r>
            <w:rPr>
              <w:rFonts w:hint="cs"/>
              <w:noProof/>
            </w:rPr>
            <w:t>Marecki</w:t>
          </w:r>
          <w:r>
            <w:rPr>
              <w:rFonts w:hint="cs"/>
              <w:noProof/>
              <w:rtl/>
            </w:rPr>
            <w:t>، 2024)</w:t>
          </w:r>
          <w:r>
            <w:rPr>
              <w:rtl/>
            </w:rPr>
            <w:fldChar w:fldCharType="end"/>
          </w:r>
        </w:sdtContent>
      </w:sdt>
      <w:r>
        <w:rPr>
          <w:rtl/>
        </w:rPr>
        <w:t>.</w:t>
      </w:r>
    </w:p>
    <w:p w14:paraId="667583E3" w14:textId="77777777" w:rsidR="00514AF6" w:rsidRDefault="00514AF6" w:rsidP="00514AF6">
      <w:pPr>
        <w:pStyle w:val="a0"/>
        <w:numPr>
          <w:ilvl w:val="0"/>
          <w:numId w:val="9"/>
        </w:numPr>
        <w:rPr>
          <w:rtl/>
        </w:rPr>
      </w:pPr>
      <w:r>
        <w:rPr>
          <w:rtl/>
        </w:rPr>
        <w:t>بيئة عمل إيجابية</w:t>
      </w:r>
    </w:p>
    <w:p w14:paraId="45518A6F" w14:textId="77777777" w:rsidR="00514AF6" w:rsidRDefault="00514AF6" w:rsidP="00514AF6">
      <w:pPr>
        <w:pStyle w:val="a0"/>
        <w:rPr>
          <w:rtl/>
        </w:rPr>
      </w:pPr>
      <w:r>
        <w:rPr>
          <w:rtl/>
        </w:rPr>
        <w:t>تلعب برامج التوازن بين العمل والحياة دورًا رئيسيًا في بناء بيئة عمل صحية وجذابة، حيث توفر للعاملين المرونة والفرصة للتوفيق بين مطالبهم الشخصية ومسؤولياتهم المهنية. تساعد أجواء العمل المواتية في تعزيز التعاون والتواصل بين الموظفين، مما يرفع درجة التكامل والإبداع داخل الفريق. عندما يشعر الموظفون بأن المنظمة تدعم احتياجاتهم وتسعى إلى توفير بيئة عمل مرنة، تزداد مشاركتهم في العمل ويصبحون أكثر ميلاً للبقاء داخل المنظمة، مما يعزز الروح المعنوية ويقلل من التغيب ويدعم تحقيق أهداف المنظمة</w:t>
      </w:r>
      <w:sdt>
        <w:sdtPr>
          <w:rPr>
            <w:rtl/>
          </w:rPr>
          <w:id w:val="100578742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Bel24 \l 3073</w:instrText>
          </w:r>
          <w:r>
            <w:rPr>
              <w:rtl/>
            </w:rPr>
            <w:instrText xml:space="preserve"> </w:instrText>
          </w:r>
          <w:r>
            <w:rPr>
              <w:rtl/>
            </w:rPr>
            <w:fldChar w:fldCharType="separate"/>
          </w:r>
          <w:r>
            <w:rPr>
              <w:noProof/>
              <w:rtl/>
            </w:rPr>
            <w:t xml:space="preserve"> </w:t>
          </w:r>
          <w:r>
            <w:rPr>
              <w:rFonts w:hint="cs"/>
              <w:noProof/>
              <w:rtl/>
            </w:rPr>
            <w:t>(</w:t>
          </w:r>
          <w:r>
            <w:rPr>
              <w:rFonts w:hint="cs"/>
              <w:noProof/>
            </w:rPr>
            <w:t>Bello</w:t>
          </w:r>
          <w:r>
            <w:rPr>
              <w:rFonts w:hint="cs"/>
              <w:noProof/>
              <w:rtl/>
            </w:rPr>
            <w:t>، 2024)</w:t>
          </w:r>
          <w:r>
            <w:rPr>
              <w:rtl/>
            </w:rPr>
            <w:fldChar w:fldCharType="end"/>
          </w:r>
        </w:sdtContent>
      </w:sdt>
      <w:r>
        <w:rPr>
          <w:rtl/>
        </w:rPr>
        <w:t>.</w:t>
      </w:r>
    </w:p>
    <w:p w14:paraId="64389E89" w14:textId="77777777" w:rsidR="00514AF6" w:rsidRDefault="00514AF6" w:rsidP="00514AF6">
      <w:pPr>
        <w:pStyle w:val="a"/>
        <w:rPr>
          <w:rtl/>
        </w:rPr>
      </w:pPr>
      <w:r>
        <w:rPr>
          <w:rtl/>
        </w:rPr>
        <w:lastRenderedPageBreak/>
        <w:t xml:space="preserve">المتغير التابع: </w:t>
      </w:r>
    </w:p>
    <w:p w14:paraId="6B26E248" w14:textId="77777777" w:rsidR="00514AF6" w:rsidRDefault="00514AF6" w:rsidP="00514AF6">
      <w:pPr>
        <w:pStyle w:val="a0"/>
        <w:numPr>
          <w:ilvl w:val="0"/>
          <w:numId w:val="10"/>
        </w:numPr>
        <w:rPr>
          <w:rtl/>
        </w:rPr>
      </w:pPr>
      <w:r>
        <w:rPr>
          <w:rtl/>
        </w:rPr>
        <w:t>برامج التوازن بين العمل والحياة</w:t>
      </w:r>
    </w:p>
    <w:p w14:paraId="4DC3CF4E" w14:textId="77777777" w:rsidR="00514AF6" w:rsidRDefault="00514AF6" w:rsidP="00514AF6">
      <w:pPr>
        <w:pStyle w:val="a0"/>
        <w:rPr>
          <w:rtl/>
        </w:rPr>
      </w:pPr>
      <w:r>
        <w:rPr>
          <w:rtl/>
        </w:rPr>
        <w:t>برامج التوازن بين العمل والحياة هي سياسات وعمليات تضعها الشركات بهدف تعزيز الانسجام بين الحياة الشخصية والمهنية للموظفين. وتقدم هذه البرامج بدائل عمل مرنة، وفرصة العمل عن بعد، وإجازة مدعومة. وتحاول برامج التوازن تقليل التوتر وزيادة رفاهية الموظفين، الأمر الذي يؤثر بشكل كبير على الأداء العام. ويمكن اعتبار هذه البرامج عنصراً استراتيجياً يهدف إلى زيادة سعادة الموظفين، وتعزيز إنتاجيتهم، وإنشاء بيئة عمل سعيدة، حيث تتجلى أهميتها من خلال التأثير المباشر على قدرة الموظفين على العطاء والاستمرار في العمل بنجاح.</w:t>
      </w:r>
    </w:p>
    <w:p w14:paraId="6BF4B395" w14:textId="77777777" w:rsidR="00514AF6" w:rsidRDefault="00514AF6" w:rsidP="00514AF6">
      <w:pPr>
        <w:pStyle w:val="a0"/>
        <w:rPr>
          <w:rtl/>
        </w:rPr>
      </w:pPr>
    </w:p>
    <w:p w14:paraId="259A4993" w14:textId="77777777" w:rsidR="00514AF6" w:rsidRDefault="00514AF6" w:rsidP="00514AF6">
      <w:pPr>
        <w:pStyle w:val="a0"/>
        <w:rPr>
          <w:rtl/>
        </w:rPr>
      </w:pPr>
    </w:p>
    <w:p w14:paraId="2B055C5A" w14:textId="77777777" w:rsidR="00514AF6" w:rsidRDefault="00514AF6" w:rsidP="00514AF6">
      <w:pPr>
        <w:pStyle w:val="a0"/>
        <w:rPr>
          <w:rtl/>
        </w:rPr>
      </w:pPr>
    </w:p>
    <w:p w14:paraId="07B4BB45" w14:textId="77777777" w:rsidR="00514AF6" w:rsidRDefault="00514AF6" w:rsidP="00514AF6">
      <w:pPr>
        <w:pStyle w:val="a0"/>
        <w:rPr>
          <w:rtl/>
        </w:rPr>
      </w:pPr>
    </w:p>
    <w:p w14:paraId="3B80FFFD" w14:textId="77777777" w:rsidR="00514AF6" w:rsidRDefault="00514AF6" w:rsidP="00514AF6">
      <w:pPr>
        <w:pStyle w:val="a0"/>
        <w:rPr>
          <w:rtl/>
        </w:rPr>
      </w:pPr>
    </w:p>
    <w:p w14:paraId="5EE9500B" w14:textId="77777777" w:rsidR="00514AF6" w:rsidRDefault="00514AF6" w:rsidP="00514AF6">
      <w:pPr>
        <w:pStyle w:val="a0"/>
        <w:rPr>
          <w:rtl/>
        </w:rPr>
      </w:pPr>
    </w:p>
    <w:p w14:paraId="37B0AC9C" w14:textId="77777777" w:rsidR="00514AF6" w:rsidRDefault="00514AF6" w:rsidP="00514AF6">
      <w:pPr>
        <w:pStyle w:val="a0"/>
        <w:rPr>
          <w:rtl/>
        </w:rPr>
      </w:pPr>
    </w:p>
    <w:p w14:paraId="0FDAA4C2" w14:textId="77777777" w:rsidR="00514AF6" w:rsidRDefault="00514AF6" w:rsidP="00514AF6">
      <w:pPr>
        <w:pStyle w:val="a0"/>
        <w:rPr>
          <w:rtl/>
        </w:rPr>
      </w:pPr>
    </w:p>
    <w:p w14:paraId="51EF4FE9" w14:textId="77777777" w:rsidR="00514AF6" w:rsidRDefault="00514AF6" w:rsidP="00514AF6">
      <w:pPr>
        <w:pStyle w:val="a0"/>
        <w:rPr>
          <w:rtl/>
        </w:rPr>
      </w:pPr>
    </w:p>
    <w:p w14:paraId="64D988A4" w14:textId="77777777" w:rsidR="00514AF6" w:rsidRDefault="00514AF6" w:rsidP="00514AF6">
      <w:pPr>
        <w:pStyle w:val="a0"/>
      </w:pPr>
    </w:p>
    <w:p w14:paraId="085BE41B" w14:textId="77777777" w:rsidR="00514AF6" w:rsidRDefault="00514AF6" w:rsidP="00514AF6">
      <w:pPr>
        <w:pStyle w:val="Heading2"/>
        <w:rPr>
          <w:rtl/>
        </w:rPr>
      </w:pPr>
      <w:bookmarkStart w:id="27" w:name="_Toc180619275"/>
      <w:r>
        <w:rPr>
          <w:rFonts w:hint="cs"/>
          <w:rtl/>
        </w:rPr>
        <w:lastRenderedPageBreak/>
        <w:t>الدراسات السابقة</w:t>
      </w:r>
      <w:bookmarkEnd w:id="27"/>
    </w:p>
    <w:p w14:paraId="484AA232" w14:textId="77777777" w:rsidR="00514AF6" w:rsidRDefault="00514AF6" w:rsidP="00514AF6">
      <w:pPr>
        <w:pStyle w:val="a0"/>
        <w:rPr>
          <w:rtl/>
        </w:rPr>
      </w:pPr>
      <w:r w:rsidRPr="008144D1">
        <w:rPr>
          <w:rtl/>
        </w:rPr>
        <w:t xml:space="preserve">هدفت </w:t>
      </w:r>
      <w:r>
        <w:rPr>
          <w:rFonts w:hint="cs"/>
          <w:rtl/>
        </w:rPr>
        <w:t xml:space="preserve">دراسة </w:t>
      </w:r>
      <w:sdt>
        <w:sdtPr>
          <w:rPr>
            <w:rFonts w:hint="cs"/>
            <w:rtl/>
          </w:rPr>
          <w:id w:val="-203646150"/>
          <w:citation/>
        </w:sdtPr>
        <w:sdtContent>
          <w:r>
            <w:rPr>
              <w:rtl/>
            </w:rPr>
            <w:fldChar w:fldCharType="begin"/>
          </w:r>
          <w:r>
            <w:rPr>
              <w:rtl/>
            </w:rPr>
            <w:instrText xml:space="preserve"> </w:instrText>
          </w:r>
          <w:r>
            <w:rPr>
              <w:rFonts w:hint="cs"/>
            </w:rPr>
            <w:instrText>CITATION</w:instrText>
          </w:r>
          <w:r>
            <w:rPr>
              <w:rFonts w:hint="cs"/>
              <w:rtl/>
            </w:rPr>
            <w:instrText xml:space="preserve"> نبي21 \</w:instrText>
          </w:r>
          <w:r>
            <w:rPr>
              <w:rFonts w:hint="cs"/>
            </w:rPr>
            <w:instrText>l 3073</w:instrText>
          </w:r>
          <w:r>
            <w:rPr>
              <w:rtl/>
            </w:rPr>
            <w:instrText xml:space="preserve"> </w:instrText>
          </w:r>
          <w:r>
            <w:rPr>
              <w:rtl/>
            </w:rPr>
            <w:fldChar w:fldCharType="separate"/>
          </w:r>
          <w:r w:rsidRPr="00121715">
            <w:rPr>
              <w:rFonts w:hint="cs"/>
              <w:noProof/>
              <w:rtl/>
            </w:rPr>
            <w:t>(نبيل، 2021)</w:t>
          </w:r>
          <w:r>
            <w:rPr>
              <w:rtl/>
            </w:rPr>
            <w:fldChar w:fldCharType="end"/>
          </w:r>
        </w:sdtContent>
      </w:sdt>
      <w:r w:rsidRPr="008144D1">
        <w:rPr>
          <w:rtl/>
        </w:rPr>
        <w:t xml:space="preserve"> إلى معرفة أثر التوازن بين العمل والحياة على الالتزام التنظيمي بوجود الرضا الوظيفي كمتغير وسيط لعينة عشوائية بسيطة من 147 عامل شبه طبي بمستشفى الطاهير. استخدم الباحثون المنهج الوصفي الملائم لطبيعة الموضوع، كما تم الاعتماد على الاستبيان كأداة رئيسية لجمع البيانات اللازمة من مفردات عينة الدراسة، وتم معالجة البيانات المجمعة إحصائيا باستخدام برنامج الحزمة الإحصائية للعلوم </w:t>
      </w:r>
      <w:r w:rsidRPr="008144D1">
        <w:rPr>
          <w:rFonts w:hint="cs"/>
          <w:rtl/>
        </w:rPr>
        <w:t>الاجتماعية</w:t>
      </w:r>
      <w:r w:rsidRPr="008144D1">
        <w:rPr>
          <w:rtl/>
        </w:rPr>
        <w:t>. توصلت الدراسة إلى وجود إدراك لدى العاملين للتوازن بين العمل والحياة، مع مستوى عال للرضا عن هذا التوازن، وجود مستوى متوسط للالتزام التنظيمي، عدم وجود أثر ذو دلالة إحصائية عند مستوى دلالة</w:t>
      </w:r>
      <w:r w:rsidRPr="008144D1">
        <w:t xml:space="preserve"> (</w:t>
      </w:r>
      <w:r w:rsidRPr="008144D1">
        <w:rPr>
          <w:rFonts w:ascii="Cambria" w:hAnsi="Cambria" w:cs="Cambria"/>
        </w:rPr>
        <w:t>α</w:t>
      </w:r>
      <w:r w:rsidRPr="008144D1">
        <w:t xml:space="preserve"> ≤ 0.05) </w:t>
      </w:r>
      <w:r w:rsidRPr="008144D1">
        <w:rPr>
          <w:rtl/>
        </w:rPr>
        <w:t>للتوازن بين العمل الحياة على الالتزام التنظيمي، وجود أثر ذو دلالة إحصائية عند مستوى دلالة</w:t>
      </w:r>
      <w:r w:rsidRPr="008144D1">
        <w:t xml:space="preserve"> (</w:t>
      </w:r>
      <w:r w:rsidRPr="008144D1">
        <w:rPr>
          <w:rFonts w:ascii="Cambria" w:hAnsi="Cambria" w:cs="Cambria"/>
        </w:rPr>
        <w:t>α</w:t>
      </w:r>
      <w:r w:rsidRPr="008144D1">
        <w:t xml:space="preserve"> ≤ 0.05) </w:t>
      </w:r>
      <w:r w:rsidRPr="008144D1">
        <w:rPr>
          <w:rtl/>
        </w:rPr>
        <w:t>للتوازن بين العمل الحياة على الالتزام التنظيمي بوجود الرضا الوظيفي كمتغير وسيط</w:t>
      </w:r>
      <w:r>
        <w:t>.</w:t>
      </w:r>
    </w:p>
    <w:p w14:paraId="723D2F74" w14:textId="77777777" w:rsidR="00514AF6" w:rsidRDefault="00514AF6" w:rsidP="00514AF6">
      <w:pPr>
        <w:pStyle w:val="a0"/>
        <w:rPr>
          <w:rtl/>
        </w:rPr>
      </w:pPr>
      <w:r w:rsidRPr="00121715">
        <w:rPr>
          <w:rtl/>
        </w:rPr>
        <w:t xml:space="preserve">تتناول </w:t>
      </w:r>
      <w:r>
        <w:rPr>
          <w:rFonts w:hint="cs"/>
          <w:rtl/>
        </w:rPr>
        <w:t xml:space="preserve">دراسة </w:t>
      </w:r>
      <w:sdt>
        <w:sdtPr>
          <w:rPr>
            <w:rFonts w:hint="cs"/>
            <w:rtl/>
          </w:rPr>
          <w:id w:val="-11942985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Ahm234 \l 3073</w:instrText>
          </w:r>
          <w:r>
            <w:rPr>
              <w:rtl/>
            </w:rPr>
            <w:instrText xml:space="preserve"> </w:instrText>
          </w:r>
          <w:r>
            <w:rPr>
              <w:rtl/>
            </w:rPr>
            <w:fldChar w:fldCharType="separate"/>
          </w:r>
          <w:r w:rsidRPr="00121715">
            <w:rPr>
              <w:rFonts w:hint="cs"/>
              <w:noProof/>
              <w:rtl/>
            </w:rPr>
            <w:t>(</w:t>
          </w:r>
          <w:r w:rsidRPr="00121715">
            <w:rPr>
              <w:rFonts w:hint="cs"/>
              <w:noProof/>
            </w:rPr>
            <w:t>Alomari</w:t>
          </w:r>
          <w:r w:rsidRPr="00121715">
            <w:rPr>
              <w:rFonts w:hint="cs"/>
              <w:noProof/>
              <w:rtl/>
            </w:rPr>
            <w:t>، 2023)</w:t>
          </w:r>
          <w:r>
            <w:rPr>
              <w:rtl/>
            </w:rPr>
            <w:fldChar w:fldCharType="end"/>
          </w:r>
        </w:sdtContent>
      </w:sdt>
      <w:r>
        <w:rPr>
          <w:rFonts w:hint="cs"/>
          <w:rtl/>
        </w:rPr>
        <w:t xml:space="preserve"> </w:t>
      </w:r>
      <w:r w:rsidRPr="00121715">
        <w:rPr>
          <w:rtl/>
        </w:rPr>
        <w:t xml:space="preserve">العلاقة بين التوازن بين العمل والحياة والرضا الوظيفي في سياق نمط الحياة الجديد في المملكة العربية السعودية، مع التركيز بشكل خاص على الاحتفاظ بالمغتربين. الغرض من هذه الدراسة هو توفير فهم أعمق لكيفية تأثير </w:t>
      </w:r>
      <w:r w:rsidRPr="00121715">
        <w:t>WLB</w:t>
      </w:r>
      <w:r w:rsidRPr="00121715">
        <w:rPr>
          <w:rtl/>
        </w:rPr>
        <w:t xml:space="preserve"> على الرضا الوظيفي للمغتربين ويؤثر في النهاية على قرارهم بالبقاء أو ترك مناصبهم في المملكة العربية السعودية. تم استخدام منهجية نوعية، وذلك باستخدام مقابلات شبه منظمة مع عينة من 15 فردا يمثلون مختلف الصناعات. تم اختيار المشاركين بناءً على وضعهم كعمال مغتربين وتجاربهم مع نمط الحياة الجديد في المملكة العربية السعودية. تم استخدام التحليل لتحديد الأنماط والمواضيع المتكررة في البيانات. وتكشف النتائج عن وجود علاقة ذات دلالة إحصائية بين </w:t>
      </w:r>
      <w:r w:rsidRPr="00121715">
        <w:t>WLB</w:t>
      </w:r>
      <w:r w:rsidRPr="00121715">
        <w:rPr>
          <w:rtl/>
        </w:rPr>
        <w:t xml:space="preserve"> والرضا الوظيفي بين العمال الوافدين. وشدد المشاركون على أهمية توفير الوقت الكافي للأنشطة الشخصية والعائلية خارج العمل، فضلاً عن ترتيبات العمل المرنة. وجد أن تحقيق </w:t>
      </w:r>
      <w:r w:rsidRPr="00121715">
        <w:t>WLB</w:t>
      </w:r>
      <w:r w:rsidRPr="00121715">
        <w:rPr>
          <w:rtl/>
        </w:rPr>
        <w:t xml:space="preserve"> يعزز الرضا الوظيفي، مما يؤدي إلى مستويات أعلى من الالتزام والاحتفاظ. وعلى العكس من ذلك، أفاد المشاركون الذين عانوا من عدم التوازن بين العمل والحياة عن انخفاض الرضا الوظيفي وأعربوا عن احتمال أكبر للبحث عن فرص في أماكن أخرى. تؤكد هذه النتائج على أهمية تعزيز مبادرات </w:t>
      </w:r>
      <w:r w:rsidRPr="00121715">
        <w:t>WLB</w:t>
      </w:r>
      <w:r w:rsidRPr="00121715">
        <w:rPr>
          <w:rtl/>
        </w:rPr>
        <w:t xml:space="preserve"> داخل المنظمات العاملة في المملكة العربية السعودية. يجب على أصحاب العمل النظر في تنفيذ السياسات والممارسات التي تدعم الموظفين في إدارة عملهم وحياتهم الشخصية بشكل فعال. ومن خلال القيام بذلك، يمكن </w:t>
      </w:r>
      <w:r w:rsidRPr="00121715">
        <w:rPr>
          <w:rtl/>
        </w:rPr>
        <w:lastRenderedPageBreak/>
        <w:t>للمؤسسات تعزيز الرضا الوظيفي، وتحسين معدلات الاحتفاظ بالعمال الوافدين، والمساهمة في نهاية المطاف في نجاحهم على المدى الطويل في نمط الحياة المتطور في المملكة العربية السعودية.</w:t>
      </w:r>
    </w:p>
    <w:p w14:paraId="3052666F" w14:textId="77777777" w:rsidR="00514AF6" w:rsidRDefault="00514AF6" w:rsidP="00514AF6">
      <w:pPr>
        <w:pStyle w:val="a0"/>
        <w:rPr>
          <w:rtl/>
        </w:rPr>
      </w:pPr>
      <w:r w:rsidRPr="00121715">
        <w:rPr>
          <w:rtl/>
        </w:rPr>
        <w:t>إن جودة حياة العمل (</w:t>
      </w:r>
      <w:r w:rsidRPr="00121715">
        <w:t>QWL</w:t>
      </w:r>
      <w:r w:rsidRPr="00121715">
        <w:rPr>
          <w:rtl/>
        </w:rPr>
        <w:t>)، والرضا الوظيفي، وأداء العمل الفردي هي الركائز الأساسية للأداء التنظيمي ونمو الأعمال المستدام (</w:t>
      </w:r>
      <w:r w:rsidRPr="00121715">
        <w:t>SBG</w:t>
      </w:r>
      <w:r w:rsidRPr="00121715">
        <w:rPr>
          <w:rtl/>
        </w:rPr>
        <w:t xml:space="preserve">). لقد أدرك العديد من الباحثين وجود علاقة بين </w:t>
      </w:r>
      <w:r w:rsidRPr="00121715">
        <w:t>QWL</w:t>
      </w:r>
      <w:r w:rsidRPr="00121715">
        <w:rPr>
          <w:rtl/>
        </w:rPr>
        <w:t xml:space="preserve"> و</w:t>
      </w:r>
      <w:r w:rsidRPr="00121715">
        <w:t>SBG</w:t>
      </w:r>
      <w:r w:rsidRPr="00121715">
        <w:rPr>
          <w:rtl/>
        </w:rPr>
        <w:t xml:space="preserve">. تضمن أبعاد </w:t>
      </w:r>
      <w:r w:rsidRPr="00121715">
        <w:t>QWL</w:t>
      </w:r>
      <w:r w:rsidRPr="00121715">
        <w:rPr>
          <w:rtl/>
        </w:rPr>
        <w:t xml:space="preserve"> الإيجابية التزام القوى العاملة تجاه </w:t>
      </w:r>
      <w:r w:rsidRPr="00121715">
        <w:t>SBG</w:t>
      </w:r>
      <w:r w:rsidRPr="00121715">
        <w:rPr>
          <w:rtl/>
        </w:rPr>
        <w:t xml:space="preserve">. مثل جودة الخدمة، فإن جودة العمل لها عدة أبعاد، وأكثرها شيوعًا هي: (1) الرضا الوظيفي، (2) الاستقلالية، (3) بيئة العمل المادية، (4) المكافآت، (5) النمو الوظيفي، (6) العلاقات الجماعية، و (7) العلاقة مع الإدارة. لطالما اعتبرت الحياة المهنية في القطاع المصرفي رمزًا للمكانة والازدهار والأمن الوظيفي والرضا الوظيفي. لفهم ذلك، نقدم نموذج </w:t>
      </w:r>
      <w:r w:rsidRPr="00121715">
        <w:t>WRKLFQUAL</w:t>
      </w:r>
      <w:r w:rsidRPr="00121715">
        <w:rPr>
          <w:rtl/>
        </w:rPr>
        <w:t xml:space="preserve"> لقياس جودة العمل (</w:t>
      </w:r>
      <w:r w:rsidRPr="00121715">
        <w:t>QWL</w:t>
      </w:r>
      <w:r w:rsidRPr="00121715">
        <w:rPr>
          <w:rtl/>
        </w:rPr>
        <w:t>) وتأثيرها على الأمن الوظيفي والرضا (</w:t>
      </w:r>
      <w:r w:rsidRPr="00121715">
        <w:t>JSS</w:t>
      </w:r>
      <w:r w:rsidRPr="00121715">
        <w:rPr>
          <w:rtl/>
        </w:rPr>
        <w:t>) وأداء العمل الفردي (</w:t>
      </w:r>
      <w:r w:rsidRPr="00121715">
        <w:t>IWP</w:t>
      </w:r>
      <w:r w:rsidRPr="00121715">
        <w:rPr>
          <w:rtl/>
        </w:rPr>
        <w:t xml:space="preserve">). تختلف الأبعاد والأبعاد الفرعية لـ </w:t>
      </w:r>
      <w:r w:rsidRPr="00121715">
        <w:t>WRKLFQUAL</w:t>
      </w:r>
      <w:r w:rsidRPr="00121715">
        <w:rPr>
          <w:rtl/>
        </w:rPr>
        <w:t xml:space="preserve"> عن الأبعاد والأبعاد الفرعية لـ </w:t>
      </w:r>
      <w:r w:rsidRPr="00121715">
        <w:t>SERVQUAL</w:t>
      </w:r>
      <w:r w:rsidRPr="00121715">
        <w:rPr>
          <w:rtl/>
        </w:rPr>
        <w:t xml:space="preserve">؛ ومع ذلك، فإن آليات قياس جودة الخدمة وجودة العمل لها أساليب مماثلة. وبناء على ذلك، طبقت هذه الدراسة تحليل الفجوات لمعرفة ما تتوقعه القوى العاملة من بيئات عملهم، وكذلك ما مروا به بالفعل. يرى العديد من الباحثين أن الفجوات في جودة الخدمة تؤثر بشكل كبير على أداء الأعمال. في هذا الصدد، وجد بحثنا أن جميع أبعاد </w:t>
      </w:r>
      <w:r w:rsidRPr="00121715">
        <w:t>WRKLFQUAL</w:t>
      </w:r>
      <w:r w:rsidRPr="00121715">
        <w:rPr>
          <w:rtl/>
        </w:rPr>
        <w:t xml:space="preserve"> تقريبًا بها فجوات سلبية، مما يعني أن ضعف جودة العمل (</w:t>
      </w:r>
      <w:r w:rsidRPr="00121715">
        <w:t>QWL</w:t>
      </w:r>
      <w:r w:rsidRPr="00121715">
        <w:rPr>
          <w:rtl/>
        </w:rPr>
        <w:t xml:space="preserve">) يسبب عدم الرضا الوظيفي ويعيق </w:t>
      </w:r>
      <w:r w:rsidRPr="00121715">
        <w:t>IWP</w:t>
      </w:r>
      <w:r w:rsidRPr="00121715">
        <w:rPr>
          <w:rtl/>
        </w:rPr>
        <w:t xml:space="preserve">. ويبين تحليل الانحدار أيضًا أن متوسط </w:t>
      </w:r>
      <w:r w:rsidRPr="00121715">
        <w:rPr>
          <w:rFonts w:ascii="Times New Roman" w:hAnsi="Times New Roman" w:cs="Times New Roman" w:hint="cs"/>
          <w:rtl/>
        </w:rPr>
        <w:t>​​</w:t>
      </w:r>
      <w:r w:rsidRPr="00121715">
        <w:rPr>
          <w:rFonts w:hint="cs"/>
          <w:rtl/>
        </w:rPr>
        <w:t>الفجوات</w:t>
      </w:r>
      <w:r w:rsidRPr="00121715">
        <w:rPr>
          <w:rtl/>
        </w:rPr>
        <w:t xml:space="preserve"> </w:t>
      </w:r>
      <w:r w:rsidRPr="00121715">
        <w:rPr>
          <w:rFonts w:hint="cs"/>
          <w:rtl/>
        </w:rPr>
        <w:t>له</w:t>
      </w:r>
      <w:r w:rsidRPr="00121715">
        <w:rPr>
          <w:rtl/>
        </w:rPr>
        <w:t xml:space="preserve"> </w:t>
      </w:r>
      <w:r w:rsidRPr="00121715">
        <w:rPr>
          <w:rFonts w:hint="cs"/>
          <w:rtl/>
        </w:rPr>
        <w:t>علاقة</w:t>
      </w:r>
      <w:r w:rsidRPr="00121715">
        <w:rPr>
          <w:rtl/>
        </w:rPr>
        <w:t xml:space="preserve"> </w:t>
      </w:r>
      <w:r w:rsidRPr="00121715">
        <w:rPr>
          <w:rFonts w:hint="cs"/>
          <w:rtl/>
        </w:rPr>
        <w:t>كبيرة</w:t>
      </w:r>
      <w:r w:rsidRPr="00121715">
        <w:rPr>
          <w:rtl/>
        </w:rPr>
        <w:t xml:space="preserve"> </w:t>
      </w:r>
      <w:r w:rsidRPr="00121715">
        <w:rPr>
          <w:rFonts w:hint="cs"/>
          <w:rtl/>
        </w:rPr>
        <w:t>بالرضا</w:t>
      </w:r>
      <w:r w:rsidRPr="00121715">
        <w:rPr>
          <w:rtl/>
        </w:rPr>
        <w:t xml:space="preserve"> </w:t>
      </w:r>
      <w:r w:rsidRPr="00121715">
        <w:rPr>
          <w:rFonts w:hint="cs"/>
          <w:rtl/>
        </w:rPr>
        <w:t>الوظيفي</w:t>
      </w:r>
      <w:r w:rsidRPr="00121715">
        <w:rPr>
          <w:rtl/>
        </w:rPr>
        <w:t xml:space="preserve">. </w:t>
      </w:r>
      <w:r w:rsidRPr="00121715">
        <w:rPr>
          <w:rFonts w:hint="cs"/>
          <w:rtl/>
        </w:rPr>
        <w:t>وأخيرًا،</w:t>
      </w:r>
      <w:r w:rsidRPr="00121715">
        <w:rPr>
          <w:rtl/>
        </w:rPr>
        <w:t xml:space="preserve"> </w:t>
      </w:r>
      <w:r w:rsidRPr="00121715">
        <w:rPr>
          <w:rFonts w:hint="cs"/>
          <w:rtl/>
        </w:rPr>
        <w:t>تثبت</w:t>
      </w:r>
      <w:r w:rsidRPr="00121715">
        <w:rPr>
          <w:rtl/>
        </w:rPr>
        <w:t xml:space="preserve"> </w:t>
      </w:r>
      <w:r w:rsidRPr="00121715">
        <w:rPr>
          <w:rFonts w:hint="cs"/>
          <w:rtl/>
        </w:rPr>
        <w:t>الأبحاث</w:t>
      </w:r>
      <w:r w:rsidRPr="00121715">
        <w:rPr>
          <w:rtl/>
        </w:rPr>
        <w:t xml:space="preserve"> </w:t>
      </w:r>
      <w:r w:rsidRPr="00121715">
        <w:rPr>
          <w:rFonts w:hint="cs"/>
          <w:rtl/>
        </w:rPr>
        <w:t>أن</w:t>
      </w:r>
      <w:r w:rsidRPr="00121715">
        <w:rPr>
          <w:rtl/>
        </w:rPr>
        <w:t xml:space="preserve"> </w:t>
      </w:r>
      <w:r w:rsidRPr="00121715">
        <w:rPr>
          <w:rFonts w:hint="cs"/>
          <w:rtl/>
        </w:rPr>
        <w:t>الأمن</w:t>
      </w:r>
      <w:r w:rsidRPr="00121715">
        <w:rPr>
          <w:rtl/>
        </w:rPr>
        <w:t xml:space="preserve"> </w:t>
      </w:r>
      <w:r w:rsidRPr="00121715">
        <w:rPr>
          <w:rFonts w:hint="cs"/>
          <w:rtl/>
        </w:rPr>
        <w:t>الوظيفي</w:t>
      </w:r>
      <w:r w:rsidRPr="00121715">
        <w:rPr>
          <w:rtl/>
        </w:rPr>
        <w:t xml:space="preserve"> </w:t>
      </w:r>
      <w:r w:rsidRPr="00121715">
        <w:rPr>
          <w:rFonts w:hint="cs"/>
          <w:rtl/>
        </w:rPr>
        <w:t>والرضا</w:t>
      </w:r>
      <w:r w:rsidRPr="00121715">
        <w:rPr>
          <w:rtl/>
        </w:rPr>
        <w:t xml:space="preserve"> </w:t>
      </w:r>
      <w:r w:rsidRPr="00121715">
        <w:rPr>
          <w:rFonts w:hint="cs"/>
          <w:rtl/>
        </w:rPr>
        <w:t>الوظيفي</w:t>
      </w:r>
      <w:r w:rsidRPr="00121715">
        <w:rPr>
          <w:rtl/>
        </w:rPr>
        <w:t xml:space="preserve"> </w:t>
      </w:r>
      <w:r w:rsidRPr="00121715">
        <w:rPr>
          <w:rFonts w:hint="cs"/>
          <w:rtl/>
        </w:rPr>
        <w:t>يلعبان</w:t>
      </w:r>
      <w:r w:rsidRPr="00121715">
        <w:rPr>
          <w:rtl/>
        </w:rPr>
        <w:t xml:space="preserve"> </w:t>
      </w:r>
      <w:r w:rsidRPr="00121715">
        <w:rPr>
          <w:rFonts w:hint="cs"/>
          <w:rtl/>
        </w:rPr>
        <w:t>دورًا</w:t>
      </w:r>
      <w:r w:rsidRPr="00121715">
        <w:rPr>
          <w:rtl/>
        </w:rPr>
        <w:t xml:space="preserve"> </w:t>
      </w:r>
      <w:r w:rsidRPr="00121715">
        <w:rPr>
          <w:rFonts w:hint="cs"/>
          <w:rtl/>
        </w:rPr>
        <w:t>وسيطًا</w:t>
      </w:r>
      <w:r w:rsidRPr="00121715">
        <w:rPr>
          <w:rtl/>
        </w:rPr>
        <w:t xml:space="preserve"> </w:t>
      </w:r>
      <w:r w:rsidRPr="00121715">
        <w:rPr>
          <w:rFonts w:hint="cs"/>
          <w:rtl/>
        </w:rPr>
        <w:t>في</w:t>
      </w:r>
      <w:r w:rsidRPr="00121715">
        <w:rPr>
          <w:rtl/>
        </w:rPr>
        <w:t xml:space="preserve"> </w:t>
      </w:r>
      <w:r w:rsidRPr="00121715">
        <w:rPr>
          <w:rFonts w:hint="cs"/>
          <w:rtl/>
        </w:rPr>
        <w:t>متوسط</w:t>
      </w:r>
      <w:r w:rsidRPr="00121715">
        <w:rPr>
          <w:rtl/>
        </w:rPr>
        <w:t xml:space="preserve"> </w:t>
      </w:r>
      <w:r w:rsidRPr="00121715">
        <w:rPr>
          <w:rFonts w:ascii="Times New Roman" w:hAnsi="Times New Roman" w:cs="Times New Roman" w:hint="cs"/>
          <w:rtl/>
        </w:rPr>
        <w:t>​​</w:t>
      </w:r>
      <w:r w:rsidRPr="00121715">
        <w:rPr>
          <w:rFonts w:hint="cs"/>
          <w:rtl/>
        </w:rPr>
        <w:t>درجات</w:t>
      </w:r>
      <w:r w:rsidRPr="00121715">
        <w:rPr>
          <w:rtl/>
        </w:rPr>
        <w:t xml:space="preserve"> </w:t>
      </w:r>
      <w:r w:rsidRPr="00121715">
        <w:rPr>
          <w:rFonts w:hint="cs"/>
          <w:rtl/>
        </w:rPr>
        <w:t>الفجوة</w:t>
      </w:r>
      <w:r w:rsidRPr="00121715">
        <w:rPr>
          <w:rtl/>
        </w:rPr>
        <w:t xml:space="preserve"> </w:t>
      </w:r>
      <w:r w:rsidRPr="00121715">
        <w:rPr>
          <w:rFonts w:hint="cs"/>
          <w:rtl/>
        </w:rPr>
        <w:t>وأداء</w:t>
      </w:r>
      <w:r w:rsidRPr="00121715">
        <w:rPr>
          <w:rtl/>
        </w:rPr>
        <w:t xml:space="preserve"> </w:t>
      </w:r>
      <w:r w:rsidRPr="00121715">
        <w:rPr>
          <w:rFonts w:hint="cs"/>
          <w:rtl/>
        </w:rPr>
        <w:t>العمل</w:t>
      </w:r>
      <w:r w:rsidRPr="00121715">
        <w:rPr>
          <w:rtl/>
        </w:rPr>
        <w:t xml:space="preserve"> </w:t>
      </w:r>
      <w:r w:rsidRPr="00121715">
        <w:rPr>
          <w:rFonts w:hint="cs"/>
          <w:rtl/>
        </w:rPr>
        <w:t>الفردي</w:t>
      </w:r>
      <w:r w:rsidRPr="00121715">
        <w:rPr>
          <w:rtl/>
        </w:rPr>
        <w:t>.</w:t>
      </w:r>
      <w:r>
        <w:rPr>
          <w:rFonts w:hint="cs"/>
          <w:rtl/>
        </w:rPr>
        <w:t xml:space="preserve"> </w:t>
      </w:r>
      <w:r w:rsidRPr="00121715">
        <w:rPr>
          <w:rtl/>
        </w:rPr>
        <w:t xml:space="preserve">أجريت هذه الدراسة حول أداء القطاع المصرفي في المملكة العربية السعودية، وذلك على النحو التالي. وتشير درجة </w:t>
      </w:r>
      <w:proofErr w:type="spellStart"/>
      <w:r w:rsidRPr="00121715">
        <w:rPr>
          <w:rtl/>
        </w:rPr>
        <w:t>كرونباخ</w:t>
      </w:r>
      <w:proofErr w:type="spellEnd"/>
      <w:r w:rsidRPr="00121715">
        <w:rPr>
          <w:rtl/>
        </w:rPr>
        <w:t xml:space="preserve"> ألفا إلى أن 95% من العينة خالية من الأخطاء. لتطبيق </w:t>
      </w:r>
      <w:r w:rsidRPr="00121715">
        <w:t>WRKLFQUAL</w:t>
      </w:r>
      <w:r w:rsidRPr="00121715">
        <w:rPr>
          <w:rtl/>
        </w:rPr>
        <w:t xml:space="preserve"> على نفس خطوط </w:t>
      </w:r>
      <w:r w:rsidRPr="00121715">
        <w:t>SERVQUAL</w:t>
      </w:r>
      <w:r w:rsidRPr="00121715">
        <w:rPr>
          <w:rtl/>
        </w:rPr>
        <w:t xml:space="preserve">، قمنا بتطوير سبعة أبعاد و28 بُعدًا فرعيًا. وبناءً على هذه الأبعاد، تم استخلاص سبعة عوامل، جميعها ذات تحميل عامل يتراوح بين 0.745 و0.835، مما يؤكد أن جميع المكونات لديها مستوى عالٍ من التباين المشترك. وفقًا لذلك، فإن الفجوات في </w:t>
      </w:r>
      <w:r w:rsidRPr="00121715">
        <w:t>QWL</w:t>
      </w:r>
      <w:r w:rsidRPr="00121715">
        <w:rPr>
          <w:rtl/>
        </w:rPr>
        <w:t>، والتي تتراوح من .90.997 إلى .1.149، تُظهر أيضًا أن جميع الأبعاد والأبعاد الفرعية تقريبًا تحتاج إلى تحسينات. ومن خلال المضي قدمًا في هذا التحليل، قمنا أيضًا بمقارنة جودة العمل (</w:t>
      </w:r>
      <w:r w:rsidRPr="00121715">
        <w:t>QWL</w:t>
      </w:r>
      <w:r w:rsidRPr="00121715">
        <w:rPr>
          <w:rtl/>
        </w:rPr>
        <w:t>) بين البنوك السعودية وغير السعودية متعددة الجنسيات ووجدنا أن جودة العمل (</w:t>
      </w:r>
      <w:r w:rsidRPr="00121715">
        <w:t>QWL</w:t>
      </w:r>
      <w:r w:rsidRPr="00121715">
        <w:rPr>
          <w:rtl/>
        </w:rPr>
        <w:t xml:space="preserve">) للنظام المصرفي السعودي لها ميزة طفيفة على البنوك متعددة الجنسيات غير السعودية. يشير الارتباط بين سبعة متنبئين، يتراوح من 0.625 إلى 0.812، إلى أن جميع </w:t>
      </w:r>
      <w:r w:rsidRPr="00121715">
        <w:rPr>
          <w:rtl/>
        </w:rPr>
        <w:lastRenderedPageBreak/>
        <w:t xml:space="preserve">المتنبئين السبعة مرتبطون بشكل كبير. وبالمثل، يوضح تحليل الانحدار باستخدام </w:t>
      </w:r>
      <w:r w:rsidRPr="00121715">
        <w:t>R2 0.704</w:t>
      </w:r>
      <w:r w:rsidRPr="00121715">
        <w:rPr>
          <w:rtl/>
        </w:rPr>
        <w:t xml:space="preserve"> أن لدينا نموذجًا مناسبًا. ومن ثم، فإننا نرى أن </w:t>
      </w:r>
      <w:r w:rsidRPr="00121715">
        <w:t>JSS</w:t>
      </w:r>
      <w:r w:rsidRPr="00121715">
        <w:rPr>
          <w:rtl/>
        </w:rPr>
        <w:t xml:space="preserve"> يعتمد على </w:t>
      </w:r>
      <w:r w:rsidRPr="00121715">
        <w:t>QWL</w:t>
      </w:r>
      <w:r w:rsidRPr="00121715">
        <w:rPr>
          <w:rtl/>
        </w:rPr>
        <w:t xml:space="preserve"> ونستنتج أن </w:t>
      </w:r>
      <w:r w:rsidRPr="00121715">
        <w:t>QWL</w:t>
      </w:r>
      <w:r w:rsidRPr="00121715">
        <w:rPr>
          <w:rtl/>
        </w:rPr>
        <w:t xml:space="preserve"> السلبية تسبب عدم الرضا الوظيفي وانعدام الأمن. لقد قمنا أيضًا بفحص التأثير الوسيط لـ </w:t>
      </w:r>
      <w:r w:rsidRPr="00121715">
        <w:t>JSS</w:t>
      </w:r>
      <w:r w:rsidRPr="00121715">
        <w:rPr>
          <w:rtl/>
        </w:rPr>
        <w:t xml:space="preserve"> على </w:t>
      </w:r>
      <w:r w:rsidRPr="00121715">
        <w:t>QWL</w:t>
      </w:r>
      <w:r w:rsidRPr="00121715">
        <w:rPr>
          <w:rtl/>
        </w:rPr>
        <w:t xml:space="preserve"> و</w:t>
      </w:r>
      <w:r w:rsidRPr="00121715">
        <w:t>IWP</w:t>
      </w:r>
      <w:r w:rsidRPr="00121715">
        <w:rPr>
          <w:rtl/>
        </w:rPr>
        <w:t xml:space="preserve"> وخلصنا إلى أن اختبار </w:t>
      </w:r>
      <w:r w:rsidRPr="00121715">
        <w:t>Sobel</w:t>
      </w:r>
      <w:r w:rsidRPr="00121715">
        <w:rPr>
          <w:rtl/>
        </w:rPr>
        <w:t xml:space="preserve">، في معظم الحالات، قدم نتائج أعلى من 1.98، وهو الحد الأدنى من معيار وجود </w:t>
      </w:r>
      <w:r w:rsidRPr="00121715">
        <w:t>Sobel</w:t>
      </w:r>
      <w:r w:rsidRPr="00121715">
        <w:rPr>
          <w:rtl/>
        </w:rPr>
        <w:t xml:space="preserve"> ليكون مهمًا وفعالًا. ومن ثم، نثبت أن </w:t>
      </w:r>
      <w:r w:rsidRPr="00121715">
        <w:t>JSS</w:t>
      </w:r>
      <w:r w:rsidRPr="00121715">
        <w:rPr>
          <w:rtl/>
        </w:rPr>
        <w:t xml:space="preserve"> له دور وسيط في </w:t>
      </w:r>
      <w:r w:rsidRPr="00121715">
        <w:t>QWL</w:t>
      </w:r>
      <w:r w:rsidRPr="00121715">
        <w:rPr>
          <w:rtl/>
        </w:rPr>
        <w:t xml:space="preserve"> و</w:t>
      </w:r>
      <w:r w:rsidRPr="00121715">
        <w:t>IWP</w:t>
      </w:r>
      <w:r w:rsidRPr="00121715">
        <w:rPr>
          <w:rtl/>
        </w:rPr>
        <w:t>. وأخيرًا، نستنتج أن ضعف جودة العمل (</w:t>
      </w:r>
      <w:r w:rsidRPr="00121715">
        <w:t>QWL</w:t>
      </w:r>
      <w:r w:rsidRPr="00121715">
        <w:rPr>
          <w:rtl/>
        </w:rPr>
        <w:t>) يسبب عدم الرضا الوظيفي ويقلل في النهاية من الكفاءة التنظيمية</w:t>
      </w:r>
      <w:r>
        <w:rPr>
          <w:rFonts w:hint="cs"/>
          <w:rtl/>
        </w:rPr>
        <w:t xml:space="preserve"> </w:t>
      </w:r>
      <w:sdt>
        <w:sdtPr>
          <w:rPr>
            <w:rFonts w:hint="cs"/>
            <w:rtl/>
          </w:rPr>
          <w:id w:val="-1785028004"/>
          <w:citation/>
        </w:sdtPr>
        <w:sdtContent>
          <w:r>
            <w:rPr>
              <w:rtl/>
            </w:rPr>
            <w:fldChar w:fldCharType="begin"/>
          </w:r>
          <w:r>
            <w:instrText xml:space="preserve">CITATION Ish22 \l 3073 </w:instrText>
          </w:r>
          <w:r>
            <w:rPr>
              <w:rtl/>
            </w:rPr>
            <w:fldChar w:fldCharType="separate"/>
          </w:r>
          <w:r w:rsidRPr="00121715">
            <w:rPr>
              <w:rFonts w:hint="cs"/>
              <w:noProof/>
              <w:rtl/>
            </w:rPr>
            <w:t>(</w:t>
          </w:r>
          <w:r w:rsidRPr="00121715">
            <w:rPr>
              <w:rFonts w:hint="cs"/>
              <w:noProof/>
            </w:rPr>
            <w:t>Ishfaq</w:t>
          </w:r>
          <w:r w:rsidRPr="00121715">
            <w:rPr>
              <w:rFonts w:hint="cs"/>
              <w:noProof/>
              <w:rtl/>
            </w:rPr>
            <w:t>، 2022)</w:t>
          </w:r>
          <w:r>
            <w:rPr>
              <w:rtl/>
            </w:rPr>
            <w:fldChar w:fldCharType="end"/>
          </w:r>
        </w:sdtContent>
      </w:sdt>
      <w:r w:rsidRPr="00121715">
        <w:rPr>
          <w:rtl/>
        </w:rPr>
        <w:t>.</w:t>
      </w:r>
      <w:r>
        <w:rPr>
          <w:rFonts w:hint="cs"/>
          <w:rtl/>
        </w:rPr>
        <w:t xml:space="preserve"> </w:t>
      </w:r>
    </w:p>
    <w:p w14:paraId="64307C60" w14:textId="77777777" w:rsidR="00514AF6" w:rsidRDefault="00514AF6" w:rsidP="00514AF6">
      <w:pPr>
        <w:pStyle w:val="a0"/>
        <w:rPr>
          <w:rtl/>
        </w:rPr>
      </w:pPr>
      <w:r w:rsidRPr="00121715">
        <w:rPr>
          <w:rtl/>
        </w:rPr>
        <w:t xml:space="preserve">أجريت </w:t>
      </w:r>
      <w:r>
        <w:rPr>
          <w:rFonts w:hint="cs"/>
          <w:rtl/>
        </w:rPr>
        <w:t xml:space="preserve">دراسة </w:t>
      </w:r>
      <w:sdt>
        <w:sdtPr>
          <w:rPr>
            <w:rFonts w:hint="cs"/>
            <w:rtl/>
          </w:rPr>
          <w:id w:val="7489981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MAL21 \l 3073</w:instrText>
          </w:r>
          <w:r>
            <w:rPr>
              <w:rtl/>
            </w:rPr>
            <w:instrText xml:space="preserve"> </w:instrText>
          </w:r>
          <w:r>
            <w:rPr>
              <w:rtl/>
            </w:rPr>
            <w:fldChar w:fldCharType="separate"/>
          </w:r>
          <w:r w:rsidRPr="00121715">
            <w:rPr>
              <w:rFonts w:hint="cs"/>
              <w:noProof/>
              <w:rtl/>
            </w:rPr>
            <w:t>(</w:t>
          </w:r>
          <w:r w:rsidRPr="00121715">
            <w:rPr>
              <w:rFonts w:hint="cs"/>
              <w:noProof/>
            </w:rPr>
            <w:t>MALIK</w:t>
          </w:r>
          <w:r w:rsidRPr="00121715">
            <w:rPr>
              <w:rFonts w:hint="cs"/>
              <w:noProof/>
              <w:rtl/>
            </w:rPr>
            <w:t>، 2021)</w:t>
          </w:r>
          <w:r>
            <w:rPr>
              <w:rtl/>
            </w:rPr>
            <w:fldChar w:fldCharType="end"/>
          </w:r>
        </w:sdtContent>
      </w:sdt>
      <w:r w:rsidRPr="00121715">
        <w:rPr>
          <w:rtl/>
        </w:rPr>
        <w:t xml:space="preserve"> حول أداء القطاع المصرفي في المملكة العربية السعودية، وذلك على النحو التالي. وتشير درجة </w:t>
      </w:r>
      <w:proofErr w:type="spellStart"/>
      <w:r w:rsidRPr="00121715">
        <w:rPr>
          <w:rtl/>
        </w:rPr>
        <w:t>كرونباخ</w:t>
      </w:r>
      <w:proofErr w:type="spellEnd"/>
      <w:r w:rsidRPr="00121715">
        <w:rPr>
          <w:rtl/>
        </w:rPr>
        <w:t xml:space="preserve"> ألفا إلى أن 95% من العينة خالية من الأخطاء. لتطبيق </w:t>
      </w:r>
      <w:r w:rsidRPr="00121715">
        <w:t>WRKLFQUAL</w:t>
      </w:r>
      <w:r w:rsidRPr="00121715">
        <w:rPr>
          <w:rtl/>
        </w:rPr>
        <w:t xml:space="preserve"> على نفس خطوط </w:t>
      </w:r>
      <w:r w:rsidRPr="00121715">
        <w:t>SERVQUAL</w:t>
      </w:r>
      <w:r w:rsidRPr="00121715">
        <w:rPr>
          <w:rtl/>
        </w:rPr>
        <w:t xml:space="preserve">، قمنا بتطوير سبعة أبعاد و28 بُعدًا فرعيًا. وبناءً على هذه الأبعاد، تم استخلاص سبعة عوامل، جميعها ذات تحميل عامل يتراوح بين 0.745 و0.835، مما يؤكد أن جميع المكونات لديها مستوى عالٍ من التباين المشترك. وفقًا لذلك، فإن الفجوات في </w:t>
      </w:r>
      <w:r w:rsidRPr="00121715">
        <w:t>QWL</w:t>
      </w:r>
      <w:r w:rsidRPr="00121715">
        <w:rPr>
          <w:rtl/>
        </w:rPr>
        <w:t>، والتي تتراوح من .90.997 إلى .1.149، تُظهر أيضًا أن جميع الأبعاد والأبعاد الفرعية تقريبًا تحتاج إلى تحسينات. ومن خلال المضي قدمًا في هذا التحليل، قمنا أيضًا بمقارنة جودة العمل (</w:t>
      </w:r>
      <w:r w:rsidRPr="00121715">
        <w:t>QWL</w:t>
      </w:r>
      <w:r w:rsidRPr="00121715">
        <w:rPr>
          <w:rtl/>
        </w:rPr>
        <w:t>) بين البنوك السعودية وغير السعودية متعددة الجنسيات ووجدنا أن جودة العمل (</w:t>
      </w:r>
      <w:r w:rsidRPr="00121715">
        <w:t>QWL</w:t>
      </w:r>
      <w:r w:rsidRPr="00121715">
        <w:rPr>
          <w:rtl/>
        </w:rPr>
        <w:t xml:space="preserve">) للنظام المصرفي السعودي لها ميزة طفيفة على البنوك متعددة الجنسيات غير السعودية. يشير الارتباط بين سبعة متنبئين، يتراوح من 0.625 إلى 0.812، إلى أن جميع المتنبئين السبعة مرتبطون بشكل كبير. وبالمثل، يوضح تحليل الانحدار باستخدام </w:t>
      </w:r>
      <w:r w:rsidRPr="00121715">
        <w:t>R2 0.704</w:t>
      </w:r>
      <w:r w:rsidRPr="00121715">
        <w:rPr>
          <w:rtl/>
        </w:rPr>
        <w:t xml:space="preserve"> أن لدينا نموذجًا مناسبًا. ومن ثم، فإننا نرى أن </w:t>
      </w:r>
      <w:r w:rsidRPr="00121715">
        <w:t>JSS</w:t>
      </w:r>
      <w:r w:rsidRPr="00121715">
        <w:rPr>
          <w:rtl/>
        </w:rPr>
        <w:t xml:space="preserve"> يعتمد على </w:t>
      </w:r>
      <w:r w:rsidRPr="00121715">
        <w:t>QWL</w:t>
      </w:r>
      <w:r w:rsidRPr="00121715">
        <w:rPr>
          <w:rtl/>
        </w:rPr>
        <w:t xml:space="preserve"> ونستنتج أن </w:t>
      </w:r>
      <w:r w:rsidRPr="00121715">
        <w:t>QWL</w:t>
      </w:r>
      <w:r w:rsidRPr="00121715">
        <w:rPr>
          <w:rtl/>
        </w:rPr>
        <w:t xml:space="preserve"> السلبية تسبب عدم الرضا الوظيفي وانعدام الأمن. لقد قمنا أيضًا بفحص التأثير الوسيط لـ </w:t>
      </w:r>
      <w:r w:rsidRPr="00121715">
        <w:t>JSS</w:t>
      </w:r>
      <w:r w:rsidRPr="00121715">
        <w:rPr>
          <w:rtl/>
        </w:rPr>
        <w:t xml:space="preserve"> على </w:t>
      </w:r>
      <w:r w:rsidRPr="00121715">
        <w:t>QWL</w:t>
      </w:r>
      <w:r w:rsidRPr="00121715">
        <w:rPr>
          <w:rtl/>
        </w:rPr>
        <w:t xml:space="preserve"> و</w:t>
      </w:r>
      <w:r w:rsidRPr="00121715">
        <w:t>IWP</w:t>
      </w:r>
      <w:r w:rsidRPr="00121715">
        <w:rPr>
          <w:rtl/>
        </w:rPr>
        <w:t xml:space="preserve"> وخلصنا إلى أن اختبار </w:t>
      </w:r>
      <w:r w:rsidRPr="00121715">
        <w:t>Sobel</w:t>
      </w:r>
      <w:r w:rsidRPr="00121715">
        <w:rPr>
          <w:rtl/>
        </w:rPr>
        <w:t xml:space="preserve">، في معظم الحالات، قدم نتائج أعلى من 1.98، وهو الحد الأدنى من معيار وجود </w:t>
      </w:r>
      <w:r w:rsidRPr="00121715">
        <w:t>Sobel</w:t>
      </w:r>
      <w:r w:rsidRPr="00121715">
        <w:rPr>
          <w:rtl/>
        </w:rPr>
        <w:t xml:space="preserve"> ليكون مهمًا وفعالًا. ومن ثم، نثبت أن </w:t>
      </w:r>
      <w:r w:rsidRPr="00121715">
        <w:t>JSS</w:t>
      </w:r>
      <w:r w:rsidRPr="00121715">
        <w:rPr>
          <w:rtl/>
        </w:rPr>
        <w:t xml:space="preserve"> له دور وسيط في </w:t>
      </w:r>
      <w:r w:rsidRPr="00121715">
        <w:t>QWL</w:t>
      </w:r>
      <w:r w:rsidRPr="00121715">
        <w:rPr>
          <w:rtl/>
        </w:rPr>
        <w:t xml:space="preserve"> و</w:t>
      </w:r>
      <w:r w:rsidRPr="00121715">
        <w:t>IWP</w:t>
      </w:r>
      <w:r w:rsidRPr="00121715">
        <w:rPr>
          <w:rtl/>
        </w:rPr>
        <w:t>. وأخيرًا، نستنتج أن ضعف جودة العمل (</w:t>
      </w:r>
      <w:r w:rsidRPr="00121715">
        <w:t>QWL</w:t>
      </w:r>
      <w:r w:rsidRPr="00121715">
        <w:rPr>
          <w:rtl/>
        </w:rPr>
        <w:t>) يسبب عدم الرضا الوظيفي ويقلل في النهاية من الكفاءة التنظيمية.</w:t>
      </w:r>
    </w:p>
    <w:p w14:paraId="332056BA" w14:textId="77777777" w:rsidR="00514AF6" w:rsidRDefault="00514AF6" w:rsidP="00514AF6">
      <w:pPr>
        <w:pStyle w:val="a0"/>
        <w:rPr>
          <w:rtl/>
        </w:rPr>
      </w:pPr>
      <w:r w:rsidRPr="0088093E">
        <w:rPr>
          <w:rtl/>
        </w:rPr>
        <w:t xml:space="preserve">يستكشف البحث العلاقة بين التوازن بين العمل والحياة والرضا الوظيفي والالتزام التنظيمي على أداء الموظفين بين الموظفين الإداريين في مؤسسات المنطقة الشمالية في ماليزيا. تستخدم الدراسة نهج البحث الكمي للمصدر الأساسي للحصول على البيانات من مائتين وواحد وسبعين من المستجيبين من الموظفين الإداريين باستخدام أسلوب العينة العشوائية </w:t>
      </w:r>
      <w:r w:rsidRPr="0088093E">
        <w:rPr>
          <w:rtl/>
        </w:rPr>
        <w:lastRenderedPageBreak/>
        <w:t>والبيانات التي تم جمعها وتحليلها باستخدام الحزمة الإحصائية للعلوم الاجتماعية (</w:t>
      </w:r>
      <w:r w:rsidRPr="0088093E">
        <w:t>SPSS</w:t>
      </w:r>
      <w:r w:rsidRPr="0088093E">
        <w:rPr>
          <w:rtl/>
        </w:rPr>
        <w:t>). تم تقييم البيانات باستخدام العديد من الأساليب الإحصائية مثل مسح الموثوقية والتحليل الوصفي للمتغيرات وتحليل الارتباط (تحليل ارتباط بيرسون) وتحليل الانحدار (تحليل الانحدار المتعدد). تكشف نتائج الانحدار أن جميع العوامل المستقلة وهي التوازن بين العمل والحياة والرضا الوظيفي والالتزام التنظيمي مرتبطة بشكل إيجابي بالمتغير التابع وهو أداء الموظف. ومع ذلك، وجد البحث أنه لتعزيز الأداء الفعال للموظفين، يجب تحسين درجة التحفيز. وهذا من شأنه أن يقيم استدامة أو عدم استدامة الأهداف التنظيمية في القطاعين التجاري أو العام</w:t>
      </w:r>
      <w:sdt>
        <w:sdtPr>
          <w:rPr>
            <w:rtl/>
          </w:rPr>
          <w:id w:val="164230436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Abd18 \l 3073</w:instrText>
          </w:r>
          <w:r>
            <w:rPr>
              <w:rtl/>
            </w:rPr>
            <w:instrText xml:space="preserve"> </w:instrText>
          </w:r>
          <w:r>
            <w:rPr>
              <w:rtl/>
            </w:rPr>
            <w:fldChar w:fldCharType="separate"/>
          </w:r>
          <w:r>
            <w:rPr>
              <w:noProof/>
              <w:rtl/>
            </w:rPr>
            <w:t xml:space="preserve"> </w:t>
          </w:r>
          <w:r>
            <w:rPr>
              <w:rFonts w:hint="cs"/>
              <w:noProof/>
              <w:rtl/>
            </w:rPr>
            <w:t>(</w:t>
          </w:r>
          <w:r>
            <w:rPr>
              <w:rFonts w:hint="cs"/>
              <w:noProof/>
            </w:rPr>
            <w:t>Abdirahman</w:t>
          </w:r>
          <w:r>
            <w:rPr>
              <w:rFonts w:hint="cs"/>
              <w:noProof/>
              <w:rtl/>
            </w:rPr>
            <w:t>، 2018)</w:t>
          </w:r>
          <w:r>
            <w:rPr>
              <w:rtl/>
            </w:rPr>
            <w:fldChar w:fldCharType="end"/>
          </w:r>
        </w:sdtContent>
      </w:sdt>
      <w:r w:rsidRPr="0088093E">
        <w:rPr>
          <w:rtl/>
        </w:rPr>
        <w:t>.</w:t>
      </w:r>
    </w:p>
    <w:p w14:paraId="7AABEDF7" w14:textId="77777777" w:rsidR="00514AF6" w:rsidRDefault="00514AF6" w:rsidP="00514AF6">
      <w:pPr>
        <w:pStyle w:val="a0"/>
        <w:rPr>
          <w:rtl/>
        </w:rPr>
      </w:pPr>
      <w:r w:rsidRPr="0088093E">
        <w:rPr>
          <w:rtl/>
        </w:rPr>
        <w:t>الهدف: يستكشف هذا البحث العلاقة بين الروحانية في مكان العمل والرضا الوظيفي بوساطة رفاهية الموظف وتعديلها من خلال التوازن بين العمل والحياة في قطاع السياحة. التصميم / الأساليب / النهج: تم الحصول على البيانات من خلال استبيان باستخدام أخذ العينات الهادفة. شارك في الاستطلاع ما مجموعه 415 مستجيبًا يعملون في خدمات وكالات السفر التقليدية. تم إجراء تحليل البيانات باستخدام نموذج المعادلات الهيكلية الجزئية الأقل مربعًا (</w:t>
      </w:r>
      <w:r w:rsidRPr="0088093E">
        <w:t>PLS-SEM</w:t>
      </w:r>
      <w:r w:rsidRPr="0088093E">
        <w:rPr>
          <w:rtl/>
        </w:rPr>
        <w:t xml:space="preserve">) باستخدام النماذج الخارجية والداخلية باستخدام </w:t>
      </w:r>
      <w:proofErr w:type="spellStart"/>
      <w:r w:rsidRPr="0088093E">
        <w:t>SmartPLS</w:t>
      </w:r>
      <w:proofErr w:type="spellEnd"/>
      <w:r w:rsidRPr="0088093E">
        <w:t xml:space="preserve"> 4</w:t>
      </w:r>
      <w:r w:rsidRPr="0088093E">
        <w:rPr>
          <w:rtl/>
        </w:rPr>
        <w:t xml:space="preserve">. النتائج: يشير هذا البحث إلى أن الروحانية في مكان العمل لها تأثير إيجابي مباشر وغير مباشر على الرضا الوظيفي مع التأثير الوسيط لرفاهية الموظف والتأثير المعتدل للتوازن بين العمل والحياة. الأصالة / القيمة: يقدم البحث رؤى جديدة من خلال تقييم كل من العواقب المباشرة وغير المباشرة للروحانية في مكان العمل على الرضا الوظيفي داخل قطاع وكلاء السفر. يحدد البحث أيضًا التأثير المعتدل للتوازن بين العمل والحياة والتأثير الوسيط لرفاهية الموظف </w:t>
      </w:r>
      <w:proofErr w:type="spellStart"/>
      <w:r w:rsidRPr="0088093E">
        <w:rPr>
          <w:rtl/>
        </w:rPr>
        <w:t>المهيكل</w:t>
      </w:r>
      <w:proofErr w:type="spellEnd"/>
      <w:r w:rsidRPr="0088093E">
        <w:rPr>
          <w:rtl/>
        </w:rPr>
        <w:t xml:space="preserve"> في نموذج كامل. التداعيات العملية/السياسية: لهذا البحث تداعيات إدارية، إذ يشير إلى أن المديرين قد يستغلون الروحانية في مكان العمل كميزة تنافسية. وقد يعمل المديرون على تعزيز سعادة العمال في العمل من خلال تقديم مبادرات الرفاهية التي تشمل المتطلبات الروحانية للموظفين والتوازن بين العمل والحياة</w:t>
      </w:r>
      <w:sdt>
        <w:sdtPr>
          <w:rPr>
            <w:rtl/>
          </w:rPr>
          <w:id w:val="-101098289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Nik24 \l 3073</w:instrText>
          </w:r>
          <w:r>
            <w:rPr>
              <w:rtl/>
            </w:rPr>
            <w:instrText xml:space="preserve"> </w:instrText>
          </w:r>
          <w:r>
            <w:rPr>
              <w:rtl/>
            </w:rPr>
            <w:fldChar w:fldCharType="separate"/>
          </w:r>
          <w:r>
            <w:rPr>
              <w:noProof/>
              <w:rtl/>
            </w:rPr>
            <w:t xml:space="preserve"> </w:t>
          </w:r>
          <w:r>
            <w:rPr>
              <w:rFonts w:hint="cs"/>
              <w:noProof/>
              <w:rtl/>
            </w:rPr>
            <w:t>(</w:t>
          </w:r>
          <w:r>
            <w:rPr>
              <w:rFonts w:hint="cs"/>
              <w:noProof/>
            </w:rPr>
            <w:t>Nikensari</w:t>
          </w:r>
          <w:r>
            <w:rPr>
              <w:rFonts w:hint="cs"/>
              <w:noProof/>
              <w:rtl/>
            </w:rPr>
            <w:t>، 2024)</w:t>
          </w:r>
          <w:r>
            <w:rPr>
              <w:rtl/>
            </w:rPr>
            <w:fldChar w:fldCharType="end"/>
          </w:r>
        </w:sdtContent>
      </w:sdt>
      <w:r w:rsidRPr="0088093E">
        <w:rPr>
          <w:rtl/>
        </w:rPr>
        <w:t>.</w:t>
      </w:r>
    </w:p>
    <w:p w14:paraId="30D5191D" w14:textId="77777777" w:rsidR="00514AF6" w:rsidRDefault="00514AF6" w:rsidP="00514AF6">
      <w:pPr>
        <w:pStyle w:val="a0"/>
        <w:rPr>
          <w:rtl/>
        </w:rPr>
      </w:pPr>
      <w:r w:rsidRPr="0088093E">
        <w:rPr>
          <w:rtl/>
        </w:rPr>
        <w:t xml:space="preserve">الغرض من البحث الحالي هو دراسة دوافع الموظفين وتأثير برامج الحوافز على رضا العمل. والهدف من البحث هو تقييم كيفية تأثير استراتيجيات التحفيز المختلفة على معنويات العمال والإنتاج والرضا الوظيفي بشكل عام. يتم تقديم العديد من المحاولات لتحقيق التوازن بين العمل والحياة والتقدم </w:t>
      </w:r>
      <w:proofErr w:type="gramStart"/>
      <w:r w:rsidRPr="0088093E">
        <w:rPr>
          <w:rtl/>
        </w:rPr>
        <w:t>المهني</w:t>
      </w:r>
      <w:proofErr w:type="gramEnd"/>
      <w:r w:rsidRPr="0088093E">
        <w:rPr>
          <w:rtl/>
        </w:rPr>
        <w:t xml:space="preserve"> والحوافز المالية وبرامج التقدير والتشجيع. تشير البيانات إلى أن </w:t>
      </w:r>
      <w:r w:rsidRPr="0088093E">
        <w:rPr>
          <w:rtl/>
        </w:rPr>
        <w:lastRenderedPageBreak/>
        <w:t>هذه الأساليب تعزز رضا الموظفين عن وظائفهم بشكل كبير. تُظهر الدراسة أهمية مخططات المكافآت المخصصة في تعزيز رضا العمل وتقترح تقنيات مثالية للمؤسسات التي تنوي زيادة هيكل الحوافز لديها. كما تم تسليط الضوء في البحث على أهمية الجمع بين احتياجات الموظفين وتفضيلاتهم والبرامج التحفيزية. كما يسلط البحث الضوء على المتغيرات الحاسمة، مثل ثقافة العمل ودعم الإدارة، والتي تعزز نجاح هذه المبادرات</w:t>
      </w:r>
      <w:sdt>
        <w:sdtPr>
          <w:rPr>
            <w:rtl/>
          </w:rPr>
          <w:id w:val="99560873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Pra24 \l 3073</w:instrText>
          </w:r>
          <w:r>
            <w:rPr>
              <w:rtl/>
            </w:rPr>
            <w:instrText xml:space="preserve"> </w:instrText>
          </w:r>
          <w:r>
            <w:rPr>
              <w:rtl/>
            </w:rPr>
            <w:fldChar w:fldCharType="separate"/>
          </w:r>
          <w:r>
            <w:rPr>
              <w:noProof/>
              <w:rtl/>
            </w:rPr>
            <w:t xml:space="preserve"> </w:t>
          </w:r>
          <w:r>
            <w:rPr>
              <w:rFonts w:hint="cs"/>
              <w:noProof/>
              <w:rtl/>
            </w:rPr>
            <w:t>(</w:t>
          </w:r>
          <w:r>
            <w:rPr>
              <w:rFonts w:hint="cs"/>
              <w:noProof/>
            </w:rPr>
            <w:t>Prajapat</w:t>
          </w:r>
          <w:r>
            <w:rPr>
              <w:rFonts w:hint="cs"/>
              <w:noProof/>
              <w:rtl/>
            </w:rPr>
            <w:t>، 2024)</w:t>
          </w:r>
          <w:r>
            <w:rPr>
              <w:rtl/>
            </w:rPr>
            <w:fldChar w:fldCharType="end"/>
          </w:r>
        </w:sdtContent>
      </w:sdt>
      <w:r>
        <w:rPr>
          <w:rFonts w:hint="cs"/>
          <w:rtl/>
        </w:rPr>
        <w:t>.</w:t>
      </w:r>
    </w:p>
    <w:p w14:paraId="7A313517" w14:textId="77777777" w:rsidR="00514AF6" w:rsidRDefault="00514AF6" w:rsidP="00514AF6">
      <w:pPr>
        <w:pStyle w:val="a0"/>
        <w:rPr>
          <w:rtl/>
        </w:rPr>
      </w:pPr>
      <w:r>
        <w:rPr>
          <w:rtl/>
        </w:rPr>
        <w:t xml:space="preserve">إن التوازن بين العمل والحياة أمر بالغ الأهمية في مكان العمل اليوم. وقد يؤدي ضعف التواصل والفجوة بين التوقعات إلى عواقب وخيمة على كل من العمال وأصحاب العمل. إن فهم وجهات النظر والدوافع الفريدة لجيل </w:t>
      </w:r>
      <w:r>
        <w:t>Z (Gen Z)</w:t>
      </w:r>
      <w:r>
        <w:rPr>
          <w:rtl/>
        </w:rPr>
        <w:t xml:space="preserve"> أمر حيوي لتطوير بيئة تدعم رفاهتهم وتعزز التنمية التنظيمية الشاملة.</w:t>
      </w:r>
      <w:r>
        <w:rPr>
          <w:rFonts w:hint="cs"/>
          <w:rtl/>
        </w:rPr>
        <w:t xml:space="preserve"> </w:t>
      </w:r>
      <w:r>
        <w:rPr>
          <w:rtl/>
        </w:rPr>
        <w:t xml:space="preserve">استخدمت الدراسة مناهج بحثية استكشافية ووصفية، مع التركيز على جمع البيانات الأولية بين المهنيين من جيل </w:t>
      </w:r>
      <w:r>
        <w:t>Z</w:t>
      </w:r>
      <w:r>
        <w:rPr>
          <w:rtl/>
        </w:rPr>
        <w:t xml:space="preserve"> في قطاع التعليم، وخاصة داخل المدارس. تم الحصول على البيانات من 60 مستجيبًا باستخدام أخذ العينات السهل.</w:t>
      </w:r>
      <w:r>
        <w:rPr>
          <w:rFonts w:hint="cs"/>
          <w:rtl/>
        </w:rPr>
        <w:t xml:space="preserve"> </w:t>
      </w:r>
      <w:r>
        <w:rPr>
          <w:rtl/>
        </w:rPr>
        <w:t xml:space="preserve">يقدر عمال الجيل </w:t>
      </w:r>
      <w:r>
        <w:t>Z</w:t>
      </w:r>
      <w:r>
        <w:rPr>
          <w:rtl/>
        </w:rPr>
        <w:t xml:space="preserve"> الصحة واللياقة البدنية وبيئات العمل المرنة التي تمكن التوازن بين العمل والحياة. إنهم ينجذبون إلى الشركات التي توفر المرونة والمبادرات الصحية وفرص التقدم </w:t>
      </w:r>
      <w:proofErr w:type="gramStart"/>
      <w:r>
        <w:rPr>
          <w:rtl/>
        </w:rPr>
        <w:t xml:space="preserve">المهني </w:t>
      </w:r>
      <w:r>
        <w:rPr>
          <w:rFonts w:hint="cs"/>
          <w:rtl/>
        </w:rPr>
        <w:t>.</w:t>
      </w:r>
      <w:proofErr w:type="gramEnd"/>
      <w:r>
        <w:rPr>
          <w:rtl/>
        </w:rPr>
        <w:t xml:space="preserve"> إن سهولة استخدامهم للتكنولوجيا تجعل نماذج العمل عن بعد والهجين جذابة بشكل خاص</w:t>
      </w:r>
      <w:r>
        <w:rPr>
          <w:rFonts w:hint="cs"/>
          <w:rtl/>
        </w:rPr>
        <w:t xml:space="preserve">. </w:t>
      </w:r>
      <w:r>
        <w:rPr>
          <w:rtl/>
        </w:rPr>
        <w:t xml:space="preserve"> توفر القوى العاملة متعددة الأجيال فوائد مثل الوصول إلى مجموعة متنوعة من المهارات، وزيادة الإنتاجية، وتحسين الاحتفاظ بالمواهب، وتمثيل أفضل للعملاء</w:t>
      </w:r>
      <w:r>
        <w:rPr>
          <w:rFonts w:hint="cs"/>
          <w:rtl/>
        </w:rPr>
        <w:t xml:space="preserve">. </w:t>
      </w:r>
      <w:r>
        <w:rPr>
          <w:rtl/>
        </w:rPr>
        <w:t xml:space="preserve">ومع ذلك، فإن الدراسة بها العديد من أوجه القصور. فهي محصورة جغرافيًا في عمال الجيل زد في </w:t>
      </w:r>
      <w:proofErr w:type="spellStart"/>
      <w:r>
        <w:rPr>
          <w:rtl/>
        </w:rPr>
        <w:t>رايبور</w:t>
      </w:r>
      <w:proofErr w:type="spellEnd"/>
      <w:r>
        <w:rPr>
          <w:rtl/>
        </w:rPr>
        <w:t>، مما قد يقيد إمكانية تعميم النتائج. بالإضافة إلى ذلك، قد يتجاهل التركيز على قطاع التعليم الدروس ذات الصلة بالجيل زد في الشركات الأخرى. قد يفتقر حجم العينة الصغير المكون من 60 مستجيبًا إلى القدرة الإحصائية على تحديد الاتجاهات الدقيقة، وقد يؤدي استخدام العينة السهلة إلى إدخال التحيز. علاوة على ذلك، قد تؤدي القياسات المبلغ عنها ذاتيًا إلى أخطاء، وقد لا تلتقط القيود الزمنية للدراسة الاتجاهات طويلة الأجل. قد تؤثر مهارات اللغة والتفاصيل الثقافية على ردود المشاركين، في حين لم يتم تقييم القضايا الخارجية مثل المواقف الاقتصادية.</w:t>
      </w:r>
      <w:r>
        <w:rPr>
          <w:rFonts w:hint="cs"/>
          <w:rtl/>
        </w:rPr>
        <w:t xml:space="preserve"> </w:t>
      </w:r>
      <w:r>
        <w:rPr>
          <w:rtl/>
        </w:rPr>
        <w:t xml:space="preserve">يحمل البحث عواقب عملية للمؤسسات التعليمية. قد يصممون قواعد تعزز التوازن بين العمل والحياة، بما في ذلك الجدولة المرنة ومبادرات العافية. يساعد فهم تفضيلات الجيل زد في تعزيز مشاركة الموظفين والاحتفاظ بهم. إن تصميم تقنيات التوظيف لتعزيز جهود التوازن بين العمل والحياة قد يجذب أفضل المواهب. بالإضافة إلى ذلك، فإن برامج التدريب التي تستهدف مهارات التوازن بين العمل والحياة قد تعمل على تمكين العاملين من الجيل </w:t>
      </w:r>
      <w:r>
        <w:t>Z</w:t>
      </w:r>
      <w:r>
        <w:rPr>
          <w:rtl/>
        </w:rPr>
        <w:t>، مما يؤدي إلى نجاح المنظمة على المدى الطويل.</w:t>
      </w:r>
      <w:r>
        <w:rPr>
          <w:rFonts w:hint="cs"/>
          <w:rtl/>
        </w:rPr>
        <w:t xml:space="preserve"> </w:t>
      </w:r>
      <w:r>
        <w:rPr>
          <w:rtl/>
        </w:rPr>
        <w:t xml:space="preserve">إن دمج هذه الأفكار قد يؤدي إلى بناء </w:t>
      </w:r>
      <w:r>
        <w:rPr>
          <w:rtl/>
        </w:rPr>
        <w:lastRenderedPageBreak/>
        <w:t xml:space="preserve">بيئة عمل ودية وشاملة للعاملين من الجيل </w:t>
      </w:r>
      <w:r>
        <w:t>Z</w:t>
      </w:r>
      <w:r>
        <w:rPr>
          <w:rtl/>
        </w:rPr>
        <w:t xml:space="preserve"> في المؤسسات التعليمية، مما يعود بالنفع في نهاية المطاف على الأفراد والمؤسسة ككل</w:t>
      </w:r>
      <w:sdt>
        <w:sdtPr>
          <w:rPr>
            <w:rtl/>
          </w:rPr>
          <w:id w:val="-8284341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Fat24 \l 3073</w:instrText>
          </w:r>
          <w:r>
            <w:rPr>
              <w:rtl/>
            </w:rPr>
            <w:instrText xml:space="preserve"> </w:instrText>
          </w:r>
          <w:r>
            <w:rPr>
              <w:rtl/>
            </w:rPr>
            <w:fldChar w:fldCharType="separate"/>
          </w:r>
          <w:r>
            <w:rPr>
              <w:noProof/>
              <w:rtl/>
            </w:rPr>
            <w:t xml:space="preserve"> </w:t>
          </w:r>
          <w:r>
            <w:rPr>
              <w:rFonts w:hint="cs"/>
              <w:noProof/>
              <w:rtl/>
            </w:rPr>
            <w:t>(</w:t>
          </w:r>
          <w:r>
            <w:rPr>
              <w:rFonts w:hint="cs"/>
              <w:noProof/>
            </w:rPr>
            <w:t>Fatima</w:t>
          </w:r>
          <w:r>
            <w:rPr>
              <w:rFonts w:hint="cs"/>
              <w:noProof/>
              <w:rtl/>
            </w:rPr>
            <w:t>، 2024)</w:t>
          </w:r>
          <w:r>
            <w:rPr>
              <w:rtl/>
            </w:rPr>
            <w:fldChar w:fldCharType="end"/>
          </w:r>
        </w:sdtContent>
      </w:sdt>
      <w:r>
        <w:rPr>
          <w:rtl/>
        </w:rPr>
        <w:t>.</w:t>
      </w:r>
    </w:p>
    <w:p w14:paraId="4CCE9F1A" w14:textId="77777777" w:rsidR="00514AF6" w:rsidRDefault="00514AF6" w:rsidP="00514AF6">
      <w:pPr>
        <w:pStyle w:val="a0"/>
        <w:rPr>
          <w:rtl/>
        </w:rPr>
      </w:pPr>
      <w:r w:rsidRPr="009E483A">
        <w:rPr>
          <w:rtl/>
        </w:rPr>
        <w:t xml:space="preserve">في عصر الأعمال التنافسية والصناعة 5.0، أصبحت إدارة الموارد البشرية أمرًا حيويًا للحصول على ميزة تنافسية من خلال إنشاء وتعزيز وتحويل الثقافة التنظيمية. يحلل هذا البحث تأثير التطوير المهني والتوازن بين العمل والحياة على نية دوران العمالة لدى العاملات في بنك </w:t>
      </w:r>
      <w:proofErr w:type="spellStart"/>
      <w:r w:rsidRPr="009E483A">
        <w:rPr>
          <w:rtl/>
        </w:rPr>
        <w:t>ناجاري</w:t>
      </w:r>
      <w:proofErr w:type="spellEnd"/>
      <w:r w:rsidRPr="009E483A">
        <w:rPr>
          <w:rtl/>
        </w:rPr>
        <w:t xml:space="preserve">. يُعتبر الموظفون أهم الأصول لأن مساهماتهم تؤثر على سمعة الشركة </w:t>
      </w:r>
      <w:proofErr w:type="spellStart"/>
      <w:r w:rsidRPr="009E483A">
        <w:rPr>
          <w:rtl/>
        </w:rPr>
        <w:t>وربحيتها</w:t>
      </w:r>
      <w:proofErr w:type="spellEnd"/>
      <w:r w:rsidRPr="009E483A">
        <w:rPr>
          <w:rtl/>
        </w:rPr>
        <w:t xml:space="preserve">. يجلب وجود العاملات مهارات وتنوعًا وشمولًا كبيرًا، ومع ذلك يظل تمثيلهن في المناصب القيادية منخفضًا. تتبنى هذه الدراسة أسلوبًا كميًا باستخدام البيانات الأولية التي تم الحصول عليها من خلال استطلاعات رأي أجريت على 67 عاملة في المقر الرئيسي لبنك </w:t>
      </w:r>
      <w:proofErr w:type="spellStart"/>
      <w:r w:rsidRPr="009E483A">
        <w:rPr>
          <w:rtl/>
        </w:rPr>
        <w:t>ناجاري</w:t>
      </w:r>
      <w:proofErr w:type="spellEnd"/>
      <w:r w:rsidRPr="009E483A">
        <w:rPr>
          <w:rtl/>
        </w:rPr>
        <w:t>. تشير النتائج إلى أن التقدم المهني لا يؤثر بشكل كبير على نية دوران العمالة، لكن التوازن بين العمل والحياة له تأثير سلبي كبير على نية الاستقالة. الخصائص الديموغرافية مثل العمر والحالة الاجتماعية ومدة الخدمة ومستوى الدخل لها تأثير أكثر بروزًا في تحديد خيارات العمال للبقاء. بالإضافة إلى ذلك، يعمل الاحتفاظ بالموظفين والرضا الوظيفي كوسطاء في الارتباط بين التوازن بين العمل والحياة ونية الرحيل، مما يدل على أن السياسات التي تشجع التوازن بين العمل والحياة وبرامج التطوير المهني الناجحة قد تعزز الاحتفاظ بالموظفين وتقلل من نية الرحيل. إن الاستثمار في برامج التطوير المهني والتوازن بين العمل والحياة هو نهج حيوي لتعزيز سعادة الموظفين وولائهم</w:t>
      </w:r>
      <w:sdt>
        <w:sdtPr>
          <w:rPr>
            <w:rtl/>
          </w:rPr>
          <w:id w:val="-21490240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Put24 \l 3073</w:instrText>
          </w:r>
          <w:r>
            <w:rPr>
              <w:rtl/>
            </w:rPr>
            <w:instrText xml:space="preserve"> </w:instrText>
          </w:r>
          <w:r>
            <w:rPr>
              <w:rtl/>
            </w:rPr>
            <w:fldChar w:fldCharType="separate"/>
          </w:r>
          <w:r>
            <w:rPr>
              <w:noProof/>
              <w:rtl/>
            </w:rPr>
            <w:t xml:space="preserve"> </w:t>
          </w:r>
          <w:r>
            <w:rPr>
              <w:rFonts w:hint="cs"/>
              <w:noProof/>
              <w:rtl/>
            </w:rPr>
            <w:t>(</w:t>
          </w:r>
          <w:r>
            <w:rPr>
              <w:rFonts w:hint="cs"/>
              <w:noProof/>
            </w:rPr>
            <w:t>Putri</w:t>
          </w:r>
          <w:r>
            <w:rPr>
              <w:rFonts w:hint="cs"/>
              <w:noProof/>
              <w:rtl/>
            </w:rPr>
            <w:t>، 2024)</w:t>
          </w:r>
          <w:r>
            <w:rPr>
              <w:rtl/>
            </w:rPr>
            <w:fldChar w:fldCharType="end"/>
          </w:r>
        </w:sdtContent>
      </w:sdt>
      <w:r w:rsidRPr="009E483A">
        <w:rPr>
          <w:rtl/>
        </w:rPr>
        <w:t>.</w:t>
      </w:r>
    </w:p>
    <w:p w14:paraId="2DBA8A14" w14:textId="77777777" w:rsidR="00514AF6" w:rsidRDefault="00514AF6" w:rsidP="00514AF6">
      <w:pPr>
        <w:pStyle w:val="a0"/>
      </w:pPr>
      <w:r w:rsidRPr="009E483A">
        <w:rPr>
          <w:rtl/>
        </w:rPr>
        <w:t>الهدف: الهدف من هذه الدراسة هو دراسة آثار التوازن بين العمل والحياة على أداء العاملين في قطاع الصحة والسلامة النيجيري باستخدام المقابلات والاستبيانات الكمية عبر الإنترنت والتي شملت مائة مشارك من عشر منظمات مختلفة. المنهجية: تم استخدام ثلاثة وثمانين استبيانًا مكتملًا ومُعادًا لغرض الدراسة. يتكون الاستبيان من المسح الديموغرافي للمشاركين والرفاهية ورضا العمل والعناصر الموجهة نحو أداء الوظيفة. تم استخدام الحزمة الإحصائية للعلوم الاجتماعية (</w:t>
      </w:r>
      <w:r w:rsidRPr="009E483A">
        <w:t>SPSS</w:t>
      </w:r>
      <w:r w:rsidRPr="009E483A">
        <w:rPr>
          <w:rtl/>
        </w:rPr>
        <w:t xml:space="preserve">) في تطوير علاقة إحصائية خطية بين أداء الموظف والإنتاجية كمتغير تابع وعوامل التوظيف - مدى التوازن بين العمل والحياة وتأثير التوازن بين العمل والحياة كمتغيرات مستقلة على التوالي. النتائج: تم الإبلاغ عن متوسط </w:t>
      </w:r>
      <w:r w:rsidRPr="009E483A">
        <w:rPr>
          <w:rFonts w:ascii="Times New Roman" w:hAnsi="Times New Roman" w:cs="Times New Roman" w:hint="cs"/>
          <w:rtl/>
        </w:rPr>
        <w:t>​​</w:t>
      </w:r>
      <w:r w:rsidRPr="009E483A">
        <w:rPr>
          <w:rFonts w:hint="cs"/>
          <w:rtl/>
        </w:rPr>
        <w:t>قيم</w:t>
      </w:r>
      <w:r w:rsidRPr="009E483A">
        <w:rPr>
          <w:rtl/>
        </w:rPr>
        <w:t xml:space="preserve"> 2.6295 </w:t>
      </w:r>
      <w:proofErr w:type="gramStart"/>
      <w:r w:rsidRPr="009E483A">
        <w:rPr>
          <w:rFonts w:hint="cs"/>
          <w:rtl/>
        </w:rPr>
        <w:t>و</w:t>
      </w:r>
      <w:r w:rsidRPr="009E483A">
        <w:rPr>
          <w:rtl/>
        </w:rPr>
        <w:t xml:space="preserve"> 3.1325</w:t>
      </w:r>
      <w:proofErr w:type="gramEnd"/>
      <w:r w:rsidRPr="009E483A">
        <w:rPr>
          <w:rtl/>
        </w:rPr>
        <w:t xml:space="preserve"> </w:t>
      </w:r>
      <w:r w:rsidRPr="009E483A">
        <w:rPr>
          <w:rFonts w:hint="cs"/>
          <w:rtl/>
        </w:rPr>
        <w:t>و</w:t>
      </w:r>
      <w:r w:rsidRPr="009E483A">
        <w:rPr>
          <w:rtl/>
        </w:rPr>
        <w:t xml:space="preserve"> 2.8554 </w:t>
      </w:r>
      <w:r w:rsidRPr="009E483A">
        <w:rPr>
          <w:rFonts w:hint="cs"/>
          <w:rtl/>
        </w:rPr>
        <w:t>للبيانات</w:t>
      </w:r>
      <w:r w:rsidRPr="009E483A">
        <w:rPr>
          <w:rtl/>
        </w:rPr>
        <w:t xml:space="preserve"> </w:t>
      </w:r>
      <w:r w:rsidRPr="009E483A">
        <w:rPr>
          <w:rFonts w:hint="cs"/>
          <w:rtl/>
        </w:rPr>
        <w:t>التي</w:t>
      </w:r>
      <w:r w:rsidRPr="009E483A">
        <w:rPr>
          <w:rtl/>
        </w:rPr>
        <w:t xml:space="preserve"> </w:t>
      </w:r>
      <w:r w:rsidRPr="009E483A">
        <w:rPr>
          <w:rFonts w:hint="cs"/>
          <w:rtl/>
        </w:rPr>
        <w:t>تم</w:t>
      </w:r>
      <w:r w:rsidRPr="009E483A">
        <w:rPr>
          <w:rtl/>
        </w:rPr>
        <w:t xml:space="preserve"> </w:t>
      </w:r>
      <w:r w:rsidRPr="009E483A">
        <w:rPr>
          <w:rFonts w:hint="cs"/>
          <w:rtl/>
        </w:rPr>
        <w:t>جمعها</w:t>
      </w:r>
      <w:r w:rsidRPr="009E483A">
        <w:rPr>
          <w:rtl/>
        </w:rPr>
        <w:t xml:space="preserve"> </w:t>
      </w:r>
      <w:r w:rsidRPr="009E483A">
        <w:rPr>
          <w:rFonts w:hint="cs"/>
          <w:rtl/>
        </w:rPr>
        <w:t>من</w:t>
      </w:r>
      <w:r w:rsidRPr="009E483A">
        <w:rPr>
          <w:rtl/>
        </w:rPr>
        <w:t xml:space="preserve"> </w:t>
      </w:r>
      <w:r w:rsidRPr="009E483A">
        <w:rPr>
          <w:rFonts w:hint="cs"/>
          <w:rtl/>
        </w:rPr>
        <w:t>التوازن</w:t>
      </w:r>
      <w:r w:rsidRPr="009E483A">
        <w:rPr>
          <w:rtl/>
        </w:rPr>
        <w:t xml:space="preserve"> </w:t>
      </w:r>
      <w:r w:rsidRPr="009E483A">
        <w:rPr>
          <w:rFonts w:hint="cs"/>
          <w:rtl/>
        </w:rPr>
        <w:t>بين</w:t>
      </w:r>
      <w:r w:rsidRPr="009E483A">
        <w:rPr>
          <w:rtl/>
        </w:rPr>
        <w:t xml:space="preserve"> </w:t>
      </w:r>
      <w:r w:rsidRPr="009E483A">
        <w:rPr>
          <w:rFonts w:hint="cs"/>
          <w:rtl/>
        </w:rPr>
        <w:t>العمل</w:t>
      </w:r>
      <w:r w:rsidRPr="009E483A">
        <w:rPr>
          <w:rtl/>
        </w:rPr>
        <w:t xml:space="preserve"> </w:t>
      </w:r>
      <w:r w:rsidRPr="009E483A">
        <w:rPr>
          <w:rFonts w:hint="cs"/>
          <w:rtl/>
        </w:rPr>
        <w:t>والحياة؛</w:t>
      </w:r>
      <w:r w:rsidRPr="009E483A">
        <w:rPr>
          <w:rtl/>
        </w:rPr>
        <w:t xml:space="preserve"> </w:t>
      </w:r>
      <w:r w:rsidRPr="009E483A">
        <w:rPr>
          <w:rFonts w:hint="cs"/>
          <w:rtl/>
        </w:rPr>
        <w:t>سياسات</w:t>
      </w:r>
      <w:r w:rsidRPr="009E483A">
        <w:rPr>
          <w:rtl/>
        </w:rPr>
        <w:t xml:space="preserve"> </w:t>
      </w:r>
      <w:r w:rsidRPr="009E483A">
        <w:rPr>
          <w:rFonts w:hint="cs"/>
          <w:rtl/>
        </w:rPr>
        <w:t>الشركة</w:t>
      </w:r>
      <w:r w:rsidRPr="009E483A">
        <w:rPr>
          <w:rtl/>
        </w:rPr>
        <w:t xml:space="preserve"> </w:t>
      </w:r>
      <w:r w:rsidRPr="009E483A">
        <w:rPr>
          <w:rFonts w:hint="cs"/>
          <w:rtl/>
        </w:rPr>
        <w:t>والأداء</w:t>
      </w:r>
      <w:r w:rsidRPr="009E483A">
        <w:rPr>
          <w:rtl/>
        </w:rPr>
        <w:t xml:space="preserve"> </w:t>
      </w:r>
      <w:r w:rsidRPr="009E483A">
        <w:rPr>
          <w:rFonts w:hint="cs"/>
          <w:rtl/>
        </w:rPr>
        <w:t>وسياسة</w:t>
      </w:r>
      <w:r w:rsidRPr="009E483A">
        <w:rPr>
          <w:rtl/>
        </w:rPr>
        <w:t xml:space="preserve"> </w:t>
      </w:r>
      <w:r w:rsidRPr="009E483A">
        <w:rPr>
          <w:rFonts w:hint="cs"/>
          <w:rtl/>
        </w:rPr>
        <w:t>دعم</w:t>
      </w:r>
      <w:r w:rsidRPr="009E483A">
        <w:rPr>
          <w:rtl/>
        </w:rPr>
        <w:t xml:space="preserve"> </w:t>
      </w:r>
      <w:r w:rsidRPr="009E483A">
        <w:rPr>
          <w:rFonts w:hint="cs"/>
          <w:rtl/>
        </w:rPr>
        <w:t>الشركة</w:t>
      </w:r>
      <w:r w:rsidRPr="009E483A">
        <w:rPr>
          <w:rtl/>
        </w:rPr>
        <w:t xml:space="preserve"> </w:t>
      </w:r>
      <w:r w:rsidRPr="009E483A">
        <w:rPr>
          <w:rFonts w:hint="cs"/>
          <w:rtl/>
        </w:rPr>
        <w:t>بشأن</w:t>
      </w:r>
      <w:r w:rsidRPr="009E483A">
        <w:rPr>
          <w:rtl/>
        </w:rPr>
        <w:t xml:space="preserve"> </w:t>
      </w:r>
      <w:r w:rsidRPr="009E483A">
        <w:rPr>
          <w:rFonts w:hint="cs"/>
          <w:rtl/>
        </w:rPr>
        <w:t>التوازن</w:t>
      </w:r>
      <w:r w:rsidRPr="009E483A">
        <w:rPr>
          <w:rtl/>
        </w:rPr>
        <w:t xml:space="preserve"> </w:t>
      </w:r>
      <w:r w:rsidRPr="009E483A">
        <w:rPr>
          <w:rFonts w:hint="cs"/>
          <w:rtl/>
        </w:rPr>
        <w:t>بين</w:t>
      </w:r>
      <w:r w:rsidRPr="009E483A">
        <w:rPr>
          <w:rtl/>
        </w:rPr>
        <w:t xml:space="preserve"> </w:t>
      </w:r>
      <w:r w:rsidRPr="009E483A">
        <w:rPr>
          <w:rFonts w:hint="cs"/>
          <w:rtl/>
        </w:rPr>
        <w:t>العمل</w:t>
      </w:r>
      <w:r w:rsidRPr="009E483A">
        <w:rPr>
          <w:rtl/>
        </w:rPr>
        <w:t xml:space="preserve"> </w:t>
      </w:r>
      <w:r w:rsidRPr="009E483A">
        <w:rPr>
          <w:rFonts w:hint="cs"/>
          <w:rtl/>
        </w:rPr>
        <w:t>والحياة</w:t>
      </w:r>
      <w:r w:rsidRPr="009E483A">
        <w:rPr>
          <w:rtl/>
        </w:rPr>
        <w:t xml:space="preserve"> </w:t>
      </w:r>
      <w:r w:rsidRPr="009E483A">
        <w:rPr>
          <w:rFonts w:hint="cs"/>
          <w:rtl/>
        </w:rPr>
        <w:t>على</w:t>
      </w:r>
      <w:r w:rsidRPr="009E483A">
        <w:rPr>
          <w:rtl/>
        </w:rPr>
        <w:t xml:space="preserve"> </w:t>
      </w:r>
      <w:r w:rsidRPr="009E483A">
        <w:rPr>
          <w:rFonts w:hint="cs"/>
          <w:rtl/>
        </w:rPr>
        <w:t>التوالي</w:t>
      </w:r>
      <w:r w:rsidRPr="009E483A">
        <w:rPr>
          <w:rtl/>
        </w:rPr>
        <w:t xml:space="preserve">. </w:t>
      </w:r>
      <w:r w:rsidRPr="009E483A">
        <w:rPr>
          <w:rFonts w:hint="cs"/>
          <w:rtl/>
        </w:rPr>
        <w:t>بناءً</w:t>
      </w:r>
      <w:r w:rsidRPr="009E483A">
        <w:rPr>
          <w:rtl/>
        </w:rPr>
        <w:t xml:space="preserve"> </w:t>
      </w:r>
      <w:r w:rsidRPr="009E483A">
        <w:rPr>
          <w:rFonts w:hint="cs"/>
          <w:rtl/>
        </w:rPr>
        <w:t>على</w:t>
      </w:r>
      <w:r w:rsidRPr="009E483A">
        <w:rPr>
          <w:rtl/>
        </w:rPr>
        <w:t xml:space="preserve"> </w:t>
      </w:r>
      <w:r w:rsidRPr="009E483A">
        <w:rPr>
          <w:rFonts w:hint="cs"/>
          <w:rtl/>
        </w:rPr>
        <w:t>القيم</w:t>
      </w:r>
      <w:r w:rsidRPr="009E483A">
        <w:rPr>
          <w:rtl/>
        </w:rPr>
        <w:t xml:space="preserve"> </w:t>
      </w:r>
      <w:r w:rsidRPr="009E483A">
        <w:rPr>
          <w:rFonts w:hint="cs"/>
          <w:rtl/>
        </w:rPr>
        <w:t>المتوسطة</w:t>
      </w:r>
      <w:r w:rsidRPr="009E483A">
        <w:rPr>
          <w:rtl/>
        </w:rPr>
        <w:t xml:space="preserve"> </w:t>
      </w:r>
      <w:r w:rsidRPr="009E483A">
        <w:rPr>
          <w:rFonts w:hint="cs"/>
          <w:rtl/>
        </w:rPr>
        <w:t>التي</w:t>
      </w:r>
      <w:r w:rsidRPr="009E483A">
        <w:rPr>
          <w:rtl/>
        </w:rPr>
        <w:t xml:space="preserve"> </w:t>
      </w:r>
      <w:r w:rsidRPr="009E483A">
        <w:rPr>
          <w:rFonts w:hint="cs"/>
          <w:rtl/>
        </w:rPr>
        <w:t>تم</w:t>
      </w:r>
      <w:r w:rsidRPr="009E483A">
        <w:rPr>
          <w:rtl/>
        </w:rPr>
        <w:t xml:space="preserve"> </w:t>
      </w:r>
      <w:r w:rsidRPr="009E483A">
        <w:rPr>
          <w:rFonts w:hint="cs"/>
          <w:rtl/>
        </w:rPr>
        <w:t>الحصول</w:t>
      </w:r>
      <w:r w:rsidRPr="009E483A">
        <w:rPr>
          <w:rtl/>
        </w:rPr>
        <w:t xml:space="preserve"> </w:t>
      </w:r>
      <w:r w:rsidRPr="009E483A">
        <w:rPr>
          <w:rFonts w:hint="cs"/>
          <w:rtl/>
        </w:rPr>
        <w:t>عليها،</w:t>
      </w:r>
      <w:r w:rsidRPr="009E483A">
        <w:rPr>
          <w:rtl/>
        </w:rPr>
        <w:t xml:space="preserve"> </w:t>
      </w:r>
      <w:r w:rsidRPr="009E483A">
        <w:rPr>
          <w:rFonts w:hint="cs"/>
          <w:rtl/>
        </w:rPr>
        <w:t>يمكن</w:t>
      </w:r>
      <w:r w:rsidRPr="009E483A">
        <w:rPr>
          <w:rtl/>
        </w:rPr>
        <w:t xml:space="preserve"> </w:t>
      </w:r>
      <w:r w:rsidRPr="009E483A">
        <w:rPr>
          <w:rFonts w:hint="cs"/>
          <w:rtl/>
        </w:rPr>
        <w:t>تحقيق</w:t>
      </w:r>
      <w:r w:rsidRPr="009E483A">
        <w:rPr>
          <w:rtl/>
        </w:rPr>
        <w:t xml:space="preserve"> </w:t>
      </w:r>
      <w:r w:rsidRPr="009E483A">
        <w:rPr>
          <w:rFonts w:hint="cs"/>
          <w:rtl/>
        </w:rPr>
        <w:t>طبيعية</w:t>
      </w:r>
      <w:r w:rsidRPr="009E483A">
        <w:rPr>
          <w:rtl/>
        </w:rPr>
        <w:t xml:space="preserve"> </w:t>
      </w:r>
      <w:r w:rsidRPr="009E483A">
        <w:rPr>
          <w:rFonts w:hint="cs"/>
          <w:rtl/>
        </w:rPr>
        <w:lastRenderedPageBreak/>
        <w:t>المتغيرات</w:t>
      </w:r>
      <w:r w:rsidRPr="009E483A">
        <w:rPr>
          <w:rtl/>
        </w:rPr>
        <w:t xml:space="preserve"> </w:t>
      </w:r>
      <w:r w:rsidRPr="009E483A">
        <w:rPr>
          <w:rFonts w:hint="cs"/>
          <w:rtl/>
        </w:rPr>
        <w:t>قيد</w:t>
      </w:r>
      <w:r w:rsidRPr="009E483A">
        <w:rPr>
          <w:rtl/>
        </w:rPr>
        <w:t xml:space="preserve"> </w:t>
      </w:r>
      <w:r w:rsidRPr="009E483A">
        <w:rPr>
          <w:rFonts w:hint="cs"/>
          <w:rtl/>
        </w:rPr>
        <w:t>النظر</w:t>
      </w:r>
      <w:r w:rsidRPr="009E483A">
        <w:rPr>
          <w:rtl/>
        </w:rPr>
        <w:t xml:space="preserve"> </w:t>
      </w:r>
      <w:r w:rsidRPr="009E483A">
        <w:rPr>
          <w:rFonts w:hint="cs"/>
          <w:rtl/>
        </w:rPr>
        <w:t>إحصائيًا</w:t>
      </w:r>
      <w:r w:rsidRPr="009E483A">
        <w:rPr>
          <w:rtl/>
        </w:rPr>
        <w:t xml:space="preserve">. </w:t>
      </w:r>
      <w:r w:rsidRPr="009E483A">
        <w:rPr>
          <w:rFonts w:hint="cs"/>
          <w:rtl/>
        </w:rPr>
        <w:t>وتكشف</w:t>
      </w:r>
      <w:r w:rsidRPr="009E483A">
        <w:rPr>
          <w:rtl/>
        </w:rPr>
        <w:t xml:space="preserve"> </w:t>
      </w:r>
      <w:r w:rsidRPr="009E483A">
        <w:rPr>
          <w:rFonts w:hint="cs"/>
          <w:rtl/>
        </w:rPr>
        <w:t>النتائج</w:t>
      </w:r>
      <w:r w:rsidRPr="009E483A">
        <w:rPr>
          <w:rtl/>
        </w:rPr>
        <w:t xml:space="preserve"> </w:t>
      </w:r>
      <w:r w:rsidRPr="009E483A">
        <w:rPr>
          <w:rFonts w:hint="cs"/>
          <w:rtl/>
        </w:rPr>
        <w:t>التي</w:t>
      </w:r>
      <w:r w:rsidRPr="009E483A">
        <w:rPr>
          <w:rtl/>
        </w:rPr>
        <w:t xml:space="preserve"> </w:t>
      </w:r>
      <w:r w:rsidRPr="009E483A">
        <w:rPr>
          <w:rFonts w:hint="cs"/>
          <w:rtl/>
        </w:rPr>
        <w:t>توصلت</w:t>
      </w:r>
      <w:r w:rsidRPr="009E483A">
        <w:rPr>
          <w:rtl/>
        </w:rPr>
        <w:t xml:space="preserve"> </w:t>
      </w:r>
      <w:r w:rsidRPr="009E483A">
        <w:rPr>
          <w:rFonts w:hint="cs"/>
          <w:rtl/>
        </w:rPr>
        <w:t>إليها</w:t>
      </w:r>
      <w:r w:rsidRPr="009E483A">
        <w:rPr>
          <w:rtl/>
        </w:rPr>
        <w:t xml:space="preserve"> </w:t>
      </w:r>
      <w:r w:rsidRPr="009E483A">
        <w:rPr>
          <w:rFonts w:hint="cs"/>
          <w:rtl/>
        </w:rPr>
        <w:t>الدراسة</w:t>
      </w:r>
      <w:r w:rsidRPr="009E483A">
        <w:rPr>
          <w:rtl/>
        </w:rPr>
        <w:t xml:space="preserve"> </w:t>
      </w:r>
      <w:r w:rsidRPr="009E483A">
        <w:rPr>
          <w:rFonts w:hint="cs"/>
          <w:rtl/>
        </w:rPr>
        <w:t>عن</w:t>
      </w:r>
      <w:r w:rsidRPr="009E483A">
        <w:rPr>
          <w:rtl/>
        </w:rPr>
        <w:t xml:space="preserve"> ارتباط إيجابي بين المتغيرات قيد الدراسة. كما تعني انخفاض الضغوط في مواقف العمل قيد الدراسة. وعلى نحو مماثل، أشارت النتائج من حيث بيئة العمل ودعم الفريق ومجال التخصص وحجم العمل والمرونة والتزام المشرفين بالحياة الشخصية للموظفين والقوى العاملة والانضباط إلى أن العاملين في مجال الصحة والسلامة لديهم، بدرجة معقولة، سيطرة على وقتهم وحياتهم الشخصية. بالإضافة إلى ذلك، تعتبر مساعدة الشركة وقواعدها لتحقيق التوازن بين العمل والحياة مناسبة بما يكفي لأنها تبني مسارات لأداء الموظفين السليم. مساهمة فريدة في النظرية والممارسة والسياسة: يجب على المنظمات تحسين المساعدة والسياسات/البرامج التي لها تأثير مباشر على التوازن بين العمل والحياة - العمل عن بعد، وضغط أسبوع العمل؛ الالتزام الصارم بساعات العمل المنصوص عليها في القانون ويجب تعويض أي ساعة (ساعات) إضافية يقضيها الموظف بشكل مناسب؛ تطوير وتنفيذ خطة استمرارية الأعمال وإجراء عمليات تدقيق للقوى العاملة لتحديد مجالات نقص العمالة بهدف توفير القوى العاملة المؤهلة لإدارة عمليات الشركة. ومن شأن ذلك أن يوفر للعمال فرصاً لتحسين أنفسهم تعليمياً، وتخصيص الوقت لعائلاتهم وأصدقائهم، وبالتالي تعزيز مفهوم التوازن المجدي بين العمل والحياة</w:t>
      </w:r>
      <w:sdt>
        <w:sdtPr>
          <w:rPr>
            <w:rtl/>
          </w:rPr>
          <w:id w:val="-491339590"/>
          <w:citation/>
        </w:sdtPr>
        <w:sdtContent>
          <w:r>
            <w:rPr>
              <w:rtl/>
            </w:rPr>
            <w:fldChar w:fldCharType="begin"/>
          </w:r>
          <w:r>
            <w:instrText xml:space="preserve"> CITATION Ihw24 \l 1033 </w:instrText>
          </w:r>
          <w:r>
            <w:rPr>
              <w:rtl/>
            </w:rPr>
            <w:fldChar w:fldCharType="separate"/>
          </w:r>
          <w:r>
            <w:rPr>
              <w:noProof/>
            </w:rPr>
            <w:t xml:space="preserve"> (Ihwughwavwe, 2024)</w:t>
          </w:r>
          <w:r>
            <w:rPr>
              <w:rtl/>
            </w:rPr>
            <w:fldChar w:fldCharType="end"/>
          </w:r>
        </w:sdtContent>
      </w:sdt>
      <w:r w:rsidRPr="009E483A">
        <w:rPr>
          <w:rtl/>
        </w:rPr>
        <w:t>.</w:t>
      </w:r>
    </w:p>
    <w:p w14:paraId="684FEEBD" w14:textId="77777777" w:rsidR="00514AF6" w:rsidRDefault="00514AF6" w:rsidP="00514AF6">
      <w:pPr>
        <w:pStyle w:val="a0"/>
        <w:rPr>
          <w:rtl/>
        </w:rPr>
      </w:pPr>
    </w:p>
    <w:p w14:paraId="5D86C1D1" w14:textId="77777777" w:rsidR="00514AF6" w:rsidRDefault="00514AF6" w:rsidP="00514AF6">
      <w:pPr>
        <w:pStyle w:val="a0"/>
        <w:rPr>
          <w:rtl/>
        </w:rPr>
      </w:pPr>
    </w:p>
    <w:p w14:paraId="15C6641E" w14:textId="77777777" w:rsidR="00514AF6" w:rsidRDefault="00514AF6" w:rsidP="00514AF6">
      <w:pPr>
        <w:pStyle w:val="a0"/>
        <w:rPr>
          <w:rtl/>
        </w:rPr>
      </w:pPr>
    </w:p>
    <w:p w14:paraId="76FB89AB" w14:textId="77777777" w:rsidR="00514AF6" w:rsidRDefault="00514AF6" w:rsidP="00514AF6">
      <w:pPr>
        <w:pStyle w:val="a0"/>
        <w:rPr>
          <w:rtl/>
        </w:rPr>
      </w:pPr>
    </w:p>
    <w:p w14:paraId="2ADD5CDC" w14:textId="77777777" w:rsidR="00514AF6" w:rsidRDefault="00514AF6" w:rsidP="00514AF6">
      <w:pPr>
        <w:pStyle w:val="a0"/>
        <w:rPr>
          <w:rtl/>
        </w:rPr>
      </w:pPr>
    </w:p>
    <w:p w14:paraId="09402197" w14:textId="77777777" w:rsidR="00514AF6" w:rsidRDefault="00514AF6" w:rsidP="00514AF6">
      <w:pPr>
        <w:pStyle w:val="a0"/>
        <w:rPr>
          <w:rtl/>
        </w:rPr>
      </w:pPr>
    </w:p>
    <w:p w14:paraId="7C556423" w14:textId="77777777" w:rsidR="00514AF6" w:rsidRDefault="00514AF6" w:rsidP="00514AF6">
      <w:pPr>
        <w:pStyle w:val="a0"/>
        <w:rPr>
          <w:rtl/>
        </w:rPr>
      </w:pPr>
    </w:p>
    <w:p w14:paraId="72EF7B16" w14:textId="77777777" w:rsidR="00514AF6" w:rsidRDefault="00514AF6" w:rsidP="00514AF6">
      <w:pPr>
        <w:pStyle w:val="a0"/>
        <w:rPr>
          <w:rtl/>
        </w:rPr>
      </w:pPr>
    </w:p>
    <w:p w14:paraId="6851FC3E" w14:textId="77777777" w:rsidR="00514AF6" w:rsidRDefault="00514AF6" w:rsidP="00514AF6">
      <w:pPr>
        <w:pStyle w:val="a0"/>
        <w:rPr>
          <w:rtl/>
        </w:rPr>
      </w:pPr>
    </w:p>
    <w:p w14:paraId="2C46BD1A" w14:textId="77777777" w:rsidR="00514AF6" w:rsidRDefault="00514AF6" w:rsidP="00514AF6">
      <w:pPr>
        <w:pStyle w:val="a0"/>
        <w:rPr>
          <w:rtl/>
        </w:rPr>
      </w:pPr>
    </w:p>
    <w:p w14:paraId="30D15B79" w14:textId="77777777" w:rsidR="00514AF6" w:rsidRDefault="00514AF6" w:rsidP="00514AF6">
      <w:pPr>
        <w:pStyle w:val="Heading2"/>
        <w:rPr>
          <w:rtl/>
        </w:rPr>
      </w:pPr>
      <w:bookmarkStart w:id="28" w:name="_Toc180619276"/>
      <w:r>
        <w:rPr>
          <w:rFonts w:hint="cs"/>
          <w:rtl/>
        </w:rPr>
        <w:t>الإطار النظري</w:t>
      </w:r>
      <w:bookmarkEnd w:id="28"/>
    </w:p>
    <w:p w14:paraId="6AAF004E" w14:textId="77777777" w:rsidR="00514AF6" w:rsidRDefault="00514AF6" w:rsidP="00514AF6">
      <w:pPr>
        <w:rPr>
          <w:rtl/>
          <w:lang w:bidi="ar-EG"/>
        </w:rPr>
      </w:pPr>
    </w:p>
    <w:p w14:paraId="56AB97E3" w14:textId="77777777" w:rsidR="00514AF6" w:rsidRDefault="00514AF6" w:rsidP="00514AF6">
      <w:pPr>
        <w:pStyle w:val="a0"/>
        <w:rPr>
          <w:rtl/>
        </w:rPr>
      </w:pPr>
      <w:r w:rsidRPr="009E483A">
        <w:rPr>
          <w:rtl/>
        </w:rPr>
        <w:t>إن الإطار النظري يشكل ركيزة أساسية لفهم العوامل النظرية التي يستند إليها البحث وتقييم تأثير برامج التوازن بين العمل والحياة على سعادة وأداء الموظفين. ومن خلال تقييم الأفكار الأساسية المرتبطة برضا العمل والأداء والضغوط النفسية والدعم التنظيمي، يمكن تحديد العناصر المؤثرة على بيئة العمل وردود أفعال الموظفين تجاه هذه البرامج. ويساعد هذا الإطار في إنشاء الأساس لتحليل البيانات وتقديم الاقتراحات بناءً على فرضيات موثوقة.</w:t>
      </w:r>
    </w:p>
    <w:p w14:paraId="0FEEBA5B" w14:textId="77777777" w:rsidR="00514AF6" w:rsidRPr="009F54D0" w:rsidRDefault="00514AF6" w:rsidP="00514AF6">
      <w:pPr>
        <w:rPr>
          <w:rtl/>
          <w:lang w:bidi="ar-EG"/>
        </w:rPr>
      </w:pPr>
    </w:p>
    <w:p w14:paraId="546FF532" w14:textId="77777777" w:rsidR="00514AF6" w:rsidRDefault="00514AF6" w:rsidP="00514AF6">
      <w:pPr>
        <w:pStyle w:val="a0"/>
        <w:rPr>
          <w:rtl/>
        </w:rPr>
      </w:pPr>
      <w:r>
        <w:object w:dxaOrig="8805" w:dyaOrig="2505" w14:anchorId="3B59C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2pt;height:122.4pt" o:ole="">
            <v:imagedata r:id="rId7" o:title=""/>
          </v:shape>
          <o:OLEObject Type="Embed" ProgID="Visio.Drawing.15" ShapeID="_x0000_i1025" DrawAspect="Content" ObjectID="_1792254608" r:id="rId8"/>
        </w:object>
      </w:r>
    </w:p>
    <w:p w14:paraId="661E6B95" w14:textId="77777777" w:rsidR="00514AF6" w:rsidRPr="00EE0191" w:rsidRDefault="00514AF6" w:rsidP="00514AF6">
      <w:pPr>
        <w:pStyle w:val="Caption"/>
        <w:rPr>
          <w:rFonts w:asciiTheme="minorHAnsi" w:hAnsiTheme="minorHAnsi" w:cstheme="minorBidi"/>
          <w:sz w:val="18"/>
          <w:szCs w:val="18"/>
          <w:rtl/>
          <w:lang w:bidi="ar-EG"/>
        </w:rPr>
      </w:pPr>
      <w:bookmarkStart w:id="29" w:name="_Toc173779549"/>
      <w:bookmarkStart w:id="30" w:name="_Toc180346300"/>
      <w:bookmarkStart w:id="31" w:name="_Toc180351549"/>
      <w:bookmarkStart w:id="32" w:name="_Toc180488986"/>
      <w:bookmarkStart w:id="33" w:name="_Toc180576412"/>
      <w:bookmarkStart w:id="34" w:name="_Toc180590208"/>
      <w:bookmarkStart w:id="35" w:name="_Toc181007542"/>
      <w:r>
        <w:rPr>
          <w:rtl/>
        </w:rPr>
        <w:t xml:space="preserve">رسم توضيحي </w:t>
      </w:r>
      <w:fldSimple w:instr=" SEQ رسم_توضيحي \* ARABIC ">
        <w:r>
          <w:rPr>
            <w:noProof/>
            <w:rtl/>
          </w:rPr>
          <w:t>1</w:t>
        </w:r>
      </w:fldSimple>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p>
    <w:p w14:paraId="38122CF7" w14:textId="77777777" w:rsidR="00514AF6" w:rsidRDefault="00514AF6" w:rsidP="00514AF6">
      <w:pPr>
        <w:pStyle w:val="a0"/>
        <w:rPr>
          <w:rtl/>
        </w:rPr>
      </w:pPr>
    </w:p>
    <w:p w14:paraId="2C53C08C" w14:textId="77777777" w:rsidR="00514AF6" w:rsidRDefault="00514AF6" w:rsidP="00514AF6">
      <w:pPr>
        <w:pStyle w:val="a"/>
        <w:rPr>
          <w:rtl/>
        </w:rPr>
      </w:pPr>
      <w:r>
        <w:rPr>
          <w:rtl/>
        </w:rPr>
        <w:t>نظرية التوازن بين العمل والحياة</w:t>
      </w:r>
    </w:p>
    <w:p w14:paraId="240E72E8" w14:textId="77777777" w:rsidR="00514AF6" w:rsidRDefault="00514AF6" w:rsidP="00514AF6">
      <w:pPr>
        <w:pStyle w:val="a0"/>
        <w:rPr>
          <w:rtl/>
        </w:rPr>
      </w:pPr>
      <w:r>
        <w:rPr>
          <w:rtl/>
        </w:rPr>
        <w:t>تركز فكرة التوازن بين العمل والحياة على أهمية إيجاد توازن جيد بين متطلبات العمل والحياة الشخصية. وتزعم الفرضية أن إعطاء الوقت المناسب للحياة الشخصية والاسترخاء قد يقلل من التوتر ويعزز سعادة العمل، مما يؤثر بشكل إيجابي على أداء الموظفين. ومن خلال تحقيق التوازن، قد يتمكن الأشخاص من إدارة مهامهم الشخصية والمهنية بكفاءة، مما يعزز الدافع ويقلل من الإرهاق والإرهاق في العمل. تشجع هذه الفكرة توفير بيئات عمل مرنة تسمح بالجمع بين الالتزامات المتنوعة، مما يساهم في تعزيز درجة الرضا بين العمال ويساعد في إبقائهم في بيئة العمل</w:t>
      </w:r>
      <w:sdt>
        <w:sdtPr>
          <w:rPr>
            <w:rtl/>
          </w:rPr>
          <w:id w:val="-133528999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Hre23 \l 3073</w:instrText>
          </w:r>
          <w:r>
            <w:rPr>
              <w:rtl/>
            </w:rPr>
            <w:instrText xml:space="preserve"> </w:instrText>
          </w:r>
          <w:r>
            <w:rPr>
              <w:rtl/>
            </w:rPr>
            <w:fldChar w:fldCharType="separate"/>
          </w:r>
          <w:r>
            <w:rPr>
              <w:noProof/>
              <w:rtl/>
            </w:rPr>
            <w:t xml:space="preserve"> </w:t>
          </w:r>
          <w:r>
            <w:rPr>
              <w:rFonts w:hint="cs"/>
              <w:noProof/>
              <w:rtl/>
            </w:rPr>
            <w:t>(</w:t>
          </w:r>
          <w:r>
            <w:rPr>
              <w:rFonts w:hint="cs"/>
              <w:noProof/>
            </w:rPr>
            <w:t>Hreha</w:t>
          </w:r>
          <w:r>
            <w:rPr>
              <w:rFonts w:hint="cs"/>
              <w:noProof/>
              <w:rtl/>
            </w:rPr>
            <w:t>، 2023)</w:t>
          </w:r>
          <w:r>
            <w:rPr>
              <w:rtl/>
            </w:rPr>
            <w:fldChar w:fldCharType="end"/>
          </w:r>
        </w:sdtContent>
      </w:sdt>
      <w:r>
        <w:rPr>
          <w:rtl/>
        </w:rPr>
        <w:t>.</w:t>
      </w:r>
    </w:p>
    <w:p w14:paraId="595B0306" w14:textId="77777777" w:rsidR="00514AF6" w:rsidRDefault="00514AF6" w:rsidP="00514AF6">
      <w:pPr>
        <w:pStyle w:val="a"/>
        <w:rPr>
          <w:rtl/>
        </w:rPr>
      </w:pPr>
      <w:r>
        <w:rPr>
          <w:rtl/>
        </w:rPr>
        <w:lastRenderedPageBreak/>
        <w:t>نظرية الرضا الوظيفي</w:t>
      </w:r>
    </w:p>
    <w:p w14:paraId="138FE7BB" w14:textId="77777777" w:rsidR="00514AF6" w:rsidRDefault="00514AF6" w:rsidP="00514AF6">
      <w:pPr>
        <w:pStyle w:val="a0"/>
        <w:rPr>
          <w:rtl/>
        </w:rPr>
      </w:pPr>
      <w:r>
        <w:rPr>
          <w:rtl/>
        </w:rPr>
        <w:t>تدرس نظرية الرضا الوظيفي العناصر التي تؤثر على سعادة الأفراد بعملهم وانخراطهم في بيئة العمل. ووفقًا لهذه الفرضية، ترتبط سعادة العمل بجوانب مثل التعويض وإمكانيات المهنة والتقدير وثقافة الشركات. ويشير المفهوم إلى أن الرضا الوظيفي ليس مجرد مشاعر إيجابية تجاه العمل، بل يؤثر على أداء الموظفين واستمرارهم في الشركة. إن الرضا الوظيفي يعزز انتماء الموظف ويزيد من احتمالية التفاعل الجيد، مما يساهم في تحقيق أهداف المنظمة ويقلل من التغيب والاستقالة</w:t>
      </w:r>
      <w:sdt>
        <w:sdtPr>
          <w:rPr>
            <w:rtl/>
          </w:rPr>
          <w:id w:val="-10412012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Ros24 \l 3073</w:instrText>
          </w:r>
          <w:r>
            <w:rPr>
              <w:rtl/>
            </w:rPr>
            <w:instrText xml:space="preserve"> </w:instrText>
          </w:r>
          <w:r>
            <w:rPr>
              <w:rtl/>
            </w:rPr>
            <w:fldChar w:fldCharType="separate"/>
          </w:r>
          <w:r>
            <w:rPr>
              <w:noProof/>
              <w:rtl/>
            </w:rPr>
            <w:t xml:space="preserve"> </w:t>
          </w:r>
          <w:r>
            <w:rPr>
              <w:rFonts w:hint="cs"/>
              <w:noProof/>
              <w:rtl/>
            </w:rPr>
            <w:t>(</w:t>
          </w:r>
          <w:r>
            <w:rPr>
              <w:rFonts w:hint="cs"/>
              <w:noProof/>
            </w:rPr>
            <w:t>Roselidyawaty</w:t>
          </w:r>
          <w:r>
            <w:rPr>
              <w:rFonts w:hint="cs"/>
              <w:noProof/>
              <w:rtl/>
            </w:rPr>
            <w:t>، 2024)</w:t>
          </w:r>
          <w:r>
            <w:rPr>
              <w:rtl/>
            </w:rPr>
            <w:fldChar w:fldCharType="end"/>
          </w:r>
        </w:sdtContent>
      </w:sdt>
      <w:r>
        <w:rPr>
          <w:rtl/>
        </w:rPr>
        <w:t>.</w:t>
      </w:r>
    </w:p>
    <w:p w14:paraId="12B9AFA7" w14:textId="77777777" w:rsidR="00514AF6" w:rsidRDefault="00514AF6" w:rsidP="00514AF6">
      <w:pPr>
        <w:pStyle w:val="a"/>
        <w:rPr>
          <w:rtl/>
        </w:rPr>
      </w:pPr>
      <w:r>
        <w:rPr>
          <w:rtl/>
        </w:rPr>
        <w:t>نظرية أداء العمل</w:t>
      </w:r>
    </w:p>
    <w:p w14:paraId="78944E6A" w14:textId="77777777" w:rsidR="00514AF6" w:rsidRDefault="00514AF6" w:rsidP="00514AF6">
      <w:pPr>
        <w:pStyle w:val="a0"/>
        <w:rPr>
          <w:rtl/>
        </w:rPr>
      </w:pPr>
      <w:r>
        <w:rPr>
          <w:rtl/>
        </w:rPr>
        <w:t>تؤكد فرضية أداء العمل أن الأداء يعتمد على مجموعة من العناصر المرتبطة بالمهارات والمواهب والدوافع التي يتمتع بها الموظف. تنص هذه الفكرة على أن الأداء يرتفع عندما تكون هناك بيئة عمل داعمة تساعد الأشخاص على تعظيم قدراتهم وتحقيق أهدافهم المهنية. تعمل المساعدة في العمل والتدريب على زيادة الأداء، كما أن التقدير هو حافز حيوي. تؤكد هذه الفكرة على الحاجة إلى ربط التطلعات الشخصية للموظف بأهداف المنظمة، مما ينعكس بشكل إيجابي على الإنتاجية والكفاءة</w:t>
      </w:r>
      <w:sdt>
        <w:sdtPr>
          <w:rPr>
            <w:rtl/>
          </w:rPr>
          <w:id w:val="77175533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Kri18 \l 3073</w:instrText>
          </w:r>
          <w:r>
            <w:rPr>
              <w:rtl/>
            </w:rPr>
            <w:instrText xml:space="preserve"> </w:instrText>
          </w:r>
          <w:r>
            <w:rPr>
              <w:rtl/>
            </w:rPr>
            <w:fldChar w:fldCharType="separate"/>
          </w:r>
          <w:r>
            <w:rPr>
              <w:noProof/>
              <w:rtl/>
            </w:rPr>
            <w:t xml:space="preserve"> </w:t>
          </w:r>
          <w:r>
            <w:rPr>
              <w:rFonts w:hint="cs"/>
              <w:noProof/>
              <w:rtl/>
            </w:rPr>
            <w:t>(</w:t>
          </w:r>
          <w:r>
            <w:rPr>
              <w:rFonts w:hint="cs"/>
              <w:noProof/>
            </w:rPr>
            <w:t>Krishnan</w:t>
          </w:r>
          <w:r>
            <w:rPr>
              <w:rFonts w:hint="cs"/>
              <w:noProof/>
              <w:rtl/>
            </w:rPr>
            <w:t>، 2018)</w:t>
          </w:r>
          <w:r>
            <w:rPr>
              <w:rtl/>
            </w:rPr>
            <w:fldChar w:fldCharType="end"/>
          </w:r>
        </w:sdtContent>
      </w:sdt>
      <w:r>
        <w:rPr>
          <w:rtl/>
        </w:rPr>
        <w:t>.</w:t>
      </w:r>
    </w:p>
    <w:p w14:paraId="6C9133EA" w14:textId="77777777" w:rsidR="00514AF6" w:rsidRDefault="00514AF6" w:rsidP="00514AF6">
      <w:pPr>
        <w:pStyle w:val="a"/>
        <w:rPr>
          <w:rtl/>
        </w:rPr>
      </w:pPr>
      <w:r>
        <w:rPr>
          <w:rtl/>
        </w:rPr>
        <w:t>نظرية الإجهاد</w:t>
      </w:r>
    </w:p>
    <w:p w14:paraId="19817825" w14:textId="77777777" w:rsidR="00514AF6" w:rsidRDefault="00514AF6" w:rsidP="00514AF6">
      <w:pPr>
        <w:pStyle w:val="a0"/>
        <w:rPr>
          <w:rtl/>
        </w:rPr>
      </w:pPr>
      <w:r>
        <w:rPr>
          <w:rtl/>
        </w:rPr>
        <w:t>تناقش فرضية الإجهاد العلاقة بين الإجهاد وأداء العمل والصحة العقلية للموظف. تدعي هذه الفكرة أن المستويات المفرطة من الإجهاد تضعف بشدة انتباه الموظف وإنتاجيته، وقد تؤدي إلى إرهاق نفسي وجسدي. يتضمن الإجهاد جوانب عديدة مثل عبء العمل وتوقعات العمل والحدود الزمنية. إن التوازن بين العمل والحياة قد يخفف من هذه الضغوطات ويعزز الأداء العام للموظفين، مما يساعد على تهيئة جو عمل لطيف يقلل من خطر الإرهاق</w:t>
      </w:r>
      <w:sdt>
        <w:sdtPr>
          <w:rPr>
            <w:rtl/>
          </w:rPr>
          <w:id w:val="59551656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Kam16 \l 3073</w:instrText>
          </w:r>
          <w:r>
            <w:rPr>
              <w:rtl/>
            </w:rPr>
            <w:instrText xml:space="preserve"> </w:instrText>
          </w:r>
          <w:r>
            <w:rPr>
              <w:rtl/>
            </w:rPr>
            <w:fldChar w:fldCharType="separate"/>
          </w:r>
          <w:r>
            <w:rPr>
              <w:noProof/>
              <w:rtl/>
            </w:rPr>
            <w:t xml:space="preserve"> </w:t>
          </w:r>
          <w:r>
            <w:rPr>
              <w:rFonts w:hint="cs"/>
              <w:noProof/>
              <w:rtl/>
            </w:rPr>
            <w:t>(</w:t>
          </w:r>
          <w:r>
            <w:rPr>
              <w:rFonts w:hint="cs"/>
              <w:noProof/>
            </w:rPr>
            <w:t>Kamaldeep Bhui</w:t>
          </w:r>
          <w:r>
            <w:rPr>
              <w:rFonts w:hint="cs"/>
              <w:noProof/>
              <w:rtl/>
            </w:rPr>
            <w:t>، 2016)</w:t>
          </w:r>
          <w:r>
            <w:rPr>
              <w:rtl/>
            </w:rPr>
            <w:fldChar w:fldCharType="end"/>
          </w:r>
        </w:sdtContent>
      </w:sdt>
      <w:r>
        <w:rPr>
          <w:rtl/>
        </w:rPr>
        <w:t>.</w:t>
      </w:r>
    </w:p>
    <w:p w14:paraId="16EAD8B8" w14:textId="77777777" w:rsidR="00514AF6" w:rsidRDefault="00514AF6" w:rsidP="00514AF6">
      <w:pPr>
        <w:pStyle w:val="a"/>
        <w:rPr>
          <w:rtl/>
        </w:rPr>
      </w:pPr>
      <w:r>
        <w:rPr>
          <w:rtl/>
        </w:rPr>
        <w:t>نظرية الدعم التنظيمي</w:t>
      </w:r>
    </w:p>
    <w:p w14:paraId="4A88C3F0" w14:textId="77777777" w:rsidR="00514AF6" w:rsidRDefault="00514AF6" w:rsidP="00514AF6">
      <w:pPr>
        <w:pStyle w:val="a0"/>
        <w:rPr>
          <w:rtl/>
        </w:rPr>
      </w:pPr>
      <w:r>
        <w:rPr>
          <w:rtl/>
        </w:rPr>
        <w:t xml:space="preserve">تؤكد نظرية الدعم التنظيمي على أن العمال يشعرون </w:t>
      </w:r>
      <w:proofErr w:type="spellStart"/>
      <w:r>
        <w:rPr>
          <w:rtl/>
        </w:rPr>
        <w:t>بالتفاني</w:t>
      </w:r>
      <w:proofErr w:type="spellEnd"/>
      <w:r>
        <w:rPr>
          <w:rtl/>
        </w:rPr>
        <w:t xml:space="preserve"> تجاه المنظمة التي تقدم لهم الدعم والإعجاب. وتتضمن المساعدة التنظيمية توفير الموارد المناسبة والفرص المهنية والتدريب المستمر. ووفقًا للفرضية، عندما يعتقد الموظف أن </w:t>
      </w:r>
      <w:r>
        <w:rPr>
          <w:rtl/>
        </w:rPr>
        <w:lastRenderedPageBreak/>
        <w:t>الشركة تهتم برفاهيته وأهدافه، فإن هذا يعزز من سعادته ويدفعه إلى بذل المزيد من العمل. يعزز الدعم التنظيمي العلاقة الإيجابية بين الموظف والمنظمة، مما يساهم في زيادة الإنتاجية وتقليل معدل دوران العمالة، حيث يشعر الموظفون بأنهم جزء مهم من الفريق ويجدون في المنظمة بيئة محفزة لتطوير إمكاناتهم</w:t>
      </w:r>
      <w:sdt>
        <w:sdtPr>
          <w:rPr>
            <w:rtl/>
          </w:rPr>
          <w:id w:val="146276113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Eis20 \l 3073</w:instrText>
          </w:r>
          <w:r>
            <w:rPr>
              <w:rtl/>
            </w:rPr>
            <w:instrText xml:space="preserve"> </w:instrText>
          </w:r>
          <w:r>
            <w:rPr>
              <w:rtl/>
            </w:rPr>
            <w:fldChar w:fldCharType="separate"/>
          </w:r>
          <w:r>
            <w:rPr>
              <w:noProof/>
              <w:rtl/>
            </w:rPr>
            <w:t xml:space="preserve"> </w:t>
          </w:r>
          <w:r>
            <w:rPr>
              <w:rFonts w:hint="cs"/>
              <w:noProof/>
              <w:rtl/>
            </w:rPr>
            <w:t>(</w:t>
          </w:r>
          <w:r>
            <w:rPr>
              <w:rFonts w:hint="cs"/>
              <w:noProof/>
            </w:rPr>
            <w:t>Eisenberger</w:t>
          </w:r>
          <w:r>
            <w:rPr>
              <w:rFonts w:hint="cs"/>
              <w:noProof/>
              <w:rtl/>
            </w:rPr>
            <w:t>، 2020)</w:t>
          </w:r>
          <w:r>
            <w:rPr>
              <w:rtl/>
            </w:rPr>
            <w:fldChar w:fldCharType="end"/>
          </w:r>
        </w:sdtContent>
      </w:sdt>
      <w:r>
        <w:rPr>
          <w:rtl/>
        </w:rPr>
        <w:t>.</w:t>
      </w:r>
    </w:p>
    <w:p w14:paraId="7BD1B7C2" w14:textId="77777777" w:rsidR="00514AF6" w:rsidRDefault="00514AF6" w:rsidP="00514AF6">
      <w:pPr>
        <w:pStyle w:val="a0"/>
        <w:rPr>
          <w:rtl/>
        </w:rPr>
      </w:pPr>
    </w:p>
    <w:p w14:paraId="37838B0F" w14:textId="77777777" w:rsidR="00514AF6" w:rsidRDefault="00514AF6" w:rsidP="00514AF6">
      <w:pPr>
        <w:pStyle w:val="a0"/>
        <w:rPr>
          <w:rtl/>
        </w:rPr>
      </w:pPr>
    </w:p>
    <w:p w14:paraId="4C7A8269" w14:textId="77777777" w:rsidR="00514AF6" w:rsidRDefault="00514AF6" w:rsidP="00514AF6">
      <w:pPr>
        <w:spacing w:after="0" w:line="360" w:lineRule="auto"/>
        <w:jc w:val="center"/>
        <w:rPr>
          <w:rFonts w:ascii="Sakkal Majalla" w:hAnsi="Sakkal Majalla" w:cs="Sakkal Majalla"/>
          <w:sz w:val="28"/>
          <w:szCs w:val="28"/>
          <w:rtl/>
        </w:rPr>
      </w:pPr>
    </w:p>
    <w:p w14:paraId="12E9C652" w14:textId="77777777" w:rsidR="00514AF6" w:rsidRDefault="00514AF6" w:rsidP="00514AF6">
      <w:pPr>
        <w:spacing w:after="0" w:line="360" w:lineRule="auto"/>
        <w:jc w:val="center"/>
        <w:rPr>
          <w:rFonts w:ascii="Sakkal Majalla" w:hAnsi="Sakkal Majalla" w:cs="Sakkal Majalla"/>
          <w:sz w:val="28"/>
          <w:szCs w:val="28"/>
          <w:rtl/>
        </w:rPr>
      </w:pPr>
    </w:p>
    <w:p w14:paraId="2D69F8E7" w14:textId="77777777" w:rsidR="00514AF6" w:rsidRDefault="00514AF6" w:rsidP="00514AF6">
      <w:pPr>
        <w:spacing w:after="0" w:line="360" w:lineRule="auto"/>
        <w:jc w:val="center"/>
        <w:rPr>
          <w:rFonts w:ascii="Sakkal Majalla" w:hAnsi="Sakkal Majalla" w:cs="Sakkal Majalla"/>
          <w:sz w:val="28"/>
          <w:szCs w:val="28"/>
          <w:rtl/>
        </w:rPr>
      </w:pPr>
    </w:p>
    <w:p w14:paraId="557E89D6" w14:textId="77777777" w:rsidR="00514AF6" w:rsidRDefault="00514AF6" w:rsidP="00514AF6">
      <w:pPr>
        <w:spacing w:after="0" w:line="360" w:lineRule="auto"/>
        <w:jc w:val="center"/>
        <w:rPr>
          <w:rFonts w:ascii="Sakkal Majalla" w:hAnsi="Sakkal Majalla" w:cs="Sakkal Majalla"/>
          <w:sz w:val="28"/>
          <w:szCs w:val="28"/>
          <w:rtl/>
        </w:rPr>
      </w:pPr>
    </w:p>
    <w:p w14:paraId="727AC15D" w14:textId="77777777" w:rsidR="00514AF6" w:rsidRDefault="00514AF6" w:rsidP="00514AF6">
      <w:pPr>
        <w:spacing w:after="0" w:line="360" w:lineRule="auto"/>
        <w:jc w:val="center"/>
        <w:rPr>
          <w:rFonts w:ascii="Sakkal Majalla" w:hAnsi="Sakkal Majalla" w:cs="Sakkal Majalla"/>
          <w:sz w:val="28"/>
          <w:szCs w:val="28"/>
          <w:rtl/>
        </w:rPr>
      </w:pPr>
    </w:p>
    <w:p w14:paraId="6A58F8D4" w14:textId="77777777" w:rsidR="00514AF6" w:rsidRDefault="00514AF6" w:rsidP="00514AF6">
      <w:pPr>
        <w:spacing w:after="0" w:line="360" w:lineRule="auto"/>
        <w:jc w:val="center"/>
        <w:rPr>
          <w:rFonts w:ascii="Sakkal Majalla" w:hAnsi="Sakkal Majalla" w:cs="Sakkal Majalla"/>
          <w:sz w:val="28"/>
          <w:szCs w:val="28"/>
          <w:rtl/>
        </w:rPr>
      </w:pPr>
    </w:p>
    <w:p w14:paraId="724EDA85" w14:textId="77777777" w:rsidR="00514AF6" w:rsidRDefault="00514AF6" w:rsidP="00514AF6">
      <w:pPr>
        <w:spacing w:after="0" w:line="360" w:lineRule="auto"/>
        <w:jc w:val="center"/>
        <w:rPr>
          <w:rFonts w:ascii="Sakkal Majalla" w:hAnsi="Sakkal Majalla" w:cs="Sakkal Majalla"/>
          <w:sz w:val="28"/>
          <w:szCs w:val="28"/>
          <w:rtl/>
        </w:rPr>
      </w:pPr>
    </w:p>
    <w:p w14:paraId="562203AC" w14:textId="77777777" w:rsidR="00514AF6" w:rsidRDefault="00514AF6" w:rsidP="00514AF6">
      <w:pPr>
        <w:spacing w:after="0" w:line="360" w:lineRule="auto"/>
        <w:jc w:val="center"/>
        <w:rPr>
          <w:rFonts w:ascii="Sakkal Majalla" w:hAnsi="Sakkal Majalla" w:cs="Sakkal Majalla"/>
          <w:sz w:val="28"/>
          <w:szCs w:val="28"/>
          <w:rtl/>
        </w:rPr>
      </w:pPr>
    </w:p>
    <w:p w14:paraId="71F3B1ED" w14:textId="77777777" w:rsidR="00514AF6" w:rsidRDefault="00514AF6" w:rsidP="00514AF6">
      <w:pPr>
        <w:spacing w:after="0" w:line="360" w:lineRule="auto"/>
        <w:jc w:val="center"/>
        <w:rPr>
          <w:rFonts w:ascii="Sakkal Majalla" w:hAnsi="Sakkal Majalla" w:cs="Sakkal Majalla"/>
          <w:sz w:val="28"/>
          <w:szCs w:val="28"/>
          <w:rtl/>
        </w:rPr>
      </w:pPr>
    </w:p>
    <w:p w14:paraId="2CFDC623" w14:textId="77777777" w:rsidR="00514AF6" w:rsidRDefault="00514AF6" w:rsidP="00514AF6">
      <w:pPr>
        <w:spacing w:after="0" w:line="360" w:lineRule="auto"/>
        <w:jc w:val="center"/>
        <w:rPr>
          <w:rFonts w:ascii="Sakkal Majalla" w:hAnsi="Sakkal Majalla" w:cs="Sakkal Majalla"/>
          <w:sz w:val="28"/>
          <w:szCs w:val="28"/>
          <w:rtl/>
        </w:rPr>
      </w:pPr>
    </w:p>
    <w:p w14:paraId="1EA6FC11" w14:textId="77777777" w:rsidR="00514AF6" w:rsidRDefault="00514AF6" w:rsidP="00514AF6">
      <w:pPr>
        <w:spacing w:after="0" w:line="360" w:lineRule="auto"/>
        <w:jc w:val="center"/>
        <w:rPr>
          <w:rFonts w:ascii="Sakkal Majalla" w:hAnsi="Sakkal Majalla" w:cs="Sakkal Majalla"/>
          <w:sz w:val="28"/>
          <w:szCs w:val="28"/>
          <w:rtl/>
        </w:rPr>
      </w:pPr>
    </w:p>
    <w:p w14:paraId="0720D95E" w14:textId="77777777" w:rsidR="00514AF6" w:rsidRDefault="00514AF6" w:rsidP="00514AF6">
      <w:pPr>
        <w:spacing w:after="0" w:line="360" w:lineRule="auto"/>
        <w:jc w:val="center"/>
        <w:rPr>
          <w:rFonts w:ascii="Sakkal Majalla" w:hAnsi="Sakkal Majalla" w:cs="Sakkal Majalla"/>
          <w:sz w:val="28"/>
          <w:szCs w:val="28"/>
          <w:rtl/>
        </w:rPr>
      </w:pPr>
    </w:p>
    <w:p w14:paraId="3228BE04" w14:textId="77777777" w:rsidR="00514AF6" w:rsidRDefault="00514AF6"/>
    <w:sectPr w:rsidR="00514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altName w:val="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7D11"/>
    <w:multiLevelType w:val="hybridMultilevel"/>
    <w:tmpl w:val="07C8FF7E"/>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332925"/>
    <w:multiLevelType w:val="hybridMultilevel"/>
    <w:tmpl w:val="4462CD70"/>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2570F"/>
    <w:multiLevelType w:val="hybridMultilevel"/>
    <w:tmpl w:val="B606911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D14B2"/>
    <w:multiLevelType w:val="hybridMultilevel"/>
    <w:tmpl w:val="4C3ACB6A"/>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30C2C"/>
    <w:multiLevelType w:val="hybridMultilevel"/>
    <w:tmpl w:val="07C8FF7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36CA13FB"/>
    <w:multiLevelType w:val="hybridMultilevel"/>
    <w:tmpl w:val="80328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065B0B"/>
    <w:multiLevelType w:val="hybridMultilevel"/>
    <w:tmpl w:val="5978E9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5A6400"/>
    <w:multiLevelType w:val="hybridMultilevel"/>
    <w:tmpl w:val="522CDF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6A2556"/>
    <w:multiLevelType w:val="hybridMultilevel"/>
    <w:tmpl w:val="1CC2A3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968251">
    <w:abstractNumId w:val="2"/>
  </w:num>
  <w:num w:numId="2" w16cid:durableId="1362896413">
    <w:abstractNumId w:val="7"/>
  </w:num>
  <w:num w:numId="3" w16cid:durableId="1853639769">
    <w:abstractNumId w:val="6"/>
  </w:num>
  <w:num w:numId="4" w16cid:durableId="1615481207">
    <w:abstractNumId w:val="8"/>
  </w:num>
  <w:num w:numId="5" w16cid:durableId="1853254816">
    <w:abstractNumId w:val="9"/>
  </w:num>
  <w:num w:numId="6" w16cid:durableId="2018462312">
    <w:abstractNumId w:val="1"/>
  </w:num>
  <w:num w:numId="7" w16cid:durableId="518086595">
    <w:abstractNumId w:val="5"/>
  </w:num>
  <w:num w:numId="8" w16cid:durableId="423649013">
    <w:abstractNumId w:val="3"/>
  </w:num>
  <w:num w:numId="9" w16cid:durableId="565451734">
    <w:abstractNumId w:val="0"/>
  </w:num>
  <w:num w:numId="10" w16cid:durableId="390928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C47AC"/>
    <w:rsid w:val="00251ACB"/>
    <w:rsid w:val="003C47AC"/>
    <w:rsid w:val="003E0C9A"/>
    <w:rsid w:val="00514AF6"/>
    <w:rsid w:val="005425AA"/>
    <w:rsid w:val="00A168D3"/>
    <w:rsid w:val="00A212AE"/>
    <w:rsid w:val="00A439BB"/>
    <w:rsid w:val="00A7384B"/>
    <w:rsid w:val="00AC26C9"/>
    <w:rsid w:val="00B95C89"/>
    <w:rsid w:val="00D55C33"/>
    <w:rsid w:val="00D60BE4"/>
    <w:rsid w:val="00D87892"/>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FC048"/>
  <w15:chartTrackingRefBased/>
  <w15:docId w15:val="{FA57DB85-E98E-4174-909B-3F22766C6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AF6"/>
    <w:pPr>
      <w:bidi/>
    </w:pPr>
    <w:rPr>
      <w:rFonts w:ascii="Calibri" w:eastAsia="Calibri" w:hAnsi="Calibri" w:cs="Arial"/>
    </w:rPr>
  </w:style>
  <w:style w:type="paragraph" w:styleId="Heading1">
    <w:name w:val="heading 1"/>
    <w:basedOn w:val="Normal"/>
    <w:next w:val="Normal"/>
    <w:link w:val="Heading1Char"/>
    <w:uiPriority w:val="9"/>
    <w:qFormat/>
    <w:rsid w:val="003C4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4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4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7AC"/>
    <w:rPr>
      <w:rFonts w:eastAsiaTheme="majorEastAsia" w:cstheme="majorBidi"/>
      <w:color w:val="272727" w:themeColor="text1" w:themeTint="D8"/>
    </w:rPr>
  </w:style>
  <w:style w:type="paragraph" w:styleId="Title">
    <w:name w:val="Title"/>
    <w:basedOn w:val="Normal"/>
    <w:next w:val="Normal"/>
    <w:link w:val="TitleChar"/>
    <w:uiPriority w:val="10"/>
    <w:qFormat/>
    <w:rsid w:val="003C4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7AC"/>
    <w:pPr>
      <w:spacing w:before="160"/>
      <w:jc w:val="center"/>
    </w:pPr>
    <w:rPr>
      <w:i/>
      <w:iCs/>
      <w:color w:val="404040" w:themeColor="text1" w:themeTint="BF"/>
    </w:rPr>
  </w:style>
  <w:style w:type="character" w:customStyle="1" w:styleId="QuoteChar">
    <w:name w:val="Quote Char"/>
    <w:basedOn w:val="DefaultParagraphFont"/>
    <w:link w:val="Quote"/>
    <w:uiPriority w:val="29"/>
    <w:rsid w:val="003C47AC"/>
    <w:rPr>
      <w:i/>
      <w:iCs/>
      <w:color w:val="404040" w:themeColor="text1" w:themeTint="BF"/>
    </w:rPr>
  </w:style>
  <w:style w:type="paragraph" w:styleId="ListParagraph">
    <w:name w:val="List Paragraph"/>
    <w:basedOn w:val="Normal"/>
    <w:uiPriority w:val="34"/>
    <w:qFormat/>
    <w:rsid w:val="003C47AC"/>
    <w:pPr>
      <w:ind w:left="720"/>
      <w:contextualSpacing/>
    </w:pPr>
  </w:style>
  <w:style w:type="character" w:styleId="IntenseEmphasis">
    <w:name w:val="Intense Emphasis"/>
    <w:basedOn w:val="DefaultParagraphFont"/>
    <w:uiPriority w:val="21"/>
    <w:qFormat/>
    <w:rsid w:val="003C47AC"/>
    <w:rPr>
      <w:i/>
      <w:iCs/>
      <w:color w:val="0F4761" w:themeColor="accent1" w:themeShade="BF"/>
    </w:rPr>
  </w:style>
  <w:style w:type="paragraph" w:styleId="IntenseQuote">
    <w:name w:val="Intense Quote"/>
    <w:basedOn w:val="Normal"/>
    <w:next w:val="Normal"/>
    <w:link w:val="IntenseQuoteChar"/>
    <w:uiPriority w:val="30"/>
    <w:qFormat/>
    <w:rsid w:val="003C4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7AC"/>
    <w:rPr>
      <w:i/>
      <w:iCs/>
      <w:color w:val="0F4761" w:themeColor="accent1" w:themeShade="BF"/>
    </w:rPr>
  </w:style>
  <w:style w:type="character" w:styleId="IntenseReference">
    <w:name w:val="Intense Reference"/>
    <w:basedOn w:val="DefaultParagraphFont"/>
    <w:uiPriority w:val="32"/>
    <w:qFormat/>
    <w:rsid w:val="003C47AC"/>
    <w:rPr>
      <w:b/>
      <w:bCs/>
      <w:smallCaps/>
      <w:color w:val="0F4761" w:themeColor="accent1" w:themeShade="BF"/>
      <w:spacing w:val="5"/>
    </w:rPr>
  </w:style>
  <w:style w:type="paragraph" w:customStyle="1" w:styleId="a0">
    <w:name w:val="كلام"/>
    <w:basedOn w:val="Normal"/>
    <w:link w:val="Char"/>
    <w:qFormat/>
    <w:rsid w:val="00514AF6"/>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514AF6"/>
    <w:rPr>
      <w:rFonts w:ascii="Sakkal Majalla" w:eastAsia="Calibri" w:hAnsi="Sakkal Majalla" w:cs="Sakkal Majalla"/>
      <w:sz w:val="28"/>
      <w:szCs w:val="28"/>
      <w:lang w:bidi="ar-EG"/>
    </w:rPr>
  </w:style>
  <w:style w:type="paragraph" w:styleId="Caption">
    <w:name w:val="caption"/>
    <w:basedOn w:val="Normal"/>
    <w:next w:val="Normal"/>
    <w:uiPriority w:val="35"/>
    <w:unhideWhenUsed/>
    <w:qFormat/>
    <w:rsid w:val="00514AF6"/>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0"/>
    <w:link w:val="Char0"/>
    <w:qFormat/>
    <w:rsid w:val="00514AF6"/>
    <w:pPr>
      <w:numPr>
        <w:numId w:val="1"/>
      </w:numPr>
    </w:pPr>
    <w:rPr>
      <w:b/>
      <w:bCs/>
    </w:rPr>
  </w:style>
  <w:style w:type="character" w:customStyle="1" w:styleId="Char0">
    <w:name w:val="عنوان Char"/>
    <w:basedOn w:val="Char"/>
    <w:link w:val="a"/>
    <w:rsid w:val="00514AF6"/>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Mos182</b:Tag>
    <b:SourceType>JournalArticle</b:SourceType>
    <b:Guid>{7864535A-D600-49E7-9549-A706D6A22CBA}</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b:RefOrder>
  </b:Source>
  <b:Source>
    <b:Tag>Bat19</b:Tag>
    <b:SourceType>JournalArticle</b:SourceType>
    <b:Guid>{636E1679-421B-4C5E-B60D-824B40EAA497}</b:Guid>
    <b:Author>
      <b:Author>
        <b:NameList>
          <b:Person>
            <b:Last>Bataineh</b:Last>
            <b:First>Khaled</b:First>
            <b:Middle>adnan</b:Middle>
          </b:Person>
        </b:NameList>
      </b:Author>
    </b:Author>
    <b:Title>Impact of Work-Life Balance, Happiness at Work, on Employee Performance</b:Title>
    <b:Year>2019</b:Year>
    <b:URL>https://www.researchgate.net/publication/330451021_Impact_of_Work-Life_Balance_Happiness_at_Work_on_Employee_Performance</b:URL>
    <b:RefOrder>2</b:RefOrder>
  </b:Source>
  <b:Source>
    <b:Tag>Aln241</b:Tag>
    <b:SourceType>JournalArticle</b:SourceType>
    <b:Guid>{B1E78552-7DF7-43F6-8394-01DEA1DEBCF0}</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3</b:RefOrder>
  </b:Source>
  <b:Source>
    <b:Tag>Sir</b:Tag>
    <b:SourceType>JournalArticle</b:SourceType>
    <b:Guid>{12654BC3-B844-491F-A225-815FB1E62A77}</b:Guid>
    <b:Author>
      <b:Author>
        <b:NameList>
          <b:Person>
            <b:Last>Siraj</b:Last>
            <b:First>Nuru</b:First>
          </b:Person>
        </b:NameList>
      </b:Author>
    </b:Author>
    <b:Title>Performance management system and its role for employee performance: Evidence from Ethiopian SMEs</b:Title>
    <b:URL>https://www.sciencedirect.com/science/article/pii/S2405844023090278</b:URL>
    <b:Year>2023</b:Year>
    <b:RefOrder>4</b:RefOrder>
  </b:Source>
  <b:Source>
    <b:Tag>Sub21</b:Tag>
    <b:SourceType>JournalArticle</b:SourceType>
    <b:Guid>{089C8DDE-38C7-480B-817A-D167B0EEDEAE}</b:Guid>
    <b:Author>
      <b:Author>
        <b:NameList>
          <b:Person>
            <b:Last>Subbarayalu</b:Last>
            <b:First>Arun</b:First>
            <b:Middle>Vijay</b:Middle>
          </b:Person>
        </b:NameList>
      </b:Author>
    </b:Author>
    <b:Title>Work-Life Balance Outlook in Saudi Arabia</b:Title>
    <b:Year>2021</b:Year>
    <b:URL>https://www.researchgate.net/publication/350781397_Work-Life_Balance_Outlook_in_Saudi_Arabia</b:URL>
    <b:RefOrder>5</b:RefOrder>
  </b:Source>
  <b:Source>
    <b:Tag>Hre23</b:Tag>
    <b:SourceType>JournalArticle</b:SourceType>
    <b:Guid>{A2A1ACFE-1DD2-4DE8-8DE1-095DE8EE0464}</b:Guid>
    <b:Author>
      <b:Author>
        <b:NameList>
          <b:Person>
            <b:Last>Hreha</b:Last>
            <b:First>Jason</b:First>
          </b:Person>
        </b:NameList>
      </b:Author>
    </b:Author>
    <b:Title>Work-Life Balance: Why It’s Important And How To Achieve It</b:Title>
    <b:Year>2023</b:Year>
    <b:URL>https://www.personatalent.com/productivity/how-to-achieve-work-life-balance/</b:URL>
    <b:RefOrder>6</b:RefOrder>
  </b:Source>
  <b:Source>
    <b:Tag>Ros24</b:Tag>
    <b:SourceType>JournalArticle</b:SourceType>
    <b:Guid>{D650E95D-8AF6-433B-8F51-6A1DA2FC6B2F}</b:Guid>
    <b:Author>
      <b:Author>
        <b:NameList>
          <b:Person>
            <b:Last>Roselidyawaty</b:Last>
            <b:First>Nor</b:First>
          </b:Person>
        </b:NameList>
      </b:Author>
    </b:Author>
    <b:Title>A REVIEW OF THE JOB SATISFACTION THEORY FOR VOCATIONAL COLLEGE EDUCATION PERSPECTIVE This work is licensed under CC BY 4.0</b:Title>
    <b:Year>2024</b:Year>
    <b:URL>https://www.researchgate.net/publication/379116065_A_REVIEW_OF_THE_JOB_SATISFACTION_THEORY_FOR_VOCATIONAL_COLLEGE_EDUCATION_PERSPECTIVE_This_work_is_licensed_under_CC_BY_40</b:URL>
    <b:RefOrder>7</b:RefOrder>
  </b:Source>
  <b:Source>
    <b:Tag>Kri18</b:Tag>
    <b:SourceType>JournalArticle</b:SourceType>
    <b:Guid>{E9D237CA-6564-491F-9640-6265336D4860}</b:Guid>
    <b:Author>
      <b:Author>
        <b:NameList>
          <b:Person>
            <b:Last>Krishnan</b:Last>
            <b:First>Ramesh</b:First>
          </b:Person>
        </b:NameList>
      </b:Author>
    </b:Author>
    <b:Title>The Effects of Job Satisfaction and Work-Life Balance on Employee Task Performance</b:Title>
    <b:Year>2018</b:Year>
    <b:URL>https://www.researchgate.net/publication/325121088_The_Effects_of_Job_Satisfaction_and_Work-Life_Balance_on_Employee_Task_Performance</b:URL>
    <b:RefOrder>8</b:RefOrder>
  </b:Source>
  <b:Source>
    <b:Tag>Kam16</b:Tag>
    <b:SourceType>JournalArticle</b:SourceType>
    <b:Guid>{A883AA6B-C994-4D33-BAB6-4DB21138B6BB}</b:Guid>
    <b:Author>
      <b:Author>
        <b:NameList>
          <b:Person>
            <b:Last>Kamaldeep Bhui</b:Last>
          </b:Person>
        </b:NameList>
      </b:Author>
    </b:Author>
    <b:Title>Perceptions of work stress causes and effective interventions in employees working in public, private and non-governmental organisations: a qualitative study</b:Title>
    <b:Year>2016</b:Year>
    <b:URL>https://www.ncbi.nlm.nih.gov/pmc/articles/PMC5353523/</b:URL>
    <b:RefOrder>9</b:RefOrder>
  </b:Source>
  <b:Source>
    <b:Tag>Eis20</b:Tag>
    <b:SourceType>JournalArticle</b:SourceType>
    <b:Guid>{69D842DB-1BE3-4B2E-8298-69C936F32E86}</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10</b:RefOrder>
  </b:Source>
  <b:Source>
    <b:Tag>Fan231</b:Tag>
    <b:SourceType>JournalArticle</b:SourceType>
    <b:Guid>{0A578319-30B0-4800-9071-29818FE67FEE}</b:Guid>
    <b:Author>
      <b:Author>
        <b:NameList>
          <b:Person>
            <b:Last>Fang</b:Last>
            <b:First>Junhao</b:First>
          </b:Person>
        </b:NameList>
      </b:Author>
    </b:Author>
    <b:Title>Application and Limitations of the Expectancy Theory in Organizations</b:Title>
    <b:Year>2023</b:Year>
    <b:URL>https://www.researchgate.net/publication/376131947_Application_and_Limitations_of_the_Expectancy_Theory_in_Organizations</b:URL>
    <b:RefOrder>11</b:RefOrder>
  </b:Source>
  <b:Source>
    <b:Tag>Kas16</b:Tag>
    <b:SourceType>JournalArticle</b:SourceType>
    <b:Guid>{BAB8C6A4-7334-4884-BB7B-59F15AC12AEE}</b:Guid>
    <b:Author>
      <b:Author>
        <b:NameList>
          <b:Person>
            <b:Last>Kashyap</b:Last>
            <b:First>Shilpy</b:First>
          </b:Person>
        </b:NameList>
      </b:Author>
    </b:Author>
    <b:Title>Employee Well-Being, Life Satisfaction and the need for Work-Life balance</b:Title>
    <b:Year>2016</b:Year>
    <b:URL>https://www.researchgate.net/publication/311322121_Employee_Well-Being_Life_Satisfaction_and_the_need_for_Work-Life_balance</b:URL>
    <b:RefOrder>12</b:RefOrder>
  </b:Source>
  <b:Source>
    <b:Tag>Ram231</b:Tag>
    <b:SourceType>JournalArticle</b:SourceType>
    <b:Guid>{7D6DCF56-95B1-488E-B888-3FFB8B0F01E1}</b:Guid>
    <b:Author>
      <b:Author>
        <b:NameList>
          <b:Person>
            <b:Last>Ramadani</b:Last>
            <b:First>Veland</b:First>
          </b:Person>
        </b:NameList>
      </b:Author>
    </b:Author>
    <b:Title>Saudi teleworkers and determinant factors of their work-life balance and satisfaction: Testing a sequential mediation model</b:Title>
    <b:Year>2023</b:Year>
    <b:URL>https://www.sciencedirect.com/science/article/abs/pii/S0040162522008332</b:URL>
    <b:RefOrder>13</b:RefOrder>
  </b:Source>
  <b:Source>
    <b:Tag>Sil21</b:Tag>
    <b:SourceType>JournalArticle</b:SourceType>
    <b:Guid>{6667BD36-166A-4CD2-A540-585F4E01F1C2}</b:Guid>
    <b:Author>
      <b:Author>
        <b:NameList>
          <b:Person>
            <b:Last>Silaban</b:Last>
            <b:First>Hana</b:First>
          </b:Person>
        </b:NameList>
      </b:Author>
    </b:Author>
    <b:Title>The Impact Work-Life Balance toward Job Satisfaction and Employee Retention: Study of Millennial Employees in Bandung City, Indonesia</b:Title>
    <b:Year>2021</b:Year>
    <b:URL>https://www.researchgate.net/publication/362068872_The_Impact_Work-Life_Balance_toward_Job_Satisfaction_and_Employee_Retention_Study_of_Millennial_Employees_in_Bandung_City_Indonesia</b:URL>
    <b:RefOrder>14</b:RefOrder>
  </b:Source>
  <b:Source>
    <b:Tag>Mar242</b:Tag>
    <b:SourceType>JournalArticle</b:SourceType>
    <b:Guid>{FB82F599-F9A3-4402-820D-806962117CA9}</b:Guid>
    <b:Author>
      <b:Author>
        <b:NameList>
          <b:Person>
            <b:Last>Marecki</b:Last>
            <b:First>Łukasz</b:First>
          </b:Person>
        </b:NameList>
      </b:Author>
    </b:Author>
    <b:Title>Impact of work-life balance on employee productivity and well-being</b:Title>
    <b:JournalName>Journal of Management and Financial Sciences</b:JournalName>
    <b:Year>2024</b:Year>
    <b:URL>https://www.researchgate.net/publication/381953879_Impact_of_work-life_balance_on_employee_productivity_and_well-being</b:URL>
    <b:RefOrder>15</b:RefOrder>
  </b:Source>
  <b:Source>
    <b:Tag>Bel24</b:Tag>
    <b:SourceType>JournalArticle</b:SourceType>
    <b:Guid>{613A7B9E-6FA1-4647-8AE5-C79672DB04A5}</b:Guid>
    <b:Author>
      <b:Author>
        <b:NameList>
          <b:Person>
            <b:Last>Bello</b:Last>
            <b:First>Binaebi</b:First>
          </b:Person>
        </b:NameList>
      </b:Author>
    </b:Author>
    <b:Title>Work-life balance and its impact in modern organizations: An HR review</b:Title>
    <b:JournalName>World Journal of Advanced Research and Reviews</b:JournalName>
    <b:Year>2024</b:Year>
    <b:Pages>1162-1173</b:Pages>
    <b:Volume>21</b:Volume>
    <b:Issue>1</b:Issue>
    <b:URL>https://www.researchgate.net/publication/377807184_Work-life_balance_and_its_impact_in_modern_organizations_An_HR_review</b:URL>
    <b:RefOrder>16</b:RefOrder>
  </b:Source>
  <b:Source>
    <b:Tag>نبي21</b:Tag>
    <b:SourceType>JournalArticle</b:SourceType>
    <b:Guid>{23BEF40C-2820-42AA-BEDB-C7CCA1C0E0DB}</b:Guid>
    <b:Author>
      <b:Author>
        <b:NameList>
          <b:Person>
            <b:Last>نبيل</b:Last>
            <b:First>سوفي</b:First>
          </b:Person>
        </b:NameList>
      </b:Author>
    </b:Author>
    <b:Title>أثر التـــوازن بيــن العمـــل والحياة على الالتزام التنظيمي بوجود الرضا الوظيفي كمتغير وسيط حالة العاملين الشبه طبيين بمستشفى الطاهير</b:Title>
    <b:Year>2021</b:Year>
    <b:URL>https://www.asjp.cerist.dz/en/article/180076</b:URL>
    <b:RefOrder>17</b:RefOrder>
  </b:Source>
  <b:Source>
    <b:Tag>Ahm234</b:Tag>
    <b:SourceType>JournalArticle</b:SourceType>
    <b:Guid>{F1D6A87A-12B9-48C4-ACF1-A556D607A241}</b:Guid>
    <b:Title>Work-Life Balance and Job Satisfaction in the Era of Saudi Arabia's New Lifestyle: A Study on Expatriate Retention</b:Title>
    <b:Year>2023</b:Year>
    <b:Author>
      <b:Author>
        <b:NameList>
          <b:Person>
            <b:Last>Alomari</b:Last>
            <b:First>Ahmed</b:First>
          </b:Person>
        </b:NameList>
      </b:Author>
    </b:Author>
    <b:Volume>21</b:Volume>
    <b:URL>https://refpress.org/ref-vol21-a117/#:~:text=Achieving%20WLB%20was%20found%20to,likelihood%20of%20seeking%20opportunities%20elsewhere.</b:URL>
    <b:RefOrder>18</b:RefOrder>
  </b:Source>
  <b:Source>
    <b:Tag>Ish22</b:Tag>
    <b:SourceType>JournalArticle</b:SourceType>
    <b:Guid>{E9765CBA-D81D-4B9C-9CDD-19E563B42880}</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19</b:RefOrder>
  </b:Source>
  <b:Source>
    <b:Tag>MAL21</b:Tag>
    <b:SourceType>JournalArticle</b:SourceType>
    <b:Guid>{ED9ED3A2-EB64-4A13-A4A5-7D5594A81435}</b:Guid>
    <b:Author>
      <b:Author>
        <b:NameList>
          <b:Person>
            <b:Last>MALIK</b:Last>
            <b:First>Azam</b:First>
          </b:Person>
        </b:NameList>
      </b:Author>
    </b:Author>
    <b:Title>An Empirical Investigation of Work Life Balance and Satisfaction among the University Academicians</b:Title>
    <b:Year>2021</b:Year>
    <b:URL>https://koreascience.kr/article/JAKO202112748675317.page</b:URL>
    <b:RefOrder>20</b:RefOrder>
  </b:Source>
  <b:Source>
    <b:Tag>Abd18</b:Tag>
    <b:SourceType>JournalArticle</b:SourceType>
    <b:Guid>{26546BFE-2B3F-4074-819D-6A362C00AE11}</b:Guid>
    <b:Author>
      <b:Author>
        <b:NameList>
          <b:Person>
            <b:Last>Abdirahman</b:Last>
            <b:First>Hussein</b:First>
            <b:Middle>Isse Hassan</b:Middle>
          </b:Person>
        </b:NameList>
      </b:Author>
    </b:Author>
    <b:Title>The Relationship between Job Satisfaction, Work-Life Balance and Organizational Commitment on Employee Performance</b:Title>
    <b:JournalName>Academic Journal of Economic Studies</b:JournalName>
    <b:Year>2018</b:Year>
    <b:Pages>12-17</b:Pages>
    <b:Issue>3</b:Issue>
    <b:URL>https://www.ceeol.com/search/article-detail?id=696047</b:URL>
    <b:RefOrder>21</b:RefOrder>
  </b:Source>
  <b:Source>
    <b:Tag>Nik24</b:Tag>
    <b:SourceType>JournalArticle</b:SourceType>
    <b:Guid>{60F2AA26-7F42-4F5D-8B5D-3F30CE8E625E}</b:Guid>
    <b:Author>
      <b:Author>
        <b:NameList>
          <b:Person>
            <b:Last>Nikensari</b:Last>
            <b:First>Galuh</b:First>
            <b:Middle>Amilia</b:Middle>
          </b:Person>
        </b:NameList>
      </b:Author>
    </b:Author>
    <b:Title>Spirituality in the Workplace: Enhanced Job Satisfaction Through Employee Well-being and Work-life Balance</b:Title>
    <b:JournalName>Jurnal Manajemen Teori dan Terapan | Journal of Theory and Applied Management</b:JournalName>
    <b:Year>2024</b:Year>
    <b:Pages>316-332</b:Pages>
    <b:Volume>17</b:Volume>
    <b:Issue>2</b:Issue>
    <b:URL>https://www.researchgate.net/publication/383764205_Spirituality_in_the_Workplace_Enhanced_Job_Satisfaction_Through_Employee_Well-being_and_Work-life_Balance</b:URL>
    <b:RefOrder>22</b:RefOrder>
  </b:Source>
  <b:Source>
    <b:Tag>Pra24</b:Tag>
    <b:SourceType>JournalArticle</b:SourceType>
    <b:Guid>{B02113D8-2D76-477B-AA59-E1EB9EFC6D8E}</b:Guid>
    <b:Author>
      <b:Author>
        <b:NameList>
          <b:Person>
            <b:Last>Prajapat</b:Last>
            <b:First>Bhavesh</b:First>
          </b:Person>
        </b:NameList>
      </b:Author>
    </b:Author>
    <b:Title>Employee Motivation &amp; The Impact of Employee Motivation Programs on Job Satisfaction</b:Title>
    <b:JournalName>International Journal for Research in Applied Science and Engineering Technology</b:JournalName>
    <b:Year>2024</b:Year>
    <b:Pages>5141-5147</b:Pages>
    <b:Volume>12</b:Volume>
    <b:Issue>5</b:Issue>
    <b:URL>https://www.researchgate.net/publication/381029700_Employee_Motivation_The_Impact_of_Employee_Motivation_Programs_on_Job_Satisfaction</b:URL>
    <b:RefOrder>23</b:RefOrder>
  </b:Source>
  <b:Source>
    <b:Tag>Fat24</b:Tag>
    <b:SourceType>JournalArticle</b:SourceType>
    <b:Guid>{E7648DB9-12F7-40A6-844D-C35C60F75676}</b:Guid>
    <b:Author>
      <b:Author>
        <b:NameList>
          <b:Person>
            <b:Last>Fatima</b:Last>
            <b:First>Shagufta</b:First>
          </b:Person>
        </b:NameList>
      </b:Author>
    </b:Author>
    <b:Title>Exploring Work-Life Balance Strategies Among Generation Z In The Education Sector: An Exploratory Analysis</b:Title>
    <b:JournalName>Educational Administration Theory and Practice journal</b:JournalName>
    <b:Year>2024</b:Year>
    <b:Volume>30</b:Volume>
    <b:Issue>4</b:Issue>
    <b:URL>https://www.researchgate.net/publication/380872153_Exploring_Work-Life_Balance_Strategies_Among_Generation_Z_In_The_Education_Sector_An_Exploratory_Analysis</b:URL>
    <b:RefOrder>24</b:RefOrder>
  </b:Source>
  <b:Source>
    <b:Tag>Put24</b:Tag>
    <b:SourceType>JournalArticle</b:SourceType>
    <b:Guid>{05099DC0-2964-4F8B-99E4-B44CFFF01B6B}</b:Guid>
    <b:Author>
      <b:Author>
        <b:NameList>
          <b:Person>
            <b:Last>Putri</b:Last>
            <b:First>Indira</b:First>
            <b:Middle>Natasya Kusuma</b:Middle>
          </b:Person>
        </b:NameList>
      </b:Author>
    </b:Author>
    <b:Title>Pengaruh Pengembangan Karir dan Work Life Balance terhadap Turnover Intention dengan Retensi Karyawan sebagai Variabel Mediasi</b:Title>
    <b:JournalName>Jurnal Informatika Ekonomi Bisnis</b:JournalName>
    <b:Year>2024</b:Year>
    <b:URL>https://www.researchgate.net/publication/383418687_Pengaruh_Pengembangan_Karir_dan_Work_Life_Balance_terhadap_Turnover_Intention_dengan_Retensi_Karyawan_sebagai_Variabel_Mediasi</b:URL>
    <b:RefOrder>25</b:RefOrder>
  </b:Source>
  <b:Source>
    <b:Tag>Ihw24</b:Tag>
    <b:SourceType>JournalArticle</b:SourceType>
    <b:Guid>{2EA00825-4303-46CF-A280-6EE4A2F045AB}</b:Guid>
    <b:Author>
      <b:Author>
        <b:NameList>
          <b:Person>
            <b:Last>Ihwughwavwe</b:Last>
            <b:First>Sadat</b:First>
            <b:Middle>Itohan</b:Middle>
          </b:Person>
        </b:NameList>
      </b:Author>
    </b:Author>
    <b:Title>The Impact of Work-Life Balance on Employee Performance: An Evaluative Study of Health and Safety Industry in Nigeria</b:Title>
    <b:JournalName>International Journal of Humanity and Social Sciences</b:JournalName>
    <b:Year>2024</b:Year>
    <b:Pages>39-73</b:Pages>
    <b:Volume>2</b:Volume>
    <b:Issue>1</b:Issue>
    <b:URL>https://www.researchgate.net/publication/378136350_The_Impact_of_Work-Life_Balance_on_Employee_Performance_An_Evaluative_Study_of_Health_and_Safety_Industry_in_Nigeria</b:URL>
    <b:RefOrder>26</b:RefOrder>
  </b:Source>
</b:Sources>
</file>

<file path=customXml/itemProps1.xml><?xml version="1.0" encoding="utf-8"?>
<ds:datastoreItem xmlns:ds="http://schemas.openxmlformats.org/officeDocument/2006/customXml" ds:itemID="{4F361516-F79E-49A2-96E5-E1784038F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6993</Words>
  <Characters>39866</Characters>
  <Application>Microsoft Office Word</Application>
  <DocSecurity>0</DocSecurity>
  <Lines>332</Lines>
  <Paragraphs>93</Paragraphs>
  <ScaleCrop>false</ScaleCrop>
  <Company/>
  <LinksUpToDate>false</LinksUpToDate>
  <CharactersWithSpaces>46766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Nesma</cp:lastModifiedBy>
  <cp:revision>3</cp:revision>
  <dcterms:created xsi:type="dcterms:W3CDTF">2024-10-29T18:49:00Z</dcterms:created>
  <dcterms:modified xsi:type="dcterms:W3CDTF">2024-11-04T17:44:00Z</dcterms:modified>
</cp:coreProperties>
</file>