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324CF" w14:textId="32861DFB" w:rsidR="00C01B80" w:rsidRPr="00C16C43" w:rsidRDefault="00C16C43" w:rsidP="00C16C43">
      <w:pPr>
        <w:spacing w:before="100" w:beforeAutospacing="1" w:after="100" w:afterAutospacing="1" w:line="360" w:lineRule="auto"/>
        <w:jc w:val="both"/>
        <w:rPr>
          <w:rFonts w:ascii="Sakkal Majalla" w:hAnsi="Sakkal Majalla" w:cs="Sakkal Majalla"/>
          <w:b/>
          <w:bCs/>
          <w:sz w:val="32"/>
          <w:szCs w:val="32"/>
          <w:rtl/>
          <w:lang w:bidi="ar-EG"/>
        </w:rPr>
      </w:pPr>
      <w:r w:rsidRPr="00C16C43">
        <w:rPr>
          <w:rFonts w:ascii="Sakkal Majalla" w:hAnsi="Sakkal Majalla" w:cs="Sakkal Majalla"/>
          <w:b/>
          <w:bCs/>
          <w:noProof/>
          <w:sz w:val="32"/>
          <w:szCs w:val="32"/>
        </w:rPr>
        <w:drawing>
          <wp:anchor distT="0" distB="0" distL="114300" distR="114300" simplePos="0" relativeHeight="251662336" behindDoc="0" locked="0" layoutInCell="1" allowOverlap="1" wp14:anchorId="79DA33FB" wp14:editId="0D8B2672">
            <wp:simplePos x="0" y="0"/>
            <wp:positionH relativeFrom="margin">
              <wp:align>left</wp:align>
            </wp:positionH>
            <wp:positionV relativeFrom="margin">
              <wp:align>top</wp:align>
            </wp:positionV>
            <wp:extent cx="2227152" cy="2066925"/>
            <wp:effectExtent l="0" t="0" r="1905" b="0"/>
            <wp:wrapSquare wrapText="bothSides"/>
            <wp:docPr id="116383164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01B80" w:rsidRPr="00C16C43">
        <w:rPr>
          <w:rFonts w:ascii="Sakkal Majalla" w:hAnsi="Sakkal Majalla" w:cs="Sakkal Majalla"/>
          <w:b/>
          <w:bCs/>
          <w:sz w:val="32"/>
          <w:szCs w:val="32"/>
          <w:rtl/>
          <w:lang w:bidi="ar-EG"/>
        </w:rPr>
        <w:t xml:space="preserve">جامعة ميدأوشن </w:t>
      </w:r>
    </w:p>
    <w:p w14:paraId="2677C6E8" w14:textId="29DD86B9" w:rsidR="00C01B80" w:rsidRPr="00C16C43" w:rsidRDefault="00C01B80" w:rsidP="00C16C43">
      <w:pPr>
        <w:spacing w:before="100" w:beforeAutospacing="1" w:after="100" w:afterAutospacing="1" w:line="360" w:lineRule="auto"/>
        <w:jc w:val="both"/>
        <w:rPr>
          <w:rFonts w:ascii="Sakkal Majalla" w:hAnsi="Sakkal Majalla" w:cs="Sakkal Majalla"/>
          <w:b/>
          <w:bCs/>
          <w:sz w:val="32"/>
          <w:szCs w:val="32"/>
          <w:rtl/>
          <w:lang w:bidi="ar-EG"/>
        </w:rPr>
      </w:pPr>
      <w:r w:rsidRPr="00C16C43">
        <w:rPr>
          <w:rFonts w:ascii="Sakkal Majalla" w:hAnsi="Sakkal Majalla" w:cs="Sakkal Majalla"/>
          <w:b/>
          <w:bCs/>
          <w:sz w:val="32"/>
          <w:szCs w:val="32"/>
          <w:lang w:bidi="ar-EG"/>
        </w:rPr>
        <w:t xml:space="preserve">    </w:t>
      </w:r>
      <w:r w:rsidRPr="00C16C43">
        <w:rPr>
          <w:rFonts w:ascii="Sakkal Majalla" w:hAnsi="Sakkal Majalla" w:cs="Sakkal Majalla"/>
          <w:b/>
          <w:bCs/>
          <w:sz w:val="32"/>
          <w:szCs w:val="32"/>
          <w:rtl/>
          <w:lang w:bidi="ar-EG"/>
        </w:rPr>
        <w:t xml:space="preserve">كلية الإدارة </w:t>
      </w:r>
    </w:p>
    <w:p w14:paraId="66E5201F" w14:textId="56E4B54B" w:rsidR="00C01B80" w:rsidRPr="00C16C43" w:rsidRDefault="00C01B80" w:rsidP="00C16C43">
      <w:pPr>
        <w:spacing w:before="100" w:beforeAutospacing="1" w:after="100" w:afterAutospacing="1" w:line="360" w:lineRule="auto"/>
        <w:jc w:val="both"/>
        <w:rPr>
          <w:rFonts w:ascii="Sakkal Majalla" w:hAnsi="Sakkal Majalla" w:cs="Sakkal Majalla"/>
          <w:sz w:val="32"/>
          <w:szCs w:val="32"/>
          <w:rtl/>
          <w:lang w:bidi="ar-EG"/>
        </w:rPr>
      </w:pPr>
      <w:r w:rsidRPr="00C16C43">
        <w:rPr>
          <w:rFonts w:ascii="Sakkal Majalla" w:hAnsi="Sakkal Majalla" w:cs="Sakkal Majalla"/>
          <w:b/>
          <w:bCs/>
          <w:sz w:val="32"/>
          <w:szCs w:val="32"/>
          <w:rtl/>
          <w:lang w:bidi="ar-EG"/>
        </w:rPr>
        <w:t>تخصص إدارة مخاطر</w:t>
      </w:r>
    </w:p>
    <w:p w14:paraId="1228071E" w14:textId="77777777" w:rsidR="00C01B80" w:rsidRPr="00C16C43" w:rsidRDefault="00C01B80" w:rsidP="00C16C43">
      <w:pPr>
        <w:spacing w:before="100" w:beforeAutospacing="1" w:after="100" w:afterAutospacing="1" w:line="360" w:lineRule="auto"/>
        <w:jc w:val="both"/>
        <w:rPr>
          <w:rFonts w:ascii="Sakkal Majalla" w:hAnsi="Sakkal Majalla" w:cs="Sakkal Majalla"/>
          <w:b/>
          <w:bCs/>
          <w:sz w:val="28"/>
          <w:szCs w:val="28"/>
          <w:rtl/>
          <w:lang w:bidi="ar-EG"/>
        </w:rPr>
      </w:pPr>
    </w:p>
    <w:p w14:paraId="3871070F" w14:textId="77777777" w:rsidR="00C01B80" w:rsidRPr="00C16C43" w:rsidRDefault="00C01B80" w:rsidP="00C16C43">
      <w:pPr>
        <w:spacing w:before="100" w:beforeAutospacing="1" w:after="100" w:afterAutospacing="1" w:line="360" w:lineRule="auto"/>
        <w:jc w:val="center"/>
        <w:rPr>
          <w:rFonts w:ascii="Sakkal Majalla" w:hAnsi="Sakkal Majalla" w:cs="Sakkal Majalla"/>
          <w:b/>
          <w:bCs/>
          <w:sz w:val="40"/>
          <w:szCs w:val="40"/>
          <w:rtl/>
        </w:rPr>
      </w:pPr>
      <w:bookmarkStart w:id="0" w:name="_Hlk192348588"/>
      <w:r w:rsidRPr="00C16C43">
        <w:rPr>
          <w:rFonts w:ascii="Sakkal Majalla" w:hAnsi="Sakkal Majalla" w:cs="Sakkal Majalla"/>
          <w:b/>
          <w:bCs/>
          <w:sz w:val="40"/>
          <w:szCs w:val="40"/>
          <w:rtl/>
        </w:rPr>
        <w:t>دور إدارة المخاطر في تعزيز الاستجابة الفعالة لحالات الطوارئ في مواقع العمل: دراسة تطبيقية شركة ارامكو السعودية</w:t>
      </w:r>
      <w:bookmarkEnd w:id="0"/>
    </w:p>
    <w:p w14:paraId="613B3B86" w14:textId="77777777" w:rsidR="00C01B80" w:rsidRPr="00C16C43" w:rsidRDefault="00C01B80" w:rsidP="00C16C43">
      <w:pPr>
        <w:spacing w:before="100" w:beforeAutospacing="1" w:after="100" w:afterAutospacing="1" w:line="360" w:lineRule="auto"/>
        <w:jc w:val="center"/>
        <w:rPr>
          <w:rFonts w:ascii="Sakkal Majalla" w:hAnsi="Sakkal Majalla" w:cs="Sakkal Majalla"/>
          <w:b/>
          <w:bCs/>
          <w:sz w:val="36"/>
          <w:szCs w:val="36"/>
          <w:rtl/>
          <w:lang w:bidi="ar-EG"/>
        </w:rPr>
      </w:pPr>
      <w:r w:rsidRPr="00C16C43">
        <w:rPr>
          <w:rFonts w:ascii="Sakkal Majalla" w:hAnsi="Sakkal Majalla" w:cs="Sakkal Majalla"/>
          <w:b/>
          <w:bCs/>
          <w:sz w:val="36"/>
          <w:szCs w:val="36"/>
          <w:rtl/>
          <w:lang w:bidi="ar-EG"/>
        </w:rPr>
        <w:t>إعداد الطالب/</w:t>
      </w:r>
    </w:p>
    <w:p w14:paraId="6105C777" w14:textId="1FE32A25" w:rsidR="00DA1859" w:rsidRPr="00C16C43" w:rsidRDefault="00DA1859" w:rsidP="00DA1859">
      <w:pPr>
        <w:spacing w:before="100" w:beforeAutospacing="1" w:after="100" w:afterAutospacing="1" w:line="360" w:lineRule="auto"/>
        <w:jc w:val="center"/>
        <w:rPr>
          <w:rFonts w:ascii="Sakkal Majalla" w:hAnsi="Sakkal Majalla" w:cs="Sakkal Majalla" w:hint="cs"/>
          <w:sz w:val="36"/>
          <w:szCs w:val="36"/>
          <w:rtl/>
        </w:rPr>
      </w:pPr>
      <w:bookmarkStart w:id="1" w:name="_Hlk171971346"/>
      <w:r>
        <w:rPr>
          <w:rFonts w:ascii="Sakkal Majalla" w:hAnsi="Sakkal Majalla" w:cs="Sakkal Majalla" w:hint="cs"/>
          <w:sz w:val="36"/>
          <w:szCs w:val="36"/>
          <w:rtl/>
        </w:rPr>
        <w:t xml:space="preserve">مرشد سويد الخالدي </w:t>
      </w:r>
      <w:r>
        <w:rPr>
          <w:rFonts w:ascii="Sakkal Majalla" w:hAnsi="Sakkal Majalla" w:cs="Sakkal Majalla"/>
          <w:sz w:val="36"/>
          <w:szCs w:val="36"/>
        </w:rPr>
        <w:t>24001425</w:t>
      </w:r>
    </w:p>
    <w:p w14:paraId="4E432B4D" w14:textId="77777777" w:rsidR="00C01B80" w:rsidRPr="00C16C43" w:rsidRDefault="00C01B80" w:rsidP="00C16C4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16C43">
        <w:rPr>
          <w:rFonts w:ascii="Sakkal Majalla" w:eastAsia="Calibri" w:hAnsi="Sakkal Majalla" w:cs="Sakkal Majalla"/>
          <w:b/>
          <w:bCs/>
          <w:kern w:val="0"/>
          <w:sz w:val="36"/>
          <w:szCs w:val="36"/>
          <w:rtl/>
          <w:lang w:bidi="ar-EG"/>
          <w14:ligatures w14:val="none"/>
        </w:rPr>
        <w:t>أ.د / الفيصل عبد الحميد</w:t>
      </w:r>
    </w:p>
    <w:p w14:paraId="01E0F747" w14:textId="77777777" w:rsidR="00C01B80" w:rsidRPr="00C16C43" w:rsidRDefault="00C01B80" w:rsidP="00C16C4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16C43">
        <w:rPr>
          <w:rFonts w:ascii="Sakkal Majalla" w:eastAsia="Calibri" w:hAnsi="Sakkal Majalla" w:cs="Sakkal Majalla"/>
          <w:b/>
          <w:bCs/>
          <w:kern w:val="0"/>
          <w:sz w:val="36"/>
          <w:szCs w:val="36"/>
          <w:rtl/>
          <w:lang w:bidi="ar-EG"/>
          <w14:ligatures w14:val="none"/>
        </w:rPr>
        <w:t>أ.د / فايز جراد</w:t>
      </w:r>
    </w:p>
    <w:p w14:paraId="2E7B0B27" w14:textId="77777777" w:rsidR="00C01B80" w:rsidRPr="00C16C43" w:rsidRDefault="00C01B80" w:rsidP="00C16C43">
      <w:pPr>
        <w:spacing w:before="100" w:beforeAutospacing="1" w:after="100" w:afterAutospacing="1" w:line="360" w:lineRule="auto"/>
        <w:jc w:val="center"/>
        <w:rPr>
          <w:rFonts w:ascii="Sakkal Majalla" w:hAnsi="Sakkal Majalla" w:cs="Sakkal Majalla"/>
          <w:b/>
          <w:bCs/>
          <w:sz w:val="36"/>
          <w:szCs w:val="36"/>
          <w:rtl/>
          <w:lang w:bidi="ar-EG"/>
        </w:rPr>
      </w:pPr>
      <w:r w:rsidRPr="00C16C43">
        <w:rPr>
          <w:rFonts w:ascii="Sakkal Majalla" w:hAnsi="Sakkal Majalla" w:cs="Sakkal Majalla"/>
          <w:b/>
          <w:bCs/>
          <w:sz w:val="36"/>
          <w:szCs w:val="36"/>
          <w:rtl/>
          <w:lang w:bidi="ar-EG"/>
        </w:rPr>
        <w:t>العام الدراسي:</w:t>
      </w:r>
    </w:p>
    <w:p w14:paraId="41679F07" w14:textId="77777777" w:rsidR="00C01B80" w:rsidRPr="00C16C43" w:rsidRDefault="00C01B80" w:rsidP="00C16C43">
      <w:pPr>
        <w:spacing w:before="100" w:beforeAutospacing="1" w:after="100" w:afterAutospacing="1" w:line="360" w:lineRule="auto"/>
        <w:jc w:val="center"/>
        <w:rPr>
          <w:rFonts w:ascii="Sakkal Majalla" w:hAnsi="Sakkal Majalla" w:cs="Sakkal Majalla"/>
          <w:b/>
          <w:bCs/>
          <w:sz w:val="36"/>
          <w:szCs w:val="36"/>
          <w:lang w:bidi="ar-EG"/>
        </w:rPr>
      </w:pPr>
      <w:r w:rsidRPr="00C16C43">
        <w:rPr>
          <w:rFonts w:ascii="Sakkal Majalla" w:hAnsi="Sakkal Majalla" w:cs="Sakkal Majalla"/>
          <w:b/>
          <w:bCs/>
          <w:sz w:val="36"/>
          <w:szCs w:val="36"/>
          <w:lang w:bidi="ar-EG"/>
        </w:rPr>
        <w:t>202</w:t>
      </w:r>
      <w:bookmarkEnd w:id="1"/>
      <w:r w:rsidRPr="00C16C43">
        <w:rPr>
          <w:rFonts w:ascii="Sakkal Majalla" w:hAnsi="Sakkal Majalla" w:cs="Sakkal Majalla"/>
          <w:b/>
          <w:bCs/>
          <w:sz w:val="36"/>
          <w:szCs w:val="36"/>
          <w:lang w:bidi="ar-EG"/>
        </w:rPr>
        <w:t>5</w:t>
      </w:r>
    </w:p>
    <w:p w14:paraId="5A2404E2" w14:textId="77777777" w:rsidR="00C16C43" w:rsidRDefault="00C16C43" w:rsidP="00C16C43">
      <w:pPr>
        <w:spacing w:before="100" w:beforeAutospacing="1" w:after="100" w:afterAutospacing="1" w:line="360" w:lineRule="auto"/>
        <w:jc w:val="both"/>
        <w:rPr>
          <w:rFonts w:ascii="Sakkal Majalla" w:hAnsi="Sakkal Majalla" w:cs="Sakkal Majalla"/>
          <w:b/>
          <w:bCs/>
          <w:sz w:val="28"/>
          <w:szCs w:val="28"/>
          <w:rtl/>
          <w:lang w:bidi="ar-EG"/>
        </w:rPr>
        <w:sectPr w:rsidR="00C16C43" w:rsidSect="00C16C43">
          <w:type w:val="continuous"/>
          <w:pgSz w:w="11906" w:h="16838" w:code="9"/>
          <w:pgMar w:top="1440" w:right="1985" w:bottom="1440" w:left="1418" w:header="720" w:footer="720" w:gutter="567"/>
          <w:pgNumType w:fmt="arabicAbjad" w:start="1"/>
          <w:cols w:space="708"/>
          <w:bidi/>
          <w:rtlGutter/>
          <w:docGrid w:linePitch="360"/>
        </w:sectPr>
      </w:pPr>
    </w:p>
    <w:p w14:paraId="4E2C49B5" w14:textId="6065600A" w:rsidR="00A21B08" w:rsidRPr="00C16C43" w:rsidRDefault="00C16C43" w:rsidP="00C16C43">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200811000"/>
      <w:r w:rsidRPr="00C16C43">
        <w:rPr>
          <w:rFonts w:ascii="Sakkal Majalla" w:hAnsi="Sakkal Majalla" w:cs="Sakkal Majalla" w:hint="cs"/>
          <w:b/>
          <w:bCs/>
          <w:sz w:val="40"/>
          <w:szCs w:val="40"/>
          <w:rtl/>
          <w:lang w:bidi="ar-EG"/>
        </w:rPr>
        <w:lastRenderedPageBreak/>
        <w:t>الفصل الأول: الإطار العام للدراسة</w:t>
      </w:r>
      <w:bookmarkEnd w:id="2"/>
    </w:p>
    <w:p w14:paraId="4B694874" w14:textId="1D8BBF1B" w:rsidR="00C16C43"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0811001"/>
      <w:r w:rsidRPr="00C16C43">
        <w:rPr>
          <w:rFonts w:ascii="Sakkal Majalla" w:hAnsi="Sakkal Majalla" w:cs="Sakkal Majalla"/>
          <w:b/>
          <w:bCs/>
          <w:sz w:val="36"/>
          <w:szCs w:val="36"/>
          <w:rtl/>
        </w:rPr>
        <w:t>مقدمة:</w:t>
      </w:r>
      <w:bookmarkEnd w:id="3"/>
    </w:p>
    <w:p w14:paraId="093858A3" w14:textId="1D538CAC" w:rsidR="00BB4EFB" w:rsidRPr="00C16C43" w:rsidRDefault="00BB4EFB"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 xml:space="preserve">تلعب إدارة المخاطر دورًا حيويًا في تعزيز استجابة حالات الطوارئ في مواقع العمل، خاصة في بيئات صناعية معقدة مثل أرامكو السعودية فمع وجود مخاطر متعددة تتراوح بين التسربات الكيميائية، الحرائق، والأعطال الفنية، يصبح من الضروري تبني نهج استباقي لإدارة المخاطر يضمن سرعة الاستجابة وتقليل الخسائر. في هذا السياق، تعتمد أرامكو على معايير عالمية مثل </w:t>
      </w:r>
      <w:r w:rsidRPr="00C16C43">
        <w:rPr>
          <w:rFonts w:ascii="Sakkal Majalla" w:hAnsi="Sakkal Majalla" w:cs="Sakkal Majalla"/>
          <w:b/>
          <w:bCs/>
          <w:sz w:val="28"/>
          <w:szCs w:val="28"/>
          <w:lang w:bidi="ar-EG"/>
        </w:rPr>
        <w:t>ISO 31000</w:t>
      </w:r>
      <w:r w:rsidRPr="00C16C43">
        <w:rPr>
          <w:rFonts w:ascii="Sakkal Majalla" w:hAnsi="Sakkal Majalla" w:cs="Sakkal Majalla"/>
          <w:sz w:val="28"/>
          <w:szCs w:val="28"/>
          <w:lang w:bidi="ar-EG"/>
        </w:rPr>
        <w:t xml:space="preserve"> </w:t>
      </w:r>
      <w:r w:rsidRPr="00C16C43">
        <w:rPr>
          <w:rFonts w:ascii="Sakkal Majalla" w:hAnsi="Sakkal Majalla" w:cs="Sakkal Majalla"/>
          <w:sz w:val="28"/>
          <w:szCs w:val="28"/>
          <w:rtl/>
        </w:rPr>
        <w:t>التي توفر إطارًا منظمًا لتحديد المخاطر وتقييمها والتخفيف من حدتها، مما يعزز قدرة المؤسسة على التعامل مع الأزمات بكفاءة</w:t>
      </w:r>
      <w:r w:rsidRPr="00C16C43">
        <w:rPr>
          <w:rFonts w:ascii="Sakkal Majalla" w:hAnsi="Sakkal Majalla" w:cs="Sakkal Majalla"/>
          <w:sz w:val="28"/>
          <w:szCs w:val="28"/>
          <w:lang w:bidi="ar-EG"/>
        </w:rPr>
        <w:t xml:space="preserve"> (</w:t>
      </w:r>
      <w:r w:rsidRPr="00C16C43">
        <w:rPr>
          <w:rFonts w:ascii="Sakkal Majalla" w:hAnsi="Sakkal Majalla" w:cs="Sakkal Majalla"/>
          <w:b/>
          <w:bCs/>
          <w:sz w:val="28"/>
          <w:szCs w:val="28"/>
          <w:lang w:bidi="ar-EG"/>
        </w:rPr>
        <w:t>Al-Naeem et al., 2024</w:t>
      </w:r>
      <w:r w:rsidRPr="00C16C43">
        <w:rPr>
          <w:rFonts w:ascii="Sakkal Majalla" w:hAnsi="Sakkal Majalla" w:cs="Sakkal Majalla"/>
          <w:sz w:val="28"/>
          <w:szCs w:val="28"/>
          <w:lang w:bidi="ar-EG"/>
        </w:rPr>
        <w:t>).</w:t>
      </w:r>
    </w:p>
    <w:p w14:paraId="51AD0A74" w14:textId="7EE62820" w:rsidR="00BB4EFB" w:rsidRPr="00C16C43" w:rsidRDefault="00BB4EFB"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عند تطبيق إدارة المخاطر بفاعلية  يتحسن الأداء التشغيلي للمؤسسة بشكل ملحوظ</w:t>
      </w:r>
      <w:r w:rsidR="009835A7"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حيث تصبح عمليات صنع القرار أكثر دقة واستنادًا إلى بيانات تحليلية دقيقة. فعندما يتم تحديد المخاطر المحتملة مسبقًا، تستطيع فرق العمل التحرك بسرعة عند وقوع أي طارئ، مما يساهم في حماية الأصول المادية والبشرية داخل المؤسسة. تشير الأبحاث إلى أن المؤسسات التي تتبنى استراتيجيات قوية لإدارة المخاطر تحقق استجابات أسرع وأكثر كفاءة، مما يضمن استمرارية الأعمال ويقلل من التعطل غير المتوقع</w:t>
      </w:r>
      <w:r w:rsidRPr="00C16C43">
        <w:rPr>
          <w:rFonts w:ascii="Sakkal Majalla" w:hAnsi="Sakkal Majalla" w:cs="Sakkal Majalla"/>
          <w:sz w:val="28"/>
          <w:szCs w:val="28"/>
          <w:lang w:bidi="ar-EG"/>
        </w:rPr>
        <w:t xml:space="preserve"> (</w:t>
      </w:r>
      <w:r w:rsidRPr="00C16C43">
        <w:rPr>
          <w:rFonts w:ascii="Sakkal Majalla" w:hAnsi="Sakkal Majalla" w:cs="Sakkal Majalla"/>
          <w:b/>
          <w:bCs/>
          <w:sz w:val="28"/>
          <w:szCs w:val="28"/>
          <w:lang w:bidi="ar-EG"/>
        </w:rPr>
        <w:t>Tenrisau et al., 2025</w:t>
      </w:r>
      <w:r w:rsidRPr="00C16C43">
        <w:rPr>
          <w:rFonts w:ascii="Sakkal Majalla" w:hAnsi="Sakkal Majalla" w:cs="Sakkal Majalla"/>
          <w:sz w:val="28"/>
          <w:szCs w:val="28"/>
          <w:lang w:bidi="ar-EG"/>
        </w:rPr>
        <w:t>).</w:t>
      </w:r>
    </w:p>
    <w:p w14:paraId="7676E88B" w14:textId="7CE5B392" w:rsidR="00BB4EFB" w:rsidRPr="00C16C43" w:rsidRDefault="00BB4EFB"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لكن عملية إدارة المخاطر لا تقتصر فقط على تحديد التهديدات المحتملة</w:t>
      </w:r>
      <w:r w:rsidR="009835A7"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بل تمتد إلى أهمية التواصل الفعال حول هذه المخاطر بين جميع العاملين. فالمعرفة المسبقة بإجراءات الطوارئ، والوضوح في تحديد المسؤوليات أثناء الأزمات، يلعبان دورًا جوهريًا في تحسين التنسيق وتقليل الفوضى عند حدوث طارئ. لذا، تعتمد أرامكو على خطط تواصل متكاملة تضمن إيصال المعلومات بوضوح وسرعة، مما يعزز جاهزية الموظفين وقدرتهم على التصرف بفعالية في أوقات الأزمات</w:t>
      </w:r>
      <w:r w:rsidRPr="00C16C43">
        <w:rPr>
          <w:rFonts w:ascii="Sakkal Majalla" w:hAnsi="Sakkal Majalla" w:cs="Sakkal Majalla"/>
          <w:sz w:val="28"/>
          <w:szCs w:val="28"/>
          <w:lang w:bidi="ar-EG"/>
        </w:rPr>
        <w:t xml:space="preserve"> (</w:t>
      </w:r>
      <w:r w:rsidRPr="00C16C43">
        <w:rPr>
          <w:rFonts w:ascii="Sakkal Majalla" w:hAnsi="Sakkal Majalla" w:cs="Sakkal Majalla"/>
          <w:b/>
          <w:bCs/>
          <w:sz w:val="28"/>
          <w:szCs w:val="28"/>
          <w:lang w:bidi="ar-EG"/>
        </w:rPr>
        <w:t>Risk Management, 2022</w:t>
      </w:r>
      <w:r w:rsidRPr="00C16C43">
        <w:rPr>
          <w:rFonts w:ascii="Sakkal Majalla" w:hAnsi="Sakkal Majalla" w:cs="Sakkal Majalla"/>
          <w:sz w:val="28"/>
          <w:szCs w:val="28"/>
          <w:lang w:bidi="ar-EG"/>
        </w:rPr>
        <w:t>).</w:t>
      </w:r>
    </w:p>
    <w:p w14:paraId="4AC4059F" w14:textId="77777777" w:rsidR="00BB4EFB" w:rsidRPr="00C16C43" w:rsidRDefault="00BB4EFB"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 xml:space="preserve">وعلى الرغم من الفوائد العديدة لإدارة المخاطر، تواجه المؤسسات تحديات كبيرة عند تنفيذها. من بين هذه التحديات، نقص التدريب الكافي للعاملين، والقيود المالية التي قد تعيق تطبيق بعض الحلول </w:t>
      </w:r>
      <w:r w:rsidRPr="00C16C43">
        <w:rPr>
          <w:rFonts w:ascii="Sakkal Majalla" w:hAnsi="Sakkal Majalla" w:cs="Sakkal Majalla"/>
          <w:sz w:val="28"/>
          <w:szCs w:val="28"/>
          <w:rtl/>
        </w:rPr>
        <w:lastRenderedPageBreak/>
        <w:t>المتقدمة، بالإضافة إلى مقاومة بعض الموظفين للتغيير. لذا، يصبح من الضروري الاستثمار في برامج تدريبية مكثفة تضمن رفع مستوى الوعي حول أهمية إدارة المخاطر وتعزيز استعداد العاملين للتعامل مع الحالات الطارئة بكفاءة عالية</w:t>
      </w:r>
      <w:r w:rsidRPr="00C16C43">
        <w:rPr>
          <w:rFonts w:ascii="Sakkal Majalla" w:hAnsi="Sakkal Majalla" w:cs="Sakkal Majalla"/>
          <w:sz w:val="28"/>
          <w:szCs w:val="28"/>
          <w:lang w:bidi="ar-EG"/>
        </w:rPr>
        <w:t xml:space="preserve"> (</w:t>
      </w:r>
      <w:r w:rsidRPr="00C16C43">
        <w:rPr>
          <w:rFonts w:ascii="Sakkal Majalla" w:hAnsi="Sakkal Majalla" w:cs="Sakkal Majalla"/>
          <w:b/>
          <w:bCs/>
          <w:sz w:val="28"/>
          <w:szCs w:val="28"/>
          <w:lang w:bidi="ar-EG"/>
        </w:rPr>
        <w:t>Al-Naeem et al., 2024</w:t>
      </w:r>
      <w:r w:rsidRPr="00C16C43">
        <w:rPr>
          <w:rFonts w:ascii="Sakkal Majalla" w:hAnsi="Sakkal Majalla" w:cs="Sakkal Majalla"/>
          <w:sz w:val="28"/>
          <w:szCs w:val="28"/>
          <w:lang w:bidi="ar-EG"/>
        </w:rPr>
        <w:t>).</w:t>
      </w:r>
    </w:p>
    <w:p w14:paraId="5D18789B" w14:textId="77777777" w:rsidR="00BB4EFB" w:rsidRPr="00C16C43" w:rsidRDefault="00BB4EFB"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ولتجاوز هذه التحديات، تلجأ المؤسسات الناجحة إلى تبني منهجيات التحسين المستمر في إدارة المخاطر، حيث يتم تقييم الاستراتيجيات الحالية بشكل دوري وتحديثها بما يتماشى مع التغيرات في بيئة العمل. فاعتماد آليات التغذية الراجعة، ومراجعة خطط الطوارئ بانتظام، يساعدان في تحسين الجاهزية وتقليل أوجه القصور في الاستجابة للأزمات. وتؤكد الدراسات أن المؤسسات التي تطبق نهج التحسين المستمر تحقق أداءً أعلى في إدارة المخاطر مقارنة بتلك التي تعتمد على أنظمة ثابتة دون مراجعة دورية</w:t>
      </w:r>
      <w:r w:rsidRPr="00C16C43">
        <w:rPr>
          <w:rFonts w:ascii="Sakkal Majalla" w:hAnsi="Sakkal Majalla" w:cs="Sakkal Majalla"/>
          <w:sz w:val="28"/>
          <w:szCs w:val="28"/>
          <w:lang w:bidi="ar-EG"/>
        </w:rPr>
        <w:t xml:space="preserve"> (</w:t>
      </w:r>
      <w:r w:rsidRPr="00C16C43">
        <w:rPr>
          <w:rFonts w:ascii="Sakkal Majalla" w:hAnsi="Sakkal Majalla" w:cs="Sakkal Majalla"/>
          <w:b/>
          <w:bCs/>
          <w:sz w:val="28"/>
          <w:szCs w:val="28"/>
          <w:lang w:bidi="ar-EG"/>
        </w:rPr>
        <w:t>Cao et al., 2018</w:t>
      </w:r>
      <w:r w:rsidRPr="00C16C43">
        <w:rPr>
          <w:rFonts w:ascii="Sakkal Majalla" w:hAnsi="Sakkal Majalla" w:cs="Sakkal Majalla"/>
          <w:sz w:val="28"/>
          <w:szCs w:val="28"/>
          <w:lang w:bidi="ar-EG"/>
        </w:rPr>
        <w:t>).</w:t>
      </w:r>
    </w:p>
    <w:p w14:paraId="0ED7B5F7" w14:textId="77777777" w:rsidR="00BB4EFB" w:rsidRPr="00C16C43" w:rsidRDefault="00BB4EFB"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 xml:space="preserve">لكن، لا يمكن تحقيق استجابة مثالية للطوارئ بالاعتماد على الأطر التنظيمية وحدها. فحتى مع وجود خطط مدروسة ومعايير قوية مثل </w:t>
      </w:r>
      <w:r w:rsidRPr="00C16C43">
        <w:rPr>
          <w:rFonts w:ascii="Sakkal Majalla" w:hAnsi="Sakkal Majalla" w:cs="Sakkal Majalla"/>
          <w:b/>
          <w:bCs/>
          <w:sz w:val="28"/>
          <w:szCs w:val="28"/>
          <w:lang w:bidi="ar-EG"/>
        </w:rPr>
        <w:t>ISO 31000</w:t>
      </w:r>
      <w:r w:rsidRPr="00C16C43">
        <w:rPr>
          <w:rFonts w:ascii="Sakkal Majalla" w:hAnsi="Sakkal Majalla" w:cs="Sakkal Majalla"/>
          <w:sz w:val="28"/>
          <w:szCs w:val="28"/>
          <w:rtl/>
        </w:rPr>
        <w:t>، قد تظل بعض المؤسسات غير قادرة على التعامل مع الأزمات بشكل فعال إذا لم يتم تعزيز ثقافة التحسين المستمر داخلها. لذلك، فإن الجمع بين الالتزام بالمعايير الدولية وإرساء ثقافة التطوير المستمر يساهم في تحسين استجابة الطوارئ وضمان بيئة عمل أكثر أمانًا. وفي النهاية، تبقى إدارة المخاطر عنصرًا أساسيًا في استدامة الأعمال، حيث تتيح للمؤسسات الكبرى مثل أرامكو السعودية حماية موظفيها وأصولها مع ضمان استمرارية العمليات التشغيلية بمرونة وكفاءة</w:t>
      </w:r>
      <w:r w:rsidRPr="00C16C43">
        <w:rPr>
          <w:rFonts w:ascii="Sakkal Majalla" w:hAnsi="Sakkal Majalla" w:cs="Sakkal Majalla"/>
          <w:sz w:val="28"/>
          <w:szCs w:val="28"/>
          <w:lang w:bidi="ar-EG"/>
        </w:rPr>
        <w:t xml:space="preserve"> (</w:t>
      </w:r>
      <w:r w:rsidRPr="00C16C43">
        <w:rPr>
          <w:rFonts w:ascii="Sakkal Majalla" w:hAnsi="Sakkal Majalla" w:cs="Sakkal Majalla"/>
          <w:b/>
          <w:bCs/>
          <w:sz w:val="28"/>
          <w:szCs w:val="28"/>
          <w:lang w:bidi="ar-EG"/>
        </w:rPr>
        <w:t>Al-Naeem et al., 2024</w:t>
      </w:r>
      <w:r w:rsidRPr="00C16C43">
        <w:rPr>
          <w:rFonts w:ascii="Sakkal Majalla" w:hAnsi="Sakkal Majalla" w:cs="Sakkal Majalla"/>
          <w:sz w:val="28"/>
          <w:szCs w:val="28"/>
          <w:lang w:bidi="ar-EG"/>
        </w:rPr>
        <w:t>).</w:t>
      </w:r>
    </w:p>
    <w:p w14:paraId="6EA93CE0" w14:textId="4210EC42" w:rsidR="00C16C43"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0811002"/>
      <w:r w:rsidRPr="00C16C43">
        <w:rPr>
          <w:rFonts w:ascii="Sakkal Majalla" w:hAnsi="Sakkal Majalla" w:cs="Sakkal Majalla"/>
          <w:b/>
          <w:bCs/>
          <w:sz w:val="36"/>
          <w:szCs w:val="36"/>
          <w:rtl/>
          <w:lang w:bidi="ar-EG"/>
        </w:rPr>
        <w:t>1.1 مشكلة الدراسة:</w:t>
      </w:r>
      <w:bookmarkEnd w:id="4"/>
    </w:p>
    <w:p w14:paraId="5F91C356" w14:textId="02218932" w:rsidR="00E2735F" w:rsidRPr="00C16C43" w:rsidRDefault="00E2735F" w:rsidP="00C16C43">
      <w:pPr>
        <w:spacing w:before="100" w:beforeAutospacing="1" w:after="100" w:afterAutospacing="1" w:line="360" w:lineRule="auto"/>
        <w:ind w:firstLine="720"/>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 xml:space="preserve">تعد إدارة المخاطر أحد الجوانب الأساسية في نجاح المؤسسات الكبرى، حيث تسهم في تعزيز القدرة على التنبؤ بالمخاطر المحتملة، وتقليل آثارها السلبية، وضمان استدامة العمليات التشغيلية. في ظل التطورات الاقتصادية والتكنولوجية المتسارعة و تواجه الشركات الصناعية وخاصة  في قطاع البتروكيماويات و تحديات متزايدة تتطلب نهجًا متكاملًا لإدارة المخاطر بهدف تحقيق الاستجابة الفعالة </w:t>
      </w:r>
      <w:r w:rsidRPr="00C16C43">
        <w:rPr>
          <w:rFonts w:ascii="Sakkal Majalla" w:hAnsi="Sakkal Majalla" w:cs="Sakkal Majalla"/>
          <w:sz w:val="28"/>
          <w:szCs w:val="28"/>
          <w:rtl/>
          <w:lang w:bidi="ar-EG"/>
        </w:rPr>
        <w:lastRenderedPageBreak/>
        <w:t>لحالات الطوارئ. إن فشل إدارة المخاطر في التعامل مع الأزمات والطوارئ قد يؤدي إلى خسائر مالية كبيرة، تعطل في الإنتاج</w:t>
      </w:r>
      <w:r w:rsidR="00431867"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 xml:space="preserve"> وأضرار بيئية</w:t>
      </w:r>
      <w:r w:rsidR="00431867"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 xml:space="preserve"> مما يجعل تبني ممارسات فعالة لإدارة المخاطر أمرًا ضروريًا لضمان سلامة الموظفين وحماية الأصول وتعزيز الامتثال التنظيمي.</w:t>
      </w:r>
    </w:p>
    <w:p w14:paraId="1E4B0364" w14:textId="36A84165" w:rsidR="00E2735F" w:rsidRPr="00C16C43" w:rsidRDefault="00E2735F"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على الرغم من الأهمية المتزايدة لإدارة المخاطر</w:t>
      </w:r>
      <w:r w:rsidR="00431867"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فإن العديد من الدراسات قد ركزت على أبعاد محددة من إدارة المخاطر دون تقديم نموذج شامل يربط بين الجوانب التنظيمية والتشريعية، الجوانب الفنية والتطبيقية، الجوانب البشرية والتدريبية، الجوانب الاقتصادية والإدارية، والجوانب التحديدية والاستراتيجية</w:t>
      </w:r>
      <w:r w:rsidR="00431867"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وتأثيرها على كفاءة الاستجابة لحالات الطوارئ</w:t>
      </w:r>
      <w:r w:rsidR="00431867" w:rsidRPr="00C16C43">
        <w:rPr>
          <w:rFonts w:ascii="Sakkal Majalla" w:hAnsi="Sakkal Majalla" w:cs="Sakkal Majalla"/>
          <w:sz w:val="28"/>
          <w:szCs w:val="28"/>
          <w:rtl/>
          <w:lang w:bidi="ar-EG"/>
        </w:rPr>
        <w:t xml:space="preserve"> و</w:t>
      </w:r>
      <w:r w:rsidRPr="00C16C43">
        <w:rPr>
          <w:rFonts w:ascii="Sakkal Majalla" w:hAnsi="Sakkal Majalla" w:cs="Sakkal Majalla"/>
          <w:sz w:val="28"/>
          <w:szCs w:val="28"/>
          <w:rtl/>
          <w:lang w:bidi="ar-EG"/>
        </w:rPr>
        <w:t xml:space="preserve"> أشارت دراسة </w:t>
      </w:r>
      <w:r w:rsidRPr="00C16C43">
        <w:rPr>
          <w:rFonts w:ascii="Sakkal Majalla" w:hAnsi="Sakkal Majalla" w:cs="Sakkal Majalla"/>
          <w:sz w:val="28"/>
          <w:szCs w:val="28"/>
          <w:lang w:bidi="ar-EG"/>
        </w:rPr>
        <w:t>Al-Naeem et al</w:t>
      </w:r>
      <w:r w:rsidRPr="00C16C43">
        <w:rPr>
          <w:rFonts w:ascii="Sakkal Majalla" w:hAnsi="Sakkal Majalla" w:cs="Sakkal Majalla"/>
          <w:sz w:val="28"/>
          <w:szCs w:val="28"/>
          <w:rtl/>
          <w:lang w:bidi="ar-EG"/>
        </w:rPr>
        <w:t xml:space="preserve">. (2024) إلى أن تطبيق معايير </w:t>
      </w:r>
      <w:r w:rsidRPr="00C16C43">
        <w:rPr>
          <w:rFonts w:ascii="Sakkal Majalla" w:hAnsi="Sakkal Majalla" w:cs="Sakkal Majalla"/>
          <w:sz w:val="28"/>
          <w:szCs w:val="28"/>
          <w:lang w:bidi="ar-EG"/>
        </w:rPr>
        <w:t>ISO 31000</w:t>
      </w:r>
      <w:r w:rsidRPr="00C16C43">
        <w:rPr>
          <w:rFonts w:ascii="Sakkal Majalla" w:hAnsi="Sakkal Majalla" w:cs="Sakkal Majalla"/>
          <w:sz w:val="28"/>
          <w:szCs w:val="28"/>
          <w:rtl/>
          <w:lang w:bidi="ar-EG"/>
        </w:rPr>
        <w:t xml:space="preserve"> في قطاع البتروكيماويات ساهم في تحسين تحديد المخاطر وتطوير استراتيجيات استباقية للتعامل معها</w:t>
      </w:r>
      <w:r w:rsidR="000B1BF1"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 xml:space="preserve"> إلا أن الدراسة لم تتناول بشكل معمق تأثير العوامل البشرية والتدريبية على فعالية هذه الاستراتيجيات</w:t>
      </w:r>
      <w:r w:rsidR="000B1BF1" w:rsidRPr="00C16C43">
        <w:rPr>
          <w:rFonts w:ascii="Sakkal Majalla" w:hAnsi="Sakkal Majalla" w:cs="Sakkal Majalla"/>
          <w:sz w:val="28"/>
          <w:szCs w:val="28"/>
          <w:rtl/>
          <w:lang w:bidi="ar-EG"/>
        </w:rPr>
        <w:t xml:space="preserve"> و</w:t>
      </w:r>
      <w:r w:rsidRPr="00C16C43">
        <w:rPr>
          <w:rFonts w:ascii="Sakkal Majalla" w:hAnsi="Sakkal Majalla" w:cs="Sakkal Majalla"/>
          <w:sz w:val="28"/>
          <w:szCs w:val="28"/>
          <w:rtl/>
          <w:lang w:bidi="ar-EG"/>
        </w:rPr>
        <w:t xml:space="preserve"> ركزت دراسة </w:t>
      </w:r>
      <w:r w:rsidRPr="00C16C43">
        <w:rPr>
          <w:rFonts w:ascii="Sakkal Majalla" w:hAnsi="Sakkal Majalla" w:cs="Sakkal Majalla"/>
          <w:sz w:val="28"/>
          <w:szCs w:val="28"/>
          <w:lang w:bidi="ar-EG"/>
        </w:rPr>
        <w:t>Tenrisau et al</w:t>
      </w:r>
      <w:r w:rsidRPr="00C16C43">
        <w:rPr>
          <w:rFonts w:ascii="Sakkal Majalla" w:hAnsi="Sakkal Majalla" w:cs="Sakkal Majalla"/>
          <w:sz w:val="28"/>
          <w:szCs w:val="28"/>
          <w:rtl/>
          <w:lang w:bidi="ar-EG"/>
        </w:rPr>
        <w:t>. (2025) على تأثير إدارة المخاطر على الأداء التشغيلي وحل المشكلات المرتبطة بالموارد البشرية، دون تقديم تحليل تفصيلي لكيفية تفاعل الأبعاد المختلفة لإدارة المخاطر مع الاستجابة للطوارئ.</w:t>
      </w:r>
    </w:p>
    <w:p w14:paraId="3ECDC621" w14:textId="4A39926E" w:rsidR="00E2735F" w:rsidRPr="00C16C43" w:rsidRDefault="00E2735F"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 xml:space="preserve">أوضحت دراسة </w:t>
      </w:r>
      <w:r w:rsidRPr="00C16C43">
        <w:rPr>
          <w:rFonts w:ascii="Sakkal Majalla" w:hAnsi="Sakkal Majalla" w:cs="Sakkal Majalla"/>
          <w:sz w:val="28"/>
          <w:szCs w:val="28"/>
          <w:lang w:bidi="ar-EG"/>
        </w:rPr>
        <w:t>Arnania-Kepuladze</w:t>
      </w:r>
      <w:r w:rsidRPr="00C16C43">
        <w:rPr>
          <w:rFonts w:ascii="Sakkal Majalla" w:hAnsi="Sakkal Majalla" w:cs="Sakkal Majalla"/>
          <w:sz w:val="28"/>
          <w:szCs w:val="28"/>
          <w:rtl/>
          <w:lang w:bidi="ar-EG"/>
        </w:rPr>
        <w:t xml:space="preserve"> (2024) أن استخدام التحليلات المتقدمة في تقييم المخاطر المالية يعزز من القدرة على التنبؤ بالخسائر وتقليل معدلات القروض المتعثرة</w:t>
      </w:r>
      <w:r w:rsidR="0019509E"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إلا أن هذا النهج لم يتم تحليله في سياق إدارة المخاطر في القطاعات الصناعية.</w:t>
      </w:r>
    </w:p>
    <w:p w14:paraId="0A64019B" w14:textId="46C2CDE6" w:rsidR="00E2735F" w:rsidRPr="00C16C43" w:rsidRDefault="00E2735F"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تشير الدراسات إلى أن العديد من المؤسسات تواجه تحديات تتعلق بنقص التدريب والتأهيل، وغياب ثقافة إدارة المخاطر الفعالة</w:t>
      </w:r>
      <w:r w:rsidR="0019509E"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وضعف التكامل بين الاستراتيجيات التنظيمية والتشغيلية</w:t>
      </w:r>
      <w:r w:rsidR="0019509E"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 xml:space="preserve"> مما يؤثر على سرعة الاستجابة للطوارئ. أشارت دراسة </w:t>
      </w:r>
      <w:r w:rsidRPr="00C16C43">
        <w:rPr>
          <w:rFonts w:ascii="Sakkal Majalla" w:hAnsi="Sakkal Majalla" w:cs="Sakkal Majalla"/>
          <w:sz w:val="28"/>
          <w:szCs w:val="28"/>
          <w:lang w:bidi="ar-EG"/>
        </w:rPr>
        <w:t>Risk Management</w:t>
      </w:r>
      <w:r w:rsidRPr="00C16C43">
        <w:rPr>
          <w:rFonts w:ascii="Sakkal Majalla" w:hAnsi="Sakkal Majalla" w:cs="Sakkal Majalla"/>
          <w:sz w:val="28"/>
          <w:szCs w:val="28"/>
          <w:rtl/>
          <w:lang w:bidi="ar-EG"/>
        </w:rPr>
        <w:t xml:space="preserve"> (2022) إلى أن توفير بيئة تدريبية مناسبة يساهم في تحسين قدرة الموظفين على التعامل مع المخاطر</w:t>
      </w:r>
      <w:r w:rsidR="006E4F5E" w:rsidRPr="00C16C43">
        <w:rPr>
          <w:rFonts w:ascii="Sakkal Majalla" w:hAnsi="Sakkal Majalla" w:cs="Sakkal Majalla"/>
          <w:sz w:val="28"/>
          <w:szCs w:val="28"/>
          <w:rtl/>
          <w:lang w:bidi="ar-EG"/>
        </w:rPr>
        <w:t xml:space="preserve"> و</w:t>
      </w:r>
      <w:r w:rsidRPr="00C16C43">
        <w:rPr>
          <w:rFonts w:ascii="Sakkal Majalla" w:hAnsi="Sakkal Majalla" w:cs="Sakkal Majalla"/>
          <w:sz w:val="28"/>
          <w:szCs w:val="28"/>
          <w:rtl/>
          <w:lang w:bidi="ar-EG"/>
        </w:rPr>
        <w:t xml:space="preserve"> أوضحت دراسة </w:t>
      </w:r>
      <w:r w:rsidRPr="00C16C43">
        <w:rPr>
          <w:rFonts w:ascii="Sakkal Majalla" w:hAnsi="Sakkal Majalla" w:cs="Sakkal Majalla"/>
          <w:sz w:val="28"/>
          <w:szCs w:val="28"/>
          <w:lang w:bidi="ar-EG"/>
        </w:rPr>
        <w:t>Rehman &amp; Ishak</w:t>
      </w:r>
      <w:r w:rsidRPr="00C16C43">
        <w:rPr>
          <w:rFonts w:ascii="Sakkal Majalla" w:hAnsi="Sakkal Majalla" w:cs="Sakkal Majalla"/>
          <w:sz w:val="28"/>
          <w:szCs w:val="28"/>
          <w:rtl/>
          <w:lang w:bidi="ar-EG"/>
        </w:rPr>
        <w:t xml:space="preserve"> (2023) أن وجود آليات فعالة للتواصل بين الإدارات المختلفة يساهم في تعزيز سرعة الاستجابة وتقليل الخسائر التشغيلية.</w:t>
      </w:r>
    </w:p>
    <w:p w14:paraId="18BC86EA" w14:textId="66F42C0B" w:rsidR="00DD43D5" w:rsidRPr="00C16C43" w:rsidRDefault="00E2735F"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lastRenderedPageBreak/>
        <w:t>تبرز الحاجة إلى دراسة شاملة تدمج بين الأبعاد المختلفة لإدارة المخاطر وتوضح تأثيرها على الاستجابة الفعالة لحالات الطوارئ في قطاع البتروكيماويات</w:t>
      </w:r>
      <w:r w:rsidR="006E4F5E" w:rsidRPr="00C16C43">
        <w:rPr>
          <w:rFonts w:ascii="Sakkal Majalla" w:hAnsi="Sakkal Majalla" w:cs="Sakkal Majalla"/>
          <w:sz w:val="28"/>
          <w:szCs w:val="28"/>
          <w:rtl/>
          <w:lang w:bidi="ar-EG"/>
        </w:rPr>
        <w:t xml:space="preserve"> </w:t>
      </w:r>
      <w:r w:rsidRPr="00C16C43">
        <w:rPr>
          <w:rFonts w:ascii="Sakkal Majalla" w:hAnsi="Sakkal Majalla" w:cs="Sakkal Majalla"/>
          <w:sz w:val="28"/>
          <w:szCs w:val="28"/>
          <w:rtl/>
          <w:lang w:bidi="ar-EG"/>
        </w:rPr>
        <w:t xml:space="preserve"> من خلال تحليل تجربة شركة أرامكو السعودية</w:t>
      </w:r>
      <w:r w:rsidR="006E4F5E" w:rsidRPr="00C16C43">
        <w:rPr>
          <w:rFonts w:ascii="Sakkal Majalla" w:hAnsi="Sakkal Majalla" w:cs="Sakkal Majalla"/>
          <w:sz w:val="28"/>
          <w:szCs w:val="28"/>
          <w:rtl/>
          <w:lang w:bidi="ar-EG"/>
        </w:rPr>
        <w:t xml:space="preserve"> و</w:t>
      </w:r>
      <w:r w:rsidRPr="00C16C43">
        <w:rPr>
          <w:rFonts w:ascii="Sakkal Majalla" w:hAnsi="Sakkal Majalla" w:cs="Sakkal Majalla"/>
          <w:sz w:val="28"/>
          <w:szCs w:val="28"/>
          <w:rtl/>
          <w:lang w:bidi="ar-EG"/>
        </w:rPr>
        <w:t xml:space="preserve"> إن تحديد العلاقة بين الأبعاد التنظيمية، الفنية، البشرية، الاقتصادية، والاستراتيجية يمكن أن يوفر نموذجًا عمليًا لتطوير ممارسات إدارة المخاطر وتعزيز قدرتها على التكيف مع المتغيرات غير المتوقعة. تهدف هذه الدراسة إلى سد الفجوة البحثية من خلال تقديم تحليل شامل يوضح كيف يمكن تحسين استجابة المؤسسات الكبرى لحالات الطوارئ عبر نهج متكامل لإدارة المخاطر.</w:t>
      </w:r>
    </w:p>
    <w:p w14:paraId="58B7D356" w14:textId="1F94076B" w:rsidR="00C16C43"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0811003"/>
      <w:r w:rsidRPr="00C16C43">
        <w:rPr>
          <w:rFonts w:ascii="Sakkal Majalla" w:hAnsi="Sakkal Majalla" w:cs="Sakkal Majalla"/>
          <w:b/>
          <w:bCs/>
          <w:sz w:val="36"/>
          <w:szCs w:val="36"/>
          <w:rtl/>
          <w:lang w:bidi="ar-EG"/>
        </w:rPr>
        <w:t>2.1 أهمية الدراسة:</w:t>
      </w:r>
      <w:bookmarkEnd w:id="5"/>
    </w:p>
    <w:p w14:paraId="01D6DA43" w14:textId="77777777" w:rsidR="000B34DF" w:rsidRPr="00C16C43" w:rsidRDefault="000B34DF" w:rsidP="00706966">
      <w:pPr>
        <w:pStyle w:val="a5"/>
        <w:numPr>
          <w:ilvl w:val="0"/>
          <w:numId w:val="17"/>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lang w:bidi="ar-EG"/>
        </w:rPr>
      </w:pPr>
      <w:bookmarkStart w:id="6" w:name="_Toc200811004"/>
      <w:r w:rsidRPr="00C16C43">
        <w:rPr>
          <w:rFonts w:ascii="Sakkal Majalla" w:hAnsi="Sakkal Majalla" w:cs="Sakkal Majalla"/>
          <w:b/>
          <w:bCs/>
          <w:sz w:val="32"/>
          <w:szCs w:val="32"/>
          <w:rtl/>
          <w:lang w:bidi="ar-EG"/>
        </w:rPr>
        <w:t>الأهمية العلمية</w:t>
      </w:r>
      <w:bookmarkEnd w:id="6"/>
    </w:p>
    <w:p w14:paraId="0A4AE927" w14:textId="392B18B4" w:rsidR="000B34DF" w:rsidRPr="00C16C43" w:rsidRDefault="000B34DF" w:rsidP="00C16C43">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يساهم البحث في إثراء المعرفة حول دور إدارة المخاطر في تعزيز استجابة الطوارئ، من خلال تسليط الضوء على الأسس التنظيمية والتشريعية التي تحكم سياسات السلامة في بيئات العمل الصناعية، يضيف بعدًا نظريًا لدراسات إدارة المخاطر من خلال تحليل الأطر الفنية والتطبيقية المعتمدة في كبرى الشركات مثل أرامكو السعودية، يقدم فهمًا أعمق لدور العنصر البشري والتدريبي في تحسين الاستجابة للطوارئ، مما يعزز البحث العلمي في مجال السلامة المهنية، يساهم في تطوير منهجيات تقييم الأثر الاقتصادي والإداري لإدارة المخاطر، مما يساعد في تقديم استراتيجيات فعالة لضمان استمرارية الأعمال وتقليل الخسائر التشغيلية، يسلط الضوء على التحديات الاستراتيجية التي تواجه المؤسسات في تطبيق إدارة المخاطر ويقدم حلولًا علمية قائمة على دراسات ميدانية وتجارب واقعية</w:t>
      </w:r>
    </w:p>
    <w:p w14:paraId="76DF409A" w14:textId="77777777" w:rsidR="000B34DF" w:rsidRPr="00C16C43" w:rsidRDefault="000B34DF" w:rsidP="00706966">
      <w:pPr>
        <w:pStyle w:val="a5"/>
        <w:numPr>
          <w:ilvl w:val="0"/>
          <w:numId w:val="17"/>
        </w:numPr>
        <w:spacing w:before="100" w:beforeAutospacing="1" w:after="100" w:afterAutospacing="1" w:line="360" w:lineRule="auto"/>
        <w:ind w:left="423" w:hanging="357"/>
        <w:contextualSpacing w:val="0"/>
        <w:jc w:val="both"/>
        <w:outlineLvl w:val="2"/>
        <w:rPr>
          <w:rFonts w:ascii="Sakkal Majalla" w:hAnsi="Sakkal Majalla" w:cs="Sakkal Majalla"/>
          <w:b/>
          <w:bCs/>
          <w:sz w:val="32"/>
          <w:szCs w:val="32"/>
          <w:rtl/>
          <w:lang w:bidi="ar-EG"/>
        </w:rPr>
      </w:pPr>
      <w:bookmarkStart w:id="7" w:name="_Toc200811005"/>
      <w:r w:rsidRPr="00C16C43">
        <w:rPr>
          <w:rFonts w:ascii="Sakkal Majalla" w:hAnsi="Sakkal Majalla" w:cs="Sakkal Majalla"/>
          <w:b/>
          <w:bCs/>
          <w:sz w:val="32"/>
          <w:szCs w:val="32"/>
          <w:rtl/>
          <w:lang w:bidi="ar-EG"/>
        </w:rPr>
        <w:t>الأهمية العملية</w:t>
      </w:r>
      <w:bookmarkEnd w:id="7"/>
    </w:p>
    <w:p w14:paraId="2A3C1B3F" w14:textId="6DBE4010" w:rsidR="00407204" w:rsidRPr="00C16C43" w:rsidRDefault="000B34DF" w:rsidP="00C16C43">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 xml:space="preserve">يساعد في تحسين إجراءات السلامة داخل مواقع العمل في أرامكو السعودية من خلال تطوير السياسات التنظيمية والتشريعية وفقًا لأفضل الممارسات العالمية، يوفر إرشادات عملية حول كيفية تطبيق الأدوات والأنظمة الفنية المتقدمة في إدارة المخاطر لتعزيز سرعة وفعالية الاستجابة للطوارئ، يعزز من كفاءة التدريب والتأهيل للموظفين، مما يرفع مستوى الوعي بالمخاطر المحتملة ويضمن جاهزية الفرق </w:t>
      </w:r>
      <w:r w:rsidRPr="00C16C43">
        <w:rPr>
          <w:rFonts w:ascii="Sakkal Majalla" w:hAnsi="Sakkal Majalla" w:cs="Sakkal Majalla"/>
          <w:sz w:val="28"/>
          <w:szCs w:val="28"/>
          <w:rtl/>
          <w:lang w:bidi="ar-EG"/>
        </w:rPr>
        <w:lastRenderedPageBreak/>
        <w:t>العاملة لمواجهة الأزمات، يساهم في تحسين الأداء الإداري من خلال تقديم حلول فعالة لدمج استراتيجيات إدارة المخاطر في الهيكل التنظيمي والمالي للمؤسسة، يساعد في تطوير استراتيجيات طويلة الأمد لمواجهة التحديات التي قد تعيق تنفيذ خطط إدارة المخاطر، مما يعزز استدامة نظم السلامة والاستجابة للطوارئ</w:t>
      </w:r>
      <w:r w:rsidR="002F2DE9" w:rsidRPr="00C16C43">
        <w:rPr>
          <w:rFonts w:ascii="Sakkal Majalla" w:hAnsi="Sakkal Majalla" w:cs="Sakkal Majalla"/>
          <w:sz w:val="28"/>
          <w:szCs w:val="28"/>
          <w:rtl/>
          <w:lang w:bidi="ar-EG"/>
        </w:rPr>
        <w:t>.</w:t>
      </w:r>
    </w:p>
    <w:p w14:paraId="73D93297" w14:textId="44BDB946" w:rsidR="00C16C43"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0811006"/>
      <w:bookmarkStart w:id="9" w:name="_Toc169370868"/>
      <w:bookmarkStart w:id="10" w:name="_Toc169565912"/>
      <w:r w:rsidRPr="00C16C43">
        <w:rPr>
          <w:rFonts w:ascii="Sakkal Majalla" w:hAnsi="Sakkal Majalla" w:cs="Sakkal Majalla"/>
          <w:b/>
          <w:bCs/>
          <w:sz w:val="36"/>
          <w:szCs w:val="36"/>
          <w:rtl/>
        </w:rPr>
        <w:t>3.1 أهداف الدراسة:</w:t>
      </w:r>
      <w:bookmarkEnd w:id="8"/>
    </w:p>
    <w:p w14:paraId="1A2FF92E" w14:textId="77777777" w:rsidR="004B1801" w:rsidRPr="00C16C43" w:rsidRDefault="004B1801" w:rsidP="00C16C43">
      <w:pPr>
        <w:spacing w:before="100" w:beforeAutospacing="1" w:after="100" w:afterAutospacing="1" w:line="360" w:lineRule="auto"/>
        <w:jc w:val="both"/>
        <w:rPr>
          <w:rFonts w:ascii="Sakkal Majalla" w:hAnsi="Sakkal Majalla" w:cs="Sakkal Majalla"/>
          <w:b/>
          <w:bCs/>
          <w:sz w:val="32"/>
          <w:szCs w:val="32"/>
        </w:rPr>
      </w:pPr>
      <w:r w:rsidRPr="00C16C43">
        <w:rPr>
          <w:rFonts w:ascii="Sakkal Majalla" w:hAnsi="Sakkal Majalla" w:cs="Sakkal Majalla"/>
          <w:b/>
          <w:bCs/>
          <w:sz w:val="32"/>
          <w:szCs w:val="32"/>
          <w:rtl/>
        </w:rPr>
        <w:t>الهدف الرئيسي للدراسة</w:t>
      </w:r>
    </w:p>
    <w:p w14:paraId="56970F49" w14:textId="77777777" w:rsidR="00305DAC" w:rsidRPr="00C16C43" w:rsidRDefault="00305DAC" w:rsidP="00C16C43">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t>تهدف الدراسة إلى تحليل دور إدارة المخاطر بأبعادها التنظيمية والتشريعية والفنية والتطبيقية والبشرية والتدريبية والاقتصادية والإدارية والتحديدية والاستراتيجية كمتغير مستقل في تعزيز الاستجابة الفعالة لحالات الطوارئ في مواقع العمل داخل شركة أرامكو السعودية كمتغير تابع</w:t>
      </w:r>
    </w:p>
    <w:p w14:paraId="317C60A9" w14:textId="77777777" w:rsidR="00305DAC" w:rsidRPr="00C16C43" w:rsidRDefault="00305DAC" w:rsidP="00C16C43">
      <w:pPr>
        <w:spacing w:before="100" w:beforeAutospacing="1" w:after="100" w:afterAutospacing="1" w:line="360" w:lineRule="auto"/>
        <w:jc w:val="both"/>
        <w:rPr>
          <w:rFonts w:ascii="Sakkal Majalla" w:hAnsi="Sakkal Majalla" w:cs="Sakkal Majalla"/>
          <w:sz w:val="32"/>
          <w:szCs w:val="32"/>
          <w:rtl/>
        </w:rPr>
      </w:pPr>
      <w:r w:rsidRPr="00C16C43">
        <w:rPr>
          <w:rFonts w:ascii="Sakkal Majalla" w:hAnsi="Sakkal Majalla" w:cs="Sakkal Majalla"/>
          <w:b/>
          <w:bCs/>
          <w:sz w:val="32"/>
          <w:szCs w:val="32"/>
          <w:rtl/>
        </w:rPr>
        <w:t>الأهداف الفرعية</w:t>
      </w:r>
    </w:p>
    <w:p w14:paraId="0B94FC27" w14:textId="22387AC5" w:rsidR="00305DAC" w:rsidRPr="00C16C43" w:rsidRDefault="00305DAC"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تحليل تأثير الأبعاد التنظيمية والتشريعية في تحسين خطط الاستجابة للطوارئ داخل بيئات العمل الصناعية</w:t>
      </w:r>
    </w:p>
    <w:p w14:paraId="6D9A25F4" w14:textId="04DDABE8" w:rsidR="00305DAC" w:rsidRPr="00C16C43" w:rsidRDefault="00305DAC"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دراسة دور الأبعاد الفنية والتطبيقية في تطوير أنظمة إدارة المخاطر وتعزيز جاهزية فرق الطوارئ</w:t>
      </w:r>
    </w:p>
    <w:p w14:paraId="4DAEEDE9" w14:textId="614D72DE" w:rsidR="00305DAC" w:rsidRPr="00C16C43" w:rsidRDefault="00305DAC"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تقييم مدى تأثير الأبعاد البشرية والتدريبية على رفع كفاءة الموظفين في التعامل مع الأزمات والمخاطر المحتملة</w:t>
      </w:r>
    </w:p>
    <w:p w14:paraId="4AE9EF9E" w14:textId="53ACC23A" w:rsidR="00305DAC" w:rsidRPr="00C16C43" w:rsidRDefault="00305DAC"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تحليل العلاقة بين الأبعاد الاقتصادية والإدارية وكفاءة استراتيجيات الحد من المخاطر وتقليل الخسائر التشغيلية</w:t>
      </w:r>
    </w:p>
    <w:p w14:paraId="2ACAC289" w14:textId="596AA1FD" w:rsidR="009F5589" w:rsidRPr="00C16C43" w:rsidRDefault="00305DAC"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استكشاف تأثير الأبعاد التحديدية والاستراتيجية في استدامة أنظمة إدارة المخاطر وضمان استمرارية الأعمال في مواجهة الطوارئ</w:t>
      </w:r>
    </w:p>
    <w:p w14:paraId="3469A070" w14:textId="2773CC1E" w:rsidR="00C16C43"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0811007"/>
      <w:bookmarkStart w:id="12" w:name="_Toc169370869"/>
      <w:bookmarkEnd w:id="9"/>
      <w:bookmarkEnd w:id="10"/>
      <w:r w:rsidRPr="00C16C43">
        <w:rPr>
          <w:rFonts w:ascii="Sakkal Majalla" w:hAnsi="Sakkal Majalla" w:cs="Sakkal Majalla"/>
          <w:b/>
          <w:bCs/>
          <w:sz w:val="36"/>
          <w:szCs w:val="36"/>
          <w:rtl/>
        </w:rPr>
        <w:t>4.1 تساؤلات الدراسة:</w:t>
      </w:r>
      <w:bookmarkEnd w:id="11"/>
    </w:p>
    <w:p w14:paraId="211C7C53" w14:textId="23A4BF63" w:rsidR="009F5589" w:rsidRPr="00C16C43" w:rsidRDefault="009F5589" w:rsidP="00C16C43">
      <w:pPr>
        <w:spacing w:before="100" w:beforeAutospacing="1" w:after="100" w:afterAutospacing="1" w:line="360" w:lineRule="auto"/>
        <w:jc w:val="both"/>
        <w:rPr>
          <w:rFonts w:ascii="Sakkal Majalla" w:hAnsi="Sakkal Majalla" w:cs="Sakkal Majalla"/>
          <w:b/>
          <w:bCs/>
          <w:sz w:val="32"/>
          <w:szCs w:val="32"/>
          <w:rtl/>
        </w:rPr>
      </w:pPr>
      <w:r w:rsidRPr="00C16C43">
        <w:rPr>
          <w:rFonts w:ascii="Sakkal Majalla" w:hAnsi="Sakkal Majalla" w:cs="Sakkal Majalla"/>
          <w:b/>
          <w:bCs/>
          <w:sz w:val="32"/>
          <w:szCs w:val="32"/>
          <w:rtl/>
        </w:rPr>
        <w:lastRenderedPageBreak/>
        <w:t>السؤال الرئيسي للدراسة</w:t>
      </w:r>
    </w:p>
    <w:p w14:paraId="5CDA462E" w14:textId="65D9F251" w:rsidR="009F5589" w:rsidRPr="00C16C43" w:rsidRDefault="008A45CE" w:rsidP="00706966">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كيف يؤثر دور إدارة المخاطر بأبعادها التنظيمية والتشريعية والفنية والتطبيقية والبشرية والتدريبية والاقتصادية والإدارية والتحديدية والاستراتيجية كمتغير مستقل في تعزيز الاستجابة الفعالة لحالات الطوارئ في مواقع العمل داخل شركة أرامكو السعودية كمتغير تابع</w:t>
      </w:r>
    </w:p>
    <w:p w14:paraId="29375060" w14:textId="52B58161" w:rsidR="009F5589" w:rsidRPr="00C16C43" w:rsidRDefault="009F5589" w:rsidP="00C16C43">
      <w:pPr>
        <w:pStyle w:val="a5"/>
        <w:spacing w:before="100" w:beforeAutospacing="1" w:after="100" w:afterAutospacing="1" w:line="360" w:lineRule="auto"/>
        <w:ind w:left="-2"/>
        <w:contextualSpacing w:val="0"/>
        <w:jc w:val="both"/>
        <w:rPr>
          <w:rFonts w:ascii="Sakkal Majalla" w:hAnsi="Sakkal Majalla" w:cs="Sakkal Majalla"/>
          <w:b/>
          <w:bCs/>
          <w:sz w:val="32"/>
          <w:szCs w:val="32"/>
          <w:rtl/>
        </w:rPr>
      </w:pPr>
      <w:r w:rsidRPr="00C16C43">
        <w:rPr>
          <w:rFonts w:ascii="Sakkal Majalla" w:hAnsi="Sakkal Majalla" w:cs="Sakkal Majalla"/>
          <w:b/>
          <w:bCs/>
          <w:sz w:val="32"/>
          <w:szCs w:val="32"/>
          <w:rtl/>
        </w:rPr>
        <w:t>الأسئلة الفرعية</w:t>
      </w:r>
    </w:p>
    <w:p w14:paraId="38DA062F" w14:textId="190C22F7" w:rsidR="008A45CE" w:rsidRPr="00C16C43" w:rsidRDefault="008A45CE"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ما تأثير الأبعاد التنظيمية والتشريعية على كفاءة خطط الاستجابة للطوارئ في مواقع العمل الصناعية</w:t>
      </w:r>
    </w:p>
    <w:p w14:paraId="1F2BFC70" w14:textId="7D7A763E" w:rsidR="008A45CE" w:rsidRPr="00C16C43" w:rsidRDefault="008A45CE"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كيف تساهم الأبعاد الفنية والتطبيقية في تطوير أنظمة إدارة المخاطر وتحسين جاهزية فرق الطوارئ</w:t>
      </w:r>
    </w:p>
    <w:p w14:paraId="75801379" w14:textId="47B9B1C2" w:rsidR="008A45CE" w:rsidRPr="00C16C43" w:rsidRDefault="008A45CE"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إلى أي مدى تؤثر الأبعاد البشرية والتدريبية في رفع كفاءة الموظفين وتعزيز قدراتهم في التعامل مع الأزمات</w:t>
      </w:r>
    </w:p>
    <w:p w14:paraId="4D781167" w14:textId="1F43924B" w:rsidR="008A45CE" w:rsidRPr="00C16C43" w:rsidRDefault="008A45CE"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ما العلاقة بين الأبعاد الاقتصادية والإدارية وكفاءة استراتيجيات تقليل المخاطر والخسائر التشغيلية</w:t>
      </w:r>
    </w:p>
    <w:p w14:paraId="4D37819D" w14:textId="2DD62F39" w:rsidR="009F5589" w:rsidRPr="00C16C43" w:rsidRDefault="008A45CE"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كيف تسهم الأبعاد التحديدية والاستراتيجية في استدامة نظم إدارة المخاطر وضمان استمرارية الأعمال في مواجهة الطوارئ</w:t>
      </w:r>
    </w:p>
    <w:p w14:paraId="56C0B928" w14:textId="6F48B2F9" w:rsidR="00C16C43"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0811008"/>
      <w:bookmarkEnd w:id="12"/>
      <w:r w:rsidRPr="00C16C43">
        <w:rPr>
          <w:rFonts w:ascii="Sakkal Majalla" w:hAnsi="Sakkal Majalla" w:cs="Sakkal Majalla"/>
          <w:b/>
          <w:bCs/>
          <w:sz w:val="36"/>
          <w:szCs w:val="36"/>
          <w:rtl/>
        </w:rPr>
        <w:t>5.1 فرضيات الدراسة:</w:t>
      </w:r>
      <w:bookmarkEnd w:id="13"/>
    </w:p>
    <w:p w14:paraId="2C88C550" w14:textId="43F2D721" w:rsidR="009F5589" w:rsidRPr="00C16C43" w:rsidRDefault="009F5589" w:rsidP="00C16C43">
      <w:pPr>
        <w:pStyle w:val="a5"/>
        <w:spacing w:before="100" w:beforeAutospacing="1" w:after="100" w:afterAutospacing="1" w:line="360" w:lineRule="auto"/>
        <w:ind w:left="-2"/>
        <w:contextualSpacing w:val="0"/>
        <w:jc w:val="both"/>
        <w:rPr>
          <w:rFonts w:ascii="Sakkal Majalla" w:hAnsi="Sakkal Majalla" w:cs="Sakkal Majalla"/>
          <w:b/>
          <w:bCs/>
          <w:sz w:val="32"/>
          <w:szCs w:val="32"/>
          <w:rtl/>
        </w:rPr>
      </w:pPr>
      <w:r w:rsidRPr="00C16C43">
        <w:rPr>
          <w:rFonts w:ascii="Sakkal Majalla" w:hAnsi="Sakkal Majalla" w:cs="Sakkal Majalla"/>
          <w:b/>
          <w:bCs/>
          <w:sz w:val="32"/>
          <w:szCs w:val="32"/>
          <w:rtl/>
        </w:rPr>
        <w:t>الفرضية الرئيسية للدراسة</w:t>
      </w:r>
    </w:p>
    <w:p w14:paraId="1570D0CA" w14:textId="77777777" w:rsidR="00974D36" w:rsidRPr="00C16C43" w:rsidRDefault="00974D36" w:rsidP="00C16C43">
      <w:pPr>
        <w:pStyle w:val="a5"/>
        <w:spacing w:before="100" w:beforeAutospacing="1" w:after="100" w:afterAutospacing="1" w:line="360" w:lineRule="auto"/>
        <w:ind w:left="-2" w:firstLine="708"/>
        <w:contextualSpacing w:val="0"/>
        <w:jc w:val="both"/>
        <w:rPr>
          <w:rFonts w:ascii="Sakkal Majalla" w:hAnsi="Sakkal Majalla" w:cs="Sakkal Majalla"/>
          <w:b/>
          <w:bCs/>
          <w:sz w:val="28"/>
          <w:szCs w:val="28"/>
        </w:rPr>
      </w:pPr>
      <w:bookmarkStart w:id="14" w:name="_Hlk200763201"/>
      <w:r w:rsidRPr="00C16C43">
        <w:rPr>
          <w:rFonts w:ascii="Sakkal Majalla" w:hAnsi="Sakkal Majalla" w:cs="Sakkal Majalla"/>
          <w:sz w:val="28"/>
          <w:szCs w:val="28"/>
          <w:rtl/>
        </w:rPr>
        <w:t xml:space="preserve">لا يوجد أثر ذو دلالة إحصائية عند مستوى معنوية (0.05≥ </w:t>
      </w:r>
      <w:r w:rsidRPr="00C16C43">
        <w:rPr>
          <w:rFonts w:ascii="Cambria" w:hAnsi="Cambria" w:cs="Cambria"/>
          <w:sz w:val="28"/>
          <w:szCs w:val="28"/>
        </w:rPr>
        <w:t>α</w:t>
      </w:r>
      <w:r w:rsidRPr="00C16C43">
        <w:rPr>
          <w:rFonts w:ascii="Sakkal Majalla" w:hAnsi="Sakkal Majalla" w:cs="Sakkal Majalla"/>
          <w:sz w:val="28"/>
          <w:szCs w:val="28"/>
          <w:rtl/>
        </w:rPr>
        <w:t>) لإدارة المخاطر بأبعادها التنظيمية والتشريعية والفنية والتطبيقية والبشرية والتدريبية والاقتصادية والإدارية والتحديدية والاستراتيجية في تعزيز الاستجابة الفعالة لحالات الطوارئ في مواقع العمل داخل شركة أرامكو السعودية</w:t>
      </w:r>
    </w:p>
    <w:bookmarkEnd w:id="14"/>
    <w:p w14:paraId="64863DC7" w14:textId="4F734D7F" w:rsidR="009F5589" w:rsidRPr="00C16C43" w:rsidRDefault="009F5589" w:rsidP="00C16C43">
      <w:pPr>
        <w:pStyle w:val="a5"/>
        <w:spacing w:before="100" w:beforeAutospacing="1" w:after="100" w:afterAutospacing="1" w:line="360" w:lineRule="auto"/>
        <w:ind w:left="-2"/>
        <w:contextualSpacing w:val="0"/>
        <w:jc w:val="both"/>
        <w:rPr>
          <w:rFonts w:ascii="Sakkal Majalla" w:hAnsi="Sakkal Majalla" w:cs="Sakkal Majalla"/>
          <w:b/>
          <w:bCs/>
          <w:sz w:val="32"/>
          <w:szCs w:val="32"/>
          <w:rtl/>
        </w:rPr>
      </w:pPr>
      <w:r w:rsidRPr="00C16C43">
        <w:rPr>
          <w:rFonts w:ascii="Sakkal Majalla" w:hAnsi="Sakkal Majalla" w:cs="Sakkal Majalla"/>
          <w:b/>
          <w:bCs/>
          <w:sz w:val="32"/>
          <w:szCs w:val="32"/>
          <w:rtl/>
        </w:rPr>
        <w:t>الفرضيات الفرعية</w:t>
      </w:r>
    </w:p>
    <w:p w14:paraId="537726F8" w14:textId="0601A39C" w:rsidR="00974D36" w:rsidRPr="00C16C43" w:rsidRDefault="00974D36" w:rsidP="00706966">
      <w:pPr>
        <w:pStyle w:val="a5"/>
        <w:numPr>
          <w:ilvl w:val="0"/>
          <w:numId w:val="18"/>
        </w:numPr>
        <w:spacing w:before="100" w:beforeAutospacing="1" w:after="100" w:afterAutospacing="1" w:line="360" w:lineRule="auto"/>
        <w:ind w:left="281"/>
        <w:contextualSpacing w:val="0"/>
        <w:jc w:val="both"/>
        <w:rPr>
          <w:rFonts w:ascii="Sakkal Majalla" w:hAnsi="Sakkal Majalla" w:cs="Sakkal Majalla"/>
          <w:sz w:val="28"/>
          <w:szCs w:val="28"/>
          <w:rtl/>
        </w:rPr>
      </w:pPr>
      <w:r w:rsidRPr="00C16C43">
        <w:rPr>
          <w:rFonts w:ascii="Sakkal Majalla" w:hAnsi="Sakkal Majalla" w:cs="Sakkal Majalla"/>
          <w:sz w:val="28"/>
          <w:szCs w:val="28"/>
          <w:rtl/>
        </w:rPr>
        <w:lastRenderedPageBreak/>
        <w:t xml:space="preserve">لا يوجد أثر ذو دلالة إحصائية عند مستوى معنوية </w:t>
      </w:r>
      <w:bookmarkStart w:id="15" w:name="_Hlk200763467"/>
      <w:r w:rsidRPr="00C16C43">
        <w:rPr>
          <w:rFonts w:ascii="Sakkal Majalla" w:hAnsi="Sakkal Majalla" w:cs="Sakkal Majalla"/>
          <w:sz w:val="28"/>
          <w:szCs w:val="28"/>
          <w:rtl/>
        </w:rPr>
        <w:t xml:space="preserve">(0.05≥ </w:t>
      </w:r>
      <w:r w:rsidRPr="00C16C43">
        <w:rPr>
          <w:rFonts w:ascii="Cambria" w:hAnsi="Cambria" w:cs="Cambria"/>
          <w:sz w:val="28"/>
          <w:szCs w:val="28"/>
        </w:rPr>
        <w:t>α</w:t>
      </w:r>
      <w:r w:rsidRPr="00C16C43">
        <w:rPr>
          <w:rFonts w:ascii="Sakkal Majalla" w:hAnsi="Sakkal Majalla" w:cs="Sakkal Majalla"/>
          <w:sz w:val="28"/>
          <w:szCs w:val="28"/>
          <w:rtl/>
        </w:rPr>
        <w:t xml:space="preserve">) </w:t>
      </w:r>
      <w:bookmarkEnd w:id="15"/>
      <w:r w:rsidRPr="00C16C43">
        <w:rPr>
          <w:rFonts w:ascii="Sakkal Majalla" w:hAnsi="Sakkal Majalla" w:cs="Sakkal Majalla"/>
          <w:sz w:val="28"/>
          <w:szCs w:val="28"/>
          <w:rtl/>
        </w:rPr>
        <w:t>للأبعاد التنظيمية والتشريعية في كفاءة خطط الاستجابة للطوارئ داخل بيئات العمل الصناعية</w:t>
      </w:r>
    </w:p>
    <w:p w14:paraId="1D1EDA07" w14:textId="50C0EF8C" w:rsidR="00974D36" w:rsidRPr="00C16C43" w:rsidRDefault="00974D36" w:rsidP="00706966">
      <w:pPr>
        <w:pStyle w:val="a5"/>
        <w:numPr>
          <w:ilvl w:val="0"/>
          <w:numId w:val="18"/>
        </w:numPr>
        <w:spacing w:before="100" w:beforeAutospacing="1" w:after="100" w:afterAutospacing="1" w:line="360" w:lineRule="auto"/>
        <w:ind w:left="281"/>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 xml:space="preserve">لا يوجد أثر ذو دلالة إحصائية عند مستوى معنوية (0.05≥ </w:t>
      </w:r>
      <w:r w:rsidRPr="00C16C43">
        <w:rPr>
          <w:rFonts w:ascii="Cambria" w:hAnsi="Cambria" w:cs="Cambria"/>
          <w:sz w:val="28"/>
          <w:szCs w:val="28"/>
        </w:rPr>
        <w:t>α</w:t>
      </w:r>
      <w:r w:rsidRPr="00C16C43">
        <w:rPr>
          <w:rFonts w:ascii="Sakkal Majalla" w:hAnsi="Sakkal Majalla" w:cs="Sakkal Majalla"/>
          <w:sz w:val="28"/>
          <w:szCs w:val="28"/>
          <w:rtl/>
        </w:rPr>
        <w:t>) للأبعاد الفنية والتطبيقية في تطوير أنظمة إدارة المخاطر وتحسين جاهزية فرق الطوارئ</w:t>
      </w:r>
    </w:p>
    <w:p w14:paraId="439F0187" w14:textId="630C70EA" w:rsidR="00974D36" w:rsidRPr="00C16C43" w:rsidRDefault="00974D36" w:rsidP="00706966">
      <w:pPr>
        <w:pStyle w:val="a5"/>
        <w:numPr>
          <w:ilvl w:val="0"/>
          <w:numId w:val="18"/>
        </w:numPr>
        <w:spacing w:before="100" w:beforeAutospacing="1" w:after="100" w:afterAutospacing="1" w:line="360" w:lineRule="auto"/>
        <w:ind w:left="281"/>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 xml:space="preserve">لا يوجد أثر ذو دلالة إحصائية عند مستوى معنوية (0.05≥ </w:t>
      </w:r>
      <w:r w:rsidRPr="00C16C43">
        <w:rPr>
          <w:rFonts w:ascii="Cambria" w:hAnsi="Cambria" w:cs="Cambria"/>
          <w:sz w:val="28"/>
          <w:szCs w:val="28"/>
        </w:rPr>
        <w:t>α</w:t>
      </w:r>
      <w:r w:rsidRPr="00C16C43">
        <w:rPr>
          <w:rFonts w:ascii="Sakkal Majalla" w:hAnsi="Sakkal Majalla" w:cs="Sakkal Majalla"/>
          <w:sz w:val="28"/>
          <w:szCs w:val="28"/>
          <w:rtl/>
        </w:rPr>
        <w:t>) للأبعاد البشرية والتدريبية في رفع كفاءة الموظفين وتعزيز قدراتهم في التعامل مع الأزمات</w:t>
      </w:r>
    </w:p>
    <w:p w14:paraId="460A80B8" w14:textId="4C3B2CD5" w:rsidR="00974D36" w:rsidRPr="00C16C43" w:rsidRDefault="00974D36" w:rsidP="00706966">
      <w:pPr>
        <w:pStyle w:val="a5"/>
        <w:numPr>
          <w:ilvl w:val="0"/>
          <w:numId w:val="18"/>
        </w:numPr>
        <w:spacing w:before="100" w:beforeAutospacing="1" w:after="100" w:afterAutospacing="1" w:line="360" w:lineRule="auto"/>
        <w:ind w:left="281"/>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 xml:space="preserve">لا يوجد أثر ذو دلالة إحصائية عند مستوى معنوية (0.05≥ </w:t>
      </w:r>
      <w:r w:rsidRPr="00C16C43">
        <w:rPr>
          <w:rFonts w:ascii="Cambria" w:hAnsi="Cambria" w:cs="Cambria"/>
          <w:sz w:val="28"/>
          <w:szCs w:val="28"/>
        </w:rPr>
        <w:t>α</w:t>
      </w:r>
      <w:r w:rsidRPr="00C16C43">
        <w:rPr>
          <w:rFonts w:ascii="Sakkal Majalla" w:hAnsi="Sakkal Majalla" w:cs="Sakkal Majalla"/>
          <w:sz w:val="28"/>
          <w:szCs w:val="28"/>
          <w:rtl/>
        </w:rPr>
        <w:t>) للأبعاد الاقتصادية والإدارية في تحسين استراتيجيات تقليل المخاطر والخسائر التشغيلية</w:t>
      </w:r>
    </w:p>
    <w:p w14:paraId="6A06BD20" w14:textId="6EE9A49D" w:rsidR="009F5589" w:rsidRPr="00C16C43" w:rsidRDefault="00974D36" w:rsidP="00706966">
      <w:pPr>
        <w:pStyle w:val="a5"/>
        <w:numPr>
          <w:ilvl w:val="0"/>
          <w:numId w:val="18"/>
        </w:numPr>
        <w:spacing w:before="100" w:beforeAutospacing="1" w:after="100" w:afterAutospacing="1" w:line="360" w:lineRule="auto"/>
        <w:ind w:left="281"/>
        <w:contextualSpacing w:val="0"/>
        <w:jc w:val="both"/>
        <w:rPr>
          <w:rFonts w:ascii="Sakkal Majalla" w:hAnsi="Sakkal Majalla" w:cs="Sakkal Majalla"/>
          <w:sz w:val="28"/>
          <w:szCs w:val="28"/>
          <w:rtl/>
        </w:rPr>
      </w:pPr>
      <w:r w:rsidRPr="00C16C43">
        <w:rPr>
          <w:rFonts w:ascii="Sakkal Majalla" w:hAnsi="Sakkal Majalla" w:cs="Sakkal Majalla"/>
          <w:sz w:val="28"/>
          <w:szCs w:val="28"/>
          <w:rtl/>
        </w:rPr>
        <w:t xml:space="preserve">لا يوجد أثر ذو دلالة إحصائية عند مستوى معنوية (0.05≥ </w:t>
      </w:r>
      <w:r w:rsidRPr="00C16C43">
        <w:rPr>
          <w:rFonts w:ascii="Cambria" w:hAnsi="Cambria" w:cs="Cambria"/>
          <w:sz w:val="28"/>
          <w:szCs w:val="28"/>
        </w:rPr>
        <w:t>α</w:t>
      </w:r>
      <w:r w:rsidRPr="00C16C43">
        <w:rPr>
          <w:rFonts w:ascii="Sakkal Majalla" w:hAnsi="Sakkal Majalla" w:cs="Sakkal Majalla"/>
          <w:sz w:val="28"/>
          <w:szCs w:val="28"/>
          <w:rtl/>
        </w:rPr>
        <w:t>) للأبعاد التحديدية والاستراتيجية في استدامة نظم إدارة المخاطر وضمان استمرارية الأعمال في مواجهة الطوارئ</w:t>
      </w:r>
    </w:p>
    <w:p w14:paraId="1293EFF9" w14:textId="77F54526" w:rsidR="00BF34C9"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Pr>
      </w:pPr>
      <w:bookmarkStart w:id="16" w:name="_Toc169370870"/>
      <w:bookmarkStart w:id="17" w:name="_Toc169565914"/>
      <w:bookmarkStart w:id="18" w:name="_Toc200811009"/>
      <w:r w:rsidRPr="00C16C43">
        <w:rPr>
          <w:rFonts w:ascii="Sakkal Majalla" w:hAnsi="Sakkal Majalla" w:cs="Sakkal Majalla" w:hint="cs"/>
          <w:b/>
          <w:bCs/>
          <w:sz w:val="36"/>
          <w:szCs w:val="36"/>
          <w:rtl/>
        </w:rPr>
        <w:t xml:space="preserve">6.1 </w:t>
      </w:r>
      <w:r w:rsidR="00D22171" w:rsidRPr="00C16C43">
        <w:rPr>
          <w:rFonts w:ascii="Sakkal Majalla" w:hAnsi="Sakkal Majalla" w:cs="Sakkal Majalla"/>
          <w:b/>
          <w:bCs/>
          <w:sz w:val="36"/>
          <w:szCs w:val="36"/>
          <w:rtl/>
        </w:rPr>
        <w:t>الدراسات السابقة</w:t>
      </w:r>
      <w:r w:rsidR="00A74F76" w:rsidRPr="00C16C43">
        <w:rPr>
          <w:rFonts w:ascii="Sakkal Majalla" w:hAnsi="Sakkal Majalla" w:cs="Sakkal Majalla"/>
          <w:b/>
          <w:bCs/>
          <w:sz w:val="36"/>
          <w:szCs w:val="36"/>
          <w:rtl/>
        </w:rPr>
        <w:t>:</w:t>
      </w:r>
      <w:bookmarkStart w:id="19" w:name="_Toc169370871"/>
      <w:bookmarkStart w:id="20" w:name="_Toc169565915"/>
      <w:bookmarkEnd w:id="16"/>
      <w:bookmarkEnd w:id="17"/>
      <w:bookmarkEnd w:id="18"/>
    </w:p>
    <w:p w14:paraId="49DE39CD" w14:textId="77777777" w:rsidR="00553D54" w:rsidRPr="00C16C43" w:rsidRDefault="00553D54"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 xml:space="preserve">دراسة </w:t>
      </w:r>
      <w:r w:rsidRPr="00C16C43">
        <w:rPr>
          <w:rFonts w:ascii="Sakkal Majalla" w:hAnsi="Sakkal Majalla" w:cs="Sakkal Majalla"/>
          <w:b/>
          <w:bCs/>
          <w:sz w:val="28"/>
          <w:szCs w:val="28"/>
        </w:rPr>
        <w:t>(Al-Naeem et al., 2024)</w:t>
      </w:r>
    </w:p>
    <w:p w14:paraId="278BBEDD" w14:textId="77777777" w:rsidR="007B07C5" w:rsidRPr="00C16C43" w:rsidRDefault="007B07C5"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 xml:space="preserve">هدفت الدراسة إلى التعرف على أثر تطبيق معايير </w:t>
      </w:r>
      <w:r w:rsidRPr="00C16C43">
        <w:rPr>
          <w:rFonts w:ascii="Sakkal Majalla" w:hAnsi="Sakkal Majalla" w:cs="Sakkal Majalla"/>
          <w:sz w:val="28"/>
          <w:szCs w:val="28"/>
          <w:lang w:bidi="ar-EG"/>
        </w:rPr>
        <w:t xml:space="preserve">ISO 31000 </w:t>
      </w:r>
      <w:r w:rsidRPr="00C16C43">
        <w:rPr>
          <w:rFonts w:ascii="Sakkal Majalla" w:hAnsi="Sakkal Majalla" w:cs="Sakkal Majalla"/>
          <w:sz w:val="28"/>
          <w:szCs w:val="28"/>
          <w:rtl/>
        </w:rPr>
        <w:t xml:space="preserve">لإدارة المخاطر بأبعادها، والتي تشمل المبادئ الأساسية، الإطار العام، والعمليات، على فعالية إدارة المخاطر بأبعادها، والتي تتضمن تحديد المخاطر، تقييمها، ومعالجتها في الشركات البتروكيميائية السعودية، باعتبارها إحدى الشركات الرائدة في هذا القطاع. تناولت الدراسة أهمية إدارة المخاطر في المؤسسات الكبرى، والتحديات التي تواجه الشركات في بيئة عمل ديناميكية ومعقدة، مع التركيز على كيفية مساهمة معايير </w:t>
      </w:r>
      <w:r w:rsidRPr="00C16C43">
        <w:rPr>
          <w:rFonts w:ascii="Sakkal Majalla" w:hAnsi="Sakkal Majalla" w:cs="Sakkal Majalla"/>
          <w:sz w:val="28"/>
          <w:szCs w:val="28"/>
          <w:lang w:bidi="ar-EG"/>
        </w:rPr>
        <w:t xml:space="preserve">ISO 31000 </w:t>
      </w:r>
      <w:r w:rsidRPr="00C16C43">
        <w:rPr>
          <w:rFonts w:ascii="Sakkal Majalla" w:hAnsi="Sakkal Majalla" w:cs="Sakkal Majalla"/>
          <w:sz w:val="28"/>
          <w:szCs w:val="28"/>
          <w:rtl/>
        </w:rPr>
        <w:t>في تحسين الممارسات الحالية لإدارة المخاطر وتعزيز القدرة المؤسسية على التكيف مع التحديات الجديدة</w:t>
      </w:r>
      <w:r w:rsidRPr="00C16C43">
        <w:rPr>
          <w:rFonts w:ascii="Sakkal Majalla" w:hAnsi="Sakkal Majalla" w:cs="Sakkal Majalla"/>
          <w:sz w:val="28"/>
          <w:szCs w:val="28"/>
          <w:lang w:bidi="ar-EG"/>
        </w:rPr>
        <w:t>.</w:t>
      </w:r>
    </w:p>
    <w:p w14:paraId="3725F06A" w14:textId="77777777" w:rsidR="007B07C5" w:rsidRPr="00C16C43" w:rsidRDefault="007B07C5"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 xml:space="preserve">اعتمدت الدراسة على المنهج الوصفي التحليلي، حيث تم جمع البيانات من خلال استبيانات ومقابلات مع الموظفين والمسؤولين عن إدارة المخاطر، بالإضافة إلى تحليل الوثائق المتعلقة بالسياسات والإجراءات الداخلية للشركة. أظهرت النتائج أن تطبيق معايير </w:t>
      </w:r>
      <w:r w:rsidRPr="00C16C43">
        <w:rPr>
          <w:rFonts w:ascii="Sakkal Majalla" w:hAnsi="Sakkal Majalla" w:cs="Sakkal Majalla"/>
          <w:sz w:val="28"/>
          <w:szCs w:val="28"/>
          <w:lang w:bidi="ar-EG"/>
        </w:rPr>
        <w:t xml:space="preserve">ISO 31000 </w:t>
      </w:r>
      <w:r w:rsidRPr="00C16C43">
        <w:rPr>
          <w:rFonts w:ascii="Sakkal Majalla" w:hAnsi="Sakkal Majalla" w:cs="Sakkal Majalla"/>
          <w:sz w:val="28"/>
          <w:szCs w:val="28"/>
          <w:rtl/>
        </w:rPr>
        <w:t xml:space="preserve">أدى إلى تحسين دقة تحديد </w:t>
      </w:r>
      <w:r w:rsidRPr="00C16C43">
        <w:rPr>
          <w:rFonts w:ascii="Sakkal Majalla" w:hAnsi="Sakkal Majalla" w:cs="Sakkal Majalla"/>
          <w:sz w:val="28"/>
          <w:szCs w:val="28"/>
          <w:rtl/>
        </w:rPr>
        <w:lastRenderedPageBreak/>
        <w:t>المخاطر وتقييمها، وتطوير استراتيجيات أكثر فعالية لمعالجتها، كما ساهم في تعزيز وعي الموظفين بالمخاطر وتعزيز الثقافة المؤسسية الداعمة للإدارة الفعالة للمخاطر. ومع ذلك، أظهرت النتائج وجود تحديات تتعلق بالحاجة إلى تدريب مستمر وتطوير أدوات تحليلية متقدمة لضمان التطبيق الأمثل للمعايير</w:t>
      </w:r>
      <w:r w:rsidRPr="00C16C43">
        <w:rPr>
          <w:rFonts w:ascii="Sakkal Majalla" w:hAnsi="Sakkal Majalla" w:cs="Sakkal Majalla"/>
          <w:sz w:val="28"/>
          <w:szCs w:val="28"/>
          <w:lang w:bidi="ar-EG"/>
        </w:rPr>
        <w:t>.</w:t>
      </w:r>
    </w:p>
    <w:p w14:paraId="4584DAF7" w14:textId="77777777" w:rsidR="007B07C5" w:rsidRPr="00C16C43" w:rsidRDefault="007B07C5"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rPr>
        <w:t xml:space="preserve">أوصت الدراسة بضرورة تعزيز تطبيق معايير </w:t>
      </w:r>
      <w:r w:rsidRPr="00C16C43">
        <w:rPr>
          <w:rFonts w:ascii="Sakkal Majalla" w:hAnsi="Sakkal Majalla" w:cs="Sakkal Majalla"/>
          <w:sz w:val="28"/>
          <w:szCs w:val="28"/>
          <w:lang w:bidi="ar-EG"/>
        </w:rPr>
        <w:t xml:space="preserve">ISO 31000 </w:t>
      </w:r>
      <w:r w:rsidRPr="00C16C43">
        <w:rPr>
          <w:rFonts w:ascii="Sakkal Majalla" w:hAnsi="Sakkal Majalla" w:cs="Sakkal Majalla"/>
          <w:sz w:val="28"/>
          <w:szCs w:val="28"/>
          <w:rtl/>
        </w:rPr>
        <w:t>عبر جميع الإدارات، وتطوير برامج تدريب دورية لضمان التزام الموظفين بهذه المعايير، وتحسين الأدوات والأساليب المستخدمة في إدارة المخاطر لتحقيق أقصى قدر من الفعالية. كما توفر الدراسة رؤى عملية يمكن أن تستفيد منها الشركات الكبرى في مختلف القطاعات لتحسين استراتيجيات إدارة المخاطر وتعزيز قدرتها على مواجهة التحديات المستقبلية</w:t>
      </w:r>
      <w:r w:rsidRPr="00C16C43">
        <w:rPr>
          <w:rFonts w:ascii="Sakkal Majalla" w:hAnsi="Sakkal Majalla" w:cs="Sakkal Majalla"/>
          <w:sz w:val="28"/>
          <w:szCs w:val="28"/>
          <w:lang w:bidi="ar-EG"/>
        </w:rPr>
        <w:t>.</w:t>
      </w:r>
    </w:p>
    <w:p w14:paraId="2F837995" w14:textId="77777777" w:rsidR="00A73D65" w:rsidRPr="00C16C43" w:rsidRDefault="007B07C5"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lang w:bidi="ar-EG"/>
        </w:rPr>
      </w:pPr>
      <w:r w:rsidRPr="00C16C43">
        <w:rPr>
          <w:rFonts w:ascii="Sakkal Majalla" w:hAnsi="Sakkal Majalla" w:cs="Sakkal Majalla"/>
          <w:b/>
          <w:bCs/>
          <w:sz w:val="28"/>
          <w:szCs w:val="28"/>
          <w:rtl/>
          <w:lang w:bidi="ar-EG"/>
        </w:rPr>
        <w:t xml:space="preserve">دراسة </w:t>
      </w:r>
      <w:r w:rsidR="00A73D65" w:rsidRPr="00C16C43">
        <w:rPr>
          <w:rFonts w:ascii="Sakkal Majalla" w:hAnsi="Sakkal Majalla" w:cs="Sakkal Majalla"/>
          <w:b/>
          <w:bCs/>
          <w:sz w:val="28"/>
          <w:szCs w:val="28"/>
          <w:lang w:bidi="ar-EG"/>
        </w:rPr>
        <w:t>(Tenrisau et al., 2025)</w:t>
      </w:r>
    </w:p>
    <w:p w14:paraId="6E56BD2B" w14:textId="77777777" w:rsidR="00295FBC" w:rsidRPr="00C16C43" w:rsidRDefault="00295FBC"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هدفت الدراسة إلى فحص دور إدارة المخاطر بأبعادها في تعزيز الأداء التشغيلي بأبعاده وحل المشكلات المتعلقة بالموارد البشرية داخل الشركات، خاصة فيما يتعلق بالمخاطر المحتملة. تم اعتماد المنهج النوعي، حيث تم الاعتماد على مراجعة الأدبيات السابقة والدراسات السابقة لتحليل تأثير إدارة المخاطر على مختلف الجوانب التشغيلية والتنظيمية.</w:t>
      </w:r>
    </w:p>
    <w:p w14:paraId="03245CB6" w14:textId="77777777" w:rsidR="00295FBC" w:rsidRPr="00C16C43" w:rsidRDefault="00295FBC"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أظهرت نتائج الدراسات السابقة أن إدارة المخاطر تلعب دورًا مهمًا في تحسين الأداء التشغيلي ومعالجة المخاطر المرتبطة بالموارد البشرية، حيث تبين أن تطبيق إدارة المخاطر الفعالة يسهم بشكل إيجابي في تعزيز كفاءة العمليات الداخلية وتقليل التحديات المرتبطة بإدارة الموارد البشرية. كما أكدت النتائج أن الأداء التشغيلي والعناصر الداخلية للشركة، وخصوصًا الموارد البشرية، تتأثر إيجابيًا بتطبيق إدارة المخاطر الفعالة، مما يعزز أهمية إدارة المخاطر كعامل أساسي في تحسين بيئة العمل.</w:t>
      </w:r>
    </w:p>
    <w:p w14:paraId="5F463B65" w14:textId="5DA3CC89" w:rsidR="00553D54" w:rsidRPr="00C16C43" w:rsidRDefault="00295FBC" w:rsidP="00C16C43">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sz w:val="28"/>
          <w:szCs w:val="28"/>
          <w:rtl/>
          <w:lang w:bidi="ar-EG"/>
        </w:rPr>
        <w:t>أوصت الدراسة بضرورة توسيع نطاق البحث المستقبلي ليشمل المزيد من العوامل الداخلية في الشركة التي تتأثر بإدارة المخاطر، وذلك لتعزيز صلاحية النتائج وزيادة شمولية الدراسات في مجال إدارة المخاطر.</w:t>
      </w:r>
    </w:p>
    <w:p w14:paraId="5E718FE0" w14:textId="77777777" w:rsidR="00114843" w:rsidRPr="00C16C43" w:rsidRDefault="00114843"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Arnania-Kepuladze (2024)</w:t>
      </w:r>
    </w:p>
    <w:p w14:paraId="45A9767E"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تناولت هذه الدراسة إدارة مخاطر الائتمان في القطاع المصرفي بأبعادها المختلفة، حيث ركزت على تقييم المخاطر، تحسين إجراءات تصنيف المقترضين، والاستفادة من البيانات الضخمة في التنبؤ بقدرة العملاء على السداد، بهدف تعزيز الاستقرار المالي واستدامة النظام المصرفي. كما بحثت في تأثير العوامل الاقتصادية وسلوكيات المقترضين على معدلات القروض المتعثرة، مع تحليل الاستراتيجيات التي يمكن أن تحد من هذه الظاهرة</w:t>
      </w:r>
      <w:r w:rsidRPr="00C16C43">
        <w:rPr>
          <w:rFonts w:ascii="Sakkal Majalla" w:hAnsi="Sakkal Majalla" w:cs="Sakkal Majalla"/>
          <w:sz w:val="28"/>
          <w:szCs w:val="28"/>
        </w:rPr>
        <w:t>.</w:t>
      </w:r>
    </w:p>
    <w:p w14:paraId="11338BC1"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اعتمدت الدراسة على المنهج الوصفي التحليلي، حيث استعرضت الأساليب الحديثة لإدارة المخاطر، مثل استخدام التقنيات الرقمية في التقييم الائتماني، تطبيق الذكاء الاصطناعي والبلوكشين لأتمتة العمليات المالية، وتطوير نماذج تحليل البيانات لتحسين دقة التنبؤ بالمخاطر. كما تناولت الدراسة دور الجهات التنظيمية في فرض المعايير الاحترازية، مراقبة جودة الأصول، وإجراء اختبارات الضغط لضمان قدرة البنوك على مواجهة الأزمات المالية</w:t>
      </w:r>
      <w:r w:rsidRPr="00C16C43">
        <w:rPr>
          <w:rFonts w:ascii="Sakkal Majalla" w:hAnsi="Sakkal Majalla" w:cs="Sakkal Majalla"/>
          <w:sz w:val="28"/>
          <w:szCs w:val="28"/>
        </w:rPr>
        <w:t>.</w:t>
      </w:r>
    </w:p>
    <w:p w14:paraId="018525A3"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أظهرت النتائج أن تبني التقنيات الحديثة يسهم في تحسين دقة التقييمات الائتمانية، مما يقلل من القروض المتعثرة ويعزز الامتثال للمعايير التنظيمية. كما تبين أن الدمج بين الأدوات التحليلية، التأثير التنظيمي، والتفاعل المستمر مع العملاء يساعد في تقليل المخاطر الائتمانية وتعزيز استدامة النظام المصرفي. أوصت الدراسة بضرورة تطوير استراتيجيات متكاملة لإدارة المخاطر تعتمد على التكنولوجيا المالية، وتنويع المحفظة الائتمانية، وتعزيز الضوابط التنظيمية لضمان استقرار القطاع المصرفي</w:t>
      </w:r>
      <w:r w:rsidRPr="00C16C43">
        <w:rPr>
          <w:rFonts w:ascii="Sakkal Majalla" w:hAnsi="Sakkal Majalla" w:cs="Sakkal Majalla"/>
          <w:sz w:val="28"/>
          <w:szCs w:val="28"/>
        </w:rPr>
        <w:t>.</w:t>
      </w:r>
    </w:p>
    <w:p w14:paraId="6C018C5E" w14:textId="77777777" w:rsidR="00114843" w:rsidRPr="00C16C43" w:rsidRDefault="00114843"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Adesanya (2024)</w:t>
      </w:r>
    </w:p>
    <w:p w14:paraId="1272EE29"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ركزت هذه الدراسة على تحليل تأثير سلوك المقترض في تقييم مخاطر الائتمان، حيث تناولت العوامل المرتبطة بتاريخ الائتمان، السلوك المالي، والتحليلات التنبؤية في تحسين دقة نماذج التقييم الائتماني. كما استعرضت كيفية توظيف التحليلات المتقدمة، بما في ذلك البيانات البديلة والذكاء الاصطناعي، في بناء نماذج تنبؤ أكثر دقة ومرونة في توقع المخاطر المالية</w:t>
      </w:r>
      <w:r w:rsidRPr="00C16C43">
        <w:rPr>
          <w:rFonts w:ascii="Sakkal Majalla" w:hAnsi="Sakkal Majalla" w:cs="Sakkal Majalla"/>
          <w:sz w:val="28"/>
          <w:szCs w:val="28"/>
        </w:rPr>
        <w:t>.</w:t>
      </w:r>
    </w:p>
    <w:p w14:paraId="5E274B39"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اعتمدت الدراسة على المنهج الوصفي التحليلي، حيث دمجت بين تحليل البيانات المالية للمقترضين والعوامل الاجتماعية والاقتصادية، بهدف تطوير نموذج شامل للتقييم الائتماني. تم استخدام تقنيات التعلم الآلي والذكاء الاصطناعي لاستخراج الأنماط السلوكية، مما ساعد في التنبؤ بحالات التخلف عن السداد وتحسين عملية اتخاذ القرار في المؤسسات المالية</w:t>
      </w:r>
      <w:r w:rsidRPr="00C16C43">
        <w:rPr>
          <w:rFonts w:ascii="Sakkal Majalla" w:hAnsi="Sakkal Majalla" w:cs="Sakkal Majalla"/>
          <w:sz w:val="28"/>
          <w:szCs w:val="28"/>
        </w:rPr>
        <w:t>.</w:t>
      </w:r>
    </w:p>
    <w:p w14:paraId="247DA99E"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أظهرت النتائج أن تحليل سلوك المقترضين باستخدام البيانات المتقدمة يعزز قدرة البنوك على الحد من المخاطر المالية، كما أن استخدام البيانات البديلة يوفر رؤية أوسع مقارنة بالنماذج التقليدية، مما يساهم في تحسين قرارات الإقراض وزيادة استقرار النظام المالي</w:t>
      </w:r>
      <w:r w:rsidRPr="00C16C43">
        <w:rPr>
          <w:rFonts w:ascii="Sakkal Majalla" w:hAnsi="Sakkal Majalla" w:cs="Sakkal Majalla"/>
          <w:sz w:val="28"/>
          <w:szCs w:val="28"/>
        </w:rPr>
        <w:t>.</w:t>
      </w:r>
    </w:p>
    <w:p w14:paraId="03E0D90F" w14:textId="77777777" w:rsidR="00114843" w:rsidRPr="00C16C43" w:rsidRDefault="00114843"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Beeram &amp; Devi (2024)</w:t>
      </w:r>
    </w:p>
    <w:p w14:paraId="63F3D2F0"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هدفت الدراسة إلى استكشاف تأثير تحسين خوارزميات الذكاء الاصطناعي في تقييم مخاطر الائتمان، حيث ركزت على قياس دقة التقييمات، تقليل الوقت المستغرق في تحليل البيانات، وتعزيز كفاءة اتخاذ القرار في الكشف عن الاحتيال في المعاملات المالية. كما تناولت دور التعلم الآلي وتحليل البيانات في تعزيز قدرات المؤسسات المالية على اكتشاف الأنشطة المشبوهة وتقليل الخسائر المالية</w:t>
      </w:r>
      <w:r w:rsidRPr="00C16C43">
        <w:rPr>
          <w:rFonts w:ascii="Sakkal Majalla" w:hAnsi="Sakkal Majalla" w:cs="Sakkal Majalla"/>
          <w:sz w:val="28"/>
          <w:szCs w:val="28"/>
        </w:rPr>
        <w:t>.</w:t>
      </w:r>
    </w:p>
    <w:p w14:paraId="1BF02DC3"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اعتمدت الدراسة على المنهج الوصفي التحليلي، حيث تم جمع وتحليل بيانات المعاملات المالية باستخدام مجموعة من خوارزميات الذكاء الاصطناعي، مثل الشبكات العصبية، الانحدار اللوجستي، والتعلم العميق، بهدف تحسين دقة التنبؤ بالمخاطر وتقليل الأخطاء في عمليات الإقراض</w:t>
      </w:r>
      <w:r w:rsidRPr="00C16C43">
        <w:rPr>
          <w:rFonts w:ascii="Sakkal Majalla" w:hAnsi="Sakkal Majalla" w:cs="Sakkal Majalla"/>
          <w:sz w:val="28"/>
          <w:szCs w:val="28"/>
        </w:rPr>
        <w:t>.</w:t>
      </w:r>
    </w:p>
    <w:p w14:paraId="68184CE2"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أظهرت النتائج أن تحسين خوارزميات الذكاء الاصطناعي ساعد في تعزيز الكفاءة التشغيلية للمؤسسات المصرفية، كما ساهم في اكتشاف الاحتيال بشكل أسرع وأكثر دقة. أوصت الدراسة بتعزيز استخدام الذكاء الاصطناعي في تحليل البيانات المالية واعتماد نماذج متطورة للكشف المبكر عن الأنشطة غير القانونية</w:t>
      </w:r>
      <w:r w:rsidRPr="00C16C43">
        <w:rPr>
          <w:rFonts w:ascii="Sakkal Majalla" w:hAnsi="Sakkal Majalla" w:cs="Sakkal Majalla"/>
          <w:sz w:val="28"/>
          <w:szCs w:val="28"/>
        </w:rPr>
        <w:t>.</w:t>
      </w:r>
    </w:p>
    <w:p w14:paraId="074A590A" w14:textId="77777777" w:rsidR="00114843" w:rsidRPr="00C16C43" w:rsidRDefault="00114843"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Muhindo et al. (2024)</w:t>
      </w:r>
    </w:p>
    <w:p w14:paraId="4A468D6E"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تناولت هذه الدراسة تأثير تقييم مخاطر الائتمان على كشف الاحتيال في المعاملات المالية، حيث ركزت على دقة التنبؤ بالمخاطر، تقليل معدلات التخلف عن السداد، وتحسين كفاءة القرارات الائتمانية. كما استعرضت أهمية تطبيق تقنيات التعلم الآلي في تحليل الأنماط الاحتيالية والحد من الخسائر المالية</w:t>
      </w:r>
      <w:r w:rsidRPr="00C16C43">
        <w:rPr>
          <w:rFonts w:ascii="Sakkal Majalla" w:hAnsi="Sakkal Majalla" w:cs="Sakkal Majalla"/>
          <w:sz w:val="28"/>
          <w:szCs w:val="28"/>
        </w:rPr>
        <w:t>.</w:t>
      </w:r>
    </w:p>
    <w:p w14:paraId="0FAC82AA"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اعتمدت الدراسة على المنهج الوصفي التحليلي، حيث تم تحليل بيانات المعاملات المالية باستخدام خوارزميات الذكاء الاصطناعي مثل الأشجار القرار، الغابات العشوائية، وآلات المتجهات الداعمة، مما ساعد في تحسين دقة التنبؤ بالحالات الاحتيالية. كما تم التركيز على تحديات توازن البيانات والتفسير التنظيمي للنماذج المستخدمة</w:t>
      </w:r>
      <w:r w:rsidRPr="00C16C43">
        <w:rPr>
          <w:rFonts w:ascii="Sakkal Majalla" w:hAnsi="Sakkal Majalla" w:cs="Sakkal Majalla"/>
          <w:sz w:val="28"/>
          <w:szCs w:val="28"/>
        </w:rPr>
        <w:t>.</w:t>
      </w:r>
    </w:p>
    <w:p w14:paraId="681D7518"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t>أظهرت النتائج أن استخدام تقنيات التعلم الآلي يساهم في تحسين تقييم المخاطر وكشف الاحتيال بشكل أكثر دقة مقارنة بالأساليب التقليدية. كما تبين أن الجمع بين التحليل السلوكي والبيانات الضخمة يعزز كفاءة النماذج ويقلل من الأخطاء. أوصت الدراسة بتطوير أنظمة ذكاء اصطناعي أكثر تفاعلية لتعزيز موثوقية القرارات المالية</w:t>
      </w:r>
      <w:r w:rsidRPr="00C16C43">
        <w:rPr>
          <w:rFonts w:ascii="Sakkal Majalla" w:hAnsi="Sakkal Majalla" w:cs="Sakkal Majalla"/>
          <w:sz w:val="28"/>
          <w:szCs w:val="28"/>
        </w:rPr>
        <w:t>.</w:t>
      </w:r>
    </w:p>
    <w:p w14:paraId="3481DA3F" w14:textId="77777777" w:rsidR="003B16FA" w:rsidRPr="00C16C43" w:rsidRDefault="003B16FA"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Barot (2024)</w:t>
      </w:r>
    </w:p>
    <w:p w14:paraId="749E7B73" w14:textId="77777777" w:rsidR="003B16FA" w:rsidRPr="00C16C43" w:rsidRDefault="003B16FA"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هدفت هذه الدراسة إلى استكشاف دور إدارة المخاطر في نجاح المشاريع الإنشائية، من خلال تحليل تأثيرها على التكلفة، الجدول الزمني، والجودة. كما تناولت أهمية تبني ممارسات فعالة لإدارة المخاطر في المشاريع السكنية والإنشائية الكبرى، بهدف تقليل المخاطر غير المتوقعة وتحسين كفاءة العمليات. تضمنت الدراسة تقييم تأثير أنواع المخاطر المختلفة، مثل المخاطر الفنية، اللوجستية، المالية، والبشرية، على تنفيذ المشاريع. اعتمدت الدراسة على المنهج الوصفي التحليلي، حيث تم جمع وتحليل البيانات من مشاريع متنوعة بهدف تقييم فعالية آليات إدارة المخاطر. أظهرت النتائج الحاجة إلى تطوير استراتيجيات أكثر كفاءة لضمان تنفيذ المشاريع بكفاءة وتقليل الخسائر المحتملة. أوصت الدراسة بتطبيق استراتيجيات تشمل التقييم المستمر للمخاطر، توزيعها بفاعلية، وتعزيز آليات المراقبة لضمان تحقيق أهداف المشاريع وفقًا للخطط الزمنية والمالية المحددة</w:t>
      </w:r>
      <w:r w:rsidRPr="00C16C43">
        <w:rPr>
          <w:rFonts w:ascii="Sakkal Majalla" w:hAnsi="Sakkal Majalla" w:cs="Sakkal Majalla"/>
          <w:sz w:val="28"/>
          <w:szCs w:val="28"/>
        </w:rPr>
        <w:t>.</w:t>
      </w:r>
    </w:p>
    <w:p w14:paraId="7EF2DF70" w14:textId="77777777" w:rsidR="003B16FA" w:rsidRPr="00C16C43" w:rsidRDefault="003B16FA"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lastRenderedPageBreak/>
        <w:t>دراسة</w:t>
      </w:r>
      <w:r w:rsidRPr="00C16C43">
        <w:rPr>
          <w:rFonts w:ascii="Sakkal Majalla" w:hAnsi="Sakkal Majalla" w:cs="Sakkal Majalla"/>
          <w:b/>
          <w:bCs/>
          <w:sz w:val="28"/>
          <w:szCs w:val="28"/>
        </w:rPr>
        <w:t xml:space="preserve"> Alshehhi (2024)</w:t>
      </w:r>
    </w:p>
    <w:p w14:paraId="4672C4D9" w14:textId="77777777" w:rsidR="003B16FA" w:rsidRPr="00C16C43" w:rsidRDefault="003B16FA"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هدفت الدراسة إلى تحليل دور إدارة المخاطر في تحسين كفاءة تنفيذ المشاريع الإنشائية، مع التركيز على تصنيف المخاطر المحتملة ووضع استراتيجيات استباقية لإدارتها. شملت الدراسة تقييم تأثير أبعاد المخاطر المختلفة، مثل المخاطر الفنية، اللوجستية، المالية، والبشرية، على أداء المشاريع. أوضحت النتائج أن التحديد المبكر للمخاطر يرتبط بزيادة كفاءة تنفيذ المشاريع، حيث تحقق المشاريع التي تعتمد على استراتيجيات إدارة المخاطر معدلات أقل من التأخير وقدرة أكبر على التعامل مع التحديات غير المتوقعة. اعتمدت الدراسة على المنهج الوصفي التحليلي، من خلال تحليل أساليب إدارة المخاطر المختلفة، إلى جانب جمع البيانات عبر استبيانات ومقابلات مع أصحاب المصلحة في المشاريع الإنشائية، مثل المهندسين ومديري المشاريع والمخططين، مع توظيف أدوات إحصائية لقياس تأثير إدارة المخاطر على التأخير وتجاوز التكاليف في المشاريع</w:t>
      </w:r>
      <w:r w:rsidRPr="00C16C43">
        <w:rPr>
          <w:rFonts w:ascii="Sakkal Majalla" w:hAnsi="Sakkal Majalla" w:cs="Sakkal Majalla"/>
          <w:sz w:val="28"/>
          <w:szCs w:val="28"/>
        </w:rPr>
        <w:t>.</w:t>
      </w:r>
    </w:p>
    <w:p w14:paraId="3BF687BB" w14:textId="77777777" w:rsidR="003B16FA" w:rsidRPr="00C16C43" w:rsidRDefault="003B16FA"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Alshehhi et al. (2024)</w:t>
      </w:r>
    </w:p>
    <w:p w14:paraId="7BC1F509" w14:textId="77777777" w:rsidR="003B16FA" w:rsidRPr="00C16C43" w:rsidRDefault="003B16FA"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ناقشت هذه الدراسة أهمية إدارة المخاطر في تحسين كفاءة تنفيذ المشاريع الإنشائية، مع التركيز على تحديد المخاطر واعتماد استراتيجيات استباقية لمعالجتها. شملت الدراسة تقييم تأثير أنواع المخاطر المختلفة، مثل المخاطر الفنية، اللوجستية، المالية، والبشرية، على الأداء العام للمشاريع. أشارت النتائج إلى أن غياب ممارسات إدارة المخاطر يؤثر سلبًا على سير العمل، بينما يساهم التحديد المبكر للمخاطر في تقليل التعطيل وتحسين قدرة المشاريع على مواجهة التحديات غير المتوقعة. اعتمدت الدراسة على المنهج الوصفي التحليلي، حيث تم جمع البيانات من خلال استبيانات ومقابلات مع مهندسين ومديري مشاريع ومخططي بناء، مع تحليل البيانات باستخدام الأساليب الإحصائية المختلفة لقياس تأثير إدارة المخاطر على معدلات التأخير وتجاوز التكاليف</w:t>
      </w:r>
      <w:r w:rsidRPr="00C16C43">
        <w:rPr>
          <w:rFonts w:ascii="Sakkal Majalla" w:hAnsi="Sakkal Majalla" w:cs="Sakkal Majalla"/>
          <w:sz w:val="28"/>
          <w:szCs w:val="28"/>
        </w:rPr>
        <w:t>.</w:t>
      </w:r>
    </w:p>
    <w:p w14:paraId="5AE24DE2" w14:textId="77777777" w:rsidR="003B16FA" w:rsidRPr="00C16C43" w:rsidRDefault="003B16FA"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Rehman &amp; Ishak (2023)</w:t>
      </w:r>
    </w:p>
    <w:p w14:paraId="36D2BB6E" w14:textId="77777777" w:rsidR="003B16FA" w:rsidRPr="00C16C43" w:rsidRDefault="003B16FA"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ركزت هذه الدراسة على تحليل مستوى إدارة المخاطر في قطاع الإنشاءات في المملكة العربية السعودية، مع تقييم تأثير العوامل المرتبطة بالمخاطر الإنشائية، مثل العمالة، المعدات، المواد، التصميم، والجوانب المالية والإدارية، على أداء المقاولين وتأثيرها في التأخيرات الزمنية وتجاوز التكاليف. تناولت الدراسة أيضًا المخاطر الناجمة عن تغير نطاق المشروع، النزاعات، التخلي عن المشاريع، وضعف جودة التنفيذ، وعدم كفاءة إدارة المواقع. اعتمدت الدراسة على المنهج الوصفي التحليلي، حيث تم تحليل بيانات 303 من كبرى شركات المقاولات التي تضم أكثر من 250 موظفًا، باستخدام الإحصاء الوصفي، تحليل التعدد الخطي، وتحليل التباين المشترك</w:t>
      </w:r>
      <w:r w:rsidRPr="00C16C43">
        <w:rPr>
          <w:rFonts w:ascii="Sakkal Majalla" w:hAnsi="Sakkal Majalla" w:cs="Sakkal Majalla"/>
          <w:sz w:val="28"/>
          <w:szCs w:val="28"/>
        </w:rPr>
        <w:t xml:space="preserve"> (CMV). </w:t>
      </w:r>
      <w:r w:rsidRPr="00C16C43">
        <w:rPr>
          <w:rFonts w:ascii="Sakkal Majalla" w:hAnsi="Sakkal Majalla" w:cs="Sakkal Majalla"/>
          <w:sz w:val="28"/>
          <w:szCs w:val="28"/>
          <w:rtl/>
        </w:rPr>
        <w:t>كما تم تطبيق مؤشر الأهمية النسبية</w:t>
      </w:r>
      <w:r w:rsidRPr="00C16C43">
        <w:rPr>
          <w:rFonts w:ascii="Sakkal Majalla" w:hAnsi="Sakkal Majalla" w:cs="Sakkal Majalla"/>
          <w:sz w:val="28"/>
          <w:szCs w:val="28"/>
        </w:rPr>
        <w:t xml:space="preserve"> (RII) </w:t>
      </w:r>
      <w:r w:rsidRPr="00C16C43">
        <w:rPr>
          <w:rFonts w:ascii="Sakkal Majalla" w:hAnsi="Sakkal Majalla" w:cs="Sakkal Majalla"/>
          <w:sz w:val="28"/>
          <w:szCs w:val="28"/>
          <w:rtl/>
        </w:rPr>
        <w:t>لتحديد أكثر العوامل تأثيرًا في إدارة المخاطر. كشفت النتائج أن متوسط مستوى إدارة المخاطر في قطاع الإنشاءات في المملكة العربية السعودية كان متوسطًا، مع تحديد العوامل الأكثر تأثيرًا، مثل عمليات التفتيش على السلامة، التعديلات على العقود، نقل المواد، الخسائر المالية، ومراقبة الجودة. أوصت الدراسة بتطوير استراتيجيات أكثر كفاءة لإدارة المخاطر، من خلال وضع معايير مرجعية لتحسين الأداء وتعزيز قدرة المقاولين على التعامل مع المخاطر المحتملة</w:t>
      </w:r>
      <w:r w:rsidRPr="00C16C43">
        <w:rPr>
          <w:rFonts w:ascii="Sakkal Majalla" w:hAnsi="Sakkal Majalla" w:cs="Sakkal Majalla"/>
          <w:sz w:val="28"/>
          <w:szCs w:val="28"/>
        </w:rPr>
        <w:t>.</w:t>
      </w:r>
    </w:p>
    <w:p w14:paraId="4D6D4D1E" w14:textId="77777777" w:rsidR="003B16FA" w:rsidRPr="00C16C43" w:rsidRDefault="003B16FA"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Yue (2023)</w:t>
      </w:r>
    </w:p>
    <w:p w14:paraId="75344FC9" w14:textId="77777777" w:rsidR="003B16FA" w:rsidRPr="00C16C43" w:rsidRDefault="003B16FA"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استهدفت هذه الدراسة تحليل دور إدارة المخاطر في نجاح المشاريع الإنشائية، من خلال دراسة التحديات التي تواجه إدارة المخاطر واقتراح استراتيجيات لتحسين كفاءتها. شملت الدراسة تقييم أبعاد المخاطر المختلفة، مثل المخاطر الفنية، اللوجستية، المالية، والبشرية، وتأثيرها على تحقيق معايير الجودة، الالتزام بالجدول الزمني، وضبط التكاليف. استخدمت الدراسة المنهج الوصفي التحليلي لتحليل الوضع الحالي لإدارة المخاطر في المشاريع الإنشائية، مع جمع البيانات من مشروعات متعددة لدراسة مدى فاعلية ممارسات إدارة المخاطر الحالية. أظهرت النتائج أن أبرز التحديات التي تواجه إدارة المخاطر في المشاريع الإنشائية تتمثل في غياب أنظمة شاملة لتقييم المخاطر وعدم وضوح الاستراتيجيات المستخدمة في مواجهتها، مما يؤدي إلى تأخيرات زمنية وتجاوزات في التكاليف. أوصت الدراسة بضرورة تبني نهج أكثر تكاملًا لإدارة المخاطر، يشمل تحسين عمليات التقييم، تطوير قدرات فرق العمل، واستخدام أنظمة دعم القرار لتحليل المخاطر بفعالية أكبر</w:t>
      </w:r>
      <w:r w:rsidRPr="00C16C43">
        <w:rPr>
          <w:rFonts w:ascii="Sakkal Majalla" w:hAnsi="Sakkal Majalla" w:cs="Sakkal Majalla"/>
          <w:sz w:val="28"/>
          <w:szCs w:val="28"/>
        </w:rPr>
        <w:t>.</w:t>
      </w:r>
    </w:p>
    <w:p w14:paraId="4D22028B" w14:textId="77777777" w:rsidR="00114843" w:rsidRPr="00C16C43" w:rsidRDefault="00114843"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lastRenderedPageBreak/>
        <w:t>دراسة</w:t>
      </w:r>
      <w:r w:rsidRPr="00C16C43">
        <w:rPr>
          <w:rFonts w:ascii="Sakkal Majalla" w:hAnsi="Sakkal Majalla" w:cs="Sakkal Majalla"/>
          <w:b/>
          <w:bCs/>
          <w:sz w:val="28"/>
          <w:szCs w:val="28"/>
        </w:rPr>
        <w:t xml:space="preserve"> Li (2023)</w:t>
      </w:r>
    </w:p>
    <w:p w14:paraId="2CC86CC2"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ناقشت هذه الدراسة تأثير استخدام الشبكات العصبية العميقة في التنبؤ بمخاطر الائتمان، حيث ركزت على تحسين دقة التنبؤ، تعزيز كفاءة الإدارة الائتمانية، وتقليل التكاليف المرتبطة بعمليات تقييم الائتمان. كما تناولت العلاقة بين المتغيرات المؤثرة في تحليل المخاطر، مع تطبيق نموذج متعدد المستويات للشبكات العصبية العميقة في تطوير آلية أكثر دقة للتنبؤ بالمخاطر المالية</w:t>
      </w:r>
      <w:r w:rsidRPr="00C16C43">
        <w:rPr>
          <w:rFonts w:ascii="Sakkal Majalla" w:hAnsi="Sakkal Majalla" w:cs="Sakkal Majalla"/>
          <w:sz w:val="28"/>
          <w:szCs w:val="28"/>
        </w:rPr>
        <w:t>.</w:t>
      </w:r>
    </w:p>
    <w:p w14:paraId="20011549"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اعتمدت الدراسة على المنهج الوصفي التحليلي، حيث تم تطوير نموذج يعتمد على الشبكات العصبية العميقة وتحليل العوامل الأكثر تأثيرًا في تقييم المخاطر. تم اختبار النموذج باستخدام بيانات عملاء أحد البنوك التجارية، بهدف تحسين دقة التقييم الائتماني وتقليل الأخطاء في اتخاذ القرار</w:t>
      </w:r>
      <w:r w:rsidRPr="00C16C43">
        <w:rPr>
          <w:rFonts w:ascii="Sakkal Majalla" w:hAnsi="Sakkal Majalla" w:cs="Sakkal Majalla"/>
          <w:sz w:val="28"/>
          <w:szCs w:val="28"/>
        </w:rPr>
        <w:t>.</w:t>
      </w:r>
    </w:p>
    <w:p w14:paraId="649A5DF2"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t>أظهرت النتائج أن تطبيق الشبكات العصبية العميقة يسهم في تحسين دقة التنبؤ بالمخاطر الائتمانية، مما يساعد المؤسسات المصرفية على إدارة المخاطر بفعالية أعلى. كما تبين أن هذه النماذج تساهم في تعزيز القدرة التنافسية للبنوك من خلال تحسين كفاءة عمليات الإقراض. أوصت الدراسة بضرورة تبني تقنيات الذكاء الاصطناعي المتقدمة في تحليل الائتمان وتحديث قواعد البيانات بشكل دوري لضمان أقصى درجات الدقة والموثوقية</w:t>
      </w:r>
      <w:r w:rsidRPr="00C16C43">
        <w:rPr>
          <w:rFonts w:ascii="Sakkal Majalla" w:hAnsi="Sakkal Majalla" w:cs="Sakkal Majalla"/>
          <w:sz w:val="28"/>
          <w:szCs w:val="28"/>
        </w:rPr>
        <w:t>.</w:t>
      </w:r>
    </w:p>
    <w:p w14:paraId="1112F13F" w14:textId="77777777" w:rsidR="00114843" w:rsidRPr="00C16C43" w:rsidRDefault="00114843"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Abu Rumman (2020)</w:t>
      </w:r>
    </w:p>
    <w:p w14:paraId="1EBDB9AF"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استهدفت هذه الدراسة تحليل أثر إدارة المشاريع على البحوث التعاونية، مع تسليط الضوء على الفروق بين الأساليب المستخدمة في القطاع الصناعي والمؤسسات الأكاديمية. تم استخدام منهج بحثي مختلط شمل المسح والمقابلات مع متخصصين في المجالات الصناعية والبحثية، بهدف استكشاف كيفية تحسين آليات التعاون بين الجامعات والشركات الصناعية</w:t>
      </w:r>
      <w:r w:rsidRPr="00C16C43">
        <w:rPr>
          <w:rFonts w:ascii="Sakkal Majalla" w:hAnsi="Sakkal Majalla" w:cs="Sakkal Majalla"/>
          <w:sz w:val="28"/>
          <w:szCs w:val="28"/>
        </w:rPr>
        <w:t>.</w:t>
      </w:r>
    </w:p>
    <w:p w14:paraId="6F892019" w14:textId="77777777" w:rsidR="00114843" w:rsidRPr="00C16C43" w:rsidRDefault="00114843"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أظهرت النتائج أن المؤسسات الصناعية تركز على عمليات المراقبة والتحكم أثناء تنفيذ المشاريع، في حين أن المؤسسات الأكاديمية تولي اهتمامًا أكبر لمرحلة التخطيط. أوصت الدراسة بضرورة تعزيز </w:t>
      </w:r>
      <w:r w:rsidRPr="00C16C43">
        <w:rPr>
          <w:rFonts w:ascii="Sakkal Majalla" w:hAnsi="Sakkal Majalla" w:cs="Sakkal Majalla"/>
          <w:sz w:val="28"/>
          <w:szCs w:val="28"/>
          <w:rtl/>
        </w:rPr>
        <w:lastRenderedPageBreak/>
        <w:t>التواصل بين القطاعين الأكاديمي والصناعي، مع تبني نهج أكثر مرونة في إدارة المشاريع البحثية لضمان تحقيق الاستفادة القصوى من التعاون المشترك</w:t>
      </w:r>
      <w:r w:rsidRPr="00C16C43">
        <w:rPr>
          <w:rFonts w:ascii="Sakkal Majalla" w:hAnsi="Sakkal Majalla" w:cs="Sakkal Majalla"/>
          <w:sz w:val="28"/>
          <w:szCs w:val="28"/>
        </w:rPr>
        <w:t>.</w:t>
      </w:r>
    </w:p>
    <w:p w14:paraId="2C918DAD" w14:textId="77777777" w:rsidR="003B16FA" w:rsidRPr="00C16C43" w:rsidRDefault="003B16FA"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Abd El Halim (2020)</w:t>
      </w:r>
    </w:p>
    <w:p w14:paraId="4C1F997F" w14:textId="3DD19658" w:rsidR="00C01B80" w:rsidRPr="00C16C43" w:rsidRDefault="003B16FA" w:rsidP="00C16C43">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t>استهدفت هذه الدراسة تقييم مستوى استخدام أدوات إدارة المشاريع في كلية الإدارة والتكنولوجيا في مصر، من خلال تحليل مدى إلمام الأفراد بهذه الأدوات ومدى قابليتهم لتعلمها وتطبيقها في بيئة العمل. ركزت الدراسة على قيادات فرق المشاريع، المشرفين، والمديرين، حيث تم تحليل البيانات باستخدام الأساليب الإحصائية، مثل الإحصاء الوصفي، اختبار الارتباط، وتحليل مربع كاي. أشارت النتائج إلى أن تبني أدوات إدارة المشاريع يعتمد بدرجة كبيرة على العوامل الفردية التي تؤثر في قدرة الأشخاص على التعلم والتطبيق، مما يؤكد أهمية توفير بيئة تعليمية داعمة لتعزيز ممارسات إدارة المشاريع في المؤسسات الأكاديمية</w:t>
      </w:r>
      <w:r w:rsidRPr="00C16C43">
        <w:rPr>
          <w:rFonts w:ascii="Sakkal Majalla" w:hAnsi="Sakkal Majalla" w:cs="Sakkal Majalla"/>
          <w:sz w:val="28"/>
          <w:szCs w:val="28"/>
        </w:rPr>
        <w:t>.</w:t>
      </w:r>
    </w:p>
    <w:p w14:paraId="5C7B3D37" w14:textId="5A1754DD" w:rsidR="003B16FA" w:rsidRPr="00C16C43" w:rsidRDefault="003B16FA"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دراسة</w:t>
      </w:r>
      <w:r w:rsidRPr="00C16C43">
        <w:rPr>
          <w:rFonts w:ascii="Sakkal Majalla" w:hAnsi="Sakkal Majalla" w:cs="Sakkal Majalla"/>
          <w:b/>
          <w:bCs/>
          <w:sz w:val="28"/>
          <w:szCs w:val="28"/>
        </w:rPr>
        <w:t xml:space="preserve"> Al-Raymouni (2020)</w:t>
      </w:r>
    </w:p>
    <w:p w14:paraId="7EE85C64" w14:textId="77777777" w:rsidR="003B16FA" w:rsidRPr="00C16C43" w:rsidRDefault="003B16FA"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تناولت هذه الدراسة تطبيق الإدارة الرشيقة للمشاريع في قطاع الإنشاءات في الأردن، مع التركيز على تحليل العوامل التي تدعم تبني هذه الممارسات أو تعيق تنفيذها. استندت الدراسة إلى مسح ميداني ومقابلات مع مديري المشاريع، حيث تبين أن الإدارة الرشيقة وحدها لا تكفي لضمان إدارة المشاريع الإنشائية بفعالية، مما يستدعي اعتماد نموذج إداري هجين يجمع بين الأساليب التقليدية والرشيقة. أوصت الدراسة بأهمية التحول التدريجي نحو الإدارة الهجينة، مع تعزيز مبادئ الثقة والشفافية في عقود المشاريع الإنشائية لضمان نجاح تطبيق هذه الاستراتيجيات</w:t>
      </w:r>
      <w:r w:rsidRPr="00C16C43">
        <w:rPr>
          <w:rFonts w:ascii="Sakkal Majalla" w:hAnsi="Sakkal Majalla" w:cs="Sakkal Majalla"/>
          <w:sz w:val="28"/>
          <w:szCs w:val="28"/>
        </w:rPr>
        <w:t>.</w:t>
      </w:r>
    </w:p>
    <w:p w14:paraId="40F6DAAA" w14:textId="77777777" w:rsidR="00B16D1F" w:rsidRPr="00C16C43" w:rsidRDefault="00B16D1F" w:rsidP="00706966">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lang w:bidi="ar-EG"/>
        </w:rPr>
      </w:pPr>
      <w:r w:rsidRPr="00C16C43">
        <w:rPr>
          <w:rFonts w:ascii="Sakkal Majalla" w:hAnsi="Sakkal Majalla" w:cs="Sakkal Majalla"/>
          <w:b/>
          <w:bCs/>
          <w:sz w:val="28"/>
          <w:szCs w:val="28"/>
          <w:rtl/>
          <w:lang w:bidi="ar-EG"/>
        </w:rPr>
        <w:t xml:space="preserve">دراسة </w:t>
      </w:r>
      <w:r w:rsidRPr="00C16C43">
        <w:rPr>
          <w:rFonts w:ascii="Sakkal Majalla" w:hAnsi="Sakkal Majalla" w:cs="Sakkal Majalla"/>
          <w:b/>
          <w:bCs/>
          <w:sz w:val="28"/>
          <w:szCs w:val="28"/>
          <w:lang w:bidi="ar-EG"/>
        </w:rPr>
        <w:t>(Cao et al., 2018)</w:t>
      </w:r>
    </w:p>
    <w:p w14:paraId="76FFDCCD" w14:textId="77777777" w:rsidR="0055456B" w:rsidRPr="00C16C43" w:rsidRDefault="0055456B"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 xml:space="preserve">هدفت الدراسة إلى التعرف على دور إدارة المخاطر بأبعادها، والتي تشمل تحديد المخاطر، قياسها وتقييمها، التحكم فيها، والتعامل معها، في تعزيز فعالية إدارة الطوارئ بأبعادها، والتي تتضمن الاستعداد، الاستجابة، والتكيف مع الأزمات. ركزت الدراسة على العلاقة الوثيقة بين إدارة المخاطر وإدارة الطوارئ، </w:t>
      </w:r>
      <w:r w:rsidRPr="00C16C43">
        <w:rPr>
          <w:rFonts w:ascii="Sakkal Majalla" w:hAnsi="Sakkal Majalla" w:cs="Sakkal Majalla"/>
          <w:sz w:val="28"/>
          <w:szCs w:val="28"/>
          <w:rtl/>
          <w:lang w:bidi="ar-EG"/>
        </w:rPr>
        <w:lastRenderedPageBreak/>
        <w:t>حيث تستلزم المخاطر الفعلية تنفيذ أنشطة فعالة لإدارة الطوارئ، بينما تتطلب كل مرحلة من مراحل الطوارئ تحديد المخاطر المحتملة، تقييمها، والتحكم فيها لضمان استجابة ناجحة.</w:t>
      </w:r>
    </w:p>
    <w:p w14:paraId="6D7AABAE" w14:textId="77777777" w:rsidR="0055456B" w:rsidRPr="00C16C43" w:rsidRDefault="0055456B"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اعتمدت الدراسة على المنهج الوصفي التحليلي، حيث تم استعراض وتحليل الأطر النظرية والتطبيقات العملية لإدارة المخاطر في سياق إدارة الطوارئ. أظهرت النتائج أن تطبيق مبادئ إدارة المخاطر بشكل علمي وشامل في جميع مراحل إدارة الطوارئ يسهم في تعزيز كفاءة وفاعلية الاستجابة للأزمات، كما يساعد في الحد من التأثيرات السلبية وتقليل الخسائر.</w:t>
      </w:r>
    </w:p>
    <w:p w14:paraId="6ACC1C73" w14:textId="5FBE3D88" w:rsidR="00B16D1F" w:rsidRPr="00C16C43" w:rsidRDefault="0055456B" w:rsidP="00C16C43">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أوصت الدراسة بأهمية دمج استراتيجيات إدارة المخاطر في جميع مراحل إدارة الطوارئ، مع التركيز على تطوير تقنيات تحليل المخاطر، تعزيز الوعي المؤسسي بأهمية الاستعداد المسبق، وتحسين قدرة المؤسسات على التكيف مع المخاطر غير المتوقعة، مما يساهم في بناء أنظمة أكثر مرونة واستدامة لإدارة الطوارئ.</w:t>
      </w:r>
    </w:p>
    <w:p w14:paraId="5114E4C9" w14:textId="03958626" w:rsidR="00EE65EE"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00811010"/>
      <w:r w:rsidRPr="00C16C43">
        <w:rPr>
          <w:rFonts w:ascii="Sakkal Majalla" w:hAnsi="Sakkal Majalla" w:cs="Sakkal Majalla" w:hint="cs"/>
          <w:b/>
          <w:bCs/>
          <w:sz w:val="36"/>
          <w:szCs w:val="36"/>
          <w:rtl/>
        </w:rPr>
        <w:t xml:space="preserve">7.1 </w:t>
      </w:r>
      <w:r w:rsidR="00882F95" w:rsidRPr="00C16C43">
        <w:rPr>
          <w:rFonts w:ascii="Sakkal Majalla" w:hAnsi="Sakkal Majalla" w:cs="Sakkal Majalla"/>
          <w:b/>
          <w:bCs/>
          <w:sz w:val="36"/>
          <w:szCs w:val="36"/>
          <w:rtl/>
        </w:rPr>
        <w:t>الفجوة البحثية  :</w:t>
      </w:r>
      <w:bookmarkEnd w:id="21"/>
    </w:p>
    <w:p w14:paraId="4FA2AC51" w14:textId="02D1CB65" w:rsidR="00326062" w:rsidRPr="00C16C43" w:rsidRDefault="004E6B36"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تتشابه</w:t>
      </w:r>
      <w:r w:rsidR="00326062" w:rsidRPr="00C16C43">
        <w:rPr>
          <w:rFonts w:ascii="Sakkal Majalla" w:hAnsi="Sakkal Majalla" w:cs="Sakkal Majalla"/>
          <w:sz w:val="28"/>
          <w:szCs w:val="28"/>
          <w:rtl/>
        </w:rPr>
        <w:t xml:space="preserve"> الدراسة الحالية مع الدراسات السابقة في تركيزها على تحليل دور إدارة المخاطر في تحسين الأداء المؤسسي وتعزيز استراتيجيات التعامل مع المخاطر المختلفة في بيئات العمل، خاصة في القطاعات الحيوية مثل الصناعة البتروكيميائية والقطاع المالي والمصرفي والإنشائي. من حيث الهدف، تتفق هذه الدراسة مع الدراسات السابقة في استكشاف تأثير تطبيق معايير إدارة المخاطر، مثل </w:t>
      </w:r>
      <w:r w:rsidR="00326062" w:rsidRPr="00C16C43">
        <w:rPr>
          <w:rFonts w:ascii="Sakkal Majalla" w:hAnsi="Sakkal Majalla" w:cs="Sakkal Majalla"/>
          <w:sz w:val="28"/>
          <w:szCs w:val="28"/>
        </w:rPr>
        <w:t>ISO 31000</w:t>
      </w:r>
      <w:r w:rsidR="00326062" w:rsidRPr="00C16C43">
        <w:rPr>
          <w:rFonts w:ascii="Sakkal Majalla" w:hAnsi="Sakkal Majalla" w:cs="Sakkal Majalla"/>
          <w:sz w:val="28"/>
          <w:szCs w:val="28"/>
          <w:rtl/>
        </w:rPr>
        <w:t>، على تحسين عمليات تحديد المخاطر، تقييمها، والتعامل معها داخل المؤسسات. كما تتفق مع الدراسات التي تناولت تأثير إدارة المخاطر على الأداء التشغيلي، حيث تهدف إلى دراسة مدى فاعلية تطبيق الممارسات الحديثة في إدارة المخاطر وتأثيرها على مرونة المؤسسات وقدرتها على الاستجابة للأزمات والتحديات التنظيمية والمالية</w:t>
      </w:r>
      <w:r w:rsidR="00326062" w:rsidRPr="00C16C43">
        <w:rPr>
          <w:rFonts w:ascii="Sakkal Majalla" w:hAnsi="Sakkal Majalla" w:cs="Sakkal Majalla"/>
          <w:sz w:val="28"/>
          <w:szCs w:val="28"/>
        </w:rPr>
        <w:t>.</w:t>
      </w:r>
    </w:p>
    <w:p w14:paraId="2EB96DBA" w14:textId="77777777" w:rsidR="00326062" w:rsidRPr="00C16C43" w:rsidRDefault="00326062"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من الناحية المنهجية، تعتمد الدراسة الحالية على المنهج الوصفي التحليلي، كما هو الحال في العديد من الدراسات السابقة، حيث تم استخدام أدوات البحث الكمي والنوعي، مثل تحليل الاستبيانات </w:t>
      </w:r>
      <w:r w:rsidRPr="00C16C43">
        <w:rPr>
          <w:rFonts w:ascii="Sakkal Majalla" w:hAnsi="Sakkal Majalla" w:cs="Sakkal Majalla"/>
          <w:sz w:val="28"/>
          <w:szCs w:val="28"/>
          <w:rtl/>
        </w:rPr>
        <w:lastRenderedPageBreak/>
        <w:t xml:space="preserve">والمقابلات مع مسؤولي إدارة المخاطر والموظفين، بالإضافة إلى تحليل الوثائق التنظيمية المتعلقة بالمخاطر. تتشابه هذه المنهجية مع تلك المستخدمة في دراسة </w:t>
      </w:r>
      <w:r w:rsidRPr="00C16C43">
        <w:rPr>
          <w:rFonts w:ascii="Sakkal Majalla" w:hAnsi="Sakkal Majalla" w:cs="Sakkal Majalla"/>
          <w:sz w:val="28"/>
          <w:szCs w:val="28"/>
        </w:rPr>
        <w:t xml:space="preserve">(Al-Naeem et al., 2024) </w:t>
      </w:r>
      <w:r w:rsidRPr="00C16C43">
        <w:rPr>
          <w:rFonts w:ascii="Sakkal Majalla" w:hAnsi="Sakkal Majalla" w:cs="Sakkal Majalla"/>
          <w:sz w:val="28"/>
          <w:szCs w:val="28"/>
          <w:rtl/>
        </w:rPr>
        <w:t xml:space="preserve">التي اعتمدت على تحليل البيانات من خلال استبيانات ومقابلات مع العاملين في قطاع البتروكيميائيات، وكذلك دراسة </w:t>
      </w:r>
      <w:r w:rsidRPr="00C16C43">
        <w:rPr>
          <w:rFonts w:ascii="Sakkal Majalla" w:hAnsi="Sakkal Majalla" w:cs="Sakkal Majalla"/>
          <w:sz w:val="28"/>
          <w:szCs w:val="28"/>
        </w:rPr>
        <w:t xml:space="preserve">(Rehman &amp; Ishak, 2023) </w:t>
      </w:r>
      <w:r w:rsidRPr="00C16C43">
        <w:rPr>
          <w:rFonts w:ascii="Sakkal Majalla" w:hAnsi="Sakkal Majalla" w:cs="Sakkal Majalla"/>
          <w:sz w:val="28"/>
          <w:szCs w:val="28"/>
          <w:rtl/>
        </w:rPr>
        <w:t>التي تناولت تقييم إدارة المخاطر في قطاع المقاولات باستخدام تحليل إحصائي لمجموعة كبيرة من بيانات الشركات. يتضح من ذلك أن الدراسة الحالية تتبع نهجًا بحثيًا متقاربًا من حيث الأساليب والأدوات المستخدمة في تحليل البيانات، مما يعزز موثوقية نتائجها مقارنة بالدراسات السابقة</w:t>
      </w:r>
      <w:r w:rsidRPr="00C16C43">
        <w:rPr>
          <w:rFonts w:ascii="Sakkal Majalla" w:hAnsi="Sakkal Majalla" w:cs="Sakkal Majalla"/>
          <w:sz w:val="28"/>
          <w:szCs w:val="28"/>
        </w:rPr>
        <w:t>.</w:t>
      </w:r>
    </w:p>
    <w:p w14:paraId="1AB34B4B" w14:textId="77777777" w:rsidR="00326062" w:rsidRPr="00C16C43" w:rsidRDefault="00326062"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من حيث بيئة التطبيق، تركز الدراسة الحالية على قطاع البتروكيميائيات في المملكة العربية السعودية، وهو مجال يتسم بالتعقيد والتحديات المتزايدة في إدارة المخاطر، وهو ما يجعل تطبيق المعايير الدولية مثل </w:t>
      </w:r>
      <w:r w:rsidRPr="00C16C43">
        <w:rPr>
          <w:rFonts w:ascii="Sakkal Majalla" w:hAnsi="Sakkal Majalla" w:cs="Sakkal Majalla"/>
          <w:sz w:val="28"/>
          <w:szCs w:val="28"/>
        </w:rPr>
        <w:t xml:space="preserve">ISO 31000 </w:t>
      </w:r>
      <w:r w:rsidRPr="00C16C43">
        <w:rPr>
          <w:rFonts w:ascii="Sakkal Majalla" w:hAnsi="Sakkal Majalla" w:cs="Sakkal Majalla"/>
          <w:sz w:val="28"/>
          <w:szCs w:val="28"/>
          <w:rtl/>
        </w:rPr>
        <w:t xml:space="preserve">ذا أهمية كبيرة في تحسين الأداء المؤسسي. تتشابه هذه الدراسة مع دراسات مثل </w:t>
      </w:r>
      <w:r w:rsidRPr="00C16C43">
        <w:rPr>
          <w:rFonts w:ascii="Sakkal Majalla" w:hAnsi="Sakkal Majalla" w:cs="Sakkal Majalla"/>
          <w:sz w:val="28"/>
          <w:szCs w:val="28"/>
        </w:rPr>
        <w:t xml:space="preserve">(Tenrisau et al., 2025) </w:t>
      </w:r>
      <w:r w:rsidRPr="00C16C43">
        <w:rPr>
          <w:rFonts w:ascii="Sakkal Majalla" w:hAnsi="Sakkal Majalla" w:cs="Sakkal Majalla"/>
          <w:sz w:val="28"/>
          <w:szCs w:val="28"/>
          <w:rtl/>
        </w:rPr>
        <w:t xml:space="preserve">التي تناولت أثر إدارة المخاطر على الأداء التشغيلي وحل مشكلات الموارد البشرية في بيئات العمل المختلفة، كما تتشابه مع دراسة </w:t>
      </w:r>
      <w:r w:rsidRPr="00C16C43">
        <w:rPr>
          <w:rFonts w:ascii="Sakkal Majalla" w:hAnsi="Sakkal Majalla" w:cs="Sakkal Majalla"/>
          <w:sz w:val="28"/>
          <w:szCs w:val="28"/>
        </w:rPr>
        <w:t xml:space="preserve">(Yue, 2023) </w:t>
      </w:r>
      <w:r w:rsidRPr="00C16C43">
        <w:rPr>
          <w:rFonts w:ascii="Sakkal Majalla" w:hAnsi="Sakkal Majalla" w:cs="Sakkal Majalla"/>
          <w:sz w:val="28"/>
          <w:szCs w:val="28"/>
          <w:rtl/>
        </w:rPr>
        <w:t>التي ناقشت أهمية استراتيجيات إدارة المخاطر في نجاح المشاريع الإنشائية وتحقيق الالتزام بالجودة والجدول الزمني. على الرغم من هذا التشابه، إلا أن الدراسة الحالية تميزت بتركيزها على قطاع صناعي معين يتميز بتعقيدات تشغيلية وتنظيمية تستوجب مقاربة أكثر تخصصًا في إدارة المخاطر</w:t>
      </w:r>
      <w:r w:rsidRPr="00C16C43">
        <w:rPr>
          <w:rFonts w:ascii="Sakkal Majalla" w:hAnsi="Sakkal Majalla" w:cs="Sakkal Majalla"/>
          <w:sz w:val="28"/>
          <w:szCs w:val="28"/>
        </w:rPr>
        <w:t>.</w:t>
      </w:r>
    </w:p>
    <w:p w14:paraId="6B5C441A" w14:textId="77777777" w:rsidR="00326062" w:rsidRPr="00C16C43" w:rsidRDefault="00326062"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تختلف الدراسة الحالية عن الدراسات السابقة من حيث تركيزها على تقييم مدى فاعلية تطبيق </w:t>
      </w:r>
      <w:r w:rsidRPr="00C16C43">
        <w:rPr>
          <w:rFonts w:ascii="Sakkal Majalla" w:hAnsi="Sakkal Majalla" w:cs="Sakkal Majalla"/>
          <w:sz w:val="28"/>
          <w:szCs w:val="28"/>
        </w:rPr>
        <w:t xml:space="preserve">ISO 31000 </w:t>
      </w:r>
      <w:r w:rsidRPr="00C16C43">
        <w:rPr>
          <w:rFonts w:ascii="Sakkal Majalla" w:hAnsi="Sakkal Majalla" w:cs="Sakkal Majalla"/>
          <w:sz w:val="28"/>
          <w:szCs w:val="28"/>
          <w:rtl/>
        </w:rPr>
        <w:t xml:space="preserve">في تحسين استراتيجيات إدارة المخاطر، بينما تناولت بعض الدراسات الأخرى إدارة المخاطر من منظور أوسع، مثل دراسة </w:t>
      </w:r>
      <w:r w:rsidRPr="00C16C43">
        <w:rPr>
          <w:rFonts w:ascii="Sakkal Majalla" w:hAnsi="Sakkal Majalla" w:cs="Sakkal Majalla"/>
          <w:sz w:val="28"/>
          <w:szCs w:val="28"/>
        </w:rPr>
        <w:t xml:space="preserve">(Arnania-Kepuladze, 2024) </w:t>
      </w:r>
      <w:r w:rsidRPr="00C16C43">
        <w:rPr>
          <w:rFonts w:ascii="Sakkal Majalla" w:hAnsi="Sakkal Majalla" w:cs="Sakkal Majalla"/>
          <w:sz w:val="28"/>
          <w:szCs w:val="28"/>
          <w:rtl/>
        </w:rPr>
        <w:t xml:space="preserve">التي ركزت على إدارة مخاطر الائتمان في القطاع المصرفي، ودراسة </w:t>
      </w:r>
      <w:r w:rsidRPr="00C16C43">
        <w:rPr>
          <w:rFonts w:ascii="Sakkal Majalla" w:hAnsi="Sakkal Majalla" w:cs="Sakkal Majalla"/>
          <w:sz w:val="28"/>
          <w:szCs w:val="28"/>
        </w:rPr>
        <w:t xml:space="preserve">(Adesanya, 2024) </w:t>
      </w:r>
      <w:r w:rsidRPr="00C16C43">
        <w:rPr>
          <w:rFonts w:ascii="Sakkal Majalla" w:hAnsi="Sakkal Majalla" w:cs="Sakkal Majalla"/>
          <w:sz w:val="28"/>
          <w:szCs w:val="28"/>
          <w:rtl/>
        </w:rPr>
        <w:t>التي ناقشت تأثير تحليل سلوك المقترض في تقييم المخاطر المالية. على الرغم من أن هذه الدراسات سلطت الضوء على أهمية تقييم المخاطر واستخدام الأدوات التحليلية الحديثة مثل الذكاء الاصطناعي، إلا أنها لم تتناول بشكل تفصيلي تطبيق معايير إدارة المخاطر الدولية على قطاع محدد كما هو الحال في هذه الدراسة</w:t>
      </w:r>
      <w:r w:rsidRPr="00C16C43">
        <w:rPr>
          <w:rFonts w:ascii="Sakkal Majalla" w:hAnsi="Sakkal Majalla" w:cs="Sakkal Majalla"/>
          <w:sz w:val="28"/>
          <w:szCs w:val="28"/>
        </w:rPr>
        <w:t>.</w:t>
      </w:r>
    </w:p>
    <w:p w14:paraId="4DAD7AB4" w14:textId="77777777" w:rsidR="00326062" w:rsidRPr="00C16C43" w:rsidRDefault="00326062"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 xml:space="preserve">من ناحية أخرى، ركزت بعض الدراسات السابقة على تطوير استراتيجيات تحليل المخاطر باستخدام أدوات تكنولوجية متقدمة، مثل دراسة </w:t>
      </w:r>
      <w:r w:rsidRPr="00C16C43">
        <w:rPr>
          <w:rFonts w:ascii="Sakkal Majalla" w:hAnsi="Sakkal Majalla" w:cs="Sakkal Majalla"/>
          <w:sz w:val="28"/>
          <w:szCs w:val="28"/>
        </w:rPr>
        <w:t xml:space="preserve">(Beeram &amp; Devi, 2024) </w:t>
      </w:r>
      <w:r w:rsidRPr="00C16C43">
        <w:rPr>
          <w:rFonts w:ascii="Sakkal Majalla" w:hAnsi="Sakkal Majalla" w:cs="Sakkal Majalla"/>
          <w:sz w:val="28"/>
          <w:szCs w:val="28"/>
          <w:rtl/>
        </w:rPr>
        <w:t xml:space="preserve">التي تناولت دور الذكاء الاصطناعي في تقييم مخاطر الائتمان وكشف الاحتيال، ودراسة </w:t>
      </w:r>
      <w:r w:rsidRPr="00C16C43">
        <w:rPr>
          <w:rFonts w:ascii="Sakkal Majalla" w:hAnsi="Sakkal Majalla" w:cs="Sakkal Majalla"/>
          <w:sz w:val="28"/>
          <w:szCs w:val="28"/>
        </w:rPr>
        <w:t xml:space="preserve">(Muhindo et al., 2024) </w:t>
      </w:r>
      <w:r w:rsidRPr="00C16C43">
        <w:rPr>
          <w:rFonts w:ascii="Sakkal Majalla" w:hAnsi="Sakkal Majalla" w:cs="Sakkal Majalla"/>
          <w:sz w:val="28"/>
          <w:szCs w:val="28"/>
          <w:rtl/>
        </w:rPr>
        <w:t>التي ركزت على استخدام تقنيات التعلم الآلي في التنبؤ بالمخاطر المالية. في المقابل، تركز الدراسة الحالية على المعايير المؤسسية لإدارة المخاطر دون التركيز بشكل أساسي على الجوانب التكنولوجية المتقدمة، مما يجعلها أكثر ارتباطًا بالإدارة التقليدية للمخاطر داخل المؤسسات الصناعية الكبرى</w:t>
      </w:r>
      <w:r w:rsidRPr="00C16C43">
        <w:rPr>
          <w:rFonts w:ascii="Sakkal Majalla" w:hAnsi="Sakkal Majalla" w:cs="Sakkal Majalla"/>
          <w:sz w:val="28"/>
          <w:szCs w:val="28"/>
        </w:rPr>
        <w:t>.</w:t>
      </w:r>
    </w:p>
    <w:p w14:paraId="13491C8B" w14:textId="77777777" w:rsidR="00326062" w:rsidRPr="00C16C43" w:rsidRDefault="00326062"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تكمن الفجوة البحثية الرئيسية في أن معظم الدراسات السابقة تناولت إدارة المخاطر من منظور عام أو في قطاعات مختلفة، مثل التمويل، الإنشاءات، والمشاريع البحثية، بينما تركز الدراسة الحالية على قطاع البتروكيميائيات وتطبيق </w:t>
      </w:r>
      <w:r w:rsidRPr="00C16C43">
        <w:rPr>
          <w:rFonts w:ascii="Sakkal Majalla" w:hAnsi="Sakkal Majalla" w:cs="Sakkal Majalla"/>
          <w:sz w:val="28"/>
          <w:szCs w:val="28"/>
        </w:rPr>
        <w:t xml:space="preserve">ISO 31000 </w:t>
      </w:r>
      <w:r w:rsidRPr="00C16C43">
        <w:rPr>
          <w:rFonts w:ascii="Sakkal Majalla" w:hAnsi="Sakkal Majalla" w:cs="Sakkal Majalla"/>
          <w:sz w:val="28"/>
          <w:szCs w:val="28"/>
          <w:rtl/>
        </w:rPr>
        <w:t xml:space="preserve">كإطار تنظيمي لتحسين إدارة المخاطر. كما أن الدراسات السابقة لم تقدم تقييمًا شاملاً لتأثير هذه المعايير على ثقافة المخاطر داخل المؤسسة، وهو ما تسعى الدراسة الحالية إلى معالجته من خلال استكشاف مدى وعي الموظفين والممارسات المؤسسية المرتبطة بتطبيق </w:t>
      </w:r>
      <w:r w:rsidRPr="00C16C43">
        <w:rPr>
          <w:rFonts w:ascii="Sakkal Majalla" w:hAnsi="Sakkal Majalla" w:cs="Sakkal Majalla"/>
          <w:sz w:val="28"/>
          <w:szCs w:val="28"/>
        </w:rPr>
        <w:t xml:space="preserve">ISO 31000. </w:t>
      </w:r>
      <w:r w:rsidRPr="00C16C43">
        <w:rPr>
          <w:rFonts w:ascii="Sakkal Majalla" w:hAnsi="Sakkal Majalla" w:cs="Sakkal Majalla"/>
          <w:sz w:val="28"/>
          <w:szCs w:val="28"/>
          <w:rtl/>
        </w:rPr>
        <w:t>بالإضافة إلى ذلك، تركز الدراسة الحالية على التحديات التي تواجه المؤسسات عند تطبيق هذه المعايير، مثل الحاجة إلى تدريب مستمر وتطوير أدوات تحليلية متقدمة، وهو جانب لم يتم تناوله بعمق في معظم الدراسات السابقة</w:t>
      </w:r>
      <w:r w:rsidRPr="00C16C43">
        <w:rPr>
          <w:rFonts w:ascii="Sakkal Majalla" w:hAnsi="Sakkal Majalla" w:cs="Sakkal Majalla"/>
          <w:sz w:val="28"/>
          <w:szCs w:val="28"/>
        </w:rPr>
        <w:t>.</w:t>
      </w:r>
    </w:p>
    <w:p w14:paraId="76D8A91B" w14:textId="77777777" w:rsidR="00326062" w:rsidRPr="00C16C43" w:rsidRDefault="00326062"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بناءً على ما سبق، تساهم الدراسة الحالية في سد الفجوة البحثية من خلال تقديم تحليل متكامل لكيفية تأثير تطبيق معايير </w:t>
      </w:r>
      <w:r w:rsidRPr="00C16C43">
        <w:rPr>
          <w:rFonts w:ascii="Sakkal Majalla" w:hAnsi="Sakkal Majalla" w:cs="Sakkal Majalla"/>
          <w:sz w:val="28"/>
          <w:szCs w:val="28"/>
        </w:rPr>
        <w:t xml:space="preserve">ISO 31000 </w:t>
      </w:r>
      <w:r w:rsidRPr="00C16C43">
        <w:rPr>
          <w:rFonts w:ascii="Sakkal Majalla" w:hAnsi="Sakkal Majalla" w:cs="Sakkal Majalla"/>
          <w:sz w:val="28"/>
          <w:szCs w:val="28"/>
          <w:rtl/>
        </w:rPr>
        <w:t>على إدارة المخاطر في قطاع البتروكيميائيات، مع التركيز على العوامل التنظيمية، التشغيلية، والتدريبية التي تؤثر على نجاح هذه الممارسات. كما تقدم الدراسة رؤى عملية يمكن أن تستفيد منها الشركات الكبرى في مختلف القطاعات لتعزيز كفاءة إدارة المخاطر وتعزيز مرونتها في مواجهة التحديات المتغيرة في بيئة الأعمال</w:t>
      </w:r>
      <w:r w:rsidRPr="00C16C43">
        <w:rPr>
          <w:rFonts w:ascii="Sakkal Majalla" w:hAnsi="Sakkal Majalla" w:cs="Sakkal Majalla"/>
          <w:sz w:val="28"/>
          <w:szCs w:val="28"/>
        </w:rPr>
        <w:t>.</w:t>
      </w:r>
    </w:p>
    <w:p w14:paraId="59EAB505" w14:textId="4B99FE37" w:rsidR="00C16C43" w:rsidRPr="00C16C43" w:rsidRDefault="00C16C43" w:rsidP="00C16C43">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00811011"/>
      <w:bookmarkStart w:id="23" w:name="_Toc169370872"/>
      <w:bookmarkStart w:id="24" w:name="_Toc169565916"/>
      <w:bookmarkEnd w:id="19"/>
      <w:bookmarkEnd w:id="20"/>
      <w:r w:rsidRPr="00C16C43">
        <w:rPr>
          <w:rFonts w:ascii="Sakkal Majalla" w:hAnsi="Sakkal Majalla" w:cs="Sakkal Majalla"/>
          <w:b/>
          <w:bCs/>
          <w:sz w:val="36"/>
          <w:szCs w:val="36"/>
          <w:rtl/>
        </w:rPr>
        <w:t>8.1 المنطلقات النظرية للدراسة:</w:t>
      </w:r>
      <w:bookmarkEnd w:id="22"/>
    </w:p>
    <w:p w14:paraId="335EF6C3" w14:textId="77777777" w:rsidR="003F6C6D" w:rsidRPr="00C16C43" w:rsidRDefault="003F6C6D" w:rsidP="00706966">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البعد التنظيمي والتشريعي</w:t>
      </w:r>
    </w:p>
    <w:p w14:paraId="5D2D6B22" w14:textId="77777777" w:rsidR="003F6C6D" w:rsidRPr="00C16C43" w:rsidRDefault="003F6C6D"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 xml:space="preserve">يتعلق هذا البعد بالإطار القانوني والسياسات والإجراءات التي تنظم إدارة المخاطر داخل المؤسسات، حيث يشمل الامتثال للمعايير الوطنية والدولية المتعلقة بإدارة الطوارئ، مثل </w:t>
      </w:r>
      <w:r w:rsidRPr="00C16C43">
        <w:rPr>
          <w:rFonts w:ascii="Sakkal Majalla" w:hAnsi="Sakkal Majalla" w:cs="Sakkal Majalla"/>
          <w:b/>
          <w:bCs/>
          <w:sz w:val="28"/>
          <w:szCs w:val="28"/>
        </w:rPr>
        <w:t>ISO 31000</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 xml:space="preserve">ومعايير السلامة المهنية. وفقًا لدراسة </w:t>
      </w:r>
      <w:r w:rsidRPr="00C16C43">
        <w:rPr>
          <w:rFonts w:ascii="Sakkal Majalla" w:hAnsi="Sakkal Majalla" w:cs="Sakkal Majalla"/>
          <w:b/>
          <w:bCs/>
          <w:sz w:val="28"/>
          <w:szCs w:val="28"/>
        </w:rPr>
        <w:t>Al-Naeem et al. (2024)</w:t>
      </w:r>
      <w:r w:rsidRPr="00C16C43">
        <w:rPr>
          <w:rFonts w:ascii="Sakkal Majalla" w:hAnsi="Sakkal Majalla" w:cs="Sakkal Majalla"/>
          <w:sz w:val="28"/>
          <w:szCs w:val="28"/>
          <w:rtl/>
        </w:rPr>
        <w:t xml:space="preserve">، فإن الالتزام بالمعايير التنظيمية يساهم في تحسين فعالية إدارة المخاطر وتعزيز الجاهزية المؤسسية لمواجهة الأزمات. كما أوضحت دراسة </w:t>
      </w:r>
      <w:r w:rsidRPr="00C16C43">
        <w:rPr>
          <w:rFonts w:ascii="Sakkal Majalla" w:hAnsi="Sakkal Majalla" w:cs="Sakkal Majalla"/>
          <w:b/>
          <w:bCs/>
          <w:sz w:val="28"/>
          <w:szCs w:val="28"/>
        </w:rPr>
        <w:t>Cao et al. (2018)</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أن وجود إطار تنظيمي واضح يسهل تنفيذ استراتيجيات إدارة المخاطر بشكل فعال، مما يعزز سرعة الاستجابة للطوارئ وتقليل الخسائر المحتملة</w:t>
      </w:r>
      <w:r w:rsidRPr="00C16C43">
        <w:rPr>
          <w:rFonts w:ascii="Sakkal Majalla" w:hAnsi="Sakkal Majalla" w:cs="Sakkal Majalla"/>
          <w:sz w:val="28"/>
          <w:szCs w:val="28"/>
        </w:rPr>
        <w:t>.</w:t>
      </w:r>
    </w:p>
    <w:p w14:paraId="3273DE74" w14:textId="77777777" w:rsidR="003F6C6D" w:rsidRPr="00C16C43" w:rsidRDefault="003F6C6D" w:rsidP="00706966">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البعد الفني والتطبيقي</w:t>
      </w:r>
    </w:p>
    <w:p w14:paraId="2229DF96" w14:textId="77777777" w:rsidR="003F6C6D" w:rsidRPr="00C16C43" w:rsidRDefault="003F6C6D"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يركز هذا البعد على استخدام الأدوات والتقنيات الحديثة في تحديد المخاطر، تقييمها، ومعالجتها، مثل تطبيقات الذكاء الاصطناعي، تحليل البيانات الضخمة، وتقنيات التنبؤ بالمخاطر. أشارت دراسة </w:t>
      </w:r>
      <w:r w:rsidRPr="00C16C43">
        <w:rPr>
          <w:rFonts w:ascii="Sakkal Majalla" w:hAnsi="Sakkal Majalla" w:cs="Sakkal Majalla"/>
          <w:b/>
          <w:bCs/>
          <w:sz w:val="28"/>
          <w:szCs w:val="28"/>
        </w:rPr>
        <w:t>Beeram &amp; Devi (2024)</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 xml:space="preserve">إلى أن تطوير خوارزميات الذكاء الاصطناعي يساهم في تحسين دقة تقييم المخاطر والاستجابة للأزمات بشكل أكثر فاعلية. كما أكدت دراسة </w:t>
      </w:r>
      <w:r w:rsidRPr="00C16C43">
        <w:rPr>
          <w:rFonts w:ascii="Sakkal Majalla" w:hAnsi="Sakkal Majalla" w:cs="Sakkal Majalla"/>
          <w:b/>
          <w:bCs/>
          <w:sz w:val="28"/>
          <w:szCs w:val="28"/>
        </w:rPr>
        <w:t>Arnania-Kepuladze (2024)</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على أهمية دمج التكنولوجيا في عمليات إدارة المخاطر، حيث أظهرت أن استخدام التقنيات المتقدمة يسهم في الحد من الأخطاء التشغيلية وزيادة سرعة الاستجابة لحالات الطوارئ</w:t>
      </w:r>
      <w:r w:rsidRPr="00C16C43">
        <w:rPr>
          <w:rFonts w:ascii="Sakkal Majalla" w:hAnsi="Sakkal Majalla" w:cs="Sakkal Majalla"/>
          <w:sz w:val="28"/>
          <w:szCs w:val="28"/>
        </w:rPr>
        <w:t>.</w:t>
      </w:r>
    </w:p>
    <w:p w14:paraId="3B732FFF" w14:textId="77777777" w:rsidR="003F6C6D" w:rsidRPr="00C16C43" w:rsidRDefault="003F6C6D" w:rsidP="00706966">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البعد البشري والتدريبي</w:t>
      </w:r>
    </w:p>
    <w:p w14:paraId="4D050D72" w14:textId="77777777" w:rsidR="003F6C6D" w:rsidRPr="00C16C43" w:rsidRDefault="003F6C6D"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يتمثل هذا البعد في تطوير قدرات العاملين وتأهيلهم لمواجهة الطوارئ، من خلال التدريب المستمر ورفع الوعي حول المخاطر المحتملة وآليات التعامل معها. أوضحت دراسة </w:t>
      </w:r>
      <w:r w:rsidRPr="00C16C43">
        <w:rPr>
          <w:rFonts w:ascii="Sakkal Majalla" w:hAnsi="Sakkal Majalla" w:cs="Sakkal Majalla"/>
          <w:b/>
          <w:bCs/>
          <w:sz w:val="28"/>
          <w:szCs w:val="28"/>
        </w:rPr>
        <w:t>Tenrisau et al. (2025)</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 xml:space="preserve">أن التدريب المكثف للموظفين يعزز من قدرتهم على التصرف السريع والفعال أثناء الأزمات، مما يقلل من الخسائر التشغيلية ويضمن استمرارية العمل. كما أشارت دراسة </w:t>
      </w:r>
      <w:r w:rsidRPr="00C16C43">
        <w:rPr>
          <w:rFonts w:ascii="Sakkal Majalla" w:hAnsi="Sakkal Majalla" w:cs="Sakkal Majalla"/>
          <w:b/>
          <w:bCs/>
          <w:sz w:val="28"/>
          <w:szCs w:val="28"/>
        </w:rPr>
        <w:t>Risk Management (2022)</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إلى أن غياب التدريب الكافي يؤدي إلى انخفاض كفاءة استجابة العاملين للطوارئ، مما يؤثر سلبًا على أداء المؤسسة وقدرتها على التكيف مع الأزمات المفاجئة</w:t>
      </w:r>
      <w:r w:rsidRPr="00C16C43">
        <w:rPr>
          <w:rFonts w:ascii="Sakkal Majalla" w:hAnsi="Sakkal Majalla" w:cs="Sakkal Majalla"/>
          <w:sz w:val="28"/>
          <w:szCs w:val="28"/>
        </w:rPr>
        <w:t>.</w:t>
      </w:r>
    </w:p>
    <w:p w14:paraId="55E1B703" w14:textId="77777777" w:rsidR="003F6C6D" w:rsidRPr="00C16C43" w:rsidRDefault="003F6C6D" w:rsidP="00706966">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البعد الاقتصادي والإداري</w:t>
      </w:r>
    </w:p>
    <w:p w14:paraId="4F36DDCF" w14:textId="77777777" w:rsidR="003F6C6D" w:rsidRPr="00C16C43" w:rsidRDefault="003F6C6D"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 xml:space="preserve">يرتبط هذا البعد بالتكاليف المالية المرتبطة بإدارة المخاطر ومدى تأثيرها على الأداء الإداري والمالي للمؤسسة، حيث يشمل تحليل العوائد مقابل التكاليف، وتقييم استراتيجيات تخفيف المخاطر من منظور اقتصادي. أكدت دراسة </w:t>
      </w:r>
      <w:r w:rsidRPr="00C16C43">
        <w:rPr>
          <w:rFonts w:ascii="Sakkal Majalla" w:hAnsi="Sakkal Majalla" w:cs="Sakkal Majalla"/>
          <w:b/>
          <w:bCs/>
          <w:sz w:val="28"/>
          <w:szCs w:val="28"/>
        </w:rPr>
        <w:t>Rehman &amp; Ishak (2023)</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 xml:space="preserve">أن الاستثمار في أنظمة متقدمة لإدارة المخاطر يؤدي إلى تحسين الكفاءة التشغيلية وتقليل التكاليف الناتجة عن الأزمات غير المتوقعة. كما أوضحت دراسة </w:t>
      </w:r>
      <w:r w:rsidRPr="00C16C43">
        <w:rPr>
          <w:rFonts w:ascii="Sakkal Majalla" w:hAnsi="Sakkal Majalla" w:cs="Sakkal Majalla"/>
          <w:b/>
          <w:bCs/>
          <w:sz w:val="28"/>
          <w:szCs w:val="28"/>
        </w:rPr>
        <w:t>Barot (2024)</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أن تطبيق استراتيجيات إدارة المخاطر يسهم في تقليل تكاليف التأخير في المشاريع وتحسين أداء المؤسسة من الناحية المالية والإدارية</w:t>
      </w:r>
      <w:r w:rsidRPr="00C16C43">
        <w:rPr>
          <w:rFonts w:ascii="Sakkal Majalla" w:hAnsi="Sakkal Majalla" w:cs="Sakkal Majalla"/>
          <w:sz w:val="28"/>
          <w:szCs w:val="28"/>
        </w:rPr>
        <w:t>.</w:t>
      </w:r>
    </w:p>
    <w:p w14:paraId="06E82160" w14:textId="77777777" w:rsidR="003F6C6D" w:rsidRPr="00C16C43" w:rsidRDefault="003F6C6D" w:rsidP="00706966">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Pr>
      </w:pPr>
      <w:r w:rsidRPr="00C16C43">
        <w:rPr>
          <w:rFonts w:ascii="Sakkal Majalla" w:hAnsi="Sakkal Majalla" w:cs="Sakkal Majalla"/>
          <w:b/>
          <w:bCs/>
          <w:sz w:val="28"/>
          <w:szCs w:val="28"/>
          <w:rtl/>
        </w:rPr>
        <w:t>البعد التحديدي والاستراتيجي</w:t>
      </w:r>
    </w:p>
    <w:p w14:paraId="125504D1" w14:textId="77777777" w:rsidR="003F6C6D" w:rsidRPr="00C16C43" w:rsidRDefault="003F6C6D" w:rsidP="00C16C43">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يتعلق هذا البعد بوضع استراتيجيات متكاملة لإدارة المخاطر، من خلال تحديد التحديات المستقبلية وتطوير خطط استباقية للتعامل معها، بما في ذلك التخطيط للطوارئ، وضع سيناريوهات مختلفة، وتقييم مدى جاهزية المؤسسة لمواجهة المخاطر المحتملة. أشارت دراسة </w:t>
      </w:r>
      <w:r w:rsidRPr="00C16C43">
        <w:rPr>
          <w:rFonts w:ascii="Sakkal Majalla" w:hAnsi="Sakkal Majalla" w:cs="Sakkal Majalla"/>
          <w:b/>
          <w:bCs/>
          <w:sz w:val="28"/>
          <w:szCs w:val="28"/>
        </w:rPr>
        <w:t>Yue (2023)</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 xml:space="preserve">إلى أن تبني نهج استراتيجي متكامل يساعد المؤسسات على تحقيق استجابة أكثر كفاءة للطوارئ، من خلال تعزيز قدرة المؤسسة على التكيف مع المتغيرات المفاجئة. كما أكدت دراسة </w:t>
      </w:r>
      <w:r w:rsidRPr="00C16C43">
        <w:rPr>
          <w:rFonts w:ascii="Sakkal Majalla" w:hAnsi="Sakkal Majalla" w:cs="Sakkal Majalla"/>
          <w:b/>
          <w:bCs/>
          <w:sz w:val="28"/>
          <w:szCs w:val="28"/>
        </w:rPr>
        <w:t>Li (2023)</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أن استخدام النماذج التنبؤية والاستراتيجيات الاستباقية يسهم في تحسين إدارة المخاطر وتقليل التأثير السلبي للأزمات على العمليات التشغيلية</w:t>
      </w:r>
      <w:r w:rsidRPr="00C16C43">
        <w:rPr>
          <w:rFonts w:ascii="Sakkal Majalla" w:hAnsi="Sakkal Majalla" w:cs="Sakkal Majalla"/>
          <w:sz w:val="28"/>
          <w:szCs w:val="28"/>
        </w:rPr>
        <w:t>.</w:t>
      </w:r>
    </w:p>
    <w:p w14:paraId="65F0D9DA" w14:textId="72DBB837" w:rsidR="003F6C6D" w:rsidRPr="006858BA" w:rsidRDefault="006858BA" w:rsidP="006858BA">
      <w:pPr>
        <w:outlineLvl w:val="1"/>
        <w:rPr>
          <w:rFonts w:ascii="Sakkal Majalla" w:hAnsi="Sakkal Majalla" w:cs="Sakkal Majalla"/>
          <w:b/>
          <w:bCs/>
          <w:sz w:val="36"/>
          <w:szCs w:val="36"/>
          <w:rtl/>
        </w:rPr>
      </w:pPr>
      <w:bookmarkStart w:id="25" w:name="_Toc200811012"/>
      <w:r w:rsidRPr="006858BA">
        <w:rPr>
          <w:rFonts w:ascii="Sakkal Majalla" w:hAnsi="Sakkal Majalla" w:cs="Sakkal Majalla"/>
          <w:b/>
          <w:bCs/>
          <w:sz w:val="36"/>
          <w:szCs w:val="36"/>
          <w:rtl/>
        </w:rPr>
        <w:t>9.1 المنهجية وطرق البحث:</w:t>
      </w:r>
      <w:bookmarkEnd w:id="25"/>
    </w:p>
    <w:p w14:paraId="3CEB3FDC" w14:textId="77777777" w:rsidR="0020265D" w:rsidRPr="00C16C43" w:rsidRDefault="0020265D" w:rsidP="006858BA">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bookmarkStart w:id="26" w:name="_Toc169565917"/>
      <w:bookmarkEnd w:id="23"/>
      <w:bookmarkEnd w:id="24"/>
      <w:r w:rsidRPr="00C16C43">
        <w:rPr>
          <w:rFonts w:ascii="Sakkal Majalla" w:hAnsi="Sakkal Majalla" w:cs="Sakkal Majalla"/>
          <w:sz w:val="28"/>
          <w:szCs w:val="28"/>
          <w:rtl/>
          <w:lang w:bidi="ar-EG"/>
        </w:rPr>
        <w:t>تعتمد الدراسة على المنهج الوصفي التحليلي، حيث يهدف هذا المنهج إلى تحليل تأثير أبعاد إدارة المخاطر على تعزيز الاستجابة الفعالة لحالات الطوارئ في مواقع العمل داخل شركة أرامكو السعودية. يتيح هذا المنهج إمكانية دراسة العلاقة بين المتغيرات وتحليل البيانات المتعلقة بممارسات إدارة المخاطر وتأثيرها على استراتيجيات الطوارئ، من خلال الاعتماد على البيانات الكمية والنوعية.</w:t>
      </w:r>
    </w:p>
    <w:p w14:paraId="373D0758" w14:textId="387F7201" w:rsidR="004B1801" w:rsidRPr="006858BA" w:rsidRDefault="006858BA" w:rsidP="006858BA">
      <w:pPr>
        <w:pStyle w:val="a5"/>
        <w:spacing w:before="100" w:beforeAutospacing="1" w:after="100" w:afterAutospacing="1" w:line="360" w:lineRule="auto"/>
        <w:ind w:left="0"/>
        <w:contextualSpacing w:val="0"/>
        <w:jc w:val="both"/>
        <w:outlineLvl w:val="1"/>
        <w:rPr>
          <w:rFonts w:ascii="Sakkal Majalla" w:hAnsi="Sakkal Majalla" w:cs="Sakkal Majalla"/>
          <w:b/>
          <w:bCs/>
          <w:sz w:val="36"/>
          <w:szCs w:val="36"/>
          <w:rtl/>
          <w:lang w:bidi="ar-EG"/>
        </w:rPr>
      </w:pPr>
      <w:bookmarkStart w:id="27" w:name="_Toc200811013"/>
      <w:r w:rsidRPr="006858BA">
        <w:rPr>
          <w:rFonts w:ascii="Sakkal Majalla" w:hAnsi="Sakkal Majalla" w:cs="Sakkal Majalla" w:hint="cs"/>
          <w:b/>
          <w:bCs/>
          <w:sz w:val="36"/>
          <w:szCs w:val="36"/>
          <w:rtl/>
          <w:lang w:bidi="ar-EG"/>
        </w:rPr>
        <w:t xml:space="preserve">10.1 </w:t>
      </w:r>
      <w:r w:rsidR="004B1801" w:rsidRPr="006858BA">
        <w:rPr>
          <w:rFonts w:ascii="Sakkal Majalla" w:hAnsi="Sakkal Majalla" w:cs="Sakkal Majalla"/>
          <w:b/>
          <w:bCs/>
          <w:sz w:val="36"/>
          <w:szCs w:val="36"/>
          <w:rtl/>
          <w:lang w:bidi="ar-EG"/>
        </w:rPr>
        <w:t>تصميم الدراسة</w:t>
      </w:r>
      <w:bookmarkEnd w:id="27"/>
    </w:p>
    <w:p w14:paraId="01731620" w14:textId="6E29E8FC" w:rsidR="00D564CE" w:rsidRPr="00C16C43" w:rsidRDefault="00D564CE" w:rsidP="006858BA">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lastRenderedPageBreak/>
        <w:t xml:space="preserve">تعتمد الدراسة على المنهج الوصفي التحليلي، حيث يهدف هذا المنهج إلى </w:t>
      </w:r>
      <w:bookmarkStart w:id="28" w:name="_Hlk192359403"/>
      <w:r w:rsidRPr="00C16C43">
        <w:rPr>
          <w:rFonts w:ascii="Sakkal Majalla" w:hAnsi="Sakkal Majalla" w:cs="Sakkal Majalla"/>
          <w:sz w:val="28"/>
          <w:szCs w:val="28"/>
          <w:rtl/>
          <w:lang w:bidi="ar-EG"/>
        </w:rPr>
        <w:t>تحليل تأثير أبعاد إدارة المخاطر على تعزيز الاستجابة الفعالة لحالات الطوارئ في مواقع العمل داخل شركة أرامكو السعودية</w:t>
      </w:r>
      <w:bookmarkEnd w:id="28"/>
      <w:r w:rsidRPr="00C16C43">
        <w:rPr>
          <w:rFonts w:ascii="Sakkal Majalla" w:hAnsi="Sakkal Majalla" w:cs="Sakkal Majalla"/>
          <w:sz w:val="28"/>
          <w:szCs w:val="28"/>
          <w:rtl/>
          <w:lang w:bidi="ar-EG"/>
        </w:rPr>
        <w:t>. يتيح هذا المنهج إمكانية دراسة العلاقة بين المتغيرات وتحليل البيانات المتعلقة بممارسات إدارة المخاطر وتأثيرها على استراتيجيات الطوارئ، من خلال الاعتماد على البيانات الكمية والنوعية.</w:t>
      </w:r>
      <w:r w:rsidRPr="00C16C43">
        <w:rPr>
          <w:rFonts w:ascii="Sakkal Majalla" w:hAnsi="Sakkal Majalla" w:cs="Sakkal Majalla"/>
          <w:sz w:val="28"/>
          <w:szCs w:val="28"/>
          <w:rtl/>
        </w:rPr>
        <w:t xml:space="preserve"> </w:t>
      </w:r>
      <w:r w:rsidRPr="00C16C43">
        <w:rPr>
          <w:rFonts w:ascii="Sakkal Majalla" w:hAnsi="Sakkal Majalla" w:cs="Sakkal Majalla"/>
          <w:sz w:val="28"/>
          <w:szCs w:val="28"/>
          <w:rtl/>
          <w:lang w:bidi="ar-EG"/>
        </w:rPr>
        <w:t>تم استخدام مجموعة من الأدوات البحثية لجمع البيانات، شملت الاستبيانات المصممة لاستهداف العاملين في أقسام إدارة المخاطر والطوارئ، بالإضافة إلى المقابلات شبه المنظمة مع المسؤولين عن تنفيذ سياسات إدارة المخاطر في الشركة. كما تم تحليل الوثائق الداخلية والتقارير الخاصة بالإجراءات التنظيمية والتشريعية المتعلقة بإدارة المخاطر والطوارئ، بهدف توفير فهم أعمق للممارسات الحالية والتحديات المرتبطة بتطبيق استراتيجيات إدارة المخاطر.</w:t>
      </w:r>
    </w:p>
    <w:p w14:paraId="3B4F8958" w14:textId="0DF43F37" w:rsidR="004B1801" w:rsidRPr="00C16C43" w:rsidRDefault="00D564CE" w:rsidP="006858BA">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تم تطبيق مجموعة من الأساليب الإحصائية لتحليل البيانات، حيث تم استخدام الإحصاء الوصفي لقياس التوزيع العام للبيانات وفهم الاتجاهات الأساسية المتعلقة بتطبيق أبعاد إدارة المخاطر. كما تم استخدام تحليل الارتباط لدراسة العلاقة بين أبعاد إدارة المخاطر ومستوى فعالية الاستجابة للطوارئ. بالإضافة إلى ذلك، تم توظيف تحليل الانحدار المتعدد لتحديد مدى تأثير كل بعد من أبعاد إدارة المخاطر على كفاءة الاستجابة لحالات الطوارئ. تم تطبيق هذه الأساليب باستخدام برامج التحليل الإحصائي المتقدمة لضمان دقة النتائج وتقديم تفسيرات واضحة للعلاقات بين المتغيرات المختلفة.</w:t>
      </w:r>
    </w:p>
    <w:p w14:paraId="4EC8BC82" w14:textId="5A118B12" w:rsidR="004B1801" w:rsidRPr="00C16C43" w:rsidRDefault="004B1801" w:rsidP="00706966">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C16C43">
        <w:rPr>
          <w:rFonts w:ascii="Sakkal Majalla" w:hAnsi="Sakkal Majalla" w:cs="Sakkal Majalla"/>
          <w:b/>
          <w:bCs/>
          <w:sz w:val="28"/>
          <w:szCs w:val="28"/>
          <w:rtl/>
          <w:lang w:bidi="ar-EG"/>
        </w:rPr>
        <w:t>أدوات جمع البيانات</w:t>
      </w:r>
    </w:p>
    <w:p w14:paraId="05F4A20B" w14:textId="08751697" w:rsidR="004B1801" w:rsidRPr="00C16C43" w:rsidRDefault="004B1801" w:rsidP="006858BA">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t xml:space="preserve">تستخدم الدراسة استبيانات كأداة رئيسية لجمع البيانات. تم تصميم الاستبيان ليشمل مجموعة من الأسئلة المغلقة والمفتوحة، بحيث تغطي جوانب متعددة </w:t>
      </w:r>
      <w:r w:rsidR="00164E20" w:rsidRPr="00C16C43">
        <w:rPr>
          <w:rFonts w:ascii="Sakkal Majalla" w:hAnsi="Sakkal Majalla" w:cs="Sakkal Majalla"/>
          <w:sz w:val="28"/>
          <w:szCs w:val="28"/>
          <w:rtl/>
          <w:lang w:bidi="ar-EG"/>
        </w:rPr>
        <w:t xml:space="preserve"> لتأثير إدارة المخاطر على تعزيز الاستجابة الفعالة لحالات الطوارئ في مواقع العمل داخل شركة أرامكو السعودية </w:t>
      </w:r>
      <w:r w:rsidRPr="00C16C43">
        <w:rPr>
          <w:rFonts w:ascii="Sakkal Majalla" w:hAnsi="Sakkal Majalla" w:cs="Sakkal Majalla"/>
          <w:sz w:val="28"/>
          <w:szCs w:val="28"/>
          <w:rtl/>
          <w:lang w:bidi="ar-EG"/>
        </w:rPr>
        <w:t>ورصد التحديات التي تواجه المؤسسات في هذا السياق. لضمان موثوقية الاستبيان، تم إعداده بناءً على مراجعة الأدبيات السابقة واستشارة خبراء في المجال.</w:t>
      </w:r>
    </w:p>
    <w:p w14:paraId="49ACBB91" w14:textId="6452F59D" w:rsidR="004B1801" w:rsidRPr="00C16C43" w:rsidRDefault="004B1801" w:rsidP="00706966">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C16C43">
        <w:rPr>
          <w:rFonts w:ascii="Sakkal Majalla" w:hAnsi="Sakkal Majalla" w:cs="Sakkal Majalla"/>
          <w:b/>
          <w:bCs/>
          <w:sz w:val="28"/>
          <w:szCs w:val="28"/>
          <w:rtl/>
          <w:lang w:bidi="ar-EG"/>
        </w:rPr>
        <w:t>تحليل البيانات</w:t>
      </w:r>
    </w:p>
    <w:p w14:paraId="02A49461" w14:textId="77777777" w:rsidR="004B1801" w:rsidRPr="00C16C43" w:rsidRDefault="004B1801" w:rsidP="006858BA">
      <w:pPr>
        <w:spacing w:before="100" w:beforeAutospacing="1" w:after="100" w:afterAutospacing="1" w:line="360" w:lineRule="auto"/>
        <w:ind w:firstLine="706"/>
        <w:jc w:val="both"/>
        <w:rPr>
          <w:rFonts w:ascii="Sakkal Majalla" w:hAnsi="Sakkal Majalla" w:cs="Sakkal Majalla"/>
          <w:sz w:val="28"/>
          <w:szCs w:val="28"/>
          <w:rtl/>
          <w:lang w:bidi="ar-EG"/>
        </w:rPr>
      </w:pPr>
      <w:r w:rsidRPr="00C16C43">
        <w:rPr>
          <w:rFonts w:ascii="Sakkal Majalla" w:hAnsi="Sakkal Majalla" w:cs="Sakkal Majalla"/>
          <w:sz w:val="28"/>
          <w:szCs w:val="28"/>
          <w:rtl/>
          <w:lang w:bidi="ar-EG"/>
        </w:rPr>
        <w:lastRenderedPageBreak/>
        <w:t xml:space="preserve">بعد جمع البيانات، سيتم استخدام الأساليب الإحصائية المناسبة لتحليل النتائج. تشمل هذه الأساليب التحليل الوصفي، مثل حساب المتوسطات والانحرافات المعيارية، بالإضافة إلى التحليل الاستنتاجي، مثل اختبار الفرضيات. ستستخدم تقنيات مثل تحليل الانحدار لفهم العلاقة بين الابتكار التكنولوجي وإدارة المخاطر، مما يمكن الباحثين من تحديد مدى تأثير الابتكار على فعالية استراتيجيات إدارة المخاطر السيبرانية. سيتم استخدام برنامج إحصائي مثل </w:t>
      </w:r>
      <w:r w:rsidRPr="00C16C43">
        <w:rPr>
          <w:rFonts w:ascii="Sakkal Majalla" w:hAnsi="Sakkal Majalla" w:cs="Sakkal Majalla"/>
          <w:sz w:val="28"/>
          <w:szCs w:val="28"/>
          <w:lang w:bidi="ar-EG"/>
        </w:rPr>
        <w:t>SPSS</w:t>
      </w:r>
      <w:r w:rsidRPr="00C16C43">
        <w:rPr>
          <w:rFonts w:ascii="Sakkal Majalla" w:hAnsi="Sakkal Majalla" w:cs="Sakkal Majalla"/>
          <w:sz w:val="28"/>
          <w:szCs w:val="28"/>
          <w:rtl/>
          <w:lang w:bidi="ar-EG"/>
        </w:rPr>
        <w:t xml:space="preserve"> أو </w:t>
      </w:r>
      <w:r w:rsidRPr="00C16C43">
        <w:rPr>
          <w:rFonts w:ascii="Sakkal Majalla" w:hAnsi="Sakkal Majalla" w:cs="Sakkal Majalla"/>
          <w:sz w:val="28"/>
          <w:szCs w:val="28"/>
          <w:lang w:bidi="ar-EG"/>
        </w:rPr>
        <w:t>R</w:t>
      </w:r>
      <w:r w:rsidRPr="00C16C43">
        <w:rPr>
          <w:rFonts w:ascii="Sakkal Majalla" w:hAnsi="Sakkal Majalla" w:cs="Sakkal Majalla"/>
          <w:sz w:val="28"/>
          <w:szCs w:val="28"/>
          <w:rtl/>
          <w:lang w:bidi="ar-EG"/>
        </w:rPr>
        <w:t xml:space="preserve"> لتحليل البيانات ومعالجة النتائج.</w:t>
      </w:r>
    </w:p>
    <w:p w14:paraId="553FDB39" w14:textId="6175D483" w:rsidR="006858BA" w:rsidRPr="006858BA" w:rsidRDefault="006858BA" w:rsidP="006858BA">
      <w:pPr>
        <w:spacing w:before="100" w:beforeAutospacing="1" w:after="100" w:afterAutospacing="1" w:line="360" w:lineRule="auto"/>
        <w:jc w:val="both"/>
        <w:outlineLvl w:val="1"/>
        <w:rPr>
          <w:rFonts w:ascii="Sakkal Majalla" w:hAnsi="Sakkal Majalla" w:cs="Sakkal Majalla"/>
          <w:b/>
          <w:bCs/>
          <w:sz w:val="36"/>
          <w:szCs w:val="36"/>
          <w:rtl/>
        </w:rPr>
      </w:pPr>
      <w:bookmarkStart w:id="29" w:name="_Toc200811014"/>
      <w:bookmarkEnd w:id="26"/>
      <w:r w:rsidRPr="006858BA">
        <w:rPr>
          <w:rFonts w:ascii="Sakkal Majalla" w:hAnsi="Sakkal Majalla" w:cs="Sakkal Majalla"/>
          <w:b/>
          <w:bCs/>
          <w:sz w:val="36"/>
          <w:szCs w:val="36"/>
          <w:rtl/>
        </w:rPr>
        <w:t>11.1 أدوات الدراسة:</w:t>
      </w:r>
      <w:bookmarkEnd w:id="29"/>
    </w:p>
    <w:p w14:paraId="7250F96F" w14:textId="49CE37FD" w:rsidR="00974680" w:rsidRPr="00C16C43" w:rsidRDefault="00974680" w:rsidP="006858BA">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t>تعتبر أدوات جمع البيانات جزءًا حيويًا من أي دراسة بحثية، حيث تساهم في توفير المعلومات الضرورية لفهم الظواهر المدروسة وتحليلها بشكل دقيق. في إطار الدراسة الحالية التي تتناول "</w:t>
      </w:r>
      <w:r w:rsidR="00FC397E" w:rsidRPr="00C16C43">
        <w:rPr>
          <w:rFonts w:ascii="Sakkal Majalla" w:hAnsi="Sakkal Majalla" w:cs="Sakkal Majalla"/>
          <w:sz w:val="28"/>
          <w:szCs w:val="28"/>
          <w:rtl/>
          <w:lang w:bidi="ar-EG"/>
        </w:rPr>
        <w:t xml:space="preserve"> تحليل تأثير أبعاد إدارة المخاطر على تعزيز الاستجابة الفعالة لحالات الطوارئ في مواقع العمل داخل شركة أرامكو السعودية</w:t>
      </w:r>
      <w:r w:rsidR="00FC397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تم اختيار مجموعة من أدوات جمع البيانات بعناية لضمان تحقيق أهداف البحث بفعالية وموضوعية. تشمل هذه الأدوات الاستبيانات، المقابلات، والمراجعة الوثائقية، بالإضافة إلى الأدوات الإلكترونية.</w:t>
      </w:r>
    </w:p>
    <w:p w14:paraId="6308210C" w14:textId="4DE87BBD" w:rsidR="00974680" w:rsidRPr="00C16C43" w:rsidRDefault="00974680" w:rsidP="0070696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C16C43">
        <w:rPr>
          <w:rFonts w:ascii="Sakkal Majalla" w:hAnsi="Sakkal Majalla" w:cs="Sakkal Majalla"/>
          <w:b/>
          <w:bCs/>
          <w:sz w:val="28"/>
          <w:szCs w:val="28"/>
          <w:rtl/>
        </w:rPr>
        <w:t>الاستبيانات</w:t>
      </w:r>
    </w:p>
    <w:p w14:paraId="05A13B9A" w14:textId="75D00027" w:rsidR="00974680" w:rsidRPr="00C16C43" w:rsidRDefault="00974680" w:rsidP="006858BA">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t xml:space="preserve">تعتبر الاستبيانات الأداة الأساسية لجمع البيانات في هذه الدراسة، حيث تم تصميمها بشكل منهجي لجمع معلومات شاملة من مجموعة متنوعة من المشاركين. يتكون الاستبيان من مجموعة من الأسئلة المغلقة التي تتيح للمشاركين اختيار إجابات محددة، مما يسهل جمع البيانات الكمية وتحليلها إحصائيًا. على سبيل المثال، تتناول الأسئلة المغلقة. </w:t>
      </w:r>
    </w:p>
    <w:p w14:paraId="7825AE67" w14:textId="244D1CCA" w:rsidR="006858BA" w:rsidRPr="006858BA" w:rsidRDefault="006858BA" w:rsidP="006858BA">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69370874"/>
      <w:bookmarkStart w:id="31" w:name="_Toc169565918"/>
      <w:bookmarkStart w:id="32" w:name="_Toc200811015"/>
      <w:r w:rsidRPr="006858BA">
        <w:rPr>
          <w:rFonts w:ascii="Sakkal Majalla" w:hAnsi="Sakkal Majalla" w:cs="Sakkal Majalla" w:hint="cs"/>
          <w:b/>
          <w:bCs/>
          <w:sz w:val="36"/>
          <w:szCs w:val="36"/>
          <w:rtl/>
        </w:rPr>
        <w:t xml:space="preserve">12.1 </w:t>
      </w:r>
      <w:r w:rsidR="00A74F76" w:rsidRPr="006858BA">
        <w:rPr>
          <w:rFonts w:ascii="Sakkal Majalla" w:hAnsi="Sakkal Majalla" w:cs="Sakkal Majalla"/>
          <w:b/>
          <w:bCs/>
          <w:sz w:val="36"/>
          <w:szCs w:val="36"/>
          <w:rtl/>
        </w:rPr>
        <w:t>حدود</w:t>
      </w:r>
      <w:r w:rsidR="0033735C" w:rsidRPr="006858BA">
        <w:rPr>
          <w:rFonts w:ascii="Sakkal Majalla" w:hAnsi="Sakkal Majalla" w:cs="Sakkal Majalla"/>
          <w:b/>
          <w:bCs/>
          <w:sz w:val="36"/>
          <w:szCs w:val="36"/>
          <w:rtl/>
        </w:rPr>
        <w:t xml:space="preserve"> الدراسة</w:t>
      </w:r>
      <w:r w:rsidR="00A74F76" w:rsidRPr="006858BA">
        <w:rPr>
          <w:rFonts w:ascii="Sakkal Majalla" w:hAnsi="Sakkal Majalla" w:cs="Sakkal Majalla"/>
          <w:b/>
          <w:bCs/>
          <w:sz w:val="36"/>
          <w:szCs w:val="36"/>
          <w:rtl/>
        </w:rPr>
        <w:t>:</w:t>
      </w:r>
      <w:bookmarkStart w:id="33" w:name="_Toc169370875"/>
      <w:bookmarkStart w:id="34" w:name="_Toc169565919"/>
      <w:bookmarkEnd w:id="30"/>
      <w:bookmarkEnd w:id="31"/>
      <w:bookmarkEnd w:id="32"/>
      <w:r w:rsidR="00C01B80" w:rsidRPr="006858BA">
        <w:rPr>
          <w:rFonts w:ascii="Sakkal Majalla" w:hAnsi="Sakkal Majalla" w:cs="Sakkal Majalla"/>
          <w:b/>
          <w:bCs/>
          <w:sz w:val="36"/>
          <w:szCs w:val="36"/>
          <w:rtl/>
        </w:rPr>
        <w:t xml:space="preserve"> </w:t>
      </w:r>
    </w:p>
    <w:p w14:paraId="7B6EFBEC" w14:textId="58A092E3" w:rsidR="00C01B80" w:rsidRPr="00C16C43" w:rsidRDefault="004163A6" w:rsidP="006858BA">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lastRenderedPageBreak/>
        <w:t xml:space="preserve">تحليل تأثير أبعاد إدارة المخاطر على تعزيز الاستجابة الفعالة لحالات الطوارئ في مواقع العمل داخل شركة أرامكو السعودية </w:t>
      </w:r>
    </w:p>
    <w:p w14:paraId="25664454" w14:textId="5062DAC1" w:rsidR="00974680" w:rsidRPr="006858BA" w:rsidRDefault="00974680" w:rsidP="00706966">
      <w:pPr>
        <w:pStyle w:val="a5"/>
        <w:numPr>
          <w:ilvl w:val="0"/>
          <w:numId w:val="20"/>
        </w:numPr>
        <w:spacing w:before="100" w:beforeAutospacing="1" w:after="100" w:afterAutospacing="1" w:line="360" w:lineRule="auto"/>
        <w:ind w:left="423"/>
        <w:jc w:val="both"/>
        <w:rPr>
          <w:rFonts w:ascii="Sakkal Majalla" w:hAnsi="Sakkal Majalla" w:cs="Sakkal Majalla"/>
          <w:sz w:val="28"/>
          <w:szCs w:val="28"/>
          <w:rtl/>
        </w:rPr>
      </w:pPr>
      <w:r w:rsidRPr="006858BA">
        <w:rPr>
          <w:rFonts w:ascii="Sakkal Majalla" w:hAnsi="Sakkal Majalla" w:cs="Sakkal Majalla"/>
          <w:b/>
          <w:bCs/>
          <w:sz w:val="28"/>
          <w:szCs w:val="28"/>
          <w:rtl/>
        </w:rPr>
        <w:t>الحدود البشرية</w:t>
      </w:r>
      <w:r w:rsidR="00C01B80" w:rsidRPr="006858BA">
        <w:rPr>
          <w:rFonts w:ascii="Sakkal Majalla" w:hAnsi="Sakkal Majalla" w:cs="Sakkal Majalla"/>
          <w:b/>
          <w:bCs/>
          <w:sz w:val="28"/>
          <w:szCs w:val="28"/>
          <w:rtl/>
        </w:rPr>
        <w:t>:</w:t>
      </w:r>
      <w:r w:rsidRPr="006858BA">
        <w:rPr>
          <w:rFonts w:ascii="Sakkal Majalla" w:hAnsi="Sakkal Majalla" w:cs="Sakkal Majalla"/>
          <w:sz w:val="28"/>
          <w:szCs w:val="28"/>
          <w:rtl/>
        </w:rPr>
        <w:t xml:space="preserve"> تركز العينة على الموظفين العاملين في </w:t>
      </w:r>
      <w:r w:rsidR="004163A6" w:rsidRPr="006858BA">
        <w:rPr>
          <w:rFonts w:ascii="Sakkal Majalla" w:hAnsi="Sakkal Majalla" w:cs="Sakkal Majalla"/>
          <w:sz w:val="28"/>
          <w:szCs w:val="28"/>
          <w:rtl/>
          <w:lang w:bidi="ar-EG"/>
        </w:rPr>
        <w:t>شركة أرامكو السعودية</w:t>
      </w:r>
      <w:r w:rsidR="004163A6" w:rsidRPr="006858BA">
        <w:rPr>
          <w:rFonts w:ascii="Sakkal Majalla" w:hAnsi="Sakkal Majalla" w:cs="Sakkal Majalla"/>
          <w:sz w:val="28"/>
          <w:szCs w:val="28"/>
          <w:rtl/>
        </w:rPr>
        <w:t xml:space="preserve"> </w:t>
      </w:r>
      <w:r w:rsidR="00C01B80" w:rsidRPr="006858BA">
        <w:rPr>
          <w:rFonts w:ascii="Sakkal Majalla" w:hAnsi="Sakkal Majalla" w:cs="Sakkal Majalla"/>
          <w:sz w:val="28"/>
          <w:szCs w:val="28"/>
          <w:rtl/>
        </w:rPr>
        <w:t>.</w:t>
      </w:r>
    </w:p>
    <w:p w14:paraId="6EFCF4BD" w14:textId="5C74CD01" w:rsidR="00974680" w:rsidRPr="006858BA" w:rsidRDefault="00974680" w:rsidP="00706966">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tl/>
        </w:rPr>
      </w:pPr>
      <w:r w:rsidRPr="006858BA">
        <w:rPr>
          <w:rFonts w:ascii="Sakkal Majalla" w:hAnsi="Sakkal Majalla" w:cs="Sakkal Majalla"/>
          <w:b/>
          <w:bCs/>
          <w:sz w:val="28"/>
          <w:szCs w:val="28"/>
          <w:rtl/>
        </w:rPr>
        <w:t>الحدود الزمانية</w:t>
      </w:r>
      <w:r w:rsidR="00681C47" w:rsidRPr="006858BA">
        <w:rPr>
          <w:rFonts w:ascii="Sakkal Majalla" w:hAnsi="Sakkal Majalla" w:cs="Sakkal Majalla"/>
          <w:b/>
          <w:bCs/>
          <w:sz w:val="28"/>
          <w:szCs w:val="28"/>
          <w:rtl/>
        </w:rPr>
        <w:t xml:space="preserve"> : </w:t>
      </w:r>
      <w:r w:rsidR="00C01B80" w:rsidRPr="006858BA">
        <w:rPr>
          <w:rFonts w:ascii="Sakkal Majalla" w:hAnsi="Sakkal Majalla" w:cs="Sakkal Majalla"/>
          <w:b/>
          <w:bCs/>
          <w:sz w:val="28"/>
          <w:szCs w:val="28"/>
          <w:rtl/>
        </w:rPr>
        <w:t xml:space="preserve">اقتصرت الدراسة خلال عام </w:t>
      </w:r>
      <w:r w:rsidR="00681C47" w:rsidRPr="006858BA">
        <w:rPr>
          <w:rFonts w:ascii="Sakkal Majalla" w:hAnsi="Sakkal Majalla" w:cs="Sakkal Majalla"/>
          <w:b/>
          <w:bCs/>
          <w:sz w:val="28"/>
          <w:szCs w:val="28"/>
          <w:rtl/>
        </w:rPr>
        <w:t>2025</w:t>
      </w:r>
    </w:p>
    <w:p w14:paraId="0AABB69B" w14:textId="7B1014F0" w:rsidR="00974680" w:rsidRPr="006858BA" w:rsidRDefault="00974680" w:rsidP="00706966">
      <w:pPr>
        <w:pStyle w:val="a5"/>
        <w:numPr>
          <w:ilvl w:val="0"/>
          <w:numId w:val="20"/>
        </w:numPr>
        <w:spacing w:before="100" w:beforeAutospacing="1" w:after="100" w:afterAutospacing="1" w:line="360" w:lineRule="auto"/>
        <w:ind w:left="423"/>
        <w:jc w:val="both"/>
        <w:rPr>
          <w:rFonts w:ascii="Sakkal Majalla" w:hAnsi="Sakkal Majalla" w:cs="Sakkal Majalla"/>
          <w:sz w:val="28"/>
          <w:szCs w:val="28"/>
          <w:rtl/>
        </w:rPr>
      </w:pPr>
      <w:r w:rsidRPr="006858BA">
        <w:rPr>
          <w:rFonts w:ascii="Sakkal Majalla" w:hAnsi="Sakkal Majalla" w:cs="Sakkal Majalla"/>
          <w:b/>
          <w:bCs/>
          <w:sz w:val="28"/>
          <w:szCs w:val="28"/>
          <w:rtl/>
        </w:rPr>
        <w:t>الحدود المكانية</w:t>
      </w:r>
      <w:r w:rsidR="00C01B80" w:rsidRPr="006858BA">
        <w:rPr>
          <w:rFonts w:ascii="Sakkal Majalla" w:hAnsi="Sakkal Majalla" w:cs="Sakkal Majalla"/>
          <w:b/>
          <w:bCs/>
          <w:sz w:val="28"/>
          <w:szCs w:val="28"/>
          <w:rtl/>
        </w:rPr>
        <w:t xml:space="preserve"> : </w:t>
      </w:r>
      <w:r w:rsidR="00C01B80" w:rsidRPr="006858BA">
        <w:rPr>
          <w:rFonts w:ascii="Sakkal Majalla" w:hAnsi="Sakkal Majalla" w:cs="Sakkal Majalla"/>
          <w:sz w:val="28"/>
          <w:szCs w:val="28"/>
          <w:rtl/>
        </w:rPr>
        <w:t xml:space="preserve"> تقتصر الدراسة على شركة ارمكو </w:t>
      </w:r>
      <w:r w:rsidR="00961D54" w:rsidRPr="006858BA">
        <w:rPr>
          <w:rFonts w:ascii="Sakkal Majalla" w:hAnsi="Sakkal Majalla" w:cs="Sakkal Majalla"/>
          <w:sz w:val="28"/>
          <w:szCs w:val="28"/>
          <w:rtl/>
          <w:lang w:bidi="ar-EG"/>
        </w:rPr>
        <w:t xml:space="preserve">السعودية </w:t>
      </w:r>
    </w:p>
    <w:p w14:paraId="5B10BC3B" w14:textId="77777777" w:rsidR="006858BA" w:rsidRDefault="00063462" w:rsidP="00C16C43">
      <w:pPr>
        <w:spacing w:before="100" w:beforeAutospacing="1" w:after="100" w:afterAutospacing="1" w:line="360" w:lineRule="auto"/>
        <w:jc w:val="both"/>
        <w:rPr>
          <w:rFonts w:ascii="Sakkal Majalla" w:hAnsi="Sakkal Majalla" w:cs="Sakkal Majalla"/>
          <w:b/>
          <w:bCs/>
          <w:sz w:val="28"/>
          <w:szCs w:val="28"/>
          <w:rtl/>
        </w:rPr>
      </w:pPr>
      <w:bookmarkStart w:id="35" w:name="_Toc181896406"/>
      <w:bookmarkStart w:id="36" w:name="_Toc192821699"/>
      <w:bookmarkStart w:id="37" w:name="_Toc192821732"/>
      <w:r w:rsidRPr="00C16C43">
        <w:rPr>
          <w:rFonts w:ascii="Sakkal Majalla" w:hAnsi="Sakkal Majalla" w:cs="Sakkal Majalla"/>
          <w:sz w:val="28"/>
          <w:szCs w:val="28"/>
          <w:rtl/>
        </w:rPr>
        <w:br w:type="page"/>
      </w:r>
    </w:p>
    <w:p w14:paraId="4A8CE853" w14:textId="76A2D327" w:rsidR="006858BA" w:rsidRPr="006858BA" w:rsidRDefault="006858BA" w:rsidP="006858BA">
      <w:pPr>
        <w:spacing w:before="100" w:beforeAutospacing="1" w:after="100" w:afterAutospacing="1" w:line="360" w:lineRule="auto"/>
        <w:jc w:val="center"/>
        <w:outlineLvl w:val="0"/>
        <w:rPr>
          <w:rFonts w:ascii="Sakkal Majalla" w:hAnsi="Sakkal Majalla" w:cs="Sakkal Majalla"/>
          <w:b/>
          <w:bCs/>
          <w:sz w:val="40"/>
          <w:szCs w:val="40"/>
          <w:rtl/>
        </w:rPr>
      </w:pPr>
      <w:bookmarkStart w:id="38" w:name="_Toc200811016"/>
      <w:r w:rsidRPr="006858BA">
        <w:rPr>
          <w:rFonts w:ascii="Sakkal Majalla" w:hAnsi="Sakkal Majalla" w:cs="Sakkal Majalla" w:hint="cs"/>
          <w:b/>
          <w:bCs/>
          <w:sz w:val="40"/>
          <w:szCs w:val="40"/>
          <w:rtl/>
        </w:rPr>
        <w:lastRenderedPageBreak/>
        <w:t>الفصل الثاني: الإطار النظري</w:t>
      </w:r>
      <w:bookmarkEnd w:id="38"/>
    </w:p>
    <w:p w14:paraId="39FCD5C3" w14:textId="2C12066A" w:rsidR="00063462" w:rsidRPr="006858BA" w:rsidRDefault="00DE09EE" w:rsidP="006858BA">
      <w:pPr>
        <w:spacing w:before="100" w:beforeAutospacing="1" w:after="100" w:afterAutospacing="1" w:line="360" w:lineRule="auto"/>
        <w:jc w:val="center"/>
        <w:outlineLvl w:val="1"/>
        <w:rPr>
          <w:rFonts w:ascii="Sakkal Majalla" w:hAnsi="Sakkal Majalla" w:cs="Sakkal Majalla"/>
          <w:b/>
          <w:bCs/>
          <w:sz w:val="36"/>
          <w:szCs w:val="36"/>
        </w:rPr>
      </w:pPr>
      <w:bookmarkStart w:id="39" w:name="_Toc200811017"/>
      <w:r w:rsidRPr="006858BA">
        <w:rPr>
          <w:rFonts w:ascii="Sakkal Majalla" w:hAnsi="Sakkal Majalla" w:cs="Sakkal Majalla"/>
          <w:b/>
          <w:bCs/>
          <w:sz w:val="36"/>
          <w:szCs w:val="36"/>
          <w:rtl/>
        </w:rPr>
        <w:t>ا</w:t>
      </w:r>
      <w:r w:rsidR="00063462" w:rsidRPr="006858BA">
        <w:rPr>
          <w:rFonts w:ascii="Sakkal Majalla" w:hAnsi="Sakkal Majalla" w:cs="Sakkal Majalla"/>
          <w:b/>
          <w:bCs/>
          <w:sz w:val="36"/>
          <w:szCs w:val="36"/>
          <w:rtl/>
        </w:rPr>
        <w:t>لمبحث الأول: إدارة المخاطر في مواقع العمل</w:t>
      </w:r>
      <w:bookmarkEnd w:id="39"/>
    </w:p>
    <w:p w14:paraId="33A16F56" w14:textId="12776372" w:rsidR="00063462" w:rsidRPr="006858BA" w:rsidRDefault="00063462" w:rsidP="006858BA">
      <w:pPr>
        <w:spacing w:before="100" w:beforeAutospacing="1" w:after="100" w:afterAutospacing="1" w:line="360" w:lineRule="auto"/>
        <w:jc w:val="both"/>
        <w:outlineLvl w:val="2"/>
        <w:rPr>
          <w:rFonts w:ascii="Sakkal Majalla" w:hAnsi="Sakkal Majalla" w:cs="Sakkal Majalla"/>
          <w:b/>
          <w:bCs/>
          <w:sz w:val="32"/>
          <w:szCs w:val="32"/>
        </w:rPr>
      </w:pPr>
      <w:r w:rsidRPr="006858BA">
        <w:rPr>
          <w:rFonts w:ascii="Sakkal Majalla" w:hAnsi="Sakkal Majalla" w:cs="Sakkal Majalla"/>
          <w:sz w:val="32"/>
          <w:szCs w:val="32"/>
        </w:rPr>
        <w:t xml:space="preserve"> </w:t>
      </w:r>
      <w:bookmarkStart w:id="40" w:name="_Toc200811018"/>
      <w:r w:rsidRPr="006858BA">
        <w:rPr>
          <w:rFonts w:ascii="Sakkal Majalla" w:hAnsi="Sakkal Majalla" w:cs="Sakkal Majalla"/>
          <w:b/>
          <w:bCs/>
          <w:sz w:val="32"/>
          <w:szCs w:val="32"/>
          <w:rtl/>
        </w:rPr>
        <w:t>المقدمة</w:t>
      </w:r>
      <w:r w:rsidRPr="006858BA">
        <w:rPr>
          <w:rFonts w:ascii="Sakkal Majalla" w:hAnsi="Sakkal Majalla" w:cs="Sakkal Majalla"/>
          <w:b/>
          <w:bCs/>
          <w:sz w:val="32"/>
          <w:szCs w:val="32"/>
        </w:rPr>
        <w:t>:</w:t>
      </w:r>
      <w:bookmarkEnd w:id="40"/>
    </w:p>
    <w:p w14:paraId="5338F362" w14:textId="2417EE8A"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تُعد إدارة المخاطر من الركائز الأساسية في نظم الحوكمة الحديثة داخل بيئات العمل الصناعية، خصوصًا في الشركات العاملة في القطاعات الحيوية ذات الحساسية العالية مثل قطاع النفط والطاقة. وتكتسب هذه الإدارة أهمية متزايدة في ظل التغيرات المتسارعة في بيئة الأعمال، وتعقّد العمليات التشغيلية، وتنامي احتمالات التعرض للأزمات والمخاطر المتنوعة</w:t>
      </w:r>
      <w:r w:rsidR="00DE09EE"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ولا يقتصر مفهوم إدارة المخاطر على الإجراءات الوقائية التقليدية، بل يشمل إطارًا شاملًا من السياسات والعمليات والممارسات التي تهدف إلى تحديد المخاطر وتحليلها والتعامل معها والتقليل من آثارها السلبية على الأفراد والأصول وسير العمل</w:t>
      </w:r>
      <w:r w:rsidRPr="00C16C43">
        <w:rPr>
          <w:rFonts w:ascii="Sakkal Majalla" w:hAnsi="Sakkal Majalla" w:cs="Sakkal Majalla"/>
          <w:sz w:val="28"/>
          <w:szCs w:val="28"/>
        </w:rPr>
        <w:t>.</w:t>
      </w:r>
    </w:p>
    <w:p w14:paraId="4ADDD8D5" w14:textId="58F710DD" w:rsidR="00063462" w:rsidRPr="00C16C43" w:rsidRDefault="00DE09EE"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و</w:t>
      </w:r>
      <w:r w:rsidR="00063462" w:rsidRPr="00C16C43">
        <w:rPr>
          <w:rFonts w:ascii="Sakkal Majalla" w:hAnsi="Sakkal Majalla" w:cs="Sakkal Majalla"/>
          <w:sz w:val="28"/>
          <w:szCs w:val="28"/>
          <w:rtl/>
        </w:rPr>
        <w:t>تُعد شركة أرامكو نموذجًا رائدًا في تطوير منظومة متكاملة لإدارة المخاطر، حيث ترتكز على أبعاد متعددة تشمل: الأبعاد التنظيمية، والتشريعية، والفنية، والتطبيقية، والبشرية، والتدريبية، والاقتصادية، والإدارية، والتحديدية، والاستراتيجية</w:t>
      </w:r>
      <w:r w:rsidRPr="00C16C43">
        <w:rPr>
          <w:rFonts w:ascii="Sakkal Majalla" w:hAnsi="Sakkal Majalla" w:cs="Sakkal Majalla"/>
          <w:sz w:val="28"/>
          <w:szCs w:val="28"/>
          <w:rtl/>
        </w:rPr>
        <w:t>، كما ان</w:t>
      </w:r>
      <w:r w:rsidR="00063462" w:rsidRPr="00C16C43">
        <w:rPr>
          <w:rFonts w:ascii="Sakkal Majalla" w:hAnsi="Sakkal Majalla" w:cs="Sakkal Majalla"/>
          <w:sz w:val="28"/>
          <w:szCs w:val="28"/>
          <w:rtl/>
        </w:rPr>
        <w:t xml:space="preserve"> التكامل بين هذه الأبعاد عنصرًا حاسمًا في دعم قدرة المنشآت على الاستجابة الفعالة لحالات الطوارئ، وضمان استمرارية الأعمال، وحماية الموارد الحيوية</w:t>
      </w:r>
      <w:r w:rsidR="00063462" w:rsidRPr="00C16C43">
        <w:rPr>
          <w:rFonts w:ascii="Sakkal Majalla" w:hAnsi="Sakkal Majalla" w:cs="Sakkal Majalla"/>
          <w:sz w:val="28"/>
          <w:szCs w:val="28"/>
        </w:rPr>
        <w:t>.</w:t>
      </w:r>
    </w:p>
    <w:p w14:paraId="3BD4423D" w14:textId="11F215BB"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sz w:val="28"/>
          <w:szCs w:val="28"/>
          <w:rtl/>
        </w:rPr>
        <w:t>وسيركز هذا المبحث على استعراض وتحليل الأبعاد النظرية والفنية المرتبطة بإدارة المخاطر، مع توظيف الأدبيات العربية والأجنبية ذات الصلة، وعرض أبرز النماذج العالمية مثل</w:t>
      </w:r>
      <w:r w:rsidRPr="00C16C43">
        <w:rPr>
          <w:rFonts w:ascii="Sakkal Majalla" w:hAnsi="Sakkal Majalla" w:cs="Sakkal Majalla"/>
          <w:sz w:val="28"/>
          <w:szCs w:val="28"/>
        </w:rPr>
        <w:t xml:space="preserve"> ISO 31000 </w:t>
      </w:r>
      <w:r w:rsidRPr="00C16C43">
        <w:rPr>
          <w:rFonts w:ascii="Sakkal Majalla" w:hAnsi="Sakkal Majalla" w:cs="Sakkal Majalla"/>
          <w:sz w:val="28"/>
          <w:szCs w:val="28"/>
          <w:rtl/>
        </w:rPr>
        <w:t>و</w:t>
      </w:r>
      <w:r w:rsidRPr="00C16C43">
        <w:rPr>
          <w:rFonts w:ascii="Sakkal Majalla" w:hAnsi="Sakkal Majalla" w:cs="Sakkal Majalla"/>
          <w:sz w:val="28"/>
          <w:szCs w:val="28"/>
        </w:rPr>
        <w:t>COSO</w:t>
      </w:r>
      <w:r w:rsidR="00DE09EE" w:rsidRPr="00C16C43">
        <w:rPr>
          <w:rFonts w:ascii="Sakkal Majalla" w:hAnsi="Sakkal Majalla" w:cs="Sakkal Majalla"/>
          <w:sz w:val="28"/>
          <w:szCs w:val="28"/>
          <w:rtl/>
        </w:rPr>
        <w:t xml:space="preserve">. </w:t>
      </w:r>
    </w:p>
    <w:p w14:paraId="11C0B2E8" w14:textId="7D8BBB51" w:rsidR="00063462" w:rsidRPr="006858BA" w:rsidRDefault="006858BA" w:rsidP="006858BA">
      <w:pPr>
        <w:spacing w:before="100" w:beforeAutospacing="1" w:after="100" w:afterAutospacing="1" w:line="360" w:lineRule="auto"/>
        <w:jc w:val="both"/>
        <w:outlineLvl w:val="2"/>
        <w:rPr>
          <w:rFonts w:ascii="Sakkal Majalla" w:hAnsi="Sakkal Majalla" w:cs="Sakkal Majalla"/>
          <w:b/>
          <w:bCs/>
          <w:sz w:val="32"/>
          <w:szCs w:val="32"/>
        </w:rPr>
      </w:pPr>
      <w:bookmarkStart w:id="41" w:name="_Toc200811019"/>
      <w:r w:rsidRPr="006858BA">
        <w:rPr>
          <w:rFonts w:ascii="Sakkal Majalla" w:hAnsi="Sakkal Majalla" w:cs="Sakkal Majalla" w:hint="cs"/>
          <w:b/>
          <w:bCs/>
          <w:sz w:val="32"/>
          <w:szCs w:val="32"/>
          <w:rtl/>
        </w:rPr>
        <w:t xml:space="preserve">1.1.2 </w:t>
      </w:r>
      <w:r w:rsidR="00063462" w:rsidRPr="006858BA">
        <w:rPr>
          <w:rFonts w:ascii="Sakkal Majalla" w:hAnsi="Sakkal Majalla" w:cs="Sakkal Majalla"/>
          <w:b/>
          <w:bCs/>
          <w:sz w:val="32"/>
          <w:szCs w:val="32"/>
        </w:rPr>
        <w:t xml:space="preserve"> </w:t>
      </w:r>
      <w:r w:rsidR="00063462" w:rsidRPr="006858BA">
        <w:rPr>
          <w:rFonts w:ascii="Sakkal Majalla" w:hAnsi="Sakkal Majalla" w:cs="Sakkal Majalla"/>
          <w:b/>
          <w:bCs/>
          <w:sz w:val="32"/>
          <w:szCs w:val="32"/>
          <w:rtl/>
        </w:rPr>
        <w:t>مفهوم إدارة المخاطر وأهميتها في بيئة العمل الصناعية</w:t>
      </w:r>
      <w:bookmarkEnd w:id="41"/>
    </w:p>
    <w:p w14:paraId="1CE3CFFD" w14:textId="60D54B84"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تمثل إدارة المخاطر نظامًا إداريًا متكاملًا يهدف إلى توقع التهديدات المحتملة التي قد تواجه المؤسسة وتحليلها والتعامل معها بأسلوب منظم وممنهج يحقق استمرارية الأعمال ويُقلل من الخسائر </w:t>
      </w:r>
      <w:r w:rsidRPr="00C16C43">
        <w:rPr>
          <w:rFonts w:ascii="Sakkal Majalla" w:hAnsi="Sakkal Majalla" w:cs="Sakkal Majalla"/>
          <w:sz w:val="28"/>
          <w:szCs w:val="28"/>
          <w:rtl/>
        </w:rPr>
        <w:lastRenderedPageBreak/>
        <w:t>التشغيلية والمالية والبشرية</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يُعرّف معهد المعايير الدولية</w:t>
      </w:r>
      <w:r w:rsidRPr="00C16C43">
        <w:rPr>
          <w:rFonts w:ascii="Sakkal Majalla" w:hAnsi="Sakkal Majalla" w:cs="Sakkal Majalla"/>
          <w:sz w:val="28"/>
          <w:szCs w:val="28"/>
        </w:rPr>
        <w:t xml:space="preserve"> (ISO, 2018) </w:t>
      </w:r>
      <w:r w:rsidRPr="00C16C43">
        <w:rPr>
          <w:rFonts w:ascii="Sakkal Majalla" w:hAnsi="Sakkal Majalla" w:cs="Sakkal Majalla"/>
          <w:sz w:val="28"/>
          <w:szCs w:val="28"/>
          <w:rtl/>
        </w:rPr>
        <w:t>إدارة المخاطر بأنها "مجموعة من الأنشطة المنسقة والموجهة نحو التحكم والتوجيه في المؤسسة فيما يتعلق بالمخاطر"</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كما يُعرّفها</w:t>
      </w:r>
      <w:r w:rsidRPr="00C16C43">
        <w:rPr>
          <w:rFonts w:ascii="Sakkal Majalla" w:hAnsi="Sakkal Majalla" w:cs="Sakkal Majalla"/>
          <w:sz w:val="28"/>
          <w:szCs w:val="28"/>
        </w:rPr>
        <w:t xml:space="preserve"> Cao et al. (2018) </w:t>
      </w:r>
      <w:r w:rsidRPr="00C16C43">
        <w:rPr>
          <w:rFonts w:ascii="Sakkal Majalla" w:hAnsi="Sakkal Majalla" w:cs="Sakkal Majalla"/>
          <w:sz w:val="28"/>
          <w:szCs w:val="28"/>
          <w:rtl/>
        </w:rPr>
        <w:t>بأنها "عملية منظمة لتحديد وتحليل وتقييم المخاطر، ومن ثم اختيار التدابير المناسبة للتعامل معها وفقًا لمستوى الخطر والموارد المتاحة</w:t>
      </w:r>
      <w:r w:rsidRPr="00C16C43">
        <w:rPr>
          <w:rFonts w:ascii="Sakkal Majalla" w:hAnsi="Sakkal Majalla" w:cs="Sakkal Majalla"/>
          <w:sz w:val="28"/>
          <w:szCs w:val="28"/>
        </w:rPr>
        <w:t>".</w:t>
      </w:r>
    </w:p>
    <w:p w14:paraId="6AAEE06B" w14:textId="5E65F81B"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ويشير</w:t>
      </w:r>
      <w:r w:rsidRPr="00C16C43">
        <w:rPr>
          <w:rFonts w:ascii="Sakkal Majalla" w:hAnsi="Sakkal Majalla" w:cs="Sakkal Majalla"/>
          <w:sz w:val="28"/>
          <w:szCs w:val="28"/>
        </w:rPr>
        <w:t xml:space="preserve"> Barot (2024) </w:t>
      </w:r>
      <w:r w:rsidRPr="00C16C43">
        <w:rPr>
          <w:rFonts w:ascii="Sakkal Majalla" w:hAnsi="Sakkal Majalla" w:cs="Sakkal Majalla"/>
          <w:sz w:val="28"/>
          <w:szCs w:val="28"/>
          <w:rtl/>
        </w:rPr>
        <w:t>إلى أن تطبيق إدارة المخاطر بفعالية يساهم في تقليل الخسائر التشغيلية والمالية، ويزيد من كفاءة العمل في البيئات ذات المخاطر العالية، مثل المشاريع الصناعية والبنائية</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ويؤكد أن الشركات التي تتبنى أطرًا واضحة ومتكاملة لإدارة المخاطر تحقق انخفاضًا في الحوادث بنسبة تصل إلى 30%، إلى جانب تحسين قدرتها على الاستجابة السريعة للطوارئ</w:t>
      </w:r>
      <w:r w:rsidRPr="00C16C43">
        <w:rPr>
          <w:rFonts w:ascii="Sakkal Majalla" w:hAnsi="Sakkal Majalla" w:cs="Sakkal Majalla"/>
          <w:sz w:val="28"/>
          <w:szCs w:val="28"/>
        </w:rPr>
        <w:t>.</w:t>
      </w:r>
    </w:p>
    <w:p w14:paraId="51E45BF6" w14:textId="68C314D1"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كما يوضح</w:t>
      </w:r>
      <w:r w:rsidRPr="00C16C43">
        <w:rPr>
          <w:rFonts w:ascii="Sakkal Majalla" w:hAnsi="Sakkal Majalla" w:cs="Sakkal Majalla"/>
          <w:sz w:val="28"/>
          <w:szCs w:val="28"/>
        </w:rPr>
        <w:t xml:space="preserve"> Rehman &amp; Ishak (2023) </w:t>
      </w:r>
      <w:r w:rsidRPr="00C16C43">
        <w:rPr>
          <w:rFonts w:ascii="Sakkal Majalla" w:hAnsi="Sakkal Majalla" w:cs="Sakkal Majalla"/>
          <w:sz w:val="28"/>
          <w:szCs w:val="28"/>
          <w:rtl/>
        </w:rPr>
        <w:t>أن فعالية إدارة المخاطر تعتمد على مدى انسجام النظام مع طبيعة نشاط المؤسسة، وتوفر آليات دقيقة للتنبؤ بالمخاطر، إضافة إلى وضوح الصلاحيات والمسؤوليات داخل الهيكل التنظيمي</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في حين يشير جلول وآخرون (2019) إلى أن إشراك مختلف مستويات المؤسسة – من الإدارة العليا إلى الموظفين الميدانيين – في فهم وتنفيذ خطوات إدارة المخاطر، يُعد من أهم العوامل التي ترفع من كفاءة النظام وتُعزز ثقافة السلامة</w:t>
      </w:r>
      <w:r w:rsidRPr="00C16C43">
        <w:rPr>
          <w:rFonts w:ascii="Sakkal Majalla" w:hAnsi="Sakkal Majalla" w:cs="Sakkal Majalla"/>
          <w:sz w:val="28"/>
          <w:szCs w:val="28"/>
        </w:rPr>
        <w:t>.</w:t>
      </w:r>
    </w:p>
    <w:p w14:paraId="40A8C635" w14:textId="1F029621"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t>ويرى الباحث</w:t>
      </w:r>
      <w:r w:rsidRPr="00C16C43">
        <w:rPr>
          <w:rFonts w:ascii="Sakkal Majalla" w:hAnsi="Sakkal Majalla" w:cs="Sakkal Majalla"/>
          <w:sz w:val="28"/>
          <w:szCs w:val="28"/>
          <w:rtl/>
        </w:rPr>
        <w:t xml:space="preserve"> أن إدارة المخاطر في بيئة صناعية مثل بيئة شركة أرامكو السعودية تُعد أحد أهم أدوات الحوكمة والجاهزية المؤسسية، إذ لا يمكن الاكتفاء بالإجراءات التقليدية في مواجهة المخاطر المعقدة والمتشابكة، بل يجب دمج هذه الإدارة ضمن البنية المؤسسية والثقافة التنظيمية، لتصبح جزءًا لا يتجزأ من عمليات التخطيط واتخاذ القرار. </w:t>
      </w:r>
    </w:p>
    <w:p w14:paraId="1CED01FB" w14:textId="41047A34" w:rsidR="00063462" w:rsidRPr="006858BA" w:rsidRDefault="006858BA" w:rsidP="006858BA">
      <w:pPr>
        <w:spacing w:before="100" w:beforeAutospacing="1" w:after="100" w:afterAutospacing="1" w:line="360" w:lineRule="auto"/>
        <w:jc w:val="both"/>
        <w:outlineLvl w:val="2"/>
        <w:rPr>
          <w:rFonts w:ascii="Sakkal Majalla" w:hAnsi="Sakkal Majalla" w:cs="Sakkal Majalla"/>
          <w:b/>
          <w:bCs/>
          <w:sz w:val="32"/>
          <w:szCs w:val="32"/>
        </w:rPr>
      </w:pPr>
      <w:bookmarkStart w:id="42" w:name="_Toc200811020"/>
      <w:r w:rsidRPr="006858BA">
        <w:rPr>
          <w:rFonts w:ascii="Sakkal Majalla" w:hAnsi="Sakkal Majalla" w:cs="Sakkal Majalla"/>
          <w:b/>
          <w:bCs/>
          <w:sz w:val="32"/>
          <w:szCs w:val="32"/>
        </w:rPr>
        <w:t>2.1.2</w:t>
      </w:r>
      <w:r w:rsidRPr="006858BA">
        <w:rPr>
          <w:rFonts w:ascii="Sakkal Majalla" w:hAnsi="Sakkal Majalla" w:cs="Sakkal Majalla" w:hint="cs"/>
          <w:b/>
          <w:bCs/>
          <w:sz w:val="32"/>
          <w:szCs w:val="32"/>
          <w:rtl/>
          <w:lang w:bidi="ar-EG"/>
        </w:rPr>
        <w:t xml:space="preserve"> </w:t>
      </w:r>
      <w:r w:rsidR="00063462" w:rsidRPr="006858BA">
        <w:rPr>
          <w:rFonts w:ascii="Sakkal Majalla" w:hAnsi="Sakkal Majalla" w:cs="Sakkal Majalla"/>
          <w:b/>
          <w:bCs/>
          <w:sz w:val="32"/>
          <w:szCs w:val="32"/>
          <w:rtl/>
        </w:rPr>
        <w:t>أهداف إدارة المخاطر</w:t>
      </w:r>
      <w:bookmarkEnd w:id="42"/>
    </w:p>
    <w:p w14:paraId="4B71AA96" w14:textId="3FB6F23F"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 xml:space="preserve">تسعى إدارة المخاطر في المؤسسات إلى تحقيق مجموعة من الأهداف الاستراتيجية والتشغيلية التي تُسهم في حماية موارد المؤسسة، وضمان استمرارية الأعمال، وتحقيق مستويات عالية من الكفاءة </w:t>
      </w:r>
      <w:r w:rsidRPr="00C16C43">
        <w:rPr>
          <w:rFonts w:ascii="Sakkal Majalla" w:hAnsi="Sakkal Majalla" w:cs="Sakkal Majalla"/>
          <w:sz w:val="28"/>
          <w:szCs w:val="28"/>
          <w:rtl/>
        </w:rPr>
        <w:lastRenderedPageBreak/>
        <w:t>والجاهزية</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وتختلف هذه الأهداف من قطاع إلى آخر، إلا أن هناك مجموعة من الأهداف العامة التي تُعد أساسية في مختلف السياقات الصناعية والإدارية</w:t>
      </w:r>
      <w:r w:rsidRPr="00C16C43">
        <w:rPr>
          <w:rFonts w:ascii="Sakkal Majalla" w:hAnsi="Sakkal Majalla" w:cs="Sakkal Majalla"/>
          <w:sz w:val="28"/>
          <w:szCs w:val="28"/>
        </w:rPr>
        <w:t>.</w:t>
      </w:r>
    </w:p>
    <w:p w14:paraId="673ACE94" w14:textId="646F2D8E" w:rsidR="00063462" w:rsidRPr="00C16C43" w:rsidRDefault="00DE09EE"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و</w:t>
      </w:r>
      <w:r w:rsidR="00063462" w:rsidRPr="00C16C43">
        <w:rPr>
          <w:rFonts w:ascii="Sakkal Majalla" w:hAnsi="Sakkal Majalla" w:cs="Sakkal Majalla"/>
          <w:sz w:val="28"/>
          <w:szCs w:val="28"/>
          <w:rtl/>
        </w:rPr>
        <w:t>يشير</w:t>
      </w:r>
      <w:r w:rsidR="00063462" w:rsidRPr="00C16C43">
        <w:rPr>
          <w:rFonts w:ascii="Sakkal Majalla" w:hAnsi="Sakkal Majalla" w:cs="Sakkal Majalla"/>
          <w:sz w:val="28"/>
          <w:szCs w:val="28"/>
        </w:rPr>
        <w:t xml:space="preserve"> Tenrisau et al. (2025) </w:t>
      </w:r>
      <w:r w:rsidR="00063462" w:rsidRPr="00C16C43">
        <w:rPr>
          <w:rFonts w:ascii="Sakkal Majalla" w:hAnsi="Sakkal Majalla" w:cs="Sakkal Majalla"/>
          <w:sz w:val="28"/>
          <w:szCs w:val="28"/>
          <w:rtl/>
        </w:rPr>
        <w:t>إلى أن أهداف إدارة المخاطر تتمثل في بناء منظومة وقائية تُمكّن المؤسسات من مواجهة الأخطار المحتملة من خلال استراتيجيات استباقية. ويُحدد الباحثون ثلاثة أهداف رئيسية</w:t>
      </w:r>
      <w:r w:rsidR="00063462" w:rsidRPr="00C16C43">
        <w:rPr>
          <w:rFonts w:ascii="Sakkal Majalla" w:hAnsi="Sakkal Majalla" w:cs="Sakkal Majalla"/>
          <w:sz w:val="28"/>
          <w:szCs w:val="28"/>
        </w:rPr>
        <w:t>:</w:t>
      </w:r>
    </w:p>
    <w:p w14:paraId="5613FF9F" w14:textId="77777777" w:rsidR="00063462" w:rsidRPr="00C16C43" w:rsidRDefault="00063462" w:rsidP="00706966">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الحد من احتمالية وقوع الخطر أو تقليل آثاره عند الحدوث، عبر رصد التهديدات وتطوير خطط طوارئ فعالة</w:t>
      </w:r>
      <w:r w:rsidRPr="00C16C43">
        <w:rPr>
          <w:rFonts w:ascii="Sakkal Majalla" w:hAnsi="Sakkal Majalla" w:cs="Sakkal Majalla"/>
          <w:sz w:val="28"/>
          <w:szCs w:val="28"/>
        </w:rPr>
        <w:t>.</w:t>
      </w:r>
    </w:p>
    <w:p w14:paraId="58425A44" w14:textId="77777777" w:rsidR="00063462" w:rsidRPr="00C16C43" w:rsidRDefault="00063462" w:rsidP="00706966">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تحقيق الاستقرار التشغيلي للمؤسسة، بما يضمن استمرار العمليات في ظل الظروف غير المتوقعة</w:t>
      </w:r>
      <w:r w:rsidRPr="00C16C43">
        <w:rPr>
          <w:rFonts w:ascii="Sakkal Majalla" w:hAnsi="Sakkal Majalla" w:cs="Sakkal Majalla"/>
          <w:sz w:val="28"/>
          <w:szCs w:val="28"/>
        </w:rPr>
        <w:t>.</w:t>
      </w:r>
    </w:p>
    <w:p w14:paraId="048DC4F0" w14:textId="77777777" w:rsidR="00063462" w:rsidRPr="00C16C43" w:rsidRDefault="00063462" w:rsidP="00706966">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تعزيز قدرة المؤسسة على اتخاذ قرارات استراتيجية قائمة على تحليل المخاطر، بما يُسهم في رفع الكفاءة العامة وتحسين تخصيص الموارد</w:t>
      </w:r>
      <w:r w:rsidRPr="00C16C43">
        <w:rPr>
          <w:rFonts w:ascii="Sakkal Majalla" w:hAnsi="Sakkal Majalla" w:cs="Sakkal Majalla"/>
          <w:sz w:val="28"/>
          <w:szCs w:val="28"/>
        </w:rPr>
        <w:t>.</w:t>
      </w:r>
    </w:p>
    <w:p w14:paraId="4DC8E3AF"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بينما يشير</w:t>
      </w:r>
      <w:r w:rsidRPr="00C16C43">
        <w:rPr>
          <w:rFonts w:ascii="Sakkal Majalla" w:hAnsi="Sakkal Majalla" w:cs="Sakkal Majalla" w:hint="cs"/>
          <w:sz w:val="28"/>
          <w:szCs w:val="28"/>
          <w:lang w:bidi="ar-EG"/>
        </w:rPr>
        <w:t xml:space="preserve"> Rehman &amp; Ishak (2023) </w:t>
      </w:r>
      <w:r w:rsidRPr="00C16C43">
        <w:rPr>
          <w:rFonts w:ascii="Sakkal Majalla" w:hAnsi="Sakkal Majalla" w:cs="Sakkal Majalla" w:hint="cs"/>
          <w:sz w:val="28"/>
          <w:szCs w:val="28"/>
          <w:rtl/>
          <w:lang w:bidi="ar-EG"/>
        </w:rPr>
        <w:t>إلى أن إدارة المخاطر لا تقتصر على الحماية من الخسائر فحسب، بل تُعد عنصرًا أساسيًا في دعم التنافسية والتميز المؤسسي، ويعرضون مجموعة من الأهداف التكاملية التي تشمل</w:t>
      </w:r>
      <w:r w:rsidRPr="00C16C43">
        <w:rPr>
          <w:rFonts w:ascii="Sakkal Majalla" w:hAnsi="Sakkal Majalla" w:cs="Sakkal Majalla" w:hint="cs"/>
          <w:sz w:val="28"/>
          <w:szCs w:val="28"/>
          <w:lang w:bidi="ar-EG"/>
        </w:rPr>
        <w:t>:</w:t>
      </w:r>
    </w:p>
    <w:p w14:paraId="2ED388C4" w14:textId="77777777" w:rsidR="00063462" w:rsidRPr="00C16C43" w:rsidRDefault="00063462" w:rsidP="00706966">
      <w:pPr>
        <w:pStyle w:val="a5"/>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تمكين المؤسسة من التعافي السريع في حالات الكوارث أو الأعطال، وذلك من خلال تطوير قدرات الاستجابة والمرونة التنظيمية</w:t>
      </w:r>
      <w:r w:rsidRPr="00C16C43">
        <w:rPr>
          <w:rFonts w:ascii="Sakkal Majalla" w:hAnsi="Sakkal Majalla" w:cs="Sakkal Majalla"/>
          <w:sz w:val="28"/>
          <w:szCs w:val="28"/>
        </w:rPr>
        <w:t>.</w:t>
      </w:r>
    </w:p>
    <w:p w14:paraId="04329907" w14:textId="77777777" w:rsidR="00063462" w:rsidRPr="00C16C43" w:rsidRDefault="00063462" w:rsidP="00706966">
      <w:pPr>
        <w:pStyle w:val="a5"/>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ضمان الامتثال للمتطلبات القانونية والمعايير التنظيمية، خصوصًا في القطاعات الحساسة كالنفط والطاقة</w:t>
      </w:r>
      <w:r w:rsidRPr="00C16C43">
        <w:rPr>
          <w:rFonts w:ascii="Sakkal Majalla" w:hAnsi="Sakkal Majalla" w:cs="Sakkal Majalla"/>
          <w:sz w:val="28"/>
          <w:szCs w:val="28"/>
        </w:rPr>
        <w:t>.</w:t>
      </w:r>
    </w:p>
    <w:p w14:paraId="24256282" w14:textId="77777777" w:rsidR="00063462" w:rsidRPr="00C16C43" w:rsidRDefault="00063462" w:rsidP="00706966">
      <w:pPr>
        <w:pStyle w:val="a5"/>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خلق ثقافة مؤسسية واعية بالمخاطر، من خلال إشراك العاملين في عمليات التقييم والتدريب والتوعية</w:t>
      </w:r>
      <w:r w:rsidRPr="00C16C43">
        <w:rPr>
          <w:rFonts w:ascii="Sakkal Majalla" w:hAnsi="Sakkal Majalla" w:cs="Sakkal Majalla"/>
          <w:sz w:val="28"/>
          <w:szCs w:val="28"/>
        </w:rPr>
        <w:t>.</w:t>
      </w:r>
    </w:p>
    <w:p w14:paraId="4940DB36" w14:textId="1A014F68"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كما يؤكد</w:t>
      </w:r>
      <w:r w:rsidRPr="00C16C43">
        <w:rPr>
          <w:rFonts w:ascii="Sakkal Majalla" w:hAnsi="Sakkal Majalla" w:cs="Sakkal Majalla"/>
          <w:sz w:val="28"/>
          <w:szCs w:val="28"/>
        </w:rPr>
        <w:t xml:space="preserve"> Al-Naeem et al. (2024) </w:t>
      </w:r>
      <w:r w:rsidRPr="00C16C43">
        <w:rPr>
          <w:rFonts w:ascii="Sakkal Majalla" w:hAnsi="Sakkal Majalla" w:cs="Sakkal Majalla"/>
          <w:sz w:val="28"/>
          <w:szCs w:val="28"/>
          <w:rtl/>
        </w:rPr>
        <w:t>أن من بين الأهداف الجوهرية لإدارة المخاطر في الشركات السعودية الكبرى – وعلى رأسها أرامكو – هو تحقيق التوازن بين المخاطرة والعائد</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ويشيرون إلى أن هذه </w:t>
      </w:r>
      <w:r w:rsidRPr="00C16C43">
        <w:rPr>
          <w:rFonts w:ascii="Sakkal Majalla" w:hAnsi="Sakkal Majalla" w:cs="Sakkal Majalla"/>
          <w:sz w:val="28"/>
          <w:szCs w:val="28"/>
          <w:rtl/>
        </w:rPr>
        <w:lastRenderedPageBreak/>
        <w:t>الإدارة تسهم في تحسين ثقة أصحاب المصلحة ورفع مستوى الشفافية في تقارير الأداء وضمان استدامة الأعمال على المدى الطويل، خاصةً في ظل البيئات التشغيلية المعقدة والمتغيرة</w:t>
      </w:r>
      <w:r w:rsidRPr="00C16C43">
        <w:rPr>
          <w:rFonts w:ascii="Sakkal Majalla" w:hAnsi="Sakkal Majalla" w:cs="Sakkal Majalla"/>
          <w:sz w:val="28"/>
          <w:szCs w:val="28"/>
        </w:rPr>
        <w:t>.</w:t>
      </w:r>
    </w:p>
    <w:p w14:paraId="5826731E" w14:textId="77777777" w:rsidR="00063462" w:rsidRPr="006858BA" w:rsidRDefault="00063462" w:rsidP="006858BA">
      <w:pPr>
        <w:spacing w:before="100" w:beforeAutospacing="1" w:after="100" w:afterAutospacing="1" w:line="360" w:lineRule="auto"/>
        <w:ind w:firstLine="706"/>
        <w:jc w:val="both"/>
        <w:rPr>
          <w:rFonts w:ascii="Sakkal Majalla" w:hAnsi="Sakkal Majalla" w:cs="Sakkal Majalla"/>
          <w:b/>
          <w:bCs/>
          <w:sz w:val="28"/>
          <w:szCs w:val="28"/>
        </w:rPr>
      </w:pPr>
      <w:r w:rsidRPr="006858BA">
        <w:rPr>
          <w:rFonts w:ascii="Sakkal Majalla" w:hAnsi="Sakkal Majalla" w:cs="Sakkal Majalla"/>
          <w:b/>
          <w:bCs/>
          <w:sz w:val="28"/>
          <w:szCs w:val="28"/>
          <w:rtl/>
        </w:rPr>
        <w:t>في ذات السياق، توضح باقر وآخرون (2020) أن إدارة المخاطر في المشاريع الهندسية تهدف إلى</w:t>
      </w:r>
      <w:r w:rsidRPr="006858BA">
        <w:rPr>
          <w:rFonts w:ascii="Sakkal Majalla" w:hAnsi="Sakkal Majalla" w:cs="Sakkal Majalla"/>
          <w:b/>
          <w:bCs/>
          <w:sz w:val="28"/>
          <w:szCs w:val="28"/>
        </w:rPr>
        <w:t>:</w:t>
      </w:r>
    </w:p>
    <w:p w14:paraId="561B3132" w14:textId="77777777" w:rsidR="00063462" w:rsidRPr="00C16C43" w:rsidRDefault="00063462" w:rsidP="00706966">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تحسين جودة القرارات الإدارية المرتبطة بالموارد والمواعيد النهائية</w:t>
      </w:r>
      <w:r w:rsidRPr="00C16C43">
        <w:rPr>
          <w:rFonts w:ascii="Sakkal Majalla" w:hAnsi="Sakkal Majalla" w:cs="Sakkal Majalla"/>
          <w:sz w:val="28"/>
          <w:szCs w:val="28"/>
        </w:rPr>
        <w:t>.</w:t>
      </w:r>
    </w:p>
    <w:p w14:paraId="6C3B2932" w14:textId="77777777" w:rsidR="00063462" w:rsidRPr="00C16C43" w:rsidRDefault="00063462" w:rsidP="00706966">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تقليل معدلات التكرار في الأخطاء والمشكلات المتوقعة</w:t>
      </w:r>
      <w:r w:rsidRPr="00C16C43">
        <w:rPr>
          <w:rFonts w:ascii="Sakkal Majalla" w:hAnsi="Sakkal Majalla" w:cs="Sakkal Majalla"/>
          <w:sz w:val="28"/>
          <w:szCs w:val="28"/>
        </w:rPr>
        <w:t>.</w:t>
      </w:r>
    </w:p>
    <w:p w14:paraId="34A861CB" w14:textId="77777777" w:rsidR="00063462" w:rsidRPr="00C16C43" w:rsidRDefault="00063462" w:rsidP="00706966">
      <w:pPr>
        <w:pStyle w:val="a5"/>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زيادة فعالية التكامل بين الوحدات التنظيمية لمواجهة المخاطر بطريقة جماعية ومنهجية</w:t>
      </w:r>
      <w:r w:rsidRPr="00C16C43">
        <w:rPr>
          <w:rFonts w:ascii="Sakkal Majalla" w:hAnsi="Sakkal Majalla" w:cs="Sakkal Majalla"/>
          <w:sz w:val="28"/>
          <w:szCs w:val="28"/>
        </w:rPr>
        <w:t>.</w:t>
      </w:r>
    </w:p>
    <w:p w14:paraId="3ABC81B0" w14:textId="58CDBF2B"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t>ويرى الباحث</w:t>
      </w:r>
      <w:r w:rsidRPr="00C16C43">
        <w:rPr>
          <w:rFonts w:ascii="Sakkal Majalla" w:hAnsi="Sakkal Majalla" w:cs="Sakkal Majalla"/>
          <w:sz w:val="28"/>
          <w:szCs w:val="28"/>
          <w:rtl/>
        </w:rPr>
        <w:t xml:space="preserve"> أن هذه الأهداف، رغم تنوعها، تتلاقى في نقطة مركزية وهي تحقيق الجاهزية المؤسسية والاستجابة الفعالة لأي طارئ</w:t>
      </w:r>
      <w:r w:rsidR="00DE09EE" w:rsidRPr="00C16C43">
        <w:rPr>
          <w:rFonts w:ascii="Sakkal Majalla" w:hAnsi="Sakkal Majalla" w:cs="Sakkal Majalla"/>
          <w:sz w:val="28"/>
          <w:szCs w:val="28"/>
          <w:rtl/>
        </w:rPr>
        <w:t xml:space="preserve"> ، وي</w:t>
      </w:r>
      <w:r w:rsidRPr="00C16C43">
        <w:rPr>
          <w:rFonts w:ascii="Sakkal Majalla" w:hAnsi="Sakkal Majalla" w:cs="Sakkal Majalla"/>
          <w:sz w:val="28"/>
          <w:szCs w:val="28"/>
          <w:rtl/>
        </w:rPr>
        <w:t>عتقد أن المؤسسات الصناعية لا يمكنها بلوغ مستويات عالية من التميز التشغيلي أو الاستدامة بدون وجود إدارة مخاطر ديناميكية، قادرة على التنبؤ بالمهددات والتعامل معها بمرونة وواقعية</w:t>
      </w:r>
      <w:r w:rsidRPr="00C16C43">
        <w:rPr>
          <w:rFonts w:ascii="Sakkal Majalla" w:hAnsi="Sakkal Majalla" w:cs="Sakkal Majalla"/>
          <w:sz w:val="28"/>
          <w:szCs w:val="28"/>
        </w:rPr>
        <w:t>.</w:t>
      </w:r>
    </w:p>
    <w:p w14:paraId="34AB15A5" w14:textId="6346A33D" w:rsidR="00063462" w:rsidRPr="006858BA" w:rsidRDefault="006858BA" w:rsidP="006858BA">
      <w:pPr>
        <w:spacing w:before="100" w:beforeAutospacing="1" w:after="100" w:afterAutospacing="1" w:line="360" w:lineRule="auto"/>
        <w:jc w:val="both"/>
        <w:outlineLvl w:val="2"/>
        <w:rPr>
          <w:rFonts w:ascii="Sakkal Majalla" w:hAnsi="Sakkal Majalla" w:cs="Sakkal Majalla"/>
          <w:b/>
          <w:bCs/>
          <w:sz w:val="32"/>
          <w:szCs w:val="32"/>
        </w:rPr>
      </w:pPr>
      <w:bookmarkStart w:id="43" w:name="_Toc200811021"/>
      <w:r w:rsidRPr="006858BA">
        <w:rPr>
          <w:rFonts w:ascii="Sakkal Majalla" w:hAnsi="Sakkal Majalla" w:cs="Sakkal Majalla"/>
          <w:b/>
          <w:bCs/>
          <w:sz w:val="32"/>
          <w:szCs w:val="32"/>
        </w:rPr>
        <w:t>3.1.2</w:t>
      </w:r>
      <w:r w:rsidRPr="006858BA">
        <w:rPr>
          <w:rFonts w:ascii="Sakkal Majalla" w:hAnsi="Sakkal Majalla" w:cs="Sakkal Majalla" w:hint="cs"/>
          <w:b/>
          <w:bCs/>
          <w:sz w:val="32"/>
          <w:szCs w:val="32"/>
          <w:rtl/>
          <w:lang w:bidi="ar-EG"/>
        </w:rPr>
        <w:t xml:space="preserve"> </w:t>
      </w:r>
      <w:r w:rsidR="00063462" w:rsidRPr="006858BA">
        <w:rPr>
          <w:rFonts w:ascii="Sakkal Majalla" w:hAnsi="Sakkal Majalla" w:cs="Sakkal Majalla"/>
          <w:b/>
          <w:bCs/>
          <w:sz w:val="32"/>
          <w:szCs w:val="32"/>
          <w:rtl/>
        </w:rPr>
        <w:t>خصائص إدارة المخاطر</w:t>
      </w:r>
      <w:bookmarkEnd w:id="43"/>
    </w:p>
    <w:p w14:paraId="226A2ABE"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تتسم إدارة المخاطر بمجموعة من الخصائص التي تجعلها عملية استراتيجية شاملة وليست مجرد إجراء إداري منفصل. ويشير</w:t>
      </w:r>
      <w:r w:rsidRPr="00C16C43">
        <w:rPr>
          <w:rFonts w:ascii="Sakkal Majalla" w:hAnsi="Sakkal Majalla" w:cs="Sakkal Majalla"/>
          <w:sz w:val="28"/>
          <w:szCs w:val="28"/>
        </w:rPr>
        <w:t xml:space="preserve"> Cao et al. (2018) </w:t>
      </w:r>
      <w:r w:rsidRPr="00C16C43">
        <w:rPr>
          <w:rFonts w:ascii="Sakkal Majalla" w:hAnsi="Sakkal Majalla" w:cs="Sakkal Majalla"/>
          <w:sz w:val="28"/>
          <w:szCs w:val="28"/>
          <w:rtl/>
        </w:rPr>
        <w:t>إلى أن إدارة المخاطر تتصف بـ الشمولية والتكامل، حيث تمتد عبر جميع مستويات المؤسسة ووظائفها، وتُدمج في مراحل التخطيط والتنفيذ والمراقبة. كما أنها عملية ديناميكية تتغير بتغير البيئة الداخلية والخارجية، مما يجعلها تعتمد على التحديث المستمر في التقدير والتحليل والمعالجة</w:t>
      </w:r>
      <w:r w:rsidRPr="00C16C43">
        <w:rPr>
          <w:rFonts w:ascii="Sakkal Majalla" w:hAnsi="Sakkal Majalla" w:cs="Sakkal Majalla"/>
          <w:sz w:val="28"/>
          <w:szCs w:val="28"/>
        </w:rPr>
        <w:t>.</w:t>
      </w:r>
    </w:p>
    <w:p w14:paraId="5DF67FA8" w14:textId="682BBB58" w:rsidR="00063462" w:rsidRPr="006858BA" w:rsidRDefault="00063462" w:rsidP="006858BA">
      <w:pPr>
        <w:spacing w:before="100" w:beforeAutospacing="1" w:after="100" w:afterAutospacing="1" w:line="360" w:lineRule="auto"/>
        <w:ind w:firstLine="706"/>
        <w:jc w:val="both"/>
        <w:rPr>
          <w:rFonts w:ascii="Sakkal Majalla" w:hAnsi="Sakkal Majalla" w:cs="Sakkal Majalla"/>
          <w:b/>
          <w:bCs/>
          <w:sz w:val="28"/>
          <w:szCs w:val="28"/>
        </w:rPr>
      </w:pPr>
      <w:r w:rsidRPr="006858BA">
        <w:rPr>
          <w:rFonts w:ascii="Sakkal Majalla" w:hAnsi="Sakkal Majalla" w:cs="Sakkal Majalla"/>
          <w:b/>
          <w:bCs/>
          <w:sz w:val="28"/>
          <w:szCs w:val="28"/>
          <w:rtl/>
        </w:rPr>
        <w:t>في حين يوضح</w:t>
      </w:r>
      <w:r w:rsidRPr="006858BA">
        <w:rPr>
          <w:rFonts w:ascii="Sakkal Majalla" w:hAnsi="Sakkal Majalla" w:cs="Sakkal Majalla"/>
          <w:b/>
          <w:bCs/>
          <w:sz w:val="28"/>
          <w:szCs w:val="28"/>
        </w:rPr>
        <w:t xml:space="preserve"> Al-Naeem et al. (2024) </w:t>
      </w:r>
      <w:r w:rsidRPr="006858BA">
        <w:rPr>
          <w:rFonts w:ascii="Sakkal Majalla" w:hAnsi="Sakkal Majalla" w:cs="Sakkal Majalla"/>
          <w:b/>
          <w:bCs/>
          <w:sz w:val="28"/>
          <w:szCs w:val="28"/>
          <w:rtl/>
        </w:rPr>
        <w:t>أن من أبرز خصائص إدارة المخاطر ما يلي</w:t>
      </w:r>
      <w:r w:rsidRPr="006858BA">
        <w:rPr>
          <w:rFonts w:ascii="Sakkal Majalla" w:hAnsi="Sakkal Majalla" w:cs="Sakkal Majalla"/>
          <w:b/>
          <w:bCs/>
          <w:sz w:val="28"/>
          <w:szCs w:val="28"/>
        </w:rPr>
        <w:t>:</w:t>
      </w:r>
    </w:p>
    <w:p w14:paraId="548C388E" w14:textId="77777777" w:rsidR="00063462" w:rsidRPr="00C16C43" w:rsidRDefault="00063462" w:rsidP="00706966">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الاستباقية</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أي القدرة على التنبؤ بالمخاطر المحتملة قبل وقوعها، واتخاذ تدابير وقائية مبكرة</w:t>
      </w:r>
      <w:r w:rsidRPr="00C16C43">
        <w:rPr>
          <w:rFonts w:ascii="Sakkal Majalla" w:hAnsi="Sakkal Majalla" w:cs="Sakkal Majalla"/>
          <w:sz w:val="28"/>
          <w:szCs w:val="28"/>
        </w:rPr>
        <w:t>.</w:t>
      </w:r>
    </w:p>
    <w:p w14:paraId="22628856" w14:textId="77777777" w:rsidR="00063462" w:rsidRPr="00C16C43" w:rsidRDefault="00063462" w:rsidP="00706966">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الترابط الأفقي والرأسي</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حيث ترتبط إدارة المخاطر بكافة الإدارات (الإنتاج، السلامة، المالية، الموارد البشرية) وتعمل بتناغم معها، كما ترتبط بمستويات القرار العليا والدنيا</w:t>
      </w:r>
      <w:r w:rsidRPr="00C16C43">
        <w:rPr>
          <w:rFonts w:ascii="Sakkal Majalla" w:hAnsi="Sakkal Majalla" w:cs="Sakkal Majalla"/>
          <w:sz w:val="28"/>
          <w:szCs w:val="28"/>
        </w:rPr>
        <w:t>.</w:t>
      </w:r>
    </w:p>
    <w:p w14:paraId="39152289" w14:textId="77777777" w:rsidR="00063462" w:rsidRPr="00C16C43" w:rsidRDefault="00063462" w:rsidP="00706966">
      <w:pPr>
        <w:pStyle w:val="a5"/>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lastRenderedPageBreak/>
        <w:t>الموثوقية والاستناد إلى البيانات</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إذ تعتمد أنظمة إدارة المخاطر على التحليل الكمي والنوعي، وتستخدم النماذج والمحاكاة والتنبؤ الإحصائي</w:t>
      </w:r>
      <w:r w:rsidRPr="00C16C43">
        <w:rPr>
          <w:rFonts w:ascii="Sakkal Majalla" w:hAnsi="Sakkal Majalla" w:cs="Sakkal Majalla"/>
          <w:sz w:val="28"/>
          <w:szCs w:val="28"/>
        </w:rPr>
        <w:t>.</w:t>
      </w:r>
    </w:p>
    <w:p w14:paraId="32201B15" w14:textId="6673451A"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من جانب آخر، يُشير</w:t>
      </w:r>
      <w:r w:rsidRPr="00C16C43">
        <w:rPr>
          <w:rFonts w:ascii="Sakkal Majalla" w:hAnsi="Sakkal Majalla" w:cs="Sakkal Majalla"/>
          <w:sz w:val="28"/>
          <w:szCs w:val="28"/>
        </w:rPr>
        <w:t xml:space="preserve"> Rehman &amp; Ishak (2023) </w:t>
      </w:r>
      <w:r w:rsidRPr="00C16C43">
        <w:rPr>
          <w:rFonts w:ascii="Sakkal Majalla" w:hAnsi="Sakkal Majalla" w:cs="Sakkal Majalla"/>
          <w:sz w:val="28"/>
          <w:szCs w:val="28"/>
          <w:rtl/>
        </w:rPr>
        <w:t>إلى أن إدارة المخاطر الحديثة تتصف كذلك بـ</w:t>
      </w:r>
      <w:r w:rsidR="006858BA">
        <w:rPr>
          <w:rFonts w:ascii="Sakkal Majalla" w:hAnsi="Sakkal Majalla" w:cs="Sakkal Majalla"/>
          <w:sz w:val="28"/>
          <w:szCs w:val="28"/>
        </w:rPr>
        <w:t>:</w:t>
      </w:r>
      <w:r w:rsidR="006858BA">
        <w:rPr>
          <w:rFonts w:ascii="Sakkal Majalla" w:hAnsi="Sakkal Majalla" w:cs="Sakkal Majalla" w:hint="cs"/>
          <w:sz w:val="28"/>
          <w:szCs w:val="28"/>
          <w:rtl/>
        </w:rPr>
        <w:t xml:space="preserve"> </w:t>
      </w:r>
      <w:r w:rsidRPr="00C16C43">
        <w:rPr>
          <w:rFonts w:ascii="Sakkal Majalla" w:hAnsi="Sakkal Majalla" w:cs="Sakkal Majalla"/>
          <w:sz w:val="28"/>
          <w:szCs w:val="28"/>
          <w:rtl/>
        </w:rPr>
        <w:t>التركيز على العنصر البشري، باعتباره محورًا أساسيًا في تحليل وتقييم والتفاعل مع المخاطر</w:t>
      </w:r>
      <w:r w:rsidRPr="00C16C43">
        <w:rPr>
          <w:rFonts w:ascii="Sakkal Majalla" w:hAnsi="Sakkal Majalla" w:cs="Sakkal Majalla"/>
          <w:sz w:val="28"/>
          <w:szCs w:val="28"/>
        </w:rPr>
        <w:t>.</w:t>
      </w:r>
    </w:p>
    <w:p w14:paraId="14BBB632" w14:textId="77777777" w:rsidR="00063462" w:rsidRPr="00C16C43" w:rsidRDefault="00063462" w:rsidP="00706966">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القابلية للقياس والتقييم، من خلال مؤشرات أداء رئيسية</w:t>
      </w:r>
      <w:r w:rsidRPr="00C16C43">
        <w:rPr>
          <w:rFonts w:ascii="Sakkal Majalla" w:hAnsi="Sakkal Majalla" w:cs="Sakkal Majalla"/>
          <w:sz w:val="28"/>
          <w:szCs w:val="28"/>
        </w:rPr>
        <w:t xml:space="preserve"> (KPIs) </w:t>
      </w:r>
      <w:r w:rsidRPr="00C16C43">
        <w:rPr>
          <w:rFonts w:ascii="Sakkal Majalla" w:hAnsi="Sakkal Majalla" w:cs="Sakkal Majalla"/>
          <w:sz w:val="28"/>
          <w:szCs w:val="28"/>
          <w:rtl/>
        </w:rPr>
        <w:t>مثل عدد الحوادث، معدل التكرار، حجم الخسائر الناتجة</w:t>
      </w:r>
      <w:r w:rsidRPr="00C16C43">
        <w:rPr>
          <w:rFonts w:ascii="Sakkal Majalla" w:hAnsi="Sakkal Majalla" w:cs="Sakkal Majalla"/>
          <w:sz w:val="28"/>
          <w:szCs w:val="28"/>
        </w:rPr>
        <w:t>.</w:t>
      </w:r>
    </w:p>
    <w:p w14:paraId="00494D2C" w14:textId="77777777" w:rsidR="00063462" w:rsidRPr="00C16C43" w:rsidRDefault="00063462" w:rsidP="00706966">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المرونة التنظيمية، بما يسمح بتكييف الإجراءات وفقًا للمتغيرات الطارئة وتطور بيئة العمل</w:t>
      </w:r>
      <w:r w:rsidRPr="00C16C43">
        <w:rPr>
          <w:rFonts w:ascii="Sakkal Majalla" w:hAnsi="Sakkal Majalla" w:cs="Sakkal Majalla"/>
          <w:sz w:val="28"/>
          <w:szCs w:val="28"/>
        </w:rPr>
        <w:t>.</w:t>
      </w:r>
    </w:p>
    <w:p w14:paraId="17223C85"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t>ويرى الباحث</w:t>
      </w:r>
      <w:r w:rsidRPr="00C16C43">
        <w:rPr>
          <w:rFonts w:ascii="Sakkal Majalla" w:hAnsi="Sakkal Majalla" w:cs="Sakkal Majalla"/>
          <w:sz w:val="28"/>
          <w:szCs w:val="28"/>
          <w:rtl/>
        </w:rPr>
        <w:t xml:space="preserve"> أن الخصائص الجوهرية لإدارة المخاطر تكمن في قدرتها على التحول من دور تقليدي وقائي إلى وظيفة قيادية تساهم في دعم القرارات الاستراتيجية، وبناء ثقافة واعية، وتحقيق استقرار طويل الأجل. وتُعد هذه الخصائص أساسًا في تقييم فعالية الإدارة داخل مؤسسات ضخمة مثل أرامكو، التي تتعامل مع آلاف العمليات اليومية التي تنطوي على مخاطر تشغيلية وبيئية واقتصادية وأمنية</w:t>
      </w:r>
      <w:r w:rsidRPr="00C16C43">
        <w:rPr>
          <w:rFonts w:ascii="Sakkal Majalla" w:hAnsi="Sakkal Majalla" w:cs="Sakkal Majalla"/>
          <w:sz w:val="28"/>
          <w:szCs w:val="28"/>
        </w:rPr>
        <w:t>.</w:t>
      </w:r>
    </w:p>
    <w:p w14:paraId="0E813F29" w14:textId="0E002899" w:rsidR="00063462" w:rsidRPr="006858BA" w:rsidRDefault="006858BA" w:rsidP="006858BA">
      <w:pPr>
        <w:spacing w:before="100" w:beforeAutospacing="1" w:after="100" w:afterAutospacing="1" w:line="360" w:lineRule="auto"/>
        <w:jc w:val="both"/>
        <w:outlineLvl w:val="2"/>
        <w:rPr>
          <w:rFonts w:ascii="Sakkal Majalla" w:hAnsi="Sakkal Majalla" w:cs="Sakkal Majalla"/>
          <w:b/>
          <w:bCs/>
          <w:sz w:val="32"/>
          <w:szCs w:val="32"/>
        </w:rPr>
      </w:pPr>
      <w:bookmarkStart w:id="44" w:name="_Toc200811022"/>
      <w:r w:rsidRPr="006858BA">
        <w:rPr>
          <w:rFonts w:ascii="Sakkal Majalla" w:hAnsi="Sakkal Majalla" w:cs="Sakkal Majalla" w:hint="cs"/>
          <w:b/>
          <w:bCs/>
          <w:sz w:val="32"/>
          <w:szCs w:val="32"/>
          <w:rtl/>
        </w:rPr>
        <w:t xml:space="preserve">4.1.2 </w:t>
      </w:r>
      <w:r w:rsidR="00063462" w:rsidRPr="006858BA">
        <w:rPr>
          <w:rFonts w:ascii="Sakkal Majalla" w:hAnsi="Sakkal Majalla" w:cs="Sakkal Majalla"/>
          <w:b/>
          <w:bCs/>
          <w:sz w:val="32"/>
          <w:szCs w:val="32"/>
          <w:rtl/>
        </w:rPr>
        <w:t>أهمية إدارة المخاطر</w:t>
      </w:r>
      <w:bookmarkEnd w:id="44"/>
    </w:p>
    <w:p w14:paraId="0F60B77A"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يشير</w:t>
      </w:r>
      <w:r w:rsidRPr="00C16C43">
        <w:rPr>
          <w:rFonts w:ascii="Sakkal Majalla" w:hAnsi="Sakkal Majalla" w:cs="Sakkal Majalla" w:hint="cs"/>
          <w:sz w:val="28"/>
          <w:szCs w:val="28"/>
          <w:lang w:bidi="ar-EG"/>
        </w:rPr>
        <w:t xml:space="preserve"> Tenrisau et al. (2025) </w:t>
      </w:r>
      <w:r w:rsidRPr="00C16C43">
        <w:rPr>
          <w:rFonts w:ascii="Sakkal Majalla" w:hAnsi="Sakkal Majalla" w:cs="Sakkal Majalla" w:hint="cs"/>
          <w:sz w:val="28"/>
          <w:szCs w:val="28"/>
          <w:rtl/>
          <w:lang w:bidi="ar-EG"/>
        </w:rPr>
        <w:t>إلى أن أهمية إدارة المخاطر تكمن في ثلاثة محاور رئيسية، هي</w:t>
      </w:r>
      <w:r w:rsidRPr="00C16C43">
        <w:rPr>
          <w:rFonts w:ascii="Sakkal Majalla" w:hAnsi="Sakkal Majalla" w:cs="Sakkal Majalla" w:hint="cs"/>
          <w:sz w:val="28"/>
          <w:szCs w:val="28"/>
          <w:lang w:bidi="ar-EG"/>
        </w:rPr>
        <w:t>:</w:t>
      </w:r>
    </w:p>
    <w:p w14:paraId="0C6B83E9"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الوقاية الاستباقية من الحوادث والخسائر المحتملة عبر تحديد الأخطار قبل وقوعها</w:t>
      </w:r>
      <w:r w:rsidRPr="00C16C43">
        <w:rPr>
          <w:rFonts w:ascii="Sakkal Majalla" w:hAnsi="Sakkal Majalla" w:cs="Sakkal Majalla"/>
          <w:sz w:val="28"/>
          <w:szCs w:val="28"/>
        </w:rPr>
        <w:t>.</w:t>
      </w:r>
    </w:p>
    <w:p w14:paraId="13B04B27" w14:textId="77777777" w:rsidR="00063462" w:rsidRPr="00C16C43" w:rsidRDefault="00063462" w:rsidP="00706966">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ضمان استمرارية الأعمال في مختلف الظروف الطارئة من خلال تطوير خطط استجابة متكاملة</w:t>
      </w:r>
      <w:r w:rsidRPr="00C16C43">
        <w:rPr>
          <w:rFonts w:ascii="Sakkal Majalla" w:hAnsi="Sakkal Majalla" w:cs="Sakkal Majalla"/>
          <w:sz w:val="28"/>
          <w:szCs w:val="28"/>
        </w:rPr>
        <w:t>.</w:t>
      </w:r>
    </w:p>
    <w:p w14:paraId="6D3FD1E9" w14:textId="77777777" w:rsidR="00063462" w:rsidRPr="00C16C43" w:rsidRDefault="00063462" w:rsidP="00706966">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تحسين كفاءة اتخاذ القرار داخل المؤسسة بناءً على معلومات تحليلية وتقييمات واقعية للمخاطر</w:t>
      </w:r>
      <w:r w:rsidRPr="00C16C43">
        <w:rPr>
          <w:rFonts w:ascii="Sakkal Majalla" w:hAnsi="Sakkal Majalla" w:cs="Sakkal Majalla"/>
          <w:sz w:val="28"/>
          <w:szCs w:val="28"/>
        </w:rPr>
        <w:t>.</w:t>
      </w:r>
    </w:p>
    <w:p w14:paraId="4464C112"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بينما يشير</w:t>
      </w:r>
      <w:r w:rsidRPr="00C16C43">
        <w:rPr>
          <w:rFonts w:ascii="Sakkal Majalla" w:hAnsi="Sakkal Majalla" w:cs="Sakkal Majalla"/>
          <w:sz w:val="28"/>
          <w:szCs w:val="28"/>
        </w:rPr>
        <w:t xml:space="preserve"> Rehman &amp; Ishak (2023) </w:t>
      </w:r>
      <w:r w:rsidRPr="00C16C43">
        <w:rPr>
          <w:rFonts w:ascii="Sakkal Majalla" w:hAnsi="Sakkal Majalla" w:cs="Sakkal Majalla"/>
          <w:sz w:val="28"/>
          <w:szCs w:val="28"/>
          <w:rtl/>
        </w:rPr>
        <w:t>إلى أن أهمية إدارة المخاطر تتجاوز الأطر التقليدية لتشمل</w:t>
      </w:r>
      <w:r w:rsidRPr="00C16C43">
        <w:rPr>
          <w:rFonts w:ascii="Sakkal Majalla" w:hAnsi="Sakkal Majalla" w:cs="Sakkal Majalla"/>
          <w:sz w:val="28"/>
          <w:szCs w:val="28"/>
        </w:rPr>
        <w:t>:</w:t>
      </w:r>
    </w:p>
    <w:p w14:paraId="684F98E4" w14:textId="77777777" w:rsidR="00063462" w:rsidRPr="00C16C43" w:rsidRDefault="00063462" w:rsidP="0070696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تعزيز مرونة المؤسسة وقدرتها على التكيف مع الأزمات المستجدة، من خلال بناء قدرات داخلية ديناميكية</w:t>
      </w:r>
      <w:r w:rsidRPr="00C16C43">
        <w:rPr>
          <w:rFonts w:ascii="Sakkal Majalla" w:hAnsi="Sakkal Majalla" w:cs="Sakkal Majalla"/>
          <w:sz w:val="28"/>
          <w:szCs w:val="28"/>
        </w:rPr>
        <w:t>.</w:t>
      </w:r>
    </w:p>
    <w:p w14:paraId="50A95C5C" w14:textId="77777777" w:rsidR="00063462" w:rsidRPr="00C16C43" w:rsidRDefault="00063462" w:rsidP="0070696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lastRenderedPageBreak/>
        <w:t>تحقيق الامتثال التنظيمي والتشريعي، وهو أمر بالغ الأهمية خاصة في بيئات العمل الصناعية عالية الخطورة مثل قطاع الطاقة</w:t>
      </w:r>
      <w:r w:rsidRPr="00C16C43">
        <w:rPr>
          <w:rFonts w:ascii="Sakkal Majalla" w:hAnsi="Sakkal Majalla" w:cs="Sakkal Majalla"/>
          <w:sz w:val="28"/>
          <w:szCs w:val="28"/>
        </w:rPr>
        <w:t>.</w:t>
      </w:r>
    </w:p>
    <w:p w14:paraId="0C492717" w14:textId="77777777" w:rsidR="00063462" w:rsidRPr="00C16C43" w:rsidRDefault="00063462" w:rsidP="0070696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رفع ثقة المستثمرين وأصحاب المصلحة من خلال توفير بيئة تشغيلية آمنة ومستقرة تتسم بالشفافية في التعامل مع التحديات</w:t>
      </w:r>
      <w:r w:rsidRPr="00C16C43">
        <w:rPr>
          <w:rFonts w:ascii="Sakkal Majalla" w:hAnsi="Sakkal Majalla" w:cs="Sakkal Majalla"/>
          <w:sz w:val="28"/>
          <w:szCs w:val="28"/>
        </w:rPr>
        <w:t>.</w:t>
      </w:r>
    </w:p>
    <w:p w14:paraId="6D6D65E2" w14:textId="64BB9D63"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كما يشير</w:t>
      </w:r>
      <w:r w:rsidRPr="00C16C43">
        <w:rPr>
          <w:rFonts w:ascii="Sakkal Majalla" w:hAnsi="Sakkal Majalla" w:cs="Sakkal Majalla"/>
          <w:sz w:val="28"/>
          <w:szCs w:val="28"/>
        </w:rPr>
        <w:t xml:space="preserve"> Al-Naeem et al. (2024) </w:t>
      </w:r>
      <w:r w:rsidRPr="00C16C43">
        <w:rPr>
          <w:rFonts w:ascii="Sakkal Majalla" w:hAnsi="Sakkal Majalla" w:cs="Sakkal Majalla"/>
          <w:sz w:val="28"/>
          <w:szCs w:val="28"/>
          <w:rtl/>
        </w:rPr>
        <w:t>إلى أن إدارة المخاطر تُمثل عنصرًا محوريًا في تحقيق أهداف الاستدامة المؤسسية، وذلك عبر تقليل التكاليف الناتجة عن الأعطال المتكررة، وتقليص فرص توقف العمل، وحماية الأصول الاستراتيجية</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ويُبرز هؤلاء الباحثون أن المؤسسات التي تُطبق نظم إدارة مخاطر فعالة تتمتع بقدرة تنافسية أعلى في السوق، وتُسهم في بناء ثقافة تنظيمية قائمة على التوقع والاستعداد بدلاً من ردّ الفعل</w:t>
      </w:r>
      <w:r w:rsidRPr="00C16C43">
        <w:rPr>
          <w:rFonts w:ascii="Sakkal Majalla" w:hAnsi="Sakkal Majalla" w:cs="Sakkal Majalla"/>
          <w:sz w:val="28"/>
          <w:szCs w:val="28"/>
        </w:rPr>
        <w:t>.</w:t>
      </w:r>
    </w:p>
    <w:p w14:paraId="18EA88B7"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ويرى الباحث أن أهمية إدارة المخاطر لا تُختزل فقط في منع الأزمات، بل تشمل كذلك تمكين المؤسسة من تحقيق كفاءة تشغيلية أعلى، ومرونة استراتيجية في التعامل مع المتغيرات، ورفع كفاءة العنصر البشري من خلال التدريب والتوعية المستمرة. وهو ما يجعلها حجر الزاوية في نجاح أي منشأة صناعية تسعى إلى الاستدامة والتميز المؤسسي، خاصة في سياقات تشغيلية بالغة الحساسية مثل شركة أرامكو السعودية</w:t>
      </w:r>
      <w:r w:rsidRPr="00C16C43">
        <w:rPr>
          <w:rFonts w:ascii="Sakkal Majalla" w:hAnsi="Sakkal Majalla" w:cs="Sakkal Majalla"/>
          <w:sz w:val="28"/>
          <w:szCs w:val="28"/>
        </w:rPr>
        <w:t>.</w:t>
      </w:r>
    </w:p>
    <w:p w14:paraId="77C318DC" w14:textId="0EF1751E" w:rsidR="00063462" w:rsidRPr="006858BA" w:rsidRDefault="006858BA" w:rsidP="006858BA">
      <w:pPr>
        <w:spacing w:before="100" w:beforeAutospacing="1" w:after="100" w:afterAutospacing="1" w:line="360" w:lineRule="auto"/>
        <w:jc w:val="both"/>
        <w:outlineLvl w:val="2"/>
        <w:rPr>
          <w:rFonts w:ascii="Sakkal Majalla" w:hAnsi="Sakkal Majalla" w:cs="Sakkal Majalla"/>
          <w:b/>
          <w:bCs/>
          <w:sz w:val="32"/>
          <w:szCs w:val="32"/>
        </w:rPr>
      </w:pPr>
      <w:bookmarkStart w:id="45" w:name="_Toc200811023"/>
      <w:r w:rsidRPr="006858BA">
        <w:rPr>
          <w:rFonts w:ascii="Sakkal Majalla" w:hAnsi="Sakkal Majalla" w:cs="Sakkal Majalla"/>
          <w:b/>
          <w:bCs/>
          <w:sz w:val="32"/>
          <w:szCs w:val="32"/>
        </w:rPr>
        <w:t>5.1.2</w:t>
      </w:r>
      <w:r w:rsidRPr="006858BA">
        <w:rPr>
          <w:rFonts w:ascii="Sakkal Majalla" w:hAnsi="Sakkal Majalla" w:cs="Sakkal Majalla" w:hint="cs"/>
          <w:b/>
          <w:bCs/>
          <w:sz w:val="32"/>
          <w:szCs w:val="32"/>
          <w:rtl/>
          <w:lang w:bidi="ar-EG"/>
        </w:rPr>
        <w:t xml:space="preserve"> </w:t>
      </w:r>
      <w:r w:rsidR="00063462" w:rsidRPr="006858BA">
        <w:rPr>
          <w:rFonts w:ascii="Sakkal Majalla" w:hAnsi="Sakkal Majalla" w:cs="Sakkal Majalla"/>
          <w:b/>
          <w:bCs/>
          <w:sz w:val="32"/>
          <w:szCs w:val="32"/>
          <w:rtl/>
        </w:rPr>
        <w:t>أبعاد إدارة المخاطر</w:t>
      </w:r>
      <w:bookmarkEnd w:id="45"/>
    </w:p>
    <w:p w14:paraId="129DB9F1" w14:textId="3679D746"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تُعد إدارة المخاطر نظامًا إداريًا متكاملًا يتطلب تفعيل عدد من الأبعاد المتداخلة التي تُغطي مختلف جوانب المؤسسة</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Rehman &amp; Ishak (2023) </w:t>
      </w:r>
      <w:r w:rsidRPr="00C16C43">
        <w:rPr>
          <w:rFonts w:ascii="Sakkal Majalla" w:hAnsi="Sakkal Majalla" w:cs="Sakkal Majalla"/>
          <w:sz w:val="28"/>
          <w:szCs w:val="28"/>
          <w:rtl/>
        </w:rPr>
        <w:t>إلى أن تحليل الأبعاد المختلفة لإدارة المخاطر يُمثل الأساس الحقيقي لبناء نظام شامل يربط بين الرؤية الاستراتيجية والواقع التنفيذي. وفيما يلي تفصيل علمي لأهم هذه الأبعاد</w:t>
      </w:r>
      <w:r w:rsidRPr="00C16C43">
        <w:rPr>
          <w:rFonts w:ascii="Sakkal Majalla" w:hAnsi="Sakkal Majalla" w:cs="Sakkal Majalla"/>
          <w:sz w:val="28"/>
          <w:szCs w:val="28"/>
        </w:rPr>
        <w:t>:</w:t>
      </w:r>
    </w:p>
    <w:p w14:paraId="5499656B" w14:textId="380516D3"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1. </w:t>
      </w:r>
      <w:r w:rsidR="00063462" w:rsidRPr="006858BA">
        <w:rPr>
          <w:rFonts w:ascii="Sakkal Majalla" w:hAnsi="Sakkal Majalla" w:cs="Sakkal Majalla"/>
          <w:b/>
          <w:bCs/>
          <w:sz w:val="28"/>
          <w:szCs w:val="28"/>
          <w:rtl/>
        </w:rPr>
        <w:t>البُعد التنظيمي</w:t>
      </w:r>
    </w:p>
    <w:p w14:paraId="1BD48A92" w14:textId="305C7C71"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يُعبّر هذا البُعد عن مدى توفر البنية المؤسسية والهيكل الإداري الذي يدعم تطبيق إدارة المخاطر. ويشمل وجود سياسات معتمدة، ووحدات تنظيمية مختصة، وآليات للتنسيق بين الإدارات</w:t>
      </w:r>
      <w:r w:rsidR="00DE09EE"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ويؤكد</w:t>
      </w:r>
      <w:r w:rsidRPr="00C16C43">
        <w:rPr>
          <w:rFonts w:ascii="Sakkal Majalla" w:hAnsi="Sakkal Majalla" w:cs="Sakkal Majalla"/>
          <w:sz w:val="28"/>
          <w:szCs w:val="28"/>
        </w:rPr>
        <w:t xml:space="preserve"> Barot (2024) </w:t>
      </w:r>
      <w:r w:rsidRPr="00C16C43">
        <w:rPr>
          <w:rFonts w:ascii="Sakkal Majalla" w:hAnsi="Sakkal Majalla" w:cs="Sakkal Majalla"/>
          <w:sz w:val="28"/>
          <w:szCs w:val="28"/>
          <w:rtl/>
        </w:rPr>
        <w:t>أن فعالية هذا البُعد ترتبط بوضوح الصلاحيات والمسؤوليات، وتكامل نظم الحوكمة، ووجود قنوات اتصال واضحة داخل المؤسسة، مما يُسهم في سرعة الاستجابة وتقليل الارتباك أثناء الأزمات</w:t>
      </w:r>
      <w:r w:rsidR="00DE09EE"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وتشير دراسة جلول وآخرين (2019) إلى أن غياب البنية التنظيمية يؤدي إلى عشوائية في إدارة المخاطر، وتأخير في اتخاذ القرارات الحرجة، خصوصًا في البيئات الصناعية المعقدة</w:t>
      </w:r>
      <w:r w:rsidRPr="00C16C43">
        <w:rPr>
          <w:rFonts w:ascii="Sakkal Majalla" w:hAnsi="Sakkal Majalla" w:cs="Sakkal Majalla"/>
          <w:sz w:val="28"/>
          <w:szCs w:val="28"/>
        </w:rPr>
        <w:t>.</w:t>
      </w:r>
    </w:p>
    <w:p w14:paraId="56056E1C" w14:textId="01687843"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2. </w:t>
      </w:r>
      <w:r w:rsidR="00063462" w:rsidRPr="006858BA">
        <w:rPr>
          <w:rFonts w:ascii="Sakkal Majalla" w:hAnsi="Sakkal Majalla" w:cs="Sakkal Majalla"/>
          <w:b/>
          <w:bCs/>
          <w:sz w:val="28"/>
          <w:szCs w:val="28"/>
          <w:rtl/>
        </w:rPr>
        <w:t>البُعد التشريعي</w:t>
      </w:r>
    </w:p>
    <w:p w14:paraId="295E156B" w14:textId="63DE99F3"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يتعلق هذا البُعد بمدى التزام المؤسسة بالقوانين الوطنية، والأنظمة الصناعية، والمعايير الدولية الخاصة بالسلامة وإدارة الأزمات</w:t>
      </w:r>
      <w:r w:rsidR="00DE09EE"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ويُعد هذا الالتزام حجر الزاوية في الوقاية من التبعات القانونية، وتعزيز ثقافة الامتثال، وتقوية علاقة المؤسسة بالجهات التنظيمية</w:t>
      </w:r>
      <w:r w:rsidR="00DE09EE"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Davis et al. (2023) </w:t>
      </w:r>
      <w:r w:rsidRPr="00C16C43">
        <w:rPr>
          <w:rFonts w:ascii="Sakkal Majalla" w:hAnsi="Sakkal Majalla" w:cs="Sakkal Majalla"/>
          <w:sz w:val="28"/>
          <w:szCs w:val="28"/>
          <w:rtl/>
        </w:rPr>
        <w:t>إلى أن الإطار التشريعي القوي يُسهم في تعزيز ثقة المجتمع المحلي بالمؤسسة، كما يُوفر لها بيئة مستقرة تُمكنها من العمل دون مخاطر نظامية مفاجئة</w:t>
      </w:r>
      <w:r w:rsidR="00C04680"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تؤكد</w:t>
      </w:r>
      <w:r w:rsidRPr="00C16C43">
        <w:rPr>
          <w:rFonts w:ascii="Sakkal Majalla" w:hAnsi="Sakkal Majalla" w:cs="Sakkal Majalla"/>
          <w:sz w:val="28"/>
          <w:szCs w:val="28"/>
        </w:rPr>
        <w:t xml:space="preserve"> Al-Naeem et al. (2024) </w:t>
      </w:r>
      <w:r w:rsidRPr="00C16C43">
        <w:rPr>
          <w:rFonts w:ascii="Sakkal Majalla" w:hAnsi="Sakkal Majalla" w:cs="Sakkal Majalla"/>
          <w:sz w:val="28"/>
          <w:szCs w:val="28"/>
          <w:rtl/>
        </w:rPr>
        <w:t>على أهمية مواكبة التشريعات الوطنية لمتطلبات الاستدامة والحوكمة، لا سيما في قطاع الطاقة</w:t>
      </w:r>
      <w:r w:rsidRPr="00C16C43">
        <w:rPr>
          <w:rFonts w:ascii="Sakkal Majalla" w:hAnsi="Sakkal Majalla" w:cs="Sakkal Majalla"/>
          <w:sz w:val="28"/>
          <w:szCs w:val="28"/>
        </w:rPr>
        <w:t>.</w:t>
      </w:r>
    </w:p>
    <w:p w14:paraId="589A79E9" w14:textId="06F34451"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3. </w:t>
      </w:r>
      <w:r w:rsidR="00063462" w:rsidRPr="006858BA">
        <w:rPr>
          <w:rFonts w:ascii="Sakkal Majalla" w:hAnsi="Sakkal Majalla" w:cs="Sakkal Majalla"/>
          <w:b/>
          <w:bCs/>
          <w:sz w:val="28"/>
          <w:szCs w:val="28"/>
          <w:rtl/>
        </w:rPr>
        <w:t>البُعد الفني</w:t>
      </w:r>
    </w:p>
    <w:p w14:paraId="3943C22D" w14:textId="7F3B4E92"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يُقصد به توفر الموارد التقنية والأنظمة الذكية التي تُستخدم لرصد وتحليل المخاطر، مثل نظم المراقبة، والذكاء الاصطناعي، وتحليل البيانات التنبؤية</w:t>
      </w:r>
      <w:r w:rsidR="00C04680" w:rsidRPr="00C16C43">
        <w:rPr>
          <w:rFonts w:ascii="Sakkal Majalla" w:hAnsi="Sakkal Majalla" w:cs="Sakkal Majalla" w:hint="cs"/>
          <w:sz w:val="28"/>
          <w:szCs w:val="28"/>
          <w:rtl/>
          <w:lang w:bidi="ar-EG"/>
        </w:rPr>
        <w:t>،</w:t>
      </w:r>
      <w:r w:rsidRPr="00C16C43">
        <w:rPr>
          <w:rFonts w:ascii="Sakkal Majalla" w:hAnsi="Sakkal Majalla" w:cs="Sakkal Majalla" w:hint="cs"/>
          <w:sz w:val="28"/>
          <w:szCs w:val="28"/>
          <w:rtl/>
          <w:lang w:bidi="ar-EG"/>
        </w:rPr>
        <w:t xml:space="preserve"> وتُشير</w:t>
      </w:r>
      <w:r w:rsidRPr="00C16C43">
        <w:rPr>
          <w:rFonts w:ascii="Sakkal Majalla" w:hAnsi="Sakkal Majalla" w:cs="Sakkal Majalla" w:hint="cs"/>
          <w:sz w:val="28"/>
          <w:szCs w:val="28"/>
          <w:lang w:bidi="ar-EG"/>
        </w:rPr>
        <w:t xml:space="preserve"> Zhang et al. (2023) </w:t>
      </w:r>
      <w:r w:rsidRPr="00C16C43">
        <w:rPr>
          <w:rFonts w:ascii="Sakkal Majalla" w:hAnsi="Sakkal Majalla" w:cs="Sakkal Majalla" w:hint="cs"/>
          <w:sz w:val="28"/>
          <w:szCs w:val="28"/>
          <w:rtl/>
          <w:lang w:bidi="ar-EG"/>
        </w:rPr>
        <w:t>إلى أن المؤسسات التي تستثمر في الأنظمة الفنية المتطورة تكون أكثر قدرة على اكتشاف المخاطر قبل وقوعها، واتخاذ إجراءات استباقية دقيقة</w:t>
      </w:r>
      <w:r w:rsidR="00C04680" w:rsidRPr="00C16C43">
        <w:rPr>
          <w:rFonts w:ascii="Sakkal Majalla" w:hAnsi="Sakkal Majalla" w:cs="Sakkal Majalla" w:hint="cs"/>
          <w:sz w:val="28"/>
          <w:szCs w:val="28"/>
          <w:rtl/>
          <w:lang w:bidi="ar-EG"/>
        </w:rPr>
        <w:t>،</w:t>
      </w:r>
      <w:r w:rsidRPr="00C16C43">
        <w:rPr>
          <w:rFonts w:ascii="Sakkal Majalla" w:hAnsi="Sakkal Majalla" w:cs="Sakkal Majalla" w:hint="cs"/>
          <w:sz w:val="28"/>
          <w:szCs w:val="28"/>
          <w:rtl/>
          <w:lang w:bidi="ar-EG"/>
        </w:rPr>
        <w:t xml:space="preserve"> ويُضاف إلى ذلك استخدام تقنيات المحاكاة ونظم المعلومات الجغرافية في التنبؤ بالمخاطر البيئية واللوجستية، وهو ما يُعزز سرعة ودقة الاستجابة في البيئات التشغيلية</w:t>
      </w:r>
      <w:r w:rsidRPr="00C16C43">
        <w:rPr>
          <w:rFonts w:ascii="Sakkal Majalla" w:hAnsi="Sakkal Majalla" w:cs="Sakkal Majalla" w:hint="cs"/>
          <w:sz w:val="28"/>
          <w:szCs w:val="28"/>
          <w:lang w:bidi="ar-EG"/>
        </w:rPr>
        <w:t>.</w:t>
      </w:r>
    </w:p>
    <w:p w14:paraId="135DB68E" w14:textId="3B3C1990"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lang w:bidi="ar-EG"/>
        </w:rPr>
        <w:t xml:space="preserve">4. </w:t>
      </w:r>
      <w:r w:rsidR="00063462" w:rsidRPr="006858BA">
        <w:rPr>
          <w:rFonts w:ascii="Sakkal Majalla" w:hAnsi="Sakkal Majalla" w:cs="Sakkal Majalla"/>
          <w:b/>
          <w:bCs/>
          <w:sz w:val="28"/>
          <w:szCs w:val="28"/>
          <w:rtl/>
        </w:rPr>
        <w:t>البُعد التطبيقي</w:t>
      </w:r>
    </w:p>
    <w:p w14:paraId="0D31129F" w14:textId="2F3C3862"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lastRenderedPageBreak/>
        <w:t>يمثل البُعد الذي تُترجم من خلاله السياسات والخطط إلى إجراءات تنفيذية فعلية. ويشمل تطبيق خطط الطوارئ، وتنفيذ تجارب الإخلاء، وإنشاء فرق تدخل سريع، ومراقبة تنفيذ تدابير الوقاية والصيانة</w:t>
      </w:r>
      <w:r w:rsidR="00C04680" w:rsidRPr="00C16C43">
        <w:rPr>
          <w:rFonts w:ascii="Sakkal Majalla" w:hAnsi="Sakkal Majalla" w:cs="Sakkal Majalla" w:hint="cs"/>
          <w:sz w:val="28"/>
          <w:szCs w:val="28"/>
          <w:rtl/>
          <w:lang w:bidi="ar-EG"/>
        </w:rPr>
        <w:t>،</w:t>
      </w:r>
      <w:r w:rsidRPr="00C16C43">
        <w:rPr>
          <w:rFonts w:ascii="Sakkal Majalla" w:hAnsi="Sakkal Majalla" w:cs="Sakkal Majalla" w:hint="cs"/>
          <w:sz w:val="28"/>
          <w:szCs w:val="28"/>
          <w:rtl/>
          <w:lang w:bidi="ar-EG"/>
        </w:rPr>
        <w:t xml:space="preserve"> وتُشير دراسة</w:t>
      </w:r>
      <w:r w:rsidRPr="00C16C43">
        <w:rPr>
          <w:rFonts w:ascii="Sakkal Majalla" w:hAnsi="Sakkal Majalla" w:cs="Sakkal Majalla" w:hint="cs"/>
          <w:sz w:val="28"/>
          <w:szCs w:val="28"/>
          <w:lang w:bidi="ar-EG"/>
        </w:rPr>
        <w:t xml:space="preserve"> Farhadi et al. (2023) </w:t>
      </w:r>
      <w:r w:rsidRPr="00C16C43">
        <w:rPr>
          <w:rFonts w:ascii="Sakkal Majalla" w:hAnsi="Sakkal Majalla" w:cs="Sakkal Majalla" w:hint="cs"/>
          <w:sz w:val="28"/>
          <w:szCs w:val="28"/>
          <w:rtl/>
          <w:lang w:bidi="ar-EG"/>
        </w:rPr>
        <w:t>إلى أن المؤسسات التي تتسم بفعالية تطبيقية عالية تحقق معدلات استجابة أسرع، وتقل فيها نسب الحوادث المفاجئة. كما أن البعد التطبيقي ينعكس على وعي العاملين، ومدى جاهزيتهم الميدانية للتعامل مع الظروف الطارئة</w:t>
      </w:r>
      <w:r w:rsidRPr="00C16C43">
        <w:rPr>
          <w:rFonts w:ascii="Sakkal Majalla" w:hAnsi="Sakkal Majalla" w:cs="Sakkal Majalla" w:hint="cs"/>
          <w:sz w:val="28"/>
          <w:szCs w:val="28"/>
          <w:lang w:bidi="ar-EG"/>
        </w:rPr>
        <w:t>.</w:t>
      </w:r>
    </w:p>
    <w:p w14:paraId="682A77D6" w14:textId="7DEEFB65"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5. </w:t>
      </w:r>
      <w:r w:rsidR="00063462" w:rsidRPr="006858BA">
        <w:rPr>
          <w:rFonts w:ascii="Sakkal Majalla" w:hAnsi="Sakkal Majalla" w:cs="Sakkal Majalla"/>
          <w:b/>
          <w:bCs/>
          <w:sz w:val="28"/>
          <w:szCs w:val="28"/>
          <w:rtl/>
        </w:rPr>
        <w:t>البُعد البشري</w:t>
      </w:r>
    </w:p>
    <w:p w14:paraId="4044477A" w14:textId="4D46332F"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يُركز هذا البُعد على ثقافة الأفراد وسلوكهم ومهاراتهم في التعامل مع المخاطر. ويُعد العامل البشري من أهم مصادر الخطر، وفي ذات الوقت من أهم أدوات المواجهة</w:t>
      </w:r>
      <w:r w:rsidR="00C04680"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وتُبرز باقر وآخرون (2020) أن أي نظام فعال لإدارة المخاطر يجب أن يبدأ من تدريب الأفراد، وتعزيز سلوكهم الوقائي، وتحفيزهم على التبليغ عن المخاطر</w:t>
      </w:r>
      <w:r w:rsidR="00C04680"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وتشير دراسة</w:t>
      </w:r>
      <w:r w:rsidRPr="00C16C43">
        <w:rPr>
          <w:rFonts w:ascii="Sakkal Majalla" w:hAnsi="Sakkal Majalla" w:cs="Sakkal Majalla"/>
          <w:sz w:val="28"/>
          <w:szCs w:val="28"/>
        </w:rPr>
        <w:t xml:space="preserve"> Muhindo et al. (2024) </w:t>
      </w:r>
      <w:r w:rsidRPr="00C16C43">
        <w:rPr>
          <w:rFonts w:ascii="Sakkal Majalla" w:hAnsi="Sakkal Majalla" w:cs="Sakkal Majalla"/>
          <w:sz w:val="28"/>
          <w:szCs w:val="28"/>
          <w:rtl/>
        </w:rPr>
        <w:t>إلى أن المؤسسات التي تستثمر في العنصر البشري تحقق أداءً أفضل في إدارة المخاطر مقارنة بالمؤسسات التي تركز فقط على الجانب التقني أو الإداري</w:t>
      </w:r>
      <w:r w:rsidRPr="00C16C43">
        <w:rPr>
          <w:rFonts w:ascii="Sakkal Majalla" w:hAnsi="Sakkal Majalla" w:cs="Sakkal Majalla"/>
          <w:sz w:val="28"/>
          <w:szCs w:val="28"/>
        </w:rPr>
        <w:t>.</w:t>
      </w:r>
    </w:p>
    <w:p w14:paraId="68BD6EDC" w14:textId="0BD12562"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6. </w:t>
      </w:r>
      <w:r w:rsidR="00063462" w:rsidRPr="006858BA">
        <w:rPr>
          <w:rFonts w:ascii="Sakkal Majalla" w:hAnsi="Sakkal Majalla" w:cs="Sakkal Majalla"/>
          <w:b/>
          <w:bCs/>
          <w:sz w:val="28"/>
          <w:szCs w:val="28"/>
          <w:rtl/>
        </w:rPr>
        <w:t>البُعد التدريبي</w:t>
      </w:r>
    </w:p>
    <w:p w14:paraId="4652ED86" w14:textId="22E1A91E"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يُعنى بمدى كفاءة وجودة البرامج التدريبية الخاصة بإدارة المخاطر والطوارئ، ومدى انتظامها، وشمولها لمختلف الفئات الوظيفية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وتشير</w:t>
      </w:r>
      <w:r w:rsidRPr="00C16C43">
        <w:rPr>
          <w:rFonts w:ascii="Sakkal Majalla" w:hAnsi="Sakkal Majalla" w:cs="Sakkal Majalla"/>
          <w:sz w:val="28"/>
          <w:szCs w:val="28"/>
        </w:rPr>
        <w:t xml:space="preserve"> Sabri et al. (2023) </w:t>
      </w:r>
      <w:r w:rsidRPr="00C16C43">
        <w:rPr>
          <w:rFonts w:ascii="Sakkal Majalla" w:hAnsi="Sakkal Majalla" w:cs="Sakkal Majalla"/>
          <w:sz w:val="28"/>
          <w:szCs w:val="28"/>
          <w:rtl/>
        </w:rPr>
        <w:t>إلى أن البرامج التدريبية الفعالة تُسهم في بناء فرق استجابة على درجة عالية من الجاهزية، وتُقلل من الأخطاء البشرية أثناء الأزمات</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ويُعد التدريب العملي، مثل تمارين المحاكاة والتدريب على استخدام معدات الطوارئ، من أكثر وسائل التعلم فاعلية في البيئات الصناعية</w:t>
      </w:r>
      <w:r w:rsidRPr="00C16C43">
        <w:rPr>
          <w:rFonts w:ascii="Sakkal Majalla" w:hAnsi="Sakkal Majalla" w:cs="Sakkal Majalla"/>
          <w:sz w:val="28"/>
          <w:szCs w:val="28"/>
        </w:rPr>
        <w:t>.</w:t>
      </w:r>
    </w:p>
    <w:p w14:paraId="1E6BD4E0" w14:textId="2D6EB76B"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7. </w:t>
      </w:r>
      <w:r w:rsidR="00063462" w:rsidRPr="006858BA">
        <w:rPr>
          <w:rFonts w:ascii="Sakkal Majalla" w:hAnsi="Sakkal Majalla" w:cs="Sakkal Majalla"/>
          <w:b/>
          <w:bCs/>
          <w:sz w:val="28"/>
          <w:szCs w:val="28"/>
          <w:rtl/>
        </w:rPr>
        <w:t>البُعد الاقتصادي</w:t>
      </w:r>
    </w:p>
    <w:p w14:paraId="29D260AE" w14:textId="4B63B7AD"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يرتبط هذا البُعد بتوفير الموارد المالية اللازمة لتطبيق برامج إدارة المخاطر بفعالية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Chairani &amp; Siregar (2021) </w:t>
      </w:r>
      <w:r w:rsidRPr="00C16C43">
        <w:rPr>
          <w:rFonts w:ascii="Sakkal Majalla" w:hAnsi="Sakkal Majalla" w:cs="Sakkal Majalla"/>
          <w:sz w:val="28"/>
          <w:szCs w:val="28"/>
          <w:rtl/>
        </w:rPr>
        <w:t>إلى أن من أكبر التحديات التي تواجه المؤسسات هو النظر إلى إدارة المخاطر كتكلفة إضافية وليس كاستثمار طويل الأجل</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كما أن الاستثمار في أدوات وتقنيات وتقارير المخاطر يُسهم </w:t>
      </w:r>
      <w:r w:rsidRPr="00C16C43">
        <w:rPr>
          <w:rFonts w:ascii="Sakkal Majalla" w:hAnsi="Sakkal Majalla" w:cs="Sakkal Majalla"/>
          <w:sz w:val="28"/>
          <w:szCs w:val="28"/>
          <w:rtl/>
        </w:rPr>
        <w:lastRenderedPageBreak/>
        <w:t>في تقليل كلفة الإصلاح والخسائر المحتملة</w:t>
      </w:r>
      <w:r w:rsidR="006C3CE9"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xml:space="preserve">، </w:t>
      </w:r>
      <w:r w:rsidR="006C3CE9" w:rsidRPr="00C16C43">
        <w:rPr>
          <w:rFonts w:ascii="Sakkal Majalla" w:hAnsi="Sakkal Majalla" w:cs="Sakkal Majalla"/>
          <w:sz w:val="28"/>
          <w:szCs w:val="28"/>
          <w:rtl/>
        </w:rPr>
        <w:t>و</w:t>
      </w:r>
      <w:r w:rsidRPr="00C16C43">
        <w:rPr>
          <w:rFonts w:ascii="Sakkal Majalla" w:hAnsi="Sakkal Majalla" w:cs="Sakkal Majalla"/>
          <w:sz w:val="28"/>
          <w:szCs w:val="28"/>
          <w:rtl/>
        </w:rPr>
        <w:t>تُظهر دراسة</w:t>
      </w:r>
      <w:r w:rsidRPr="00C16C43">
        <w:rPr>
          <w:rFonts w:ascii="Sakkal Majalla" w:hAnsi="Sakkal Majalla" w:cs="Sakkal Majalla"/>
          <w:sz w:val="28"/>
          <w:szCs w:val="28"/>
        </w:rPr>
        <w:t xml:space="preserve"> Cornwell et al. (2023) </w:t>
      </w:r>
      <w:r w:rsidRPr="00C16C43">
        <w:rPr>
          <w:rFonts w:ascii="Sakkal Majalla" w:hAnsi="Sakkal Majalla" w:cs="Sakkal Majalla"/>
          <w:sz w:val="28"/>
          <w:szCs w:val="28"/>
          <w:rtl/>
        </w:rPr>
        <w:t>كيف أن التحليل المالي للمخاطر يعزز من كفاءة تخصيص الموارد ويساعد في اتخاذ قرارات استثمارية مبنية على معايير السلامة</w:t>
      </w:r>
      <w:r w:rsidRPr="00C16C43">
        <w:rPr>
          <w:rFonts w:ascii="Sakkal Majalla" w:hAnsi="Sakkal Majalla" w:cs="Sakkal Majalla"/>
          <w:sz w:val="28"/>
          <w:szCs w:val="28"/>
        </w:rPr>
        <w:t>.</w:t>
      </w:r>
    </w:p>
    <w:p w14:paraId="03D63B46" w14:textId="2AB866F0"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8. </w:t>
      </w:r>
      <w:r w:rsidR="00063462" w:rsidRPr="006858BA">
        <w:rPr>
          <w:rFonts w:ascii="Sakkal Majalla" w:hAnsi="Sakkal Majalla" w:cs="Sakkal Majalla"/>
          <w:b/>
          <w:bCs/>
          <w:sz w:val="28"/>
          <w:szCs w:val="28"/>
          <w:rtl/>
        </w:rPr>
        <w:t>البُعد الإداري</w:t>
      </w:r>
    </w:p>
    <w:p w14:paraId="4CAC9856" w14:textId="7D1C526A"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يتعلق بكفاءة القيادة والإدارة العليا في تبني رؤية استراتيجية واضحة لإدارة المخاطر، وتخصيص الصلاحيات، ومتابعة الأداء، وربط تقييم المخاطر بالخطط التشغيلية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وتشير</w:t>
      </w:r>
      <w:r w:rsidRPr="00C16C43">
        <w:rPr>
          <w:rFonts w:ascii="Sakkal Majalla" w:hAnsi="Sakkal Majalla" w:cs="Sakkal Majalla"/>
          <w:sz w:val="28"/>
          <w:szCs w:val="28"/>
        </w:rPr>
        <w:t xml:space="preserve"> Alshehhi et al. (2024) </w:t>
      </w:r>
      <w:r w:rsidRPr="00C16C43">
        <w:rPr>
          <w:rFonts w:ascii="Sakkal Majalla" w:hAnsi="Sakkal Majalla" w:cs="Sakkal Majalla"/>
          <w:sz w:val="28"/>
          <w:szCs w:val="28"/>
          <w:rtl/>
        </w:rPr>
        <w:t>إلى أن غياب القيادة الفاعلة يؤدي إلى ضعف التنسيق المؤسسي، ويُعرقل استجابة المؤسسة عند حدوث أزمات. كما أن الإدارة الواعية تُمكّن المؤسسة من تطوير نظم تقييم الأداء بناءً على مستوى التفاعل مع المخاطر</w:t>
      </w:r>
      <w:r w:rsidRPr="00C16C43">
        <w:rPr>
          <w:rFonts w:ascii="Sakkal Majalla" w:hAnsi="Sakkal Majalla" w:cs="Sakkal Majalla"/>
          <w:sz w:val="28"/>
          <w:szCs w:val="28"/>
        </w:rPr>
        <w:t>.</w:t>
      </w:r>
    </w:p>
    <w:p w14:paraId="4FBC9B13" w14:textId="2663B9A9"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9. </w:t>
      </w:r>
      <w:r w:rsidR="00063462" w:rsidRPr="006858BA">
        <w:rPr>
          <w:rFonts w:ascii="Sakkal Majalla" w:hAnsi="Sakkal Majalla" w:cs="Sakkal Majalla"/>
          <w:b/>
          <w:bCs/>
          <w:sz w:val="28"/>
          <w:szCs w:val="28"/>
          <w:rtl/>
        </w:rPr>
        <w:t>البُعد التحديدي</w:t>
      </w:r>
    </w:p>
    <w:p w14:paraId="1195F6A8" w14:textId="1FEDDCBD"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يركز هذا البُعد على مدى قدرة المؤسسة على التعرف الدقيق على مصادر الخطر ومؤشراته المبكرة، سواء كانت داخلية أو خارجية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Al-Naeem et al. (2024) </w:t>
      </w:r>
      <w:r w:rsidRPr="00C16C43">
        <w:rPr>
          <w:rFonts w:ascii="Sakkal Majalla" w:hAnsi="Sakkal Majalla" w:cs="Sakkal Majalla"/>
          <w:sz w:val="28"/>
          <w:szCs w:val="28"/>
          <w:rtl/>
        </w:rPr>
        <w:t>إلى أن تحديد المخاطر بطريقة منهجية يُمكّن من تصنيفها وتقييمها والتعامل معها بفعالية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وتشمل أدوات التحديد تحليل</w:t>
      </w:r>
      <w:r w:rsidRPr="00C16C43">
        <w:rPr>
          <w:rFonts w:ascii="Sakkal Majalla" w:hAnsi="Sakkal Majalla" w:cs="Sakkal Majalla"/>
          <w:sz w:val="28"/>
          <w:szCs w:val="28"/>
        </w:rPr>
        <w:t xml:space="preserve"> SWOT</w:t>
      </w:r>
      <w:r w:rsidRPr="00C16C43">
        <w:rPr>
          <w:rFonts w:ascii="Sakkal Majalla" w:hAnsi="Sakkal Majalla" w:cs="Sakkal Majalla"/>
          <w:sz w:val="28"/>
          <w:szCs w:val="28"/>
          <w:rtl/>
        </w:rPr>
        <w:t>، وخرائط المخاطر، ودراسات الأثر، مما يتيح تصوّرًا شاملًا لبيئة العمل وخطورتها</w:t>
      </w:r>
      <w:r w:rsidRPr="00C16C43">
        <w:rPr>
          <w:rFonts w:ascii="Sakkal Majalla" w:hAnsi="Sakkal Majalla" w:cs="Sakkal Majalla"/>
          <w:sz w:val="28"/>
          <w:szCs w:val="28"/>
        </w:rPr>
        <w:t>.</w:t>
      </w:r>
    </w:p>
    <w:p w14:paraId="25F1F93D" w14:textId="46010D66"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10. </w:t>
      </w:r>
      <w:r w:rsidR="00063462" w:rsidRPr="006858BA">
        <w:rPr>
          <w:rFonts w:ascii="Sakkal Majalla" w:hAnsi="Sakkal Majalla" w:cs="Sakkal Majalla"/>
          <w:b/>
          <w:bCs/>
          <w:sz w:val="28"/>
          <w:szCs w:val="28"/>
          <w:rtl/>
        </w:rPr>
        <w:t>البُعد الاستراتيجي</w:t>
      </w:r>
    </w:p>
    <w:p w14:paraId="4EF3564D" w14:textId="08F0E539"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يُعد من أكثر الأبعاد تعقيدًا وأهمية، حيث يُمثل مدى ارتباط إدارة المخاطر بالرؤية المؤسسية الشاملة، وخطط التوسع، والاستثمار، والتوجهات المستقبلية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وتُبرز</w:t>
      </w:r>
      <w:r w:rsidRPr="00C16C43">
        <w:rPr>
          <w:rFonts w:ascii="Sakkal Majalla" w:hAnsi="Sakkal Majalla" w:cs="Sakkal Majalla"/>
          <w:sz w:val="28"/>
          <w:szCs w:val="28"/>
        </w:rPr>
        <w:t xml:space="preserve"> Settembre-Blundo et al. (2021) </w:t>
      </w:r>
      <w:r w:rsidRPr="00C16C43">
        <w:rPr>
          <w:rFonts w:ascii="Sakkal Majalla" w:hAnsi="Sakkal Majalla" w:cs="Sakkal Majalla"/>
          <w:sz w:val="28"/>
          <w:szCs w:val="28"/>
          <w:rtl/>
        </w:rPr>
        <w:t>أن المؤسسات التي تُدمج إدارة المخاطر في خططها الاستراتيجية تحقق مستويات أعلى من الاستقرار والمرونة في ظل البيئات المتقلبة. كما أن هذا البعد يُعزز من ممارسات الاستدامة، والتفكير بعيد المدى في حماية رأس المال البشري والمادي</w:t>
      </w:r>
      <w:r w:rsidRPr="00C16C43">
        <w:rPr>
          <w:rFonts w:ascii="Sakkal Majalla" w:hAnsi="Sakkal Majalla" w:cs="Sakkal Majalla"/>
          <w:sz w:val="28"/>
          <w:szCs w:val="28"/>
        </w:rPr>
        <w:t>.</w:t>
      </w:r>
    </w:p>
    <w:p w14:paraId="6C9A7CF0" w14:textId="28E05080" w:rsidR="00063462" w:rsidRPr="00C16C43" w:rsidRDefault="006C3CE9"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lastRenderedPageBreak/>
        <w:t>و</w:t>
      </w:r>
      <w:r w:rsidR="00063462" w:rsidRPr="00C16C43">
        <w:rPr>
          <w:rFonts w:ascii="Sakkal Majalla" w:hAnsi="Sakkal Majalla" w:cs="Sakkal Majalla"/>
          <w:b/>
          <w:bCs/>
          <w:sz w:val="28"/>
          <w:szCs w:val="28"/>
          <w:rtl/>
        </w:rPr>
        <w:t>يرى الباحث</w:t>
      </w:r>
      <w:r w:rsidR="00063462" w:rsidRPr="00C16C43">
        <w:rPr>
          <w:rFonts w:ascii="Sakkal Majalla" w:hAnsi="Sakkal Majalla" w:cs="Sakkal Majalla"/>
          <w:sz w:val="28"/>
          <w:szCs w:val="28"/>
          <w:rtl/>
        </w:rPr>
        <w:t xml:space="preserve"> أن تنوع أبعاد إدارة المخاطر يُعكس بشكل مباشر درجة نضج المؤسسة وقدرتها على مواجهة التحديات. فكل بُعد يُمثل مكونًا أساسيًا في منظومة متكاملة، تبدأ من التخطيط وتنتهي بالتنفيذ والتقييم</w:t>
      </w:r>
      <w:r w:rsidRPr="00C16C43">
        <w:rPr>
          <w:rFonts w:ascii="Sakkal Majalla" w:hAnsi="Sakkal Majalla" w:cs="Sakkal Majalla"/>
          <w:sz w:val="28"/>
          <w:szCs w:val="28"/>
          <w:rtl/>
        </w:rPr>
        <w:t>،</w:t>
      </w:r>
      <w:r w:rsidR="00063462" w:rsidRPr="00C16C43">
        <w:rPr>
          <w:rFonts w:ascii="Sakkal Majalla" w:hAnsi="Sakkal Majalla" w:cs="Sakkal Majalla"/>
          <w:sz w:val="28"/>
          <w:szCs w:val="28"/>
          <w:rtl/>
        </w:rPr>
        <w:t xml:space="preserve"> كما أن تكامل هذه الأبعاد هو ما يُميز المؤسسات الرائدة مثل شركة أرامكو، التي لا تعتمد فقط على التكنولوجيا أو الهيكل الإداري، بل تُولي اهتمامًا موازيًا للعامل البشري، والإطار التشريعي، والبعد الاستراتيجي طويل الأمد. </w:t>
      </w:r>
    </w:p>
    <w:p w14:paraId="7DF36D82" w14:textId="3D2C2393" w:rsidR="00063462" w:rsidRPr="006858BA" w:rsidRDefault="006858BA" w:rsidP="006858BA">
      <w:pPr>
        <w:spacing w:before="100" w:beforeAutospacing="1" w:after="100" w:afterAutospacing="1" w:line="360" w:lineRule="auto"/>
        <w:jc w:val="both"/>
        <w:outlineLvl w:val="2"/>
        <w:rPr>
          <w:rFonts w:ascii="Sakkal Majalla" w:hAnsi="Sakkal Majalla" w:cs="Sakkal Majalla"/>
          <w:b/>
          <w:bCs/>
          <w:sz w:val="32"/>
          <w:szCs w:val="32"/>
        </w:rPr>
      </w:pPr>
      <w:bookmarkStart w:id="46" w:name="_Toc200811024"/>
      <w:r w:rsidRPr="006858BA">
        <w:rPr>
          <w:rFonts w:ascii="Sakkal Majalla" w:hAnsi="Sakkal Majalla" w:cs="Sakkal Majalla" w:hint="cs"/>
          <w:b/>
          <w:bCs/>
          <w:sz w:val="32"/>
          <w:szCs w:val="32"/>
          <w:rtl/>
        </w:rPr>
        <w:t xml:space="preserve">6.1.2 </w:t>
      </w:r>
      <w:r w:rsidR="00063462" w:rsidRPr="006858BA">
        <w:rPr>
          <w:rFonts w:ascii="Sakkal Majalla" w:hAnsi="Sakkal Majalla" w:cs="Sakkal Majalla"/>
          <w:b/>
          <w:bCs/>
          <w:sz w:val="32"/>
          <w:szCs w:val="32"/>
        </w:rPr>
        <w:t xml:space="preserve"> </w:t>
      </w:r>
      <w:r w:rsidR="00063462" w:rsidRPr="006858BA">
        <w:rPr>
          <w:rFonts w:ascii="Sakkal Majalla" w:hAnsi="Sakkal Majalla" w:cs="Sakkal Majalla"/>
          <w:b/>
          <w:bCs/>
          <w:sz w:val="32"/>
          <w:szCs w:val="32"/>
          <w:rtl/>
        </w:rPr>
        <w:t>الأطر والنماذج العالمية في إدارة المخاطر</w:t>
      </w:r>
      <w:bookmarkEnd w:id="46"/>
    </w:p>
    <w:p w14:paraId="7EBD09DC" w14:textId="1735F4A5"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تُعد الأطر والنماذج العالمية المرجعية من الركائز الأساسية لتصميم وتنفيذ نظام فعال لإدارة المخاطر، إذ توفر للمؤسسات هيكلًا مفاهيميًا وإجرائيًا يساعدها على تحديد وتقييم والتعامل مع المخاطر بطريقة منهجية ومنظمة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ومن أبرز هذه النماذج وأكثرها استخدامًا على مستوى العالم</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نموذج</w:t>
      </w:r>
      <w:r w:rsidRPr="00C16C43">
        <w:rPr>
          <w:rFonts w:ascii="Sakkal Majalla" w:hAnsi="Sakkal Majalla" w:cs="Sakkal Majalla"/>
          <w:sz w:val="28"/>
          <w:szCs w:val="28"/>
        </w:rPr>
        <w:t xml:space="preserve"> ISO 31000</w:t>
      </w:r>
      <w:r w:rsidRPr="00C16C43">
        <w:rPr>
          <w:rFonts w:ascii="Sakkal Majalla" w:hAnsi="Sakkal Majalla" w:cs="Sakkal Majalla"/>
          <w:sz w:val="28"/>
          <w:szCs w:val="28"/>
          <w:rtl/>
        </w:rPr>
        <w:t>، وإطار</w:t>
      </w:r>
      <w:r w:rsidRPr="00C16C43">
        <w:rPr>
          <w:rFonts w:ascii="Sakkal Majalla" w:hAnsi="Sakkal Majalla" w:cs="Sakkal Majalla"/>
          <w:sz w:val="28"/>
          <w:szCs w:val="28"/>
        </w:rPr>
        <w:t xml:space="preserve"> COSO ERM</w:t>
      </w:r>
      <w:r w:rsidRPr="00C16C43">
        <w:rPr>
          <w:rFonts w:ascii="Sakkal Majalla" w:hAnsi="Sakkal Majalla" w:cs="Sakkal Majalla"/>
          <w:sz w:val="28"/>
          <w:szCs w:val="28"/>
          <w:rtl/>
        </w:rPr>
        <w:t>، ونموذج إدارة المخاطر في المشاريع</w:t>
      </w:r>
      <w:r w:rsidRPr="00C16C43">
        <w:rPr>
          <w:rFonts w:ascii="Sakkal Majalla" w:hAnsi="Sakkal Majalla" w:cs="Sakkal Majalla"/>
          <w:sz w:val="28"/>
          <w:szCs w:val="28"/>
        </w:rPr>
        <w:t xml:space="preserve"> PMI-RMP</w:t>
      </w:r>
      <w:r w:rsidRPr="00C16C43">
        <w:rPr>
          <w:rFonts w:ascii="Sakkal Majalla" w:hAnsi="Sakkal Majalla" w:cs="Sakkal Majalla"/>
          <w:sz w:val="28"/>
          <w:szCs w:val="28"/>
          <w:rtl/>
        </w:rPr>
        <w:t>، وكل منها يقدم منظورًا متكاملًا لإدارة المخاطر في السياقات المعقدة مثل البيئات الصناعية والطوارئ</w:t>
      </w:r>
      <w:r w:rsidRPr="00C16C43">
        <w:rPr>
          <w:rFonts w:ascii="Sakkal Majalla" w:hAnsi="Sakkal Majalla" w:cs="Sakkal Majalla"/>
          <w:sz w:val="28"/>
          <w:szCs w:val="28"/>
        </w:rPr>
        <w:t>.</w:t>
      </w:r>
    </w:p>
    <w:p w14:paraId="17AE3A7A" w14:textId="46A5EAD7" w:rsidR="00063462" w:rsidRPr="00C16C43" w:rsidRDefault="006858BA"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 </w:t>
      </w:r>
      <w:r w:rsidR="00063462" w:rsidRPr="00C16C43">
        <w:rPr>
          <w:rFonts w:ascii="Sakkal Majalla" w:hAnsi="Sakkal Majalla" w:cs="Sakkal Majalla"/>
          <w:b/>
          <w:bCs/>
          <w:sz w:val="28"/>
          <w:szCs w:val="28"/>
          <w:rtl/>
        </w:rPr>
        <w:t>إطار</w:t>
      </w:r>
      <w:r w:rsidR="00063462" w:rsidRPr="00C16C43">
        <w:rPr>
          <w:rFonts w:ascii="Sakkal Majalla" w:hAnsi="Sakkal Majalla" w:cs="Sakkal Majalla"/>
          <w:b/>
          <w:bCs/>
          <w:sz w:val="28"/>
          <w:szCs w:val="28"/>
        </w:rPr>
        <w:t xml:space="preserve"> ISO 31000 </w:t>
      </w:r>
      <w:r w:rsidR="00063462" w:rsidRPr="00C16C43">
        <w:rPr>
          <w:rFonts w:ascii="Sakkal Majalla" w:hAnsi="Sakkal Majalla" w:cs="Sakkal Majalla"/>
          <w:b/>
          <w:bCs/>
          <w:sz w:val="28"/>
          <w:szCs w:val="28"/>
          <w:rtl/>
        </w:rPr>
        <w:t>لإدارة المخاطر</w:t>
      </w:r>
    </w:p>
    <w:p w14:paraId="120618D0" w14:textId="4B872186"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يُعد إطار</w:t>
      </w:r>
      <w:r w:rsidRPr="00C16C43">
        <w:rPr>
          <w:rFonts w:ascii="Sakkal Majalla" w:hAnsi="Sakkal Majalla" w:cs="Sakkal Majalla"/>
          <w:sz w:val="28"/>
          <w:szCs w:val="28"/>
        </w:rPr>
        <w:t xml:space="preserve"> ISO 31000 </w:t>
      </w:r>
      <w:r w:rsidRPr="00C16C43">
        <w:rPr>
          <w:rFonts w:ascii="Sakkal Majalla" w:hAnsi="Sakkal Majalla" w:cs="Sakkal Majalla"/>
          <w:sz w:val="28"/>
          <w:szCs w:val="28"/>
          <w:rtl/>
        </w:rPr>
        <w:t>من أكثر المعايير الدولية شمولًا وانتشارًا، حيث أصدرته المنظمة الدولية للتوحيد القياسي لتوفير إرشادات عامة لإدارة المخاطر في جميع أنواع المؤسسات</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Al-Naeem et al. (2024) </w:t>
      </w:r>
      <w:r w:rsidRPr="00C16C43">
        <w:rPr>
          <w:rFonts w:ascii="Sakkal Majalla" w:hAnsi="Sakkal Majalla" w:cs="Sakkal Majalla"/>
          <w:sz w:val="28"/>
          <w:szCs w:val="28"/>
          <w:rtl/>
        </w:rPr>
        <w:t>إلى أن هذا الإطار يُركّز على ثلاثة مبادئ رئيسية</w:t>
      </w:r>
      <w:r w:rsidRPr="00C16C43">
        <w:rPr>
          <w:rFonts w:ascii="Sakkal Majalla" w:hAnsi="Sakkal Majalla" w:cs="Sakkal Majalla"/>
          <w:sz w:val="28"/>
          <w:szCs w:val="28"/>
        </w:rPr>
        <w:t>:</w:t>
      </w:r>
    </w:p>
    <w:p w14:paraId="0EF2A9C6" w14:textId="77777777" w:rsidR="00063462" w:rsidRPr="00C16C43" w:rsidRDefault="00063462" w:rsidP="0070696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دمج إدارة المخاطر في جميع جوانب المؤسسة</w:t>
      </w:r>
      <w:r w:rsidRPr="00C16C43">
        <w:rPr>
          <w:rFonts w:ascii="Sakkal Majalla" w:hAnsi="Sakkal Majalla" w:cs="Sakkal Majalla"/>
          <w:sz w:val="28"/>
          <w:szCs w:val="28"/>
        </w:rPr>
        <w:t>.</w:t>
      </w:r>
    </w:p>
    <w:p w14:paraId="0E67CBFA" w14:textId="77777777" w:rsidR="00063462" w:rsidRPr="00C16C43" w:rsidRDefault="00063462" w:rsidP="0070696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تخصيص عمليات تقييم المخاطر حسب السياق التنظيمي</w:t>
      </w:r>
      <w:r w:rsidRPr="00C16C43">
        <w:rPr>
          <w:rFonts w:ascii="Sakkal Majalla" w:hAnsi="Sakkal Majalla" w:cs="Sakkal Majalla"/>
          <w:sz w:val="28"/>
          <w:szCs w:val="28"/>
        </w:rPr>
        <w:t>.</w:t>
      </w:r>
    </w:p>
    <w:p w14:paraId="3F08EE64" w14:textId="77777777" w:rsidR="00063462" w:rsidRPr="00C16C43" w:rsidRDefault="00063462" w:rsidP="0070696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إجراء مراجعة وتحسين مستمر لفعالية العمليات</w:t>
      </w:r>
      <w:r w:rsidRPr="00C16C43">
        <w:rPr>
          <w:rFonts w:ascii="Sakkal Majalla" w:hAnsi="Sakkal Majalla" w:cs="Sakkal Majalla"/>
          <w:sz w:val="28"/>
          <w:szCs w:val="28"/>
        </w:rPr>
        <w:t>.</w:t>
      </w:r>
    </w:p>
    <w:p w14:paraId="54AE517C" w14:textId="77BEC160"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ويتضمن النموذج خطوات متكاملة تبدأ بـ: تحديد السياق، وتقييم المخاطر (التحليل، التقدير، المعالجة)، ثم المراقبة والمراجعة، والتواصل مع أصحاب المصلحة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كما أنه يُشجع على بناء ثقافة مؤسسية واعية بالمخاطر</w:t>
      </w:r>
      <w:r w:rsidRPr="00C16C43">
        <w:rPr>
          <w:rFonts w:ascii="Sakkal Majalla" w:hAnsi="Sakkal Majalla" w:cs="Sakkal Majalla"/>
          <w:sz w:val="28"/>
          <w:szCs w:val="28"/>
        </w:rPr>
        <w:t>.</w:t>
      </w:r>
    </w:p>
    <w:p w14:paraId="418677DF" w14:textId="17AF1E1B" w:rsidR="00063462" w:rsidRPr="00C16C43" w:rsidRDefault="006858BA" w:rsidP="00C16C43">
      <w:p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2. </w:t>
      </w:r>
      <w:r w:rsidR="00063462" w:rsidRPr="00C16C43">
        <w:rPr>
          <w:rFonts w:ascii="Sakkal Majalla" w:hAnsi="Sakkal Majalla" w:cs="Sakkal Majalla"/>
          <w:b/>
          <w:bCs/>
          <w:sz w:val="28"/>
          <w:szCs w:val="28"/>
          <w:rtl/>
        </w:rPr>
        <w:t>إطار</w:t>
      </w:r>
      <w:r w:rsidR="00063462" w:rsidRPr="00C16C43">
        <w:rPr>
          <w:rFonts w:ascii="Sakkal Majalla" w:hAnsi="Sakkal Majalla" w:cs="Sakkal Majalla"/>
          <w:b/>
          <w:bCs/>
          <w:sz w:val="28"/>
          <w:szCs w:val="28"/>
        </w:rPr>
        <w:t xml:space="preserve"> COSO ERM </w:t>
      </w:r>
      <w:r w:rsidR="00063462" w:rsidRPr="00C16C43">
        <w:rPr>
          <w:rFonts w:ascii="Sakkal Majalla" w:hAnsi="Sakkal Majalla" w:cs="Sakkal Majalla"/>
          <w:b/>
          <w:bCs/>
          <w:sz w:val="28"/>
          <w:szCs w:val="28"/>
          <w:rtl/>
        </w:rPr>
        <w:t>إدارة المخاطر المؤسسية</w:t>
      </w:r>
    </w:p>
    <w:p w14:paraId="5EB18ED6"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طُور هذا الإطار من قبل لجنة رعاية المؤسسات</w:t>
      </w:r>
      <w:r w:rsidRPr="00C16C43">
        <w:rPr>
          <w:rFonts w:ascii="Sakkal Majalla" w:hAnsi="Sakkal Majalla" w:cs="Sakkal Majalla"/>
          <w:sz w:val="28"/>
          <w:szCs w:val="28"/>
        </w:rPr>
        <w:t xml:space="preserve"> (COSO) </w:t>
      </w:r>
      <w:r w:rsidRPr="00C16C43">
        <w:rPr>
          <w:rFonts w:ascii="Sakkal Majalla" w:hAnsi="Sakkal Majalla" w:cs="Sakkal Majalla"/>
          <w:sz w:val="28"/>
          <w:szCs w:val="28"/>
          <w:rtl/>
        </w:rPr>
        <w:t>ويُعد من النماذج الأكثر استخدامًا في المؤسسات الكبرى ذات الطابع الاستراتيجي، حيث يربط بين المخاطر وأهداف الأداء المؤسسي. ويشير</w:t>
      </w:r>
      <w:r w:rsidRPr="00C16C43">
        <w:rPr>
          <w:rFonts w:ascii="Sakkal Majalla" w:hAnsi="Sakkal Majalla" w:cs="Sakkal Majalla"/>
          <w:sz w:val="28"/>
          <w:szCs w:val="28"/>
        </w:rPr>
        <w:t xml:space="preserve"> Cornwell et al. (2023) </w:t>
      </w:r>
      <w:r w:rsidRPr="00C16C43">
        <w:rPr>
          <w:rFonts w:ascii="Sakkal Majalla" w:hAnsi="Sakkal Majalla" w:cs="Sakkal Majalla"/>
          <w:sz w:val="28"/>
          <w:szCs w:val="28"/>
          <w:rtl/>
        </w:rPr>
        <w:t>إلى أن نموذج</w:t>
      </w:r>
      <w:r w:rsidRPr="00C16C43">
        <w:rPr>
          <w:rFonts w:ascii="Sakkal Majalla" w:hAnsi="Sakkal Majalla" w:cs="Sakkal Majalla"/>
          <w:sz w:val="28"/>
          <w:szCs w:val="28"/>
        </w:rPr>
        <w:t xml:space="preserve"> COSO </w:t>
      </w:r>
      <w:r w:rsidRPr="00C16C43">
        <w:rPr>
          <w:rFonts w:ascii="Sakkal Majalla" w:hAnsi="Sakkal Majalla" w:cs="Sakkal Majalla"/>
          <w:sz w:val="28"/>
          <w:szCs w:val="28"/>
          <w:rtl/>
        </w:rPr>
        <w:t>يُقدّم 8 مكونات رئيسية، من أبرزها</w:t>
      </w:r>
      <w:r w:rsidRPr="00C16C43">
        <w:rPr>
          <w:rFonts w:ascii="Sakkal Majalla" w:hAnsi="Sakkal Majalla" w:cs="Sakkal Majalla"/>
          <w:sz w:val="28"/>
          <w:szCs w:val="28"/>
        </w:rPr>
        <w:t>:</w:t>
      </w:r>
    </w:p>
    <w:p w14:paraId="5CC18600" w14:textId="77777777" w:rsidR="00063462" w:rsidRPr="00C16C43" w:rsidRDefault="00063462" w:rsidP="00706966">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تحديد الأهداف التنظيمية</w:t>
      </w:r>
      <w:r w:rsidRPr="00C16C43">
        <w:rPr>
          <w:rFonts w:ascii="Sakkal Majalla" w:hAnsi="Sakkal Majalla" w:cs="Sakkal Majalla"/>
          <w:sz w:val="28"/>
          <w:szCs w:val="28"/>
        </w:rPr>
        <w:t>.</w:t>
      </w:r>
    </w:p>
    <w:p w14:paraId="073E9B2D" w14:textId="77777777" w:rsidR="00063462" w:rsidRPr="00C16C43" w:rsidRDefault="00063462" w:rsidP="00706966">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تحديد وتقييم الأحداث والمخاطر المحتملة</w:t>
      </w:r>
      <w:r w:rsidRPr="00C16C43">
        <w:rPr>
          <w:rFonts w:ascii="Sakkal Majalla" w:hAnsi="Sakkal Majalla" w:cs="Sakkal Majalla"/>
          <w:sz w:val="28"/>
          <w:szCs w:val="28"/>
        </w:rPr>
        <w:t>.</w:t>
      </w:r>
    </w:p>
    <w:p w14:paraId="07D3B36A" w14:textId="77777777" w:rsidR="00063462" w:rsidRPr="00C16C43" w:rsidRDefault="00063462" w:rsidP="00706966">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تقييم الاستجابات للمخاطر</w:t>
      </w:r>
      <w:r w:rsidRPr="00C16C43">
        <w:rPr>
          <w:rFonts w:ascii="Sakkal Majalla" w:hAnsi="Sakkal Majalla" w:cs="Sakkal Majalla"/>
          <w:sz w:val="28"/>
          <w:szCs w:val="28"/>
        </w:rPr>
        <w:t>.</w:t>
      </w:r>
    </w:p>
    <w:p w14:paraId="5F96A779" w14:textId="77777777" w:rsidR="00063462" w:rsidRPr="00C16C43" w:rsidRDefault="00063462" w:rsidP="00706966">
      <w:pPr>
        <w:pStyle w:val="a5"/>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C16C43">
        <w:rPr>
          <w:rFonts w:ascii="Sakkal Majalla" w:hAnsi="Sakkal Majalla" w:cs="Sakkal Majalla"/>
          <w:sz w:val="28"/>
          <w:szCs w:val="28"/>
          <w:rtl/>
        </w:rPr>
        <w:t>أنشطة الرقابة والمراجعة والتقارير</w:t>
      </w:r>
      <w:r w:rsidRPr="00C16C43">
        <w:rPr>
          <w:rFonts w:ascii="Sakkal Majalla" w:hAnsi="Sakkal Majalla" w:cs="Sakkal Majalla"/>
          <w:sz w:val="28"/>
          <w:szCs w:val="28"/>
        </w:rPr>
        <w:t>.</w:t>
      </w:r>
    </w:p>
    <w:p w14:paraId="31A3AF1D" w14:textId="7777777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ويتميّز إطار</w:t>
      </w:r>
      <w:r w:rsidRPr="00C16C43">
        <w:rPr>
          <w:rFonts w:ascii="Sakkal Majalla" w:hAnsi="Sakkal Majalla" w:cs="Sakkal Majalla"/>
          <w:sz w:val="28"/>
          <w:szCs w:val="28"/>
        </w:rPr>
        <w:t xml:space="preserve"> COSO </w:t>
      </w:r>
      <w:r w:rsidRPr="00C16C43">
        <w:rPr>
          <w:rFonts w:ascii="Sakkal Majalla" w:hAnsi="Sakkal Majalla" w:cs="Sakkal Majalla"/>
          <w:sz w:val="28"/>
          <w:szCs w:val="28"/>
          <w:rtl/>
        </w:rPr>
        <w:t>بتكامله مع نظام الحوكمة والمساءلة، إذ يُستخدم غالبًا من قبل الشركات التي تسعى إلى الامتثال التنظيمي، ورفع جودة تقارير الأداء، وتحسين ممارسات اتخاذ القرار</w:t>
      </w:r>
      <w:r w:rsidRPr="00C16C43">
        <w:rPr>
          <w:rFonts w:ascii="Sakkal Majalla" w:hAnsi="Sakkal Majalla" w:cs="Sakkal Majalla"/>
          <w:sz w:val="28"/>
          <w:szCs w:val="28"/>
        </w:rPr>
        <w:t>.</w:t>
      </w:r>
    </w:p>
    <w:p w14:paraId="603308E8" w14:textId="1F38B92F"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3. </w:t>
      </w:r>
      <w:r w:rsidR="00063462" w:rsidRPr="006858BA">
        <w:rPr>
          <w:rFonts w:ascii="Sakkal Majalla" w:hAnsi="Sakkal Majalla" w:cs="Sakkal Majalla"/>
          <w:b/>
          <w:bCs/>
          <w:sz w:val="28"/>
          <w:szCs w:val="28"/>
          <w:rtl/>
        </w:rPr>
        <w:t>إدارة مخاطر المشاريع</w:t>
      </w:r>
      <w:r w:rsidR="00063462" w:rsidRPr="006858BA">
        <w:rPr>
          <w:rFonts w:ascii="Sakkal Majalla" w:hAnsi="Sakkal Majalla" w:cs="Sakkal Majalla"/>
          <w:b/>
          <w:bCs/>
          <w:sz w:val="28"/>
          <w:szCs w:val="28"/>
        </w:rPr>
        <w:t xml:space="preserve"> – PMI-RMP</w:t>
      </w:r>
    </w:p>
    <w:p w14:paraId="20E9A418" w14:textId="4002D726"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يُعد هذا النموذج من الأدوات التي وضعتها مؤسسة إدارة المشاريع</w:t>
      </w:r>
      <w:r w:rsidRPr="00C16C43">
        <w:rPr>
          <w:rFonts w:ascii="Sakkal Majalla" w:hAnsi="Sakkal Majalla" w:cs="Sakkal Majalla"/>
          <w:sz w:val="28"/>
          <w:szCs w:val="28"/>
        </w:rPr>
        <w:t xml:space="preserve"> (PMI) </w:t>
      </w:r>
      <w:r w:rsidRPr="00C16C43">
        <w:rPr>
          <w:rFonts w:ascii="Sakkal Majalla" w:hAnsi="Sakkal Majalla" w:cs="Sakkal Majalla"/>
          <w:sz w:val="28"/>
          <w:szCs w:val="28"/>
          <w:rtl/>
        </w:rPr>
        <w:t>ويُركز بشكل خاص على مشاريع الإنشاء والصناعة والبنية التحتية</w:t>
      </w:r>
      <w:r w:rsidR="006C3CE9"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ويشير</w:t>
      </w:r>
      <w:r w:rsidRPr="00C16C43">
        <w:rPr>
          <w:rFonts w:ascii="Sakkal Majalla" w:hAnsi="Sakkal Majalla" w:cs="Sakkal Majalla"/>
          <w:sz w:val="28"/>
          <w:szCs w:val="28"/>
        </w:rPr>
        <w:t xml:space="preserve"> Alshehhi et al. (2024) </w:t>
      </w:r>
      <w:r w:rsidRPr="00C16C43">
        <w:rPr>
          <w:rFonts w:ascii="Sakkal Majalla" w:hAnsi="Sakkal Majalla" w:cs="Sakkal Majalla"/>
          <w:sz w:val="28"/>
          <w:szCs w:val="28"/>
          <w:rtl/>
        </w:rPr>
        <w:t>إلى أن</w:t>
      </w:r>
      <w:r w:rsidRPr="00C16C43">
        <w:rPr>
          <w:rFonts w:ascii="Sakkal Majalla" w:hAnsi="Sakkal Majalla" w:cs="Sakkal Majalla"/>
          <w:sz w:val="28"/>
          <w:szCs w:val="28"/>
        </w:rPr>
        <w:t xml:space="preserve"> PMI-RMP </w:t>
      </w:r>
      <w:r w:rsidRPr="00C16C43">
        <w:rPr>
          <w:rFonts w:ascii="Sakkal Majalla" w:hAnsi="Sakkal Majalla" w:cs="Sakkal Majalla"/>
          <w:sz w:val="28"/>
          <w:szCs w:val="28"/>
          <w:rtl/>
        </w:rPr>
        <w:t>يعتمد على دورة حياة المشروع، ويضع إدارة المخاطر كعنصر أساسي ضمن مراحل التخطيط والتنفيذ والمراقبة. ويتضمن أدوات نوعية وكمية مثل: مصفوفة تقييم المخاطر، تحليل تأثير الاحتمالات، تحليل السبب الجذري، والتحليل الهرمي</w:t>
      </w:r>
      <w:r w:rsidRPr="00C16C43">
        <w:rPr>
          <w:rFonts w:ascii="Sakkal Majalla" w:hAnsi="Sakkal Majalla" w:cs="Sakkal Majalla"/>
          <w:sz w:val="28"/>
          <w:szCs w:val="28"/>
        </w:rPr>
        <w:t>.</w:t>
      </w:r>
    </w:p>
    <w:p w14:paraId="0F5A327B" w14:textId="13A4BF59" w:rsidR="00063462" w:rsidRPr="006858BA" w:rsidRDefault="006858BA" w:rsidP="00C16C43">
      <w:pPr>
        <w:spacing w:before="100" w:beforeAutospacing="1" w:after="100" w:afterAutospacing="1" w:line="360" w:lineRule="auto"/>
        <w:jc w:val="both"/>
        <w:rPr>
          <w:rFonts w:ascii="Sakkal Majalla" w:hAnsi="Sakkal Majalla" w:cs="Sakkal Majalla"/>
          <w:b/>
          <w:bCs/>
          <w:sz w:val="28"/>
          <w:szCs w:val="28"/>
        </w:rPr>
      </w:pPr>
      <w:r w:rsidRPr="006858BA">
        <w:rPr>
          <w:rFonts w:ascii="Sakkal Majalla" w:hAnsi="Sakkal Majalla" w:cs="Sakkal Majalla" w:hint="cs"/>
          <w:b/>
          <w:bCs/>
          <w:sz w:val="28"/>
          <w:szCs w:val="28"/>
          <w:rtl/>
        </w:rPr>
        <w:t xml:space="preserve">4. </w:t>
      </w:r>
      <w:r w:rsidR="00063462" w:rsidRPr="006858BA">
        <w:rPr>
          <w:rFonts w:ascii="Sakkal Majalla" w:hAnsi="Sakkal Majalla" w:cs="Sakkal Majalla"/>
          <w:b/>
          <w:bCs/>
          <w:sz w:val="28"/>
          <w:szCs w:val="28"/>
          <w:rtl/>
        </w:rPr>
        <w:t>نموذج إدارة المخاطر المتكاملة</w:t>
      </w:r>
      <w:r w:rsidR="00063462" w:rsidRPr="006858BA">
        <w:rPr>
          <w:rFonts w:ascii="Sakkal Majalla" w:hAnsi="Sakkal Majalla" w:cs="Sakkal Majalla"/>
          <w:b/>
          <w:bCs/>
          <w:sz w:val="28"/>
          <w:szCs w:val="28"/>
        </w:rPr>
        <w:t xml:space="preserve"> (IRM)</w:t>
      </w:r>
    </w:p>
    <w:p w14:paraId="124F6351" w14:textId="0E5485C7"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lastRenderedPageBreak/>
        <w:t>يُعد هذا النموذج تطورًا حديثًا في مفاهيم إدارة المخاطر، حيث يدمج بين الجوانب المالية، والتشغيلية، والتكنولوجية، والبيئية، ضمن إطار واحد</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Chairani &amp; Siregar (2021) </w:t>
      </w:r>
      <w:r w:rsidRPr="00C16C43">
        <w:rPr>
          <w:rFonts w:ascii="Sakkal Majalla" w:hAnsi="Sakkal Majalla" w:cs="Sakkal Majalla"/>
          <w:sz w:val="28"/>
          <w:szCs w:val="28"/>
          <w:rtl/>
        </w:rPr>
        <w:t>إلى أن</w:t>
      </w:r>
      <w:r w:rsidRPr="00C16C43">
        <w:rPr>
          <w:rFonts w:ascii="Sakkal Majalla" w:hAnsi="Sakkal Majalla" w:cs="Sakkal Majalla"/>
          <w:sz w:val="28"/>
          <w:szCs w:val="28"/>
        </w:rPr>
        <w:t xml:space="preserve"> IRM </w:t>
      </w:r>
      <w:r w:rsidRPr="00C16C43">
        <w:rPr>
          <w:rFonts w:ascii="Sakkal Majalla" w:hAnsi="Sakkal Majalla" w:cs="Sakkal Majalla"/>
          <w:sz w:val="28"/>
          <w:szCs w:val="28"/>
          <w:rtl/>
        </w:rPr>
        <w:t>يعزز من مرونة المؤسسة ووعيها المتعدد الأبعاد بالمخاطر، مما يُمكّنها من بناء استراتيجيات شاملة قادرة على الاستجابة لمجموعة متنوعة من التهديدات</w:t>
      </w:r>
      <w:r w:rsidRPr="00C16C43">
        <w:rPr>
          <w:rFonts w:ascii="Sakkal Majalla" w:hAnsi="Sakkal Majalla" w:cs="Sakkal Majalla"/>
          <w:sz w:val="28"/>
          <w:szCs w:val="28"/>
        </w:rPr>
        <w:t>.</w:t>
      </w:r>
    </w:p>
    <w:p w14:paraId="289C1F23" w14:textId="5B9CE3F4" w:rsidR="00063462" w:rsidRPr="00C16C43" w:rsidRDefault="00063462" w:rsidP="006858BA">
      <w:pPr>
        <w:spacing w:before="100" w:beforeAutospacing="1" w:after="100" w:afterAutospacing="1" w:line="360" w:lineRule="auto"/>
        <w:ind w:firstLine="706"/>
        <w:jc w:val="both"/>
        <w:rPr>
          <w:rFonts w:ascii="Sakkal Majalla" w:hAnsi="Sakkal Majalla" w:cs="Sakkal Majalla"/>
          <w:sz w:val="28"/>
          <w:szCs w:val="28"/>
          <w:rtl/>
        </w:rPr>
      </w:pPr>
      <w:r w:rsidRPr="00C16C43">
        <w:rPr>
          <w:rFonts w:ascii="Sakkal Majalla" w:hAnsi="Sakkal Majalla" w:cs="Sakkal Majalla"/>
          <w:b/>
          <w:bCs/>
          <w:sz w:val="28"/>
          <w:szCs w:val="28"/>
          <w:rtl/>
        </w:rPr>
        <w:t>يرى الباحث</w:t>
      </w:r>
      <w:r w:rsidRPr="00C16C43">
        <w:rPr>
          <w:rFonts w:ascii="Sakkal Majalla" w:hAnsi="Sakkal Majalla" w:cs="Sakkal Majalla"/>
          <w:sz w:val="28"/>
          <w:szCs w:val="28"/>
          <w:rtl/>
        </w:rPr>
        <w:t xml:space="preserve"> أن الأطر والنماذج العالمية تُوفر قواعد راسخة يمكن تكييفها لتناسب البيئة المحلية لكل مؤسسة. وفي حالة شركة أرامكو السعودية، فإن تطبيق معيار</w:t>
      </w:r>
      <w:r w:rsidRPr="00C16C43">
        <w:rPr>
          <w:rFonts w:ascii="Sakkal Majalla" w:hAnsi="Sakkal Majalla" w:cs="Sakkal Majalla"/>
          <w:sz w:val="28"/>
          <w:szCs w:val="28"/>
        </w:rPr>
        <w:t xml:space="preserve"> ISO 31000</w:t>
      </w:r>
      <w:r w:rsidRPr="00C16C43">
        <w:rPr>
          <w:rFonts w:ascii="Sakkal Majalla" w:hAnsi="Sakkal Majalla" w:cs="Sakkal Majalla"/>
          <w:sz w:val="28"/>
          <w:szCs w:val="28"/>
          <w:rtl/>
        </w:rPr>
        <w:t>، إلى جانب دمج بعض عناصر</w:t>
      </w:r>
      <w:r w:rsidRPr="00C16C43">
        <w:rPr>
          <w:rFonts w:ascii="Sakkal Majalla" w:hAnsi="Sakkal Majalla" w:cs="Sakkal Majalla"/>
          <w:sz w:val="28"/>
          <w:szCs w:val="28"/>
        </w:rPr>
        <w:t xml:space="preserve"> COSO</w:t>
      </w:r>
      <w:r w:rsidRPr="00C16C43">
        <w:rPr>
          <w:rFonts w:ascii="Sakkal Majalla" w:hAnsi="Sakkal Majalla" w:cs="Sakkal Majalla"/>
          <w:sz w:val="28"/>
          <w:szCs w:val="28"/>
          <w:rtl/>
        </w:rPr>
        <w:t xml:space="preserve">، يُمكن أن يُمثل نموذجًا مثاليًا يجمع بين الشمولية والمرونة، لا سيما في بيئة تتسم بالتعقيد التشغيلي والحساسية الأمنية والبيئية. </w:t>
      </w:r>
    </w:p>
    <w:p w14:paraId="6B4EBEF2" w14:textId="77777777" w:rsidR="00063462" w:rsidRPr="00C16C43" w:rsidRDefault="00063462" w:rsidP="00C16C43">
      <w:pPr>
        <w:spacing w:before="100" w:beforeAutospacing="1" w:after="100" w:afterAutospacing="1" w:line="360" w:lineRule="auto"/>
        <w:jc w:val="both"/>
        <w:rPr>
          <w:rFonts w:ascii="Sakkal Majalla" w:hAnsi="Sakkal Majalla" w:cs="Sakkal Majalla"/>
          <w:sz w:val="28"/>
          <w:szCs w:val="28"/>
          <w:rtl/>
        </w:rPr>
      </w:pPr>
    </w:p>
    <w:p w14:paraId="288C89D2" w14:textId="77777777" w:rsidR="006858BA" w:rsidRDefault="006858BA">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88CB3CD" w14:textId="4D935765" w:rsidR="00063462" w:rsidRPr="00377F56" w:rsidRDefault="00063462" w:rsidP="00377F56">
      <w:pPr>
        <w:spacing w:before="100" w:beforeAutospacing="1" w:after="100" w:afterAutospacing="1" w:line="360" w:lineRule="auto"/>
        <w:jc w:val="center"/>
        <w:outlineLvl w:val="0"/>
        <w:rPr>
          <w:rFonts w:ascii="Sakkal Majalla" w:hAnsi="Sakkal Majalla" w:cs="Sakkal Majalla"/>
          <w:b/>
          <w:bCs/>
          <w:sz w:val="36"/>
          <w:szCs w:val="36"/>
        </w:rPr>
      </w:pPr>
      <w:bookmarkStart w:id="47" w:name="_Toc200811025"/>
      <w:r w:rsidRPr="00377F56">
        <w:rPr>
          <w:rFonts w:ascii="Sakkal Majalla" w:hAnsi="Sakkal Majalla" w:cs="Sakkal Majalla"/>
          <w:b/>
          <w:bCs/>
          <w:sz w:val="36"/>
          <w:szCs w:val="36"/>
          <w:rtl/>
        </w:rPr>
        <w:lastRenderedPageBreak/>
        <w:t>المبحث الثاني</w:t>
      </w:r>
      <w:r w:rsidRPr="00377F56">
        <w:rPr>
          <w:rFonts w:ascii="Sakkal Majalla" w:hAnsi="Sakkal Majalla" w:cs="Sakkal Majalla"/>
          <w:b/>
          <w:bCs/>
          <w:sz w:val="36"/>
          <w:szCs w:val="36"/>
        </w:rPr>
        <w:t xml:space="preserve">: </w:t>
      </w:r>
      <w:r w:rsidRPr="00377F56">
        <w:rPr>
          <w:rFonts w:ascii="Sakkal Majalla" w:hAnsi="Sakkal Majalla" w:cs="Sakkal Majalla"/>
          <w:b/>
          <w:bCs/>
          <w:sz w:val="36"/>
          <w:szCs w:val="36"/>
          <w:rtl/>
        </w:rPr>
        <w:t>الاستجابة الفعالة لحالات الطوارئ في مواقع العمل</w:t>
      </w:r>
      <w:bookmarkEnd w:id="47"/>
    </w:p>
    <w:p w14:paraId="78DAA931" w14:textId="6A826A20" w:rsidR="00063462" w:rsidRPr="00377F56" w:rsidRDefault="00377F56" w:rsidP="00377F56">
      <w:pPr>
        <w:spacing w:before="100" w:beforeAutospacing="1" w:after="100" w:afterAutospacing="1" w:line="360" w:lineRule="auto"/>
        <w:jc w:val="both"/>
        <w:outlineLvl w:val="2"/>
        <w:rPr>
          <w:rFonts w:ascii="Sakkal Majalla" w:hAnsi="Sakkal Majalla" w:cs="Sakkal Majalla"/>
          <w:b/>
          <w:bCs/>
          <w:sz w:val="32"/>
          <w:szCs w:val="32"/>
        </w:rPr>
      </w:pPr>
      <w:bookmarkStart w:id="48" w:name="_Toc200811026"/>
      <w:r w:rsidRPr="00377F56">
        <w:rPr>
          <w:rFonts w:ascii="Sakkal Majalla" w:hAnsi="Sakkal Majalla" w:cs="Sakkal Majalla" w:hint="cs"/>
          <w:b/>
          <w:bCs/>
          <w:sz w:val="32"/>
          <w:szCs w:val="32"/>
          <w:rtl/>
        </w:rPr>
        <w:t xml:space="preserve">1.2.2 </w:t>
      </w:r>
      <w:r w:rsidR="00063462" w:rsidRPr="00377F56">
        <w:rPr>
          <w:rFonts w:ascii="Sakkal Majalla" w:hAnsi="Sakkal Majalla" w:cs="Sakkal Majalla"/>
          <w:b/>
          <w:bCs/>
          <w:sz w:val="32"/>
          <w:szCs w:val="32"/>
        </w:rPr>
        <w:t xml:space="preserve"> </w:t>
      </w:r>
      <w:r w:rsidR="00063462" w:rsidRPr="00377F56">
        <w:rPr>
          <w:rFonts w:ascii="Sakkal Majalla" w:hAnsi="Sakkal Majalla" w:cs="Sakkal Majalla"/>
          <w:b/>
          <w:bCs/>
          <w:sz w:val="32"/>
          <w:szCs w:val="32"/>
          <w:rtl/>
        </w:rPr>
        <w:t>مفهوم الاستجابة لحالات الطوارئ</w:t>
      </w:r>
      <w:bookmarkEnd w:id="48"/>
    </w:p>
    <w:p w14:paraId="7799C850" w14:textId="74EC6B4E"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تُعرّف الاستجابة لحالات الطوارئ بأنها الأنشطة والإجراءات التي تُنفذها المؤسسة فور وقوع حادث غير متوقع أو كارثة، بهدف حماية الأرواح، وتقليل الخسائر، واستعادة الاستقرار في أسرع وقت ممكن</w:t>
      </w:r>
      <w:r w:rsidR="006C3CE9" w:rsidRPr="00C16C43">
        <w:rPr>
          <w:rFonts w:ascii="Sakkal Majalla" w:hAnsi="Sakkal Majalla" w:cs="Sakkal Majalla" w:hint="cs"/>
          <w:sz w:val="28"/>
          <w:szCs w:val="28"/>
          <w:rtl/>
          <w:lang w:bidi="ar-EG"/>
        </w:rPr>
        <w:t>،</w:t>
      </w:r>
      <w:r w:rsidRPr="00C16C43">
        <w:rPr>
          <w:rFonts w:ascii="Sakkal Majalla" w:hAnsi="Sakkal Majalla" w:cs="Sakkal Majalla" w:hint="cs"/>
          <w:sz w:val="28"/>
          <w:szCs w:val="28"/>
          <w:lang w:bidi="ar-EG"/>
        </w:rPr>
        <w:t xml:space="preserve"> </w:t>
      </w:r>
      <w:r w:rsidRPr="00C16C43">
        <w:rPr>
          <w:rFonts w:ascii="Sakkal Majalla" w:hAnsi="Sakkal Majalla" w:cs="Sakkal Majalla" w:hint="cs"/>
          <w:sz w:val="28"/>
          <w:szCs w:val="28"/>
          <w:rtl/>
          <w:lang w:bidi="ar-EG"/>
        </w:rPr>
        <w:t>ويشير</w:t>
      </w:r>
      <w:r w:rsidRPr="00C16C43">
        <w:rPr>
          <w:rFonts w:ascii="Sakkal Majalla" w:hAnsi="Sakkal Majalla" w:cs="Sakkal Majalla" w:hint="cs"/>
          <w:sz w:val="28"/>
          <w:szCs w:val="28"/>
          <w:lang w:bidi="ar-EG"/>
        </w:rPr>
        <w:t xml:space="preserve"> Sabri et al. (2023) </w:t>
      </w:r>
      <w:r w:rsidRPr="00C16C43">
        <w:rPr>
          <w:rFonts w:ascii="Sakkal Majalla" w:hAnsi="Sakkal Majalla" w:cs="Sakkal Majalla" w:hint="cs"/>
          <w:sz w:val="28"/>
          <w:szCs w:val="28"/>
          <w:rtl/>
          <w:lang w:bidi="ar-EG"/>
        </w:rPr>
        <w:t>إلى أن الاستجابة للطوارئ تتضمن تنفيذ خطة مُعدة مسبقًا، تتضمن آليات الإنذار، وتشكيل فرق التدخل السريع، وتوفير الموارد والمعلومات لاتخاذ القرار الصحيح في اللحظة الحرجة</w:t>
      </w:r>
      <w:r w:rsidRPr="00C16C43">
        <w:rPr>
          <w:rFonts w:ascii="Sakkal Majalla" w:hAnsi="Sakkal Majalla" w:cs="Sakkal Majalla" w:hint="cs"/>
          <w:sz w:val="28"/>
          <w:szCs w:val="28"/>
          <w:lang w:bidi="ar-EG"/>
        </w:rPr>
        <w:t>.</w:t>
      </w:r>
    </w:p>
    <w:p w14:paraId="61A6ADA8" w14:textId="477CF979"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ويُوضح</w:t>
      </w:r>
      <w:r w:rsidRPr="00C16C43">
        <w:rPr>
          <w:rFonts w:ascii="Sakkal Majalla" w:hAnsi="Sakkal Majalla" w:cs="Sakkal Majalla" w:hint="cs"/>
          <w:sz w:val="28"/>
          <w:szCs w:val="28"/>
          <w:lang w:bidi="ar-EG"/>
        </w:rPr>
        <w:t xml:space="preserve"> Zhang et al. (2023) </w:t>
      </w:r>
      <w:r w:rsidRPr="00C16C43">
        <w:rPr>
          <w:rFonts w:ascii="Sakkal Majalla" w:hAnsi="Sakkal Majalla" w:cs="Sakkal Majalla" w:hint="cs"/>
          <w:sz w:val="28"/>
          <w:szCs w:val="28"/>
          <w:rtl/>
          <w:lang w:bidi="ar-EG"/>
        </w:rPr>
        <w:t>أن هذا المفهوم لا يقتصر على رد الفعل بعد وقوع الطارئ، بل يشمل كذلك الجاهزية المؤسسية المسبقة، والتخطيط المحكم، وتدريب الفرق على السيناريوهات المختلفة، مما يُقلل من الفوضى ويُسرّع عملية التعافي</w:t>
      </w:r>
      <w:r w:rsidR="006C3CE9" w:rsidRPr="00C16C43">
        <w:rPr>
          <w:rFonts w:ascii="Sakkal Majalla" w:hAnsi="Sakkal Majalla" w:cs="Sakkal Majalla" w:hint="cs"/>
          <w:sz w:val="28"/>
          <w:szCs w:val="28"/>
          <w:rtl/>
          <w:lang w:bidi="ar-EG"/>
        </w:rPr>
        <w:t>،</w:t>
      </w:r>
      <w:r w:rsidRPr="00C16C43">
        <w:rPr>
          <w:rFonts w:ascii="Sakkal Majalla" w:hAnsi="Sakkal Majalla" w:cs="Sakkal Majalla" w:hint="cs"/>
          <w:sz w:val="28"/>
          <w:szCs w:val="28"/>
          <w:rtl/>
          <w:lang w:bidi="ar-EG"/>
        </w:rPr>
        <w:t xml:space="preserve"> في السياقات الصناعية، مثل بيئة عمل شركة أرامكو، تُعد الاستجابة الفعالة ضرورة استراتيجية نظرًا لحساسية المنشآت وكثافة العمليات المعقدة التي تجري بها يوميًا</w:t>
      </w:r>
      <w:r w:rsidRPr="00C16C43">
        <w:rPr>
          <w:rFonts w:ascii="Sakkal Majalla" w:hAnsi="Sakkal Majalla" w:cs="Sakkal Majalla" w:hint="cs"/>
          <w:sz w:val="28"/>
          <w:szCs w:val="28"/>
          <w:lang w:bidi="ar-EG"/>
        </w:rPr>
        <w:t>.</w:t>
      </w:r>
    </w:p>
    <w:p w14:paraId="5260E4F7" w14:textId="4E5B7908"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ويُبين</w:t>
      </w:r>
      <w:r w:rsidRPr="00C16C43">
        <w:rPr>
          <w:rFonts w:ascii="Sakkal Majalla" w:hAnsi="Sakkal Majalla" w:cs="Sakkal Majalla"/>
          <w:sz w:val="28"/>
          <w:szCs w:val="28"/>
        </w:rPr>
        <w:t xml:space="preserve"> Davis et al. (2023) </w:t>
      </w:r>
      <w:r w:rsidRPr="00C16C43">
        <w:rPr>
          <w:rFonts w:ascii="Sakkal Majalla" w:hAnsi="Sakkal Majalla" w:cs="Sakkal Majalla"/>
          <w:sz w:val="28"/>
          <w:szCs w:val="28"/>
          <w:rtl/>
        </w:rPr>
        <w:t>أن الاستجابة تشمل عناصر متعددة، مثل سرعة اتخاذ القرار، دقة الاتصال بين الوحدات، التنسيق مع الجهات الخارجية، وإدارة الموارد البشرية والمادية بفعالية</w:t>
      </w:r>
      <w:r w:rsidR="006C3CE9" w:rsidRPr="00C16C43">
        <w:rPr>
          <w:rFonts w:ascii="Sakkal Majalla" w:hAnsi="Sakkal Majalla" w:cs="Sakkal Majalla"/>
          <w:sz w:val="28"/>
          <w:szCs w:val="28"/>
          <w:rtl/>
        </w:rPr>
        <w:t xml:space="preserve"> </w:t>
      </w:r>
      <w:r w:rsidRPr="00C16C43">
        <w:rPr>
          <w:rFonts w:ascii="Sakkal Majalla" w:hAnsi="Sakkal Majalla" w:cs="Sakkal Majalla"/>
          <w:sz w:val="28"/>
          <w:szCs w:val="28"/>
          <w:rtl/>
        </w:rPr>
        <w:t>، إن فاعلية هذه الاستجابة لا تعتمد فقط على الإجراءات، بل على مستوى التنظيم، والثقافة المؤسسية، ومدى اندماج العاملين في النظام</w:t>
      </w:r>
      <w:r w:rsidRPr="00C16C43">
        <w:rPr>
          <w:rFonts w:ascii="Sakkal Majalla" w:hAnsi="Sakkal Majalla" w:cs="Sakkal Majalla"/>
          <w:sz w:val="28"/>
          <w:szCs w:val="28"/>
        </w:rPr>
        <w:t>.</w:t>
      </w:r>
    </w:p>
    <w:p w14:paraId="36411688" w14:textId="77777777"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t>يرى الباحث</w:t>
      </w:r>
      <w:r w:rsidRPr="00C16C43">
        <w:rPr>
          <w:rFonts w:ascii="Sakkal Majalla" w:hAnsi="Sakkal Majalla" w:cs="Sakkal Majalla"/>
          <w:sz w:val="28"/>
          <w:szCs w:val="28"/>
          <w:rtl/>
        </w:rPr>
        <w:t xml:space="preserve"> أن مفهوم الاستجابة لحالات الطوارئ لم يعد يُقاس فقط بسرعة رد الفعل، بل بات يُقاس بمدى جهوزية النظام بالكامل للتعامل مع التهديدات وفق خطط مدروسة، ومؤشرات أداء محددة، وتدريب مستمر للعنصر البشري</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ومن هنا، فإن المؤسسات الكبرى مثل أرامكو لا يمكن أن تكتفي بخطط مكتوبة، بل يجب أن تبني بيئة متكاملة تتفاعل بشكل حي ومرن مع الطوارئ</w:t>
      </w:r>
      <w:r w:rsidRPr="00C16C43">
        <w:rPr>
          <w:rFonts w:ascii="Sakkal Majalla" w:hAnsi="Sakkal Majalla" w:cs="Sakkal Majalla"/>
          <w:sz w:val="28"/>
          <w:szCs w:val="28"/>
        </w:rPr>
        <w:t>.</w:t>
      </w:r>
    </w:p>
    <w:p w14:paraId="2E4D34E8" w14:textId="7D65E941" w:rsidR="00063462" w:rsidRPr="00377F56" w:rsidRDefault="00377F56" w:rsidP="00377F56">
      <w:pPr>
        <w:spacing w:before="100" w:beforeAutospacing="1" w:after="100" w:afterAutospacing="1" w:line="360" w:lineRule="auto"/>
        <w:jc w:val="both"/>
        <w:outlineLvl w:val="2"/>
        <w:rPr>
          <w:rFonts w:ascii="Sakkal Majalla" w:hAnsi="Sakkal Majalla" w:cs="Sakkal Majalla"/>
          <w:b/>
          <w:bCs/>
          <w:sz w:val="32"/>
          <w:szCs w:val="32"/>
        </w:rPr>
      </w:pPr>
      <w:bookmarkStart w:id="49" w:name="_Toc200811027"/>
      <w:r w:rsidRPr="00377F56">
        <w:rPr>
          <w:rFonts w:ascii="Sakkal Majalla" w:hAnsi="Sakkal Majalla" w:cs="Sakkal Majalla"/>
          <w:b/>
          <w:bCs/>
          <w:sz w:val="32"/>
          <w:szCs w:val="32"/>
        </w:rPr>
        <w:lastRenderedPageBreak/>
        <w:t>2.2.2</w:t>
      </w:r>
      <w:r w:rsidRPr="00377F56">
        <w:rPr>
          <w:rFonts w:ascii="Sakkal Majalla" w:hAnsi="Sakkal Majalla" w:cs="Sakkal Majalla" w:hint="cs"/>
          <w:b/>
          <w:bCs/>
          <w:sz w:val="32"/>
          <w:szCs w:val="32"/>
          <w:rtl/>
          <w:lang w:bidi="ar-EG"/>
        </w:rPr>
        <w:t xml:space="preserve"> </w:t>
      </w:r>
      <w:r w:rsidR="00063462" w:rsidRPr="00377F56">
        <w:rPr>
          <w:rFonts w:ascii="Sakkal Majalla" w:hAnsi="Sakkal Majalla" w:cs="Sakkal Majalla"/>
          <w:b/>
          <w:bCs/>
          <w:sz w:val="32"/>
          <w:szCs w:val="32"/>
          <w:rtl/>
        </w:rPr>
        <w:t>عناصر الاستجابة الفعالة للطوارئ</w:t>
      </w:r>
      <w:bookmarkEnd w:id="49"/>
    </w:p>
    <w:p w14:paraId="62F37ADA" w14:textId="5B8BBE8A"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تشير الأدبيات الحديثة إلى أن الاستجابة الفعالة لحالات الطوارئ تعتمد على منظومة متكاملة من العناصر التي تعمل بتناغم لتقليل أثر الحادث واستعادة الاستقرار</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Farhadi et al. (2023) </w:t>
      </w:r>
      <w:r w:rsidRPr="00C16C43">
        <w:rPr>
          <w:rFonts w:ascii="Sakkal Majalla" w:hAnsi="Sakkal Majalla" w:cs="Sakkal Majalla"/>
          <w:sz w:val="28"/>
          <w:szCs w:val="28"/>
          <w:rtl/>
        </w:rPr>
        <w:t>إلى أن وجود خطة طوارئ لا يكفي وحده، بل يجب أن تُستند الاستجابة إلى عناصر مترابطة تشمل: التنظيم المؤسسي، جاهزية الموارد، كفاءة القيادة، وضبط الاتصال</w:t>
      </w:r>
      <w:r w:rsidRPr="00C16C43">
        <w:rPr>
          <w:rFonts w:ascii="Sakkal Majalla" w:hAnsi="Sakkal Majalla" w:cs="Sakkal Majalla"/>
          <w:sz w:val="28"/>
          <w:szCs w:val="28"/>
        </w:rPr>
        <w:t>.</w:t>
      </w:r>
    </w:p>
    <w:p w14:paraId="31BCDD7B" w14:textId="77777777" w:rsidR="00063462" w:rsidRPr="00377F56" w:rsidRDefault="00063462" w:rsidP="00C16C43">
      <w:pPr>
        <w:spacing w:before="100" w:beforeAutospacing="1" w:after="100" w:afterAutospacing="1" w:line="360" w:lineRule="auto"/>
        <w:jc w:val="both"/>
        <w:rPr>
          <w:rFonts w:ascii="Sakkal Majalla" w:hAnsi="Sakkal Majalla" w:cs="Sakkal Majalla"/>
          <w:b/>
          <w:bCs/>
          <w:sz w:val="28"/>
          <w:szCs w:val="28"/>
        </w:rPr>
      </w:pPr>
      <w:r w:rsidRPr="00377F56">
        <w:rPr>
          <w:rFonts w:ascii="Sakkal Majalla" w:hAnsi="Sakkal Majalla" w:cs="Sakkal Majalla"/>
          <w:b/>
          <w:bCs/>
          <w:sz w:val="28"/>
          <w:szCs w:val="28"/>
          <w:rtl/>
        </w:rPr>
        <w:t>وفيما يلي عرض لأهم هذه العناصر</w:t>
      </w:r>
      <w:r w:rsidRPr="00377F56">
        <w:rPr>
          <w:rFonts w:ascii="Sakkal Majalla" w:hAnsi="Sakkal Majalla" w:cs="Sakkal Majalla"/>
          <w:b/>
          <w:bCs/>
          <w:sz w:val="28"/>
          <w:szCs w:val="28"/>
        </w:rPr>
        <w:t>:</w:t>
      </w:r>
    </w:p>
    <w:p w14:paraId="35897AD2" w14:textId="2C3A89F3" w:rsidR="00063462"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 </w:t>
      </w:r>
      <w:r w:rsidR="00063462" w:rsidRPr="00C16C43">
        <w:rPr>
          <w:rFonts w:ascii="Sakkal Majalla" w:hAnsi="Sakkal Majalla" w:cs="Sakkal Majalla"/>
          <w:b/>
          <w:bCs/>
          <w:sz w:val="28"/>
          <w:szCs w:val="28"/>
          <w:rtl/>
        </w:rPr>
        <w:t>الجاهزية والتخطيط المسبق</w:t>
      </w:r>
    </w:p>
    <w:p w14:paraId="76399A89" w14:textId="3EF814AA"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يُعد التخطيط المحكم حجر الأساس لأي استجابة فعالة</w:t>
      </w:r>
      <w:r w:rsidR="006C3CE9" w:rsidRPr="00C16C43">
        <w:rPr>
          <w:rFonts w:ascii="Sakkal Majalla" w:hAnsi="Sakkal Majalla" w:cs="Sakkal Majalla" w:hint="cs"/>
          <w:sz w:val="28"/>
          <w:szCs w:val="28"/>
          <w:rtl/>
          <w:lang w:bidi="ar-EG"/>
        </w:rPr>
        <w:t>،</w:t>
      </w:r>
      <w:r w:rsidRPr="00C16C43">
        <w:rPr>
          <w:rFonts w:ascii="Sakkal Majalla" w:hAnsi="Sakkal Majalla" w:cs="Sakkal Majalla" w:hint="cs"/>
          <w:sz w:val="28"/>
          <w:szCs w:val="28"/>
          <w:rtl/>
          <w:lang w:bidi="ar-EG"/>
        </w:rPr>
        <w:t xml:space="preserve"> ويشمل ذلك وجود خطة طوارئ رسمية محدثة، تحدد أنواع الطوارئ المحتملة، والسيناريوهات المتوقعة، ومسؤوليات الأفراد، ومسارات الإخلاء، ومواقع نقاط التجمع. وتُبرز</w:t>
      </w:r>
      <w:r w:rsidRPr="00C16C43">
        <w:rPr>
          <w:rFonts w:ascii="Sakkal Majalla" w:hAnsi="Sakkal Majalla" w:cs="Sakkal Majalla" w:hint="cs"/>
          <w:sz w:val="28"/>
          <w:szCs w:val="28"/>
          <w:lang w:bidi="ar-EG"/>
        </w:rPr>
        <w:t xml:space="preserve"> Sabri et al. (2023) </w:t>
      </w:r>
      <w:r w:rsidRPr="00C16C43">
        <w:rPr>
          <w:rFonts w:ascii="Sakkal Majalla" w:hAnsi="Sakkal Majalla" w:cs="Sakkal Majalla" w:hint="cs"/>
          <w:sz w:val="28"/>
          <w:szCs w:val="28"/>
          <w:rtl/>
          <w:lang w:bidi="ar-EG"/>
        </w:rPr>
        <w:t>أهمية قيام المؤسسات الصناعية بإجراء اختبارات دورية للخطة، من خلال محاكاة السيناريوهات، بما يُسهم في تقليل الأخطاء وزيادة سرعة الاستجابة</w:t>
      </w:r>
      <w:r w:rsidRPr="00C16C43">
        <w:rPr>
          <w:rFonts w:ascii="Sakkal Majalla" w:hAnsi="Sakkal Majalla" w:cs="Sakkal Majalla" w:hint="cs"/>
          <w:sz w:val="28"/>
          <w:szCs w:val="28"/>
          <w:lang w:bidi="ar-EG"/>
        </w:rPr>
        <w:t>.</w:t>
      </w:r>
    </w:p>
    <w:p w14:paraId="1AEA6837" w14:textId="1F52F345" w:rsidR="00063462"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063462" w:rsidRPr="00C16C43">
        <w:rPr>
          <w:rFonts w:ascii="Sakkal Majalla" w:hAnsi="Sakkal Majalla" w:cs="Sakkal Majalla"/>
          <w:b/>
          <w:bCs/>
          <w:sz w:val="28"/>
          <w:szCs w:val="28"/>
          <w:rtl/>
        </w:rPr>
        <w:t>القيادة الفعالة واتخاذ القرار</w:t>
      </w:r>
    </w:p>
    <w:p w14:paraId="2DACD5EE" w14:textId="29BA339A"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يشير</w:t>
      </w:r>
      <w:r w:rsidRPr="00C16C43">
        <w:rPr>
          <w:rFonts w:ascii="Sakkal Majalla" w:hAnsi="Sakkal Majalla" w:cs="Sakkal Majalla"/>
          <w:sz w:val="28"/>
          <w:szCs w:val="28"/>
        </w:rPr>
        <w:t xml:space="preserve"> Zhang et al. (2023) </w:t>
      </w:r>
      <w:r w:rsidRPr="00C16C43">
        <w:rPr>
          <w:rFonts w:ascii="Sakkal Majalla" w:hAnsi="Sakkal Majalla" w:cs="Sakkal Majalla"/>
          <w:sz w:val="28"/>
          <w:szCs w:val="28"/>
          <w:rtl/>
        </w:rPr>
        <w:t>إلى أن سرعة اتخاذ القرار ودقته أثناء الأزمة تُعد من المحددات الحاسمة لنجاح الاستجابة. فالقرارات المرتجلة أو البطيئة تُؤدي إلى تفاقم الأوضاع، في حين أن القيادة الواضحة تُساعد في توجيه الجهود وتوزيع المهام وتحديد الأولويات</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وغالبًا ما يُكلّف "قائد الطوارئ" أو "مدير الحادث" بسلطة اتخاذ القرار الفوري</w:t>
      </w:r>
      <w:r w:rsidRPr="00C16C43">
        <w:rPr>
          <w:rFonts w:ascii="Sakkal Majalla" w:hAnsi="Sakkal Majalla" w:cs="Sakkal Majalla"/>
          <w:sz w:val="28"/>
          <w:szCs w:val="28"/>
        </w:rPr>
        <w:t>.</w:t>
      </w:r>
    </w:p>
    <w:p w14:paraId="5A97DE08" w14:textId="6DD9B2B0" w:rsidR="00063462"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063462" w:rsidRPr="00C16C43">
        <w:rPr>
          <w:rFonts w:ascii="Sakkal Majalla" w:hAnsi="Sakkal Majalla" w:cs="Sakkal Majalla"/>
          <w:b/>
          <w:bCs/>
          <w:sz w:val="28"/>
          <w:szCs w:val="28"/>
          <w:rtl/>
        </w:rPr>
        <w:t>التواصل الداخلي والخارجي</w:t>
      </w:r>
    </w:p>
    <w:p w14:paraId="0F2DB931" w14:textId="7C686FFC"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يؤكد</w:t>
      </w:r>
      <w:r w:rsidRPr="00C16C43">
        <w:rPr>
          <w:rFonts w:ascii="Sakkal Majalla" w:hAnsi="Sakkal Majalla" w:cs="Sakkal Majalla"/>
          <w:sz w:val="28"/>
          <w:szCs w:val="28"/>
        </w:rPr>
        <w:t xml:space="preserve"> Davis et al. (2023) </w:t>
      </w:r>
      <w:r w:rsidRPr="00C16C43">
        <w:rPr>
          <w:rFonts w:ascii="Sakkal Majalla" w:hAnsi="Sakkal Majalla" w:cs="Sakkal Majalla"/>
          <w:sz w:val="28"/>
          <w:szCs w:val="28"/>
          <w:rtl/>
        </w:rPr>
        <w:t>أن فاعلية الاستجابة تعتمد بشكل كبير على وضوح وسرعة قنوات الاتصال</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ويجب أن تكون هناك آليات اتصال متعددة، تشمل الاتصال اللاسلكي، أنظمة التحذير الصوتي، </w:t>
      </w:r>
      <w:r w:rsidRPr="00C16C43">
        <w:rPr>
          <w:rFonts w:ascii="Sakkal Majalla" w:hAnsi="Sakkal Majalla" w:cs="Sakkal Majalla"/>
          <w:sz w:val="28"/>
          <w:szCs w:val="28"/>
          <w:rtl/>
        </w:rPr>
        <w:lastRenderedPageBreak/>
        <w:t>الرسائل النصية الموحدة، وخطوط اتصال مباشرة مع الجهات الأمنية والإسعافية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كما أن التواصل الفعّال يقلل من الشائعات والفوضى، ويُوجه الأفراد نحو السلوك المطلوب</w:t>
      </w:r>
      <w:r w:rsidRPr="00C16C43">
        <w:rPr>
          <w:rFonts w:ascii="Sakkal Majalla" w:hAnsi="Sakkal Majalla" w:cs="Sakkal Majalla"/>
          <w:sz w:val="28"/>
          <w:szCs w:val="28"/>
        </w:rPr>
        <w:t>.</w:t>
      </w:r>
    </w:p>
    <w:p w14:paraId="68264FEF" w14:textId="069BF1A3" w:rsidR="00063462"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4. </w:t>
      </w:r>
      <w:r w:rsidR="00063462" w:rsidRPr="00C16C43">
        <w:rPr>
          <w:rFonts w:ascii="Sakkal Majalla" w:hAnsi="Sakkal Majalla" w:cs="Sakkal Majalla"/>
          <w:b/>
          <w:bCs/>
          <w:sz w:val="28"/>
          <w:szCs w:val="28"/>
          <w:rtl/>
        </w:rPr>
        <w:t>إدارة الموارد البشرية والمادية</w:t>
      </w:r>
    </w:p>
    <w:p w14:paraId="20D57A70" w14:textId="77777777"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تتطلب الاستجابة للطوارئ استخدامًا سريعًا وفعّالًا للموارد، سواء كانت بشرية أو مادية. ويشير</w:t>
      </w:r>
      <w:r w:rsidRPr="00C16C43">
        <w:rPr>
          <w:rFonts w:ascii="Sakkal Majalla" w:hAnsi="Sakkal Majalla" w:cs="Sakkal Majalla"/>
          <w:sz w:val="28"/>
          <w:szCs w:val="28"/>
        </w:rPr>
        <w:t xml:space="preserve"> Mızrak (2023) </w:t>
      </w:r>
      <w:r w:rsidRPr="00C16C43">
        <w:rPr>
          <w:rFonts w:ascii="Sakkal Majalla" w:hAnsi="Sakkal Majalla" w:cs="Sakkal Majalla"/>
          <w:sz w:val="28"/>
          <w:szCs w:val="28"/>
          <w:rtl/>
        </w:rPr>
        <w:t>إلى أهمية تحديد مواقع المعدات الحيوية مسبقًا (مثل الطفايات، معدات التنفس، أجهزة الاتصالات، الأدوية)، مع ضمان أن جميع الموظفين يعرفون مواقعها وكيفية استخدامها. كما أن جاهزية الكوادر البشرية، من خلال التدريب والتجربة، تُعد عنصرًا لا غنى عنه</w:t>
      </w:r>
      <w:r w:rsidRPr="00C16C43">
        <w:rPr>
          <w:rFonts w:ascii="Sakkal Majalla" w:hAnsi="Sakkal Majalla" w:cs="Sakkal Majalla"/>
          <w:sz w:val="28"/>
          <w:szCs w:val="28"/>
        </w:rPr>
        <w:t>.</w:t>
      </w:r>
    </w:p>
    <w:p w14:paraId="38C6E2C5" w14:textId="1592B3CB" w:rsidR="00063462"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 xml:space="preserve">5. </w:t>
      </w:r>
      <w:r w:rsidR="00063462" w:rsidRPr="00C16C43">
        <w:rPr>
          <w:rFonts w:ascii="Sakkal Majalla" w:hAnsi="Sakkal Majalla" w:cs="Sakkal Majalla"/>
          <w:b/>
          <w:bCs/>
          <w:sz w:val="28"/>
          <w:szCs w:val="28"/>
          <w:rtl/>
        </w:rPr>
        <w:t>التنسيق مع الجهات الخارجية</w:t>
      </w:r>
    </w:p>
    <w:p w14:paraId="40F66F5E" w14:textId="1C456F1B"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تُعد العلاقة مع الدفاع المدني، والإسعاف، والشرطة، والبلديات عاملًا حاسمًا في استجابة شاملة وسريعة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ويؤكد</w:t>
      </w:r>
      <w:r w:rsidRPr="00C16C43">
        <w:rPr>
          <w:rFonts w:ascii="Sakkal Majalla" w:hAnsi="Sakkal Majalla" w:cs="Sakkal Majalla"/>
          <w:sz w:val="28"/>
          <w:szCs w:val="28"/>
        </w:rPr>
        <w:t xml:space="preserve"> Cornwell et al. (2023) </w:t>
      </w:r>
      <w:r w:rsidRPr="00C16C43">
        <w:rPr>
          <w:rFonts w:ascii="Sakkal Majalla" w:hAnsi="Sakkal Majalla" w:cs="Sakkal Majalla"/>
          <w:sz w:val="28"/>
          <w:szCs w:val="28"/>
          <w:rtl/>
        </w:rPr>
        <w:t>على ضرورة توقيع بروتوكولات تعاون وتفاهم مع هذه الجهات قبل وقوع الحادث، وتحديد مسؤوليات كل طرف بوضوح لتفادي التضارب أو التكرار</w:t>
      </w:r>
      <w:r w:rsidRPr="00C16C43">
        <w:rPr>
          <w:rFonts w:ascii="Sakkal Majalla" w:hAnsi="Sakkal Majalla" w:cs="Sakkal Majalla"/>
          <w:sz w:val="28"/>
          <w:szCs w:val="28"/>
        </w:rPr>
        <w:t>.</w:t>
      </w:r>
    </w:p>
    <w:p w14:paraId="609CDF76" w14:textId="77777777" w:rsidR="00063462" w:rsidRPr="00C16C43" w:rsidRDefault="00063462"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t>يرى الباحث</w:t>
      </w:r>
      <w:r w:rsidRPr="00C16C43">
        <w:rPr>
          <w:rFonts w:ascii="Sakkal Majalla" w:hAnsi="Sakkal Majalla" w:cs="Sakkal Majalla"/>
          <w:sz w:val="28"/>
          <w:szCs w:val="28"/>
          <w:rtl/>
        </w:rPr>
        <w:t xml:space="preserve"> أن هذه العناصر لا تعمل بمعزل عن بعضها، بل تتكامل في بيئة تنظيمية تتسم بالمرونة والشفافية والتخطيط المحكم. وإن بناء منظومة استجابة فعالة لحالات الطوارئ لا يمكن أن يتحقق دون استثمار حقيقي في البنية التنظيمية والتقنية، وتدريب العنصر البشري، وتوفير موارد الطوارئ، وتفعيل الشراكات المؤسسية مع الجهات الداعمة</w:t>
      </w:r>
      <w:r w:rsidRPr="00C16C43">
        <w:rPr>
          <w:rFonts w:ascii="Sakkal Majalla" w:hAnsi="Sakkal Majalla" w:cs="Sakkal Majalla"/>
          <w:sz w:val="28"/>
          <w:szCs w:val="28"/>
        </w:rPr>
        <w:t>.</w:t>
      </w:r>
    </w:p>
    <w:p w14:paraId="69D80B31" w14:textId="6A92E806" w:rsidR="00DE09EE" w:rsidRPr="00377F56" w:rsidRDefault="00377F56" w:rsidP="00377F56">
      <w:pPr>
        <w:spacing w:before="100" w:beforeAutospacing="1" w:after="100" w:afterAutospacing="1" w:line="360" w:lineRule="auto"/>
        <w:jc w:val="both"/>
        <w:outlineLvl w:val="2"/>
        <w:rPr>
          <w:rFonts w:ascii="Sakkal Majalla" w:hAnsi="Sakkal Majalla" w:cs="Sakkal Majalla"/>
          <w:b/>
          <w:bCs/>
          <w:sz w:val="32"/>
          <w:szCs w:val="32"/>
        </w:rPr>
      </w:pPr>
      <w:bookmarkStart w:id="50" w:name="_Toc200811028"/>
      <w:r w:rsidRPr="00377F56">
        <w:rPr>
          <w:rFonts w:ascii="Sakkal Majalla" w:hAnsi="Sakkal Majalla" w:cs="Sakkal Majalla" w:hint="cs"/>
          <w:b/>
          <w:bCs/>
          <w:sz w:val="32"/>
          <w:szCs w:val="32"/>
          <w:rtl/>
        </w:rPr>
        <w:t xml:space="preserve">3.2.2 </w:t>
      </w:r>
      <w:r w:rsidR="00DE09EE" w:rsidRPr="00377F56">
        <w:rPr>
          <w:rFonts w:ascii="Sakkal Majalla" w:hAnsi="Sakkal Majalla" w:cs="Sakkal Majalla"/>
          <w:b/>
          <w:bCs/>
          <w:sz w:val="32"/>
          <w:szCs w:val="32"/>
        </w:rPr>
        <w:t xml:space="preserve"> </w:t>
      </w:r>
      <w:r w:rsidR="00DE09EE" w:rsidRPr="00377F56">
        <w:rPr>
          <w:rFonts w:ascii="Sakkal Majalla" w:hAnsi="Sakkal Majalla" w:cs="Sakkal Majalla"/>
          <w:b/>
          <w:bCs/>
          <w:sz w:val="32"/>
          <w:szCs w:val="32"/>
          <w:rtl/>
        </w:rPr>
        <w:t>مراحل الاستجابة للطوارئ</w:t>
      </w:r>
      <w:bookmarkEnd w:id="50"/>
    </w:p>
    <w:p w14:paraId="20324EC3" w14:textId="52881CA6"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تمر الاستجابة الفعالة لحالات الطوارئ بعدة مراحل مترابطة، تهدف إلى احتواء الحدث وتقليل أثره، ثم الانتقال إلى مرحلة استعادة النشاط التشغيلي الطبيعي</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Cao et al. (2018) </w:t>
      </w:r>
      <w:r w:rsidRPr="00C16C43">
        <w:rPr>
          <w:rFonts w:ascii="Sakkal Majalla" w:hAnsi="Sakkal Majalla" w:cs="Sakkal Majalla"/>
          <w:sz w:val="28"/>
          <w:szCs w:val="28"/>
          <w:rtl/>
        </w:rPr>
        <w:t>إلى أن هذه المراحل تختلف من مؤسسة لأخرى بحسب طبيعة النشاط، ولكنها تشترك في هيكل عام يتكوّن عادةً من أربع مراحل رئيسية</w:t>
      </w:r>
      <w:r w:rsidRPr="00C16C43">
        <w:rPr>
          <w:rFonts w:ascii="Sakkal Majalla" w:hAnsi="Sakkal Majalla" w:cs="Sakkal Majalla"/>
          <w:sz w:val="28"/>
          <w:szCs w:val="28"/>
        </w:rPr>
        <w:t xml:space="preserve">: </w:t>
      </w:r>
      <w:r w:rsidRPr="00C16C43">
        <w:rPr>
          <w:rFonts w:ascii="Sakkal Majalla" w:hAnsi="Sakkal Majalla" w:cs="Sakkal Majalla"/>
          <w:sz w:val="28"/>
          <w:szCs w:val="28"/>
          <w:rtl/>
        </w:rPr>
        <w:t>الإنذار، والتدخل، والاحتواء، والتعافي</w:t>
      </w:r>
      <w:r w:rsidRPr="00C16C43">
        <w:rPr>
          <w:rFonts w:ascii="Sakkal Majalla" w:hAnsi="Sakkal Majalla" w:cs="Sakkal Majalla"/>
          <w:sz w:val="28"/>
          <w:szCs w:val="28"/>
        </w:rPr>
        <w:t>.</w:t>
      </w:r>
    </w:p>
    <w:p w14:paraId="45046143" w14:textId="54A915C1"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1. </w:t>
      </w:r>
      <w:r w:rsidR="00DE09EE" w:rsidRPr="00C16C43">
        <w:rPr>
          <w:rFonts w:ascii="Sakkal Majalla" w:hAnsi="Sakkal Majalla" w:cs="Sakkal Majalla"/>
          <w:b/>
          <w:bCs/>
          <w:sz w:val="28"/>
          <w:szCs w:val="28"/>
          <w:rtl/>
        </w:rPr>
        <w:t>مرحلة الإنذار المبكر</w:t>
      </w:r>
    </w:p>
    <w:p w14:paraId="541419AF" w14:textId="3ECD4C89"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تُعد هذه المرحلة بمثابة نقطة الانطلاق، وتشمل جميع الإجراءات المرتبطة باكتشاف الخطر قبل تحوله إلى كارثة. ويشمل ذلك نظم الاستشعار، الإنذار الآلي، الإبلاغ البشري، والمراقبة المستمرة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Damaševičius et al. (2023) </w:t>
      </w:r>
      <w:r w:rsidRPr="00C16C43">
        <w:rPr>
          <w:rFonts w:ascii="Sakkal Majalla" w:hAnsi="Sakkal Majalla" w:cs="Sakkal Majalla"/>
          <w:sz w:val="28"/>
          <w:szCs w:val="28"/>
          <w:rtl/>
        </w:rPr>
        <w:t>إلى أن الإنذار المبكر يُتيح وقتًا حاسمًا لاتخاذ الإجراءات الاستباقية مثل الإخلاء أو فصل الطاقة أو عزل المنطقة</w:t>
      </w:r>
      <w:r w:rsidRPr="00C16C43">
        <w:rPr>
          <w:rFonts w:ascii="Sakkal Majalla" w:hAnsi="Sakkal Majalla" w:cs="Sakkal Majalla"/>
          <w:sz w:val="28"/>
          <w:szCs w:val="28"/>
        </w:rPr>
        <w:t>.</w:t>
      </w:r>
    </w:p>
    <w:p w14:paraId="222A4051" w14:textId="2EA16BB1"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DE09EE" w:rsidRPr="00C16C43">
        <w:rPr>
          <w:rFonts w:ascii="Sakkal Majalla" w:hAnsi="Sakkal Majalla" w:cs="Sakkal Majalla"/>
          <w:b/>
          <w:bCs/>
          <w:sz w:val="28"/>
          <w:szCs w:val="28"/>
          <w:rtl/>
        </w:rPr>
        <w:t>مرحلة التدخل والاستجابة الأولية</w:t>
      </w:r>
    </w:p>
    <w:p w14:paraId="49F232ED" w14:textId="7FF13017"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تشمل هذه المرحلة بدء تنفيذ خطة الطوارئ، وتفعيل فرق الاستجابة السريعة، وتنفيذ تعليمات السلامة. ويُعد التدخل الفوري المنظم في هذه المرحلة مفتاحًا لاحتواء الموقف ومنع تفاقم الأضرار</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كما تُؤكد دراسة</w:t>
      </w:r>
      <w:r w:rsidRPr="00C16C43">
        <w:rPr>
          <w:rFonts w:ascii="Sakkal Majalla" w:hAnsi="Sakkal Majalla" w:cs="Sakkal Majalla"/>
          <w:sz w:val="28"/>
          <w:szCs w:val="28"/>
        </w:rPr>
        <w:t xml:space="preserve"> Farhadi et al. (2023) </w:t>
      </w:r>
      <w:r w:rsidRPr="00C16C43">
        <w:rPr>
          <w:rFonts w:ascii="Sakkal Majalla" w:hAnsi="Sakkal Majalla" w:cs="Sakkal Majalla"/>
          <w:sz w:val="28"/>
          <w:szCs w:val="28"/>
          <w:rtl/>
        </w:rPr>
        <w:t>أن هذه المرحلة تتطلب تنسيقًا عاليًا وسرعة كبيرة في اتخاذ القرارات، إلى جانب وجود قيادة ميدانية فعّالة تُوجه الفرق وتوزّع المهام</w:t>
      </w:r>
      <w:r w:rsidRPr="00C16C43">
        <w:rPr>
          <w:rFonts w:ascii="Sakkal Majalla" w:hAnsi="Sakkal Majalla" w:cs="Sakkal Majalla"/>
          <w:sz w:val="28"/>
          <w:szCs w:val="28"/>
        </w:rPr>
        <w:t>.</w:t>
      </w:r>
    </w:p>
    <w:p w14:paraId="6B987D38" w14:textId="277A9523"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DE09EE" w:rsidRPr="00C16C43">
        <w:rPr>
          <w:rFonts w:ascii="Sakkal Majalla" w:hAnsi="Sakkal Majalla" w:cs="Sakkal Majalla"/>
          <w:b/>
          <w:bCs/>
          <w:sz w:val="28"/>
          <w:szCs w:val="28"/>
          <w:rtl/>
        </w:rPr>
        <w:t>مرحلة الاحتواء والسيطرة</w:t>
      </w:r>
    </w:p>
    <w:p w14:paraId="5408C65A" w14:textId="33C8514A"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يُقصد بها الإجراءات التي تُتخذ للحد من انتشار الحادث والسيطرة على آثاره. وتختلف إجراءات الاحتواء حسب نوع الطارئ، فقد تشمل السيطرة على حريق، أو احتواء تسرب كيميائي، أو عزل مصدر خلل ميكانيكي</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Zhang et al. (2023) </w:t>
      </w:r>
      <w:r w:rsidRPr="00C16C43">
        <w:rPr>
          <w:rFonts w:ascii="Sakkal Majalla" w:hAnsi="Sakkal Majalla" w:cs="Sakkal Majalla"/>
          <w:sz w:val="28"/>
          <w:szCs w:val="28"/>
          <w:rtl/>
        </w:rPr>
        <w:t>إلى أن فعالية هذه المرحلة تعتمد على مدى جاهزية المعدات والفرق الفنية، وسرعة الوصول إلى مصدر الخطر، ومدى دقة التحليل الميداني للحالة</w:t>
      </w:r>
      <w:r w:rsidRPr="00C16C43">
        <w:rPr>
          <w:rFonts w:ascii="Sakkal Majalla" w:hAnsi="Sakkal Majalla" w:cs="Sakkal Majalla"/>
          <w:sz w:val="28"/>
          <w:szCs w:val="28"/>
        </w:rPr>
        <w:t>.</w:t>
      </w:r>
    </w:p>
    <w:p w14:paraId="6FAE5205" w14:textId="53D390F0"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4. </w:t>
      </w:r>
      <w:r w:rsidR="00DE09EE" w:rsidRPr="00C16C43">
        <w:rPr>
          <w:rFonts w:ascii="Sakkal Majalla" w:hAnsi="Sakkal Majalla" w:cs="Sakkal Majalla"/>
          <w:b/>
          <w:bCs/>
          <w:sz w:val="28"/>
          <w:szCs w:val="28"/>
          <w:rtl/>
        </w:rPr>
        <w:t>مرحلة التعافي واستعادة النشاط</w:t>
      </w:r>
    </w:p>
    <w:p w14:paraId="0D8D762B" w14:textId="79870B49"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وهي المرحلة التي تبدأ بعد السيطرة على الحدث، وتشمل تقييم الأضرار، واستعادة العمليات التشغيلية، وتقديم الدعم النفسي للموظفين، وتحليل الدروس المستفادة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وتُشير دراسة</w:t>
      </w:r>
      <w:r w:rsidRPr="00C16C43">
        <w:rPr>
          <w:rFonts w:ascii="Sakkal Majalla" w:hAnsi="Sakkal Majalla" w:cs="Sakkal Majalla"/>
          <w:sz w:val="28"/>
          <w:szCs w:val="28"/>
        </w:rPr>
        <w:t xml:space="preserve"> Davis et al. (2023) </w:t>
      </w:r>
      <w:r w:rsidRPr="00C16C43">
        <w:rPr>
          <w:rFonts w:ascii="Sakkal Majalla" w:hAnsi="Sakkal Majalla" w:cs="Sakkal Majalla"/>
          <w:sz w:val="28"/>
          <w:szCs w:val="28"/>
          <w:rtl/>
        </w:rPr>
        <w:t xml:space="preserve">إلى أن مرحلة التعافي لا تقل أهمية عن المراحل السابقة، حيث تُحدد مدى قدرة المؤسسة على </w:t>
      </w:r>
      <w:r w:rsidRPr="00C16C43">
        <w:rPr>
          <w:rFonts w:ascii="Sakkal Majalla" w:hAnsi="Sakkal Majalla" w:cs="Sakkal Majalla"/>
          <w:sz w:val="28"/>
          <w:szCs w:val="28"/>
          <w:rtl/>
        </w:rPr>
        <w:lastRenderedPageBreak/>
        <w:t>العودة السريعة للعمل، وتُظهر مدى نضجها المؤسسي. كما تشمل هذه المرحلة إعداد تقرير الطوارئ، ومراجعة خطة الاستجابة بناءً على نتائج التقييم</w:t>
      </w:r>
      <w:r w:rsidRPr="00C16C43">
        <w:rPr>
          <w:rFonts w:ascii="Sakkal Majalla" w:hAnsi="Sakkal Majalla" w:cs="Sakkal Majalla"/>
          <w:sz w:val="28"/>
          <w:szCs w:val="28"/>
        </w:rPr>
        <w:t>.</w:t>
      </w:r>
    </w:p>
    <w:p w14:paraId="1E71A3C0" w14:textId="4CC8D9EB"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t>يرى الباحث</w:t>
      </w:r>
      <w:r w:rsidRPr="00C16C43">
        <w:rPr>
          <w:rFonts w:ascii="Sakkal Majalla" w:hAnsi="Sakkal Majalla" w:cs="Sakkal Majalla"/>
          <w:sz w:val="28"/>
          <w:szCs w:val="28"/>
          <w:rtl/>
        </w:rPr>
        <w:t xml:space="preserve"> أن فعالية كل مرحلة من مراحل الاستجابة تعتمد بشكل مباشر على المرحلة التي سبقتها، فغياب الإنذار المبكر يعطّل التدخل السريع، والتدخل غير المنظم يُعيق السيطرة، والسيطرة دون توثيق وتحليل يُفقد المؤسسة فرصة التعلّم والتطور. </w:t>
      </w:r>
    </w:p>
    <w:p w14:paraId="47AD6EFB" w14:textId="2BE6C095" w:rsidR="00DE09EE" w:rsidRPr="00377F56" w:rsidRDefault="00377F56" w:rsidP="00377F56">
      <w:pPr>
        <w:spacing w:before="100" w:beforeAutospacing="1" w:after="100" w:afterAutospacing="1" w:line="360" w:lineRule="auto"/>
        <w:jc w:val="both"/>
        <w:outlineLvl w:val="2"/>
        <w:rPr>
          <w:rFonts w:ascii="Sakkal Majalla" w:hAnsi="Sakkal Majalla" w:cs="Sakkal Majalla"/>
          <w:b/>
          <w:bCs/>
          <w:sz w:val="32"/>
          <w:szCs w:val="32"/>
        </w:rPr>
      </w:pPr>
      <w:bookmarkStart w:id="51" w:name="_Toc200811029"/>
      <w:r w:rsidRPr="00377F56">
        <w:rPr>
          <w:rFonts w:ascii="Sakkal Majalla" w:hAnsi="Sakkal Majalla" w:cs="Sakkal Majalla" w:hint="cs"/>
          <w:b/>
          <w:bCs/>
          <w:sz w:val="32"/>
          <w:szCs w:val="32"/>
          <w:rtl/>
        </w:rPr>
        <w:t xml:space="preserve">4.2.2 </w:t>
      </w:r>
      <w:r w:rsidR="00DE09EE" w:rsidRPr="00377F56">
        <w:rPr>
          <w:rFonts w:ascii="Sakkal Majalla" w:hAnsi="Sakkal Majalla" w:cs="Sakkal Majalla"/>
          <w:b/>
          <w:bCs/>
          <w:sz w:val="32"/>
          <w:szCs w:val="32"/>
        </w:rPr>
        <w:t xml:space="preserve"> </w:t>
      </w:r>
      <w:r w:rsidR="00DE09EE" w:rsidRPr="00377F56">
        <w:rPr>
          <w:rFonts w:ascii="Sakkal Majalla" w:hAnsi="Sakkal Majalla" w:cs="Sakkal Majalla"/>
          <w:b/>
          <w:bCs/>
          <w:sz w:val="32"/>
          <w:szCs w:val="32"/>
          <w:rtl/>
        </w:rPr>
        <w:t>مؤشرات قياس كفاءة الاستجابة للطوارئ</w:t>
      </w:r>
      <w:bookmarkEnd w:id="51"/>
    </w:p>
    <w:p w14:paraId="63876082" w14:textId="1690FBF3"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تُعد مؤشرات الأداء أداة أساسية لتقييم مدى فاعلية الاستجابة لحالات الطوارئ، إذ تسمح للمؤسسة بقياس أدائها بشكل كمي ونوعي، وتحليل الفجوات وتحسين الجاهزية المستقبلية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Sabri et al. (2023) </w:t>
      </w:r>
      <w:r w:rsidRPr="00C16C43">
        <w:rPr>
          <w:rFonts w:ascii="Sakkal Majalla" w:hAnsi="Sakkal Majalla" w:cs="Sakkal Majalla"/>
          <w:sz w:val="28"/>
          <w:szCs w:val="28"/>
          <w:rtl/>
        </w:rPr>
        <w:t>إلى أن المؤسسات المتقدمة لا تكتفي بوجود خطة طوارئ، بل تعتمد على نظام رقابي صارم يُقيّم كفاءة التنفيذ الفعلي من خلال مؤشرات أداء رئيسية</w:t>
      </w:r>
      <w:r w:rsidRPr="00C16C43">
        <w:rPr>
          <w:rFonts w:ascii="Sakkal Majalla" w:hAnsi="Sakkal Majalla" w:cs="Sakkal Majalla"/>
          <w:sz w:val="28"/>
          <w:szCs w:val="28"/>
        </w:rPr>
        <w:t>.</w:t>
      </w:r>
    </w:p>
    <w:p w14:paraId="5B8E4673" w14:textId="77777777" w:rsidR="00DE09EE" w:rsidRPr="00377F56" w:rsidRDefault="00DE09EE" w:rsidP="00C16C43">
      <w:pPr>
        <w:spacing w:before="100" w:beforeAutospacing="1" w:after="100" w:afterAutospacing="1" w:line="360" w:lineRule="auto"/>
        <w:jc w:val="both"/>
        <w:rPr>
          <w:rFonts w:ascii="Sakkal Majalla" w:hAnsi="Sakkal Majalla" w:cs="Sakkal Majalla"/>
          <w:b/>
          <w:bCs/>
          <w:sz w:val="28"/>
          <w:szCs w:val="28"/>
        </w:rPr>
      </w:pPr>
      <w:r w:rsidRPr="00377F56">
        <w:rPr>
          <w:rFonts w:ascii="Sakkal Majalla" w:hAnsi="Sakkal Majalla" w:cs="Sakkal Majalla"/>
          <w:b/>
          <w:bCs/>
          <w:sz w:val="28"/>
          <w:szCs w:val="28"/>
          <w:rtl/>
        </w:rPr>
        <w:t>وفيما يلي أهم هذه المؤشرات</w:t>
      </w:r>
      <w:r w:rsidRPr="00377F56">
        <w:rPr>
          <w:rFonts w:ascii="Sakkal Majalla" w:hAnsi="Sakkal Majalla" w:cs="Sakkal Majalla"/>
          <w:b/>
          <w:bCs/>
          <w:sz w:val="28"/>
          <w:szCs w:val="28"/>
        </w:rPr>
        <w:t>:</w:t>
      </w:r>
    </w:p>
    <w:p w14:paraId="7C3180D7" w14:textId="549E7F4C"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1. </w:t>
      </w:r>
      <w:r w:rsidR="00DE09EE" w:rsidRPr="00C16C43">
        <w:rPr>
          <w:rFonts w:ascii="Sakkal Majalla" w:hAnsi="Sakkal Majalla" w:cs="Sakkal Majalla"/>
          <w:b/>
          <w:bCs/>
          <w:sz w:val="28"/>
          <w:szCs w:val="28"/>
          <w:rtl/>
        </w:rPr>
        <w:t>زمن الاستجابة</w:t>
      </w:r>
    </w:p>
    <w:p w14:paraId="1228BADC" w14:textId="4F6568AE"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يُعد من أبرز المؤشرات، ويُقاس بالفترة الزمنية بين لحظة الإنذار ولحظة تدخل أول فريق طوارئ في موقع الحادث</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كلما قل الزمن، دل ذلك على فعالية نظم الإنذار، وكفاءة فرق الاستجابة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ويؤكد</w:t>
      </w:r>
      <w:r w:rsidRPr="00C16C43">
        <w:rPr>
          <w:rFonts w:ascii="Sakkal Majalla" w:hAnsi="Sakkal Majalla" w:cs="Sakkal Majalla"/>
          <w:sz w:val="28"/>
          <w:szCs w:val="28"/>
        </w:rPr>
        <w:t xml:space="preserve"> Zhang et al. (2023) </w:t>
      </w:r>
      <w:r w:rsidRPr="00C16C43">
        <w:rPr>
          <w:rFonts w:ascii="Sakkal Majalla" w:hAnsi="Sakkal Majalla" w:cs="Sakkal Majalla"/>
          <w:sz w:val="28"/>
          <w:szCs w:val="28"/>
          <w:rtl/>
        </w:rPr>
        <w:t>أن معيار "الدقائق الخمس الأولى" يعتبر حاسمًا في بيئات العمل عالية الخطورة مثل المصانع ومحطات النفط</w:t>
      </w:r>
      <w:r w:rsidRPr="00C16C43">
        <w:rPr>
          <w:rFonts w:ascii="Sakkal Majalla" w:hAnsi="Sakkal Majalla" w:cs="Sakkal Majalla"/>
          <w:sz w:val="28"/>
          <w:szCs w:val="28"/>
        </w:rPr>
        <w:t>.</w:t>
      </w:r>
    </w:p>
    <w:p w14:paraId="3F953C0D" w14:textId="0EFBE4A3" w:rsidR="00DE09EE" w:rsidRPr="00C16C43" w:rsidRDefault="00377F56" w:rsidP="00C16C43">
      <w:p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 xml:space="preserve">2. </w:t>
      </w:r>
      <w:r w:rsidR="00DE09EE" w:rsidRPr="00C16C43">
        <w:rPr>
          <w:rFonts w:ascii="Sakkal Majalla" w:hAnsi="Sakkal Majalla" w:cs="Sakkal Majalla"/>
          <w:b/>
          <w:bCs/>
          <w:sz w:val="28"/>
          <w:szCs w:val="28"/>
          <w:rtl/>
        </w:rPr>
        <w:t>نسبة تنفيذ الخطة بنجاح</w:t>
      </w:r>
    </w:p>
    <w:p w14:paraId="5B2D860E" w14:textId="0A5A75D3"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يُقصد بها مدى تنفيذ الخطوات المتفق عليها في خطة الطوارئ بدقة، مثل: الإخلاء الكامل، تأمين المنطقة، تفعيل فرق الدعم. وتُقاس هذه النسبة عبر تقارير ما بعد الحادث، والملاحظات الميدانية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ويُشير</w:t>
      </w:r>
      <w:r w:rsidRPr="00C16C43">
        <w:rPr>
          <w:rFonts w:ascii="Sakkal Majalla" w:hAnsi="Sakkal Majalla" w:cs="Sakkal Majalla"/>
          <w:sz w:val="28"/>
          <w:szCs w:val="28"/>
        </w:rPr>
        <w:t xml:space="preserve"> Farhadi et al. (2023) </w:t>
      </w:r>
      <w:r w:rsidRPr="00C16C43">
        <w:rPr>
          <w:rFonts w:ascii="Sakkal Majalla" w:hAnsi="Sakkal Majalla" w:cs="Sakkal Majalla"/>
          <w:sz w:val="28"/>
          <w:szCs w:val="28"/>
          <w:rtl/>
        </w:rPr>
        <w:t>إلى أن معدل نجاح تنفيذ الخطة يدل على وضوح الأدوار وتكرار التدريب</w:t>
      </w:r>
      <w:r w:rsidRPr="00C16C43">
        <w:rPr>
          <w:rFonts w:ascii="Sakkal Majalla" w:hAnsi="Sakkal Majalla" w:cs="Sakkal Majalla"/>
          <w:sz w:val="28"/>
          <w:szCs w:val="28"/>
        </w:rPr>
        <w:t>.</w:t>
      </w:r>
    </w:p>
    <w:p w14:paraId="7C7C9DED" w14:textId="129DB0A0"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3. </w:t>
      </w:r>
      <w:r w:rsidR="00DE09EE" w:rsidRPr="00C16C43">
        <w:rPr>
          <w:rFonts w:ascii="Sakkal Majalla" w:hAnsi="Sakkal Majalla" w:cs="Sakkal Majalla"/>
          <w:b/>
          <w:bCs/>
          <w:sz w:val="28"/>
          <w:szCs w:val="28"/>
          <w:rtl/>
        </w:rPr>
        <w:t>عدد الإصابات أو الخسائر البشرية</w:t>
      </w:r>
    </w:p>
    <w:p w14:paraId="53C37AF1" w14:textId="77777777"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كلما قلت الإصابات أو حالات الوفاة، دلّ ذلك على فعالية منظومة الاستجابة. وهذا المؤشر يُعد جوهريًا في تقييم النتائج الإنسانية للاستجابة</w:t>
      </w:r>
      <w:r w:rsidRPr="00C16C43">
        <w:rPr>
          <w:rFonts w:ascii="Sakkal Majalla" w:hAnsi="Sakkal Majalla" w:cs="Sakkal Majalla" w:hint="cs"/>
          <w:sz w:val="28"/>
          <w:szCs w:val="28"/>
          <w:lang w:bidi="ar-EG"/>
        </w:rPr>
        <w:t>.</w:t>
      </w:r>
    </w:p>
    <w:p w14:paraId="0D50547C" w14:textId="3A8776E3"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4. </w:t>
      </w:r>
      <w:r w:rsidR="00DE09EE" w:rsidRPr="00C16C43">
        <w:rPr>
          <w:rFonts w:ascii="Sakkal Majalla" w:hAnsi="Sakkal Majalla" w:cs="Sakkal Majalla"/>
          <w:b/>
          <w:bCs/>
          <w:sz w:val="28"/>
          <w:szCs w:val="28"/>
          <w:rtl/>
        </w:rPr>
        <w:t>مستوى التنسيق بين الوحدات</w:t>
      </w:r>
    </w:p>
    <w:p w14:paraId="5DC5BFDC" w14:textId="409F2E9B"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lang w:bidi="ar-EG"/>
        </w:rPr>
      </w:pPr>
      <w:r w:rsidRPr="00C16C43">
        <w:rPr>
          <w:rFonts w:ascii="Sakkal Majalla" w:hAnsi="Sakkal Majalla" w:cs="Sakkal Majalla" w:hint="cs"/>
          <w:sz w:val="28"/>
          <w:szCs w:val="28"/>
          <w:rtl/>
          <w:lang w:bidi="ar-EG"/>
        </w:rPr>
        <w:t>يُقاس من خلال عدد الرسائل المتبادلة، سرعة توصيل المعلومة، وضوح المسؤوليات، وتكامل الفرق</w:t>
      </w:r>
      <w:r w:rsidR="006C3CE9" w:rsidRPr="00C16C43">
        <w:rPr>
          <w:rFonts w:ascii="Sakkal Majalla" w:hAnsi="Sakkal Majalla" w:cs="Sakkal Majalla" w:hint="cs"/>
          <w:sz w:val="28"/>
          <w:szCs w:val="28"/>
          <w:rtl/>
          <w:lang w:bidi="ar-EG"/>
        </w:rPr>
        <w:t>،</w:t>
      </w:r>
      <w:r w:rsidRPr="00C16C43">
        <w:rPr>
          <w:rFonts w:ascii="Sakkal Majalla" w:hAnsi="Sakkal Majalla" w:cs="Sakkal Majalla" w:hint="cs"/>
          <w:sz w:val="28"/>
          <w:szCs w:val="28"/>
          <w:rtl/>
          <w:lang w:bidi="ar-EG"/>
        </w:rPr>
        <w:t xml:space="preserve"> وتُظهر دراسة</w:t>
      </w:r>
      <w:r w:rsidRPr="00C16C43">
        <w:rPr>
          <w:rFonts w:ascii="Sakkal Majalla" w:hAnsi="Sakkal Majalla" w:cs="Sakkal Majalla" w:hint="cs"/>
          <w:sz w:val="28"/>
          <w:szCs w:val="28"/>
          <w:lang w:bidi="ar-EG"/>
        </w:rPr>
        <w:t xml:space="preserve"> Davis et al. (2023) </w:t>
      </w:r>
      <w:r w:rsidRPr="00C16C43">
        <w:rPr>
          <w:rFonts w:ascii="Sakkal Majalla" w:hAnsi="Sakkal Majalla" w:cs="Sakkal Majalla" w:hint="cs"/>
          <w:sz w:val="28"/>
          <w:szCs w:val="28"/>
          <w:rtl/>
          <w:lang w:bidi="ar-EG"/>
        </w:rPr>
        <w:t>أن سوء التنسيق الداخلي أو مع الجهات الخارجية من أبرز أسباب فشل الاستجابة</w:t>
      </w:r>
      <w:r w:rsidRPr="00C16C43">
        <w:rPr>
          <w:rFonts w:ascii="Sakkal Majalla" w:hAnsi="Sakkal Majalla" w:cs="Sakkal Majalla" w:hint="cs"/>
          <w:sz w:val="28"/>
          <w:szCs w:val="28"/>
          <w:lang w:bidi="ar-EG"/>
        </w:rPr>
        <w:t>.</w:t>
      </w:r>
    </w:p>
    <w:p w14:paraId="065E3836" w14:textId="084BF3A2"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5. </w:t>
      </w:r>
      <w:r w:rsidR="00DE09EE" w:rsidRPr="00C16C43">
        <w:rPr>
          <w:rFonts w:ascii="Sakkal Majalla" w:hAnsi="Sakkal Majalla" w:cs="Sakkal Majalla"/>
          <w:b/>
          <w:bCs/>
          <w:sz w:val="28"/>
          <w:szCs w:val="28"/>
          <w:rtl/>
        </w:rPr>
        <w:t>زمن التعافي</w:t>
      </w:r>
    </w:p>
    <w:p w14:paraId="679F2890" w14:textId="6436DB12"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يشير إلى الفترة الزمنية التي تستغرقها المؤسسة للعودة إلى النشاط الطبيعي بعد الحدث، ويُعكس مدى كفاءة أنظمة الدعم، وتوفر خطط بديلة، وجاهزية الموارد الحيوية</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ويُعبر عن مدى قدرة المؤسسة على امتصاص الصدمة ومواصلة العمل</w:t>
      </w:r>
      <w:r w:rsidRPr="00C16C43">
        <w:rPr>
          <w:rFonts w:ascii="Sakkal Majalla" w:hAnsi="Sakkal Majalla" w:cs="Sakkal Majalla"/>
          <w:sz w:val="28"/>
          <w:szCs w:val="28"/>
        </w:rPr>
        <w:t>.</w:t>
      </w:r>
    </w:p>
    <w:p w14:paraId="5FE3F7F3" w14:textId="7CD367BE" w:rsidR="00DE09EE" w:rsidRPr="00C16C43" w:rsidRDefault="00377F56" w:rsidP="00C16C43">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6. </w:t>
      </w:r>
      <w:r w:rsidR="00DE09EE" w:rsidRPr="00C16C43">
        <w:rPr>
          <w:rFonts w:ascii="Sakkal Majalla" w:hAnsi="Sakkal Majalla" w:cs="Sakkal Majalla"/>
          <w:b/>
          <w:bCs/>
          <w:sz w:val="28"/>
          <w:szCs w:val="28"/>
          <w:rtl/>
        </w:rPr>
        <w:t>رضا العاملين والجهات المعنية</w:t>
      </w:r>
    </w:p>
    <w:p w14:paraId="47AC04BC" w14:textId="579F8C7B"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sz w:val="28"/>
          <w:szCs w:val="28"/>
          <w:rtl/>
        </w:rPr>
        <w:t>يُمكن قياسه من خلال استطلاعات ما بعد الحادث، لمعرفة مدى شعور العاملين بالأمان أثناء الأزمة، ورأيهم في فعالية الإجراءات</w:t>
      </w:r>
      <w:r w:rsidR="006C3CE9" w:rsidRPr="00C16C43">
        <w:rPr>
          <w:rFonts w:ascii="Sakkal Majalla" w:hAnsi="Sakkal Majalla" w:cs="Sakkal Majalla"/>
          <w:sz w:val="28"/>
          <w:szCs w:val="28"/>
          <w:rtl/>
        </w:rPr>
        <w:t>،</w:t>
      </w:r>
      <w:r w:rsidRPr="00C16C43">
        <w:rPr>
          <w:rFonts w:ascii="Sakkal Majalla" w:hAnsi="Sakkal Majalla" w:cs="Sakkal Majalla"/>
          <w:sz w:val="28"/>
          <w:szCs w:val="28"/>
          <w:rtl/>
        </w:rPr>
        <w:t xml:space="preserve"> وهو مؤشر يعكس البُعد الإنساني والثقافي للاستجابة</w:t>
      </w:r>
      <w:r w:rsidRPr="00C16C43">
        <w:rPr>
          <w:rFonts w:ascii="Sakkal Majalla" w:hAnsi="Sakkal Majalla" w:cs="Sakkal Majalla"/>
          <w:sz w:val="28"/>
          <w:szCs w:val="28"/>
        </w:rPr>
        <w:t>.</w:t>
      </w:r>
    </w:p>
    <w:p w14:paraId="40EE2665" w14:textId="77777777" w:rsidR="00DE09EE" w:rsidRPr="00C16C43" w:rsidRDefault="00DE09EE" w:rsidP="00377F56">
      <w:pPr>
        <w:spacing w:before="100" w:beforeAutospacing="1" w:after="100" w:afterAutospacing="1" w:line="360" w:lineRule="auto"/>
        <w:ind w:firstLine="706"/>
        <w:jc w:val="both"/>
        <w:rPr>
          <w:rFonts w:ascii="Sakkal Majalla" w:hAnsi="Sakkal Majalla" w:cs="Sakkal Majalla"/>
          <w:sz w:val="28"/>
          <w:szCs w:val="28"/>
        </w:rPr>
      </w:pPr>
      <w:r w:rsidRPr="00C16C43">
        <w:rPr>
          <w:rFonts w:ascii="Sakkal Majalla" w:hAnsi="Sakkal Majalla" w:cs="Sakkal Majalla"/>
          <w:b/>
          <w:bCs/>
          <w:sz w:val="28"/>
          <w:szCs w:val="28"/>
          <w:rtl/>
        </w:rPr>
        <w:t>يرى الباحث</w:t>
      </w:r>
      <w:r w:rsidRPr="00C16C43">
        <w:rPr>
          <w:rFonts w:ascii="Sakkal Majalla" w:hAnsi="Sakkal Majalla" w:cs="Sakkal Majalla"/>
          <w:sz w:val="28"/>
          <w:szCs w:val="28"/>
          <w:rtl/>
        </w:rPr>
        <w:t xml:space="preserve"> أن مؤشرات الأداء لا يجب أن تكون مجرد أرقام تُسجّل، بل أدوات تحليل ديناميكية تُستخدم لتطوير النظام باستمرار. كما أن الاعتماد على مؤشرات زمنية وبشرية وتشغيلية في آنٍ واحد يُمكّن المؤسسات من تكوين صورة شاملة عن استجابتها، وتحديد نقاط القوة والخلل. وفي حالة شركة أرامكو، فإن تطوير منظومة قياس فعالة هو مفتاح تحسين الأداء الوقائي وتعزيز الاستجابة المستقبلية للطوارئ</w:t>
      </w:r>
      <w:r w:rsidRPr="00C16C43">
        <w:rPr>
          <w:rFonts w:ascii="Sakkal Majalla" w:hAnsi="Sakkal Majalla" w:cs="Sakkal Majalla"/>
          <w:sz w:val="28"/>
          <w:szCs w:val="28"/>
        </w:rPr>
        <w:t>.</w:t>
      </w:r>
    </w:p>
    <w:bookmarkEnd w:id="35"/>
    <w:bookmarkEnd w:id="36"/>
    <w:bookmarkEnd w:id="37"/>
    <w:p w14:paraId="5F1540B2" w14:textId="41EE1306" w:rsidR="00FF635C" w:rsidRDefault="00FF635C" w:rsidP="00675D0E">
      <w:pPr>
        <w:spacing w:before="100" w:beforeAutospacing="1" w:after="100" w:afterAutospacing="1"/>
        <w:ind w:left="720"/>
        <w:jc w:val="right"/>
        <w:rPr>
          <w:rFonts w:cs="Sakkal Majalla"/>
          <w:b/>
          <w:bCs/>
          <w:sz w:val="24"/>
          <w:szCs w:val="32"/>
        </w:rPr>
        <w:sectPr w:rsidR="00FF635C" w:rsidSect="0058317C">
          <w:footerReference w:type="default" r:id="rId9"/>
          <w:pgSz w:w="11906" w:h="16838" w:code="9"/>
          <w:pgMar w:top="1440" w:right="1985" w:bottom="1440" w:left="1418" w:header="720" w:footer="720" w:gutter="567"/>
          <w:pgNumType w:start="1"/>
          <w:cols w:space="708"/>
          <w:bidi/>
          <w:rtlGutter/>
          <w:docGrid w:linePitch="360"/>
        </w:sectPr>
      </w:pPr>
    </w:p>
    <w:bookmarkEnd w:id="33"/>
    <w:bookmarkEnd w:id="34"/>
    <w:p w14:paraId="0794BBFE" w14:textId="77777777" w:rsidR="00C01B80" w:rsidRPr="00FF635C" w:rsidRDefault="00C01B80" w:rsidP="00C16C4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F635C">
        <w:rPr>
          <w:rFonts w:ascii="Sakkal Majalla" w:hAnsi="Sakkal Majalla" w:cs="Sakkal Majalla"/>
          <w:noProof/>
          <w:sz w:val="32"/>
          <w:szCs w:val="32"/>
        </w:rPr>
        <w:lastRenderedPageBreak/>
        <w:drawing>
          <wp:anchor distT="0" distB="0" distL="114300" distR="114300" simplePos="0" relativeHeight="251664384" behindDoc="1" locked="0" layoutInCell="1" allowOverlap="1" wp14:anchorId="3406258D" wp14:editId="12C4AA0F">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FF635C">
        <w:rPr>
          <w:rFonts w:ascii="Sakkal Majalla" w:eastAsia="Calibri" w:hAnsi="Sakkal Majalla" w:cs="Sakkal Majalla"/>
          <w:b/>
          <w:bCs/>
          <w:kern w:val="0"/>
          <w:sz w:val="32"/>
          <w:szCs w:val="32"/>
          <w:lang w:bidi="ar-EG"/>
          <w14:ligatures w14:val="none"/>
        </w:rPr>
        <w:t>Mid-Ocean University</w:t>
      </w:r>
    </w:p>
    <w:p w14:paraId="6FFCAB41" w14:textId="77777777" w:rsidR="00C01B80" w:rsidRPr="00FF635C" w:rsidRDefault="00C01B80" w:rsidP="00C16C4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F635C">
        <w:rPr>
          <w:rFonts w:ascii="Sakkal Majalla" w:eastAsia="Calibri" w:hAnsi="Sakkal Majalla" w:cs="Sakkal Majalla"/>
          <w:b/>
          <w:bCs/>
          <w:kern w:val="0"/>
          <w:sz w:val="32"/>
          <w:szCs w:val="32"/>
          <w:lang w:bidi="ar-EG"/>
          <w14:ligatures w14:val="none"/>
        </w:rPr>
        <w:t>College of Management</w:t>
      </w:r>
    </w:p>
    <w:p w14:paraId="4B42CE5B" w14:textId="6E4B0E90" w:rsidR="00C01B80" w:rsidRPr="00FF635C" w:rsidRDefault="00C01B80" w:rsidP="00C16C4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F635C">
        <w:rPr>
          <w:rFonts w:ascii="Sakkal Majalla" w:eastAsia="Calibri" w:hAnsi="Sakkal Majalla" w:cs="Sakkal Majalla"/>
          <w:b/>
          <w:bCs/>
          <w:kern w:val="0"/>
          <w:sz w:val="32"/>
          <w:szCs w:val="32"/>
          <w:lang w:bidi="ar-EG"/>
          <w14:ligatures w14:val="none"/>
        </w:rPr>
        <w:t>Specialization risk management</w:t>
      </w:r>
    </w:p>
    <w:p w14:paraId="5CF348B5" w14:textId="77777777" w:rsidR="00C01B80" w:rsidRPr="00C16C43" w:rsidRDefault="00C01B80" w:rsidP="00C16C43">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65B27FB4" w14:textId="77777777" w:rsidR="00C01B80" w:rsidRPr="00FF635C" w:rsidRDefault="00C01B80" w:rsidP="00FF635C">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FF635C">
        <w:rPr>
          <w:rFonts w:ascii="Sakkal Majalla" w:eastAsia="Calibri" w:hAnsi="Sakkal Majalla" w:cs="Sakkal Majalla"/>
          <w:b/>
          <w:bCs/>
          <w:kern w:val="0"/>
          <w:sz w:val="40"/>
          <w:szCs w:val="40"/>
          <w:lang w:val="en" w:bidi="ar-EG"/>
          <w14:ligatures w14:val="none"/>
        </w:rPr>
        <w:t>The Role of Risk Management in Enhancing Effective Emergency Response in Worksites: An Applied Study on Saudi Aramco</w:t>
      </w:r>
    </w:p>
    <w:p w14:paraId="37463055" w14:textId="77777777" w:rsidR="00C01B80" w:rsidRPr="00FF635C" w:rsidRDefault="00C01B80" w:rsidP="00FF635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F635C">
        <w:rPr>
          <w:rFonts w:ascii="Sakkal Majalla" w:eastAsia="Calibri" w:hAnsi="Sakkal Majalla" w:cs="Sakkal Majalla"/>
          <w:b/>
          <w:bCs/>
          <w:kern w:val="0"/>
          <w:sz w:val="36"/>
          <w:szCs w:val="36"/>
          <w:lang w:bidi="ar-EG"/>
          <w14:ligatures w14:val="none"/>
        </w:rPr>
        <w:t>Preparation</w:t>
      </w:r>
      <w:r w:rsidRPr="00FF635C">
        <w:rPr>
          <w:rFonts w:ascii="Sakkal Majalla" w:eastAsia="Calibri" w:hAnsi="Sakkal Majalla" w:cs="Sakkal Majalla"/>
          <w:b/>
          <w:bCs/>
          <w:kern w:val="0"/>
          <w:sz w:val="36"/>
          <w:szCs w:val="36"/>
          <w:rtl/>
          <w:lang w:bidi="ar-EG"/>
          <w14:ligatures w14:val="none"/>
        </w:rPr>
        <w:t>:</w:t>
      </w:r>
    </w:p>
    <w:p w14:paraId="1AB8EE98" w14:textId="68AA0B80" w:rsidR="00C01B80" w:rsidRPr="00FF635C" w:rsidRDefault="00DA1859" w:rsidP="00FF635C">
      <w:pPr>
        <w:bidi w:val="0"/>
        <w:spacing w:before="100" w:beforeAutospacing="1" w:after="100" w:afterAutospacing="1" w:line="360" w:lineRule="auto"/>
        <w:jc w:val="center"/>
        <w:rPr>
          <w:rFonts w:ascii="Sakkal Majalla" w:hAnsi="Sakkal Majalla" w:cs="Sakkal Majalla"/>
          <w:b/>
          <w:bCs/>
          <w:sz w:val="36"/>
          <w:szCs w:val="36"/>
        </w:rPr>
      </w:pPr>
      <w:bookmarkStart w:id="52" w:name="_Hlk181937364"/>
      <w:r>
        <w:rPr>
          <w:rFonts w:ascii="Sakkal Majalla" w:hAnsi="Sakkal Majalla" w:cs="Sakkal Majalla"/>
          <w:b/>
          <w:bCs/>
          <w:sz w:val="36"/>
          <w:szCs w:val="36"/>
        </w:rPr>
        <w:t>Marshad Suwayid Alkhaldi 243001425</w:t>
      </w:r>
    </w:p>
    <w:p w14:paraId="43A5FC29" w14:textId="77777777" w:rsidR="00C01B80" w:rsidRPr="00FF635C" w:rsidRDefault="00C01B80" w:rsidP="00FF635C">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FF635C">
        <w:rPr>
          <w:rFonts w:ascii="Sakkal Majalla" w:eastAsia="Calibri" w:hAnsi="Sakkal Majalla" w:cs="Sakkal Majalla"/>
          <w:b/>
          <w:bCs/>
          <w:sz w:val="36"/>
          <w:szCs w:val="36"/>
          <w:lang w:bidi="ar-EG"/>
        </w:rPr>
        <w:t>Supervision:</w:t>
      </w:r>
    </w:p>
    <w:p w14:paraId="51C77A8C" w14:textId="77777777" w:rsidR="00C01B80" w:rsidRPr="00FF635C" w:rsidRDefault="00C01B80" w:rsidP="00FF635C">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FF635C">
        <w:rPr>
          <w:rFonts w:ascii="Sakkal Majalla" w:eastAsia="Calibri" w:hAnsi="Sakkal Majalla" w:cs="Sakkal Majalla"/>
          <w:b/>
          <w:bCs/>
          <w:sz w:val="36"/>
          <w:szCs w:val="36"/>
          <w:lang w:bidi="ar-EG"/>
        </w:rPr>
        <w:t>Dr. Al faisal Abdelhameed Mohamed</w:t>
      </w:r>
    </w:p>
    <w:p w14:paraId="6CB53BE7" w14:textId="77777777" w:rsidR="00C01B80" w:rsidRPr="00FF635C" w:rsidRDefault="00C01B80" w:rsidP="00FF635C">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FF635C">
        <w:rPr>
          <w:rFonts w:ascii="Sakkal Majalla" w:eastAsia="Calibri" w:hAnsi="Sakkal Majalla" w:cs="Sakkal Majalla"/>
          <w:b/>
          <w:bCs/>
          <w:sz w:val="36"/>
          <w:szCs w:val="36"/>
          <w:lang w:bidi="ar-EG"/>
        </w:rPr>
        <w:t>Dr. Fayez Ali Jrad</w:t>
      </w:r>
    </w:p>
    <w:p w14:paraId="7FC7EE19" w14:textId="77777777" w:rsidR="00C01B80" w:rsidRPr="00FF635C" w:rsidRDefault="00C01B80" w:rsidP="00FF635C">
      <w:pPr>
        <w:bidi w:val="0"/>
        <w:spacing w:before="100" w:beforeAutospacing="1" w:after="100" w:afterAutospacing="1" w:line="360" w:lineRule="auto"/>
        <w:jc w:val="center"/>
        <w:rPr>
          <w:rFonts w:ascii="Sakkal Majalla" w:hAnsi="Sakkal Majalla" w:cs="Sakkal Majalla"/>
          <w:b/>
          <w:bCs/>
          <w:sz w:val="36"/>
          <w:szCs w:val="36"/>
          <w:u w:val="single"/>
        </w:rPr>
      </w:pPr>
      <w:r w:rsidRPr="00FF635C">
        <w:rPr>
          <w:rFonts w:ascii="Sakkal Majalla" w:eastAsia="Calibri" w:hAnsi="Sakkal Majalla" w:cs="Sakkal Majalla"/>
          <w:b/>
          <w:bCs/>
          <w:sz w:val="36"/>
          <w:szCs w:val="36"/>
          <w:lang w:bidi="ar-EG"/>
        </w:rPr>
        <w:t>1446 – 2025</w:t>
      </w:r>
      <w:bookmarkEnd w:id="52"/>
    </w:p>
    <w:p w14:paraId="233A0196" w14:textId="77777777" w:rsidR="00C01B80" w:rsidRPr="00C16C43" w:rsidRDefault="00C01B80" w:rsidP="00C16C43">
      <w:pPr>
        <w:bidi w:val="0"/>
        <w:spacing w:before="100" w:beforeAutospacing="1" w:after="100" w:afterAutospacing="1" w:line="360" w:lineRule="auto"/>
        <w:jc w:val="both"/>
        <w:rPr>
          <w:rFonts w:ascii="Sakkal Majalla" w:hAnsi="Sakkal Majalla" w:cs="Sakkal Majalla"/>
          <w:b/>
          <w:bCs/>
          <w:sz w:val="28"/>
          <w:szCs w:val="28"/>
        </w:rPr>
      </w:pPr>
    </w:p>
    <w:sectPr w:rsidR="00C01B80" w:rsidRPr="00C16C43" w:rsidSect="00C16C4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AA859" w14:textId="77777777" w:rsidR="00873B81" w:rsidRDefault="00873B81" w:rsidP="009125CE">
      <w:pPr>
        <w:spacing w:after="0" w:line="240" w:lineRule="auto"/>
      </w:pPr>
      <w:r>
        <w:separator/>
      </w:r>
    </w:p>
  </w:endnote>
  <w:endnote w:type="continuationSeparator" w:id="0">
    <w:p w14:paraId="5B967F62" w14:textId="77777777" w:rsidR="00873B81" w:rsidRDefault="00873B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bidi="ar-EG"/>
      </w:rPr>
      <w:id w:val="-377784359"/>
      <w:docPartObj>
        <w:docPartGallery w:val="Page Numbers (Bottom of Page)"/>
        <w:docPartUnique/>
      </w:docPartObj>
    </w:sdtPr>
    <w:sdtContent>
      <w:p w14:paraId="5461B4CF" w14:textId="77777777" w:rsidR="00C86060" w:rsidRDefault="00C86060">
        <w:pPr>
          <w:pStyle w:val="a4"/>
          <w:rPr>
            <w:lang w:bidi="ar-EG"/>
          </w:rPr>
        </w:pPr>
        <w:r>
          <w:rPr>
            <w:noProof/>
          </w:rPr>
          <mc:AlternateContent>
            <mc:Choice Requires="wps">
              <w:drawing>
                <wp:anchor distT="0" distB="0" distL="114300" distR="114300" simplePos="0" relativeHeight="251666432" behindDoc="0" locked="0" layoutInCell="1" allowOverlap="1" wp14:anchorId="43623B05" wp14:editId="2A7F1625">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1898936" w14:textId="77777777" w:rsidR="00C86060" w:rsidRDefault="00C86060">
                              <w:pPr>
                                <w:jc w:val="center"/>
                              </w:pPr>
                              <w:r>
                                <w:fldChar w:fldCharType="begin"/>
                              </w:r>
                              <w:r>
                                <w:instrText xml:space="preserve"> PAGE    \* MERGEFORMAT </w:instrText>
                              </w:r>
                              <w:r>
                                <w:fldChar w:fldCharType="separate"/>
                              </w:r>
                              <w:r w:rsidR="00675D0E">
                                <w:rPr>
                                  <w:noProof/>
                                  <w:rtl/>
                                </w:rPr>
                                <w:t>10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3623B0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1898936" w14:textId="77777777" w:rsidR="00C86060" w:rsidRDefault="00C86060">
                        <w:pPr>
                          <w:jc w:val="center"/>
                        </w:pPr>
                        <w:r>
                          <w:fldChar w:fldCharType="begin"/>
                        </w:r>
                        <w:r>
                          <w:instrText xml:space="preserve"> PAGE    \* MERGEFORMAT </w:instrText>
                        </w:r>
                        <w:r>
                          <w:fldChar w:fldCharType="separate"/>
                        </w:r>
                        <w:r w:rsidR="00675D0E">
                          <w:rPr>
                            <w:noProof/>
                            <w:rtl/>
                          </w:rPr>
                          <w:t>10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8814F6C" wp14:editId="43D0D519">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6CC9D48"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DA75" w14:textId="2FEE84F8" w:rsidR="00C86060" w:rsidRDefault="00C86060">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6B743" w14:textId="77777777" w:rsidR="00873B81" w:rsidRDefault="00873B81" w:rsidP="009125CE">
      <w:pPr>
        <w:spacing w:after="0" w:line="240" w:lineRule="auto"/>
      </w:pPr>
      <w:r>
        <w:separator/>
      </w:r>
    </w:p>
  </w:footnote>
  <w:footnote w:type="continuationSeparator" w:id="0">
    <w:p w14:paraId="1D049E2D" w14:textId="77777777" w:rsidR="00873B81" w:rsidRDefault="00873B8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D0C14"/>
    <w:multiLevelType w:val="hybridMultilevel"/>
    <w:tmpl w:val="1550F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B29A8"/>
    <w:multiLevelType w:val="hybridMultilevel"/>
    <w:tmpl w:val="AEBAB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07F58"/>
    <w:multiLevelType w:val="hybridMultilevel"/>
    <w:tmpl w:val="25241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D2AE6"/>
    <w:multiLevelType w:val="hybridMultilevel"/>
    <w:tmpl w:val="E286D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423948"/>
    <w:multiLevelType w:val="hybridMultilevel"/>
    <w:tmpl w:val="79D20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896996"/>
    <w:multiLevelType w:val="hybridMultilevel"/>
    <w:tmpl w:val="BED0B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301D1"/>
    <w:multiLevelType w:val="hybridMultilevel"/>
    <w:tmpl w:val="BCE8B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FE793B"/>
    <w:multiLevelType w:val="hybridMultilevel"/>
    <w:tmpl w:val="4886C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8E7A90"/>
    <w:multiLevelType w:val="hybridMultilevel"/>
    <w:tmpl w:val="4D24CDBC"/>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DB2662"/>
    <w:multiLevelType w:val="hybridMultilevel"/>
    <w:tmpl w:val="87FC3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F1180"/>
    <w:multiLevelType w:val="multilevel"/>
    <w:tmpl w:val="F200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3619A"/>
    <w:multiLevelType w:val="hybridMultilevel"/>
    <w:tmpl w:val="1DFA4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FD68CD"/>
    <w:multiLevelType w:val="hybridMultilevel"/>
    <w:tmpl w:val="D8C0D8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5E2E19"/>
    <w:multiLevelType w:val="hybridMultilevel"/>
    <w:tmpl w:val="7F9C2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234A1A"/>
    <w:multiLevelType w:val="hybridMultilevel"/>
    <w:tmpl w:val="00866358"/>
    <w:lvl w:ilvl="0" w:tplc="BA749FC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D27CE1"/>
    <w:multiLevelType w:val="hybridMultilevel"/>
    <w:tmpl w:val="89340A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79A6B63"/>
    <w:multiLevelType w:val="hybridMultilevel"/>
    <w:tmpl w:val="FB4899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E070E8"/>
    <w:multiLevelType w:val="hybridMultilevel"/>
    <w:tmpl w:val="A394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313E9F"/>
    <w:multiLevelType w:val="hybridMultilevel"/>
    <w:tmpl w:val="E5BA9D26"/>
    <w:lvl w:ilvl="0" w:tplc="9920DD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96462A1"/>
    <w:multiLevelType w:val="hybridMultilevel"/>
    <w:tmpl w:val="01741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8C7B11"/>
    <w:multiLevelType w:val="hybridMultilevel"/>
    <w:tmpl w:val="25241968"/>
    <w:lvl w:ilvl="0" w:tplc="0409000F">
      <w:start w:val="1"/>
      <w:numFmt w:val="decimal"/>
      <w:lvlText w:val="%1."/>
      <w:lvlJc w:val="left"/>
      <w:pPr>
        <w:ind w:left="12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1E4BC8"/>
    <w:multiLevelType w:val="multilevel"/>
    <w:tmpl w:val="E6B8B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1099680">
    <w:abstractNumId w:val="19"/>
  </w:num>
  <w:num w:numId="2" w16cid:durableId="1482623366">
    <w:abstractNumId w:val="9"/>
  </w:num>
  <w:num w:numId="3" w16cid:durableId="762723202">
    <w:abstractNumId w:val="5"/>
  </w:num>
  <w:num w:numId="4" w16cid:durableId="140116893">
    <w:abstractNumId w:val="11"/>
  </w:num>
  <w:num w:numId="5" w16cid:durableId="22022927">
    <w:abstractNumId w:val="0"/>
  </w:num>
  <w:num w:numId="6" w16cid:durableId="815803066">
    <w:abstractNumId w:val="6"/>
  </w:num>
  <w:num w:numId="7" w16cid:durableId="847017125">
    <w:abstractNumId w:val="4"/>
  </w:num>
  <w:num w:numId="8" w16cid:durableId="1399551633">
    <w:abstractNumId w:val="7"/>
  </w:num>
  <w:num w:numId="9" w16cid:durableId="1586765378">
    <w:abstractNumId w:val="18"/>
  </w:num>
  <w:num w:numId="10" w16cid:durableId="1689673685">
    <w:abstractNumId w:val="1"/>
  </w:num>
  <w:num w:numId="11" w16cid:durableId="252129657">
    <w:abstractNumId w:val="12"/>
  </w:num>
  <w:num w:numId="12" w16cid:durableId="437875211">
    <w:abstractNumId w:val="14"/>
  </w:num>
  <w:num w:numId="13" w16cid:durableId="936668892">
    <w:abstractNumId w:val="8"/>
  </w:num>
  <w:num w:numId="14" w16cid:durableId="348264816">
    <w:abstractNumId w:val="23"/>
  </w:num>
  <w:num w:numId="15" w16cid:durableId="655184473">
    <w:abstractNumId w:val="22"/>
  </w:num>
  <w:num w:numId="16" w16cid:durableId="1707824865">
    <w:abstractNumId w:val="2"/>
  </w:num>
  <w:num w:numId="17" w16cid:durableId="2111970753">
    <w:abstractNumId w:val="16"/>
  </w:num>
  <w:num w:numId="18" w16cid:durableId="1533029354">
    <w:abstractNumId w:val="3"/>
  </w:num>
  <w:num w:numId="19" w16cid:durableId="1189105094">
    <w:abstractNumId w:val="17"/>
  </w:num>
  <w:num w:numId="20" w16cid:durableId="346443471">
    <w:abstractNumId w:val="13"/>
  </w:num>
  <w:num w:numId="21" w16cid:durableId="122425248">
    <w:abstractNumId w:val="21"/>
  </w:num>
  <w:num w:numId="22" w16cid:durableId="1339692392">
    <w:abstractNumId w:val="15"/>
  </w:num>
  <w:num w:numId="23" w16cid:durableId="811756032">
    <w:abstractNumId w:val="10"/>
  </w:num>
  <w:num w:numId="24" w16cid:durableId="791166213">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B3E"/>
    <w:rsid w:val="00001C26"/>
    <w:rsid w:val="0000496A"/>
    <w:rsid w:val="00025858"/>
    <w:rsid w:val="0003466A"/>
    <w:rsid w:val="000358AF"/>
    <w:rsid w:val="00036798"/>
    <w:rsid w:val="00037A28"/>
    <w:rsid w:val="00046EC0"/>
    <w:rsid w:val="00063462"/>
    <w:rsid w:val="00064333"/>
    <w:rsid w:val="0007128D"/>
    <w:rsid w:val="0007316D"/>
    <w:rsid w:val="00084FA0"/>
    <w:rsid w:val="00085942"/>
    <w:rsid w:val="00086AC3"/>
    <w:rsid w:val="00091B2A"/>
    <w:rsid w:val="00091D48"/>
    <w:rsid w:val="00092E34"/>
    <w:rsid w:val="00096A13"/>
    <w:rsid w:val="00096F7D"/>
    <w:rsid w:val="000B0F10"/>
    <w:rsid w:val="000B1BF1"/>
    <w:rsid w:val="000B34DF"/>
    <w:rsid w:val="000B660B"/>
    <w:rsid w:val="000C3E5F"/>
    <w:rsid w:val="000C412A"/>
    <w:rsid w:val="000C65C9"/>
    <w:rsid w:val="000C75BA"/>
    <w:rsid w:val="000D19C7"/>
    <w:rsid w:val="000D1C2E"/>
    <w:rsid w:val="000D47B0"/>
    <w:rsid w:val="000D5087"/>
    <w:rsid w:val="000E1433"/>
    <w:rsid w:val="000E4AC4"/>
    <w:rsid w:val="000E759B"/>
    <w:rsid w:val="000F44B4"/>
    <w:rsid w:val="00105955"/>
    <w:rsid w:val="00105CB0"/>
    <w:rsid w:val="00107D5B"/>
    <w:rsid w:val="00110711"/>
    <w:rsid w:val="00111530"/>
    <w:rsid w:val="00114843"/>
    <w:rsid w:val="00115D9A"/>
    <w:rsid w:val="00116918"/>
    <w:rsid w:val="00116B90"/>
    <w:rsid w:val="001311B7"/>
    <w:rsid w:val="00137D8A"/>
    <w:rsid w:val="00143770"/>
    <w:rsid w:val="0015653E"/>
    <w:rsid w:val="0015718F"/>
    <w:rsid w:val="00160179"/>
    <w:rsid w:val="00164E20"/>
    <w:rsid w:val="00166459"/>
    <w:rsid w:val="00183F18"/>
    <w:rsid w:val="0018532E"/>
    <w:rsid w:val="001902DB"/>
    <w:rsid w:val="0019509E"/>
    <w:rsid w:val="001A176B"/>
    <w:rsid w:val="001A21F4"/>
    <w:rsid w:val="001A29A6"/>
    <w:rsid w:val="001A7BD6"/>
    <w:rsid w:val="001B7DA9"/>
    <w:rsid w:val="001B7DF0"/>
    <w:rsid w:val="001C2162"/>
    <w:rsid w:val="001C62E1"/>
    <w:rsid w:val="001D3C75"/>
    <w:rsid w:val="001D5653"/>
    <w:rsid w:val="001E2118"/>
    <w:rsid w:val="001E2AC1"/>
    <w:rsid w:val="001E2C13"/>
    <w:rsid w:val="001F299F"/>
    <w:rsid w:val="001F559C"/>
    <w:rsid w:val="001F655A"/>
    <w:rsid w:val="0020265D"/>
    <w:rsid w:val="00202734"/>
    <w:rsid w:val="0021352D"/>
    <w:rsid w:val="00215A9C"/>
    <w:rsid w:val="00234D7A"/>
    <w:rsid w:val="002369BB"/>
    <w:rsid w:val="00237137"/>
    <w:rsid w:val="0024577E"/>
    <w:rsid w:val="00256594"/>
    <w:rsid w:val="0026410D"/>
    <w:rsid w:val="00264F56"/>
    <w:rsid w:val="0026697E"/>
    <w:rsid w:val="00286DFA"/>
    <w:rsid w:val="00292E64"/>
    <w:rsid w:val="00295FBC"/>
    <w:rsid w:val="002961CB"/>
    <w:rsid w:val="002A552C"/>
    <w:rsid w:val="002B02FA"/>
    <w:rsid w:val="002B2413"/>
    <w:rsid w:val="002B5619"/>
    <w:rsid w:val="002B6180"/>
    <w:rsid w:val="002B61BC"/>
    <w:rsid w:val="002C20E5"/>
    <w:rsid w:val="002C23AD"/>
    <w:rsid w:val="002C2B8D"/>
    <w:rsid w:val="002C36F2"/>
    <w:rsid w:val="002C6305"/>
    <w:rsid w:val="002C77CF"/>
    <w:rsid w:val="002D01FF"/>
    <w:rsid w:val="002D33C0"/>
    <w:rsid w:val="002D35AE"/>
    <w:rsid w:val="002D7BC4"/>
    <w:rsid w:val="002E4B71"/>
    <w:rsid w:val="002E5524"/>
    <w:rsid w:val="002F08DA"/>
    <w:rsid w:val="002F10A1"/>
    <w:rsid w:val="002F2DE9"/>
    <w:rsid w:val="00302B35"/>
    <w:rsid w:val="00303EBC"/>
    <w:rsid w:val="00305DAC"/>
    <w:rsid w:val="00315DE4"/>
    <w:rsid w:val="0031780B"/>
    <w:rsid w:val="003237C5"/>
    <w:rsid w:val="00326062"/>
    <w:rsid w:val="00327551"/>
    <w:rsid w:val="003338F4"/>
    <w:rsid w:val="00336610"/>
    <w:rsid w:val="0033735C"/>
    <w:rsid w:val="0034144F"/>
    <w:rsid w:val="00345C8F"/>
    <w:rsid w:val="00354D58"/>
    <w:rsid w:val="00360B3E"/>
    <w:rsid w:val="00361473"/>
    <w:rsid w:val="00374EB0"/>
    <w:rsid w:val="00377F56"/>
    <w:rsid w:val="003845C4"/>
    <w:rsid w:val="00385F58"/>
    <w:rsid w:val="003940FC"/>
    <w:rsid w:val="003955AC"/>
    <w:rsid w:val="003979FA"/>
    <w:rsid w:val="00397B81"/>
    <w:rsid w:val="00397C89"/>
    <w:rsid w:val="003A4F8E"/>
    <w:rsid w:val="003B16FA"/>
    <w:rsid w:val="003B6A6D"/>
    <w:rsid w:val="003C3E4E"/>
    <w:rsid w:val="003D263F"/>
    <w:rsid w:val="003D3E61"/>
    <w:rsid w:val="003D63F3"/>
    <w:rsid w:val="003D6E88"/>
    <w:rsid w:val="003F2602"/>
    <w:rsid w:val="003F56CB"/>
    <w:rsid w:val="003F6C6D"/>
    <w:rsid w:val="003F7733"/>
    <w:rsid w:val="004012E4"/>
    <w:rsid w:val="0040530B"/>
    <w:rsid w:val="00407204"/>
    <w:rsid w:val="004076D3"/>
    <w:rsid w:val="00410478"/>
    <w:rsid w:val="00411268"/>
    <w:rsid w:val="004130AD"/>
    <w:rsid w:val="00414F19"/>
    <w:rsid w:val="004163A6"/>
    <w:rsid w:val="00422FA1"/>
    <w:rsid w:val="0042547A"/>
    <w:rsid w:val="00431867"/>
    <w:rsid w:val="00431B5C"/>
    <w:rsid w:val="00435371"/>
    <w:rsid w:val="00444FBE"/>
    <w:rsid w:val="00450F46"/>
    <w:rsid w:val="0045145D"/>
    <w:rsid w:val="0045487E"/>
    <w:rsid w:val="00461108"/>
    <w:rsid w:val="00461453"/>
    <w:rsid w:val="004617E8"/>
    <w:rsid w:val="004635B0"/>
    <w:rsid w:val="00482BBB"/>
    <w:rsid w:val="00484091"/>
    <w:rsid w:val="00484BA7"/>
    <w:rsid w:val="004870C2"/>
    <w:rsid w:val="00496B38"/>
    <w:rsid w:val="004A2806"/>
    <w:rsid w:val="004B1801"/>
    <w:rsid w:val="004B5722"/>
    <w:rsid w:val="004B7935"/>
    <w:rsid w:val="004C19EE"/>
    <w:rsid w:val="004C1C9D"/>
    <w:rsid w:val="004C27CD"/>
    <w:rsid w:val="004C360B"/>
    <w:rsid w:val="004C645F"/>
    <w:rsid w:val="004D0882"/>
    <w:rsid w:val="004D3528"/>
    <w:rsid w:val="004D501E"/>
    <w:rsid w:val="004E358B"/>
    <w:rsid w:val="004E4B9D"/>
    <w:rsid w:val="004E6B36"/>
    <w:rsid w:val="0051471C"/>
    <w:rsid w:val="00522F97"/>
    <w:rsid w:val="0053445A"/>
    <w:rsid w:val="005360FE"/>
    <w:rsid w:val="00543867"/>
    <w:rsid w:val="00545834"/>
    <w:rsid w:val="00550EE9"/>
    <w:rsid w:val="00551629"/>
    <w:rsid w:val="00553D54"/>
    <w:rsid w:val="0055456B"/>
    <w:rsid w:val="00555241"/>
    <w:rsid w:val="00556A1D"/>
    <w:rsid w:val="0057046F"/>
    <w:rsid w:val="00574B5E"/>
    <w:rsid w:val="0058317C"/>
    <w:rsid w:val="00584E3A"/>
    <w:rsid w:val="00587774"/>
    <w:rsid w:val="00587DD1"/>
    <w:rsid w:val="00590B27"/>
    <w:rsid w:val="00592E7E"/>
    <w:rsid w:val="005A5A74"/>
    <w:rsid w:val="005C11EA"/>
    <w:rsid w:val="005C56BA"/>
    <w:rsid w:val="005C680C"/>
    <w:rsid w:val="005C699D"/>
    <w:rsid w:val="005D6F4C"/>
    <w:rsid w:val="005E24B1"/>
    <w:rsid w:val="005E6C9A"/>
    <w:rsid w:val="005F794A"/>
    <w:rsid w:val="00600CCC"/>
    <w:rsid w:val="00602E61"/>
    <w:rsid w:val="00612961"/>
    <w:rsid w:val="00617523"/>
    <w:rsid w:val="00620B32"/>
    <w:rsid w:val="00622592"/>
    <w:rsid w:val="0062506D"/>
    <w:rsid w:val="0062695B"/>
    <w:rsid w:val="00626ADA"/>
    <w:rsid w:val="0062761F"/>
    <w:rsid w:val="006308E9"/>
    <w:rsid w:val="00632FE9"/>
    <w:rsid w:val="00633749"/>
    <w:rsid w:val="0064255A"/>
    <w:rsid w:val="006451A0"/>
    <w:rsid w:val="00647633"/>
    <w:rsid w:val="00647AC9"/>
    <w:rsid w:val="00652E27"/>
    <w:rsid w:val="0065579D"/>
    <w:rsid w:val="00667458"/>
    <w:rsid w:val="00675D0E"/>
    <w:rsid w:val="006762B7"/>
    <w:rsid w:val="00681C47"/>
    <w:rsid w:val="006858BA"/>
    <w:rsid w:val="00690410"/>
    <w:rsid w:val="0069127B"/>
    <w:rsid w:val="006948DE"/>
    <w:rsid w:val="00697529"/>
    <w:rsid w:val="006A1531"/>
    <w:rsid w:val="006A1AF8"/>
    <w:rsid w:val="006A5A45"/>
    <w:rsid w:val="006A7B92"/>
    <w:rsid w:val="006B4D2F"/>
    <w:rsid w:val="006B69A2"/>
    <w:rsid w:val="006C2AED"/>
    <w:rsid w:val="006C3CE9"/>
    <w:rsid w:val="006D155B"/>
    <w:rsid w:val="006D5F5A"/>
    <w:rsid w:val="006E4F5E"/>
    <w:rsid w:val="006E5FCD"/>
    <w:rsid w:val="006E7652"/>
    <w:rsid w:val="006F02D8"/>
    <w:rsid w:val="006F2B0C"/>
    <w:rsid w:val="006F575C"/>
    <w:rsid w:val="007067C9"/>
    <w:rsid w:val="00706966"/>
    <w:rsid w:val="00706EE8"/>
    <w:rsid w:val="007105E6"/>
    <w:rsid w:val="0071450D"/>
    <w:rsid w:val="00720785"/>
    <w:rsid w:val="00726CD6"/>
    <w:rsid w:val="007308D0"/>
    <w:rsid w:val="0073443F"/>
    <w:rsid w:val="007432F1"/>
    <w:rsid w:val="00751332"/>
    <w:rsid w:val="00754796"/>
    <w:rsid w:val="00756547"/>
    <w:rsid w:val="00766F9A"/>
    <w:rsid w:val="00776269"/>
    <w:rsid w:val="00776C6A"/>
    <w:rsid w:val="0078296D"/>
    <w:rsid w:val="007850E9"/>
    <w:rsid w:val="00786F22"/>
    <w:rsid w:val="007872D4"/>
    <w:rsid w:val="00790646"/>
    <w:rsid w:val="00790974"/>
    <w:rsid w:val="007A40DD"/>
    <w:rsid w:val="007A70B0"/>
    <w:rsid w:val="007A771A"/>
    <w:rsid w:val="007B07C5"/>
    <w:rsid w:val="007B0E54"/>
    <w:rsid w:val="007B3ABE"/>
    <w:rsid w:val="007C119E"/>
    <w:rsid w:val="007C536E"/>
    <w:rsid w:val="007C6B33"/>
    <w:rsid w:val="007D0CCC"/>
    <w:rsid w:val="007D1DF9"/>
    <w:rsid w:val="007D4E34"/>
    <w:rsid w:val="007E2446"/>
    <w:rsid w:val="007E3A20"/>
    <w:rsid w:val="007F1575"/>
    <w:rsid w:val="007F3178"/>
    <w:rsid w:val="007F5008"/>
    <w:rsid w:val="00801B02"/>
    <w:rsid w:val="00807E6C"/>
    <w:rsid w:val="0081177E"/>
    <w:rsid w:val="00811D6F"/>
    <w:rsid w:val="00812097"/>
    <w:rsid w:val="0081278E"/>
    <w:rsid w:val="00826229"/>
    <w:rsid w:val="00827877"/>
    <w:rsid w:val="00834BBC"/>
    <w:rsid w:val="00835D71"/>
    <w:rsid w:val="00837CF2"/>
    <w:rsid w:val="0084209A"/>
    <w:rsid w:val="00843286"/>
    <w:rsid w:val="00845E7B"/>
    <w:rsid w:val="00854620"/>
    <w:rsid w:val="008664CB"/>
    <w:rsid w:val="008679A8"/>
    <w:rsid w:val="008701C1"/>
    <w:rsid w:val="00873B81"/>
    <w:rsid w:val="00877AAC"/>
    <w:rsid w:val="00882F95"/>
    <w:rsid w:val="00886085"/>
    <w:rsid w:val="00890407"/>
    <w:rsid w:val="00890456"/>
    <w:rsid w:val="008904E1"/>
    <w:rsid w:val="0089199B"/>
    <w:rsid w:val="00894212"/>
    <w:rsid w:val="00894F97"/>
    <w:rsid w:val="0089593E"/>
    <w:rsid w:val="008A0395"/>
    <w:rsid w:val="008A45CE"/>
    <w:rsid w:val="008A594B"/>
    <w:rsid w:val="008A6657"/>
    <w:rsid w:val="008A674E"/>
    <w:rsid w:val="008B277D"/>
    <w:rsid w:val="008B5960"/>
    <w:rsid w:val="008B7037"/>
    <w:rsid w:val="008B72E0"/>
    <w:rsid w:val="008C1895"/>
    <w:rsid w:val="008D1A89"/>
    <w:rsid w:val="008D3AF4"/>
    <w:rsid w:val="008D4F23"/>
    <w:rsid w:val="008D5C71"/>
    <w:rsid w:val="008E067D"/>
    <w:rsid w:val="008E2EAB"/>
    <w:rsid w:val="008E3830"/>
    <w:rsid w:val="008F0396"/>
    <w:rsid w:val="008F1EAE"/>
    <w:rsid w:val="008F70AC"/>
    <w:rsid w:val="009049E6"/>
    <w:rsid w:val="009053D5"/>
    <w:rsid w:val="009125CE"/>
    <w:rsid w:val="0091426A"/>
    <w:rsid w:val="00914FFA"/>
    <w:rsid w:val="009150BD"/>
    <w:rsid w:val="00917C9E"/>
    <w:rsid w:val="009240EC"/>
    <w:rsid w:val="00927A04"/>
    <w:rsid w:val="00930A2F"/>
    <w:rsid w:val="00934DFD"/>
    <w:rsid w:val="00937B61"/>
    <w:rsid w:val="00947AEC"/>
    <w:rsid w:val="00951FDC"/>
    <w:rsid w:val="009533F7"/>
    <w:rsid w:val="0096002A"/>
    <w:rsid w:val="00960915"/>
    <w:rsid w:val="009619A1"/>
    <w:rsid w:val="00961D54"/>
    <w:rsid w:val="00961EE2"/>
    <w:rsid w:val="009668C2"/>
    <w:rsid w:val="009741F6"/>
    <w:rsid w:val="00974680"/>
    <w:rsid w:val="00974D36"/>
    <w:rsid w:val="00982A32"/>
    <w:rsid w:val="009835A7"/>
    <w:rsid w:val="00985D03"/>
    <w:rsid w:val="00991CC5"/>
    <w:rsid w:val="00992F7A"/>
    <w:rsid w:val="00993526"/>
    <w:rsid w:val="009A66B4"/>
    <w:rsid w:val="009B0DCD"/>
    <w:rsid w:val="009B0E77"/>
    <w:rsid w:val="009B6888"/>
    <w:rsid w:val="009C0161"/>
    <w:rsid w:val="009C57BC"/>
    <w:rsid w:val="009C7A49"/>
    <w:rsid w:val="009D108D"/>
    <w:rsid w:val="009D32F4"/>
    <w:rsid w:val="009D43A5"/>
    <w:rsid w:val="009E05A7"/>
    <w:rsid w:val="009E1436"/>
    <w:rsid w:val="009E1A5B"/>
    <w:rsid w:val="009E1D7A"/>
    <w:rsid w:val="009E5668"/>
    <w:rsid w:val="009E7B1A"/>
    <w:rsid w:val="009F1F0F"/>
    <w:rsid w:val="009F5589"/>
    <w:rsid w:val="00A02D3C"/>
    <w:rsid w:val="00A03119"/>
    <w:rsid w:val="00A03469"/>
    <w:rsid w:val="00A17A31"/>
    <w:rsid w:val="00A21B08"/>
    <w:rsid w:val="00A25458"/>
    <w:rsid w:val="00A26787"/>
    <w:rsid w:val="00A33820"/>
    <w:rsid w:val="00A35D8B"/>
    <w:rsid w:val="00A474FE"/>
    <w:rsid w:val="00A4762F"/>
    <w:rsid w:val="00A64DFA"/>
    <w:rsid w:val="00A67BC3"/>
    <w:rsid w:val="00A72EB5"/>
    <w:rsid w:val="00A73D65"/>
    <w:rsid w:val="00A74F76"/>
    <w:rsid w:val="00A75C84"/>
    <w:rsid w:val="00A804FF"/>
    <w:rsid w:val="00A83810"/>
    <w:rsid w:val="00A86C0E"/>
    <w:rsid w:val="00A90498"/>
    <w:rsid w:val="00A91AE0"/>
    <w:rsid w:val="00A94018"/>
    <w:rsid w:val="00A95E18"/>
    <w:rsid w:val="00A96620"/>
    <w:rsid w:val="00A96C36"/>
    <w:rsid w:val="00A978DE"/>
    <w:rsid w:val="00AA38ED"/>
    <w:rsid w:val="00AA5742"/>
    <w:rsid w:val="00AA79E9"/>
    <w:rsid w:val="00AB0A0B"/>
    <w:rsid w:val="00AB0A70"/>
    <w:rsid w:val="00AC11ED"/>
    <w:rsid w:val="00AD4BE2"/>
    <w:rsid w:val="00AD53ED"/>
    <w:rsid w:val="00AE14F3"/>
    <w:rsid w:val="00AE76D4"/>
    <w:rsid w:val="00AF243A"/>
    <w:rsid w:val="00AF2815"/>
    <w:rsid w:val="00AF33A2"/>
    <w:rsid w:val="00AF4661"/>
    <w:rsid w:val="00AF57E7"/>
    <w:rsid w:val="00AF630B"/>
    <w:rsid w:val="00B000B0"/>
    <w:rsid w:val="00B0104D"/>
    <w:rsid w:val="00B127F4"/>
    <w:rsid w:val="00B146E5"/>
    <w:rsid w:val="00B16D1F"/>
    <w:rsid w:val="00B27D8C"/>
    <w:rsid w:val="00B27E3D"/>
    <w:rsid w:val="00B35C6E"/>
    <w:rsid w:val="00B370B5"/>
    <w:rsid w:val="00B42F50"/>
    <w:rsid w:val="00B444C7"/>
    <w:rsid w:val="00B55C70"/>
    <w:rsid w:val="00B62708"/>
    <w:rsid w:val="00B63B0F"/>
    <w:rsid w:val="00B65A0F"/>
    <w:rsid w:val="00B66FB2"/>
    <w:rsid w:val="00B7576D"/>
    <w:rsid w:val="00B7678A"/>
    <w:rsid w:val="00B82C0C"/>
    <w:rsid w:val="00B92784"/>
    <w:rsid w:val="00B92807"/>
    <w:rsid w:val="00B93B37"/>
    <w:rsid w:val="00B93E33"/>
    <w:rsid w:val="00B95FD8"/>
    <w:rsid w:val="00B96CEA"/>
    <w:rsid w:val="00BA2668"/>
    <w:rsid w:val="00BA2D8E"/>
    <w:rsid w:val="00BA55B4"/>
    <w:rsid w:val="00BA5827"/>
    <w:rsid w:val="00BB4EFB"/>
    <w:rsid w:val="00BC3769"/>
    <w:rsid w:val="00BD6938"/>
    <w:rsid w:val="00BE3D27"/>
    <w:rsid w:val="00BE5544"/>
    <w:rsid w:val="00BF3410"/>
    <w:rsid w:val="00BF34C9"/>
    <w:rsid w:val="00BF52D3"/>
    <w:rsid w:val="00C01B80"/>
    <w:rsid w:val="00C04680"/>
    <w:rsid w:val="00C04C63"/>
    <w:rsid w:val="00C052C6"/>
    <w:rsid w:val="00C07C32"/>
    <w:rsid w:val="00C108E1"/>
    <w:rsid w:val="00C16C43"/>
    <w:rsid w:val="00C16D7E"/>
    <w:rsid w:val="00C21284"/>
    <w:rsid w:val="00C22A16"/>
    <w:rsid w:val="00C26FE5"/>
    <w:rsid w:val="00C306B7"/>
    <w:rsid w:val="00C34436"/>
    <w:rsid w:val="00C34912"/>
    <w:rsid w:val="00C3567A"/>
    <w:rsid w:val="00C40128"/>
    <w:rsid w:val="00C41489"/>
    <w:rsid w:val="00C42883"/>
    <w:rsid w:val="00C46193"/>
    <w:rsid w:val="00C47091"/>
    <w:rsid w:val="00C5298B"/>
    <w:rsid w:val="00C53175"/>
    <w:rsid w:val="00C575C2"/>
    <w:rsid w:val="00C57E4D"/>
    <w:rsid w:val="00C62F05"/>
    <w:rsid w:val="00C6520A"/>
    <w:rsid w:val="00C71E18"/>
    <w:rsid w:val="00C7395A"/>
    <w:rsid w:val="00C80891"/>
    <w:rsid w:val="00C813E8"/>
    <w:rsid w:val="00C848CA"/>
    <w:rsid w:val="00C85926"/>
    <w:rsid w:val="00C86060"/>
    <w:rsid w:val="00CA0B50"/>
    <w:rsid w:val="00CA6B04"/>
    <w:rsid w:val="00CB16BA"/>
    <w:rsid w:val="00CC4347"/>
    <w:rsid w:val="00CD2792"/>
    <w:rsid w:val="00CD6BAA"/>
    <w:rsid w:val="00CE1C2F"/>
    <w:rsid w:val="00CE3379"/>
    <w:rsid w:val="00CE7EB7"/>
    <w:rsid w:val="00CF0518"/>
    <w:rsid w:val="00D03ABB"/>
    <w:rsid w:val="00D13F8B"/>
    <w:rsid w:val="00D20592"/>
    <w:rsid w:val="00D22171"/>
    <w:rsid w:val="00D24668"/>
    <w:rsid w:val="00D30B5F"/>
    <w:rsid w:val="00D35AA8"/>
    <w:rsid w:val="00D3767F"/>
    <w:rsid w:val="00D42CFC"/>
    <w:rsid w:val="00D44214"/>
    <w:rsid w:val="00D562E7"/>
    <w:rsid w:val="00D564CE"/>
    <w:rsid w:val="00D64ECB"/>
    <w:rsid w:val="00D67216"/>
    <w:rsid w:val="00D73D9D"/>
    <w:rsid w:val="00D74486"/>
    <w:rsid w:val="00D77B3E"/>
    <w:rsid w:val="00D819D9"/>
    <w:rsid w:val="00D92805"/>
    <w:rsid w:val="00DA1859"/>
    <w:rsid w:val="00DB0AC5"/>
    <w:rsid w:val="00DB2098"/>
    <w:rsid w:val="00DC5A21"/>
    <w:rsid w:val="00DD05DB"/>
    <w:rsid w:val="00DD123A"/>
    <w:rsid w:val="00DD2708"/>
    <w:rsid w:val="00DD43D5"/>
    <w:rsid w:val="00DD6202"/>
    <w:rsid w:val="00DE09EE"/>
    <w:rsid w:val="00DE6F6E"/>
    <w:rsid w:val="00DF1BCF"/>
    <w:rsid w:val="00DF4AEB"/>
    <w:rsid w:val="00E051AC"/>
    <w:rsid w:val="00E05574"/>
    <w:rsid w:val="00E21863"/>
    <w:rsid w:val="00E22536"/>
    <w:rsid w:val="00E254D1"/>
    <w:rsid w:val="00E26733"/>
    <w:rsid w:val="00E271EC"/>
    <w:rsid w:val="00E2735F"/>
    <w:rsid w:val="00E3198C"/>
    <w:rsid w:val="00E45F92"/>
    <w:rsid w:val="00E51BC4"/>
    <w:rsid w:val="00E554C3"/>
    <w:rsid w:val="00E56637"/>
    <w:rsid w:val="00E57723"/>
    <w:rsid w:val="00E65915"/>
    <w:rsid w:val="00E71C79"/>
    <w:rsid w:val="00E917CD"/>
    <w:rsid w:val="00E96BE3"/>
    <w:rsid w:val="00EA0413"/>
    <w:rsid w:val="00EA6B5D"/>
    <w:rsid w:val="00EC1F22"/>
    <w:rsid w:val="00EE65EE"/>
    <w:rsid w:val="00EE6723"/>
    <w:rsid w:val="00EF2613"/>
    <w:rsid w:val="00F06840"/>
    <w:rsid w:val="00F06D71"/>
    <w:rsid w:val="00F07874"/>
    <w:rsid w:val="00F12639"/>
    <w:rsid w:val="00F13F0A"/>
    <w:rsid w:val="00F13F94"/>
    <w:rsid w:val="00F1464F"/>
    <w:rsid w:val="00F26820"/>
    <w:rsid w:val="00F308E9"/>
    <w:rsid w:val="00F3270C"/>
    <w:rsid w:val="00F327FE"/>
    <w:rsid w:val="00F34864"/>
    <w:rsid w:val="00F35D10"/>
    <w:rsid w:val="00F40726"/>
    <w:rsid w:val="00F475EA"/>
    <w:rsid w:val="00F5163F"/>
    <w:rsid w:val="00F51FF0"/>
    <w:rsid w:val="00F53590"/>
    <w:rsid w:val="00F545ED"/>
    <w:rsid w:val="00F546CE"/>
    <w:rsid w:val="00F577E4"/>
    <w:rsid w:val="00F63BC2"/>
    <w:rsid w:val="00F64BD5"/>
    <w:rsid w:val="00F65154"/>
    <w:rsid w:val="00F73BF4"/>
    <w:rsid w:val="00F85601"/>
    <w:rsid w:val="00F90FD6"/>
    <w:rsid w:val="00F952AC"/>
    <w:rsid w:val="00FA0C1F"/>
    <w:rsid w:val="00FB2B81"/>
    <w:rsid w:val="00FB3801"/>
    <w:rsid w:val="00FB426F"/>
    <w:rsid w:val="00FC397E"/>
    <w:rsid w:val="00FD58DD"/>
    <w:rsid w:val="00FD5CF5"/>
    <w:rsid w:val="00FD722A"/>
    <w:rsid w:val="00FE267F"/>
    <w:rsid w:val="00FE6232"/>
    <w:rsid w:val="00FF635C"/>
    <w:rsid w:val="00FF6B2D"/>
    <w:rsid w:val="00FF7B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5458"/>
    <w:pPr>
      <w:bidi/>
    </w:pPr>
  </w:style>
  <w:style w:type="paragraph" w:styleId="1">
    <w:name w:val="heading 1"/>
    <w:basedOn w:val="a"/>
    <w:next w:val="a"/>
    <w:link w:val="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634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A7B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0346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0346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0346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0346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0346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620B32"/>
    <w:pPr>
      <w:ind w:left="720"/>
      <w:contextualSpacing/>
    </w:pPr>
  </w:style>
  <w:style w:type="paragraph" w:styleId="a6">
    <w:name w:val="Normal (Web)"/>
    <w:basedOn w:val="a"/>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0358AF"/>
    <w:rPr>
      <w:rFonts w:asciiTheme="majorHAnsi" w:eastAsiaTheme="majorEastAsia" w:hAnsiTheme="majorHAnsi" w:cstheme="majorBidi"/>
      <w:color w:val="2F5496" w:themeColor="accent1" w:themeShade="BF"/>
      <w:sz w:val="32"/>
      <w:szCs w:val="32"/>
    </w:rPr>
  </w:style>
  <w:style w:type="paragraph" w:styleId="a7">
    <w:name w:val="Bibliography"/>
    <w:basedOn w:val="a"/>
    <w:next w:val="a"/>
    <w:uiPriority w:val="37"/>
    <w:unhideWhenUsed/>
    <w:rsid w:val="00843286"/>
  </w:style>
  <w:style w:type="paragraph" w:styleId="a8">
    <w:name w:val="TOC Heading"/>
    <w:basedOn w:val="1"/>
    <w:next w:val="a"/>
    <w:uiPriority w:val="39"/>
    <w:unhideWhenUsed/>
    <w:qFormat/>
    <w:rsid w:val="006B4D2F"/>
    <w:pPr>
      <w:bidi w:val="0"/>
      <w:outlineLvl w:val="9"/>
    </w:pPr>
    <w:rPr>
      <w:kern w:val="0"/>
      <w14:ligatures w14:val="none"/>
    </w:rPr>
  </w:style>
  <w:style w:type="paragraph" w:styleId="10">
    <w:name w:val="toc 1"/>
    <w:basedOn w:val="a"/>
    <w:next w:val="a"/>
    <w:autoRedefine/>
    <w:uiPriority w:val="39"/>
    <w:unhideWhenUsed/>
    <w:rsid w:val="00B55C70"/>
    <w:pPr>
      <w:spacing w:before="120" w:after="120"/>
    </w:pPr>
    <w:rPr>
      <w:rFonts w:cstheme="minorHAnsi"/>
      <w:b/>
      <w:bCs/>
      <w:caps/>
      <w:sz w:val="20"/>
      <w:szCs w:val="24"/>
    </w:rPr>
  </w:style>
  <w:style w:type="character" w:styleId="Hyperlink">
    <w:name w:val="Hyperlink"/>
    <w:basedOn w:val="a0"/>
    <w:uiPriority w:val="99"/>
    <w:unhideWhenUsed/>
    <w:rsid w:val="006B4D2F"/>
    <w:rPr>
      <w:color w:val="0563C1" w:themeColor="hyperlink"/>
      <w:u w:val="single"/>
    </w:rPr>
  </w:style>
  <w:style w:type="paragraph" w:styleId="HTML">
    <w:name w:val="HTML Preformatted"/>
    <w:basedOn w:val="a"/>
    <w:link w:val="HTMLChar"/>
    <w:uiPriority w:val="99"/>
    <w:semiHidden/>
    <w:unhideWhenUsed/>
    <w:rsid w:val="0064255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4255A"/>
    <w:rPr>
      <w:rFonts w:ascii="Consolas" w:hAnsi="Consolas"/>
      <w:sz w:val="20"/>
      <w:szCs w:val="20"/>
    </w:rPr>
  </w:style>
  <w:style w:type="character" w:customStyle="1" w:styleId="4Char">
    <w:name w:val="عنوان 4 Char"/>
    <w:basedOn w:val="a0"/>
    <w:link w:val="4"/>
    <w:uiPriority w:val="9"/>
    <w:semiHidden/>
    <w:rsid w:val="00706EE8"/>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6A7B92"/>
    <w:rPr>
      <w:rFonts w:asciiTheme="majorHAnsi" w:eastAsiaTheme="majorEastAsia" w:hAnsiTheme="majorHAnsi" w:cstheme="majorBidi"/>
      <w:color w:val="1F3763" w:themeColor="accent1" w:themeShade="7F"/>
      <w:sz w:val="24"/>
      <w:szCs w:val="24"/>
    </w:rPr>
  </w:style>
  <w:style w:type="paragraph" w:styleId="a9">
    <w:name w:val="caption"/>
    <w:basedOn w:val="a"/>
    <w:next w:val="a"/>
    <w:uiPriority w:val="35"/>
    <w:unhideWhenUsed/>
    <w:qFormat/>
    <w:rsid w:val="00FB3801"/>
    <w:pPr>
      <w:spacing w:after="200" w:line="240" w:lineRule="auto"/>
    </w:pPr>
    <w:rPr>
      <w:i/>
      <w:iCs/>
      <w:color w:val="44546A" w:themeColor="text2"/>
      <w:sz w:val="18"/>
      <w:szCs w:val="18"/>
    </w:rPr>
  </w:style>
  <w:style w:type="paragraph" w:styleId="aa">
    <w:name w:val="Title"/>
    <w:basedOn w:val="a"/>
    <w:next w:val="a"/>
    <w:link w:val="Char2"/>
    <w:uiPriority w:val="10"/>
    <w:qFormat/>
    <w:rsid w:val="004870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10"/>
    <w:rsid w:val="004870C2"/>
    <w:rPr>
      <w:rFonts w:asciiTheme="majorHAnsi" w:eastAsiaTheme="majorEastAsia" w:hAnsiTheme="majorHAnsi" w:cstheme="majorBidi"/>
      <w:spacing w:val="-10"/>
      <w:kern w:val="28"/>
      <w:sz w:val="56"/>
      <w:szCs w:val="56"/>
    </w:rPr>
  </w:style>
  <w:style w:type="character" w:customStyle="1" w:styleId="11">
    <w:name w:val="إشارة لم يتم حلها1"/>
    <w:basedOn w:val="a0"/>
    <w:uiPriority w:val="99"/>
    <w:semiHidden/>
    <w:unhideWhenUsed/>
    <w:rsid w:val="00046EC0"/>
    <w:rPr>
      <w:color w:val="605E5C"/>
      <w:shd w:val="clear" w:color="auto" w:fill="E1DFDD"/>
    </w:rPr>
  </w:style>
  <w:style w:type="character" w:customStyle="1" w:styleId="2Char">
    <w:name w:val="عنوان 2 Char"/>
    <w:basedOn w:val="a0"/>
    <w:link w:val="2"/>
    <w:uiPriority w:val="9"/>
    <w:rsid w:val="00063462"/>
    <w:rPr>
      <w:rFonts w:asciiTheme="majorHAnsi" w:eastAsiaTheme="majorEastAsia" w:hAnsiTheme="majorHAnsi" w:cstheme="majorBidi"/>
      <w:color w:val="2F5496" w:themeColor="accent1" w:themeShade="BF"/>
      <w:sz w:val="26"/>
      <w:szCs w:val="26"/>
    </w:rPr>
  </w:style>
  <w:style w:type="character" w:customStyle="1" w:styleId="5Char">
    <w:name w:val="عنوان 5 Char"/>
    <w:basedOn w:val="a0"/>
    <w:link w:val="5"/>
    <w:uiPriority w:val="9"/>
    <w:semiHidden/>
    <w:rsid w:val="00A03469"/>
    <w:rPr>
      <w:rFonts w:eastAsiaTheme="majorEastAsia" w:cstheme="majorBidi"/>
      <w:color w:val="2F5496" w:themeColor="accent1" w:themeShade="BF"/>
    </w:rPr>
  </w:style>
  <w:style w:type="character" w:customStyle="1" w:styleId="6Char">
    <w:name w:val="عنوان 6 Char"/>
    <w:basedOn w:val="a0"/>
    <w:link w:val="6"/>
    <w:uiPriority w:val="9"/>
    <w:semiHidden/>
    <w:rsid w:val="00A03469"/>
    <w:rPr>
      <w:rFonts w:eastAsiaTheme="majorEastAsia" w:cstheme="majorBidi"/>
      <w:i/>
      <w:iCs/>
      <w:color w:val="595959" w:themeColor="text1" w:themeTint="A6"/>
    </w:rPr>
  </w:style>
  <w:style w:type="character" w:customStyle="1" w:styleId="7Char">
    <w:name w:val="عنوان 7 Char"/>
    <w:basedOn w:val="a0"/>
    <w:link w:val="7"/>
    <w:uiPriority w:val="9"/>
    <w:semiHidden/>
    <w:rsid w:val="00A03469"/>
    <w:rPr>
      <w:rFonts w:eastAsiaTheme="majorEastAsia" w:cstheme="majorBidi"/>
      <w:color w:val="595959" w:themeColor="text1" w:themeTint="A6"/>
    </w:rPr>
  </w:style>
  <w:style w:type="character" w:customStyle="1" w:styleId="8Char">
    <w:name w:val="عنوان 8 Char"/>
    <w:basedOn w:val="a0"/>
    <w:link w:val="8"/>
    <w:uiPriority w:val="9"/>
    <w:semiHidden/>
    <w:rsid w:val="00A03469"/>
    <w:rPr>
      <w:rFonts w:eastAsiaTheme="majorEastAsia" w:cstheme="majorBidi"/>
      <w:i/>
      <w:iCs/>
      <w:color w:val="272727" w:themeColor="text1" w:themeTint="D8"/>
    </w:rPr>
  </w:style>
  <w:style w:type="character" w:customStyle="1" w:styleId="9Char">
    <w:name w:val="عنوان 9 Char"/>
    <w:basedOn w:val="a0"/>
    <w:link w:val="9"/>
    <w:uiPriority w:val="9"/>
    <w:semiHidden/>
    <w:rsid w:val="00A03469"/>
    <w:rPr>
      <w:rFonts w:eastAsiaTheme="majorEastAsia" w:cstheme="majorBidi"/>
      <w:color w:val="272727" w:themeColor="text1" w:themeTint="D8"/>
    </w:rPr>
  </w:style>
  <w:style w:type="paragraph" w:styleId="ab">
    <w:name w:val="Subtitle"/>
    <w:basedOn w:val="a"/>
    <w:next w:val="a"/>
    <w:link w:val="Char3"/>
    <w:uiPriority w:val="11"/>
    <w:qFormat/>
    <w:rsid w:val="00A03469"/>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b"/>
    <w:uiPriority w:val="11"/>
    <w:rsid w:val="00A03469"/>
    <w:rPr>
      <w:rFonts w:eastAsiaTheme="majorEastAsia" w:cstheme="majorBidi"/>
      <w:color w:val="595959" w:themeColor="text1" w:themeTint="A6"/>
      <w:spacing w:val="15"/>
      <w:sz w:val="28"/>
      <w:szCs w:val="28"/>
    </w:rPr>
  </w:style>
  <w:style w:type="paragraph" w:styleId="ac">
    <w:name w:val="Quote"/>
    <w:basedOn w:val="a"/>
    <w:next w:val="a"/>
    <w:link w:val="Char4"/>
    <w:uiPriority w:val="29"/>
    <w:qFormat/>
    <w:rsid w:val="00A03469"/>
    <w:pPr>
      <w:spacing w:before="160"/>
      <w:jc w:val="center"/>
    </w:pPr>
    <w:rPr>
      <w:i/>
      <w:iCs/>
      <w:color w:val="404040" w:themeColor="text1" w:themeTint="BF"/>
    </w:rPr>
  </w:style>
  <w:style w:type="character" w:customStyle="1" w:styleId="Char4">
    <w:name w:val="اقتباس Char"/>
    <w:basedOn w:val="a0"/>
    <w:link w:val="ac"/>
    <w:uiPriority w:val="29"/>
    <w:rsid w:val="00A03469"/>
    <w:rPr>
      <w:i/>
      <w:iCs/>
      <w:color w:val="404040" w:themeColor="text1" w:themeTint="BF"/>
    </w:rPr>
  </w:style>
  <w:style w:type="character" w:styleId="ad">
    <w:name w:val="Intense Emphasis"/>
    <w:basedOn w:val="a0"/>
    <w:uiPriority w:val="21"/>
    <w:qFormat/>
    <w:rsid w:val="00A03469"/>
    <w:rPr>
      <w:i/>
      <w:iCs/>
      <w:color w:val="2F5496" w:themeColor="accent1" w:themeShade="BF"/>
    </w:rPr>
  </w:style>
  <w:style w:type="paragraph" w:styleId="ae">
    <w:name w:val="Intense Quote"/>
    <w:basedOn w:val="a"/>
    <w:next w:val="a"/>
    <w:link w:val="Char5"/>
    <w:uiPriority w:val="30"/>
    <w:qFormat/>
    <w:rsid w:val="00A034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e"/>
    <w:uiPriority w:val="30"/>
    <w:rsid w:val="00A03469"/>
    <w:rPr>
      <w:i/>
      <w:iCs/>
      <w:color w:val="2F5496" w:themeColor="accent1" w:themeShade="BF"/>
    </w:rPr>
  </w:style>
  <w:style w:type="character" w:styleId="af">
    <w:name w:val="Intense Reference"/>
    <w:basedOn w:val="a0"/>
    <w:uiPriority w:val="32"/>
    <w:qFormat/>
    <w:rsid w:val="00A03469"/>
    <w:rPr>
      <w:b/>
      <w:bCs/>
      <w:smallCaps/>
      <w:color w:val="2F5496" w:themeColor="accent1" w:themeShade="BF"/>
      <w:spacing w:val="5"/>
    </w:rPr>
  </w:style>
  <w:style w:type="table" w:styleId="af0">
    <w:name w:val="Table Grid"/>
    <w:basedOn w:val="a1"/>
    <w:uiPriority w:val="39"/>
    <w:rsid w:val="00A03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toc 2"/>
    <w:basedOn w:val="a"/>
    <w:next w:val="a"/>
    <w:autoRedefine/>
    <w:uiPriority w:val="39"/>
    <w:unhideWhenUsed/>
    <w:rsid w:val="00A03469"/>
    <w:pPr>
      <w:spacing w:after="0"/>
      <w:ind w:left="220"/>
    </w:pPr>
    <w:rPr>
      <w:rFonts w:cstheme="minorHAnsi"/>
      <w:smallCaps/>
      <w:sz w:val="20"/>
      <w:szCs w:val="24"/>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A03469"/>
  </w:style>
  <w:style w:type="paragraph" w:styleId="af1">
    <w:name w:val="Revision"/>
    <w:hidden/>
    <w:uiPriority w:val="99"/>
    <w:semiHidden/>
    <w:rsid w:val="00A03469"/>
    <w:pPr>
      <w:spacing w:after="0" w:line="240" w:lineRule="auto"/>
    </w:pPr>
  </w:style>
  <w:style w:type="numbering" w:customStyle="1" w:styleId="12">
    <w:name w:val="بلا قائمة1"/>
    <w:next w:val="a2"/>
    <w:uiPriority w:val="99"/>
    <w:semiHidden/>
    <w:unhideWhenUsed/>
    <w:rsid w:val="00A03469"/>
  </w:style>
  <w:style w:type="character" w:styleId="af2">
    <w:name w:val="Placeholder Text"/>
    <w:basedOn w:val="a0"/>
    <w:uiPriority w:val="99"/>
    <w:semiHidden/>
    <w:rsid w:val="00A03469"/>
    <w:rPr>
      <w:color w:val="666666"/>
    </w:rPr>
  </w:style>
  <w:style w:type="table" w:customStyle="1" w:styleId="13">
    <w:name w:val="شبكة جدول1"/>
    <w:basedOn w:val="a1"/>
    <w:next w:val="af0"/>
    <w:uiPriority w:val="59"/>
    <w:rsid w:val="00A03469"/>
    <w:pPr>
      <w:spacing w:after="0" w:line="240" w:lineRule="auto"/>
    </w:pPr>
    <w:rPr>
      <w:rFonts w:eastAsia="MS Mincho"/>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C16C4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91426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FF635C"/>
    <w:pPr>
      <w:spacing w:after="0"/>
      <w:ind w:left="440"/>
    </w:pPr>
    <w:rPr>
      <w:rFonts w:cstheme="minorHAnsi"/>
      <w:i/>
      <w:iCs/>
      <w:sz w:val="20"/>
      <w:szCs w:val="24"/>
    </w:rPr>
  </w:style>
  <w:style w:type="paragraph" w:styleId="40">
    <w:name w:val="toc 4"/>
    <w:basedOn w:val="a"/>
    <w:next w:val="a"/>
    <w:autoRedefine/>
    <w:uiPriority w:val="39"/>
    <w:unhideWhenUsed/>
    <w:rsid w:val="00FF635C"/>
    <w:pPr>
      <w:spacing w:after="0"/>
      <w:ind w:left="660"/>
    </w:pPr>
    <w:rPr>
      <w:rFonts w:cstheme="minorHAnsi"/>
      <w:sz w:val="18"/>
      <w:szCs w:val="21"/>
    </w:rPr>
  </w:style>
  <w:style w:type="paragraph" w:styleId="50">
    <w:name w:val="toc 5"/>
    <w:basedOn w:val="a"/>
    <w:next w:val="a"/>
    <w:autoRedefine/>
    <w:uiPriority w:val="39"/>
    <w:unhideWhenUsed/>
    <w:rsid w:val="00FF635C"/>
    <w:pPr>
      <w:spacing w:after="0"/>
      <w:ind w:left="880"/>
    </w:pPr>
    <w:rPr>
      <w:rFonts w:cstheme="minorHAnsi"/>
      <w:sz w:val="18"/>
      <w:szCs w:val="21"/>
    </w:rPr>
  </w:style>
  <w:style w:type="paragraph" w:styleId="60">
    <w:name w:val="toc 6"/>
    <w:basedOn w:val="a"/>
    <w:next w:val="a"/>
    <w:autoRedefine/>
    <w:uiPriority w:val="39"/>
    <w:unhideWhenUsed/>
    <w:rsid w:val="00FF635C"/>
    <w:pPr>
      <w:spacing w:after="0"/>
      <w:ind w:left="1100"/>
    </w:pPr>
    <w:rPr>
      <w:rFonts w:cstheme="minorHAnsi"/>
      <w:sz w:val="18"/>
      <w:szCs w:val="21"/>
    </w:rPr>
  </w:style>
  <w:style w:type="paragraph" w:styleId="70">
    <w:name w:val="toc 7"/>
    <w:basedOn w:val="a"/>
    <w:next w:val="a"/>
    <w:autoRedefine/>
    <w:uiPriority w:val="39"/>
    <w:unhideWhenUsed/>
    <w:rsid w:val="00FF635C"/>
    <w:pPr>
      <w:spacing w:after="0"/>
      <w:ind w:left="1320"/>
    </w:pPr>
    <w:rPr>
      <w:rFonts w:cstheme="minorHAnsi"/>
      <w:sz w:val="18"/>
      <w:szCs w:val="21"/>
    </w:rPr>
  </w:style>
  <w:style w:type="paragraph" w:styleId="80">
    <w:name w:val="toc 8"/>
    <w:basedOn w:val="a"/>
    <w:next w:val="a"/>
    <w:autoRedefine/>
    <w:uiPriority w:val="39"/>
    <w:unhideWhenUsed/>
    <w:rsid w:val="00FF635C"/>
    <w:pPr>
      <w:spacing w:after="0"/>
      <w:ind w:left="1540"/>
    </w:pPr>
    <w:rPr>
      <w:rFonts w:cstheme="minorHAnsi"/>
      <w:sz w:val="18"/>
      <w:szCs w:val="21"/>
    </w:rPr>
  </w:style>
  <w:style w:type="paragraph" w:styleId="90">
    <w:name w:val="toc 9"/>
    <w:basedOn w:val="a"/>
    <w:next w:val="a"/>
    <w:autoRedefine/>
    <w:uiPriority w:val="39"/>
    <w:unhideWhenUsed/>
    <w:rsid w:val="00FF635C"/>
    <w:pPr>
      <w:spacing w:after="0"/>
      <w:ind w:left="1760"/>
    </w:pPr>
    <w:rPr>
      <w:rFonts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3678740">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101391">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8798523">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3722409">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8188173">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6634825">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4009921">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75829091">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1806076">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430903">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4833258">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8256484">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1170200">
      <w:bodyDiv w:val="1"/>
      <w:marLeft w:val="0"/>
      <w:marRight w:val="0"/>
      <w:marTop w:val="0"/>
      <w:marBottom w:val="0"/>
      <w:divBdr>
        <w:top w:val="none" w:sz="0" w:space="0" w:color="auto"/>
        <w:left w:val="none" w:sz="0" w:space="0" w:color="auto"/>
        <w:bottom w:val="none" w:sz="0" w:space="0" w:color="auto"/>
        <w:right w:val="none" w:sz="0" w:space="0" w:color="auto"/>
      </w:divBdr>
    </w:div>
    <w:div w:id="112869497">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5955307">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0464606">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8808080">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693076">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6791419">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40963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3501">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728526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3099907">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2213">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20092271">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28854696">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57566263">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7204069">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4676870">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057243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1055156">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297927178">
      <w:bodyDiv w:val="1"/>
      <w:marLeft w:val="0"/>
      <w:marRight w:val="0"/>
      <w:marTop w:val="0"/>
      <w:marBottom w:val="0"/>
      <w:divBdr>
        <w:top w:val="none" w:sz="0" w:space="0" w:color="auto"/>
        <w:left w:val="none" w:sz="0" w:space="0" w:color="auto"/>
        <w:bottom w:val="none" w:sz="0" w:space="0" w:color="auto"/>
        <w:right w:val="none" w:sz="0" w:space="0" w:color="auto"/>
      </w:divBdr>
      <w:divsChild>
        <w:div w:id="513881473">
          <w:marLeft w:val="0"/>
          <w:marRight w:val="0"/>
          <w:marTop w:val="0"/>
          <w:marBottom w:val="0"/>
          <w:divBdr>
            <w:top w:val="none" w:sz="0" w:space="0" w:color="auto"/>
            <w:left w:val="none" w:sz="0" w:space="0" w:color="auto"/>
            <w:bottom w:val="none" w:sz="0" w:space="0" w:color="auto"/>
            <w:right w:val="none" w:sz="0" w:space="0" w:color="auto"/>
          </w:divBdr>
          <w:divsChild>
            <w:div w:id="424618455">
              <w:marLeft w:val="0"/>
              <w:marRight w:val="0"/>
              <w:marTop w:val="0"/>
              <w:marBottom w:val="0"/>
              <w:divBdr>
                <w:top w:val="none" w:sz="0" w:space="0" w:color="auto"/>
                <w:left w:val="none" w:sz="0" w:space="0" w:color="auto"/>
                <w:bottom w:val="none" w:sz="0" w:space="0" w:color="auto"/>
                <w:right w:val="none" w:sz="0" w:space="0" w:color="auto"/>
              </w:divBdr>
              <w:divsChild>
                <w:div w:id="2030373676">
                  <w:marLeft w:val="0"/>
                  <w:marRight w:val="0"/>
                  <w:marTop w:val="0"/>
                  <w:marBottom w:val="0"/>
                  <w:divBdr>
                    <w:top w:val="none" w:sz="0" w:space="0" w:color="auto"/>
                    <w:left w:val="none" w:sz="0" w:space="0" w:color="auto"/>
                    <w:bottom w:val="none" w:sz="0" w:space="0" w:color="auto"/>
                    <w:right w:val="none" w:sz="0" w:space="0" w:color="auto"/>
                  </w:divBdr>
                  <w:divsChild>
                    <w:div w:id="1504009879">
                      <w:marLeft w:val="0"/>
                      <w:marRight w:val="0"/>
                      <w:marTop w:val="0"/>
                      <w:marBottom w:val="0"/>
                      <w:divBdr>
                        <w:top w:val="none" w:sz="0" w:space="0" w:color="auto"/>
                        <w:left w:val="none" w:sz="0" w:space="0" w:color="auto"/>
                        <w:bottom w:val="none" w:sz="0" w:space="0" w:color="auto"/>
                        <w:right w:val="none" w:sz="0" w:space="0" w:color="auto"/>
                      </w:divBdr>
                      <w:divsChild>
                        <w:div w:id="1447583773">
                          <w:marLeft w:val="0"/>
                          <w:marRight w:val="0"/>
                          <w:marTop w:val="0"/>
                          <w:marBottom w:val="0"/>
                          <w:divBdr>
                            <w:top w:val="none" w:sz="0" w:space="0" w:color="auto"/>
                            <w:left w:val="none" w:sz="0" w:space="0" w:color="auto"/>
                            <w:bottom w:val="none" w:sz="0" w:space="0" w:color="auto"/>
                            <w:right w:val="none" w:sz="0" w:space="0" w:color="auto"/>
                          </w:divBdr>
                          <w:divsChild>
                            <w:div w:id="1648362915">
                              <w:marLeft w:val="0"/>
                              <w:marRight w:val="0"/>
                              <w:marTop w:val="0"/>
                              <w:marBottom w:val="0"/>
                              <w:divBdr>
                                <w:top w:val="none" w:sz="0" w:space="0" w:color="auto"/>
                                <w:left w:val="none" w:sz="0" w:space="0" w:color="auto"/>
                                <w:bottom w:val="none" w:sz="0" w:space="0" w:color="auto"/>
                                <w:right w:val="none" w:sz="0" w:space="0" w:color="auto"/>
                              </w:divBdr>
                              <w:divsChild>
                                <w:div w:id="1508860944">
                                  <w:marLeft w:val="0"/>
                                  <w:marRight w:val="0"/>
                                  <w:marTop w:val="0"/>
                                  <w:marBottom w:val="0"/>
                                  <w:divBdr>
                                    <w:top w:val="none" w:sz="0" w:space="0" w:color="auto"/>
                                    <w:left w:val="none" w:sz="0" w:space="0" w:color="auto"/>
                                    <w:bottom w:val="none" w:sz="0" w:space="0" w:color="auto"/>
                                    <w:right w:val="none" w:sz="0" w:space="0" w:color="auto"/>
                                  </w:divBdr>
                                  <w:divsChild>
                                    <w:div w:id="230194561">
                                      <w:marLeft w:val="0"/>
                                      <w:marRight w:val="0"/>
                                      <w:marTop w:val="0"/>
                                      <w:marBottom w:val="0"/>
                                      <w:divBdr>
                                        <w:top w:val="none" w:sz="0" w:space="0" w:color="auto"/>
                                        <w:left w:val="none" w:sz="0" w:space="0" w:color="auto"/>
                                        <w:bottom w:val="none" w:sz="0" w:space="0" w:color="auto"/>
                                        <w:right w:val="none" w:sz="0" w:space="0" w:color="auto"/>
                                      </w:divBdr>
                                    </w:div>
                                    <w:div w:id="1134368999">
                                      <w:marLeft w:val="0"/>
                                      <w:marRight w:val="0"/>
                                      <w:marTop w:val="0"/>
                                      <w:marBottom w:val="0"/>
                                      <w:divBdr>
                                        <w:top w:val="none" w:sz="0" w:space="0" w:color="auto"/>
                                        <w:left w:val="none" w:sz="0" w:space="0" w:color="auto"/>
                                        <w:bottom w:val="none" w:sz="0" w:space="0" w:color="auto"/>
                                        <w:right w:val="none" w:sz="0" w:space="0" w:color="auto"/>
                                      </w:divBdr>
                                      <w:divsChild>
                                        <w:div w:id="841512216">
                                          <w:marLeft w:val="0"/>
                                          <w:marRight w:val="165"/>
                                          <w:marTop w:val="150"/>
                                          <w:marBottom w:val="0"/>
                                          <w:divBdr>
                                            <w:top w:val="none" w:sz="0" w:space="0" w:color="auto"/>
                                            <w:left w:val="none" w:sz="0" w:space="0" w:color="auto"/>
                                            <w:bottom w:val="none" w:sz="0" w:space="0" w:color="auto"/>
                                            <w:right w:val="none" w:sz="0" w:space="0" w:color="auto"/>
                                          </w:divBdr>
                                          <w:divsChild>
                                            <w:div w:id="829954014">
                                              <w:marLeft w:val="0"/>
                                              <w:marRight w:val="0"/>
                                              <w:marTop w:val="0"/>
                                              <w:marBottom w:val="0"/>
                                              <w:divBdr>
                                                <w:top w:val="none" w:sz="0" w:space="0" w:color="auto"/>
                                                <w:left w:val="none" w:sz="0" w:space="0" w:color="auto"/>
                                                <w:bottom w:val="none" w:sz="0" w:space="0" w:color="auto"/>
                                                <w:right w:val="none" w:sz="0" w:space="0" w:color="auto"/>
                                              </w:divBdr>
                                              <w:divsChild>
                                                <w:div w:id="20835223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8386182">
      <w:bodyDiv w:val="1"/>
      <w:marLeft w:val="0"/>
      <w:marRight w:val="0"/>
      <w:marTop w:val="0"/>
      <w:marBottom w:val="0"/>
      <w:divBdr>
        <w:top w:val="none" w:sz="0" w:space="0" w:color="auto"/>
        <w:left w:val="none" w:sz="0" w:space="0" w:color="auto"/>
        <w:bottom w:val="none" w:sz="0" w:space="0" w:color="auto"/>
        <w:right w:val="none" w:sz="0" w:space="0" w:color="auto"/>
      </w:divBdr>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3048966">
      <w:bodyDiv w:val="1"/>
      <w:marLeft w:val="0"/>
      <w:marRight w:val="0"/>
      <w:marTop w:val="0"/>
      <w:marBottom w:val="0"/>
      <w:divBdr>
        <w:top w:val="none" w:sz="0" w:space="0" w:color="auto"/>
        <w:left w:val="none" w:sz="0" w:space="0" w:color="auto"/>
        <w:bottom w:val="none" w:sz="0" w:space="0" w:color="auto"/>
        <w:right w:val="none" w:sz="0" w:space="0" w:color="auto"/>
      </w:divBdr>
    </w:div>
    <w:div w:id="305621962">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1550098">
      <w:bodyDiv w:val="1"/>
      <w:marLeft w:val="0"/>
      <w:marRight w:val="0"/>
      <w:marTop w:val="0"/>
      <w:marBottom w:val="0"/>
      <w:divBdr>
        <w:top w:val="none" w:sz="0" w:space="0" w:color="auto"/>
        <w:left w:val="none" w:sz="0" w:space="0" w:color="auto"/>
        <w:bottom w:val="none" w:sz="0" w:space="0" w:color="auto"/>
        <w:right w:val="none" w:sz="0" w:space="0" w:color="auto"/>
      </w:divBdr>
    </w:div>
    <w:div w:id="32239647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291838">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48260808">
      <w:bodyDiv w:val="1"/>
      <w:marLeft w:val="0"/>
      <w:marRight w:val="0"/>
      <w:marTop w:val="0"/>
      <w:marBottom w:val="0"/>
      <w:divBdr>
        <w:top w:val="none" w:sz="0" w:space="0" w:color="auto"/>
        <w:left w:val="none" w:sz="0" w:space="0" w:color="auto"/>
        <w:bottom w:val="none" w:sz="0" w:space="0" w:color="auto"/>
        <w:right w:val="none" w:sz="0" w:space="0" w:color="auto"/>
      </w:divBdr>
      <w:divsChild>
        <w:div w:id="1212577941">
          <w:marLeft w:val="0"/>
          <w:marRight w:val="0"/>
          <w:marTop w:val="0"/>
          <w:marBottom w:val="0"/>
          <w:divBdr>
            <w:top w:val="none" w:sz="0" w:space="0" w:color="auto"/>
            <w:left w:val="none" w:sz="0" w:space="0" w:color="auto"/>
            <w:bottom w:val="none" w:sz="0" w:space="0" w:color="auto"/>
            <w:right w:val="none" w:sz="0" w:space="0" w:color="auto"/>
          </w:divBdr>
          <w:divsChild>
            <w:div w:id="1183712575">
              <w:marLeft w:val="0"/>
              <w:marRight w:val="0"/>
              <w:marTop w:val="0"/>
              <w:marBottom w:val="0"/>
              <w:divBdr>
                <w:top w:val="none" w:sz="0" w:space="0" w:color="auto"/>
                <w:left w:val="none" w:sz="0" w:space="0" w:color="auto"/>
                <w:bottom w:val="none" w:sz="0" w:space="0" w:color="auto"/>
                <w:right w:val="none" w:sz="0" w:space="0" w:color="auto"/>
              </w:divBdr>
              <w:divsChild>
                <w:div w:id="707534235">
                  <w:marLeft w:val="0"/>
                  <w:marRight w:val="0"/>
                  <w:marTop w:val="0"/>
                  <w:marBottom w:val="0"/>
                  <w:divBdr>
                    <w:top w:val="none" w:sz="0" w:space="0" w:color="auto"/>
                    <w:left w:val="none" w:sz="0" w:space="0" w:color="auto"/>
                    <w:bottom w:val="none" w:sz="0" w:space="0" w:color="auto"/>
                    <w:right w:val="none" w:sz="0" w:space="0" w:color="auto"/>
                  </w:divBdr>
                  <w:divsChild>
                    <w:div w:id="100520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65374476">
      <w:bodyDiv w:val="1"/>
      <w:marLeft w:val="0"/>
      <w:marRight w:val="0"/>
      <w:marTop w:val="0"/>
      <w:marBottom w:val="0"/>
      <w:divBdr>
        <w:top w:val="none" w:sz="0" w:space="0" w:color="auto"/>
        <w:left w:val="none" w:sz="0" w:space="0" w:color="auto"/>
        <w:bottom w:val="none" w:sz="0" w:space="0" w:color="auto"/>
        <w:right w:val="none" w:sz="0" w:space="0" w:color="auto"/>
      </w:divBdr>
      <w:divsChild>
        <w:div w:id="1640186545">
          <w:marLeft w:val="0"/>
          <w:marRight w:val="0"/>
          <w:marTop w:val="0"/>
          <w:marBottom w:val="0"/>
          <w:divBdr>
            <w:top w:val="none" w:sz="0" w:space="0" w:color="auto"/>
            <w:left w:val="none" w:sz="0" w:space="0" w:color="auto"/>
            <w:bottom w:val="none" w:sz="0" w:space="0" w:color="auto"/>
            <w:right w:val="none" w:sz="0" w:space="0" w:color="auto"/>
          </w:divBdr>
        </w:div>
      </w:divsChild>
    </w:div>
    <w:div w:id="366025927">
      <w:bodyDiv w:val="1"/>
      <w:marLeft w:val="0"/>
      <w:marRight w:val="0"/>
      <w:marTop w:val="0"/>
      <w:marBottom w:val="0"/>
      <w:divBdr>
        <w:top w:val="none" w:sz="0" w:space="0" w:color="auto"/>
        <w:left w:val="none" w:sz="0" w:space="0" w:color="auto"/>
        <w:bottom w:val="none" w:sz="0" w:space="0" w:color="auto"/>
        <w:right w:val="none" w:sz="0" w:space="0" w:color="auto"/>
      </w:divBdr>
    </w:div>
    <w:div w:id="367025081">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6315320">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3065519">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0544420">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393506092">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07925378">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3430607">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5442163">
      <w:bodyDiv w:val="1"/>
      <w:marLeft w:val="0"/>
      <w:marRight w:val="0"/>
      <w:marTop w:val="0"/>
      <w:marBottom w:val="0"/>
      <w:divBdr>
        <w:top w:val="none" w:sz="0" w:space="0" w:color="auto"/>
        <w:left w:val="none" w:sz="0" w:space="0" w:color="auto"/>
        <w:bottom w:val="none" w:sz="0" w:space="0" w:color="auto"/>
        <w:right w:val="none" w:sz="0" w:space="0" w:color="auto"/>
      </w:divBdr>
    </w:div>
    <w:div w:id="415908267">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2724184">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255569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8523608">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3043469">
      <w:bodyDiv w:val="1"/>
      <w:marLeft w:val="0"/>
      <w:marRight w:val="0"/>
      <w:marTop w:val="0"/>
      <w:marBottom w:val="0"/>
      <w:divBdr>
        <w:top w:val="none" w:sz="0" w:space="0" w:color="auto"/>
        <w:left w:val="none" w:sz="0" w:space="0" w:color="auto"/>
        <w:bottom w:val="none" w:sz="0" w:space="0" w:color="auto"/>
        <w:right w:val="none" w:sz="0" w:space="0" w:color="auto"/>
      </w:divBdr>
      <w:divsChild>
        <w:div w:id="1534420866">
          <w:marLeft w:val="0"/>
          <w:marRight w:val="0"/>
          <w:marTop w:val="0"/>
          <w:marBottom w:val="0"/>
          <w:divBdr>
            <w:top w:val="none" w:sz="0" w:space="0" w:color="auto"/>
            <w:left w:val="none" w:sz="0" w:space="0" w:color="auto"/>
            <w:bottom w:val="none" w:sz="0" w:space="0" w:color="auto"/>
            <w:right w:val="none" w:sz="0" w:space="0" w:color="auto"/>
          </w:divBdr>
        </w:div>
      </w:divsChild>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9860268">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78040210">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415407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4370212">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5753633">
      <w:bodyDiv w:val="1"/>
      <w:marLeft w:val="0"/>
      <w:marRight w:val="0"/>
      <w:marTop w:val="0"/>
      <w:marBottom w:val="0"/>
      <w:divBdr>
        <w:top w:val="none" w:sz="0" w:space="0" w:color="auto"/>
        <w:left w:val="none" w:sz="0" w:space="0" w:color="auto"/>
        <w:bottom w:val="none" w:sz="0" w:space="0" w:color="auto"/>
        <w:right w:val="none" w:sz="0" w:space="0" w:color="auto"/>
      </w:divBdr>
    </w:div>
    <w:div w:id="507523406">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19123261">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074554">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50463611">
      <w:bodyDiv w:val="1"/>
      <w:marLeft w:val="0"/>
      <w:marRight w:val="0"/>
      <w:marTop w:val="0"/>
      <w:marBottom w:val="0"/>
      <w:divBdr>
        <w:top w:val="none" w:sz="0" w:space="0" w:color="auto"/>
        <w:left w:val="none" w:sz="0" w:space="0" w:color="auto"/>
        <w:bottom w:val="none" w:sz="0" w:space="0" w:color="auto"/>
        <w:right w:val="none" w:sz="0" w:space="0" w:color="auto"/>
      </w:divBdr>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14096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0428789">
      <w:bodyDiv w:val="1"/>
      <w:marLeft w:val="0"/>
      <w:marRight w:val="0"/>
      <w:marTop w:val="0"/>
      <w:marBottom w:val="0"/>
      <w:divBdr>
        <w:top w:val="none" w:sz="0" w:space="0" w:color="auto"/>
        <w:left w:val="none" w:sz="0" w:space="0" w:color="auto"/>
        <w:bottom w:val="none" w:sz="0" w:space="0" w:color="auto"/>
        <w:right w:val="none" w:sz="0" w:space="0" w:color="auto"/>
      </w:divBdr>
    </w:div>
    <w:div w:id="591159309">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4654511">
      <w:bodyDiv w:val="1"/>
      <w:marLeft w:val="0"/>
      <w:marRight w:val="0"/>
      <w:marTop w:val="0"/>
      <w:marBottom w:val="0"/>
      <w:divBdr>
        <w:top w:val="none" w:sz="0" w:space="0" w:color="auto"/>
        <w:left w:val="none" w:sz="0" w:space="0" w:color="auto"/>
        <w:bottom w:val="none" w:sz="0" w:space="0" w:color="auto"/>
        <w:right w:val="none" w:sz="0" w:space="0" w:color="auto"/>
      </w:divBdr>
    </w:div>
    <w:div w:id="604925318">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003883">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09552677">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3756222">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03248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1153">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2921280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199122">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315479">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3534262">
      <w:bodyDiv w:val="1"/>
      <w:marLeft w:val="0"/>
      <w:marRight w:val="0"/>
      <w:marTop w:val="0"/>
      <w:marBottom w:val="0"/>
      <w:divBdr>
        <w:top w:val="none" w:sz="0" w:space="0" w:color="auto"/>
        <w:left w:val="none" w:sz="0" w:space="0" w:color="auto"/>
        <w:bottom w:val="none" w:sz="0" w:space="0" w:color="auto"/>
        <w:right w:val="none" w:sz="0" w:space="0" w:color="auto"/>
      </w:divBdr>
    </w:div>
    <w:div w:id="654722852">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8412147">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1765677">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4772292">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1736605">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2023479">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7796975">
      <w:bodyDiv w:val="1"/>
      <w:marLeft w:val="0"/>
      <w:marRight w:val="0"/>
      <w:marTop w:val="0"/>
      <w:marBottom w:val="0"/>
      <w:divBdr>
        <w:top w:val="none" w:sz="0" w:space="0" w:color="auto"/>
        <w:left w:val="none" w:sz="0" w:space="0" w:color="auto"/>
        <w:bottom w:val="none" w:sz="0" w:space="0" w:color="auto"/>
        <w:right w:val="none" w:sz="0" w:space="0" w:color="auto"/>
      </w:divBdr>
    </w:div>
    <w:div w:id="708993533">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7633877">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572021">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46071095">
      <w:bodyDiv w:val="1"/>
      <w:marLeft w:val="0"/>
      <w:marRight w:val="0"/>
      <w:marTop w:val="0"/>
      <w:marBottom w:val="0"/>
      <w:divBdr>
        <w:top w:val="none" w:sz="0" w:space="0" w:color="auto"/>
        <w:left w:val="none" w:sz="0" w:space="0" w:color="auto"/>
        <w:bottom w:val="none" w:sz="0" w:space="0" w:color="auto"/>
        <w:right w:val="none" w:sz="0" w:space="0" w:color="auto"/>
      </w:divBdr>
    </w:div>
    <w:div w:id="746996057">
      <w:bodyDiv w:val="1"/>
      <w:marLeft w:val="0"/>
      <w:marRight w:val="0"/>
      <w:marTop w:val="0"/>
      <w:marBottom w:val="0"/>
      <w:divBdr>
        <w:top w:val="none" w:sz="0" w:space="0" w:color="auto"/>
        <w:left w:val="none" w:sz="0" w:space="0" w:color="auto"/>
        <w:bottom w:val="none" w:sz="0" w:space="0" w:color="auto"/>
        <w:right w:val="none" w:sz="0" w:space="0" w:color="auto"/>
      </w:divBdr>
    </w:div>
    <w:div w:id="748355893">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095417">
      <w:bodyDiv w:val="1"/>
      <w:marLeft w:val="0"/>
      <w:marRight w:val="0"/>
      <w:marTop w:val="0"/>
      <w:marBottom w:val="0"/>
      <w:divBdr>
        <w:top w:val="none" w:sz="0" w:space="0" w:color="auto"/>
        <w:left w:val="none" w:sz="0" w:space="0" w:color="auto"/>
        <w:bottom w:val="none" w:sz="0" w:space="0" w:color="auto"/>
        <w:right w:val="none" w:sz="0" w:space="0" w:color="auto"/>
      </w:divBdr>
      <w:divsChild>
        <w:div w:id="418864960">
          <w:marLeft w:val="0"/>
          <w:marRight w:val="0"/>
          <w:marTop w:val="0"/>
          <w:marBottom w:val="240"/>
          <w:divBdr>
            <w:top w:val="none" w:sz="0" w:space="0" w:color="auto"/>
            <w:left w:val="none" w:sz="0" w:space="0" w:color="auto"/>
            <w:bottom w:val="none" w:sz="0" w:space="0" w:color="auto"/>
            <w:right w:val="none" w:sz="0" w:space="0" w:color="auto"/>
          </w:divBdr>
          <w:divsChild>
            <w:div w:id="1840775749">
              <w:marLeft w:val="0"/>
              <w:marRight w:val="0"/>
              <w:marTop w:val="0"/>
              <w:marBottom w:val="0"/>
              <w:divBdr>
                <w:top w:val="none" w:sz="0" w:space="0" w:color="auto"/>
                <w:left w:val="none" w:sz="0" w:space="0" w:color="auto"/>
                <w:bottom w:val="none" w:sz="0" w:space="0" w:color="auto"/>
                <w:right w:val="none" w:sz="0" w:space="0" w:color="auto"/>
              </w:divBdr>
              <w:divsChild>
                <w:div w:id="984818356">
                  <w:marLeft w:val="0"/>
                  <w:marRight w:val="0"/>
                  <w:marTop w:val="0"/>
                  <w:marBottom w:val="240"/>
                  <w:divBdr>
                    <w:top w:val="none" w:sz="0" w:space="0" w:color="auto"/>
                    <w:left w:val="none" w:sz="0" w:space="0" w:color="auto"/>
                    <w:bottom w:val="none" w:sz="0" w:space="0" w:color="auto"/>
                    <w:right w:val="none" w:sz="0" w:space="0" w:color="auto"/>
                  </w:divBdr>
                  <w:divsChild>
                    <w:div w:id="620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8500465">
      <w:bodyDiv w:val="1"/>
      <w:marLeft w:val="0"/>
      <w:marRight w:val="0"/>
      <w:marTop w:val="0"/>
      <w:marBottom w:val="0"/>
      <w:divBdr>
        <w:top w:val="none" w:sz="0" w:space="0" w:color="auto"/>
        <w:left w:val="none" w:sz="0" w:space="0" w:color="auto"/>
        <w:bottom w:val="none" w:sz="0" w:space="0" w:color="auto"/>
        <w:right w:val="none" w:sz="0" w:space="0" w:color="auto"/>
      </w:divBdr>
    </w:div>
    <w:div w:id="773289421">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8937206">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797840573">
      <w:bodyDiv w:val="1"/>
      <w:marLeft w:val="0"/>
      <w:marRight w:val="0"/>
      <w:marTop w:val="0"/>
      <w:marBottom w:val="0"/>
      <w:divBdr>
        <w:top w:val="none" w:sz="0" w:space="0" w:color="auto"/>
        <w:left w:val="none" w:sz="0" w:space="0" w:color="auto"/>
        <w:bottom w:val="none" w:sz="0" w:space="0" w:color="auto"/>
        <w:right w:val="none" w:sz="0" w:space="0" w:color="auto"/>
      </w:divBdr>
      <w:divsChild>
        <w:div w:id="212889312">
          <w:marLeft w:val="0"/>
          <w:marRight w:val="0"/>
          <w:marTop w:val="0"/>
          <w:marBottom w:val="0"/>
          <w:divBdr>
            <w:top w:val="none" w:sz="0" w:space="0" w:color="auto"/>
            <w:left w:val="none" w:sz="0" w:space="0" w:color="auto"/>
            <w:bottom w:val="none" w:sz="0" w:space="0" w:color="auto"/>
            <w:right w:val="none" w:sz="0" w:space="0" w:color="auto"/>
          </w:divBdr>
        </w:div>
      </w:divsChild>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3237030">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1870600">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18812477">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4662316">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29560599">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123537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0294690">
      <w:bodyDiv w:val="1"/>
      <w:marLeft w:val="0"/>
      <w:marRight w:val="0"/>
      <w:marTop w:val="0"/>
      <w:marBottom w:val="0"/>
      <w:divBdr>
        <w:top w:val="none" w:sz="0" w:space="0" w:color="auto"/>
        <w:left w:val="none" w:sz="0" w:space="0" w:color="auto"/>
        <w:bottom w:val="none" w:sz="0" w:space="0" w:color="auto"/>
        <w:right w:val="none" w:sz="0" w:space="0" w:color="auto"/>
      </w:divBdr>
    </w:div>
    <w:div w:id="851257283">
      <w:bodyDiv w:val="1"/>
      <w:marLeft w:val="0"/>
      <w:marRight w:val="0"/>
      <w:marTop w:val="0"/>
      <w:marBottom w:val="0"/>
      <w:divBdr>
        <w:top w:val="none" w:sz="0" w:space="0" w:color="auto"/>
        <w:left w:val="none" w:sz="0" w:space="0" w:color="auto"/>
        <w:bottom w:val="none" w:sz="0" w:space="0" w:color="auto"/>
        <w:right w:val="none" w:sz="0" w:space="0" w:color="auto"/>
      </w:divBdr>
      <w:divsChild>
        <w:div w:id="1724908419">
          <w:marLeft w:val="0"/>
          <w:marRight w:val="0"/>
          <w:marTop w:val="0"/>
          <w:marBottom w:val="240"/>
          <w:divBdr>
            <w:top w:val="none" w:sz="0" w:space="0" w:color="auto"/>
            <w:left w:val="none" w:sz="0" w:space="0" w:color="auto"/>
            <w:bottom w:val="none" w:sz="0" w:space="0" w:color="auto"/>
            <w:right w:val="none" w:sz="0" w:space="0" w:color="auto"/>
          </w:divBdr>
          <w:divsChild>
            <w:div w:id="1413042398">
              <w:marLeft w:val="0"/>
              <w:marRight w:val="0"/>
              <w:marTop w:val="0"/>
              <w:marBottom w:val="0"/>
              <w:divBdr>
                <w:top w:val="none" w:sz="0" w:space="0" w:color="auto"/>
                <w:left w:val="none" w:sz="0" w:space="0" w:color="auto"/>
                <w:bottom w:val="none" w:sz="0" w:space="0" w:color="auto"/>
                <w:right w:val="none" w:sz="0" w:space="0" w:color="auto"/>
              </w:divBdr>
              <w:divsChild>
                <w:div w:id="1792087360">
                  <w:marLeft w:val="0"/>
                  <w:marRight w:val="0"/>
                  <w:marTop w:val="0"/>
                  <w:marBottom w:val="240"/>
                  <w:divBdr>
                    <w:top w:val="none" w:sz="0" w:space="0" w:color="auto"/>
                    <w:left w:val="none" w:sz="0" w:space="0" w:color="auto"/>
                    <w:bottom w:val="none" w:sz="0" w:space="0" w:color="auto"/>
                    <w:right w:val="none" w:sz="0" w:space="0" w:color="auto"/>
                  </w:divBdr>
                  <w:divsChild>
                    <w:div w:id="159227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67838204">
      <w:bodyDiv w:val="1"/>
      <w:marLeft w:val="0"/>
      <w:marRight w:val="0"/>
      <w:marTop w:val="0"/>
      <w:marBottom w:val="0"/>
      <w:divBdr>
        <w:top w:val="none" w:sz="0" w:space="0" w:color="auto"/>
        <w:left w:val="none" w:sz="0" w:space="0" w:color="auto"/>
        <w:bottom w:val="none" w:sz="0" w:space="0" w:color="auto"/>
        <w:right w:val="none" w:sz="0" w:space="0" w:color="auto"/>
      </w:divBdr>
      <w:divsChild>
        <w:div w:id="1988052258">
          <w:marLeft w:val="0"/>
          <w:marRight w:val="0"/>
          <w:marTop w:val="0"/>
          <w:marBottom w:val="0"/>
          <w:divBdr>
            <w:top w:val="none" w:sz="0" w:space="0" w:color="auto"/>
            <w:left w:val="none" w:sz="0" w:space="0" w:color="auto"/>
            <w:bottom w:val="none" w:sz="0" w:space="0" w:color="auto"/>
            <w:right w:val="none" w:sz="0" w:space="0" w:color="auto"/>
          </w:divBdr>
        </w:div>
      </w:divsChild>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7467847">
      <w:bodyDiv w:val="1"/>
      <w:marLeft w:val="0"/>
      <w:marRight w:val="0"/>
      <w:marTop w:val="0"/>
      <w:marBottom w:val="0"/>
      <w:divBdr>
        <w:top w:val="none" w:sz="0" w:space="0" w:color="auto"/>
        <w:left w:val="none" w:sz="0" w:space="0" w:color="auto"/>
        <w:bottom w:val="none" w:sz="0" w:space="0" w:color="auto"/>
        <w:right w:val="none" w:sz="0" w:space="0" w:color="auto"/>
      </w:divBdr>
    </w:div>
    <w:div w:id="877621607">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0193046">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857632">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899173433">
      <w:bodyDiv w:val="1"/>
      <w:marLeft w:val="0"/>
      <w:marRight w:val="0"/>
      <w:marTop w:val="0"/>
      <w:marBottom w:val="0"/>
      <w:divBdr>
        <w:top w:val="none" w:sz="0" w:space="0" w:color="auto"/>
        <w:left w:val="none" w:sz="0" w:space="0" w:color="auto"/>
        <w:bottom w:val="none" w:sz="0" w:space="0" w:color="auto"/>
        <w:right w:val="none" w:sz="0" w:space="0" w:color="auto"/>
      </w:divBdr>
    </w:div>
    <w:div w:id="899292377">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1810055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5072132">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3366118">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7637321">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77614469">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2975">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538245">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1004698246">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2024266">
      <w:bodyDiv w:val="1"/>
      <w:marLeft w:val="0"/>
      <w:marRight w:val="0"/>
      <w:marTop w:val="0"/>
      <w:marBottom w:val="0"/>
      <w:divBdr>
        <w:top w:val="none" w:sz="0" w:space="0" w:color="auto"/>
        <w:left w:val="none" w:sz="0" w:space="0" w:color="auto"/>
        <w:bottom w:val="none" w:sz="0" w:space="0" w:color="auto"/>
        <w:right w:val="none" w:sz="0" w:space="0" w:color="auto"/>
      </w:divBdr>
    </w:div>
    <w:div w:id="1013341992">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1586003">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3476947">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0402345">
      <w:bodyDiv w:val="1"/>
      <w:marLeft w:val="0"/>
      <w:marRight w:val="0"/>
      <w:marTop w:val="0"/>
      <w:marBottom w:val="0"/>
      <w:divBdr>
        <w:top w:val="none" w:sz="0" w:space="0" w:color="auto"/>
        <w:left w:val="none" w:sz="0" w:space="0" w:color="auto"/>
        <w:bottom w:val="none" w:sz="0" w:space="0" w:color="auto"/>
        <w:right w:val="none" w:sz="0" w:space="0" w:color="auto"/>
      </w:divBdr>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48722693">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59476839">
      <w:bodyDiv w:val="1"/>
      <w:marLeft w:val="0"/>
      <w:marRight w:val="0"/>
      <w:marTop w:val="0"/>
      <w:marBottom w:val="0"/>
      <w:divBdr>
        <w:top w:val="none" w:sz="0" w:space="0" w:color="auto"/>
        <w:left w:val="none" w:sz="0" w:space="0" w:color="auto"/>
        <w:bottom w:val="none" w:sz="0" w:space="0" w:color="auto"/>
        <w:right w:val="none" w:sz="0" w:space="0" w:color="auto"/>
      </w:divBdr>
    </w:div>
    <w:div w:id="1061832266">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35453">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3255433">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6921674">
      <w:bodyDiv w:val="1"/>
      <w:marLeft w:val="0"/>
      <w:marRight w:val="0"/>
      <w:marTop w:val="0"/>
      <w:marBottom w:val="0"/>
      <w:divBdr>
        <w:top w:val="none" w:sz="0" w:space="0" w:color="auto"/>
        <w:left w:val="none" w:sz="0" w:space="0" w:color="auto"/>
        <w:bottom w:val="none" w:sz="0" w:space="0" w:color="auto"/>
        <w:right w:val="none" w:sz="0" w:space="0" w:color="auto"/>
      </w:divBdr>
      <w:divsChild>
        <w:div w:id="867260601">
          <w:marLeft w:val="0"/>
          <w:marRight w:val="0"/>
          <w:marTop w:val="0"/>
          <w:marBottom w:val="0"/>
          <w:divBdr>
            <w:top w:val="none" w:sz="0" w:space="0" w:color="auto"/>
            <w:left w:val="none" w:sz="0" w:space="0" w:color="auto"/>
            <w:bottom w:val="none" w:sz="0" w:space="0" w:color="auto"/>
            <w:right w:val="none" w:sz="0" w:space="0" w:color="auto"/>
          </w:divBdr>
        </w:div>
      </w:divsChild>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092663">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416945">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09856545">
      <w:bodyDiv w:val="1"/>
      <w:marLeft w:val="0"/>
      <w:marRight w:val="0"/>
      <w:marTop w:val="0"/>
      <w:marBottom w:val="0"/>
      <w:divBdr>
        <w:top w:val="none" w:sz="0" w:space="0" w:color="auto"/>
        <w:left w:val="none" w:sz="0" w:space="0" w:color="auto"/>
        <w:bottom w:val="none" w:sz="0" w:space="0" w:color="auto"/>
        <w:right w:val="none" w:sz="0" w:space="0" w:color="auto"/>
      </w:divBdr>
    </w:div>
    <w:div w:id="1111513956">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4179406">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6699610">
      <w:bodyDiv w:val="1"/>
      <w:marLeft w:val="0"/>
      <w:marRight w:val="0"/>
      <w:marTop w:val="0"/>
      <w:marBottom w:val="0"/>
      <w:divBdr>
        <w:top w:val="none" w:sz="0" w:space="0" w:color="auto"/>
        <w:left w:val="none" w:sz="0" w:space="0" w:color="auto"/>
        <w:bottom w:val="none" w:sz="0" w:space="0" w:color="auto"/>
        <w:right w:val="none" w:sz="0" w:space="0" w:color="auto"/>
      </w:divBdr>
    </w:div>
    <w:div w:id="1128596354">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37334282">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4737006">
      <w:bodyDiv w:val="1"/>
      <w:marLeft w:val="0"/>
      <w:marRight w:val="0"/>
      <w:marTop w:val="0"/>
      <w:marBottom w:val="0"/>
      <w:divBdr>
        <w:top w:val="none" w:sz="0" w:space="0" w:color="auto"/>
        <w:left w:val="none" w:sz="0" w:space="0" w:color="auto"/>
        <w:bottom w:val="none" w:sz="0" w:space="0" w:color="auto"/>
        <w:right w:val="none" w:sz="0" w:space="0" w:color="auto"/>
      </w:divBdr>
    </w:div>
    <w:div w:id="1145665508">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4571030">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58499863">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1602960">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8526693">
      <w:bodyDiv w:val="1"/>
      <w:marLeft w:val="0"/>
      <w:marRight w:val="0"/>
      <w:marTop w:val="0"/>
      <w:marBottom w:val="0"/>
      <w:divBdr>
        <w:top w:val="none" w:sz="0" w:space="0" w:color="auto"/>
        <w:left w:val="none" w:sz="0" w:space="0" w:color="auto"/>
        <w:bottom w:val="none" w:sz="0" w:space="0" w:color="auto"/>
        <w:right w:val="none" w:sz="0" w:space="0" w:color="auto"/>
      </w:divBdr>
    </w:div>
    <w:div w:id="1189484236">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4002343">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4631351">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1114330">
      <w:bodyDiv w:val="1"/>
      <w:marLeft w:val="0"/>
      <w:marRight w:val="0"/>
      <w:marTop w:val="0"/>
      <w:marBottom w:val="0"/>
      <w:divBdr>
        <w:top w:val="none" w:sz="0" w:space="0" w:color="auto"/>
        <w:left w:val="none" w:sz="0" w:space="0" w:color="auto"/>
        <w:bottom w:val="none" w:sz="0" w:space="0" w:color="auto"/>
        <w:right w:val="none" w:sz="0" w:space="0" w:color="auto"/>
      </w:divBdr>
    </w:div>
    <w:div w:id="1213150583">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195481">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5679121">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521548">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5019905">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59017936">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051126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81766622">
      <w:bodyDiv w:val="1"/>
      <w:marLeft w:val="0"/>
      <w:marRight w:val="0"/>
      <w:marTop w:val="0"/>
      <w:marBottom w:val="0"/>
      <w:divBdr>
        <w:top w:val="none" w:sz="0" w:space="0" w:color="auto"/>
        <w:left w:val="none" w:sz="0" w:space="0" w:color="auto"/>
        <w:bottom w:val="none" w:sz="0" w:space="0" w:color="auto"/>
        <w:right w:val="none" w:sz="0" w:space="0" w:color="auto"/>
      </w:divBdr>
    </w:div>
    <w:div w:id="1283881033">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5597266">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409476">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18653296">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67544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012053">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76849152">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2943649">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8742163">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0440470">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04984488">
      <w:bodyDiv w:val="1"/>
      <w:marLeft w:val="0"/>
      <w:marRight w:val="0"/>
      <w:marTop w:val="0"/>
      <w:marBottom w:val="0"/>
      <w:divBdr>
        <w:top w:val="none" w:sz="0" w:space="0" w:color="auto"/>
        <w:left w:val="none" w:sz="0" w:space="0" w:color="auto"/>
        <w:bottom w:val="none" w:sz="0" w:space="0" w:color="auto"/>
        <w:right w:val="none" w:sz="0" w:space="0" w:color="auto"/>
      </w:divBdr>
    </w:div>
    <w:div w:id="1406682335">
      <w:bodyDiv w:val="1"/>
      <w:marLeft w:val="0"/>
      <w:marRight w:val="0"/>
      <w:marTop w:val="0"/>
      <w:marBottom w:val="0"/>
      <w:divBdr>
        <w:top w:val="none" w:sz="0" w:space="0" w:color="auto"/>
        <w:left w:val="none" w:sz="0" w:space="0" w:color="auto"/>
        <w:bottom w:val="none" w:sz="0" w:space="0" w:color="auto"/>
        <w:right w:val="none" w:sz="0" w:space="0" w:color="auto"/>
      </w:divBdr>
    </w:div>
    <w:div w:id="1410495067">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6219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247515">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27000979">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3767483">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435053">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1827431">
      <w:bodyDiv w:val="1"/>
      <w:marLeft w:val="0"/>
      <w:marRight w:val="0"/>
      <w:marTop w:val="0"/>
      <w:marBottom w:val="0"/>
      <w:divBdr>
        <w:top w:val="none" w:sz="0" w:space="0" w:color="auto"/>
        <w:left w:val="none" w:sz="0" w:space="0" w:color="auto"/>
        <w:bottom w:val="none" w:sz="0" w:space="0" w:color="auto"/>
        <w:right w:val="none" w:sz="0" w:space="0" w:color="auto"/>
      </w:divBdr>
    </w:div>
    <w:div w:id="147197090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4354140">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6385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7936452">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2401818">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6020390">
      <w:bodyDiv w:val="1"/>
      <w:marLeft w:val="0"/>
      <w:marRight w:val="0"/>
      <w:marTop w:val="0"/>
      <w:marBottom w:val="0"/>
      <w:divBdr>
        <w:top w:val="none" w:sz="0" w:space="0" w:color="auto"/>
        <w:left w:val="none" w:sz="0" w:space="0" w:color="auto"/>
        <w:bottom w:val="none" w:sz="0" w:space="0" w:color="auto"/>
        <w:right w:val="none" w:sz="0" w:space="0" w:color="auto"/>
      </w:divBdr>
    </w:div>
    <w:div w:id="1526140005">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077864">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7817217">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39079648">
      <w:bodyDiv w:val="1"/>
      <w:marLeft w:val="0"/>
      <w:marRight w:val="0"/>
      <w:marTop w:val="0"/>
      <w:marBottom w:val="0"/>
      <w:divBdr>
        <w:top w:val="none" w:sz="0" w:space="0" w:color="auto"/>
        <w:left w:val="none" w:sz="0" w:space="0" w:color="auto"/>
        <w:bottom w:val="none" w:sz="0" w:space="0" w:color="auto"/>
        <w:right w:val="none" w:sz="0" w:space="0" w:color="auto"/>
      </w:divBdr>
      <w:divsChild>
        <w:div w:id="166139965">
          <w:marLeft w:val="0"/>
          <w:marRight w:val="0"/>
          <w:marTop w:val="0"/>
          <w:marBottom w:val="0"/>
          <w:divBdr>
            <w:top w:val="none" w:sz="0" w:space="0" w:color="auto"/>
            <w:left w:val="none" w:sz="0" w:space="0" w:color="auto"/>
            <w:bottom w:val="none" w:sz="0" w:space="0" w:color="auto"/>
            <w:right w:val="none" w:sz="0" w:space="0" w:color="auto"/>
          </w:divBdr>
        </w:div>
      </w:divsChild>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0554267">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6795267">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156199">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208939">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1216666">
      <w:bodyDiv w:val="1"/>
      <w:marLeft w:val="0"/>
      <w:marRight w:val="0"/>
      <w:marTop w:val="0"/>
      <w:marBottom w:val="0"/>
      <w:divBdr>
        <w:top w:val="none" w:sz="0" w:space="0" w:color="auto"/>
        <w:left w:val="none" w:sz="0" w:space="0" w:color="auto"/>
        <w:bottom w:val="none" w:sz="0" w:space="0" w:color="auto"/>
        <w:right w:val="none" w:sz="0" w:space="0" w:color="auto"/>
      </w:divBdr>
    </w:div>
    <w:div w:id="158252296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4408125">
      <w:bodyDiv w:val="1"/>
      <w:marLeft w:val="0"/>
      <w:marRight w:val="0"/>
      <w:marTop w:val="0"/>
      <w:marBottom w:val="0"/>
      <w:divBdr>
        <w:top w:val="none" w:sz="0" w:space="0" w:color="auto"/>
        <w:left w:val="none" w:sz="0" w:space="0" w:color="auto"/>
        <w:bottom w:val="none" w:sz="0" w:space="0" w:color="auto"/>
        <w:right w:val="none" w:sz="0" w:space="0" w:color="auto"/>
      </w:divBdr>
    </w:div>
    <w:div w:id="1584684069">
      <w:bodyDiv w:val="1"/>
      <w:marLeft w:val="0"/>
      <w:marRight w:val="0"/>
      <w:marTop w:val="0"/>
      <w:marBottom w:val="0"/>
      <w:divBdr>
        <w:top w:val="none" w:sz="0" w:space="0" w:color="auto"/>
        <w:left w:val="none" w:sz="0" w:space="0" w:color="auto"/>
        <w:bottom w:val="none" w:sz="0" w:space="0" w:color="auto"/>
        <w:right w:val="none" w:sz="0" w:space="0" w:color="auto"/>
      </w:divBdr>
    </w:div>
    <w:div w:id="1585456280">
      <w:bodyDiv w:val="1"/>
      <w:marLeft w:val="0"/>
      <w:marRight w:val="0"/>
      <w:marTop w:val="0"/>
      <w:marBottom w:val="0"/>
      <w:divBdr>
        <w:top w:val="none" w:sz="0" w:space="0" w:color="auto"/>
        <w:left w:val="none" w:sz="0" w:space="0" w:color="auto"/>
        <w:bottom w:val="none" w:sz="0" w:space="0" w:color="auto"/>
        <w:right w:val="none" w:sz="0" w:space="0" w:color="auto"/>
      </w:divBdr>
      <w:divsChild>
        <w:div w:id="444887264">
          <w:marLeft w:val="0"/>
          <w:marRight w:val="0"/>
          <w:marTop w:val="0"/>
          <w:marBottom w:val="0"/>
          <w:divBdr>
            <w:top w:val="none" w:sz="0" w:space="0" w:color="auto"/>
            <w:left w:val="none" w:sz="0" w:space="0" w:color="auto"/>
            <w:bottom w:val="none" w:sz="0" w:space="0" w:color="auto"/>
            <w:right w:val="none" w:sz="0" w:space="0" w:color="auto"/>
          </w:divBdr>
        </w:div>
      </w:divsChild>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89919319">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5551554">
      <w:bodyDiv w:val="1"/>
      <w:marLeft w:val="0"/>
      <w:marRight w:val="0"/>
      <w:marTop w:val="0"/>
      <w:marBottom w:val="0"/>
      <w:divBdr>
        <w:top w:val="none" w:sz="0" w:space="0" w:color="auto"/>
        <w:left w:val="none" w:sz="0" w:space="0" w:color="auto"/>
        <w:bottom w:val="none" w:sz="0" w:space="0" w:color="auto"/>
        <w:right w:val="none" w:sz="0" w:space="0" w:color="auto"/>
      </w:divBdr>
      <w:divsChild>
        <w:div w:id="63988725">
          <w:marLeft w:val="0"/>
          <w:marRight w:val="0"/>
          <w:marTop w:val="0"/>
          <w:marBottom w:val="0"/>
          <w:divBdr>
            <w:top w:val="none" w:sz="0" w:space="0" w:color="auto"/>
            <w:left w:val="none" w:sz="0" w:space="0" w:color="auto"/>
            <w:bottom w:val="none" w:sz="0" w:space="0" w:color="auto"/>
            <w:right w:val="none" w:sz="0" w:space="0" w:color="auto"/>
          </w:divBdr>
          <w:divsChild>
            <w:div w:id="745758813">
              <w:marLeft w:val="0"/>
              <w:marRight w:val="0"/>
              <w:marTop w:val="0"/>
              <w:marBottom w:val="0"/>
              <w:divBdr>
                <w:top w:val="none" w:sz="0" w:space="0" w:color="auto"/>
                <w:left w:val="none" w:sz="0" w:space="0" w:color="auto"/>
                <w:bottom w:val="none" w:sz="0" w:space="0" w:color="auto"/>
                <w:right w:val="none" w:sz="0" w:space="0" w:color="auto"/>
              </w:divBdr>
              <w:divsChild>
                <w:div w:id="1665475858">
                  <w:marLeft w:val="0"/>
                  <w:marRight w:val="0"/>
                  <w:marTop w:val="0"/>
                  <w:marBottom w:val="0"/>
                  <w:divBdr>
                    <w:top w:val="none" w:sz="0" w:space="0" w:color="auto"/>
                    <w:left w:val="none" w:sz="0" w:space="0" w:color="auto"/>
                    <w:bottom w:val="none" w:sz="0" w:space="0" w:color="auto"/>
                    <w:right w:val="none" w:sz="0" w:space="0" w:color="auto"/>
                  </w:divBdr>
                  <w:divsChild>
                    <w:div w:id="930773844">
                      <w:marLeft w:val="0"/>
                      <w:marRight w:val="0"/>
                      <w:marTop w:val="0"/>
                      <w:marBottom w:val="0"/>
                      <w:divBdr>
                        <w:top w:val="none" w:sz="0" w:space="0" w:color="auto"/>
                        <w:left w:val="none" w:sz="0" w:space="0" w:color="auto"/>
                        <w:bottom w:val="none" w:sz="0" w:space="0" w:color="auto"/>
                        <w:right w:val="none" w:sz="0" w:space="0" w:color="auto"/>
                      </w:divBdr>
                      <w:divsChild>
                        <w:div w:id="1782917364">
                          <w:marLeft w:val="0"/>
                          <w:marRight w:val="0"/>
                          <w:marTop w:val="0"/>
                          <w:marBottom w:val="0"/>
                          <w:divBdr>
                            <w:top w:val="none" w:sz="0" w:space="0" w:color="auto"/>
                            <w:left w:val="none" w:sz="0" w:space="0" w:color="auto"/>
                            <w:bottom w:val="none" w:sz="0" w:space="0" w:color="auto"/>
                            <w:right w:val="none" w:sz="0" w:space="0" w:color="auto"/>
                          </w:divBdr>
                          <w:divsChild>
                            <w:div w:id="1935161591">
                              <w:marLeft w:val="0"/>
                              <w:marRight w:val="0"/>
                              <w:marTop w:val="0"/>
                              <w:marBottom w:val="0"/>
                              <w:divBdr>
                                <w:top w:val="none" w:sz="0" w:space="0" w:color="auto"/>
                                <w:left w:val="none" w:sz="0" w:space="0" w:color="auto"/>
                                <w:bottom w:val="none" w:sz="0" w:space="0" w:color="auto"/>
                                <w:right w:val="none" w:sz="0" w:space="0" w:color="auto"/>
                              </w:divBdr>
                              <w:divsChild>
                                <w:div w:id="1062023811">
                                  <w:marLeft w:val="0"/>
                                  <w:marRight w:val="0"/>
                                  <w:marTop w:val="0"/>
                                  <w:marBottom w:val="0"/>
                                  <w:divBdr>
                                    <w:top w:val="none" w:sz="0" w:space="0" w:color="auto"/>
                                    <w:left w:val="none" w:sz="0" w:space="0" w:color="auto"/>
                                    <w:bottom w:val="none" w:sz="0" w:space="0" w:color="auto"/>
                                    <w:right w:val="none" w:sz="0" w:space="0" w:color="auto"/>
                                  </w:divBdr>
                                  <w:divsChild>
                                    <w:div w:id="360981390">
                                      <w:marLeft w:val="0"/>
                                      <w:marRight w:val="0"/>
                                      <w:marTop w:val="0"/>
                                      <w:marBottom w:val="0"/>
                                      <w:divBdr>
                                        <w:top w:val="none" w:sz="0" w:space="0" w:color="auto"/>
                                        <w:left w:val="none" w:sz="0" w:space="0" w:color="auto"/>
                                        <w:bottom w:val="none" w:sz="0" w:space="0" w:color="auto"/>
                                        <w:right w:val="none" w:sz="0" w:space="0" w:color="auto"/>
                                      </w:divBdr>
                                    </w:div>
                                    <w:div w:id="1796295834">
                                      <w:marLeft w:val="0"/>
                                      <w:marRight w:val="0"/>
                                      <w:marTop w:val="0"/>
                                      <w:marBottom w:val="0"/>
                                      <w:divBdr>
                                        <w:top w:val="none" w:sz="0" w:space="0" w:color="auto"/>
                                        <w:left w:val="none" w:sz="0" w:space="0" w:color="auto"/>
                                        <w:bottom w:val="none" w:sz="0" w:space="0" w:color="auto"/>
                                        <w:right w:val="none" w:sz="0" w:space="0" w:color="auto"/>
                                      </w:divBdr>
                                      <w:divsChild>
                                        <w:div w:id="1434785082">
                                          <w:marLeft w:val="0"/>
                                          <w:marRight w:val="165"/>
                                          <w:marTop w:val="150"/>
                                          <w:marBottom w:val="0"/>
                                          <w:divBdr>
                                            <w:top w:val="none" w:sz="0" w:space="0" w:color="auto"/>
                                            <w:left w:val="none" w:sz="0" w:space="0" w:color="auto"/>
                                            <w:bottom w:val="none" w:sz="0" w:space="0" w:color="auto"/>
                                            <w:right w:val="none" w:sz="0" w:space="0" w:color="auto"/>
                                          </w:divBdr>
                                          <w:divsChild>
                                            <w:div w:id="609707574">
                                              <w:marLeft w:val="0"/>
                                              <w:marRight w:val="0"/>
                                              <w:marTop w:val="0"/>
                                              <w:marBottom w:val="0"/>
                                              <w:divBdr>
                                                <w:top w:val="none" w:sz="0" w:space="0" w:color="auto"/>
                                                <w:left w:val="none" w:sz="0" w:space="0" w:color="auto"/>
                                                <w:bottom w:val="none" w:sz="0" w:space="0" w:color="auto"/>
                                                <w:right w:val="none" w:sz="0" w:space="0" w:color="auto"/>
                                              </w:divBdr>
                                              <w:divsChild>
                                                <w:div w:id="2423800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1182160">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6888949">
      <w:bodyDiv w:val="1"/>
      <w:marLeft w:val="0"/>
      <w:marRight w:val="0"/>
      <w:marTop w:val="0"/>
      <w:marBottom w:val="0"/>
      <w:divBdr>
        <w:top w:val="none" w:sz="0" w:space="0" w:color="auto"/>
        <w:left w:val="none" w:sz="0" w:space="0" w:color="auto"/>
        <w:bottom w:val="none" w:sz="0" w:space="0" w:color="auto"/>
        <w:right w:val="none" w:sz="0" w:space="0" w:color="auto"/>
      </w:divBdr>
    </w:div>
    <w:div w:id="1607467154">
      <w:bodyDiv w:val="1"/>
      <w:marLeft w:val="0"/>
      <w:marRight w:val="0"/>
      <w:marTop w:val="0"/>
      <w:marBottom w:val="0"/>
      <w:divBdr>
        <w:top w:val="none" w:sz="0" w:space="0" w:color="auto"/>
        <w:left w:val="none" w:sz="0" w:space="0" w:color="auto"/>
        <w:bottom w:val="none" w:sz="0" w:space="0" w:color="auto"/>
        <w:right w:val="none" w:sz="0" w:space="0" w:color="auto"/>
      </w:divBdr>
    </w:div>
    <w:div w:id="1607542898">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4464493">
      <w:bodyDiv w:val="1"/>
      <w:marLeft w:val="0"/>
      <w:marRight w:val="0"/>
      <w:marTop w:val="0"/>
      <w:marBottom w:val="0"/>
      <w:divBdr>
        <w:top w:val="none" w:sz="0" w:space="0" w:color="auto"/>
        <w:left w:val="none" w:sz="0" w:space="0" w:color="auto"/>
        <w:bottom w:val="none" w:sz="0" w:space="0" w:color="auto"/>
        <w:right w:val="none" w:sz="0" w:space="0" w:color="auto"/>
      </w:divBdr>
    </w:div>
    <w:div w:id="1625190858">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2153427">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663962">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4974222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4598011">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6974422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6377406">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78385184">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3528536">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5761557">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4688">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168244">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16528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0940795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697162">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1386">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32381257">
      <w:bodyDiv w:val="1"/>
      <w:marLeft w:val="0"/>
      <w:marRight w:val="0"/>
      <w:marTop w:val="0"/>
      <w:marBottom w:val="0"/>
      <w:divBdr>
        <w:top w:val="none" w:sz="0" w:space="0" w:color="auto"/>
        <w:left w:val="none" w:sz="0" w:space="0" w:color="auto"/>
        <w:bottom w:val="none" w:sz="0" w:space="0" w:color="auto"/>
        <w:right w:val="none" w:sz="0" w:space="0" w:color="auto"/>
      </w:divBdr>
    </w:div>
    <w:div w:id="1734428461">
      <w:bodyDiv w:val="1"/>
      <w:marLeft w:val="0"/>
      <w:marRight w:val="0"/>
      <w:marTop w:val="0"/>
      <w:marBottom w:val="0"/>
      <w:divBdr>
        <w:top w:val="none" w:sz="0" w:space="0" w:color="auto"/>
        <w:left w:val="none" w:sz="0" w:space="0" w:color="auto"/>
        <w:bottom w:val="none" w:sz="0" w:space="0" w:color="auto"/>
        <w:right w:val="none" w:sz="0" w:space="0" w:color="auto"/>
      </w:divBdr>
    </w:div>
    <w:div w:id="1736781517">
      <w:bodyDiv w:val="1"/>
      <w:marLeft w:val="0"/>
      <w:marRight w:val="0"/>
      <w:marTop w:val="0"/>
      <w:marBottom w:val="0"/>
      <w:divBdr>
        <w:top w:val="none" w:sz="0" w:space="0" w:color="auto"/>
        <w:left w:val="none" w:sz="0" w:space="0" w:color="auto"/>
        <w:bottom w:val="none" w:sz="0" w:space="0" w:color="auto"/>
        <w:right w:val="none" w:sz="0" w:space="0" w:color="auto"/>
      </w:divBdr>
    </w:div>
    <w:div w:id="1740206225">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5300614">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47916928">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365442">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6997932">
      <w:bodyDiv w:val="1"/>
      <w:marLeft w:val="0"/>
      <w:marRight w:val="0"/>
      <w:marTop w:val="0"/>
      <w:marBottom w:val="0"/>
      <w:divBdr>
        <w:top w:val="none" w:sz="0" w:space="0" w:color="auto"/>
        <w:left w:val="none" w:sz="0" w:space="0" w:color="auto"/>
        <w:bottom w:val="none" w:sz="0" w:space="0" w:color="auto"/>
        <w:right w:val="none" w:sz="0" w:space="0" w:color="auto"/>
      </w:divBdr>
      <w:divsChild>
        <w:div w:id="664673181">
          <w:marLeft w:val="0"/>
          <w:marRight w:val="0"/>
          <w:marTop w:val="0"/>
          <w:marBottom w:val="0"/>
          <w:divBdr>
            <w:top w:val="none" w:sz="0" w:space="0" w:color="auto"/>
            <w:left w:val="none" w:sz="0" w:space="0" w:color="auto"/>
            <w:bottom w:val="none" w:sz="0" w:space="0" w:color="auto"/>
            <w:right w:val="none" w:sz="0" w:space="0" w:color="auto"/>
          </w:divBdr>
        </w:div>
      </w:divsChild>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0854452">
      <w:bodyDiv w:val="1"/>
      <w:marLeft w:val="0"/>
      <w:marRight w:val="0"/>
      <w:marTop w:val="0"/>
      <w:marBottom w:val="0"/>
      <w:divBdr>
        <w:top w:val="none" w:sz="0" w:space="0" w:color="auto"/>
        <w:left w:val="none" w:sz="0" w:space="0" w:color="auto"/>
        <w:bottom w:val="none" w:sz="0" w:space="0" w:color="auto"/>
        <w:right w:val="none" w:sz="0" w:space="0" w:color="auto"/>
      </w:divBdr>
      <w:divsChild>
        <w:div w:id="1612081389">
          <w:marLeft w:val="0"/>
          <w:marRight w:val="0"/>
          <w:marTop w:val="0"/>
          <w:marBottom w:val="0"/>
          <w:divBdr>
            <w:top w:val="none" w:sz="0" w:space="0" w:color="auto"/>
            <w:left w:val="none" w:sz="0" w:space="0" w:color="auto"/>
            <w:bottom w:val="none" w:sz="0" w:space="0" w:color="auto"/>
            <w:right w:val="none" w:sz="0" w:space="0" w:color="auto"/>
          </w:divBdr>
          <w:divsChild>
            <w:div w:id="2030833571">
              <w:marLeft w:val="0"/>
              <w:marRight w:val="0"/>
              <w:marTop w:val="0"/>
              <w:marBottom w:val="0"/>
              <w:divBdr>
                <w:top w:val="none" w:sz="0" w:space="0" w:color="auto"/>
                <w:left w:val="none" w:sz="0" w:space="0" w:color="auto"/>
                <w:bottom w:val="none" w:sz="0" w:space="0" w:color="auto"/>
                <w:right w:val="none" w:sz="0" w:space="0" w:color="auto"/>
              </w:divBdr>
              <w:divsChild>
                <w:div w:id="873157734">
                  <w:marLeft w:val="0"/>
                  <w:marRight w:val="0"/>
                  <w:marTop w:val="0"/>
                  <w:marBottom w:val="0"/>
                  <w:divBdr>
                    <w:top w:val="none" w:sz="0" w:space="0" w:color="auto"/>
                    <w:left w:val="none" w:sz="0" w:space="0" w:color="auto"/>
                    <w:bottom w:val="none" w:sz="0" w:space="0" w:color="auto"/>
                    <w:right w:val="none" w:sz="0" w:space="0" w:color="auto"/>
                  </w:divBdr>
                  <w:divsChild>
                    <w:div w:id="964967092">
                      <w:marLeft w:val="0"/>
                      <w:marRight w:val="0"/>
                      <w:marTop w:val="0"/>
                      <w:marBottom w:val="0"/>
                      <w:divBdr>
                        <w:top w:val="none" w:sz="0" w:space="0" w:color="auto"/>
                        <w:left w:val="none" w:sz="0" w:space="0" w:color="auto"/>
                        <w:bottom w:val="none" w:sz="0" w:space="0" w:color="auto"/>
                        <w:right w:val="none" w:sz="0" w:space="0" w:color="auto"/>
                      </w:divBdr>
                      <w:divsChild>
                        <w:div w:id="19550652">
                          <w:marLeft w:val="0"/>
                          <w:marRight w:val="0"/>
                          <w:marTop w:val="0"/>
                          <w:marBottom w:val="0"/>
                          <w:divBdr>
                            <w:top w:val="none" w:sz="0" w:space="0" w:color="auto"/>
                            <w:left w:val="none" w:sz="0" w:space="0" w:color="auto"/>
                            <w:bottom w:val="none" w:sz="0" w:space="0" w:color="auto"/>
                            <w:right w:val="none" w:sz="0" w:space="0" w:color="auto"/>
                          </w:divBdr>
                          <w:divsChild>
                            <w:div w:id="1997031512">
                              <w:marLeft w:val="0"/>
                              <w:marRight w:val="0"/>
                              <w:marTop w:val="0"/>
                              <w:marBottom w:val="0"/>
                              <w:divBdr>
                                <w:top w:val="none" w:sz="0" w:space="0" w:color="auto"/>
                                <w:left w:val="none" w:sz="0" w:space="0" w:color="auto"/>
                                <w:bottom w:val="none" w:sz="0" w:space="0" w:color="auto"/>
                                <w:right w:val="none" w:sz="0" w:space="0" w:color="auto"/>
                              </w:divBdr>
                              <w:divsChild>
                                <w:div w:id="305554405">
                                  <w:marLeft w:val="0"/>
                                  <w:marRight w:val="0"/>
                                  <w:marTop w:val="0"/>
                                  <w:marBottom w:val="0"/>
                                  <w:divBdr>
                                    <w:top w:val="none" w:sz="0" w:space="0" w:color="auto"/>
                                    <w:left w:val="none" w:sz="0" w:space="0" w:color="auto"/>
                                    <w:bottom w:val="none" w:sz="0" w:space="0" w:color="auto"/>
                                    <w:right w:val="none" w:sz="0" w:space="0" w:color="auto"/>
                                  </w:divBdr>
                                  <w:divsChild>
                                    <w:div w:id="1884704858">
                                      <w:marLeft w:val="0"/>
                                      <w:marRight w:val="0"/>
                                      <w:marTop w:val="0"/>
                                      <w:marBottom w:val="0"/>
                                      <w:divBdr>
                                        <w:top w:val="none" w:sz="0" w:space="0" w:color="auto"/>
                                        <w:left w:val="none" w:sz="0" w:space="0" w:color="auto"/>
                                        <w:bottom w:val="none" w:sz="0" w:space="0" w:color="auto"/>
                                        <w:right w:val="none" w:sz="0" w:space="0" w:color="auto"/>
                                      </w:divBdr>
                                    </w:div>
                                    <w:div w:id="1256595539">
                                      <w:marLeft w:val="0"/>
                                      <w:marRight w:val="0"/>
                                      <w:marTop w:val="0"/>
                                      <w:marBottom w:val="0"/>
                                      <w:divBdr>
                                        <w:top w:val="none" w:sz="0" w:space="0" w:color="auto"/>
                                        <w:left w:val="none" w:sz="0" w:space="0" w:color="auto"/>
                                        <w:bottom w:val="none" w:sz="0" w:space="0" w:color="auto"/>
                                        <w:right w:val="none" w:sz="0" w:space="0" w:color="auto"/>
                                      </w:divBdr>
                                      <w:divsChild>
                                        <w:div w:id="1911574128">
                                          <w:marLeft w:val="0"/>
                                          <w:marRight w:val="165"/>
                                          <w:marTop w:val="150"/>
                                          <w:marBottom w:val="0"/>
                                          <w:divBdr>
                                            <w:top w:val="none" w:sz="0" w:space="0" w:color="auto"/>
                                            <w:left w:val="none" w:sz="0" w:space="0" w:color="auto"/>
                                            <w:bottom w:val="none" w:sz="0" w:space="0" w:color="auto"/>
                                            <w:right w:val="none" w:sz="0" w:space="0" w:color="auto"/>
                                          </w:divBdr>
                                          <w:divsChild>
                                            <w:div w:id="2097511836">
                                              <w:marLeft w:val="0"/>
                                              <w:marRight w:val="0"/>
                                              <w:marTop w:val="0"/>
                                              <w:marBottom w:val="0"/>
                                              <w:divBdr>
                                                <w:top w:val="none" w:sz="0" w:space="0" w:color="auto"/>
                                                <w:left w:val="none" w:sz="0" w:space="0" w:color="auto"/>
                                                <w:bottom w:val="none" w:sz="0" w:space="0" w:color="auto"/>
                                                <w:right w:val="none" w:sz="0" w:space="0" w:color="auto"/>
                                              </w:divBdr>
                                              <w:divsChild>
                                                <w:div w:id="6779312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1513506">
      <w:bodyDiv w:val="1"/>
      <w:marLeft w:val="0"/>
      <w:marRight w:val="0"/>
      <w:marTop w:val="0"/>
      <w:marBottom w:val="0"/>
      <w:divBdr>
        <w:top w:val="none" w:sz="0" w:space="0" w:color="auto"/>
        <w:left w:val="none" w:sz="0" w:space="0" w:color="auto"/>
        <w:bottom w:val="none" w:sz="0" w:space="0" w:color="auto"/>
        <w:right w:val="none" w:sz="0" w:space="0" w:color="auto"/>
      </w:divBdr>
    </w:div>
    <w:div w:id="1775636781">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445881">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90511023">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130142">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7985337">
      <w:bodyDiv w:val="1"/>
      <w:marLeft w:val="0"/>
      <w:marRight w:val="0"/>
      <w:marTop w:val="0"/>
      <w:marBottom w:val="0"/>
      <w:divBdr>
        <w:top w:val="none" w:sz="0" w:space="0" w:color="auto"/>
        <w:left w:val="none" w:sz="0" w:space="0" w:color="auto"/>
        <w:bottom w:val="none" w:sz="0" w:space="0" w:color="auto"/>
        <w:right w:val="none" w:sz="0" w:space="0" w:color="auto"/>
      </w:divBdr>
      <w:divsChild>
        <w:div w:id="1788155254">
          <w:marLeft w:val="0"/>
          <w:marRight w:val="0"/>
          <w:marTop w:val="0"/>
          <w:marBottom w:val="0"/>
          <w:divBdr>
            <w:top w:val="none" w:sz="0" w:space="0" w:color="auto"/>
            <w:left w:val="none" w:sz="0" w:space="0" w:color="auto"/>
            <w:bottom w:val="none" w:sz="0" w:space="0" w:color="auto"/>
            <w:right w:val="none" w:sz="0" w:space="0" w:color="auto"/>
          </w:divBdr>
        </w:div>
      </w:divsChild>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1456660">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3305669">
      <w:bodyDiv w:val="1"/>
      <w:marLeft w:val="0"/>
      <w:marRight w:val="0"/>
      <w:marTop w:val="0"/>
      <w:marBottom w:val="0"/>
      <w:divBdr>
        <w:top w:val="none" w:sz="0" w:space="0" w:color="auto"/>
        <w:left w:val="none" w:sz="0" w:space="0" w:color="auto"/>
        <w:bottom w:val="none" w:sz="0" w:space="0" w:color="auto"/>
        <w:right w:val="none" w:sz="0" w:space="0" w:color="auto"/>
      </w:divBdr>
    </w:div>
    <w:div w:id="1811316160">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4592769">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29131195">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118648">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80526">
      <w:bodyDiv w:val="1"/>
      <w:marLeft w:val="0"/>
      <w:marRight w:val="0"/>
      <w:marTop w:val="0"/>
      <w:marBottom w:val="0"/>
      <w:divBdr>
        <w:top w:val="none" w:sz="0" w:space="0" w:color="auto"/>
        <w:left w:val="none" w:sz="0" w:space="0" w:color="auto"/>
        <w:bottom w:val="none" w:sz="0" w:space="0" w:color="auto"/>
        <w:right w:val="none" w:sz="0" w:space="0" w:color="auto"/>
      </w:divBdr>
    </w:div>
    <w:div w:id="1846282623">
      <w:bodyDiv w:val="1"/>
      <w:marLeft w:val="0"/>
      <w:marRight w:val="0"/>
      <w:marTop w:val="0"/>
      <w:marBottom w:val="0"/>
      <w:divBdr>
        <w:top w:val="none" w:sz="0" w:space="0" w:color="auto"/>
        <w:left w:val="none" w:sz="0" w:space="0" w:color="auto"/>
        <w:bottom w:val="none" w:sz="0" w:space="0" w:color="auto"/>
        <w:right w:val="none" w:sz="0" w:space="0" w:color="auto"/>
      </w:divBdr>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49054904">
      <w:bodyDiv w:val="1"/>
      <w:marLeft w:val="0"/>
      <w:marRight w:val="0"/>
      <w:marTop w:val="0"/>
      <w:marBottom w:val="0"/>
      <w:divBdr>
        <w:top w:val="none" w:sz="0" w:space="0" w:color="auto"/>
        <w:left w:val="none" w:sz="0" w:space="0" w:color="auto"/>
        <w:bottom w:val="none" w:sz="0" w:space="0" w:color="auto"/>
        <w:right w:val="none" w:sz="0" w:space="0" w:color="auto"/>
      </w:divBdr>
    </w:div>
    <w:div w:id="1850295656">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4030579">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5921368">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8660030">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79665725">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2013802">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0221000">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0575277">
      <w:bodyDiv w:val="1"/>
      <w:marLeft w:val="0"/>
      <w:marRight w:val="0"/>
      <w:marTop w:val="0"/>
      <w:marBottom w:val="0"/>
      <w:divBdr>
        <w:top w:val="none" w:sz="0" w:space="0" w:color="auto"/>
        <w:left w:val="none" w:sz="0" w:space="0" w:color="auto"/>
        <w:bottom w:val="none" w:sz="0" w:space="0" w:color="auto"/>
        <w:right w:val="none" w:sz="0" w:space="0" w:color="auto"/>
      </w:divBdr>
    </w:div>
    <w:div w:id="1910964611">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467807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0654208">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38635079">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276308">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0425286">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164548">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3975796">
      <w:bodyDiv w:val="1"/>
      <w:marLeft w:val="0"/>
      <w:marRight w:val="0"/>
      <w:marTop w:val="0"/>
      <w:marBottom w:val="0"/>
      <w:divBdr>
        <w:top w:val="none" w:sz="0" w:space="0" w:color="auto"/>
        <w:left w:val="none" w:sz="0" w:space="0" w:color="auto"/>
        <w:bottom w:val="none" w:sz="0" w:space="0" w:color="auto"/>
        <w:right w:val="none" w:sz="0" w:space="0" w:color="auto"/>
      </w:divBdr>
    </w:div>
    <w:div w:id="1958489042">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8579200">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120537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7370591">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1709712">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1347112">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608126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292225">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7317775">
      <w:bodyDiv w:val="1"/>
      <w:marLeft w:val="0"/>
      <w:marRight w:val="0"/>
      <w:marTop w:val="0"/>
      <w:marBottom w:val="0"/>
      <w:divBdr>
        <w:top w:val="none" w:sz="0" w:space="0" w:color="auto"/>
        <w:left w:val="none" w:sz="0" w:space="0" w:color="auto"/>
        <w:bottom w:val="none" w:sz="0" w:space="0" w:color="auto"/>
        <w:right w:val="none" w:sz="0" w:space="0" w:color="auto"/>
      </w:divBdr>
    </w:div>
    <w:div w:id="2028361984">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0663001">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44530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6180751">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070632">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0886270">
      <w:bodyDiv w:val="1"/>
      <w:marLeft w:val="0"/>
      <w:marRight w:val="0"/>
      <w:marTop w:val="0"/>
      <w:marBottom w:val="0"/>
      <w:divBdr>
        <w:top w:val="none" w:sz="0" w:space="0" w:color="auto"/>
        <w:left w:val="none" w:sz="0" w:space="0" w:color="auto"/>
        <w:bottom w:val="none" w:sz="0" w:space="0" w:color="auto"/>
        <w:right w:val="none" w:sz="0" w:space="0" w:color="auto"/>
      </w:divBdr>
    </w:div>
    <w:div w:id="2092390136">
      <w:bodyDiv w:val="1"/>
      <w:marLeft w:val="0"/>
      <w:marRight w:val="0"/>
      <w:marTop w:val="0"/>
      <w:marBottom w:val="0"/>
      <w:divBdr>
        <w:top w:val="none" w:sz="0" w:space="0" w:color="auto"/>
        <w:left w:val="none" w:sz="0" w:space="0" w:color="auto"/>
        <w:bottom w:val="none" w:sz="0" w:space="0" w:color="auto"/>
        <w:right w:val="none" w:sz="0" w:space="0" w:color="auto"/>
      </w:divBdr>
    </w:div>
    <w:div w:id="2092434111">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4886343">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299027">
      <w:bodyDiv w:val="1"/>
      <w:marLeft w:val="0"/>
      <w:marRight w:val="0"/>
      <w:marTop w:val="0"/>
      <w:marBottom w:val="0"/>
      <w:divBdr>
        <w:top w:val="none" w:sz="0" w:space="0" w:color="auto"/>
        <w:left w:val="none" w:sz="0" w:space="0" w:color="auto"/>
        <w:bottom w:val="none" w:sz="0" w:space="0" w:color="auto"/>
        <w:right w:val="none" w:sz="0" w:space="0" w:color="auto"/>
      </w:divBdr>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5489455">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4856214">
      <w:bodyDiv w:val="1"/>
      <w:marLeft w:val="0"/>
      <w:marRight w:val="0"/>
      <w:marTop w:val="0"/>
      <w:marBottom w:val="0"/>
      <w:divBdr>
        <w:top w:val="none" w:sz="0" w:space="0" w:color="auto"/>
        <w:left w:val="none" w:sz="0" w:space="0" w:color="auto"/>
        <w:bottom w:val="none" w:sz="0" w:space="0" w:color="auto"/>
        <w:right w:val="none" w:sz="0" w:space="0" w:color="auto"/>
      </w:divBdr>
      <w:divsChild>
        <w:div w:id="881937923">
          <w:marLeft w:val="0"/>
          <w:marRight w:val="0"/>
          <w:marTop w:val="0"/>
          <w:marBottom w:val="0"/>
          <w:divBdr>
            <w:top w:val="none" w:sz="0" w:space="0" w:color="auto"/>
            <w:left w:val="none" w:sz="0" w:space="0" w:color="auto"/>
            <w:bottom w:val="none" w:sz="0" w:space="0" w:color="auto"/>
            <w:right w:val="none" w:sz="0" w:space="0" w:color="auto"/>
          </w:divBdr>
          <w:divsChild>
            <w:div w:id="717583880">
              <w:marLeft w:val="0"/>
              <w:marRight w:val="0"/>
              <w:marTop w:val="0"/>
              <w:marBottom w:val="0"/>
              <w:divBdr>
                <w:top w:val="none" w:sz="0" w:space="0" w:color="auto"/>
                <w:left w:val="none" w:sz="0" w:space="0" w:color="auto"/>
                <w:bottom w:val="none" w:sz="0" w:space="0" w:color="auto"/>
                <w:right w:val="none" w:sz="0" w:space="0" w:color="auto"/>
              </w:divBdr>
              <w:divsChild>
                <w:div w:id="970286925">
                  <w:marLeft w:val="0"/>
                  <w:marRight w:val="0"/>
                  <w:marTop w:val="0"/>
                  <w:marBottom w:val="0"/>
                  <w:divBdr>
                    <w:top w:val="none" w:sz="0" w:space="0" w:color="auto"/>
                    <w:left w:val="none" w:sz="0" w:space="0" w:color="auto"/>
                    <w:bottom w:val="none" w:sz="0" w:space="0" w:color="auto"/>
                    <w:right w:val="none" w:sz="0" w:space="0" w:color="auto"/>
                  </w:divBdr>
                  <w:divsChild>
                    <w:div w:id="683631184">
                      <w:marLeft w:val="0"/>
                      <w:marRight w:val="0"/>
                      <w:marTop w:val="0"/>
                      <w:marBottom w:val="0"/>
                      <w:divBdr>
                        <w:top w:val="none" w:sz="0" w:space="0" w:color="auto"/>
                        <w:left w:val="none" w:sz="0" w:space="0" w:color="auto"/>
                        <w:bottom w:val="none" w:sz="0" w:space="0" w:color="auto"/>
                        <w:right w:val="none" w:sz="0" w:space="0" w:color="auto"/>
                      </w:divBdr>
                      <w:divsChild>
                        <w:div w:id="1381201099">
                          <w:marLeft w:val="0"/>
                          <w:marRight w:val="0"/>
                          <w:marTop w:val="0"/>
                          <w:marBottom w:val="0"/>
                          <w:divBdr>
                            <w:top w:val="none" w:sz="0" w:space="0" w:color="auto"/>
                            <w:left w:val="none" w:sz="0" w:space="0" w:color="auto"/>
                            <w:bottom w:val="none" w:sz="0" w:space="0" w:color="auto"/>
                            <w:right w:val="none" w:sz="0" w:space="0" w:color="auto"/>
                          </w:divBdr>
                          <w:divsChild>
                            <w:div w:id="1349678571">
                              <w:marLeft w:val="0"/>
                              <w:marRight w:val="0"/>
                              <w:marTop w:val="0"/>
                              <w:marBottom w:val="0"/>
                              <w:divBdr>
                                <w:top w:val="none" w:sz="0" w:space="0" w:color="auto"/>
                                <w:left w:val="none" w:sz="0" w:space="0" w:color="auto"/>
                                <w:bottom w:val="none" w:sz="0" w:space="0" w:color="auto"/>
                                <w:right w:val="none" w:sz="0" w:space="0" w:color="auto"/>
                              </w:divBdr>
                              <w:divsChild>
                                <w:div w:id="1879507039">
                                  <w:marLeft w:val="0"/>
                                  <w:marRight w:val="0"/>
                                  <w:marTop w:val="0"/>
                                  <w:marBottom w:val="0"/>
                                  <w:divBdr>
                                    <w:top w:val="none" w:sz="0" w:space="0" w:color="auto"/>
                                    <w:left w:val="none" w:sz="0" w:space="0" w:color="auto"/>
                                    <w:bottom w:val="none" w:sz="0" w:space="0" w:color="auto"/>
                                    <w:right w:val="none" w:sz="0" w:space="0" w:color="auto"/>
                                  </w:divBdr>
                                  <w:divsChild>
                                    <w:div w:id="242492311">
                                      <w:marLeft w:val="0"/>
                                      <w:marRight w:val="0"/>
                                      <w:marTop w:val="0"/>
                                      <w:marBottom w:val="0"/>
                                      <w:divBdr>
                                        <w:top w:val="none" w:sz="0" w:space="0" w:color="auto"/>
                                        <w:left w:val="none" w:sz="0" w:space="0" w:color="auto"/>
                                        <w:bottom w:val="none" w:sz="0" w:space="0" w:color="auto"/>
                                        <w:right w:val="none" w:sz="0" w:space="0" w:color="auto"/>
                                      </w:divBdr>
                                    </w:div>
                                    <w:div w:id="137574580">
                                      <w:marLeft w:val="0"/>
                                      <w:marRight w:val="0"/>
                                      <w:marTop w:val="0"/>
                                      <w:marBottom w:val="0"/>
                                      <w:divBdr>
                                        <w:top w:val="none" w:sz="0" w:space="0" w:color="auto"/>
                                        <w:left w:val="none" w:sz="0" w:space="0" w:color="auto"/>
                                        <w:bottom w:val="none" w:sz="0" w:space="0" w:color="auto"/>
                                        <w:right w:val="none" w:sz="0" w:space="0" w:color="auto"/>
                                      </w:divBdr>
                                      <w:divsChild>
                                        <w:div w:id="1592009600">
                                          <w:marLeft w:val="0"/>
                                          <w:marRight w:val="165"/>
                                          <w:marTop w:val="150"/>
                                          <w:marBottom w:val="0"/>
                                          <w:divBdr>
                                            <w:top w:val="none" w:sz="0" w:space="0" w:color="auto"/>
                                            <w:left w:val="none" w:sz="0" w:space="0" w:color="auto"/>
                                            <w:bottom w:val="none" w:sz="0" w:space="0" w:color="auto"/>
                                            <w:right w:val="none" w:sz="0" w:space="0" w:color="auto"/>
                                          </w:divBdr>
                                          <w:divsChild>
                                            <w:div w:id="1129783964">
                                              <w:marLeft w:val="0"/>
                                              <w:marRight w:val="0"/>
                                              <w:marTop w:val="0"/>
                                              <w:marBottom w:val="0"/>
                                              <w:divBdr>
                                                <w:top w:val="none" w:sz="0" w:space="0" w:color="auto"/>
                                                <w:left w:val="none" w:sz="0" w:space="0" w:color="auto"/>
                                                <w:bottom w:val="none" w:sz="0" w:space="0" w:color="auto"/>
                                                <w:right w:val="none" w:sz="0" w:space="0" w:color="auto"/>
                                              </w:divBdr>
                                              <w:divsChild>
                                                <w:div w:id="1875457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19791806">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68693">
      <w:bodyDiv w:val="1"/>
      <w:marLeft w:val="0"/>
      <w:marRight w:val="0"/>
      <w:marTop w:val="0"/>
      <w:marBottom w:val="0"/>
      <w:divBdr>
        <w:top w:val="none" w:sz="0" w:space="0" w:color="auto"/>
        <w:left w:val="none" w:sz="0" w:space="0" w:color="auto"/>
        <w:bottom w:val="none" w:sz="0" w:space="0" w:color="auto"/>
        <w:right w:val="none" w:sz="0" w:space="0" w:color="auto"/>
      </w:divBdr>
    </w:div>
    <w:div w:id="2124032874">
      <w:bodyDiv w:val="1"/>
      <w:marLeft w:val="0"/>
      <w:marRight w:val="0"/>
      <w:marTop w:val="0"/>
      <w:marBottom w:val="0"/>
      <w:divBdr>
        <w:top w:val="none" w:sz="0" w:space="0" w:color="auto"/>
        <w:left w:val="none" w:sz="0" w:space="0" w:color="auto"/>
        <w:bottom w:val="none" w:sz="0" w:space="0" w:color="auto"/>
        <w:right w:val="none" w:sz="0" w:space="0" w:color="auto"/>
      </w:divBdr>
    </w:div>
    <w:div w:id="2124108512">
      <w:bodyDiv w:val="1"/>
      <w:marLeft w:val="0"/>
      <w:marRight w:val="0"/>
      <w:marTop w:val="0"/>
      <w:marBottom w:val="0"/>
      <w:divBdr>
        <w:top w:val="none" w:sz="0" w:space="0" w:color="auto"/>
        <w:left w:val="none" w:sz="0" w:space="0" w:color="auto"/>
        <w:bottom w:val="none" w:sz="0" w:space="0" w:color="auto"/>
        <w:right w:val="none" w:sz="0" w:space="0" w:color="auto"/>
      </w:divBdr>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0975020">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443387">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7408755">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Ela161</b:Tag>
    <b:SourceType>JournalArticle</b:SourceType>
    <b:Guid>{FA610131-9B35-49E1-9C21-A5F2069B2636}</b:Guid>
    <b:Author>
      <b:Author>
        <b:NameList>
          <b:Person>
            <b:Last>Elamin</b:Last>
            <b:First>Bushra</b:First>
          </b:Person>
        </b:NameList>
      </b:Author>
    </b:Author>
    <b:Title>The Impact Of Information Security Management For E- Banks Performance In Kingdom Of Sudi Arabia</b:Title>
    <b:Year>2016</b:Year>
    <b:URL>https://www.researchgate.net/publication/310443456_The_Impact_Of_Information_Security_Management_For_E-_Banks_Performance_In_Kingdom_Of_Sudi_Arabia</b:URL>
    <b:RefOrder>8</b:RefOrder>
  </b:Source>
  <b:Source>
    <b:Tag>Alq241</b:Tag>
    <b:SourceType>JournalArticle</b:SourceType>
    <b:Guid>{D04CB346-FFF3-4102-B22E-B2C56FD76ED6}</b:Guid>
    <b:Author>
      <b:Author>
        <b:NameList>
          <b:Person>
            <b:Last>Alqahtani</b:Last>
            <b:First>Hassan</b:First>
          </b:Person>
        </b:NameList>
      </b:Author>
    </b:Author>
    <b:Title>The effect of financial technology on the financial performance of national Saudi banks</b:Title>
    <b:Year>2024</b:Year>
    <b:URL>https://www.researchgate.net/publication/379931144_The_effect_of_financial_technology_on_the_financial_performance_of_national_Saudi_banks</b:URL>
    <b:RefOrder>9</b:RefOrder>
  </b:Source>
  <b:Source>
    <b:Tag>Joh23</b:Tag>
    <b:SourceType>JournalArticle</b:SourceType>
    <b:Guid>{1EB6BD7B-C502-4C73-8E78-D2C1BF7B2B9D}</b:Guid>
    <b:Author>
      <b:Author>
        <b:NameList>
          <b:Person>
            <b:Last>Johri</b:Last>
            <b:First>Amar</b:First>
          </b:Person>
        </b:NameList>
      </b:Author>
    </b:Author>
    <b:Title>Exploring Customer Awareness towards Their Cyber Security in the Kingdom of Saudi Arabia: A Study in the Era of Banking Digital Transformation</b:Title>
    <b:Year>2023</b:Year>
    <b:URL>https://onlinelibrary.wiley.com/doi/10.1155/2023/2103442</b:URL>
    <b:RefOrder>10</b:RefOrder>
  </b:Source>
  <b:Source>
    <b:Tag>Udd23</b:Tag>
    <b:SourceType>JournalArticle</b:SourceType>
    <b:Guid>{1D90E193-1A89-4E7D-8AAA-FCBF53B8B05A}</b:Guid>
    <b:Author>
      <b:Author>
        <b:NameList>
          <b:Person>
            <b:Last>Uddin</b:Last>
            <b:First>Md</b:First>
            <b:Middle>Hamid</b:Middle>
          </b:Person>
        </b:NameList>
      </b:Author>
    </b:Author>
    <b:Title>Does digital transformation matter for operational risk exposure?</b:Title>
    <b:Year>2023</b:Year>
    <b:URL>https://www.sciencedirect.com/science/article/pii/S0040162523006042</b:URL>
    <b:RefOrder>11</b:RefOrder>
  </b:Source>
  <b:Source>
    <b:Tag>Ham24</b:Tag>
    <b:SourceType>JournalArticle</b:SourceType>
    <b:Guid>{228700EA-5408-4DE3-B77E-038367232982}</b:Guid>
    <b:Author>
      <b:Author>
        <b:NameList>
          <b:Person>
            <b:Last>Hammadi</b:Last>
            <b:First>Mohamed</b:First>
            <b:Middle>Al</b:Middle>
          </b:Person>
        </b:NameList>
      </b:Author>
    </b:Author>
    <b:Title>Risk Management in Islamic Banking: The Impact of Financial Technologies through Empirical Insights from the UAE</b:Title>
    <b:Year>2024</b:Year>
    <b:URL>https://www.mdpi.com/2227-9091/12/2/17</b:URL>
    <b:RefOrder>12</b:RefOrder>
  </b:Source>
  <b:Source>
    <b:Tag>Daf23</b:Tag>
    <b:SourceType>JournalArticle</b:SourceType>
    <b:Guid>{1D6CF65F-31D1-44E6-90E2-338BFDFED232}</b:Guid>
    <b:Author>
      <b:Author>
        <b:NameList>
          <b:Person>
            <b:Last>Dafri</b:Last>
            <b:First>Wided</b:First>
          </b:Person>
        </b:NameList>
      </b:Author>
    </b:Author>
    <b:Title>Challenges and opportunities to enhance digital financial transformation in crisis management</b:Title>
    <b:Year>2023</b:Year>
    <b:URL>https://www.sciencedirect.com/science/article/pii/S259029112300267X</b:URL>
    <b:RefOrder>13</b:RefOrder>
  </b:Source>
  <b:Source>
    <b:Tag>AlB24</b:Tag>
    <b:SourceType>JournalArticle</b:SourceType>
    <b:Guid>{9A8805D4-C946-48D6-8B52-9E6DF75A93E3}</b:Guid>
    <b:Author>
      <b:Author>
        <b:NameList>
          <b:Person>
            <b:Last>AlBenJasim</b:Last>
            <b:First>Salah</b:First>
          </b:Person>
        </b:NameList>
      </b:Author>
    </b:Author>
    <b:Title>Development of cybersecurity framework for FinTech innovations: Bahrain as a case study</b:Title>
    <b:Year>2024</b:Year>
    <b:URL>https://link.springer.com/article/10.1365/s43439-024-00130-4</b:URL>
    <b:RefOrder>14</b:RefOrder>
  </b:Source>
  <b:Source>
    <b:Tag>Wei23</b:Tag>
    <b:SourceType>JournalArticle</b:SourceType>
    <b:Guid>{2AD8B0B1-E196-4415-BF3F-07FE8B140E38}</b:Guid>
    <b:Author>
      <b:Author>
        <b:NameList>
          <b:Person>
            <b:Last>Wei</b:Last>
            <b:First>Xuan</b:First>
          </b:Person>
        </b:NameList>
      </b:Author>
    </b:Author>
    <b:Title>Meta theories of technological innovation based on the analysis of classic texts</b:Title>
    <b:Year>2023</b:Year>
    <b:URL>https://www.sciencedirect.com/science/article/pii/S2405844023039865</b:URL>
    <b:RefOrder>17</b:RefOrder>
  </b:Source>
  <b:Source>
    <b:Tag>Kin23</b:Tag>
    <b:SourceType>JournalArticle</b:SourceType>
    <b:Guid>{6602FCE0-F65F-40FD-ADBB-0A72B0358668}</b:Guid>
    <b:Author>
      <b:Author>
        <b:NameList>
          <b:Person>
            <b:Last>Kindness</b:Last>
            <b:First>David</b:First>
          </b:Person>
        </b:NameList>
      </b:Author>
    </b:Author>
    <b:Title>Risk Management Framework (RMF): Definition and Components</b:Title>
    <b:Year>2023</b:Year>
    <b:URL>https://www.investopedia.com/articles/professionals/021915/risk-management-framework-rmf-overview.asp</b:URL>
    <b:RefOrder>18</b:RefOrder>
  </b:Source>
  <b:Source>
    <b:Tag>Tur19</b:Tag>
    <b:SourceType>JournalArticle</b:SourceType>
    <b:Guid>{01852E15-D6D6-4032-BA20-846AEBFD459D}</b:Guid>
    <b:Author>
      <b:Author>
        <b:NameList>
          <b:Person>
            <b:Last>Turner</b:Last>
            <b:First>John</b:First>
            <b:Middle>R.</b:Middle>
          </b:Person>
        </b:NameList>
      </b:Author>
    </b:Author>
    <b:Title>Complexity Theory: An Overview with Potential Applications for the Social Sciences</b:Title>
    <b:Year>2019</b:Year>
    <b:URL>https://www.mdpi.com/2079-8954/7/1/4</b:URL>
    <b:RefOrder>19</b:RefOrder>
  </b:Source>
  <b:Source>
    <b:Tag>Par15</b:Tag>
    <b:SourceType>JournalArticle</b:SourceType>
    <b:Guid>{68B8797A-C0D2-41A9-B2FF-EAD70D451B82}</b:Guid>
    <b:Author>
      <b:Author>
        <b:NameList>
          <b:Person>
            <b:Last>Parastuty</b:Last>
            <b:First>Zulaicha</b:First>
          </b:Person>
        </b:NameList>
      </b:Author>
    </b:Author>
    <b:Title>Organizational change: a review of theoretical conceptions that explain how and why young firms change</b:Title>
    <b:Year>2015</b:Year>
    <b:URL>https://www.researchgate.net/publication/270592509_Organizational_change_a_review_of_theoretical_conceptions_that_explain_how_and_why_young_firms_change</b:URL>
    <b:RefOrder>20</b:RefOrder>
  </b:Source>
  <b:Source>
    <b:Tag>Saf18</b:Tag>
    <b:SourceType>JournalArticle</b:SourceType>
    <b:Guid>{43C71543-9D53-4C2D-A1CF-303C3762B82C}</b:Guid>
    <b:Author>
      <b:Author>
        <b:NameList>
          <b:Person>
            <b:Last>Saffer</b:Last>
            <b:First>Adam</b:First>
            <b:Middle>J.</b:Middle>
          </b:Person>
        </b:NameList>
      </b:Author>
    </b:Author>
    <b:Title>Value‐Added Theory</b:Title>
    <b:Year>2018</b:Year>
    <b:URL>https://www.researchgate.net/publication/327877299_Value-Added_Theory</b:URL>
    <b:RefOrder>21</b:RefOrder>
  </b:Source>
  <b:Source>
    <b:Tag>Bar221</b:Tag>
    <b:SourceType>JournalArticle</b:SourceType>
    <b:Guid>{DF6E2E9C-278E-4D37-BBE4-0C5F57E1B789}</b:Guid>
    <b:Author>
      <b:Author>
        <b:NameList>
          <b:Person>
            <b:Last>Barroso</b:Last>
            <b:First>Marta</b:First>
          </b:Person>
        </b:NameList>
      </b:Author>
    </b:Author>
    <b:Title>Digital transformation and the emergence of the Fintech sector: Systematic literature review</b:Title>
    <b:Year>2022</b:Year>
    <b:URL>https://www.sciencedirect.com/science/article/pii/S2666954422000084</b:URL>
    <b:RefOrder>2</b:RefOrder>
  </b:Source>
  <b:Source>
    <b:Tag>Nor24</b:Tag>
    <b:SourceType>JournalArticle</b:SourceType>
    <b:Guid>{1F3EAB4A-F51B-49C9-8FD4-BD6412F7EF71}</b:Guid>
    <b:Author>
      <b:Author>
        <b:NameList>
          <b:Person>
            <b:Last>Noreen</b:Last>
            <b:First>Umara</b:First>
          </b:Person>
        </b:NameList>
      </b:Author>
    </b:Author>
    <b:Title>Mapping of FinTech Ecosystem to Sustainable Development Goals (SDGs): Saudi Arabia’s Landscape</b:Title>
    <b:Year>2024</b:Year>
    <b:URL>https://www.mdpi.com/2071-1050/16/21/9362</b:URL>
    <b:RefOrder>3</b:RefOrder>
  </b:Source>
  <b:Source>
    <b:Tag>Alh234</b:Tag>
    <b:SourceType>JournalArticle</b:SourceType>
    <b:Guid>{53E7E408-1203-4070-A7BD-5902C02899B8}</b:Guid>
    <b:Author>
      <b:Author>
        <b:NameList>
          <b:Person>
            <b:Last>Alhalafi</b:Last>
            <b:First>Nawaf</b:First>
          </b:Person>
        </b:NameList>
      </b:Author>
    </b:Author>
    <b:Title>Exploring the Challenges and Issues in Adopting Cybersecurity in Saudi Smart Cities: Conceptualization of the Cybersecurity-Based UTAUT Model</b:Title>
    <b:Year>2023</b:Year>
    <b:URL>https://www.researchgate.net/publication/371154328_Exploring_the_Challenges_and_Issues_in_Adopting_Cybersecurity_in_Saudi_Smart_Cities_Conceptualization_of_the_Cybersecurity-Based_UTAUT_Model</b:URL>
    <b:RefOrder>4</b:RefOrder>
  </b:Source>
  <b:Source>
    <b:Tag>Die21</b:Tag>
    <b:SourceType>JournalArticle</b:SourceType>
    <b:Guid>{1C90C1BF-BF0C-4C4D-A1EC-4A212D546D17}</b:Guid>
    <b:Author>
      <b:Author>
        <b:NameList>
          <b:Person>
            <b:Last>Diener</b:Last>
            <b:First>Florian</b:First>
          </b:Person>
        </b:NameList>
      </b:Author>
    </b:Author>
    <b:Title>Digital Transformation in Banking: A Managerial Perspective on Barriers to Change</b:Title>
    <b:Year>2021</b:Year>
    <b:URL>https://www.mdpi.com/2071-1050/13/4/2032</b:URL>
    <b:RefOrder>1</b:RefOrder>
  </b:Source>
  <b:Source>
    <b:Tag>Cre22</b:Tag>
    <b:SourceType>JournalArticle</b:SourceType>
    <b:Guid>{9178A0B6-0B20-4A90-8300-C1F0C1E3F864}</b:Guid>
    <b:Author>
      <b:Author>
        <b:NameList>
          <b:Person>
            <b:Last>Cremer</b:Last>
            <b:First>Frank</b:First>
          </b:Person>
        </b:NameList>
      </b:Author>
    </b:Author>
    <b:Title>Cyber risk and cybersecurity: a systematic review of data availability</b:Title>
    <b:Year>2022</b:Year>
    <b:URL>https://pmc.ncbi.nlm.nih.gov/articles/PMC8853293/</b:URL>
    <b:RefOrder>5</b:RefOrder>
  </b:Source>
  <b:Source>
    <b:Tag>Saf23</b:Tag>
    <b:SourceType>JournalArticle</b:SourceType>
    <b:Guid>{48166D5F-F860-4325-ACE1-B9994674FC62}</b:Guid>
    <b:Author>
      <b:Author>
        <b:NameList>
          <b:Person>
            <b:Last>Safitra</b:Last>
            <b:First>Muhammad</b:First>
            <b:Middle>Fakhrul</b:Middle>
          </b:Person>
        </b:NameList>
      </b:Author>
    </b:Author>
    <b:Title>Counterattacking Cyber Threats: A Framework for the Future of Cybersecurity</b:Title>
    <b:Year>2023</b:Year>
    <b:URL>https://www.mdpi.com/2071-1050/15/18/13369</b:URL>
    <b:RefOrder>6</b:RefOrder>
  </b:Source>
  <b:Source>
    <b:Tag>Kya24</b:Tag>
    <b:SourceType>JournalArticle</b:SourceType>
    <b:Guid>{FDAB61C1-E9A8-495D-93C8-B6603AB1F2D9}</b:Guid>
    <b:Author>
      <b:Author>
        <b:NameList>
          <b:Person>
            <b:Last>Kyambade</b:Last>
            <b:First>Mahadih</b:First>
          </b:Person>
        </b:NameList>
      </b:Author>
    </b:Author>
    <b:Title>Technological Innovation and Commercial Banks' Financial Performance: A Mediation Analysis of Risk Management Practices</b:Title>
    <b:Year>2024</b:Year>
    <b:URL>https://www.researchgate.net/publication/382183952_Technological_Innovation_and_Commercial_Banks'_Financial_Performance_A_Mediation_Analysis_of_Risk_Management_Practices</b:URL>
    <b:RefOrder>7</b:RefOrder>
  </b:Source>
  <b:Source>
    <b:Tag>Chu23</b:Tag>
    <b:SourceType>JournalArticle</b:SourceType>
    <b:Guid>{9D028B22-861C-4B07-9C1C-3CA1BE86ECD4}</b:Guid>
    <b:Author>
      <b:Author>
        <b:NameList>
          <b:Person>
            <b:Last>Chuc</b:Last>
            <b:First>Ahmed</b:First>
            <b:Middle>Al-Musallam</b:Middle>
          </b:Person>
        </b:NameList>
      </b:Author>
    </b:Author>
    <b:Title>IMPACT OF FINANCIAL TECHNOLOGY (FINTECH) ON FINANCIAL PERFORMANCE OF MICRO FINANCE INSTITUTIONS IN BAHRAIN.</b:Title>
    <b:Year>2023</b:Year>
    <b:URL>https://www.ajoeijournals.org/sys/index.php/ajoei/article/view/506</b:URL>
    <b:RefOrder>15</b:RefOrder>
  </b:Source>
  <b:Source>
    <b:Tag>Pol21</b:Tag>
    <b:SourceType>JournalArticle</b:SourceType>
    <b:Guid>{04B2DA73-415B-4DEE-9991-C33E6809DE72}</b:Guid>
    <b:Author>
      <b:Author>
        <b:NameList>
          <b:Person>
            <b:Last>Polat</b:Last>
            <b:First>Ali</b:First>
          </b:Person>
        </b:NameList>
      </b:Author>
    </b:Author>
    <b:Title>Effects of GDPR on the financial services sector in the Kingdom of Saudi Arabia</b:Title>
    <b:Year>2021</b:Year>
    <b:URL>https://www.ingentaconnect.com/content/hsp/jdpp/2021/00000004/00000003/art00004</b:URL>
    <b:RefOrder>16</b:RefOrder>
  </b:Source>
</b:Sources>
</file>

<file path=customXml/itemProps1.xml><?xml version="1.0" encoding="utf-8"?>
<ds:datastoreItem xmlns:ds="http://schemas.openxmlformats.org/officeDocument/2006/customXml" ds:itemID="{32D693A3-E86D-4424-A99C-BCE1FFE5E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9091</Words>
  <Characters>51824</Characters>
  <Application>Microsoft Office Word</Application>
  <DocSecurity>0</DocSecurity>
  <Lines>431</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Marshad Alkhaldi</cp:lastModifiedBy>
  <cp:revision>3</cp:revision>
  <cp:lastPrinted>2025-06-14T21:12:00Z</cp:lastPrinted>
  <dcterms:created xsi:type="dcterms:W3CDTF">2025-06-24T14:36:00Z</dcterms:created>
  <dcterms:modified xsi:type="dcterms:W3CDTF">2025-07-14T19:29:00Z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