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17596" w14:textId="77777777" w:rsidR="007B22DA" w:rsidRDefault="007B22DA" w:rsidP="007B22D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67456" behindDoc="0" locked="0" layoutInCell="1" allowOverlap="1" wp14:anchorId="5603C61E" wp14:editId="69D45858">
            <wp:simplePos x="0" y="0"/>
            <wp:positionH relativeFrom="margin">
              <wp:posOffset>-375920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17D8FE78" w14:textId="77777777" w:rsidR="007B22DA" w:rsidRDefault="007B22DA" w:rsidP="007B22DA">
      <w:pPr>
        <w:bidi/>
        <w:spacing w:line="240" w:lineRule="auto"/>
        <w:jc w:val="both"/>
        <w:rPr>
          <w:rFonts w:ascii="Calibri" w:hAnsi="Calibri" w:cs="Calibri"/>
          <w:b/>
          <w:bCs/>
          <w:color w:val="548DD4" w:themeColor="text2" w:themeTint="99"/>
          <w:sz w:val="40"/>
          <w:szCs w:val="40"/>
          <w:rtl/>
        </w:rPr>
      </w:pPr>
    </w:p>
    <w:p w14:paraId="7AA7088C" w14:textId="77777777" w:rsidR="007B22DA" w:rsidRPr="000B6BD5" w:rsidRDefault="007B22DA" w:rsidP="007B22DA">
      <w:pPr>
        <w:bidi/>
        <w:jc w:val="center"/>
        <w:rPr>
          <w:rFonts w:ascii="Traditional Arabic" w:hAnsi="Traditional Arabic" w:cs="Traditional Arabic"/>
          <w:b/>
          <w:bCs/>
          <w:color w:val="C00000"/>
          <w:sz w:val="44"/>
          <w:szCs w:val="44"/>
          <w:rtl/>
        </w:rPr>
      </w:pPr>
      <w:r w:rsidRPr="000B6BD5">
        <w:rPr>
          <w:rFonts w:ascii="Traditional Arabic" w:hAnsi="Traditional Arabic" w:cs="Traditional Arabic"/>
          <w:b/>
          <w:bCs/>
          <w:color w:val="C00000"/>
          <w:sz w:val="44"/>
          <w:szCs w:val="44"/>
          <w:rtl/>
        </w:rPr>
        <w:t>نم</w:t>
      </w:r>
      <w:r>
        <w:rPr>
          <w:rFonts w:ascii="Traditional Arabic" w:hAnsi="Traditional Arabic" w:cs="Traditional Arabic" w:hint="cs"/>
          <w:b/>
          <w:bCs/>
          <w:color w:val="C00000"/>
          <w:sz w:val="44"/>
          <w:szCs w:val="44"/>
          <w:rtl/>
        </w:rPr>
        <w:t>ـــــــــــــــــ</w:t>
      </w:r>
      <w:r w:rsidRPr="000B6BD5">
        <w:rPr>
          <w:rFonts w:ascii="Traditional Arabic" w:hAnsi="Traditional Arabic" w:cs="Traditional Arabic"/>
          <w:b/>
          <w:bCs/>
          <w:color w:val="C00000"/>
          <w:sz w:val="44"/>
          <w:szCs w:val="44"/>
          <w:rtl/>
        </w:rPr>
        <w:t xml:space="preserve">وذج </w:t>
      </w:r>
    </w:p>
    <w:p w14:paraId="74FFE395" w14:textId="77777777" w:rsidR="007B22DA" w:rsidRPr="000B6BD5" w:rsidRDefault="007B22DA" w:rsidP="007B22DA">
      <w:pPr>
        <w:bidi/>
        <w:jc w:val="center"/>
        <w:rPr>
          <w:rFonts w:ascii="Traditional Arabic" w:hAnsi="Traditional Arabic" w:cs="Traditional Arabic"/>
          <w:b/>
          <w:bCs/>
          <w:sz w:val="44"/>
          <w:szCs w:val="44"/>
          <w:rtl/>
        </w:rPr>
      </w:pPr>
      <w:r w:rsidRPr="000B6BD5">
        <w:rPr>
          <w:rFonts w:ascii="Traditional Arabic" w:hAnsi="Traditional Arabic" w:cs="Traditional Arabic"/>
          <w:b/>
          <w:bCs/>
          <w:sz w:val="44"/>
          <w:szCs w:val="44"/>
          <w:rtl/>
        </w:rPr>
        <w:t>مشروع خطة أطروحة للتسجيل لدرجة الدكتوراه</w:t>
      </w:r>
    </w:p>
    <w:p w14:paraId="17CACDBB" w14:textId="77777777" w:rsidR="007B22DA" w:rsidRDefault="007B22DA" w:rsidP="007B22DA">
      <w:pPr>
        <w:pStyle w:val="a5"/>
        <w:bidi/>
        <w:spacing w:before="0" w:beforeAutospacing="0" w:after="0" w:afterAutospacing="0"/>
        <w:ind w:right="-270"/>
        <w:jc w:val="both"/>
        <w:rPr>
          <w:rFonts w:ascii="Arial" w:hAnsi="Arial" w:cs="Arial"/>
          <w:b/>
          <w:bCs/>
          <w:color w:val="0000FF"/>
          <w:sz w:val="32"/>
          <w:szCs w:val="32"/>
          <w:rtl/>
          <w:lang w:bidi="ar-JO"/>
        </w:rPr>
      </w:pPr>
    </w:p>
    <w:p w14:paraId="5A43497C" w14:textId="77777777" w:rsidR="007B22DA" w:rsidRPr="000B6BD5" w:rsidRDefault="007B22DA" w:rsidP="007B22DA">
      <w:pPr>
        <w:spacing w:line="360" w:lineRule="auto"/>
        <w:jc w:val="right"/>
        <w:rPr>
          <w:rFonts w:ascii="Traditional Arabic" w:hAnsi="Traditional Arabic" w:cs="Traditional Arabic"/>
          <w:b/>
          <w:bCs/>
          <w:noProof/>
          <w:color w:val="C00000"/>
          <w:sz w:val="28"/>
          <w:szCs w:val="28"/>
          <w:rtl/>
        </w:rPr>
      </w:pPr>
      <w:r w:rsidRPr="000B6BD5">
        <w:rPr>
          <w:rFonts w:ascii="Traditional Arabic" w:hAnsi="Traditional Arabic" w:cs="Traditional Arabic"/>
          <w:b/>
          <w:bCs/>
          <w:noProof/>
          <w:color w:val="C00000"/>
          <w:sz w:val="28"/>
          <w:szCs w:val="28"/>
          <w:rtl/>
        </w:rPr>
        <w:t xml:space="preserve">العنوان باللغة العربية: </w:t>
      </w:r>
    </w:p>
    <w:p w14:paraId="62670FFB" w14:textId="77777777" w:rsidR="007B22DA" w:rsidRPr="000B6BD5" w:rsidRDefault="007B22DA" w:rsidP="007B22DA">
      <w:pPr>
        <w:bidi/>
        <w:jc w:val="center"/>
        <w:rPr>
          <w:rFonts w:ascii="Traditional Arabic" w:eastAsia="Times New Roman" w:hAnsi="Traditional Arabic" w:cs="Traditional Arabic"/>
          <w:b/>
          <w:bCs/>
          <w:sz w:val="28"/>
          <w:szCs w:val="32"/>
          <w:rtl/>
        </w:rPr>
      </w:pPr>
      <w:r w:rsidRPr="000B6BD5">
        <w:rPr>
          <w:rFonts w:ascii="Traditional Arabic" w:eastAsia="Times New Roman" w:hAnsi="Traditional Arabic" w:cs="Traditional Arabic"/>
          <w:b/>
          <w:bCs/>
          <w:sz w:val="28"/>
          <w:szCs w:val="32"/>
          <w:rtl/>
        </w:rPr>
        <w:t>"</w:t>
      </w:r>
      <w:r w:rsidRPr="00E57E5F">
        <w:rPr>
          <w:rtl/>
        </w:rPr>
        <w:t xml:space="preserve"> </w:t>
      </w:r>
      <w:r w:rsidRPr="00277F50">
        <w:rPr>
          <w:rFonts w:ascii="Traditional Arabic" w:eastAsia="Times New Roman" w:hAnsi="Traditional Arabic" w:cs="Traditional Arabic"/>
          <w:b/>
          <w:bCs/>
          <w:sz w:val="28"/>
          <w:szCs w:val="32"/>
          <w:rtl/>
        </w:rPr>
        <w:t xml:space="preserve">أثر تبنّي تقنيات الذكاء الاصطناعي في التسويق الرقمي على الأداء التسويقي للشركات الصغيرة والمتوسطة في المملكة العربية السعودية: دراسة تطبيقية سعودية </w:t>
      </w:r>
      <w:r w:rsidRPr="000B6BD5">
        <w:rPr>
          <w:rFonts w:ascii="Traditional Arabic" w:eastAsia="Times New Roman" w:hAnsi="Traditional Arabic" w:cs="Traditional Arabic"/>
          <w:b/>
          <w:bCs/>
          <w:sz w:val="28"/>
          <w:szCs w:val="32"/>
          <w:rtl/>
        </w:rPr>
        <w:t>"</w:t>
      </w:r>
    </w:p>
    <w:p w14:paraId="26DD0CA4" w14:textId="77777777" w:rsidR="007B22DA" w:rsidRPr="00D747AB" w:rsidRDefault="007B22DA" w:rsidP="007B22DA">
      <w:pPr>
        <w:pStyle w:val="a5"/>
        <w:bidi/>
        <w:spacing w:before="0" w:beforeAutospacing="0" w:after="0" w:afterAutospacing="0"/>
        <w:ind w:right="-270"/>
        <w:rPr>
          <w:rFonts w:ascii="Arial" w:hAnsi="Arial" w:cs="Arial"/>
          <w:szCs w:val="28"/>
          <w:rtl/>
        </w:rPr>
      </w:pPr>
      <w:r>
        <w:rPr>
          <w:rFonts w:ascii="Arial" w:hAnsi="Arial" w:cs="Arial"/>
          <w:szCs w:val="28"/>
        </w:rPr>
        <w:t>.</w:t>
      </w:r>
    </w:p>
    <w:p w14:paraId="093ABE1B" w14:textId="77777777" w:rsidR="007B22DA" w:rsidRPr="000B6BD5" w:rsidRDefault="007B22DA" w:rsidP="007B22DA">
      <w:pPr>
        <w:spacing w:line="360" w:lineRule="auto"/>
        <w:jc w:val="right"/>
        <w:rPr>
          <w:rFonts w:ascii="Traditional Arabic" w:hAnsi="Traditional Arabic" w:cs="Traditional Arabic"/>
          <w:b/>
          <w:bCs/>
          <w:noProof/>
          <w:color w:val="C00000"/>
          <w:sz w:val="28"/>
          <w:szCs w:val="28"/>
          <w:rtl/>
        </w:rPr>
      </w:pPr>
      <w:r w:rsidRPr="000B6BD5">
        <w:rPr>
          <w:rFonts w:ascii="Traditional Arabic" w:hAnsi="Traditional Arabic" w:cs="Traditional Arabic"/>
          <w:b/>
          <w:bCs/>
          <w:noProof/>
          <w:color w:val="C00000"/>
          <w:sz w:val="28"/>
          <w:szCs w:val="28"/>
          <w:rtl/>
        </w:rPr>
        <w:t xml:space="preserve">  </w:t>
      </w:r>
      <w:r w:rsidRPr="000B6BD5">
        <w:rPr>
          <w:rFonts w:ascii="Traditional Arabic" w:hAnsi="Traditional Arabic" w:cs="Traditional Arabic" w:hint="cs"/>
          <w:b/>
          <w:bCs/>
          <w:noProof/>
          <w:color w:val="C00000"/>
          <w:sz w:val="28"/>
          <w:szCs w:val="28"/>
          <w:rtl/>
        </w:rPr>
        <w:t>العنوان</w:t>
      </w:r>
      <w:r w:rsidRPr="000B6BD5">
        <w:rPr>
          <w:rFonts w:ascii="Traditional Arabic" w:hAnsi="Traditional Arabic" w:cs="Traditional Arabic"/>
          <w:b/>
          <w:bCs/>
          <w:noProof/>
          <w:color w:val="C00000"/>
          <w:sz w:val="28"/>
          <w:szCs w:val="28"/>
          <w:rtl/>
        </w:rPr>
        <w:t xml:space="preserve"> باللغة </w:t>
      </w:r>
      <w:r w:rsidRPr="000B6BD5">
        <w:rPr>
          <w:rFonts w:ascii="Traditional Arabic" w:hAnsi="Traditional Arabic" w:cs="Traditional Arabic" w:hint="cs"/>
          <w:b/>
          <w:bCs/>
          <w:noProof/>
          <w:color w:val="C00000"/>
          <w:sz w:val="28"/>
          <w:szCs w:val="28"/>
          <w:rtl/>
        </w:rPr>
        <w:t>الإنجليزية</w:t>
      </w:r>
      <w:r w:rsidRPr="000B6BD5">
        <w:rPr>
          <w:rFonts w:ascii="Traditional Arabic" w:hAnsi="Traditional Arabic" w:cs="Traditional Arabic"/>
          <w:b/>
          <w:bCs/>
          <w:noProof/>
          <w:color w:val="C00000"/>
          <w:sz w:val="28"/>
          <w:szCs w:val="28"/>
          <w:rtl/>
        </w:rPr>
        <w:t xml:space="preserve">: </w:t>
      </w:r>
    </w:p>
    <w:p w14:paraId="2D9BD313" w14:textId="77777777" w:rsidR="007B22DA" w:rsidRPr="00862896" w:rsidRDefault="007B22DA" w:rsidP="007B22DA">
      <w:pPr>
        <w:jc w:val="center"/>
        <w:rPr>
          <w:rFonts w:asciiTheme="majorBidi" w:eastAsia="Times New Roman" w:hAnsiTheme="majorBidi" w:cstheme="majorBidi"/>
          <w:b/>
          <w:bCs/>
          <w:sz w:val="24"/>
          <w:szCs w:val="28"/>
        </w:rPr>
      </w:pPr>
      <w:r w:rsidRPr="00862896">
        <w:rPr>
          <w:rFonts w:asciiTheme="majorBidi" w:eastAsia="Times New Roman" w:hAnsiTheme="majorBidi" w:cs="Times New Roman"/>
          <w:b/>
          <w:bCs/>
          <w:sz w:val="24"/>
          <w:szCs w:val="28"/>
          <w:rtl/>
        </w:rPr>
        <w:t>"</w:t>
      </w:r>
      <w:r w:rsidRPr="00277F50">
        <w:t xml:space="preserve"> </w:t>
      </w:r>
      <w:r w:rsidRPr="00277F50">
        <w:rPr>
          <w:rFonts w:asciiTheme="majorBidi" w:eastAsia="Times New Roman" w:hAnsiTheme="majorBidi" w:cstheme="majorBidi"/>
          <w:b/>
          <w:bCs/>
          <w:sz w:val="24"/>
          <w:szCs w:val="28"/>
        </w:rPr>
        <w:t>The Impact of AI-Enabled Digital Marketing Strategies on the Marketing Performance of Small and Medium-Sized Enterprises in Saudi Arabia: An Applied Study.</w:t>
      </w:r>
      <w:r w:rsidRPr="00862896">
        <w:rPr>
          <w:rFonts w:asciiTheme="majorBidi" w:eastAsia="Times New Roman" w:hAnsiTheme="majorBidi" w:cs="Times New Roman"/>
          <w:b/>
          <w:bCs/>
          <w:sz w:val="24"/>
          <w:szCs w:val="28"/>
          <w:rtl/>
        </w:rPr>
        <w:t>"</w:t>
      </w:r>
    </w:p>
    <w:p w14:paraId="4DFD3B65" w14:textId="77777777" w:rsidR="007B22DA" w:rsidRDefault="007B22DA" w:rsidP="007B22DA">
      <w:pPr>
        <w:pStyle w:val="a5"/>
        <w:bidi/>
        <w:spacing w:before="0" w:beforeAutospacing="0" w:after="0" w:afterAutospacing="0"/>
        <w:ind w:right="-270"/>
        <w:jc w:val="center"/>
        <w:rPr>
          <w:rFonts w:ascii="Sakkal Majalla" w:hAnsi="Sakkal Majalla" w:cs="Sakkal Majalla"/>
          <w:b/>
          <w:bCs/>
          <w:color w:val="0070C0"/>
          <w:sz w:val="36"/>
          <w:szCs w:val="36"/>
          <w:rtl/>
        </w:rPr>
      </w:pPr>
    </w:p>
    <w:p w14:paraId="06DC7413" w14:textId="77777777" w:rsidR="007B22DA" w:rsidRPr="004B484B" w:rsidRDefault="007B22DA" w:rsidP="007B22DA">
      <w:pPr>
        <w:pStyle w:val="a5"/>
        <w:bidi/>
        <w:spacing w:before="0" w:beforeAutospacing="0" w:after="0" w:afterAutospacing="0"/>
        <w:ind w:right="-270"/>
        <w:jc w:val="center"/>
        <w:rPr>
          <w:rFonts w:ascii="Sakkal Majalla" w:hAnsi="Sakkal Majalla" w:cs="Sakkal Majalla"/>
          <w:b/>
          <w:bCs/>
          <w:color w:val="0070C0"/>
          <w:sz w:val="36"/>
          <w:szCs w:val="36"/>
          <w:rtl/>
        </w:rPr>
      </w:pPr>
    </w:p>
    <w:tbl>
      <w:tblPr>
        <w:tblStyle w:val="a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4"/>
        <w:gridCol w:w="5778"/>
      </w:tblGrid>
      <w:tr w:rsidR="007B22DA" w14:paraId="522BB8F2" w14:textId="77777777" w:rsidTr="009B6983">
        <w:tc>
          <w:tcPr>
            <w:tcW w:w="1763" w:type="dxa"/>
          </w:tcPr>
          <w:p w14:paraId="525DC356" w14:textId="77777777" w:rsidR="007B22DA" w:rsidRPr="00A678AF" w:rsidRDefault="007B22DA" w:rsidP="009B6983">
            <w:pPr>
              <w:pStyle w:val="a5"/>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اسم الباحث</w:t>
            </w:r>
            <w:r>
              <w:rPr>
                <w:rFonts w:ascii="Traditional Arabic" w:hAnsi="Traditional Arabic" w:cs="Traditional Arabic" w:hint="cs"/>
                <w:b/>
                <w:bCs/>
                <w:color w:val="000000" w:themeColor="text1"/>
                <w:sz w:val="28"/>
                <w:szCs w:val="28"/>
                <w:rtl/>
              </w:rPr>
              <w:t>ة</w:t>
            </w:r>
          </w:p>
        </w:tc>
        <w:tc>
          <w:tcPr>
            <w:tcW w:w="252" w:type="dxa"/>
          </w:tcPr>
          <w:p w14:paraId="721B8A30" w14:textId="77777777" w:rsidR="007B22DA" w:rsidRPr="000B6BD5" w:rsidRDefault="007B22DA" w:rsidP="009B6983">
            <w:pPr>
              <w:pStyle w:val="a5"/>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25914C60" w14:textId="77777777" w:rsidR="007B22DA" w:rsidRPr="002E701F" w:rsidRDefault="007B22DA" w:rsidP="009B6983">
            <w:pPr>
              <w:pStyle w:val="a5"/>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نوف بنت عبدالعزيز النعيم</w:t>
            </w:r>
          </w:p>
        </w:tc>
      </w:tr>
      <w:tr w:rsidR="007B22DA" w14:paraId="7A500883" w14:textId="77777777" w:rsidTr="009B6983">
        <w:tc>
          <w:tcPr>
            <w:tcW w:w="1763" w:type="dxa"/>
          </w:tcPr>
          <w:p w14:paraId="7262ECFC" w14:textId="77777777" w:rsidR="007B22DA" w:rsidRPr="00A678AF" w:rsidRDefault="007B22DA" w:rsidP="009B6983">
            <w:pPr>
              <w:pStyle w:val="a5"/>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الرقم الاكاديمي</w:t>
            </w:r>
          </w:p>
        </w:tc>
        <w:tc>
          <w:tcPr>
            <w:tcW w:w="252" w:type="dxa"/>
          </w:tcPr>
          <w:p w14:paraId="582A6DEA" w14:textId="77777777" w:rsidR="007B22DA" w:rsidRPr="000B6BD5" w:rsidRDefault="007B22DA" w:rsidP="009B6983">
            <w:pPr>
              <w:pStyle w:val="a5"/>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6EC79946" w14:textId="77777777" w:rsidR="007B22DA" w:rsidRPr="002E701F" w:rsidRDefault="007B22DA" w:rsidP="009B6983">
            <w:pPr>
              <w:pStyle w:val="a5"/>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٢٣٢٠٠١٥٢٨</w:t>
            </w:r>
          </w:p>
        </w:tc>
      </w:tr>
      <w:tr w:rsidR="007B22DA" w14:paraId="77EA69E6" w14:textId="77777777" w:rsidTr="009B6983">
        <w:tc>
          <w:tcPr>
            <w:tcW w:w="1763" w:type="dxa"/>
          </w:tcPr>
          <w:p w14:paraId="6B6393FB" w14:textId="77777777" w:rsidR="007B22DA" w:rsidRPr="00A678AF" w:rsidRDefault="007B22DA" w:rsidP="009B6983">
            <w:pPr>
              <w:pStyle w:val="a5"/>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 xml:space="preserve">الكلية                    </w:t>
            </w:r>
          </w:p>
        </w:tc>
        <w:tc>
          <w:tcPr>
            <w:tcW w:w="252" w:type="dxa"/>
          </w:tcPr>
          <w:p w14:paraId="6630F0E7" w14:textId="77777777" w:rsidR="007B22DA" w:rsidRPr="000B6BD5" w:rsidRDefault="007B22DA" w:rsidP="009B6983">
            <w:pPr>
              <w:pStyle w:val="a5"/>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7E96BD55" w14:textId="77777777" w:rsidR="007B22DA" w:rsidRPr="002E701F" w:rsidRDefault="007B22DA" w:rsidP="009B6983">
            <w:pPr>
              <w:pStyle w:val="a5"/>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كلية الاقتصاد والإدارة</w:t>
            </w:r>
          </w:p>
        </w:tc>
      </w:tr>
      <w:tr w:rsidR="007B22DA" w14:paraId="61D0EAD4" w14:textId="77777777" w:rsidTr="009B6983">
        <w:tc>
          <w:tcPr>
            <w:tcW w:w="1763" w:type="dxa"/>
          </w:tcPr>
          <w:p w14:paraId="76ED9EDA" w14:textId="77777777" w:rsidR="007B22DA" w:rsidRPr="004B484B" w:rsidRDefault="007B22DA" w:rsidP="009B6983">
            <w:pPr>
              <w:pStyle w:val="a5"/>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4F40C9B" w14:textId="77777777" w:rsidR="007B22DA" w:rsidRPr="004B484B" w:rsidRDefault="007B22DA" w:rsidP="009B6983">
            <w:pPr>
              <w:pStyle w:val="a5"/>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71945013" w14:textId="77777777" w:rsidR="007B22DA" w:rsidRDefault="007B22DA" w:rsidP="009B6983">
            <w:pPr>
              <w:pStyle w:val="a5"/>
              <w:bidi/>
              <w:spacing w:before="0" w:beforeAutospacing="0" w:after="0" w:afterAutospacing="0"/>
              <w:ind w:right="-270"/>
              <w:rPr>
                <w:rFonts w:ascii="Sakkal Majalla" w:hAnsi="Sakkal Majalla" w:cs="Sakkal Majalla"/>
                <w:b/>
                <w:bCs/>
                <w:color w:val="0000FF"/>
                <w:sz w:val="36"/>
                <w:szCs w:val="36"/>
                <w:rtl/>
              </w:rPr>
            </w:pPr>
          </w:p>
        </w:tc>
      </w:tr>
    </w:tbl>
    <w:p w14:paraId="26CD9FA8" w14:textId="77777777" w:rsidR="007B22DA" w:rsidRDefault="007B22DA" w:rsidP="007B22DA">
      <w:pPr>
        <w:pStyle w:val="a5"/>
        <w:bidi/>
        <w:spacing w:before="0" w:beforeAutospacing="0" w:after="0" w:afterAutospacing="0"/>
        <w:ind w:right="-270"/>
        <w:jc w:val="both"/>
        <w:rPr>
          <w:rFonts w:ascii="Sakkal Majalla" w:hAnsi="Sakkal Majalla" w:cs="Sakkal Majalla"/>
          <w:b/>
          <w:bCs/>
          <w:color w:val="0000FF"/>
          <w:sz w:val="36"/>
          <w:szCs w:val="36"/>
          <w:rtl/>
        </w:rPr>
      </w:pPr>
    </w:p>
    <w:p w14:paraId="3972C54D" w14:textId="77777777" w:rsidR="007B22DA" w:rsidRDefault="007B22DA" w:rsidP="007B22DA">
      <w:pPr>
        <w:pStyle w:val="a5"/>
        <w:bidi/>
        <w:spacing w:before="0" w:beforeAutospacing="0" w:after="0" w:afterAutospacing="0"/>
        <w:ind w:right="-270"/>
        <w:jc w:val="both"/>
        <w:rPr>
          <w:rFonts w:ascii="Sakkal Majalla" w:hAnsi="Sakkal Majalla" w:cs="Sakkal Majalla"/>
          <w:b/>
          <w:bCs/>
          <w:color w:val="0000FF"/>
          <w:sz w:val="36"/>
          <w:szCs w:val="36"/>
          <w:rtl/>
        </w:rPr>
      </w:pPr>
    </w:p>
    <w:p w14:paraId="0307E994" w14:textId="77777777" w:rsidR="007B22DA" w:rsidRPr="000B6BD5" w:rsidRDefault="007B22DA" w:rsidP="007B22DA">
      <w:pPr>
        <w:jc w:val="center"/>
        <w:rPr>
          <w:rFonts w:ascii="Sakkal Majalla" w:hAnsi="Sakkal Majalla" w:cs="Sakkal Majalla"/>
          <w:b/>
          <w:bCs/>
          <w:color w:val="00B0F0"/>
          <w:sz w:val="40"/>
          <w:szCs w:val="40"/>
          <w:u w:val="single"/>
          <w:rtl/>
        </w:rPr>
      </w:pPr>
      <w:r w:rsidRPr="000B6BD5">
        <w:rPr>
          <w:rFonts w:ascii="Traditional Arabic" w:hAnsi="Traditional Arabic" w:cs="Traditional Arabic"/>
          <w:b/>
          <w:bCs/>
          <w:sz w:val="32"/>
          <w:szCs w:val="32"/>
          <w:rtl/>
        </w:rPr>
        <w:t xml:space="preserve">        ١٤٤٦ ه  -  ٢٠٢٥ م</w:t>
      </w:r>
    </w:p>
    <w:p w14:paraId="619874A2" w14:textId="77777777" w:rsidR="001F3999" w:rsidRPr="009F421F" w:rsidRDefault="009F421F" w:rsidP="007B22DA">
      <w:pPr>
        <w:bidi/>
        <w:spacing w:after="0" w:line="240" w:lineRule="auto"/>
        <w:jc w:val="center"/>
        <w:rPr>
          <w:rFonts w:ascii="Traditional Arabic" w:hAnsi="Traditional Arabic" w:cs="Traditional Arabic"/>
          <w:b/>
          <w:bCs/>
          <w:sz w:val="32"/>
          <w:szCs w:val="32"/>
          <w:rtl/>
        </w:rPr>
      </w:pPr>
      <w:r w:rsidRPr="009F421F">
        <w:rPr>
          <w:rFonts w:ascii="Traditional Arabic" w:hAnsi="Traditional Arabic" w:cs="Traditional Arabic"/>
          <w:b/>
          <w:bCs/>
          <w:sz w:val="32"/>
          <w:szCs w:val="32"/>
          <w:rtl/>
        </w:rPr>
        <w:lastRenderedPageBreak/>
        <w:t>الفصل الثالث</w:t>
      </w:r>
    </w:p>
    <w:p w14:paraId="30BF4897" w14:textId="77777777" w:rsidR="009F421F" w:rsidRDefault="009F421F" w:rsidP="009F421F">
      <w:pPr>
        <w:bidi/>
        <w:spacing w:after="0" w:line="240" w:lineRule="auto"/>
        <w:jc w:val="center"/>
        <w:rPr>
          <w:rFonts w:ascii="Traditional Arabic" w:hAnsi="Traditional Arabic" w:cs="Traditional Arabic"/>
          <w:sz w:val="32"/>
          <w:szCs w:val="32"/>
          <w:rtl/>
        </w:rPr>
      </w:pPr>
      <w:r w:rsidRPr="009F421F">
        <w:rPr>
          <w:rFonts w:ascii="Traditional Arabic" w:hAnsi="Traditional Arabic" w:cs="Traditional Arabic"/>
          <w:sz w:val="32"/>
          <w:szCs w:val="32"/>
          <w:rtl/>
        </w:rPr>
        <w:t>اﻟﻄﺮﻳﻘﺔ واﻹﺟﺮاءات المنهجية</w:t>
      </w:r>
    </w:p>
    <w:p w14:paraId="35509C40" w14:textId="77777777" w:rsidR="000A40BF" w:rsidRPr="000A40BF" w:rsidRDefault="000A40BF" w:rsidP="000A40BF">
      <w:pPr>
        <w:bidi/>
        <w:spacing w:after="0" w:line="240" w:lineRule="auto"/>
        <w:ind w:firstLine="720"/>
        <w:jc w:val="both"/>
        <w:rPr>
          <w:rFonts w:ascii="Traditional Arabic" w:eastAsia="Calibri" w:hAnsi="Traditional Arabic" w:cs="Traditional Arabic"/>
          <w:color w:val="000000"/>
          <w:sz w:val="14"/>
          <w:szCs w:val="14"/>
          <w:rtl/>
        </w:rPr>
      </w:pPr>
    </w:p>
    <w:p w14:paraId="70872375" w14:textId="77777777" w:rsidR="000A40BF" w:rsidRPr="000A40BF" w:rsidRDefault="000A40BF" w:rsidP="000A40BF">
      <w:pPr>
        <w:bidi/>
        <w:spacing w:after="0" w:line="240" w:lineRule="auto"/>
        <w:ind w:firstLine="720"/>
        <w:jc w:val="both"/>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 xml:space="preserve">يستعرض هذا الفصل الطريقة والإجراءات المنهجية التي اتبعتها الدراسة الحالية للتحقق من أثر تبني تقنيات الذكاء الاصطناعي في التسويق الرقمي على الأداء التسويقي للشركات الصغيرة والمتوسطة في المملكة العربية السعودية. ويتناول الفصل بالتفصيل: تحديد المنهجية العلمية المستخدمة وتبريرها، ومجتمع وعينة الدراسة، وتطوير أداة القياس، والتعريف الإجرائي للمتغيرات، بالإضافة إلى إجراءات التحليل الإحصائي الكمي، والتحليل النوعي للمقابلات، والاعتبارات الأخلاقية المتبعة.  </w:t>
      </w:r>
    </w:p>
    <w:p w14:paraId="0B68220A" w14:textId="77777777" w:rsidR="009F421F" w:rsidRDefault="009F421F" w:rsidP="000A40BF">
      <w:pPr>
        <w:bidi/>
        <w:spacing w:after="0" w:line="240" w:lineRule="auto"/>
        <w:rPr>
          <w:rFonts w:ascii="Traditional Arabic" w:hAnsi="Traditional Arabic" w:cs="Traditional Arabic"/>
          <w:b/>
          <w:bCs/>
          <w:sz w:val="32"/>
          <w:szCs w:val="32"/>
          <w:rtl/>
        </w:rPr>
      </w:pPr>
      <w:r w:rsidRPr="009F421F">
        <w:rPr>
          <w:rFonts w:ascii="Traditional Arabic" w:hAnsi="Traditional Arabic" w:cs="Traditional Arabic" w:hint="cs"/>
          <w:b/>
          <w:bCs/>
          <w:sz w:val="32"/>
          <w:szCs w:val="32"/>
          <w:rtl/>
        </w:rPr>
        <w:t>ﻣﻨﻬﺞ</w:t>
      </w:r>
      <w:r w:rsidRPr="009F421F">
        <w:rPr>
          <w:rFonts w:ascii="Traditional Arabic" w:hAnsi="Traditional Arabic" w:cs="Traditional Arabic"/>
          <w:b/>
          <w:bCs/>
          <w:sz w:val="32"/>
          <w:szCs w:val="32"/>
          <w:rtl/>
        </w:rPr>
        <w:t xml:space="preserve"> ا</w:t>
      </w:r>
      <w:r w:rsidRPr="009F421F">
        <w:rPr>
          <w:rFonts w:ascii="Traditional Arabic" w:hAnsi="Traditional Arabic" w:cs="Traditional Arabic" w:hint="cs"/>
          <w:b/>
          <w:bCs/>
          <w:sz w:val="32"/>
          <w:szCs w:val="32"/>
          <w:rtl/>
        </w:rPr>
        <w:t>ﻟﺒﺤﺚ</w:t>
      </w:r>
      <w:r w:rsidRPr="009F421F">
        <w:rPr>
          <w:rFonts w:ascii="Traditional Arabic" w:hAnsi="Traditional Arabic" w:cs="Traditional Arabic"/>
          <w:b/>
          <w:bCs/>
          <w:sz w:val="32"/>
          <w:szCs w:val="32"/>
          <w:rtl/>
        </w:rPr>
        <w:t>:</w:t>
      </w:r>
    </w:p>
    <w:p w14:paraId="34EE87B7" w14:textId="77777777" w:rsidR="009F421F" w:rsidRDefault="000A40BF" w:rsidP="009F421F">
      <w:pPr>
        <w:bidi/>
        <w:ind w:firstLine="720"/>
        <w:jc w:val="both"/>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اعتمدت الدراسة الحالية على المنهج المختلط التفسيري المتتابع (</w:t>
      </w:r>
      <w:r w:rsidRPr="000A40BF">
        <w:rPr>
          <w:rFonts w:ascii="Traditional Arabic" w:eastAsia="Calibri" w:hAnsi="Traditional Arabic" w:cs="Traditional Arabic"/>
          <w:color w:val="000000"/>
          <w:sz w:val="32"/>
          <w:szCs w:val="32"/>
        </w:rPr>
        <w:t>Explanatory Sequential Mixed Methods Design</w:t>
      </w:r>
      <w:r w:rsidRPr="000A40BF">
        <w:rPr>
          <w:rFonts w:ascii="Traditional Arabic" w:eastAsia="Calibri" w:hAnsi="Traditional Arabic" w:cs="Traditional Arabic"/>
          <w:color w:val="000000"/>
          <w:sz w:val="32"/>
          <w:szCs w:val="32"/>
          <w:rtl/>
        </w:rPr>
        <w:t>). ويقوم هذا المنهج ع</w:t>
      </w:r>
      <w:r>
        <w:rPr>
          <w:rFonts w:ascii="Traditional Arabic" w:eastAsia="Calibri" w:hAnsi="Traditional Arabic" w:cs="Traditional Arabic"/>
          <w:color w:val="000000"/>
          <w:sz w:val="32"/>
          <w:szCs w:val="32"/>
          <w:rtl/>
        </w:rPr>
        <w:t>لى مرحلتين أساسيتين متتاليتين:</w:t>
      </w:r>
    </w:p>
    <w:p w14:paraId="3DD94628" w14:textId="77777777" w:rsidR="000A40BF" w:rsidRPr="000A40BF" w:rsidRDefault="000A40BF" w:rsidP="000A40BF">
      <w:pPr>
        <w:bidi/>
        <w:ind w:firstLine="720"/>
        <w:jc w:val="center"/>
        <w:rPr>
          <w:rFonts w:ascii="Traditional Arabic" w:eastAsia="Calibri" w:hAnsi="Traditional Arabic" w:cs="Traditional Arabic"/>
          <w:color w:val="000000"/>
          <w:sz w:val="32"/>
          <w:szCs w:val="32"/>
        </w:rPr>
      </w:pPr>
      <w:r w:rsidRPr="000A40BF">
        <w:rPr>
          <w:rFonts w:ascii="Traditional Arabic" w:eastAsia="Calibri" w:hAnsi="Traditional Arabic" w:cs="Traditional Arabic"/>
          <w:color w:val="000000"/>
          <w:sz w:val="32"/>
          <w:szCs w:val="32"/>
          <w:rtl/>
        </w:rPr>
        <w:t xml:space="preserve">[المرحلة الأولى: دراسة كمية (الاستبيان) ] </w:t>
      </w:r>
      <w:r w:rsidRPr="000A40BF">
        <w:rPr>
          <w:rFonts w:ascii="MS Gothic" w:eastAsia="MS Gothic" w:hAnsi="MS Gothic" w:cs="MS Gothic" w:hint="eastAsia"/>
          <w:color w:val="000000"/>
          <w:sz w:val="32"/>
          <w:szCs w:val="32"/>
          <w:rtl/>
        </w:rPr>
        <w:t>➔</w:t>
      </w:r>
      <w:r w:rsidRPr="000A40BF">
        <w:rPr>
          <w:rFonts w:ascii="Traditional Arabic" w:eastAsia="Calibri" w:hAnsi="Traditional Arabic" w:cs="Traditional Arabic"/>
          <w:color w:val="000000"/>
          <w:sz w:val="32"/>
          <w:szCs w:val="32"/>
          <w:rtl/>
        </w:rPr>
        <w:t xml:space="preserve"> [ </w:t>
      </w:r>
      <w:r w:rsidRPr="000A40BF">
        <w:rPr>
          <w:rFonts w:ascii="Traditional Arabic" w:eastAsia="Calibri" w:hAnsi="Traditional Arabic" w:cs="Traditional Arabic" w:hint="cs"/>
          <w:color w:val="000000"/>
          <w:sz w:val="32"/>
          <w:szCs w:val="32"/>
          <w:rtl/>
        </w:rPr>
        <w:t>تحليل</w:t>
      </w:r>
      <w:r w:rsidRPr="000A40BF">
        <w:rPr>
          <w:rFonts w:ascii="Traditional Arabic" w:eastAsia="Calibri" w:hAnsi="Traditional Arabic" w:cs="Traditional Arabic"/>
          <w:color w:val="000000"/>
          <w:sz w:val="32"/>
          <w:szCs w:val="32"/>
          <w:rtl/>
        </w:rPr>
        <w:t xml:space="preserve"> </w:t>
      </w:r>
      <w:r w:rsidRPr="000A40BF">
        <w:rPr>
          <w:rFonts w:ascii="Traditional Arabic" w:eastAsia="Calibri" w:hAnsi="Traditional Arabic" w:cs="Traditional Arabic" w:hint="cs"/>
          <w:color w:val="000000"/>
          <w:sz w:val="32"/>
          <w:szCs w:val="32"/>
          <w:rtl/>
        </w:rPr>
        <w:t>البيانات</w:t>
      </w:r>
      <w:r w:rsidRPr="000A40BF">
        <w:rPr>
          <w:rFonts w:ascii="Traditional Arabic" w:eastAsia="Calibri" w:hAnsi="Traditional Arabic" w:cs="Traditional Arabic"/>
          <w:color w:val="000000"/>
          <w:sz w:val="32"/>
          <w:szCs w:val="32"/>
          <w:rtl/>
        </w:rPr>
        <w:t xml:space="preserve"> </w:t>
      </w:r>
      <w:r w:rsidRPr="000A40BF">
        <w:rPr>
          <w:rFonts w:ascii="Traditional Arabic" w:eastAsia="Calibri" w:hAnsi="Traditional Arabic" w:cs="Traditional Arabic" w:hint="cs"/>
          <w:color w:val="000000"/>
          <w:sz w:val="32"/>
          <w:szCs w:val="32"/>
          <w:rtl/>
        </w:rPr>
        <w:t>الكمية</w:t>
      </w:r>
      <w:r w:rsidRPr="000A40BF">
        <w:rPr>
          <w:rFonts w:ascii="Traditional Arabic" w:eastAsia="Calibri" w:hAnsi="Traditional Arabic" w:cs="Traditional Arabic"/>
          <w:color w:val="000000"/>
          <w:sz w:val="32"/>
          <w:szCs w:val="32"/>
          <w:rtl/>
        </w:rPr>
        <w:t xml:space="preserve"> ] </w:t>
      </w:r>
      <w:r w:rsidRPr="000A40BF">
        <w:rPr>
          <w:rFonts w:ascii="MS Gothic" w:eastAsia="MS Gothic" w:hAnsi="MS Gothic" w:cs="MS Gothic" w:hint="eastAsia"/>
          <w:color w:val="000000"/>
          <w:sz w:val="32"/>
          <w:szCs w:val="32"/>
          <w:rtl/>
        </w:rPr>
        <w:t>➔</w:t>
      </w:r>
      <w:r w:rsidRPr="000A40BF">
        <w:rPr>
          <w:rFonts w:ascii="Traditional Arabic" w:eastAsia="Calibri" w:hAnsi="Traditional Arabic" w:cs="Traditional Arabic"/>
          <w:color w:val="000000"/>
          <w:sz w:val="32"/>
          <w:szCs w:val="32"/>
          <w:rtl/>
        </w:rPr>
        <w:t xml:space="preserve"> [ </w:t>
      </w:r>
      <w:r w:rsidRPr="000A40BF">
        <w:rPr>
          <w:rFonts w:ascii="Traditional Arabic" w:eastAsia="Calibri" w:hAnsi="Traditional Arabic" w:cs="Traditional Arabic" w:hint="cs"/>
          <w:color w:val="000000"/>
          <w:sz w:val="32"/>
          <w:szCs w:val="32"/>
          <w:rtl/>
        </w:rPr>
        <w:t>المرحلة</w:t>
      </w:r>
      <w:r w:rsidRPr="000A40BF">
        <w:rPr>
          <w:rFonts w:ascii="Traditional Arabic" w:eastAsia="Calibri" w:hAnsi="Traditional Arabic" w:cs="Traditional Arabic"/>
          <w:color w:val="000000"/>
          <w:sz w:val="32"/>
          <w:szCs w:val="32"/>
          <w:rtl/>
        </w:rPr>
        <w:t xml:space="preserve"> </w:t>
      </w:r>
      <w:r w:rsidRPr="000A40BF">
        <w:rPr>
          <w:rFonts w:ascii="Traditional Arabic" w:eastAsia="Calibri" w:hAnsi="Traditional Arabic" w:cs="Traditional Arabic" w:hint="cs"/>
          <w:color w:val="000000"/>
          <w:sz w:val="32"/>
          <w:szCs w:val="32"/>
          <w:rtl/>
        </w:rPr>
        <w:t>الثانية</w:t>
      </w:r>
      <w:r w:rsidRPr="000A40BF">
        <w:rPr>
          <w:rFonts w:ascii="Traditional Arabic" w:eastAsia="Calibri" w:hAnsi="Traditional Arabic" w:cs="Traditional Arabic"/>
          <w:color w:val="000000"/>
          <w:sz w:val="32"/>
          <w:szCs w:val="32"/>
          <w:rtl/>
        </w:rPr>
        <w:t xml:space="preserve">: </w:t>
      </w:r>
      <w:r w:rsidRPr="000A40BF">
        <w:rPr>
          <w:rFonts w:ascii="Traditional Arabic" w:eastAsia="Calibri" w:hAnsi="Traditional Arabic" w:cs="Traditional Arabic" w:hint="cs"/>
          <w:color w:val="000000"/>
          <w:sz w:val="32"/>
          <w:szCs w:val="32"/>
          <w:rtl/>
        </w:rPr>
        <w:t>دراسة</w:t>
      </w:r>
      <w:r w:rsidRPr="000A40BF">
        <w:rPr>
          <w:rFonts w:ascii="Traditional Arabic" w:eastAsia="Calibri" w:hAnsi="Traditional Arabic" w:cs="Traditional Arabic"/>
          <w:color w:val="000000"/>
          <w:sz w:val="32"/>
          <w:szCs w:val="32"/>
          <w:rtl/>
        </w:rPr>
        <w:t xml:space="preserve"> نوعية (المقابلات) ] </w:t>
      </w:r>
      <w:r w:rsidRPr="000A40BF">
        <w:rPr>
          <w:rFonts w:ascii="MS Gothic" w:eastAsia="MS Gothic" w:hAnsi="MS Gothic" w:cs="MS Gothic" w:hint="eastAsia"/>
          <w:color w:val="000000"/>
          <w:sz w:val="32"/>
          <w:szCs w:val="32"/>
          <w:rtl/>
        </w:rPr>
        <w:t>➔</w:t>
      </w:r>
      <w:r w:rsidRPr="000A40BF">
        <w:rPr>
          <w:rFonts w:ascii="Traditional Arabic" w:eastAsia="Calibri" w:hAnsi="Traditional Arabic" w:cs="Traditional Arabic"/>
          <w:color w:val="000000"/>
          <w:sz w:val="32"/>
          <w:szCs w:val="32"/>
          <w:rtl/>
        </w:rPr>
        <w:t xml:space="preserve"> [ </w:t>
      </w:r>
      <w:r w:rsidRPr="000A40BF">
        <w:rPr>
          <w:rFonts w:ascii="Traditional Arabic" w:eastAsia="Calibri" w:hAnsi="Traditional Arabic" w:cs="Traditional Arabic" w:hint="cs"/>
          <w:color w:val="000000"/>
          <w:sz w:val="32"/>
          <w:szCs w:val="32"/>
          <w:rtl/>
        </w:rPr>
        <w:t>تفسير</w:t>
      </w:r>
      <w:r w:rsidRPr="000A40BF">
        <w:rPr>
          <w:rFonts w:ascii="Traditional Arabic" w:eastAsia="Calibri" w:hAnsi="Traditional Arabic" w:cs="Traditional Arabic"/>
          <w:color w:val="000000"/>
          <w:sz w:val="32"/>
          <w:szCs w:val="32"/>
          <w:rtl/>
        </w:rPr>
        <w:t xml:space="preserve"> </w:t>
      </w:r>
      <w:r w:rsidRPr="000A40BF">
        <w:rPr>
          <w:rFonts w:ascii="Traditional Arabic" w:eastAsia="Calibri" w:hAnsi="Traditional Arabic" w:cs="Traditional Arabic" w:hint="cs"/>
          <w:color w:val="000000"/>
          <w:sz w:val="32"/>
          <w:szCs w:val="32"/>
          <w:rtl/>
        </w:rPr>
        <w:t>وتكامل</w:t>
      </w:r>
      <w:r w:rsidRPr="000A40BF">
        <w:rPr>
          <w:rFonts w:ascii="Traditional Arabic" w:eastAsia="Calibri" w:hAnsi="Traditional Arabic" w:cs="Traditional Arabic"/>
          <w:color w:val="000000"/>
          <w:sz w:val="32"/>
          <w:szCs w:val="32"/>
          <w:rtl/>
        </w:rPr>
        <w:t xml:space="preserve"> </w:t>
      </w:r>
      <w:r w:rsidRPr="000A40BF">
        <w:rPr>
          <w:rFonts w:ascii="Traditional Arabic" w:eastAsia="Calibri" w:hAnsi="Traditional Arabic" w:cs="Traditional Arabic" w:hint="cs"/>
          <w:color w:val="000000"/>
          <w:sz w:val="32"/>
          <w:szCs w:val="32"/>
          <w:rtl/>
        </w:rPr>
        <w:t>النتائج</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w:t>
      </w:r>
    </w:p>
    <w:p w14:paraId="53653BBB" w14:textId="77777777" w:rsidR="000A40BF" w:rsidRPr="000A40BF" w:rsidRDefault="000A40BF" w:rsidP="000A40BF">
      <w:pPr>
        <w:numPr>
          <w:ilvl w:val="0"/>
          <w:numId w:val="6"/>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b/>
          <w:bCs/>
          <w:color w:val="000000"/>
          <w:sz w:val="32"/>
          <w:szCs w:val="32"/>
          <w:rtl/>
        </w:rPr>
        <w:t>المرحلة الأولى (الكمية</w:t>
      </w:r>
      <w:r>
        <w:rPr>
          <w:rFonts w:ascii="Traditional Arabic" w:eastAsia="Calibri" w:hAnsi="Traditional Arabic" w:cs="Traditional Arabic" w:hint="cs"/>
          <w:b/>
          <w:bCs/>
          <w:color w:val="000000"/>
          <w:sz w:val="32"/>
          <w:szCs w:val="32"/>
          <w:rtl/>
        </w:rPr>
        <w:t>)</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تم البدء بجمع وتحليل البيانات الكمية من خلال أداة الاستبيان التي استهدفت عينة واسعة من الشركات الصغيرة والمتوسطة</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تهدف هذه المرحلة إلى اختبار العلاقات الفرضية وتحديد التأثيرات المباشرة وغير المباشرة للمتغيرات إحصائياً</w:t>
      </w:r>
      <w:r w:rsidRPr="000A40BF">
        <w:rPr>
          <w:rFonts w:ascii="Traditional Arabic" w:eastAsia="Calibri" w:hAnsi="Traditional Arabic" w:cs="Traditional Arabic"/>
          <w:color w:val="000000"/>
          <w:sz w:val="32"/>
          <w:szCs w:val="32"/>
        </w:rPr>
        <w:t xml:space="preserve">. </w:t>
      </w:r>
    </w:p>
    <w:p w14:paraId="6DB14E8C" w14:textId="77777777" w:rsidR="000A40BF" w:rsidRPr="000A40BF" w:rsidRDefault="000A40BF" w:rsidP="000A40BF">
      <w:pPr>
        <w:numPr>
          <w:ilvl w:val="0"/>
          <w:numId w:val="6"/>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b/>
          <w:bCs/>
          <w:color w:val="000000"/>
          <w:sz w:val="32"/>
          <w:szCs w:val="32"/>
          <w:rtl/>
        </w:rPr>
        <w:t>المرحلة الثانية (النوعية</w:t>
      </w:r>
      <w:r>
        <w:rPr>
          <w:rFonts w:ascii="Traditional Arabic" w:eastAsia="Calibri" w:hAnsi="Traditional Arabic" w:cs="Traditional Arabic" w:hint="cs"/>
          <w:b/>
          <w:bCs/>
          <w:color w:val="000000"/>
          <w:sz w:val="32"/>
          <w:szCs w:val="32"/>
          <w:rtl/>
        </w:rPr>
        <w:t>)</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تلت المرحلة الكمية مباشرة، حيث تم إجراء مقابلات متعمقة شبه منظمة مع عينة قصدية من مديري التسويق</w:t>
      </w:r>
      <w:r w:rsidRPr="000A40BF">
        <w:rPr>
          <w:rFonts w:ascii="Traditional Arabic" w:eastAsia="Calibri" w:hAnsi="Traditional Arabic" w:cs="Traditional Arabic"/>
          <w:color w:val="000000"/>
          <w:sz w:val="32"/>
          <w:szCs w:val="32"/>
        </w:rPr>
        <w:t xml:space="preserve">. </w:t>
      </w:r>
    </w:p>
    <w:p w14:paraId="461F33FD" w14:textId="77777777" w:rsidR="000A40BF" w:rsidRPr="000A40BF" w:rsidRDefault="000A40BF" w:rsidP="000A40BF">
      <w:pPr>
        <w:bidi/>
        <w:ind w:left="360" w:firstLine="360"/>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b/>
          <w:bCs/>
          <w:color w:val="000000"/>
          <w:sz w:val="32"/>
          <w:szCs w:val="32"/>
          <w:rtl/>
        </w:rPr>
        <w:t>التسلسل المنهجي</w:t>
      </w:r>
      <w:r w:rsidRPr="000A40BF">
        <w:rPr>
          <w:rFonts w:ascii="Traditional Arabic" w:eastAsia="Calibri" w:hAnsi="Traditional Arabic" w:cs="Traditional Arabic"/>
          <w:b/>
          <w:bCs/>
          <w:color w:val="000000"/>
          <w:sz w:val="32"/>
          <w:szCs w:val="32"/>
        </w:rPr>
        <w:t>:</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تم تصميم المنهج بهذا التتابع لأن النتائج الإحصائية الكمية بمفردها قد لا تقدم تفسيراً عميقاً "لكيف" و"لماذا" تنجح أو تفشل تقنيات الذكاء الاصطناعي في بيئة العمل الفعلية</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لذا، تم استخدام المقابلات النوعية كأداة تفسيرية وتعميقية لشرح وتوضيح الأنماط الإحصائية المكتشفة في المرحلة الكمية وسد الفجوات التفسيرية</w:t>
      </w:r>
      <w:r w:rsidRPr="000A40BF">
        <w:rPr>
          <w:rFonts w:ascii="Traditional Arabic" w:eastAsia="Calibri" w:hAnsi="Traditional Arabic" w:cs="Traditional Arabic"/>
          <w:color w:val="000000"/>
          <w:sz w:val="32"/>
          <w:szCs w:val="32"/>
        </w:rPr>
        <w:t xml:space="preserve"> (Creswell &amp; Plano Clark, 2018). </w:t>
      </w:r>
    </w:p>
    <w:p w14:paraId="361A56BD" w14:textId="77777777" w:rsidR="000A40BF" w:rsidRPr="000A40BF" w:rsidRDefault="000A40BF" w:rsidP="000A40BF">
      <w:pPr>
        <w:bidi/>
        <w:jc w:val="both"/>
        <w:rPr>
          <w:rFonts w:ascii="Traditional Arabic" w:eastAsia="Calibri" w:hAnsi="Traditional Arabic" w:cs="Traditional Arabic"/>
          <w:color w:val="000000"/>
          <w:sz w:val="32"/>
          <w:szCs w:val="32"/>
        </w:rPr>
      </w:pPr>
    </w:p>
    <w:p w14:paraId="2B7E64BB" w14:textId="77777777" w:rsidR="009F421F" w:rsidRPr="009F421F" w:rsidRDefault="009F421F" w:rsidP="000A40BF">
      <w:pPr>
        <w:bidi/>
        <w:spacing w:after="0" w:line="240" w:lineRule="auto"/>
        <w:rPr>
          <w:rFonts w:ascii="Traditional Arabic" w:hAnsi="Traditional Arabic" w:cs="Traditional Arabic"/>
          <w:b/>
          <w:bCs/>
          <w:sz w:val="32"/>
          <w:szCs w:val="32"/>
          <w:rtl/>
        </w:rPr>
      </w:pPr>
      <w:r w:rsidRPr="009F421F">
        <w:rPr>
          <w:rFonts w:ascii="Traditional Arabic" w:hAnsi="Traditional Arabic" w:cs="Traditional Arabic" w:hint="cs"/>
          <w:b/>
          <w:bCs/>
          <w:sz w:val="32"/>
          <w:szCs w:val="32"/>
          <w:rtl/>
        </w:rPr>
        <w:lastRenderedPageBreak/>
        <w:t>مجتمع الدراسة</w:t>
      </w:r>
      <w:r w:rsidRPr="009F421F">
        <w:rPr>
          <w:rFonts w:ascii="Traditional Arabic" w:hAnsi="Traditional Arabic" w:cs="Traditional Arabic"/>
          <w:b/>
          <w:bCs/>
          <w:sz w:val="32"/>
          <w:szCs w:val="32"/>
          <w:rtl/>
        </w:rPr>
        <w:t>:</w:t>
      </w:r>
    </w:p>
    <w:p w14:paraId="2AEB2C22" w14:textId="77777777" w:rsidR="009F421F" w:rsidRDefault="000A40BF" w:rsidP="000A40BF">
      <w:pPr>
        <w:bidi/>
        <w:ind w:firstLine="720"/>
        <w:jc w:val="both"/>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يتمثل مجتمع الدراسة في جميع الشركات الصغيرة والمتوسطة (</w:t>
      </w:r>
      <w:r w:rsidRPr="000A40BF">
        <w:rPr>
          <w:rFonts w:ascii="Traditional Arabic" w:eastAsia="Calibri" w:hAnsi="Traditional Arabic" w:cs="Traditional Arabic"/>
          <w:color w:val="000000"/>
          <w:sz w:val="32"/>
          <w:szCs w:val="32"/>
        </w:rPr>
        <w:t>SMEs</w:t>
      </w:r>
      <w:r w:rsidRPr="000A40BF">
        <w:rPr>
          <w:rFonts w:ascii="Traditional Arabic" w:eastAsia="Calibri" w:hAnsi="Traditional Arabic" w:cs="Traditional Arabic"/>
          <w:color w:val="000000"/>
          <w:sz w:val="32"/>
          <w:szCs w:val="32"/>
          <w:rtl/>
        </w:rPr>
        <w:t>) العاملة في المملكة العربية السعودية. ووفقاً للبيانات الرسمية الصادرة عن الهيئة العامة للمنشآت الصغيرة والمتوسطة "منشآت" (</w:t>
      </w:r>
      <w:r w:rsidRPr="000A40BF">
        <w:rPr>
          <w:rFonts w:ascii="Traditional Arabic" w:eastAsia="Calibri" w:hAnsi="Traditional Arabic" w:cs="Traditional Arabic"/>
          <w:color w:val="000000"/>
          <w:sz w:val="32"/>
          <w:szCs w:val="32"/>
        </w:rPr>
        <w:t>Monsha'at, 2025/2026</w:t>
      </w:r>
      <w:r w:rsidRPr="000A40BF">
        <w:rPr>
          <w:rFonts w:ascii="Traditional Arabic" w:eastAsia="Calibri" w:hAnsi="Traditional Arabic" w:cs="Traditional Arabic"/>
          <w:color w:val="000000"/>
          <w:sz w:val="32"/>
          <w:szCs w:val="32"/>
          <w:rtl/>
        </w:rPr>
        <w:t>)، يُقدر حجم قطاع المنشآت الصغيرة والمتوسطة في المملكة بحوالي 1.3 مليون منشأة نشطة تتوزع على مختلف الأنشطة الاقتصادية والقطاعات التجارية، والخدمية، والصناعية.</w:t>
      </w:r>
    </w:p>
    <w:p w14:paraId="1B08D1CC" w14:textId="77777777" w:rsidR="000A40BF" w:rsidRPr="009F421F" w:rsidRDefault="000A40BF" w:rsidP="000A40BF">
      <w:pPr>
        <w:bidi/>
        <w:spacing w:after="0" w:line="24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عينة</w:t>
      </w:r>
      <w:r w:rsidRPr="009F421F">
        <w:rPr>
          <w:rFonts w:ascii="Traditional Arabic" w:hAnsi="Traditional Arabic" w:cs="Traditional Arabic" w:hint="cs"/>
          <w:b/>
          <w:bCs/>
          <w:sz w:val="32"/>
          <w:szCs w:val="32"/>
          <w:rtl/>
        </w:rPr>
        <w:t xml:space="preserve"> الدراسة</w:t>
      </w:r>
      <w:r w:rsidRPr="009F421F">
        <w:rPr>
          <w:rFonts w:ascii="Traditional Arabic" w:hAnsi="Traditional Arabic" w:cs="Traditional Arabic"/>
          <w:b/>
          <w:bCs/>
          <w:sz w:val="32"/>
          <w:szCs w:val="32"/>
          <w:rtl/>
        </w:rPr>
        <w:t>:</w:t>
      </w:r>
    </w:p>
    <w:p w14:paraId="3C65307D" w14:textId="77777777" w:rsidR="000A40BF" w:rsidRPr="000A40BF" w:rsidRDefault="000A40BF" w:rsidP="000A40BF">
      <w:pPr>
        <w:bidi/>
        <w:ind w:firstLine="720"/>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color w:val="000000"/>
          <w:sz w:val="32"/>
          <w:szCs w:val="32"/>
          <w:rtl/>
        </w:rPr>
        <w:t xml:space="preserve">تم استخدام </w:t>
      </w:r>
      <w:r w:rsidRPr="000A40BF">
        <w:rPr>
          <w:rFonts w:ascii="Traditional Arabic" w:eastAsia="Calibri" w:hAnsi="Traditional Arabic" w:cs="Traditional Arabic"/>
          <w:b/>
          <w:bCs/>
          <w:color w:val="000000"/>
          <w:sz w:val="32"/>
          <w:szCs w:val="32"/>
          <w:rtl/>
        </w:rPr>
        <w:t>العينة الطبقية العشوائية</w:t>
      </w:r>
      <w:r w:rsidRPr="000A40BF">
        <w:rPr>
          <w:rFonts w:ascii="Traditional Arabic" w:eastAsia="Calibri" w:hAnsi="Traditional Arabic" w:cs="Traditional Arabic"/>
          <w:b/>
          <w:bCs/>
          <w:color w:val="000000"/>
          <w:sz w:val="32"/>
          <w:szCs w:val="32"/>
        </w:rPr>
        <w:t xml:space="preserve"> (Stratified Random Sampling)</w:t>
      </w:r>
      <w:r w:rsidRPr="000A40BF">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tl/>
        </w:rPr>
        <w:t>تم تقسيم مجتمع الدراسة إلى ثلاث طبقات رئيسية بناءً على قطاع النشاط لضمان التمثيل العادل للقطاعات</w:t>
      </w:r>
      <w:r w:rsidRPr="000A40BF">
        <w:rPr>
          <w:rFonts w:ascii="Traditional Arabic" w:eastAsia="Calibri" w:hAnsi="Traditional Arabic" w:cs="Traditional Arabic"/>
          <w:color w:val="000000"/>
          <w:sz w:val="32"/>
          <w:szCs w:val="32"/>
        </w:rPr>
        <w:t xml:space="preserve">: </w:t>
      </w:r>
    </w:p>
    <w:p w14:paraId="1101F9CA" w14:textId="77777777" w:rsidR="000A40BF" w:rsidRPr="000A40BF" w:rsidRDefault="000A40BF" w:rsidP="000A40BF">
      <w:pPr>
        <w:numPr>
          <w:ilvl w:val="0"/>
          <w:numId w:val="8"/>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color w:val="000000"/>
          <w:sz w:val="32"/>
          <w:szCs w:val="32"/>
          <w:rtl/>
        </w:rPr>
        <w:t>القطاع الخدمي</w:t>
      </w:r>
      <w:r w:rsidRPr="000A40BF">
        <w:rPr>
          <w:rFonts w:ascii="Traditional Arabic" w:eastAsia="Calibri" w:hAnsi="Traditional Arabic" w:cs="Traditional Arabic"/>
          <w:color w:val="000000"/>
          <w:sz w:val="32"/>
          <w:szCs w:val="32"/>
        </w:rPr>
        <w:t xml:space="preserve"> (Service Sector). </w:t>
      </w:r>
    </w:p>
    <w:p w14:paraId="13D86DB6" w14:textId="77777777" w:rsidR="000A40BF" w:rsidRPr="000A40BF" w:rsidRDefault="000A40BF" w:rsidP="000A40BF">
      <w:pPr>
        <w:numPr>
          <w:ilvl w:val="0"/>
          <w:numId w:val="8"/>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color w:val="000000"/>
          <w:sz w:val="32"/>
          <w:szCs w:val="32"/>
          <w:rtl/>
        </w:rPr>
        <w:t>القطاع التجاري</w:t>
      </w:r>
      <w:r w:rsidRPr="000A40BF">
        <w:rPr>
          <w:rFonts w:ascii="Traditional Arabic" w:eastAsia="Calibri" w:hAnsi="Traditional Arabic" w:cs="Traditional Arabic"/>
          <w:color w:val="000000"/>
          <w:sz w:val="32"/>
          <w:szCs w:val="32"/>
        </w:rPr>
        <w:t xml:space="preserve"> (Commercial/Retail Sector). </w:t>
      </w:r>
    </w:p>
    <w:p w14:paraId="70F5A2DA" w14:textId="77777777" w:rsidR="000A40BF" w:rsidRPr="000A40BF" w:rsidRDefault="000A40BF" w:rsidP="000A40BF">
      <w:pPr>
        <w:numPr>
          <w:ilvl w:val="0"/>
          <w:numId w:val="8"/>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color w:val="000000"/>
          <w:sz w:val="32"/>
          <w:szCs w:val="32"/>
          <w:rtl/>
        </w:rPr>
        <w:t>القطاع الصناعي</w:t>
      </w:r>
      <w:r w:rsidRPr="000A40BF">
        <w:rPr>
          <w:rFonts w:ascii="Traditional Arabic" w:eastAsia="Calibri" w:hAnsi="Traditional Arabic" w:cs="Traditional Arabic"/>
          <w:color w:val="000000"/>
          <w:sz w:val="32"/>
          <w:szCs w:val="32"/>
        </w:rPr>
        <w:t xml:space="preserve"> (Industrial Sector). </w:t>
      </w:r>
    </w:p>
    <w:p w14:paraId="1A7566D4" w14:textId="77777777" w:rsidR="000A40BF" w:rsidRDefault="000A40BF" w:rsidP="000A40BF">
      <w:pPr>
        <w:bidi/>
        <w:ind w:firstLine="720"/>
        <w:jc w:val="both"/>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 xml:space="preserve">النطاق الجغرافي: تم توسيع النطاق الجغرافي لجمع البيانات ليتجاوز المدن الرئيسية (الرياض، جدة، الدمام) ليشمل مدنًا إضافية مثل (المدينة المنورة، وأبها) لضمان موثوقية وتعميم النتائج.  </w:t>
      </w:r>
    </w:p>
    <w:p w14:paraId="24F6A092" w14:textId="77777777" w:rsidR="000A40BF" w:rsidRDefault="000A40BF" w:rsidP="000A40BF">
      <w:pPr>
        <w:bidi/>
        <w:ind w:firstLine="720"/>
        <w:jc w:val="both"/>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 xml:space="preserve">حجم العينة: بلغ حجم عينة الدراسة النهائية المستردة والصالحة للتحليل الإحصائي 240 شركة (بما لا يقل عن الحد الأدنى المستهدف وهو 200 شركة). وتم تبرير هذا الحجم علمياً بالاستناد إلى:  </w:t>
      </w:r>
    </w:p>
    <w:p w14:paraId="247AB471" w14:textId="77777777" w:rsidR="000A40BF" w:rsidRDefault="000A40BF" w:rsidP="000A40BF">
      <w:pPr>
        <w:pStyle w:val="a6"/>
        <w:numPr>
          <w:ilvl w:val="0"/>
          <w:numId w:val="9"/>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b/>
          <w:bCs/>
          <w:color w:val="000000"/>
          <w:sz w:val="32"/>
          <w:szCs w:val="32"/>
          <w:rtl/>
        </w:rPr>
        <w:t>قاعدة (10-</w:t>
      </w:r>
      <w:r w:rsidRPr="000A40BF">
        <w:rPr>
          <w:rFonts w:ascii="Traditional Arabic" w:eastAsia="Calibri" w:hAnsi="Traditional Arabic" w:cs="Traditional Arabic"/>
          <w:b/>
          <w:bCs/>
          <w:color w:val="000000"/>
          <w:sz w:val="32"/>
          <w:szCs w:val="32"/>
        </w:rPr>
        <w:t>times rule</w:t>
      </w:r>
      <w:r w:rsidRPr="000A40BF">
        <w:rPr>
          <w:rFonts w:ascii="Traditional Arabic" w:eastAsia="Calibri" w:hAnsi="Traditional Arabic" w:cs="Traditional Arabic"/>
          <w:b/>
          <w:bCs/>
          <w:color w:val="000000"/>
          <w:sz w:val="32"/>
          <w:szCs w:val="32"/>
          <w:rtl/>
        </w:rPr>
        <w:t>):</w:t>
      </w:r>
      <w:r w:rsidRPr="000A40BF">
        <w:rPr>
          <w:rFonts w:ascii="Traditional Arabic" w:eastAsia="Calibri" w:hAnsi="Traditional Arabic" w:cs="Traditional Arabic"/>
          <w:color w:val="000000"/>
          <w:sz w:val="32"/>
          <w:szCs w:val="32"/>
          <w:rtl/>
        </w:rPr>
        <w:t xml:space="preserve"> والتي تنص على أن حجم العينة يجب أن يكون على الأقل عشرة أضعاف عدد المسارات الهيكلية الموجهة نحو المتغير التابع في النموذج البنائي (</w:t>
      </w:r>
      <w:r w:rsidRPr="000A40BF">
        <w:rPr>
          <w:rFonts w:ascii="Traditional Arabic" w:eastAsia="Calibri" w:hAnsi="Traditional Arabic" w:cs="Traditional Arabic"/>
          <w:color w:val="000000"/>
          <w:sz w:val="32"/>
          <w:szCs w:val="32"/>
        </w:rPr>
        <w:t>Hair et al., 2017</w:t>
      </w:r>
      <w:r w:rsidRPr="000A40BF">
        <w:rPr>
          <w:rFonts w:ascii="Traditional Arabic" w:eastAsia="Calibri" w:hAnsi="Traditional Arabic" w:cs="Traditional Arabic"/>
          <w:color w:val="000000"/>
          <w:sz w:val="32"/>
          <w:szCs w:val="32"/>
          <w:rtl/>
        </w:rPr>
        <w:t xml:space="preserve">). ونظراً لأن النموذج يضم عدداً محدوداً من المسارات المباشرة وغير المباشرة، فإن عينة تزيد عن 200 تعد ممتازة ومستوفية تماماً لهذا الشرط.  </w:t>
      </w:r>
    </w:p>
    <w:p w14:paraId="12691DC2" w14:textId="77777777" w:rsidR="000A40BF" w:rsidRPr="000A40BF" w:rsidRDefault="000A40BF" w:rsidP="000A40BF">
      <w:pPr>
        <w:pStyle w:val="a6"/>
        <w:bidi/>
        <w:ind w:left="1080"/>
        <w:jc w:val="both"/>
        <w:rPr>
          <w:rFonts w:ascii="Traditional Arabic" w:eastAsia="Calibri" w:hAnsi="Traditional Arabic" w:cs="Traditional Arabic"/>
          <w:color w:val="000000"/>
          <w:sz w:val="32"/>
          <w:szCs w:val="32"/>
          <w:rtl/>
        </w:rPr>
      </w:pPr>
    </w:p>
    <w:p w14:paraId="65A7529F" w14:textId="77777777" w:rsidR="000A40BF" w:rsidRPr="000A40BF" w:rsidRDefault="000A40BF" w:rsidP="000A40BF">
      <w:pPr>
        <w:pStyle w:val="a6"/>
        <w:numPr>
          <w:ilvl w:val="0"/>
          <w:numId w:val="9"/>
        </w:numPr>
        <w:bidi/>
        <w:jc w:val="both"/>
        <w:rPr>
          <w:rFonts w:ascii="Traditional Arabic" w:eastAsia="Calibri" w:hAnsi="Traditional Arabic" w:cs="Traditional Arabic"/>
          <w:color w:val="000000"/>
          <w:sz w:val="32"/>
          <w:szCs w:val="32"/>
        </w:rPr>
      </w:pPr>
      <w:r w:rsidRPr="000A40BF">
        <w:rPr>
          <w:rFonts w:ascii="Traditional Arabic" w:eastAsia="Calibri" w:hAnsi="Traditional Arabic" w:cs="Traditional Arabic"/>
          <w:b/>
          <w:bCs/>
          <w:color w:val="000000"/>
          <w:sz w:val="32"/>
          <w:szCs w:val="32"/>
          <w:rtl/>
        </w:rPr>
        <w:lastRenderedPageBreak/>
        <w:t>معيار نمذجة المعادلات الهيكلية (</w:t>
      </w:r>
      <w:r w:rsidRPr="000A40BF">
        <w:rPr>
          <w:rFonts w:ascii="Traditional Arabic" w:eastAsia="Calibri" w:hAnsi="Traditional Arabic" w:cs="Traditional Arabic"/>
          <w:b/>
          <w:bCs/>
          <w:color w:val="000000"/>
          <w:sz w:val="32"/>
          <w:szCs w:val="32"/>
        </w:rPr>
        <w:t>PLS-SEM</w:t>
      </w:r>
      <w:r w:rsidRPr="000A40BF">
        <w:rPr>
          <w:rFonts w:ascii="Traditional Arabic" w:eastAsia="Calibri" w:hAnsi="Traditional Arabic" w:cs="Traditional Arabic"/>
          <w:b/>
          <w:bCs/>
          <w:color w:val="000000"/>
          <w:sz w:val="32"/>
          <w:szCs w:val="32"/>
          <w:rtl/>
        </w:rPr>
        <w:t>):</w:t>
      </w:r>
      <w:r w:rsidRPr="000A40BF">
        <w:rPr>
          <w:rFonts w:ascii="Traditional Arabic" w:eastAsia="Calibri" w:hAnsi="Traditional Arabic" w:cs="Traditional Arabic"/>
          <w:color w:val="000000"/>
          <w:sz w:val="32"/>
          <w:szCs w:val="32"/>
          <w:rtl/>
        </w:rPr>
        <w:t xml:space="preserve"> يشير هير وزملاؤه (</w:t>
      </w:r>
      <w:r w:rsidRPr="000A40BF">
        <w:rPr>
          <w:rFonts w:ascii="Traditional Arabic" w:eastAsia="Calibri" w:hAnsi="Traditional Arabic" w:cs="Traditional Arabic"/>
          <w:color w:val="000000"/>
          <w:sz w:val="32"/>
          <w:szCs w:val="32"/>
        </w:rPr>
        <w:t>Hair et al., 2022</w:t>
      </w:r>
      <w:r w:rsidRPr="000A40BF">
        <w:rPr>
          <w:rFonts w:ascii="Traditional Arabic" w:eastAsia="Calibri" w:hAnsi="Traditional Arabic" w:cs="Traditional Arabic"/>
          <w:color w:val="000000"/>
          <w:sz w:val="32"/>
          <w:szCs w:val="32"/>
          <w:rtl/>
        </w:rPr>
        <w:t>) إلى أن العينات التي تتراوح بين 150 إلى 250 مفردة تعد ملائمة ومثالية للحصول على قوة إحصائية عالية (</w:t>
      </w:r>
      <w:r w:rsidRPr="000A40BF">
        <w:rPr>
          <w:rFonts w:ascii="Traditional Arabic" w:eastAsia="Calibri" w:hAnsi="Traditional Arabic" w:cs="Traditional Arabic"/>
          <w:color w:val="000000"/>
          <w:sz w:val="32"/>
          <w:szCs w:val="32"/>
        </w:rPr>
        <w:t>Statistical Power = 80%</w:t>
      </w:r>
      <w:r w:rsidRPr="000A40BF">
        <w:rPr>
          <w:rFonts w:ascii="Traditional Arabic" w:eastAsia="Calibri" w:hAnsi="Traditional Arabic" w:cs="Traditional Arabic"/>
          <w:color w:val="000000"/>
          <w:sz w:val="32"/>
          <w:szCs w:val="32"/>
          <w:rtl/>
        </w:rPr>
        <w:t xml:space="preserve">) ومستويات دلالة مقبولة عند استخدام برنامج </w:t>
      </w:r>
      <w:r w:rsidRPr="000A40BF">
        <w:rPr>
          <w:rFonts w:ascii="Traditional Arabic" w:eastAsia="Calibri" w:hAnsi="Traditional Arabic" w:cs="Traditional Arabic"/>
          <w:color w:val="000000"/>
          <w:sz w:val="32"/>
          <w:szCs w:val="32"/>
        </w:rPr>
        <w:t>SmartPLS</w:t>
      </w:r>
      <w:r w:rsidRPr="000A40BF">
        <w:rPr>
          <w:rFonts w:ascii="Traditional Arabic" w:eastAsia="Calibri" w:hAnsi="Traditional Arabic" w:cs="Traditional Arabic"/>
          <w:color w:val="000000"/>
          <w:sz w:val="32"/>
          <w:szCs w:val="32"/>
          <w:rtl/>
        </w:rPr>
        <w:t xml:space="preserve">.  </w:t>
      </w:r>
    </w:p>
    <w:p w14:paraId="5F1991F9" w14:textId="77777777" w:rsidR="009F421F" w:rsidRDefault="009F421F" w:rsidP="009F421F">
      <w:pPr>
        <w:bidi/>
        <w:spacing w:after="0" w:line="240" w:lineRule="auto"/>
        <w:rPr>
          <w:rFonts w:ascii="Traditional Arabic" w:hAnsi="Traditional Arabic" w:cs="Traditional Arabic"/>
          <w:b/>
          <w:bCs/>
          <w:sz w:val="32"/>
          <w:szCs w:val="32"/>
          <w:rtl/>
        </w:rPr>
      </w:pPr>
      <w:r w:rsidRPr="009F421F">
        <w:rPr>
          <w:rFonts w:ascii="Traditional Arabic" w:hAnsi="Traditional Arabic" w:cs="Traditional Arabic" w:hint="cs"/>
          <w:b/>
          <w:bCs/>
          <w:sz w:val="32"/>
          <w:szCs w:val="32"/>
          <w:rtl/>
        </w:rPr>
        <w:t>ﻣﺘﻐﲑ</w:t>
      </w:r>
      <w:r w:rsidRPr="009F421F">
        <w:rPr>
          <w:rFonts w:ascii="Traditional Arabic" w:hAnsi="Traditional Arabic" w:cs="Traditional Arabic" w:hint="eastAsia"/>
          <w:b/>
          <w:bCs/>
          <w:sz w:val="32"/>
          <w:szCs w:val="32"/>
          <w:rtl/>
        </w:rPr>
        <w:t>ات</w:t>
      </w:r>
      <w:r w:rsidRPr="009F421F">
        <w:rPr>
          <w:rFonts w:ascii="Traditional Arabic" w:hAnsi="Traditional Arabic" w:cs="Traditional Arabic"/>
          <w:b/>
          <w:bCs/>
          <w:sz w:val="32"/>
          <w:szCs w:val="32"/>
          <w:rtl/>
        </w:rPr>
        <w:t xml:space="preserve"> ا</w:t>
      </w:r>
      <w:r w:rsidRPr="009F421F">
        <w:rPr>
          <w:rFonts w:ascii="Traditional Arabic" w:hAnsi="Traditional Arabic" w:cs="Traditional Arabic" w:hint="cs"/>
          <w:b/>
          <w:bCs/>
          <w:sz w:val="32"/>
          <w:szCs w:val="32"/>
          <w:rtl/>
        </w:rPr>
        <w:t>ﻟﺪ</w:t>
      </w:r>
      <w:r w:rsidRPr="009F421F">
        <w:rPr>
          <w:rFonts w:ascii="Traditional Arabic" w:hAnsi="Traditional Arabic" w:cs="Traditional Arabic" w:hint="eastAsia"/>
          <w:b/>
          <w:bCs/>
          <w:sz w:val="32"/>
          <w:szCs w:val="32"/>
          <w:rtl/>
        </w:rPr>
        <w:t>را</w:t>
      </w:r>
      <w:r w:rsidRPr="009F421F">
        <w:rPr>
          <w:rFonts w:ascii="Traditional Arabic" w:hAnsi="Traditional Arabic" w:cs="Traditional Arabic" w:hint="cs"/>
          <w:b/>
          <w:bCs/>
          <w:sz w:val="32"/>
          <w:szCs w:val="32"/>
          <w:rtl/>
        </w:rPr>
        <w:t>ﺳﺔ</w:t>
      </w:r>
    </w:p>
    <w:p w14:paraId="7301F317" w14:textId="77777777" w:rsidR="009F421F" w:rsidRPr="009F421F" w:rsidRDefault="009F421F" w:rsidP="009F421F">
      <w:pPr>
        <w:bidi/>
        <w:spacing w:after="0" w:line="240" w:lineRule="auto"/>
        <w:rPr>
          <w:rFonts w:ascii="Traditional Arabic" w:hAnsi="Traditional Arabic" w:cs="Traditional Arabic"/>
          <w:b/>
          <w:bCs/>
          <w:sz w:val="16"/>
          <w:szCs w:val="16"/>
          <w:rtl/>
        </w:rPr>
      </w:pPr>
    </w:p>
    <w:p w14:paraId="2CD7C04E" w14:textId="77777777" w:rsidR="009F421F" w:rsidRDefault="000A40BF" w:rsidP="000A40BF">
      <w:pPr>
        <w:bidi/>
        <w:ind w:firstLine="720"/>
        <w:jc w:val="both"/>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لقد تم قياس المتغيرات بالاعتماد على مقاييس عالمية معتمدة تم تكييفها لتناسب البيئة السعودية وصياغته</w:t>
      </w:r>
      <w:r>
        <w:rPr>
          <w:rFonts w:ascii="Traditional Arabic" w:eastAsia="Calibri" w:hAnsi="Traditional Arabic" w:cs="Traditional Arabic"/>
          <w:color w:val="000000"/>
          <w:sz w:val="32"/>
          <w:szCs w:val="32"/>
          <w:rtl/>
        </w:rPr>
        <w:t xml:space="preserve">ا باستخدام مقياس ليكرت الخماسي </w:t>
      </w:r>
      <w:r>
        <w:rPr>
          <w:rFonts w:ascii="Traditional Arabic" w:eastAsia="Calibri" w:hAnsi="Traditional Arabic" w:cs="Traditional Arabic"/>
          <w:color w:val="000000"/>
          <w:sz w:val="32"/>
          <w:szCs w:val="32"/>
        </w:rPr>
        <w:t>)</w:t>
      </w:r>
      <w:r w:rsidRPr="000A40BF">
        <w:rPr>
          <w:rFonts w:ascii="Traditional Arabic" w:eastAsia="Calibri" w:hAnsi="Traditional Arabic" w:cs="Traditional Arabic"/>
          <w:color w:val="000000"/>
          <w:sz w:val="32"/>
          <w:szCs w:val="32"/>
          <w:rtl/>
        </w:rPr>
        <w:t>5</w:t>
      </w:r>
      <w:r>
        <w:rPr>
          <w:rFonts w:ascii="Traditional Arabic" w:eastAsia="Calibri" w:hAnsi="Traditional Arabic" w:cs="Traditional Arabic"/>
          <w:color w:val="000000"/>
          <w:sz w:val="32"/>
          <w:szCs w:val="32"/>
        </w:rPr>
        <w:t xml:space="preserve">( </w:t>
      </w:r>
      <w:r w:rsidRPr="000A40BF">
        <w:rPr>
          <w:rFonts w:ascii="Traditional Arabic" w:eastAsia="Calibri" w:hAnsi="Traditional Arabic" w:cs="Traditional Arabic"/>
          <w:color w:val="000000"/>
          <w:sz w:val="32"/>
          <w:szCs w:val="32"/>
        </w:rPr>
        <w:t>point Likert Scale</w:t>
      </w:r>
      <w:r>
        <w:rPr>
          <w:rFonts w:ascii="Traditional Arabic" w:eastAsia="Calibri" w:hAnsi="Traditional Arabic" w:cs="Traditional Arabic"/>
          <w:color w:val="000000"/>
          <w:sz w:val="32"/>
          <w:szCs w:val="32"/>
        </w:rPr>
        <w:t>-</w:t>
      </w:r>
      <w:r>
        <w:rPr>
          <w:rFonts w:ascii="Traditional Arabic" w:eastAsia="Calibri" w:hAnsi="Traditional Arabic" w:cs="Traditional Arabic" w:hint="cs"/>
          <w:color w:val="000000"/>
          <w:sz w:val="32"/>
          <w:szCs w:val="32"/>
          <w:rtl/>
        </w:rPr>
        <w:t xml:space="preserve"> </w:t>
      </w:r>
      <w:r w:rsidRPr="000A40BF">
        <w:rPr>
          <w:rFonts w:ascii="Traditional Arabic" w:eastAsia="Calibri" w:hAnsi="Traditional Arabic" w:cs="Traditional Arabic"/>
          <w:color w:val="000000"/>
          <w:sz w:val="32"/>
          <w:szCs w:val="32"/>
          <w:rtl/>
        </w:rPr>
        <w:t>حيث</w:t>
      </w:r>
      <w:r>
        <w:rPr>
          <w:rFonts w:ascii="Traditional Arabic" w:eastAsia="Calibri" w:hAnsi="Traditional Arabic" w:cs="Traditional Arabic" w:hint="cs"/>
          <w:color w:val="000000"/>
          <w:sz w:val="32"/>
          <w:szCs w:val="32"/>
          <w:rtl/>
        </w:rPr>
        <w:t xml:space="preserve"> (</w:t>
      </w:r>
      <w:r w:rsidRPr="000A40BF">
        <w:rPr>
          <w:rFonts w:ascii="Traditional Arabic" w:eastAsia="Calibri" w:hAnsi="Traditional Arabic" w:cs="Traditional Arabic"/>
          <w:color w:val="000000"/>
          <w:sz w:val="32"/>
          <w:szCs w:val="32"/>
          <w:rtl/>
        </w:rPr>
        <w:t xml:space="preserve"> 1 = معارض بشدة، 5 = موافق بشدة</w:t>
      </w:r>
      <w:r>
        <w:rPr>
          <w:rFonts w:ascii="Traditional Arabic" w:eastAsia="Calibri" w:hAnsi="Traditional Arabic" w:cs="Traditional Arabic" w:hint="cs"/>
          <w:color w:val="000000"/>
          <w:sz w:val="32"/>
          <w:szCs w:val="32"/>
          <w:rtl/>
        </w:rPr>
        <w:t>)</w:t>
      </w:r>
    </w:p>
    <w:tbl>
      <w:tblPr>
        <w:tblStyle w:val="a4"/>
        <w:bidiVisual/>
        <w:tblW w:w="0" w:type="auto"/>
        <w:tblInd w:w="-313" w:type="dxa"/>
        <w:tblLook w:val="04A0" w:firstRow="1" w:lastRow="0" w:firstColumn="1" w:lastColumn="0" w:noHBand="0" w:noVBand="1"/>
      </w:tblPr>
      <w:tblGrid>
        <w:gridCol w:w="2619"/>
        <w:gridCol w:w="978"/>
        <w:gridCol w:w="3441"/>
        <w:gridCol w:w="850"/>
        <w:gridCol w:w="1775"/>
      </w:tblGrid>
      <w:tr w:rsidR="000A40BF" w14:paraId="3CAAE7C3" w14:textId="77777777" w:rsidTr="00B94C5E">
        <w:tc>
          <w:tcPr>
            <w:tcW w:w="2693" w:type="dxa"/>
          </w:tcPr>
          <w:p w14:paraId="6BF9290E" w14:textId="77777777" w:rsidR="000A40BF" w:rsidRDefault="000A40BF" w:rsidP="000A40BF">
            <w:pPr>
              <w:bidi/>
              <w:jc w:val="center"/>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المتغير (</w:t>
            </w:r>
            <w:r w:rsidRPr="000A40BF">
              <w:rPr>
                <w:rFonts w:ascii="Traditional Arabic" w:eastAsia="Calibri" w:hAnsi="Traditional Arabic" w:cs="Traditional Arabic"/>
                <w:color w:val="000000"/>
                <w:sz w:val="32"/>
                <w:szCs w:val="32"/>
              </w:rPr>
              <w:t>Variable</w:t>
            </w:r>
            <w:r w:rsidRPr="000A40BF">
              <w:rPr>
                <w:rFonts w:ascii="Traditional Arabic" w:eastAsia="Calibri" w:hAnsi="Traditional Arabic" w:cs="Traditional Arabic"/>
                <w:color w:val="000000"/>
                <w:sz w:val="32"/>
                <w:szCs w:val="32"/>
                <w:rtl/>
              </w:rPr>
              <w:t>)</w:t>
            </w:r>
          </w:p>
        </w:tc>
        <w:tc>
          <w:tcPr>
            <w:tcW w:w="992" w:type="dxa"/>
          </w:tcPr>
          <w:p w14:paraId="50A8EB2E" w14:textId="77777777" w:rsidR="000A40BF" w:rsidRDefault="000A40BF" w:rsidP="000A40BF">
            <w:pPr>
              <w:bidi/>
              <w:jc w:val="center"/>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نوع المتغير</w:t>
            </w:r>
          </w:p>
        </w:tc>
        <w:tc>
          <w:tcPr>
            <w:tcW w:w="3544" w:type="dxa"/>
          </w:tcPr>
          <w:p w14:paraId="7B532F88" w14:textId="77777777" w:rsidR="000A40BF" w:rsidRDefault="000A40BF" w:rsidP="000A40BF">
            <w:pPr>
              <w:bidi/>
              <w:jc w:val="center"/>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الأبعاد الفرعية (</w:t>
            </w:r>
            <w:r w:rsidRPr="000A40BF">
              <w:rPr>
                <w:rFonts w:ascii="Traditional Arabic" w:eastAsia="Calibri" w:hAnsi="Traditional Arabic" w:cs="Traditional Arabic"/>
                <w:color w:val="000000"/>
                <w:sz w:val="32"/>
                <w:szCs w:val="32"/>
              </w:rPr>
              <w:t>Dimensions</w:t>
            </w:r>
            <w:r w:rsidRPr="000A40BF">
              <w:rPr>
                <w:rFonts w:ascii="Traditional Arabic" w:eastAsia="Calibri" w:hAnsi="Traditional Arabic" w:cs="Traditional Arabic"/>
                <w:color w:val="000000"/>
                <w:sz w:val="32"/>
                <w:szCs w:val="32"/>
                <w:rtl/>
              </w:rPr>
              <w:t>)</w:t>
            </w:r>
          </w:p>
        </w:tc>
        <w:tc>
          <w:tcPr>
            <w:tcW w:w="851" w:type="dxa"/>
          </w:tcPr>
          <w:p w14:paraId="41535CDB" w14:textId="77777777" w:rsidR="000A40BF" w:rsidRPr="000A40BF" w:rsidRDefault="000A40BF" w:rsidP="000A40BF">
            <w:pPr>
              <w:bidi/>
              <w:jc w:val="center"/>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عدد الفقرات</w:t>
            </w:r>
          </w:p>
        </w:tc>
        <w:tc>
          <w:tcPr>
            <w:tcW w:w="1809" w:type="dxa"/>
          </w:tcPr>
          <w:p w14:paraId="361E1F7E" w14:textId="77777777" w:rsidR="000A40BF" w:rsidRPr="000A40BF" w:rsidRDefault="000A40BF" w:rsidP="000A40BF">
            <w:pPr>
              <w:bidi/>
              <w:jc w:val="center"/>
              <w:rPr>
                <w:rFonts w:ascii="Traditional Arabic" w:eastAsia="Calibri" w:hAnsi="Traditional Arabic" w:cs="Traditional Arabic"/>
                <w:color w:val="000000"/>
                <w:sz w:val="32"/>
                <w:szCs w:val="32"/>
                <w:rtl/>
              </w:rPr>
            </w:pPr>
            <w:r w:rsidRPr="000A40BF">
              <w:rPr>
                <w:rFonts w:ascii="Traditional Arabic" w:eastAsia="Calibri" w:hAnsi="Traditional Arabic" w:cs="Traditional Arabic"/>
                <w:color w:val="000000"/>
                <w:sz w:val="32"/>
                <w:szCs w:val="32"/>
                <w:rtl/>
              </w:rPr>
              <w:t>مصدر المقياس (</w:t>
            </w:r>
            <w:r w:rsidRPr="000A40BF">
              <w:rPr>
                <w:rFonts w:ascii="Traditional Arabic" w:eastAsia="Calibri" w:hAnsi="Traditional Arabic" w:cs="Traditional Arabic"/>
                <w:color w:val="000000"/>
                <w:sz w:val="32"/>
                <w:szCs w:val="32"/>
              </w:rPr>
              <w:t>Source</w:t>
            </w:r>
            <w:r w:rsidRPr="000A40BF">
              <w:rPr>
                <w:rFonts w:ascii="Traditional Arabic" w:eastAsia="Calibri" w:hAnsi="Traditional Arabic" w:cs="Traditional Arabic"/>
                <w:color w:val="000000"/>
                <w:sz w:val="32"/>
                <w:szCs w:val="32"/>
                <w:rtl/>
              </w:rPr>
              <w:t>)</w:t>
            </w:r>
          </w:p>
        </w:tc>
      </w:tr>
      <w:tr w:rsidR="000A40BF" w14:paraId="776A4255" w14:textId="77777777" w:rsidTr="00B94C5E">
        <w:tc>
          <w:tcPr>
            <w:tcW w:w="2693" w:type="dxa"/>
          </w:tcPr>
          <w:p w14:paraId="0389E628" w14:textId="77777777" w:rsidR="00B94C5E" w:rsidRDefault="000A40BF" w:rsidP="000A40BF">
            <w:pPr>
              <w:bidi/>
              <w:jc w:val="center"/>
              <w:rPr>
                <w:rFonts w:ascii="Traditional Arabic" w:eastAsia="Calibri" w:hAnsi="Traditional Arabic" w:cs="Traditional Arabic"/>
                <w:color w:val="000000"/>
                <w:sz w:val="28"/>
                <w:szCs w:val="28"/>
                <w:rtl/>
              </w:rPr>
            </w:pPr>
            <w:r w:rsidRPr="000A40BF">
              <w:rPr>
                <w:rFonts w:ascii="Traditional Arabic" w:eastAsia="Calibri" w:hAnsi="Traditional Arabic" w:cs="Traditional Arabic"/>
                <w:color w:val="000000"/>
                <w:sz w:val="28"/>
                <w:szCs w:val="28"/>
                <w:rtl/>
              </w:rPr>
              <w:t>تبني تقنيات الذكاء الاصطناعي</w:t>
            </w:r>
          </w:p>
          <w:p w14:paraId="5C4F367D" w14:textId="77777777" w:rsidR="000A40BF" w:rsidRPr="00B94C5E" w:rsidRDefault="000A40BF" w:rsidP="00B94C5E">
            <w:pPr>
              <w:jc w:val="center"/>
              <w:rPr>
                <w:rFonts w:ascii="Traditional Arabic" w:eastAsia="Calibri" w:hAnsi="Traditional Arabic" w:cs="Traditional Arabic"/>
                <w:color w:val="000000"/>
                <w:sz w:val="24"/>
                <w:szCs w:val="24"/>
                <w:rtl/>
              </w:rPr>
            </w:pPr>
            <w:r w:rsidRPr="000A40BF">
              <w:rPr>
                <w:rFonts w:ascii="Traditional Arabic" w:eastAsia="Calibri" w:hAnsi="Traditional Arabic" w:cs="Traditional Arabic"/>
                <w:color w:val="000000"/>
                <w:sz w:val="28"/>
                <w:szCs w:val="28"/>
              </w:rPr>
              <w:t xml:space="preserve"> </w:t>
            </w:r>
            <w:r w:rsidRPr="00B94C5E">
              <w:rPr>
                <w:rFonts w:ascii="Traditional Arabic" w:eastAsia="Calibri" w:hAnsi="Traditional Arabic" w:cs="Traditional Arabic"/>
                <w:color w:val="000000"/>
                <w:sz w:val="24"/>
                <w:szCs w:val="24"/>
              </w:rPr>
              <w:t>(AI</w:t>
            </w:r>
            <w:r w:rsidR="00B94C5E">
              <w:rPr>
                <w:rFonts w:ascii="Traditional Arabic" w:eastAsia="Calibri" w:hAnsi="Traditional Arabic" w:cs="Traditional Arabic" w:hint="cs"/>
                <w:color w:val="000000"/>
                <w:sz w:val="24"/>
                <w:szCs w:val="24"/>
                <w:rtl/>
              </w:rPr>
              <w:t xml:space="preserve"> </w:t>
            </w:r>
            <w:r w:rsidRPr="00B94C5E">
              <w:rPr>
                <w:rFonts w:ascii="Traditional Arabic" w:eastAsia="Calibri" w:hAnsi="Traditional Arabic" w:cs="Traditional Arabic"/>
                <w:color w:val="000000"/>
                <w:sz w:val="24"/>
                <w:szCs w:val="24"/>
              </w:rPr>
              <w:t>Adoption)</w:t>
            </w:r>
          </w:p>
        </w:tc>
        <w:tc>
          <w:tcPr>
            <w:tcW w:w="992" w:type="dxa"/>
          </w:tcPr>
          <w:p w14:paraId="65EA4ED2" w14:textId="77777777" w:rsidR="000A40BF" w:rsidRDefault="00B94C5E" w:rsidP="00B94C5E">
            <w:pPr>
              <w:bidi/>
              <w:jc w:val="center"/>
              <w:rPr>
                <w:rFonts w:ascii="Traditional Arabic" w:eastAsia="Calibri" w:hAnsi="Traditional Arabic" w:cs="Traditional Arabic"/>
                <w:color w:val="000000"/>
                <w:sz w:val="32"/>
                <w:szCs w:val="32"/>
                <w:rtl/>
              </w:rPr>
            </w:pPr>
            <w:r w:rsidRPr="00B94C5E">
              <w:rPr>
                <w:rFonts w:ascii="Traditional Arabic" w:eastAsia="Calibri" w:hAnsi="Traditional Arabic" w:cs="Traditional Arabic"/>
                <w:color w:val="000000"/>
                <w:sz w:val="32"/>
                <w:szCs w:val="32"/>
                <w:rtl/>
              </w:rPr>
              <w:t>مستقل</w:t>
            </w:r>
          </w:p>
        </w:tc>
        <w:tc>
          <w:tcPr>
            <w:tcW w:w="3544" w:type="dxa"/>
          </w:tcPr>
          <w:p w14:paraId="68DEC054" w14:textId="77777777" w:rsidR="00B94C5E" w:rsidRPr="00B94C5E" w:rsidRDefault="00B94C5E" w:rsidP="00B94C5E">
            <w:pPr>
              <w:pStyle w:val="a6"/>
              <w:numPr>
                <w:ilvl w:val="0"/>
                <w:numId w:val="12"/>
              </w:numPr>
              <w:bidi/>
              <w:jc w:val="both"/>
              <w:rPr>
                <w:rFonts w:ascii="Traditional Arabic" w:eastAsia="Calibri" w:hAnsi="Traditional Arabic" w:cs="Traditional Arabic"/>
                <w:color w:val="000000"/>
                <w:sz w:val="28"/>
                <w:szCs w:val="28"/>
              </w:rPr>
            </w:pPr>
            <w:r w:rsidRPr="00B94C5E">
              <w:rPr>
                <w:rFonts w:ascii="Traditional Arabic" w:eastAsia="Calibri" w:hAnsi="Traditional Arabic" w:cs="Traditional Arabic"/>
                <w:color w:val="000000"/>
                <w:sz w:val="28"/>
                <w:szCs w:val="28"/>
                <w:rtl/>
              </w:rPr>
              <w:t>سهولة الاستخدام المتوقعة</w:t>
            </w:r>
          </w:p>
          <w:p w14:paraId="448541E3" w14:textId="77777777" w:rsidR="00B94C5E" w:rsidRPr="00B94C5E" w:rsidRDefault="00B94C5E" w:rsidP="00B94C5E">
            <w:pPr>
              <w:pStyle w:val="a6"/>
              <w:numPr>
                <w:ilvl w:val="0"/>
                <w:numId w:val="12"/>
              </w:numPr>
              <w:bidi/>
              <w:jc w:val="both"/>
              <w:rPr>
                <w:rFonts w:ascii="Traditional Arabic" w:eastAsia="Calibri" w:hAnsi="Traditional Arabic" w:cs="Traditional Arabic"/>
                <w:color w:val="000000"/>
                <w:sz w:val="28"/>
                <w:szCs w:val="28"/>
              </w:rPr>
            </w:pPr>
            <w:r w:rsidRPr="00B94C5E">
              <w:rPr>
                <w:rFonts w:ascii="Traditional Arabic" w:eastAsia="Calibri" w:hAnsi="Traditional Arabic" w:cs="Traditional Arabic"/>
                <w:color w:val="000000"/>
                <w:sz w:val="28"/>
                <w:szCs w:val="28"/>
                <w:rtl/>
              </w:rPr>
              <w:t>الفائدة المتوقعة</w:t>
            </w:r>
          </w:p>
          <w:p w14:paraId="473D8678" w14:textId="77777777" w:rsidR="00B94C5E" w:rsidRPr="00B94C5E" w:rsidRDefault="00B94C5E" w:rsidP="00B94C5E">
            <w:pPr>
              <w:pStyle w:val="a6"/>
              <w:numPr>
                <w:ilvl w:val="0"/>
                <w:numId w:val="12"/>
              </w:numPr>
              <w:bidi/>
              <w:jc w:val="both"/>
              <w:rPr>
                <w:rFonts w:ascii="Traditional Arabic" w:eastAsia="Calibri" w:hAnsi="Traditional Arabic" w:cs="Traditional Arabic"/>
                <w:color w:val="000000"/>
                <w:sz w:val="32"/>
                <w:szCs w:val="32"/>
                <w:rtl/>
              </w:rPr>
            </w:pPr>
            <w:r w:rsidRPr="00B94C5E">
              <w:rPr>
                <w:rFonts w:ascii="Traditional Arabic" w:eastAsia="Calibri" w:hAnsi="Traditional Arabic" w:cs="Traditional Arabic"/>
                <w:color w:val="000000"/>
                <w:sz w:val="28"/>
                <w:szCs w:val="28"/>
                <w:rtl/>
              </w:rPr>
              <w:t>الجاهزية التكنولوجية</w:t>
            </w:r>
          </w:p>
        </w:tc>
        <w:tc>
          <w:tcPr>
            <w:tcW w:w="851" w:type="dxa"/>
          </w:tcPr>
          <w:p w14:paraId="1E5C7DBE" w14:textId="77777777" w:rsidR="000A40BF" w:rsidRDefault="00B94C5E" w:rsidP="00B94C5E">
            <w:pPr>
              <w:bidi/>
              <w:jc w:val="center"/>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8</w:t>
            </w:r>
          </w:p>
        </w:tc>
        <w:tc>
          <w:tcPr>
            <w:tcW w:w="1809" w:type="dxa"/>
          </w:tcPr>
          <w:p w14:paraId="5D5094D3" w14:textId="77777777" w:rsidR="000A40BF" w:rsidRPr="00B94C5E" w:rsidRDefault="00B94C5E" w:rsidP="00B94C5E">
            <w:pPr>
              <w:jc w:val="both"/>
              <w:rPr>
                <w:rFonts w:asciiTheme="majorBidi" w:eastAsia="Calibri" w:hAnsiTheme="majorBidi" w:cstheme="majorBidi"/>
                <w:color w:val="000000"/>
                <w:sz w:val="32"/>
                <w:szCs w:val="32"/>
                <w:rtl/>
              </w:rPr>
            </w:pPr>
            <w:r w:rsidRPr="00B94C5E">
              <w:rPr>
                <w:rFonts w:asciiTheme="majorBidi" w:eastAsia="Calibri" w:hAnsiTheme="majorBidi" w:cstheme="majorBidi"/>
                <w:color w:val="000000"/>
                <w:sz w:val="24"/>
                <w:szCs w:val="24"/>
              </w:rPr>
              <w:t>Davis (1989); Venkatesh et al. (2003)</w:t>
            </w:r>
          </w:p>
        </w:tc>
      </w:tr>
      <w:tr w:rsidR="000A40BF" w14:paraId="23AA5B28" w14:textId="77777777" w:rsidTr="00B94C5E">
        <w:tc>
          <w:tcPr>
            <w:tcW w:w="2693" w:type="dxa"/>
          </w:tcPr>
          <w:p w14:paraId="427FB55C" w14:textId="77777777" w:rsidR="000A40BF" w:rsidRDefault="000A40BF" w:rsidP="000A40BF">
            <w:pPr>
              <w:bidi/>
              <w:jc w:val="center"/>
              <w:rPr>
                <w:rFonts w:ascii="Traditional Arabic" w:eastAsia="Calibri" w:hAnsi="Traditional Arabic" w:cs="Traditional Arabic"/>
                <w:color w:val="000000"/>
                <w:sz w:val="28"/>
                <w:szCs w:val="28"/>
                <w:rtl/>
              </w:rPr>
            </w:pPr>
            <w:r w:rsidRPr="000A40BF">
              <w:rPr>
                <w:rFonts w:ascii="Traditional Arabic" w:eastAsia="Calibri" w:hAnsi="Traditional Arabic" w:cs="Traditional Arabic"/>
                <w:color w:val="000000"/>
                <w:sz w:val="28"/>
                <w:szCs w:val="28"/>
                <w:rtl/>
              </w:rPr>
              <w:t>التسويق الرقمي</w:t>
            </w:r>
          </w:p>
          <w:p w14:paraId="385D5547" w14:textId="77777777" w:rsidR="000A40BF" w:rsidRPr="000A40BF" w:rsidRDefault="000A40BF" w:rsidP="000A40BF">
            <w:pPr>
              <w:bidi/>
              <w:jc w:val="center"/>
              <w:rPr>
                <w:rFonts w:ascii="Traditional Arabic" w:eastAsia="Calibri" w:hAnsi="Traditional Arabic" w:cs="Traditional Arabic"/>
                <w:color w:val="000000"/>
                <w:sz w:val="28"/>
                <w:szCs w:val="28"/>
                <w:rtl/>
              </w:rPr>
            </w:pPr>
            <w:r w:rsidRPr="000A40BF">
              <w:rPr>
                <w:rFonts w:ascii="Traditional Arabic" w:eastAsia="Calibri" w:hAnsi="Traditional Arabic" w:cs="Traditional Arabic"/>
                <w:color w:val="000000"/>
                <w:sz w:val="28"/>
                <w:szCs w:val="28"/>
                <w:rtl/>
              </w:rPr>
              <w:t xml:space="preserve"> </w:t>
            </w:r>
            <w:r w:rsidRPr="00B94C5E">
              <w:rPr>
                <w:rFonts w:ascii="Traditional Arabic" w:eastAsia="Calibri" w:hAnsi="Traditional Arabic" w:cs="Traditional Arabic"/>
                <w:color w:val="000000"/>
                <w:sz w:val="24"/>
                <w:szCs w:val="24"/>
                <w:rtl/>
              </w:rPr>
              <w:t>(</w:t>
            </w:r>
            <w:r w:rsidRPr="00B94C5E">
              <w:rPr>
                <w:rFonts w:ascii="Traditional Arabic" w:eastAsia="Calibri" w:hAnsi="Traditional Arabic" w:cs="Traditional Arabic"/>
                <w:color w:val="000000"/>
                <w:sz w:val="24"/>
                <w:szCs w:val="24"/>
              </w:rPr>
              <w:t>Digital Marketing</w:t>
            </w:r>
            <w:r w:rsidRPr="00B94C5E">
              <w:rPr>
                <w:rFonts w:ascii="Traditional Arabic" w:eastAsia="Calibri" w:hAnsi="Traditional Arabic" w:cs="Traditional Arabic"/>
                <w:color w:val="000000"/>
                <w:sz w:val="24"/>
                <w:szCs w:val="24"/>
                <w:rtl/>
              </w:rPr>
              <w:t>)</w:t>
            </w:r>
          </w:p>
        </w:tc>
        <w:tc>
          <w:tcPr>
            <w:tcW w:w="992" w:type="dxa"/>
          </w:tcPr>
          <w:p w14:paraId="6F9D49E0" w14:textId="77777777" w:rsidR="000A40BF" w:rsidRDefault="00B94C5E" w:rsidP="00B94C5E">
            <w:pPr>
              <w:bidi/>
              <w:jc w:val="center"/>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وسيط</w:t>
            </w:r>
          </w:p>
        </w:tc>
        <w:tc>
          <w:tcPr>
            <w:tcW w:w="3544" w:type="dxa"/>
          </w:tcPr>
          <w:p w14:paraId="0028025A" w14:textId="77777777" w:rsidR="000A40BF" w:rsidRPr="00B94C5E" w:rsidRDefault="00B94C5E" w:rsidP="00B94C5E">
            <w:pPr>
              <w:pStyle w:val="a6"/>
              <w:numPr>
                <w:ilvl w:val="0"/>
                <w:numId w:val="14"/>
              </w:numPr>
              <w:bidi/>
              <w:jc w:val="both"/>
              <w:rPr>
                <w:rFonts w:ascii="Traditional Arabic" w:eastAsia="Calibri" w:hAnsi="Traditional Arabic" w:cs="Traditional Arabic"/>
                <w:color w:val="000000"/>
                <w:sz w:val="28"/>
                <w:szCs w:val="28"/>
                <w:rtl/>
              </w:rPr>
            </w:pPr>
            <w:r w:rsidRPr="00B94C5E">
              <w:rPr>
                <w:rFonts w:ascii="Traditional Arabic" w:eastAsia="Calibri" w:hAnsi="Traditional Arabic" w:cs="Traditional Arabic"/>
                <w:color w:val="000000"/>
                <w:sz w:val="28"/>
                <w:szCs w:val="28"/>
                <w:rtl/>
              </w:rPr>
              <w:t>الحملات الإعلانية الرقمية</w:t>
            </w:r>
          </w:p>
          <w:p w14:paraId="19EEE06F" w14:textId="77777777" w:rsidR="00B94C5E" w:rsidRPr="00B94C5E" w:rsidRDefault="00B94C5E" w:rsidP="00B94C5E">
            <w:pPr>
              <w:pStyle w:val="a6"/>
              <w:numPr>
                <w:ilvl w:val="0"/>
                <w:numId w:val="14"/>
              </w:numPr>
              <w:bidi/>
              <w:jc w:val="both"/>
              <w:rPr>
                <w:rFonts w:ascii="Traditional Arabic" w:eastAsia="Calibri" w:hAnsi="Traditional Arabic" w:cs="Traditional Arabic"/>
                <w:color w:val="000000"/>
                <w:sz w:val="28"/>
                <w:szCs w:val="28"/>
                <w:rtl/>
              </w:rPr>
            </w:pPr>
            <w:r w:rsidRPr="00B94C5E">
              <w:rPr>
                <w:rFonts w:ascii="Traditional Arabic" w:eastAsia="Calibri" w:hAnsi="Traditional Arabic" w:cs="Traditional Arabic"/>
                <w:color w:val="000000"/>
                <w:sz w:val="28"/>
                <w:szCs w:val="28"/>
                <w:rtl/>
              </w:rPr>
              <w:t>إدارة قنوات التواصل</w:t>
            </w:r>
          </w:p>
          <w:p w14:paraId="7C24BC77" w14:textId="77777777" w:rsidR="00B94C5E" w:rsidRPr="00B94C5E" w:rsidRDefault="00B94C5E" w:rsidP="00B94C5E">
            <w:pPr>
              <w:pStyle w:val="a6"/>
              <w:numPr>
                <w:ilvl w:val="0"/>
                <w:numId w:val="14"/>
              </w:numPr>
              <w:bidi/>
              <w:jc w:val="both"/>
              <w:rPr>
                <w:rFonts w:ascii="Traditional Arabic" w:eastAsia="Calibri" w:hAnsi="Traditional Arabic" w:cs="Traditional Arabic"/>
                <w:color w:val="000000"/>
                <w:sz w:val="32"/>
                <w:szCs w:val="32"/>
                <w:rtl/>
              </w:rPr>
            </w:pPr>
            <w:r w:rsidRPr="00B94C5E">
              <w:rPr>
                <w:rFonts w:ascii="Traditional Arabic" w:eastAsia="Calibri" w:hAnsi="Traditional Arabic" w:cs="Traditional Arabic"/>
                <w:color w:val="000000"/>
                <w:sz w:val="28"/>
                <w:szCs w:val="28"/>
                <w:rtl/>
              </w:rPr>
              <w:t>تخصيص تجربة العميل</w:t>
            </w:r>
          </w:p>
        </w:tc>
        <w:tc>
          <w:tcPr>
            <w:tcW w:w="851" w:type="dxa"/>
          </w:tcPr>
          <w:p w14:paraId="285F2E01" w14:textId="77777777" w:rsidR="000A40BF" w:rsidRDefault="00B94C5E" w:rsidP="00B94C5E">
            <w:pPr>
              <w:bidi/>
              <w:jc w:val="center"/>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5</w:t>
            </w:r>
          </w:p>
        </w:tc>
        <w:tc>
          <w:tcPr>
            <w:tcW w:w="1809" w:type="dxa"/>
          </w:tcPr>
          <w:p w14:paraId="6674A351" w14:textId="77777777" w:rsidR="000A40BF" w:rsidRPr="00B94C5E" w:rsidRDefault="00B94C5E" w:rsidP="00B94C5E">
            <w:pPr>
              <w:jc w:val="both"/>
              <w:rPr>
                <w:rFonts w:asciiTheme="majorBidi" w:eastAsia="Calibri" w:hAnsiTheme="majorBidi" w:cstheme="majorBidi"/>
                <w:color w:val="000000"/>
                <w:sz w:val="24"/>
                <w:szCs w:val="24"/>
                <w:rtl/>
              </w:rPr>
            </w:pPr>
            <w:r w:rsidRPr="00B94C5E">
              <w:rPr>
                <w:rFonts w:asciiTheme="majorBidi" w:eastAsia="Calibri" w:hAnsiTheme="majorBidi" w:cstheme="majorBidi"/>
                <w:color w:val="000000"/>
                <w:sz w:val="24"/>
                <w:szCs w:val="24"/>
              </w:rPr>
              <w:t>Chaffey &amp; Ellis-Chadwick (2019)</w:t>
            </w:r>
          </w:p>
        </w:tc>
      </w:tr>
      <w:tr w:rsidR="000A40BF" w14:paraId="59984723" w14:textId="77777777" w:rsidTr="00B94C5E">
        <w:tc>
          <w:tcPr>
            <w:tcW w:w="2693" w:type="dxa"/>
          </w:tcPr>
          <w:p w14:paraId="5977C341" w14:textId="77777777" w:rsidR="00B94C5E" w:rsidRDefault="00B94C5E" w:rsidP="00B94C5E">
            <w:pPr>
              <w:jc w:val="center"/>
              <w:rPr>
                <w:rFonts w:ascii="Traditional Arabic" w:eastAsia="Calibri" w:hAnsi="Traditional Arabic" w:cs="Traditional Arabic"/>
                <w:color w:val="000000"/>
                <w:sz w:val="24"/>
                <w:szCs w:val="24"/>
                <w:rtl/>
              </w:rPr>
            </w:pPr>
            <w:r w:rsidRPr="00B94C5E">
              <w:rPr>
                <w:rFonts w:ascii="Traditional Arabic" w:eastAsia="Calibri" w:hAnsi="Traditional Arabic" w:cs="Traditional Arabic"/>
                <w:color w:val="000000"/>
                <w:sz w:val="28"/>
                <w:szCs w:val="28"/>
                <w:rtl/>
              </w:rPr>
              <w:t xml:space="preserve">الأداء التسويقي </w:t>
            </w:r>
          </w:p>
          <w:p w14:paraId="628A7784" w14:textId="77777777" w:rsidR="000A40BF" w:rsidRPr="00B94C5E" w:rsidRDefault="00B94C5E" w:rsidP="00B94C5E">
            <w:pPr>
              <w:jc w:val="center"/>
              <w:rPr>
                <w:rFonts w:ascii="Traditional Arabic" w:eastAsia="Calibri" w:hAnsi="Traditional Arabic" w:cs="Traditional Arabic"/>
                <w:color w:val="000000"/>
                <w:sz w:val="28"/>
                <w:szCs w:val="28"/>
                <w:rtl/>
              </w:rPr>
            </w:pPr>
            <w:r>
              <w:rPr>
                <w:rFonts w:ascii="Traditional Arabic" w:eastAsia="Calibri" w:hAnsi="Traditional Arabic" w:cs="Traditional Arabic" w:hint="cs"/>
                <w:color w:val="000000"/>
                <w:sz w:val="24"/>
                <w:szCs w:val="24"/>
                <w:rtl/>
              </w:rPr>
              <w:t>)</w:t>
            </w:r>
            <w:r>
              <w:rPr>
                <w:rFonts w:ascii="Traditional Arabic" w:eastAsia="Calibri" w:hAnsi="Traditional Arabic" w:cs="Traditional Arabic"/>
                <w:color w:val="000000"/>
                <w:sz w:val="24"/>
                <w:szCs w:val="24"/>
              </w:rPr>
              <w:t>Marketing</w:t>
            </w:r>
            <w:r>
              <w:rPr>
                <w:rFonts w:ascii="Traditional Arabic" w:eastAsia="Calibri" w:hAnsi="Traditional Arabic" w:cs="Traditional Arabic" w:hint="cs"/>
                <w:color w:val="000000"/>
                <w:sz w:val="24"/>
                <w:szCs w:val="24"/>
                <w:rtl/>
              </w:rPr>
              <w:t xml:space="preserve"> </w:t>
            </w:r>
            <w:r w:rsidRPr="00B94C5E">
              <w:rPr>
                <w:rFonts w:ascii="Traditional Arabic" w:eastAsia="Calibri" w:hAnsi="Traditional Arabic" w:cs="Traditional Arabic"/>
                <w:color w:val="000000"/>
                <w:sz w:val="24"/>
                <w:szCs w:val="24"/>
              </w:rPr>
              <w:t>Performance</w:t>
            </w:r>
            <w:r>
              <w:rPr>
                <w:rFonts w:ascii="Traditional Arabic" w:eastAsia="Calibri" w:hAnsi="Traditional Arabic" w:cs="Traditional Arabic" w:hint="cs"/>
                <w:color w:val="000000"/>
                <w:sz w:val="24"/>
                <w:szCs w:val="24"/>
                <w:rtl/>
              </w:rPr>
              <w:t>(</w:t>
            </w:r>
          </w:p>
        </w:tc>
        <w:tc>
          <w:tcPr>
            <w:tcW w:w="992" w:type="dxa"/>
          </w:tcPr>
          <w:p w14:paraId="7517FA29" w14:textId="77777777" w:rsidR="000A40BF" w:rsidRDefault="00B94C5E" w:rsidP="00B94C5E">
            <w:pPr>
              <w:bidi/>
              <w:jc w:val="center"/>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تابع</w:t>
            </w:r>
          </w:p>
        </w:tc>
        <w:tc>
          <w:tcPr>
            <w:tcW w:w="3544" w:type="dxa"/>
          </w:tcPr>
          <w:p w14:paraId="33E4F6B9" w14:textId="77777777" w:rsidR="000A40BF" w:rsidRPr="00B94C5E" w:rsidRDefault="00B94C5E" w:rsidP="00B94C5E">
            <w:pPr>
              <w:pStyle w:val="a6"/>
              <w:numPr>
                <w:ilvl w:val="0"/>
                <w:numId w:val="14"/>
              </w:numPr>
              <w:bidi/>
              <w:jc w:val="both"/>
              <w:rPr>
                <w:rFonts w:ascii="Traditional Arabic" w:eastAsia="Calibri" w:hAnsi="Traditional Arabic" w:cs="Traditional Arabic"/>
                <w:color w:val="000000"/>
                <w:sz w:val="28"/>
                <w:szCs w:val="28"/>
                <w:rtl/>
              </w:rPr>
            </w:pPr>
            <w:r w:rsidRPr="00B94C5E">
              <w:rPr>
                <w:rFonts w:ascii="Traditional Arabic" w:eastAsia="Calibri" w:hAnsi="Traditional Arabic" w:cs="Traditional Arabic"/>
                <w:color w:val="000000"/>
                <w:sz w:val="28"/>
                <w:szCs w:val="28"/>
                <w:rtl/>
              </w:rPr>
              <w:t>رضا العملاء ومعدل الاحتفاظ</w:t>
            </w:r>
          </w:p>
          <w:p w14:paraId="71D9EC8C" w14:textId="77777777" w:rsidR="00B94C5E" w:rsidRPr="00B94C5E" w:rsidRDefault="00B94C5E" w:rsidP="00B94C5E">
            <w:pPr>
              <w:pStyle w:val="a6"/>
              <w:numPr>
                <w:ilvl w:val="0"/>
                <w:numId w:val="14"/>
              </w:numPr>
              <w:bidi/>
              <w:jc w:val="both"/>
              <w:rPr>
                <w:rFonts w:ascii="Traditional Arabic" w:eastAsia="Calibri" w:hAnsi="Traditional Arabic" w:cs="Traditional Arabic"/>
                <w:color w:val="000000"/>
                <w:sz w:val="28"/>
                <w:szCs w:val="28"/>
                <w:rtl/>
              </w:rPr>
            </w:pPr>
            <w:r w:rsidRPr="00B94C5E">
              <w:rPr>
                <w:rFonts w:ascii="Traditional Arabic" w:eastAsia="Calibri" w:hAnsi="Traditional Arabic" w:cs="Traditional Arabic"/>
                <w:color w:val="000000"/>
                <w:sz w:val="28"/>
                <w:szCs w:val="28"/>
                <w:rtl/>
              </w:rPr>
              <w:t>كفاءة الحملات التسويقية</w:t>
            </w:r>
          </w:p>
          <w:p w14:paraId="5054B2CA" w14:textId="77777777" w:rsidR="00B94C5E" w:rsidRDefault="00B94C5E" w:rsidP="00B94C5E">
            <w:pPr>
              <w:pStyle w:val="a6"/>
              <w:numPr>
                <w:ilvl w:val="0"/>
                <w:numId w:val="14"/>
              </w:numPr>
              <w:bidi/>
              <w:jc w:val="both"/>
              <w:rPr>
                <w:rFonts w:ascii="Traditional Arabic" w:eastAsia="Calibri" w:hAnsi="Traditional Arabic" w:cs="Traditional Arabic"/>
                <w:color w:val="000000"/>
                <w:sz w:val="32"/>
                <w:szCs w:val="32"/>
                <w:rtl/>
              </w:rPr>
            </w:pPr>
            <w:r w:rsidRPr="00B94C5E">
              <w:rPr>
                <w:rFonts w:ascii="Traditional Arabic" w:eastAsia="Calibri" w:hAnsi="Traditional Arabic" w:cs="Traditional Arabic"/>
                <w:color w:val="000000"/>
                <w:sz w:val="28"/>
                <w:szCs w:val="28"/>
                <w:rtl/>
              </w:rPr>
              <w:t>العائد على الاستثمار التسويقي (</w:t>
            </w:r>
            <w:r w:rsidRPr="00B94C5E">
              <w:rPr>
                <w:rFonts w:ascii="Traditional Arabic" w:eastAsia="Calibri" w:hAnsi="Traditional Arabic" w:cs="Traditional Arabic"/>
                <w:color w:val="000000"/>
                <w:sz w:val="28"/>
                <w:szCs w:val="28"/>
              </w:rPr>
              <w:t>ROI</w:t>
            </w:r>
            <w:r w:rsidRPr="00B94C5E">
              <w:rPr>
                <w:rFonts w:ascii="Traditional Arabic" w:eastAsia="Calibri" w:hAnsi="Traditional Arabic" w:cs="Traditional Arabic"/>
                <w:color w:val="000000"/>
                <w:sz w:val="28"/>
                <w:szCs w:val="28"/>
                <w:rtl/>
              </w:rPr>
              <w:t>)</w:t>
            </w:r>
          </w:p>
        </w:tc>
        <w:tc>
          <w:tcPr>
            <w:tcW w:w="851" w:type="dxa"/>
          </w:tcPr>
          <w:p w14:paraId="5C5BDA01" w14:textId="77777777" w:rsidR="000A40BF" w:rsidRDefault="00B94C5E" w:rsidP="00B94C5E">
            <w:pPr>
              <w:bidi/>
              <w:jc w:val="center"/>
              <w:rPr>
                <w:rFonts w:ascii="Traditional Arabic" w:eastAsia="Calibri" w:hAnsi="Traditional Arabic" w:cs="Traditional Arabic"/>
                <w:color w:val="000000"/>
                <w:sz w:val="32"/>
                <w:szCs w:val="32"/>
                <w:rtl/>
              </w:rPr>
            </w:pPr>
            <w:r>
              <w:rPr>
                <w:rFonts w:ascii="Traditional Arabic" w:eastAsia="Calibri" w:hAnsi="Traditional Arabic" w:cs="Traditional Arabic" w:hint="cs"/>
                <w:color w:val="000000"/>
                <w:sz w:val="32"/>
                <w:szCs w:val="32"/>
                <w:rtl/>
              </w:rPr>
              <w:t>4</w:t>
            </w:r>
          </w:p>
        </w:tc>
        <w:tc>
          <w:tcPr>
            <w:tcW w:w="1809" w:type="dxa"/>
          </w:tcPr>
          <w:p w14:paraId="4AC74469" w14:textId="77777777" w:rsidR="000A40BF" w:rsidRPr="00B94C5E" w:rsidRDefault="00B94C5E" w:rsidP="00B94C5E">
            <w:pPr>
              <w:jc w:val="both"/>
              <w:rPr>
                <w:rFonts w:asciiTheme="majorBidi" w:eastAsia="Calibri" w:hAnsiTheme="majorBidi" w:cstheme="majorBidi"/>
                <w:color w:val="000000"/>
                <w:sz w:val="24"/>
                <w:szCs w:val="24"/>
                <w:rtl/>
              </w:rPr>
            </w:pPr>
            <w:r w:rsidRPr="00B94C5E">
              <w:rPr>
                <w:rFonts w:asciiTheme="majorBidi" w:eastAsia="Calibri" w:hAnsiTheme="majorBidi" w:cstheme="majorBidi"/>
                <w:color w:val="000000"/>
                <w:sz w:val="24"/>
                <w:szCs w:val="24"/>
              </w:rPr>
              <w:t>Katsikeas et al. (2016)</w:t>
            </w:r>
          </w:p>
        </w:tc>
      </w:tr>
    </w:tbl>
    <w:p w14:paraId="41EDDF22" w14:textId="77777777" w:rsidR="00B94C5E" w:rsidRDefault="00B94C5E" w:rsidP="00B94C5E">
      <w:pPr>
        <w:bidi/>
        <w:spacing w:after="0" w:line="240" w:lineRule="auto"/>
        <w:rPr>
          <w:rFonts w:ascii="Traditional Arabic" w:hAnsi="Traditional Arabic" w:cs="Traditional Arabic"/>
          <w:b/>
          <w:bCs/>
          <w:sz w:val="32"/>
          <w:szCs w:val="32"/>
          <w:rtl/>
        </w:rPr>
      </w:pPr>
    </w:p>
    <w:p w14:paraId="5D95F7E3" w14:textId="77777777" w:rsidR="00B94C5E" w:rsidRDefault="00B94C5E" w:rsidP="00B94C5E">
      <w:pPr>
        <w:bidi/>
        <w:spacing w:after="0" w:line="240" w:lineRule="auto"/>
        <w:rPr>
          <w:rFonts w:ascii="Traditional Arabic" w:hAnsi="Traditional Arabic" w:cs="Traditional Arabic"/>
          <w:b/>
          <w:bCs/>
          <w:sz w:val="32"/>
          <w:szCs w:val="32"/>
          <w:rtl/>
        </w:rPr>
      </w:pPr>
    </w:p>
    <w:p w14:paraId="5D53A5D1" w14:textId="77777777" w:rsidR="00B94C5E" w:rsidRDefault="00B94C5E" w:rsidP="00B94C5E">
      <w:pPr>
        <w:bidi/>
        <w:spacing w:after="0" w:line="240" w:lineRule="auto"/>
        <w:rPr>
          <w:rFonts w:ascii="Traditional Arabic" w:hAnsi="Traditional Arabic" w:cs="Traditional Arabic"/>
          <w:b/>
          <w:bCs/>
          <w:sz w:val="32"/>
          <w:szCs w:val="32"/>
          <w:rtl/>
        </w:rPr>
      </w:pPr>
    </w:p>
    <w:p w14:paraId="6D0D2168" w14:textId="77777777" w:rsidR="00B94C5E" w:rsidRDefault="00B94C5E" w:rsidP="00B94C5E">
      <w:pPr>
        <w:bidi/>
        <w:spacing w:after="0" w:line="240" w:lineRule="auto"/>
        <w:rPr>
          <w:rFonts w:ascii="Traditional Arabic" w:hAnsi="Traditional Arabic" w:cs="Traditional Arabic"/>
          <w:b/>
          <w:bCs/>
          <w:sz w:val="32"/>
          <w:szCs w:val="32"/>
          <w:rtl/>
        </w:rPr>
      </w:pPr>
    </w:p>
    <w:p w14:paraId="2BC794DC" w14:textId="77777777" w:rsidR="00B94C5E" w:rsidRDefault="00B94C5E" w:rsidP="00B94C5E">
      <w:pPr>
        <w:bidi/>
        <w:spacing w:after="0" w:line="240" w:lineRule="auto"/>
        <w:rPr>
          <w:rFonts w:ascii="Traditional Arabic" w:hAnsi="Traditional Arabic" w:cs="Traditional Arabic"/>
          <w:b/>
          <w:bCs/>
          <w:sz w:val="32"/>
          <w:szCs w:val="32"/>
          <w:rtl/>
        </w:rPr>
      </w:pPr>
    </w:p>
    <w:p w14:paraId="22A67BFD" w14:textId="77777777" w:rsidR="00B94C5E" w:rsidRDefault="00B94C5E" w:rsidP="00B94C5E">
      <w:pPr>
        <w:bidi/>
        <w:spacing w:after="0" w:line="240" w:lineRule="auto"/>
        <w:rPr>
          <w:rFonts w:ascii="Traditional Arabic" w:hAnsi="Traditional Arabic" w:cs="Traditional Arabic"/>
          <w:b/>
          <w:bCs/>
          <w:sz w:val="32"/>
          <w:szCs w:val="32"/>
          <w:rtl/>
        </w:rPr>
      </w:pPr>
    </w:p>
    <w:p w14:paraId="67EF57FF" w14:textId="77777777" w:rsidR="000A40BF" w:rsidRDefault="00B94C5E" w:rsidP="00B94C5E">
      <w:pPr>
        <w:bidi/>
        <w:spacing w:after="0" w:line="240" w:lineRule="auto"/>
        <w:rPr>
          <w:rFonts w:ascii="Traditional Arabic" w:hAnsi="Traditional Arabic" w:cs="Traditional Arabic"/>
          <w:b/>
          <w:bCs/>
          <w:sz w:val="32"/>
          <w:szCs w:val="32"/>
          <w:rtl/>
        </w:rPr>
      </w:pPr>
      <w:r w:rsidRPr="00B94C5E">
        <w:rPr>
          <w:rFonts w:ascii="Traditional Arabic" w:hAnsi="Traditional Arabic" w:cs="Traditional Arabic"/>
          <w:b/>
          <w:bCs/>
          <w:sz w:val="32"/>
          <w:szCs w:val="32"/>
          <w:rtl/>
        </w:rPr>
        <w:lastRenderedPageBreak/>
        <w:t>الإطار النظري للمتغير الوسيط</w:t>
      </w:r>
    </w:p>
    <w:p w14:paraId="640FCF97" w14:textId="77777777" w:rsidR="00B94C5E" w:rsidRPr="00B94C5E" w:rsidRDefault="00B94C5E" w:rsidP="00B94C5E">
      <w:pPr>
        <w:bidi/>
        <w:ind w:firstLine="720"/>
        <w:jc w:val="both"/>
        <w:rPr>
          <w:rFonts w:ascii="Traditional Arabic" w:eastAsia="Calibri" w:hAnsi="Traditional Arabic" w:cs="Traditional Arabic"/>
          <w:color w:val="000000"/>
          <w:sz w:val="32"/>
          <w:szCs w:val="32"/>
        </w:rPr>
      </w:pPr>
      <w:r w:rsidRPr="00B94C5E">
        <w:rPr>
          <w:rFonts w:ascii="Traditional Arabic" w:eastAsia="Calibri" w:hAnsi="Traditional Arabic" w:cs="Traditional Arabic"/>
          <w:color w:val="000000"/>
          <w:sz w:val="32"/>
          <w:szCs w:val="32"/>
          <w:rtl/>
        </w:rPr>
        <w:t>تم إدراج التسويق الرقمي كمتغير وسيط يربط بين تبني تقنيات الذكاء الاصطناعي والأداء التسويقي بناءً على المبررات العلمية التالية</w:t>
      </w:r>
      <w:r w:rsidRPr="00B94C5E">
        <w:rPr>
          <w:rFonts w:ascii="Traditional Arabic" w:eastAsia="Calibri" w:hAnsi="Traditional Arabic" w:cs="Traditional Arabic"/>
          <w:color w:val="000000"/>
          <w:sz w:val="32"/>
          <w:szCs w:val="32"/>
        </w:rPr>
        <w:t xml:space="preserve">: </w:t>
      </w:r>
    </w:p>
    <w:p w14:paraId="4D9BBAA8" w14:textId="77777777" w:rsidR="00B94C5E" w:rsidRPr="00B94C5E" w:rsidRDefault="00B94C5E" w:rsidP="00B94C5E">
      <w:pPr>
        <w:numPr>
          <w:ilvl w:val="0"/>
          <w:numId w:val="15"/>
        </w:numPr>
        <w:bidi/>
        <w:spacing w:after="0" w:line="240" w:lineRule="auto"/>
        <w:jc w:val="both"/>
        <w:rPr>
          <w:rFonts w:ascii="Traditional Arabic" w:hAnsi="Traditional Arabic" w:cs="Traditional Arabic"/>
          <w:b/>
          <w:bCs/>
          <w:sz w:val="32"/>
          <w:szCs w:val="32"/>
        </w:rPr>
      </w:pPr>
      <w:r w:rsidRPr="00B94C5E">
        <w:rPr>
          <w:rFonts w:ascii="Traditional Arabic" w:hAnsi="Traditional Arabic" w:cs="Traditional Arabic"/>
          <w:b/>
          <w:bCs/>
          <w:sz w:val="32"/>
          <w:szCs w:val="32"/>
          <w:rtl/>
        </w:rPr>
        <w:t>التبرير العلمي والسلوكي</w:t>
      </w:r>
      <w:r w:rsidRPr="00B94C5E">
        <w:rPr>
          <w:rFonts w:ascii="Traditional Arabic" w:hAnsi="Traditional Arabic" w:cs="Traditional Arabic"/>
          <w:b/>
          <w:bCs/>
          <w:sz w:val="32"/>
          <w:szCs w:val="32"/>
        </w:rPr>
        <w:t xml:space="preserve">: </w:t>
      </w:r>
      <w:r w:rsidRPr="00B94C5E">
        <w:rPr>
          <w:rFonts w:ascii="Traditional Arabic" w:hAnsi="Traditional Arabic" w:cs="Traditional Arabic"/>
          <w:sz w:val="32"/>
          <w:szCs w:val="32"/>
          <w:rtl/>
        </w:rPr>
        <w:t>إن مجرد تبني أدوات الذكاء الاصطناعي (مثل خوارزميات التعلم الآلي، روبوتات المحادثة، أدوات تحليل البيانات) لا ينعكس بشكل تلقائي ومباشر على الأداء التسويقي النهائي للمنظمة ما لم يتم دمجها وترجمتها عملياً من خلال عمليات استراتيجية وتكتيكية نشطة متمثلة في أنشطة وقنوات التسويق الرقمي</w:t>
      </w:r>
      <w:r w:rsidRPr="00B94C5E">
        <w:rPr>
          <w:rFonts w:ascii="Traditional Arabic" w:hAnsi="Traditional Arabic" w:cs="Traditional Arabic"/>
          <w:sz w:val="32"/>
          <w:szCs w:val="32"/>
        </w:rPr>
        <w:t>.</w:t>
      </w:r>
      <w:r w:rsidRPr="00B94C5E">
        <w:rPr>
          <w:rFonts w:ascii="Traditional Arabic" w:hAnsi="Traditional Arabic" w:cs="Traditional Arabic"/>
          <w:b/>
          <w:bCs/>
          <w:sz w:val="32"/>
          <w:szCs w:val="32"/>
        </w:rPr>
        <w:t xml:space="preserve"> </w:t>
      </w:r>
    </w:p>
    <w:p w14:paraId="6A54A0F6" w14:textId="77777777" w:rsidR="00B94C5E" w:rsidRPr="00B94C5E" w:rsidRDefault="00B94C5E" w:rsidP="00B94C5E">
      <w:pPr>
        <w:numPr>
          <w:ilvl w:val="0"/>
          <w:numId w:val="15"/>
        </w:numPr>
        <w:bidi/>
        <w:spacing w:after="0" w:line="240" w:lineRule="auto"/>
        <w:jc w:val="both"/>
        <w:rPr>
          <w:rFonts w:ascii="Traditional Arabic" w:hAnsi="Traditional Arabic" w:cs="Traditional Arabic"/>
          <w:sz w:val="32"/>
          <w:szCs w:val="32"/>
        </w:rPr>
      </w:pPr>
      <w:r w:rsidRPr="00B94C5E">
        <w:rPr>
          <w:rFonts w:ascii="Traditional Arabic" w:hAnsi="Traditional Arabic" w:cs="Traditional Arabic"/>
          <w:b/>
          <w:bCs/>
          <w:sz w:val="32"/>
          <w:szCs w:val="32"/>
          <w:rtl/>
        </w:rPr>
        <w:t>يعمل التسويق الرقمي كآلية ربط محورية</w:t>
      </w:r>
      <w:r w:rsidRPr="00B94C5E">
        <w:rPr>
          <w:rFonts w:ascii="Traditional Arabic" w:hAnsi="Traditional Arabic" w:cs="Traditional Arabic"/>
          <w:sz w:val="32"/>
          <w:szCs w:val="32"/>
        </w:rPr>
        <w:t xml:space="preserve"> (Transmission Mechanism) </w:t>
      </w:r>
      <w:r w:rsidRPr="00B94C5E">
        <w:rPr>
          <w:rFonts w:ascii="Traditional Arabic" w:hAnsi="Traditional Arabic" w:cs="Traditional Arabic"/>
          <w:sz w:val="32"/>
          <w:szCs w:val="32"/>
          <w:rtl/>
        </w:rPr>
        <w:t>تقوم بتحويل المدخلات والقدرات التقنية للذكاء الاصطناعي إلى مخرجات ذات قيمة تسويقية تفاعلية؛ فالذكاء الاصطناعي يحسن تخصيص المحتوى، واستهداف الجمهور، وتوقيت الحملات، والتي هي في جوهرها ممارسات رقمية وسيطة تسهم في النهاية في رفع مستويات الأداء التسويقي والمبيعات</w:t>
      </w:r>
      <w:r w:rsidRPr="00B94C5E">
        <w:rPr>
          <w:rFonts w:ascii="Traditional Arabic" w:hAnsi="Traditional Arabic" w:cs="Traditional Arabic"/>
          <w:sz w:val="32"/>
          <w:szCs w:val="32"/>
        </w:rPr>
        <w:t xml:space="preserve"> (Zhao et al., 2010). </w:t>
      </w:r>
    </w:p>
    <w:p w14:paraId="4BAFE6B7" w14:textId="77777777" w:rsidR="00B94C5E" w:rsidRPr="00B94C5E" w:rsidRDefault="00B94C5E" w:rsidP="00B94C5E">
      <w:pPr>
        <w:bidi/>
        <w:spacing w:after="0" w:line="240" w:lineRule="auto"/>
        <w:rPr>
          <w:rFonts w:ascii="Traditional Arabic" w:hAnsi="Traditional Arabic" w:cs="Traditional Arabic"/>
          <w:b/>
          <w:bCs/>
          <w:sz w:val="20"/>
          <w:szCs w:val="20"/>
          <w:rtl/>
        </w:rPr>
      </w:pPr>
    </w:p>
    <w:p w14:paraId="3632E328" w14:textId="77777777" w:rsidR="00B94C5E" w:rsidRDefault="00B94C5E" w:rsidP="00B94C5E">
      <w:pPr>
        <w:bidi/>
        <w:spacing w:after="0" w:line="240" w:lineRule="auto"/>
        <w:rPr>
          <w:rFonts w:ascii="Traditional Arabic" w:hAnsi="Traditional Arabic" w:cs="Traditional Arabic"/>
          <w:b/>
          <w:bCs/>
          <w:sz w:val="32"/>
          <w:szCs w:val="32"/>
          <w:rtl/>
        </w:rPr>
      </w:pPr>
      <w:r w:rsidRPr="00B94C5E">
        <w:rPr>
          <w:rFonts w:ascii="Traditional Arabic" w:hAnsi="Traditional Arabic" w:cs="Traditional Arabic"/>
          <w:b/>
          <w:bCs/>
          <w:sz w:val="32"/>
          <w:szCs w:val="32"/>
          <w:rtl/>
        </w:rPr>
        <w:t xml:space="preserve">أداة الدراسة النوعية: </w:t>
      </w:r>
    </w:p>
    <w:p w14:paraId="594145DA" w14:textId="77777777" w:rsidR="00B94C5E" w:rsidRPr="00B94C5E" w:rsidRDefault="00B94C5E" w:rsidP="00B94C5E">
      <w:pPr>
        <w:bidi/>
        <w:spacing w:after="0" w:line="240" w:lineRule="auto"/>
        <w:ind w:firstLine="720"/>
        <w:jc w:val="both"/>
        <w:rPr>
          <w:rFonts w:ascii="Traditional Arabic" w:hAnsi="Traditional Arabic" w:cs="Traditional Arabic"/>
          <w:sz w:val="32"/>
          <w:szCs w:val="32"/>
        </w:rPr>
      </w:pPr>
      <w:r w:rsidRPr="00B94C5E">
        <w:rPr>
          <w:rFonts w:ascii="Traditional Arabic" w:hAnsi="Traditional Arabic" w:cs="Traditional Arabic"/>
          <w:sz w:val="32"/>
          <w:szCs w:val="32"/>
          <w:rtl/>
        </w:rPr>
        <w:t>المقابلات شبه المنظمة</w:t>
      </w:r>
      <w:r w:rsidRPr="00B94C5E">
        <w:rPr>
          <w:rFonts w:ascii="Traditional Arabic" w:hAnsi="Traditional Arabic" w:cs="Traditional Arabic" w:hint="cs"/>
          <w:sz w:val="32"/>
          <w:szCs w:val="32"/>
          <w:rtl/>
        </w:rPr>
        <w:t xml:space="preserve"> </w:t>
      </w:r>
      <w:r w:rsidRPr="00B94C5E">
        <w:rPr>
          <w:rFonts w:ascii="Traditional Arabic" w:hAnsi="Traditional Arabic" w:cs="Traditional Arabic"/>
          <w:sz w:val="32"/>
          <w:szCs w:val="32"/>
        </w:rPr>
        <w:t xml:space="preserve"> (Qualitative Interviews)</w:t>
      </w:r>
      <w:r w:rsidRPr="00B94C5E">
        <w:rPr>
          <w:rFonts w:ascii="Traditional Arabic" w:hAnsi="Traditional Arabic" w:cs="Traditional Arabic" w:hint="cs"/>
          <w:sz w:val="32"/>
          <w:szCs w:val="32"/>
          <w:rtl/>
        </w:rPr>
        <w:t xml:space="preserve"> و</w:t>
      </w:r>
      <w:r w:rsidRPr="00B94C5E">
        <w:rPr>
          <w:rFonts w:ascii="Traditional Arabic" w:hAnsi="Traditional Arabic" w:cs="Traditional Arabic"/>
          <w:sz w:val="32"/>
          <w:szCs w:val="32"/>
          <w:rtl/>
        </w:rPr>
        <w:t>تم استخدام العينة القصدية</w:t>
      </w:r>
      <w:r w:rsidRPr="00B94C5E">
        <w:rPr>
          <w:rFonts w:ascii="Traditional Arabic" w:hAnsi="Traditional Arabic" w:cs="Traditional Arabic"/>
          <w:sz w:val="32"/>
          <w:szCs w:val="32"/>
        </w:rPr>
        <w:t xml:space="preserve"> (Purposive Sampling) </w:t>
      </w:r>
      <w:r w:rsidRPr="00B94C5E">
        <w:rPr>
          <w:rFonts w:ascii="Traditional Arabic" w:hAnsi="Traditional Arabic" w:cs="Traditional Arabic"/>
          <w:sz w:val="32"/>
          <w:szCs w:val="32"/>
          <w:rtl/>
        </w:rPr>
        <w:t>لاستهداف الخبراء وصناع القرار من ذوي العلاقة المباشرة بموضوع الدراسة</w:t>
      </w:r>
      <w:r w:rsidRPr="00B94C5E">
        <w:rPr>
          <w:rFonts w:ascii="Traditional Arabic" w:hAnsi="Traditional Arabic" w:cs="Traditional Arabic"/>
          <w:sz w:val="32"/>
          <w:szCs w:val="32"/>
        </w:rPr>
        <w:t xml:space="preserve">. </w:t>
      </w:r>
      <w:r w:rsidRPr="00B94C5E">
        <w:rPr>
          <w:rFonts w:ascii="Traditional Arabic" w:hAnsi="Traditional Arabic" w:cs="Traditional Arabic" w:hint="cs"/>
          <w:sz w:val="32"/>
          <w:szCs w:val="32"/>
          <w:rtl/>
        </w:rPr>
        <w:t>و</w:t>
      </w:r>
      <w:r w:rsidRPr="00B94C5E">
        <w:rPr>
          <w:rFonts w:ascii="Traditional Arabic" w:hAnsi="Traditional Arabic" w:cs="Traditional Arabic"/>
          <w:sz w:val="32"/>
          <w:szCs w:val="32"/>
          <w:rtl/>
        </w:rPr>
        <w:t xml:space="preserve">تم إجراء مقابلات مع </w:t>
      </w:r>
      <w:r w:rsidRPr="00B94C5E">
        <w:rPr>
          <w:rFonts w:ascii="Traditional Arabic" w:hAnsi="Traditional Arabic" w:cs="Traditional Arabic"/>
          <w:sz w:val="32"/>
          <w:szCs w:val="32"/>
        </w:rPr>
        <w:t xml:space="preserve">15 </w:t>
      </w:r>
      <w:r w:rsidRPr="00B94C5E">
        <w:rPr>
          <w:rFonts w:ascii="Traditional Arabic" w:hAnsi="Traditional Arabic" w:cs="Traditional Arabic"/>
          <w:sz w:val="32"/>
          <w:szCs w:val="32"/>
          <w:rtl/>
        </w:rPr>
        <w:t>مديراً ومسؤولاً عن التسويق في الشركات الصغيرة والمتوسطة في المملكة العربية السعودية</w:t>
      </w:r>
      <w:r w:rsidRPr="00B94C5E">
        <w:rPr>
          <w:rFonts w:ascii="Traditional Arabic" w:hAnsi="Traditional Arabic" w:cs="Traditional Arabic"/>
          <w:sz w:val="32"/>
          <w:szCs w:val="32"/>
        </w:rPr>
        <w:t xml:space="preserve">. </w:t>
      </w:r>
      <w:r w:rsidRPr="00B94C5E">
        <w:rPr>
          <w:rFonts w:ascii="Traditional Arabic" w:hAnsi="Traditional Arabic" w:cs="Traditional Arabic" w:hint="cs"/>
          <w:sz w:val="32"/>
          <w:szCs w:val="32"/>
          <w:rtl/>
        </w:rPr>
        <w:t xml:space="preserve"> و</w:t>
      </w:r>
      <w:r w:rsidRPr="00B94C5E">
        <w:rPr>
          <w:rFonts w:ascii="Traditional Arabic" w:hAnsi="Traditional Arabic" w:cs="Traditional Arabic"/>
          <w:sz w:val="32"/>
          <w:szCs w:val="32"/>
          <w:rtl/>
        </w:rPr>
        <w:t>تراوحت مدة كل مقابلة ما بين (30 إلى 45 دقيقة)، وجرت عبر الاتصال المرئي أو حضورياً وتم تسجيلها صوتياً بموافقة المشاركين</w:t>
      </w:r>
      <w:r w:rsidRPr="00B94C5E">
        <w:rPr>
          <w:rFonts w:ascii="Traditional Arabic" w:hAnsi="Traditional Arabic" w:cs="Traditional Arabic"/>
          <w:sz w:val="32"/>
          <w:szCs w:val="32"/>
        </w:rPr>
        <w:t xml:space="preserve">. </w:t>
      </w:r>
      <w:r w:rsidRPr="00B94C5E">
        <w:rPr>
          <w:rFonts w:ascii="Traditional Arabic" w:hAnsi="Traditional Arabic" w:cs="Traditional Arabic" w:hint="cs"/>
          <w:sz w:val="32"/>
          <w:szCs w:val="32"/>
          <w:rtl/>
        </w:rPr>
        <w:t>و</w:t>
      </w:r>
      <w:r w:rsidRPr="00B94C5E">
        <w:rPr>
          <w:rFonts w:ascii="Traditional Arabic" w:hAnsi="Traditional Arabic" w:cs="Traditional Arabic"/>
          <w:sz w:val="32"/>
          <w:szCs w:val="32"/>
          <w:rtl/>
        </w:rPr>
        <w:t>تم استخدام التحليل الموضوعي</w:t>
      </w:r>
      <w:r w:rsidRPr="00B94C5E">
        <w:rPr>
          <w:rFonts w:ascii="Traditional Arabic" w:hAnsi="Traditional Arabic" w:cs="Traditional Arabic"/>
          <w:sz w:val="32"/>
          <w:szCs w:val="32"/>
        </w:rPr>
        <w:t xml:space="preserve"> (Thematic Analysis) </w:t>
      </w:r>
      <w:r w:rsidRPr="00B94C5E">
        <w:rPr>
          <w:rFonts w:ascii="Traditional Arabic" w:hAnsi="Traditional Arabic" w:cs="Traditional Arabic"/>
          <w:sz w:val="32"/>
          <w:szCs w:val="32"/>
          <w:rtl/>
        </w:rPr>
        <w:t>بالاعتماد على المنهجية العلمية المعتمدة لـ</w:t>
      </w:r>
      <w:r w:rsidRPr="00B94C5E">
        <w:rPr>
          <w:rFonts w:ascii="Traditional Arabic" w:hAnsi="Traditional Arabic" w:cs="Traditional Arabic"/>
          <w:sz w:val="32"/>
          <w:szCs w:val="32"/>
        </w:rPr>
        <w:t xml:space="preserve"> (Braun &amp; Clarke, 2006). </w:t>
      </w:r>
      <w:r w:rsidRPr="00B94C5E">
        <w:rPr>
          <w:rFonts w:ascii="Traditional Arabic" w:hAnsi="Traditional Arabic" w:cs="Traditional Arabic"/>
          <w:sz w:val="32"/>
          <w:szCs w:val="32"/>
          <w:rtl/>
        </w:rPr>
        <w:t>وتضمن التحليل الخطوات الست التالية</w:t>
      </w:r>
      <w:r w:rsidRPr="00B94C5E">
        <w:rPr>
          <w:rFonts w:ascii="Traditional Arabic" w:hAnsi="Traditional Arabic" w:cs="Traditional Arabic"/>
          <w:sz w:val="32"/>
          <w:szCs w:val="32"/>
        </w:rPr>
        <w:t xml:space="preserve">: </w:t>
      </w:r>
    </w:p>
    <w:p w14:paraId="3821B19C" w14:textId="77777777" w:rsidR="00B94C5E" w:rsidRPr="00B94C5E" w:rsidRDefault="00B94C5E" w:rsidP="00B94C5E">
      <w:pPr>
        <w:numPr>
          <w:ilvl w:val="1"/>
          <w:numId w:val="16"/>
        </w:numPr>
        <w:bidi/>
        <w:spacing w:after="0" w:line="240" w:lineRule="auto"/>
        <w:rPr>
          <w:rFonts w:ascii="Traditional Arabic" w:hAnsi="Traditional Arabic" w:cs="Traditional Arabic"/>
          <w:sz w:val="32"/>
          <w:szCs w:val="32"/>
        </w:rPr>
      </w:pPr>
      <w:r w:rsidRPr="00B94C5E">
        <w:rPr>
          <w:rFonts w:ascii="Traditional Arabic" w:hAnsi="Traditional Arabic" w:cs="Traditional Arabic"/>
          <w:sz w:val="32"/>
          <w:szCs w:val="32"/>
          <w:rtl/>
        </w:rPr>
        <w:t>التعرف على البيانات وقراءتها بدقة وتفريغ المقابلات نصياً</w:t>
      </w:r>
      <w:r w:rsidRPr="00B94C5E">
        <w:rPr>
          <w:rFonts w:ascii="Traditional Arabic" w:hAnsi="Traditional Arabic" w:cs="Traditional Arabic"/>
          <w:sz w:val="32"/>
          <w:szCs w:val="32"/>
        </w:rPr>
        <w:t>.</w:t>
      </w:r>
    </w:p>
    <w:p w14:paraId="7FA77959" w14:textId="77777777" w:rsidR="00B94C5E" w:rsidRPr="00B94C5E" w:rsidRDefault="00B94C5E" w:rsidP="00B94C5E">
      <w:pPr>
        <w:numPr>
          <w:ilvl w:val="1"/>
          <w:numId w:val="16"/>
        </w:numPr>
        <w:bidi/>
        <w:spacing w:after="0" w:line="240" w:lineRule="auto"/>
        <w:rPr>
          <w:rFonts w:ascii="Traditional Arabic" w:hAnsi="Traditional Arabic" w:cs="Traditional Arabic"/>
          <w:sz w:val="32"/>
          <w:szCs w:val="32"/>
        </w:rPr>
      </w:pPr>
      <w:r w:rsidRPr="00B94C5E">
        <w:rPr>
          <w:rFonts w:ascii="Traditional Arabic" w:hAnsi="Traditional Arabic" w:cs="Traditional Arabic"/>
          <w:sz w:val="32"/>
          <w:szCs w:val="32"/>
          <w:rtl/>
        </w:rPr>
        <w:t>توليد الرموز والمصطلحات الأولية</w:t>
      </w:r>
      <w:r w:rsidRPr="00B94C5E">
        <w:rPr>
          <w:rFonts w:ascii="Traditional Arabic" w:hAnsi="Traditional Arabic" w:cs="Traditional Arabic"/>
          <w:sz w:val="32"/>
          <w:szCs w:val="32"/>
        </w:rPr>
        <w:t xml:space="preserve"> (Initial Codes).</w:t>
      </w:r>
    </w:p>
    <w:p w14:paraId="56E736B4" w14:textId="77777777" w:rsidR="00B94C5E" w:rsidRPr="00B94C5E" w:rsidRDefault="00B94C5E" w:rsidP="00B94C5E">
      <w:pPr>
        <w:numPr>
          <w:ilvl w:val="1"/>
          <w:numId w:val="16"/>
        </w:numPr>
        <w:bidi/>
        <w:spacing w:after="0" w:line="240" w:lineRule="auto"/>
        <w:rPr>
          <w:rFonts w:ascii="Traditional Arabic" w:hAnsi="Traditional Arabic" w:cs="Traditional Arabic"/>
          <w:sz w:val="32"/>
          <w:szCs w:val="32"/>
        </w:rPr>
      </w:pPr>
      <w:r w:rsidRPr="00B94C5E">
        <w:rPr>
          <w:rFonts w:ascii="Traditional Arabic" w:hAnsi="Traditional Arabic" w:cs="Traditional Arabic"/>
          <w:sz w:val="32"/>
          <w:szCs w:val="32"/>
          <w:rtl/>
        </w:rPr>
        <w:t>البحث عن الأنماط والمواضيع الكبرى المشتركة</w:t>
      </w:r>
      <w:r w:rsidRPr="00B94C5E">
        <w:rPr>
          <w:rFonts w:ascii="Traditional Arabic" w:hAnsi="Traditional Arabic" w:cs="Traditional Arabic"/>
          <w:sz w:val="32"/>
          <w:szCs w:val="32"/>
        </w:rPr>
        <w:t xml:space="preserve"> (Themes).</w:t>
      </w:r>
    </w:p>
    <w:p w14:paraId="7F2A7C77" w14:textId="77777777" w:rsidR="00B94C5E" w:rsidRPr="00B94C5E" w:rsidRDefault="00B94C5E" w:rsidP="00B94C5E">
      <w:pPr>
        <w:numPr>
          <w:ilvl w:val="1"/>
          <w:numId w:val="16"/>
        </w:numPr>
        <w:bidi/>
        <w:spacing w:after="0" w:line="240" w:lineRule="auto"/>
        <w:rPr>
          <w:rFonts w:ascii="Traditional Arabic" w:hAnsi="Traditional Arabic" w:cs="Traditional Arabic"/>
          <w:sz w:val="32"/>
          <w:szCs w:val="32"/>
        </w:rPr>
      </w:pPr>
      <w:r w:rsidRPr="00B94C5E">
        <w:rPr>
          <w:rFonts w:ascii="Traditional Arabic" w:hAnsi="Traditional Arabic" w:cs="Traditional Arabic"/>
          <w:sz w:val="32"/>
          <w:szCs w:val="32"/>
          <w:rtl/>
        </w:rPr>
        <w:t>مراجعة المواضيع والتأكد من مطابقتها مع نصوص المقابلات</w:t>
      </w:r>
      <w:r w:rsidRPr="00B94C5E">
        <w:rPr>
          <w:rFonts w:ascii="Traditional Arabic" w:hAnsi="Traditional Arabic" w:cs="Traditional Arabic"/>
          <w:sz w:val="32"/>
          <w:szCs w:val="32"/>
        </w:rPr>
        <w:t>.</w:t>
      </w:r>
    </w:p>
    <w:p w14:paraId="1BF5E2B6" w14:textId="77777777" w:rsidR="00B94C5E" w:rsidRPr="00B94C5E" w:rsidRDefault="00B94C5E" w:rsidP="00B94C5E">
      <w:pPr>
        <w:numPr>
          <w:ilvl w:val="1"/>
          <w:numId w:val="16"/>
        </w:numPr>
        <w:bidi/>
        <w:spacing w:after="0" w:line="240" w:lineRule="auto"/>
        <w:rPr>
          <w:rFonts w:ascii="Traditional Arabic" w:hAnsi="Traditional Arabic" w:cs="Traditional Arabic"/>
          <w:sz w:val="32"/>
          <w:szCs w:val="32"/>
        </w:rPr>
      </w:pPr>
      <w:r w:rsidRPr="00B94C5E">
        <w:rPr>
          <w:rFonts w:ascii="Traditional Arabic" w:hAnsi="Traditional Arabic" w:cs="Traditional Arabic"/>
          <w:sz w:val="32"/>
          <w:szCs w:val="32"/>
          <w:rtl/>
        </w:rPr>
        <w:t>تعريف وتسمية المواضيع النهائية بدقة</w:t>
      </w:r>
      <w:r w:rsidRPr="00B94C5E">
        <w:rPr>
          <w:rFonts w:ascii="Traditional Arabic" w:hAnsi="Traditional Arabic" w:cs="Traditional Arabic"/>
          <w:sz w:val="32"/>
          <w:szCs w:val="32"/>
        </w:rPr>
        <w:t>.</w:t>
      </w:r>
    </w:p>
    <w:p w14:paraId="43070ECC" w14:textId="77777777" w:rsidR="00B94C5E" w:rsidRPr="00B94C5E" w:rsidRDefault="00B94C5E" w:rsidP="00B94C5E">
      <w:pPr>
        <w:numPr>
          <w:ilvl w:val="1"/>
          <w:numId w:val="16"/>
        </w:numPr>
        <w:bidi/>
        <w:spacing w:after="0" w:line="240" w:lineRule="auto"/>
        <w:jc w:val="both"/>
        <w:rPr>
          <w:rFonts w:ascii="Traditional Arabic" w:hAnsi="Traditional Arabic" w:cs="Traditional Arabic"/>
          <w:sz w:val="32"/>
          <w:szCs w:val="32"/>
        </w:rPr>
      </w:pPr>
      <w:r w:rsidRPr="00B94C5E">
        <w:rPr>
          <w:rFonts w:ascii="Traditional Arabic" w:hAnsi="Traditional Arabic" w:cs="Traditional Arabic"/>
          <w:sz w:val="32"/>
          <w:szCs w:val="32"/>
          <w:rtl/>
        </w:rPr>
        <w:t>كتابة التقرير النهائي وربطه بالاقتباسات النصية والنتائج الكمية</w:t>
      </w:r>
      <w:r w:rsidRPr="00B94C5E">
        <w:rPr>
          <w:rFonts w:ascii="Traditional Arabic" w:hAnsi="Traditional Arabic" w:cs="Traditional Arabic"/>
          <w:sz w:val="32"/>
          <w:szCs w:val="32"/>
        </w:rPr>
        <w:t>.</w:t>
      </w:r>
    </w:p>
    <w:p w14:paraId="00CF882C" w14:textId="77777777" w:rsidR="00B94C5E" w:rsidRDefault="00B94C5E" w:rsidP="00B94C5E">
      <w:pPr>
        <w:bidi/>
        <w:spacing w:after="0" w:line="240" w:lineRule="auto"/>
        <w:rPr>
          <w:rFonts w:ascii="Traditional Arabic" w:hAnsi="Traditional Arabic" w:cs="Traditional Arabic"/>
          <w:b/>
          <w:bCs/>
          <w:sz w:val="32"/>
          <w:szCs w:val="32"/>
          <w:rtl/>
        </w:rPr>
      </w:pPr>
    </w:p>
    <w:p w14:paraId="34A7AE37" w14:textId="77777777" w:rsidR="00B94C5E" w:rsidRPr="00B94C5E" w:rsidRDefault="00B94C5E" w:rsidP="00B94C5E">
      <w:pPr>
        <w:bidi/>
        <w:spacing w:after="0" w:line="240" w:lineRule="auto"/>
        <w:rPr>
          <w:rFonts w:ascii="Traditional Arabic" w:hAnsi="Traditional Arabic" w:cs="Traditional Arabic"/>
          <w:b/>
          <w:bCs/>
          <w:sz w:val="32"/>
          <w:szCs w:val="32"/>
        </w:rPr>
      </w:pPr>
      <w:r w:rsidRPr="00B94C5E">
        <w:rPr>
          <w:rFonts w:ascii="Traditional Arabic" w:hAnsi="Traditional Arabic" w:cs="Traditional Arabic"/>
          <w:b/>
          <w:bCs/>
          <w:sz w:val="32"/>
          <w:szCs w:val="32"/>
          <w:rtl/>
        </w:rPr>
        <w:lastRenderedPageBreak/>
        <w:t>أسئلة المقابلات الاسترشادية</w:t>
      </w:r>
      <w:r w:rsidRPr="00B94C5E">
        <w:rPr>
          <w:rFonts w:ascii="Traditional Arabic" w:hAnsi="Traditional Arabic" w:cs="Traditional Arabic"/>
          <w:b/>
          <w:bCs/>
          <w:sz w:val="32"/>
          <w:szCs w:val="32"/>
        </w:rPr>
        <w:t xml:space="preserve"> (Interview Guide):</w:t>
      </w:r>
    </w:p>
    <w:p w14:paraId="1FD35098" w14:textId="77777777" w:rsidR="00B94C5E" w:rsidRPr="00B94C5E" w:rsidRDefault="00B94C5E" w:rsidP="00B94C5E">
      <w:pPr>
        <w:numPr>
          <w:ilvl w:val="0"/>
          <w:numId w:val="17"/>
        </w:numPr>
        <w:bidi/>
        <w:spacing w:after="0" w:line="240" w:lineRule="auto"/>
        <w:jc w:val="both"/>
        <w:rPr>
          <w:rFonts w:ascii="Traditional Arabic" w:hAnsi="Traditional Arabic" w:cs="Traditional Arabic"/>
          <w:sz w:val="32"/>
          <w:szCs w:val="32"/>
        </w:rPr>
      </w:pPr>
      <w:r w:rsidRPr="00B94C5E">
        <w:rPr>
          <w:rFonts w:ascii="Traditional Arabic" w:hAnsi="Traditional Arabic" w:cs="Traditional Arabic"/>
          <w:sz w:val="32"/>
          <w:szCs w:val="32"/>
          <w:rtl/>
        </w:rPr>
        <w:t xml:space="preserve">كيف تصفون تجربتكم الحالية في إدماج تقنيات الذكاء الاصطناعي ضمن استراتيجيات التسويق الرقمي لديكم؟ </w:t>
      </w:r>
    </w:p>
    <w:p w14:paraId="08C7A9AE" w14:textId="77777777" w:rsidR="00B94C5E" w:rsidRPr="00B94C5E" w:rsidRDefault="00B94C5E" w:rsidP="00B94C5E">
      <w:pPr>
        <w:numPr>
          <w:ilvl w:val="0"/>
          <w:numId w:val="17"/>
        </w:numPr>
        <w:bidi/>
        <w:spacing w:after="0" w:line="240" w:lineRule="auto"/>
        <w:jc w:val="both"/>
        <w:rPr>
          <w:rFonts w:ascii="Traditional Arabic" w:hAnsi="Traditional Arabic" w:cs="Traditional Arabic"/>
          <w:sz w:val="32"/>
          <w:szCs w:val="32"/>
        </w:rPr>
      </w:pPr>
      <w:r w:rsidRPr="00B94C5E">
        <w:rPr>
          <w:rFonts w:ascii="Traditional Arabic" w:hAnsi="Traditional Arabic" w:cs="Traditional Arabic"/>
          <w:sz w:val="32"/>
          <w:szCs w:val="32"/>
          <w:rtl/>
        </w:rPr>
        <w:t xml:space="preserve">ما هي أبرز التحديات (سواء تقنية، مالية، أو بشرية) التي واجهت شركتكم أثناء محاولة تبني هذه الحلول الذكية؟ </w:t>
      </w:r>
    </w:p>
    <w:p w14:paraId="6EC53ADB" w14:textId="77777777" w:rsidR="00B94C5E" w:rsidRPr="00B94C5E" w:rsidRDefault="00B94C5E" w:rsidP="00B94C5E">
      <w:pPr>
        <w:numPr>
          <w:ilvl w:val="0"/>
          <w:numId w:val="17"/>
        </w:numPr>
        <w:bidi/>
        <w:spacing w:after="0" w:line="240" w:lineRule="auto"/>
        <w:jc w:val="both"/>
        <w:rPr>
          <w:rFonts w:ascii="Traditional Arabic" w:hAnsi="Traditional Arabic" w:cs="Traditional Arabic"/>
          <w:sz w:val="32"/>
          <w:szCs w:val="32"/>
        </w:rPr>
      </w:pPr>
      <w:r w:rsidRPr="00B94C5E">
        <w:rPr>
          <w:rFonts w:ascii="Traditional Arabic" w:hAnsi="Traditional Arabic" w:cs="Traditional Arabic"/>
          <w:sz w:val="32"/>
          <w:szCs w:val="32"/>
          <w:rtl/>
        </w:rPr>
        <w:t xml:space="preserve">كيف ساهمت أدوات الذكاء الاصطناعي في تحسين كفاءة ممارساتكم التسويقية الرقمية وتحقيق رضا العملاء؟ </w:t>
      </w:r>
    </w:p>
    <w:p w14:paraId="1F6FE66C" w14:textId="77777777" w:rsidR="00B94C5E" w:rsidRPr="00B94C5E" w:rsidRDefault="00B94C5E" w:rsidP="00B94C5E">
      <w:pPr>
        <w:numPr>
          <w:ilvl w:val="0"/>
          <w:numId w:val="17"/>
        </w:numPr>
        <w:bidi/>
        <w:spacing w:after="0" w:line="240" w:lineRule="auto"/>
        <w:jc w:val="both"/>
        <w:rPr>
          <w:rFonts w:ascii="Traditional Arabic" w:hAnsi="Traditional Arabic" w:cs="Traditional Arabic"/>
          <w:sz w:val="32"/>
          <w:szCs w:val="32"/>
        </w:rPr>
      </w:pPr>
      <w:r w:rsidRPr="00B94C5E">
        <w:rPr>
          <w:rFonts w:ascii="Traditional Arabic" w:hAnsi="Traditional Arabic" w:cs="Traditional Arabic"/>
          <w:sz w:val="32"/>
          <w:szCs w:val="32"/>
          <w:rtl/>
        </w:rPr>
        <w:t xml:space="preserve">كيف انعكس تبني هذه التقنيات بصورة ملموسة على العائد على الاستثمار والأداء التسويقي العام للشركة؟ </w:t>
      </w:r>
    </w:p>
    <w:p w14:paraId="22E78D09" w14:textId="77777777" w:rsidR="00B94C5E" w:rsidRPr="00B94C5E" w:rsidRDefault="00B94C5E" w:rsidP="00B94C5E">
      <w:pPr>
        <w:bidi/>
        <w:spacing w:after="0" w:line="240" w:lineRule="auto"/>
        <w:rPr>
          <w:rFonts w:ascii="Traditional Arabic" w:hAnsi="Traditional Arabic" w:cs="Traditional Arabic"/>
          <w:b/>
          <w:bCs/>
          <w:sz w:val="32"/>
          <w:szCs w:val="32"/>
        </w:rPr>
      </w:pPr>
      <w:r w:rsidRPr="00B94C5E">
        <w:rPr>
          <w:rFonts w:ascii="Traditional Arabic" w:hAnsi="Traditional Arabic" w:cs="Traditional Arabic"/>
          <w:b/>
          <w:bCs/>
          <w:sz w:val="32"/>
          <w:szCs w:val="32"/>
          <w:rtl/>
        </w:rPr>
        <w:t>الاعتبارات الأخلاقية للدراسة</w:t>
      </w:r>
      <w:r>
        <w:rPr>
          <w:rFonts w:ascii="Traditional Arabic" w:hAnsi="Traditional Arabic" w:cs="Traditional Arabic" w:hint="cs"/>
          <w:b/>
          <w:bCs/>
          <w:sz w:val="32"/>
          <w:szCs w:val="32"/>
          <w:rtl/>
        </w:rPr>
        <w:t xml:space="preserve"> </w:t>
      </w:r>
      <w:r w:rsidRPr="00B94C5E">
        <w:rPr>
          <w:rFonts w:ascii="Traditional Arabic" w:hAnsi="Traditional Arabic" w:cs="Traditional Arabic"/>
          <w:b/>
          <w:bCs/>
          <w:sz w:val="32"/>
          <w:szCs w:val="32"/>
        </w:rPr>
        <w:t xml:space="preserve"> (Ethical Considerations)</w:t>
      </w:r>
    </w:p>
    <w:p w14:paraId="281A56E8" w14:textId="77777777" w:rsidR="00B94C5E" w:rsidRPr="00A435E0" w:rsidRDefault="00A435E0" w:rsidP="00A435E0">
      <w:pPr>
        <w:bidi/>
        <w:spacing w:after="0" w:line="24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أ</w:t>
      </w:r>
      <w:r w:rsidR="00B94C5E" w:rsidRPr="00A435E0">
        <w:rPr>
          <w:rFonts w:ascii="Traditional Arabic" w:hAnsi="Traditional Arabic" w:cs="Traditional Arabic"/>
          <w:sz w:val="32"/>
          <w:szCs w:val="32"/>
          <w:rtl/>
        </w:rPr>
        <w:t>لتزم بكافة المعايير والضوابط الأخلاقية المتبعة في البحث العلمي لجامعة ميدأوشن، والتي تشتمل على ما يلي</w:t>
      </w:r>
      <w:r w:rsidR="00B94C5E" w:rsidRPr="00A435E0">
        <w:rPr>
          <w:rFonts w:ascii="Traditional Arabic" w:hAnsi="Traditional Arabic" w:cs="Traditional Arabic"/>
          <w:sz w:val="32"/>
          <w:szCs w:val="32"/>
        </w:rPr>
        <w:t xml:space="preserve">: </w:t>
      </w:r>
    </w:p>
    <w:p w14:paraId="1584C472" w14:textId="77777777" w:rsidR="00B94C5E" w:rsidRPr="00A435E0" w:rsidRDefault="00B94C5E" w:rsidP="00A435E0">
      <w:pPr>
        <w:numPr>
          <w:ilvl w:val="0"/>
          <w:numId w:val="18"/>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الموافقة المستنيرة</w:t>
      </w:r>
      <w:r w:rsidRPr="00A435E0">
        <w:rPr>
          <w:rFonts w:ascii="Traditional Arabic" w:hAnsi="Traditional Arabic" w:cs="Traditional Arabic"/>
          <w:sz w:val="32"/>
          <w:szCs w:val="32"/>
        </w:rPr>
        <w:t xml:space="preserve"> (Informed Consent): </w:t>
      </w:r>
      <w:r w:rsidRPr="00A435E0">
        <w:rPr>
          <w:rFonts w:ascii="Traditional Arabic" w:hAnsi="Traditional Arabic" w:cs="Traditional Arabic"/>
          <w:sz w:val="32"/>
          <w:szCs w:val="32"/>
          <w:rtl/>
        </w:rPr>
        <w:t>تم إبلاغ جميع المشاركين (في الاستبيان والمقابلات) بطبيعة الدراسة وأهدافها، وأخذ موافقتهم الطوعية الصريحة قبل البدء بالجمع</w:t>
      </w:r>
      <w:r w:rsidRPr="00A435E0">
        <w:rPr>
          <w:rFonts w:ascii="Traditional Arabic" w:hAnsi="Traditional Arabic" w:cs="Traditional Arabic"/>
          <w:sz w:val="32"/>
          <w:szCs w:val="32"/>
        </w:rPr>
        <w:t xml:space="preserve">. </w:t>
      </w:r>
    </w:p>
    <w:p w14:paraId="21710BCD" w14:textId="77777777" w:rsidR="00B94C5E" w:rsidRPr="00A435E0" w:rsidRDefault="00B94C5E" w:rsidP="00A435E0">
      <w:pPr>
        <w:numPr>
          <w:ilvl w:val="0"/>
          <w:numId w:val="18"/>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السرية والخصوصية</w:t>
      </w:r>
      <w:r w:rsidRPr="00A435E0">
        <w:rPr>
          <w:rFonts w:ascii="Traditional Arabic" w:hAnsi="Traditional Arabic" w:cs="Traditional Arabic"/>
          <w:sz w:val="32"/>
          <w:szCs w:val="32"/>
        </w:rPr>
        <w:t xml:space="preserve"> (Confidentiality &amp; Anonymity): </w:t>
      </w:r>
      <w:r w:rsidRPr="00A435E0">
        <w:rPr>
          <w:rFonts w:ascii="Traditional Arabic" w:hAnsi="Traditional Arabic" w:cs="Traditional Arabic"/>
          <w:sz w:val="32"/>
          <w:szCs w:val="32"/>
          <w:rtl/>
        </w:rPr>
        <w:t>تم التأكيد للمشاركين على سرية بياناتهم الشخصية وبيانات شركاتهم</w:t>
      </w:r>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وتم تشفير وتجهيل كافة الأسماء وهوية الشركات واستبدالها برموز ترميزية ثنائية، وضمان عدم استخدامها إلا لأغراض البحث العلمي الصرف</w:t>
      </w:r>
      <w:r w:rsidRPr="00A435E0">
        <w:rPr>
          <w:rFonts w:ascii="Traditional Arabic" w:hAnsi="Traditional Arabic" w:cs="Traditional Arabic"/>
          <w:sz w:val="32"/>
          <w:szCs w:val="32"/>
        </w:rPr>
        <w:t xml:space="preserve">. </w:t>
      </w:r>
    </w:p>
    <w:p w14:paraId="08DE8EC5" w14:textId="77777777" w:rsidR="00A435E0" w:rsidRDefault="00B94C5E" w:rsidP="00A435E0">
      <w:pPr>
        <w:numPr>
          <w:ilvl w:val="0"/>
          <w:numId w:val="18"/>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حرية الانسحاب</w:t>
      </w:r>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كُفل للمشاركين الحق المطلق في الانسحاب من تعبئة الاستبيان أو عدم استكمال المقابلة في أي وقت دون إبداء أي أسباب</w:t>
      </w:r>
      <w:r w:rsidRPr="00A435E0">
        <w:rPr>
          <w:rFonts w:ascii="Traditional Arabic" w:hAnsi="Traditional Arabic" w:cs="Traditional Arabic"/>
          <w:sz w:val="32"/>
          <w:szCs w:val="32"/>
        </w:rPr>
        <w:t>.</w:t>
      </w:r>
    </w:p>
    <w:p w14:paraId="5D17C021" w14:textId="77777777" w:rsidR="00A435E0" w:rsidRPr="00A435E0" w:rsidRDefault="00A435E0" w:rsidP="00A435E0">
      <w:pPr>
        <w:bidi/>
        <w:spacing w:after="0" w:line="240" w:lineRule="auto"/>
        <w:jc w:val="both"/>
        <w:rPr>
          <w:rFonts w:ascii="Traditional Arabic" w:hAnsi="Traditional Arabic" w:cs="Traditional Arabic"/>
          <w:sz w:val="10"/>
          <w:szCs w:val="10"/>
          <w:rtl/>
        </w:rPr>
      </w:pPr>
    </w:p>
    <w:p w14:paraId="7332A467" w14:textId="77777777" w:rsidR="00B94C5E" w:rsidRPr="00A435E0" w:rsidRDefault="00B94C5E" w:rsidP="00A435E0">
      <w:p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b/>
          <w:bCs/>
          <w:sz w:val="32"/>
          <w:szCs w:val="32"/>
          <w:rtl/>
        </w:rPr>
        <w:t>المعالجة الإحصائية واختبار جودة النموذج</w:t>
      </w:r>
      <w:r w:rsidR="00A435E0">
        <w:rPr>
          <w:rFonts w:ascii="Traditional Arabic" w:hAnsi="Traditional Arabic" w:cs="Traditional Arabic" w:hint="cs"/>
          <w:b/>
          <w:bCs/>
          <w:sz w:val="32"/>
          <w:szCs w:val="32"/>
          <w:rtl/>
        </w:rPr>
        <w:t xml:space="preserve"> </w:t>
      </w:r>
      <w:r w:rsidRPr="00A435E0">
        <w:rPr>
          <w:rFonts w:ascii="Traditional Arabic" w:hAnsi="Traditional Arabic" w:cs="Traditional Arabic"/>
          <w:b/>
          <w:bCs/>
          <w:sz w:val="32"/>
          <w:szCs w:val="32"/>
        </w:rPr>
        <w:t xml:space="preserve"> (Statistical Analysis via SmartPLS)</w:t>
      </w:r>
    </w:p>
    <w:p w14:paraId="78D9EB44" w14:textId="77777777" w:rsidR="00B94C5E" w:rsidRPr="00A435E0" w:rsidRDefault="00B94C5E" w:rsidP="00A435E0">
      <w:pPr>
        <w:bidi/>
        <w:spacing w:after="0" w:line="240" w:lineRule="auto"/>
        <w:ind w:firstLine="720"/>
        <w:jc w:val="both"/>
        <w:rPr>
          <w:rFonts w:ascii="Traditional Arabic" w:hAnsi="Traditional Arabic" w:cs="Traditional Arabic"/>
          <w:sz w:val="32"/>
          <w:szCs w:val="32"/>
        </w:rPr>
      </w:pPr>
      <w:r w:rsidRPr="00A435E0">
        <w:rPr>
          <w:rFonts w:ascii="Traditional Arabic" w:hAnsi="Traditional Arabic" w:cs="Traditional Arabic"/>
          <w:sz w:val="32"/>
          <w:szCs w:val="32"/>
          <w:rtl/>
        </w:rPr>
        <w:t xml:space="preserve">اعتمدت الدراسة في تحليل البيانات الكمية على نمذجة المعادلات الهيكلية بالمربعات الصغرى الجزئية باستخدام برنامج </w:t>
      </w:r>
      <w:r w:rsidRPr="00A435E0">
        <w:rPr>
          <w:rFonts w:ascii="Traditional Arabic" w:hAnsi="Traditional Arabic" w:cs="Traditional Arabic"/>
          <w:sz w:val="32"/>
          <w:szCs w:val="32"/>
        </w:rPr>
        <w:t>SmartPLS 4</w:t>
      </w:r>
      <w:r w:rsidRPr="00A435E0">
        <w:rPr>
          <w:rFonts w:ascii="Traditional Arabic" w:hAnsi="Traditional Arabic" w:cs="Traditional Arabic"/>
          <w:sz w:val="32"/>
          <w:szCs w:val="32"/>
          <w:rtl/>
        </w:rPr>
        <w:t>، نظراً لقدرته العالية على معالجة النماذج المعقدة التي تشمل علاقات وساطة بكفاءة ودقة</w:t>
      </w:r>
      <w:r w:rsidRPr="00A435E0">
        <w:rPr>
          <w:rFonts w:ascii="Traditional Arabic" w:hAnsi="Traditional Arabic" w:cs="Traditional Arabic"/>
          <w:sz w:val="32"/>
          <w:szCs w:val="32"/>
        </w:rPr>
        <w:t xml:space="preserve"> (Hair et al., 2022). </w:t>
      </w:r>
      <w:r w:rsidR="00A435E0" w:rsidRPr="00A435E0">
        <w:rPr>
          <w:rFonts w:ascii="Traditional Arabic" w:hAnsi="Traditional Arabic" w:cs="Traditional Arabic" w:hint="cs"/>
          <w:sz w:val="32"/>
          <w:szCs w:val="32"/>
          <w:rtl/>
        </w:rPr>
        <w:t xml:space="preserve"> </w:t>
      </w:r>
      <w:r w:rsidRPr="00A435E0">
        <w:rPr>
          <w:rFonts w:ascii="Traditional Arabic" w:hAnsi="Traditional Arabic" w:cs="Traditional Arabic"/>
          <w:sz w:val="32"/>
          <w:szCs w:val="32"/>
          <w:rtl/>
        </w:rPr>
        <w:t>لتلافي التداخل المنهجي، تم تصنيف وترتيب التحليلات والقياسات على النحو الصارم التالي</w:t>
      </w:r>
      <w:r w:rsidRPr="00A435E0">
        <w:rPr>
          <w:rFonts w:ascii="Traditional Arabic" w:hAnsi="Traditional Arabic" w:cs="Traditional Arabic"/>
          <w:sz w:val="32"/>
          <w:szCs w:val="32"/>
        </w:rPr>
        <w:t>:</w:t>
      </w:r>
    </w:p>
    <w:p w14:paraId="5B23869D" w14:textId="77777777" w:rsidR="00B94C5E" w:rsidRPr="00A435E0" w:rsidRDefault="00B94C5E" w:rsidP="00A435E0">
      <w:pPr>
        <w:pStyle w:val="a6"/>
        <w:numPr>
          <w:ilvl w:val="0"/>
          <w:numId w:val="9"/>
        </w:numPr>
        <w:bidi/>
        <w:spacing w:after="0" w:line="240" w:lineRule="auto"/>
        <w:rPr>
          <w:rFonts w:ascii="Traditional Arabic" w:hAnsi="Traditional Arabic" w:cs="Traditional Arabic"/>
          <w:b/>
          <w:bCs/>
          <w:sz w:val="32"/>
          <w:szCs w:val="32"/>
        </w:rPr>
      </w:pPr>
      <w:r w:rsidRPr="00A435E0">
        <w:rPr>
          <w:rFonts w:ascii="Traditional Arabic" w:hAnsi="Traditional Arabic" w:cs="Traditional Arabic"/>
          <w:b/>
          <w:bCs/>
          <w:sz w:val="32"/>
          <w:szCs w:val="32"/>
          <w:rtl/>
        </w:rPr>
        <w:t>اختبار تحيز الطريقة المشتركة</w:t>
      </w:r>
      <w:r w:rsidR="00A435E0">
        <w:rPr>
          <w:rFonts w:ascii="Traditional Arabic" w:hAnsi="Traditional Arabic" w:cs="Traditional Arabic" w:hint="cs"/>
          <w:b/>
          <w:bCs/>
          <w:sz w:val="32"/>
          <w:szCs w:val="32"/>
          <w:rtl/>
        </w:rPr>
        <w:t xml:space="preserve"> </w:t>
      </w:r>
      <w:r w:rsidRPr="00A435E0">
        <w:rPr>
          <w:rFonts w:ascii="Traditional Arabic" w:hAnsi="Traditional Arabic" w:cs="Traditional Arabic"/>
          <w:b/>
          <w:bCs/>
          <w:sz w:val="32"/>
          <w:szCs w:val="32"/>
        </w:rPr>
        <w:t xml:space="preserve"> (Common Method Bias)</w:t>
      </w:r>
    </w:p>
    <w:p w14:paraId="7CF01910" w14:textId="77777777" w:rsidR="00B94C5E" w:rsidRPr="00A435E0" w:rsidRDefault="00B94C5E" w:rsidP="002D0103">
      <w:pPr>
        <w:bidi/>
        <w:spacing w:after="0" w:line="240" w:lineRule="auto"/>
        <w:ind w:firstLine="720"/>
        <w:jc w:val="both"/>
        <w:rPr>
          <w:rFonts w:ascii="Traditional Arabic" w:hAnsi="Traditional Arabic" w:cs="Traditional Arabic"/>
          <w:sz w:val="32"/>
          <w:szCs w:val="32"/>
        </w:rPr>
      </w:pPr>
      <w:r w:rsidRPr="00A435E0">
        <w:rPr>
          <w:rFonts w:ascii="Traditional Arabic" w:hAnsi="Traditional Arabic" w:cs="Traditional Arabic"/>
          <w:sz w:val="32"/>
          <w:szCs w:val="32"/>
          <w:rtl/>
        </w:rPr>
        <w:t>نظراً لأن البيانات تم جمعها بالاعتماد على أداة استبيان واحدة ذاتية التقرير، وجب التحقق من خلو البيانات من تحيز الطريقة المشتركة باستخدام اختبار التضخم المتعدد القطاعي الكامل</w:t>
      </w:r>
      <w:r w:rsidRPr="00A435E0">
        <w:rPr>
          <w:rFonts w:ascii="Traditional Arabic" w:hAnsi="Traditional Arabic" w:cs="Traditional Arabic"/>
          <w:sz w:val="32"/>
          <w:szCs w:val="32"/>
        </w:rPr>
        <w:t xml:space="preserve"> (Full Collinearity VIF Test) (Kock, 2015). </w:t>
      </w:r>
      <w:r w:rsidRPr="00A435E0">
        <w:rPr>
          <w:rFonts w:ascii="Traditional Arabic" w:hAnsi="Traditional Arabic" w:cs="Traditional Arabic"/>
          <w:sz w:val="32"/>
          <w:szCs w:val="32"/>
          <w:rtl/>
        </w:rPr>
        <w:t>ويشترط هذا الاختبار أن تكون قيم معامل تضخم التباين</w:t>
      </w:r>
      <w:r w:rsidRPr="00A435E0">
        <w:rPr>
          <w:rFonts w:ascii="Traditional Arabic" w:hAnsi="Traditional Arabic" w:cs="Traditional Arabic"/>
          <w:sz w:val="32"/>
          <w:szCs w:val="32"/>
        </w:rPr>
        <w:t xml:space="preserve"> (VIF) </w:t>
      </w:r>
      <w:r w:rsidRPr="00A435E0">
        <w:rPr>
          <w:rFonts w:ascii="Traditional Arabic" w:hAnsi="Traditional Arabic" w:cs="Traditional Arabic"/>
          <w:sz w:val="32"/>
          <w:szCs w:val="32"/>
          <w:rtl/>
        </w:rPr>
        <w:t xml:space="preserve">لجميع </w:t>
      </w:r>
      <w:r w:rsidRPr="00A435E0">
        <w:rPr>
          <w:rFonts w:ascii="Traditional Arabic" w:hAnsi="Traditional Arabic" w:cs="Traditional Arabic"/>
          <w:sz w:val="32"/>
          <w:szCs w:val="32"/>
          <w:rtl/>
        </w:rPr>
        <w:lastRenderedPageBreak/>
        <w:t xml:space="preserve">متغيرات النموذج البنائي أقل من العتبة الحرجة </w:t>
      </w:r>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لضمان خلو البيانات من التحيز المنهجي المشترك</w:t>
      </w:r>
      <w:r w:rsidRPr="00A435E0">
        <w:rPr>
          <w:rFonts w:ascii="Traditional Arabic" w:hAnsi="Traditional Arabic" w:cs="Traditional Arabic"/>
          <w:sz w:val="32"/>
          <w:szCs w:val="32"/>
        </w:rPr>
        <w:t xml:space="preserve"> (Podsakoff et al., 2012). </w:t>
      </w:r>
    </w:p>
    <w:p w14:paraId="21FE6776" w14:textId="77777777" w:rsidR="00B94C5E" w:rsidRPr="00A435E0" w:rsidRDefault="00B94C5E" w:rsidP="00A435E0">
      <w:pPr>
        <w:pStyle w:val="a6"/>
        <w:numPr>
          <w:ilvl w:val="0"/>
          <w:numId w:val="9"/>
        </w:numPr>
        <w:bidi/>
        <w:spacing w:after="0" w:line="240" w:lineRule="auto"/>
        <w:rPr>
          <w:rFonts w:ascii="Traditional Arabic" w:hAnsi="Traditional Arabic" w:cs="Traditional Arabic"/>
          <w:b/>
          <w:bCs/>
          <w:sz w:val="32"/>
          <w:szCs w:val="32"/>
        </w:rPr>
      </w:pPr>
      <w:r w:rsidRPr="00A435E0">
        <w:rPr>
          <w:rFonts w:ascii="Traditional Arabic" w:hAnsi="Traditional Arabic" w:cs="Traditional Arabic"/>
          <w:b/>
          <w:bCs/>
          <w:sz w:val="32"/>
          <w:szCs w:val="32"/>
          <w:rtl/>
        </w:rPr>
        <w:t>اختبار نموذج القياس</w:t>
      </w:r>
      <w:r w:rsidRPr="00A435E0">
        <w:rPr>
          <w:rFonts w:ascii="Traditional Arabic" w:hAnsi="Traditional Arabic" w:cs="Traditional Arabic"/>
          <w:b/>
          <w:bCs/>
          <w:sz w:val="32"/>
          <w:szCs w:val="32"/>
        </w:rPr>
        <w:t xml:space="preserve"> (Measurement Model Assessment - Outer Model)</w:t>
      </w:r>
    </w:p>
    <w:p w14:paraId="37D3DC08" w14:textId="77777777" w:rsidR="00B94C5E" w:rsidRPr="00A435E0" w:rsidRDefault="00B94C5E" w:rsidP="00A435E0">
      <w:pPr>
        <w:bidi/>
        <w:spacing w:after="0" w:line="240" w:lineRule="auto"/>
        <w:ind w:firstLine="720"/>
        <w:jc w:val="both"/>
        <w:rPr>
          <w:rFonts w:ascii="Traditional Arabic" w:hAnsi="Traditional Arabic" w:cs="Traditional Arabic"/>
          <w:sz w:val="32"/>
          <w:szCs w:val="32"/>
        </w:rPr>
      </w:pPr>
      <w:r w:rsidRPr="00A435E0">
        <w:rPr>
          <w:rFonts w:ascii="Traditional Arabic" w:hAnsi="Traditional Arabic" w:cs="Traditional Arabic"/>
          <w:sz w:val="32"/>
          <w:szCs w:val="32"/>
          <w:rtl/>
        </w:rPr>
        <w:t>قبل اختبار الفرضيات، تم تقييم نموذج القياس للتأكد من الصدق والثبات للفقرات والمتغيرات وفقاً للخطوات التالية</w:t>
      </w:r>
      <w:r w:rsidRPr="00A435E0">
        <w:rPr>
          <w:rFonts w:ascii="Traditional Arabic" w:hAnsi="Traditional Arabic" w:cs="Traditional Arabic"/>
          <w:sz w:val="32"/>
          <w:szCs w:val="32"/>
        </w:rPr>
        <w:t xml:space="preserve">: </w:t>
      </w:r>
    </w:p>
    <w:p w14:paraId="55ACE14B" w14:textId="77777777" w:rsidR="00B94C5E" w:rsidRPr="00A435E0" w:rsidRDefault="00B94C5E" w:rsidP="00A435E0">
      <w:pPr>
        <w:pStyle w:val="a6"/>
        <w:numPr>
          <w:ilvl w:val="0"/>
          <w:numId w:val="24"/>
        </w:numPr>
        <w:bidi/>
        <w:spacing w:after="0" w:line="240" w:lineRule="auto"/>
        <w:rPr>
          <w:rFonts w:ascii="Traditional Arabic" w:hAnsi="Traditional Arabic" w:cs="Traditional Arabic"/>
          <w:b/>
          <w:bCs/>
          <w:sz w:val="32"/>
          <w:szCs w:val="32"/>
        </w:rPr>
      </w:pPr>
      <w:r w:rsidRPr="00A435E0">
        <w:rPr>
          <w:rFonts w:ascii="Traditional Arabic" w:hAnsi="Traditional Arabic" w:cs="Traditional Arabic"/>
          <w:b/>
          <w:bCs/>
          <w:sz w:val="32"/>
          <w:szCs w:val="32"/>
          <w:rtl/>
        </w:rPr>
        <w:t xml:space="preserve"> الثبات والاتساق الداخلي</w:t>
      </w:r>
      <w:r w:rsidRPr="00A435E0">
        <w:rPr>
          <w:rFonts w:ascii="Traditional Arabic" w:hAnsi="Traditional Arabic" w:cs="Traditional Arabic"/>
          <w:b/>
          <w:bCs/>
          <w:sz w:val="32"/>
          <w:szCs w:val="32"/>
        </w:rPr>
        <w:t xml:space="preserve"> (Reliability):</w:t>
      </w:r>
    </w:p>
    <w:p w14:paraId="644BD189" w14:textId="77777777" w:rsidR="00B94C5E" w:rsidRPr="00A435E0" w:rsidRDefault="00B94C5E" w:rsidP="00A435E0">
      <w:pPr>
        <w:numPr>
          <w:ilvl w:val="0"/>
          <w:numId w:val="19"/>
        </w:numPr>
        <w:bidi/>
        <w:spacing w:after="0" w:line="240" w:lineRule="auto"/>
        <w:jc w:val="both"/>
        <w:rPr>
          <w:rFonts w:ascii="Traditional Arabic" w:hAnsi="Traditional Arabic" w:cs="Traditional Arabic"/>
          <w:sz w:val="28"/>
          <w:szCs w:val="28"/>
        </w:rPr>
      </w:pPr>
      <w:r w:rsidRPr="00A435E0">
        <w:rPr>
          <w:rFonts w:ascii="Traditional Arabic" w:hAnsi="Traditional Arabic" w:cs="Traditional Arabic"/>
          <w:sz w:val="28"/>
          <w:szCs w:val="28"/>
          <w:rtl/>
        </w:rPr>
        <w:t>معامل ألفا كرونباخ</w:t>
      </w:r>
      <w:r w:rsidRPr="00A435E0">
        <w:rPr>
          <w:rFonts w:ascii="Traditional Arabic" w:hAnsi="Traditional Arabic" w:cs="Traditional Arabic"/>
          <w:sz w:val="28"/>
          <w:szCs w:val="28"/>
        </w:rPr>
        <w:t xml:space="preserve"> (Cronbach’s Alpha): </w:t>
      </w:r>
      <w:r w:rsidRPr="00A435E0">
        <w:rPr>
          <w:rFonts w:ascii="Traditional Arabic" w:hAnsi="Traditional Arabic" w:cs="Traditional Arabic"/>
          <w:sz w:val="28"/>
          <w:szCs w:val="28"/>
          <w:rtl/>
        </w:rPr>
        <w:t>ويشترط أن تكون قيمته لجميع المتغيرات أكبر من</w:t>
      </w:r>
      <w:r w:rsidR="00A435E0" w:rsidRPr="00A435E0">
        <w:rPr>
          <w:rFonts w:ascii="Traditional Arabic" w:hAnsi="Traditional Arabic" w:cs="Traditional Arabic"/>
          <w:sz w:val="28"/>
          <w:szCs w:val="28"/>
          <w:rtl/>
        </w:rPr>
        <w:t>0.70</w:t>
      </w:r>
      <w:r w:rsidR="00A435E0">
        <w:rPr>
          <w:rFonts w:ascii="Traditional Arabic" w:hAnsi="Traditional Arabic" w:cs="Traditional Arabic" w:hint="cs"/>
          <w:sz w:val="28"/>
          <w:szCs w:val="28"/>
          <w:rtl/>
        </w:rPr>
        <w:t>.</w:t>
      </w:r>
      <w:r w:rsidRPr="00A435E0">
        <w:rPr>
          <w:rFonts w:ascii="Traditional Arabic" w:hAnsi="Traditional Arabic" w:cs="Traditional Arabic"/>
          <w:sz w:val="28"/>
          <w:szCs w:val="28"/>
        </w:rPr>
        <w:t xml:space="preserve"> </w:t>
      </w:r>
    </w:p>
    <w:p w14:paraId="4BB26610" w14:textId="77777777" w:rsidR="00B94C5E" w:rsidRPr="00A435E0" w:rsidRDefault="00B94C5E" w:rsidP="00A435E0">
      <w:pPr>
        <w:numPr>
          <w:ilvl w:val="0"/>
          <w:numId w:val="19"/>
        </w:numPr>
        <w:bidi/>
        <w:spacing w:after="0" w:line="240" w:lineRule="auto"/>
        <w:jc w:val="both"/>
        <w:rPr>
          <w:rFonts w:ascii="Traditional Arabic" w:hAnsi="Traditional Arabic" w:cs="Traditional Arabic"/>
          <w:sz w:val="28"/>
          <w:szCs w:val="28"/>
        </w:rPr>
      </w:pPr>
      <w:r w:rsidRPr="00A435E0">
        <w:rPr>
          <w:rFonts w:ascii="Traditional Arabic" w:hAnsi="Traditional Arabic" w:cs="Traditional Arabic"/>
          <w:sz w:val="28"/>
          <w:szCs w:val="28"/>
          <w:rtl/>
        </w:rPr>
        <w:t>الموثوقية التركيبية</w:t>
      </w:r>
      <w:r w:rsidRPr="00A435E0">
        <w:rPr>
          <w:rFonts w:ascii="Traditional Arabic" w:hAnsi="Traditional Arabic" w:cs="Traditional Arabic"/>
          <w:sz w:val="28"/>
          <w:szCs w:val="28"/>
        </w:rPr>
        <w:t xml:space="preserve"> (Composite Reliability - CR): </w:t>
      </w:r>
      <w:r w:rsidRPr="00A435E0">
        <w:rPr>
          <w:rFonts w:ascii="Traditional Arabic" w:hAnsi="Traditional Arabic" w:cs="Traditional Arabic"/>
          <w:sz w:val="28"/>
          <w:szCs w:val="28"/>
          <w:rtl/>
        </w:rPr>
        <w:t>لضمان الاتساق الداخلي للمؤشرات، ويجب أن تتجاوز قيمتها</w:t>
      </w:r>
      <w:r w:rsidR="00A435E0" w:rsidRPr="00A435E0">
        <w:rPr>
          <w:rFonts w:ascii="Traditional Arabic" w:hAnsi="Traditional Arabic" w:cs="Traditional Arabic"/>
          <w:sz w:val="28"/>
          <w:szCs w:val="28"/>
        </w:rPr>
        <w:t xml:space="preserve">0.70 </w:t>
      </w:r>
      <w:r w:rsidRPr="00A435E0">
        <w:rPr>
          <w:rFonts w:ascii="Traditional Arabic" w:hAnsi="Traditional Arabic" w:cs="Traditional Arabic"/>
          <w:sz w:val="28"/>
          <w:szCs w:val="28"/>
          <w:rtl/>
        </w:rPr>
        <w:t xml:space="preserve"> </w:t>
      </w:r>
      <w:r w:rsidRPr="00A435E0">
        <w:rPr>
          <w:rFonts w:ascii="Traditional Arabic" w:hAnsi="Traditional Arabic" w:cs="Traditional Arabic"/>
          <w:sz w:val="28"/>
          <w:szCs w:val="28"/>
        </w:rPr>
        <w:t xml:space="preserve">(Hair et al., 2022). </w:t>
      </w:r>
    </w:p>
    <w:p w14:paraId="16023FDE" w14:textId="77777777" w:rsidR="00B94C5E" w:rsidRPr="00A435E0" w:rsidRDefault="00B94C5E" w:rsidP="00A435E0">
      <w:pPr>
        <w:pStyle w:val="a6"/>
        <w:numPr>
          <w:ilvl w:val="0"/>
          <w:numId w:val="24"/>
        </w:numPr>
        <w:bidi/>
        <w:spacing w:after="0" w:line="240" w:lineRule="auto"/>
        <w:jc w:val="both"/>
        <w:rPr>
          <w:rFonts w:ascii="Traditional Arabic" w:hAnsi="Traditional Arabic" w:cs="Traditional Arabic"/>
          <w:b/>
          <w:bCs/>
          <w:sz w:val="32"/>
          <w:szCs w:val="32"/>
        </w:rPr>
      </w:pPr>
      <w:r w:rsidRPr="00A435E0">
        <w:rPr>
          <w:rFonts w:ascii="Traditional Arabic" w:hAnsi="Traditional Arabic" w:cs="Traditional Arabic"/>
          <w:b/>
          <w:bCs/>
          <w:sz w:val="32"/>
          <w:szCs w:val="32"/>
          <w:rtl/>
        </w:rPr>
        <w:t xml:space="preserve"> الصدق التقاربي</w:t>
      </w:r>
      <w:r w:rsidRPr="00A435E0">
        <w:rPr>
          <w:rFonts w:ascii="Traditional Arabic" w:hAnsi="Traditional Arabic" w:cs="Traditional Arabic"/>
          <w:b/>
          <w:bCs/>
          <w:sz w:val="32"/>
          <w:szCs w:val="32"/>
        </w:rPr>
        <w:t xml:space="preserve"> (Convergent Validity):</w:t>
      </w:r>
    </w:p>
    <w:p w14:paraId="6F58E922" w14:textId="77777777" w:rsidR="00B94C5E" w:rsidRPr="00A435E0" w:rsidRDefault="00B94C5E" w:rsidP="00A435E0">
      <w:pPr>
        <w:numPr>
          <w:ilvl w:val="0"/>
          <w:numId w:val="20"/>
        </w:numPr>
        <w:bidi/>
        <w:spacing w:after="0" w:line="240" w:lineRule="auto"/>
        <w:jc w:val="both"/>
        <w:rPr>
          <w:rFonts w:ascii="Traditional Arabic" w:hAnsi="Traditional Arabic" w:cs="Traditional Arabic"/>
          <w:sz w:val="28"/>
          <w:szCs w:val="28"/>
        </w:rPr>
      </w:pPr>
      <w:r w:rsidRPr="00A435E0">
        <w:rPr>
          <w:rFonts w:ascii="Traditional Arabic" w:hAnsi="Traditional Arabic" w:cs="Traditional Arabic"/>
          <w:sz w:val="28"/>
          <w:szCs w:val="28"/>
          <w:rtl/>
        </w:rPr>
        <w:t>متوسط التباين المستخرج</w:t>
      </w:r>
      <w:r w:rsidRPr="00A435E0">
        <w:rPr>
          <w:rFonts w:ascii="Traditional Arabic" w:hAnsi="Traditional Arabic" w:cs="Traditional Arabic"/>
          <w:sz w:val="28"/>
          <w:szCs w:val="28"/>
        </w:rPr>
        <w:t xml:space="preserve"> (Average Variance Extracted - AVE): </w:t>
      </w:r>
      <w:r w:rsidRPr="00A435E0">
        <w:rPr>
          <w:rFonts w:ascii="Traditional Arabic" w:hAnsi="Traditional Arabic" w:cs="Traditional Arabic"/>
          <w:sz w:val="28"/>
          <w:szCs w:val="28"/>
          <w:rtl/>
        </w:rPr>
        <w:t>لقياس مدى تمثيل الفقرات للمتغير الكامن الخاص بها، ويجب أن تتجاوز قيمته لجميع المتغيرات عتبة الـ</w:t>
      </w:r>
      <w:r w:rsidR="00A435E0" w:rsidRPr="00A435E0">
        <w:rPr>
          <w:rFonts w:ascii="Traditional Arabic" w:hAnsi="Traditional Arabic" w:cs="Traditional Arabic"/>
          <w:sz w:val="28"/>
          <w:szCs w:val="28"/>
          <w:rtl/>
        </w:rPr>
        <w:t xml:space="preserve">0.50 </w:t>
      </w:r>
      <w:r w:rsidRPr="00A435E0">
        <w:rPr>
          <w:rFonts w:ascii="Traditional Arabic" w:hAnsi="Traditional Arabic" w:cs="Traditional Arabic"/>
          <w:sz w:val="28"/>
          <w:szCs w:val="28"/>
          <w:rtl/>
        </w:rPr>
        <w:t xml:space="preserve"> </w:t>
      </w:r>
      <w:r w:rsidRPr="00A435E0">
        <w:rPr>
          <w:rFonts w:ascii="Traditional Arabic" w:hAnsi="Traditional Arabic" w:cs="Traditional Arabic"/>
          <w:sz w:val="28"/>
          <w:szCs w:val="28"/>
        </w:rPr>
        <w:t xml:space="preserve">(Fornell &amp; Larcker, 1981). </w:t>
      </w:r>
    </w:p>
    <w:p w14:paraId="40F4B41D" w14:textId="77777777" w:rsidR="00B94C5E" w:rsidRPr="00B94C5E" w:rsidRDefault="00A435E0" w:rsidP="00A435E0">
      <w:pPr>
        <w:pStyle w:val="a6"/>
        <w:numPr>
          <w:ilvl w:val="0"/>
          <w:numId w:val="24"/>
        </w:numPr>
        <w:bidi/>
        <w:spacing w:after="0" w:line="24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w:t>
      </w:r>
      <w:r w:rsidR="00B94C5E" w:rsidRPr="00B94C5E">
        <w:rPr>
          <w:rFonts w:ascii="Traditional Arabic" w:hAnsi="Traditional Arabic" w:cs="Traditional Arabic"/>
          <w:b/>
          <w:bCs/>
          <w:sz w:val="32"/>
          <w:szCs w:val="32"/>
          <w:rtl/>
        </w:rPr>
        <w:t>الصدق التمييزي</w:t>
      </w:r>
      <w:r w:rsidR="00B94C5E" w:rsidRPr="00B94C5E">
        <w:rPr>
          <w:rFonts w:ascii="Traditional Arabic" w:hAnsi="Traditional Arabic" w:cs="Traditional Arabic"/>
          <w:b/>
          <w:bCs/>
          <w:sz w:val="32"/>
          <w:szCs w:val="32"/>
        </w:rPr>
        <w:t xml:space="preserve"> (Discriminant Validity):</w:t>
      </w:r>
    </w:p>
    <w:p w14:paraId="06AE92A2" w14:textId="77777777" w:rsidR="00B94C5E" w:rsidRPr="00A435E0" w:rsidRDefault="00B94C5E" w:rsidP="00A435E0">
      <w:pPr>
        <w:bidi/>
        <w:spacing w:after="0" w:line="240" w:lineRule="auto"/>
        <w:jc w:val="both"/>
        <w:rPr>
          <w:rFonts w:ascii="Traditional Arabic" w:hAnsi="Traditional Arabic" w:cs="Traditional Arabic"/>
          <w:sz w:val="28"/>
          <w:szCs w:val="28"/>
        </w:rPr>
      </w:pPr>
      <w:r w:rsidRPr="00A435E0">
        <w:rPr>
          <w:rFonts w:ascii="Traditional Arabic" w:hAnsi="Traditional Arabic" w:cs="Traditional Arabic"/>
          <w:sz w:val="28"/>
          <w:szCs w:val="28"/>
          <w:rtl/>
        </w:rPr>
        <w:t>للتأكد من أن كل متغير يقيس مفهوماً مستقلاً ومتميزاً عن المتغيرات الأخرى في النموذج، تم استخدام معيارين</w:t>
      </w:r>
      <w:r w:rsidRPr="00A435E0">
        <w:rPr>
          <w:rFonts w:ascii="Traditional Arabic" w:hAnsi="Traditional Arabic" w:cs="Traditional Arabic"/>
          <w:sz w:val="28"/>
          <w:szCs w:val="28"/>
        </w:rPr>
        <w:t xml:space="preserve">: </w:t>
      </w:r>
    </w:p>
    <w:p w14:paraId="723BF903" w14:textId="77777777" w:rsidR="00B94C5E" w:rsidRPr="00A435E0" w:rsidRDefault="00B94C5E" w:rsidP="00A435E0">
      <w:pPr>
        <w:numPr>
          <w:ilvl w:val="0"/>
          <w:numId w:val="21"/>
        </w:numPr>
        <w:bidi/>
        <w:spacing w:after="0" w:line="240" w:lineRule="auto"/>
        <w:jc w:val="both"/>
        <w:rPr>
          <w:rFonts w:ascii="Traditional Arabic" w:hAnsi="Traditional Arabic" w:cs="Traditional Arabic"/>
          <w:sz w:val="28"/>
          <w:szCs w:val="28"/>
        </w:rPr>
      </w:pPr>
      <w:r w:rsidRPr="00A435E0">
        <w:rPr>
          <w:rFonts w:ascii="Traditional Arabic" w:hAnsi="Traditional Arabic" w:cs="Traditional Arabic"/>
          <w:sz w:val="28"/>
          <w:szCs w:val="28"/>
          <w:rtl/>
        </w:rPr>
        <w:t>معيار فورنل-لاركر</w:t>
      </w:r>
      <w:r w:rsidRPr="00A435E0">
        <w:rPr>
          <w:rFonts w:ascii="Traditional Arabic" w:hAnsi="Traditional Arabic" w:cs="Traditional Arabic"/>
          <w:sz w:val="28"/>
          <w:szCs w:val="28"/>
        </w:rPr>
        <w:t xml:space="preserve"> (Fornell-Larcker Criterion): </w:t>
      </w:r>
      <w:r w:rsidRPr="00A435E0">
        <w:rPr>
          <w:rFonts w:ascii="Traditional Arabic" w:hAnsi="Traditional Arabic" w:cs="Traditional Arabic"/>
          <w:sz w:val="28"/>
          <w:szCs w:val="28"/>
          <w:rtl/>
        </w:rPr>
        <w:t>حيث يشترط أن يكون الجذر التربيعي لـ</w:t>
      </w:r>
      <w:r w:rsidRPr="00A435E0">
        <w:rPr>
          <w:rFonts w:ascii="Traditional Arabic" w:hAnsi="Traditional Arabic" w:cs="Traditional Arabic"/>
          <w:sz w:val="28"/>
          <w:szCs w:val="28"/>
        </w:rPr>
        <w:t xml:space="preserve"> (AVE) </w:t>
      </w:r>
      <w:r w:rsidRPr="00A435E0">
        <w:rPr>
          <w:rFonts w:ascii="Traditional Arabic" w:hAnsi="Traditional Arabic" w:cs="Traditional Arabic"/>
          <w:sz w:val="28"/>
          <w:szCs w:val="28"/>
          <w:rtl/>
        </w:rPr>
        <w:t>لكل متغير كامن أكبر من قيم معاملات الارتباط بينه وبين أي متغير آخر في النموذج</w:t>
      </w:r>
      <w:r w:rsidRPr="00A435E0">
        <w:rPr>
          <w:rFonts w:ascii="Traditional Arabic" w:hAnsi="Traditional Arabic" w:cs="Traditional Arabic"/>
          <w:sz w:val="28"/>
          <w:szCs w:val="28"/>
        </w:rPr>
        <w:t xml:space="preserve">. </w:t>
      </w:r>
    </w:p>
    <w:p w14:paraId="01CCCFB8" w14:textId="77777777" w:rsidR="00B94C5E" w:rsidRPr="00A435E0" w:rsidRDefault="00B94C5E" w:rsidP="00A435E0">
      <w:pPr>
        <w:numPr>
          <w:ilvl w:val="0"/>
          <w:numId w:val="21"/>
        </w:numPr>
        <w:bidi/>
        <w:spacing w:after="0" w:line="240" w:lineRule="auto"/>
        <w:jc w:val="both"/>
        <w:rPr>
          <w:rFonts w:ascii="Traditional Arabic" w:hAnsi="Traditional Arabic" w:cs="Traditional Arabic"/>
          <w:sz w:val="28"/>
          <w:szCs w:val="28"/>
        </w:rPr>
      </w:pPr>
      <w:r w:rsidRPr="00A435E0">
        <w:rPr>
          <w:rFonts w:ascii="Traditional Arabic" w:hAnsi="Traditional Arabic" w:cs="Traditional Arabic"/>
          <w:sz w:val="28"/>
          <w:szCs w:val="28"/>
          <w:rtl/>
        </w:rPr>
        <w:t>نسبة هـيتيروتريت-مونوتريت</w:t>
      </w:r>
      <w:r w:rsidRPr="00A435E0">
        <w:rPr>
          <w:rFonts w:ascii="Traditional Arabic" w:hAnsi="Traditional Arabic" w:cs="Traditional Arabic"/>
          <w:sz w:val="28"/>
          <w:szCs w:val="28"/>
        </w:rPr>
        <w:t xml:space="preserve"> (Heterotrait-Monotrait Ratio - HTMT): </w:t>
      </w:r>
      <w:r w:rsidRPr="00A435E0">
        <w:rPr>
          <w:rFonts w:ascii="Traditional Arabic" w:hAnsi="Traditional Arabic" w:cs="Traditional Arabic"/>
          <w:sz w:val="28"/>
          <w:szCs w:val="28"/>
          <w:rtl/>
        </w:rPr>
        <w:t xml:space="preserve">كمعيار حديث وأكثر دقة وحساسية للكشف عن الصدق التمييزي، ويجب ألا تتجاوز قيمته عتبة الـ </w:t>
      </w:r>
      <w:r w:rsidRPr="00A435E0">
        <w:rPr>
          <w:rFonts w:ascii="Traditional Arabic" w:hAnsi="Traditional Arabic" w:cs="Traditional Arabic"/>
          <w:sz w:val="28"/>
          <w:szCs w:val="28"/>
        </w:rPr>
        <w:t xml:space="preserve">0.85 </w:t>
      </w:r>
      <w:r w:rsidRPr="00A435E0">
        <w:rPr>
          <w:rFonts w:ascii="Traditional Arabic" w:hAnsi="Traditional Arabic" w:cs="Traditional Arabic"/>
          <w:sz w:val="28"/>
          <w:szCs w:val="28"/>
          <w:rtl/>
        </w:rPr>
        <w:t>لضمان التميز الصارم بين المتغيرات</w:t>
      </w:r>
      <w:r w:rsidRPr="00A435E0">
        <w:rPr>
          <w:rFonts w:ascii="Traditional Arabic" w:hAnsi="Traditional Arabic" w:cs="Traditional Arabic"/>
          <w:sz w:val="28"/>
          <w:szCs w:val="28"/>
        </w:rPr>
        <w:t xml:space="preserve"> (Henseler et al., 2015). </w:t>
      </w:r>
    </w:p>
    <w:p w14:paraId="2949816A" w14:textId="77777777" w:rsidR="00A435E0" w:rsidRPr="00A435E0" w:rsidRDefault="00A435E0" w:rsidP="00A435E0">
      <w:pPr>
        <w:bidi/>
        <w:spacing w:after="0" w:line="240" w:lineRule="auto"/>
        <w:jc w:val="both"/>
        <w:rPr>
          <w:rFonts w:ascii="Traditional Arabic" w:hAnsi="Traditional Arabic" w:cs="Traditional Arabic"/>
          <w:b/>
          <w:bCs/>
          <w:rtl/>
        </w:rPr>
      </w:pPr>
    </w:p>
    <w:p w14:paraId="03F68280" w14:textId="77777777" w:rsidR="00B94C5E" w:rsidRPr="00B94C5E" w:rsidRDefault="00B94C5E" w:rsidP="00A435E0">
      <w:pPr>
        <w:bidi/>
        <w:spacing w:after="0" w:line="240" w:lineRule="auto"/>
        <w:rPr>
          <w:rFonts w:ascii="Traditional Arabic" w:hAnsi="Traditional Arabic" w:cs="Traditional Arabic"/>
          <w:b/>
          <w:bCs/>
          <w:sz w:val="32"/>
          <w:szCs w:val="32"/>
        </w:rPr>
      </w:pPr>
      <w:r w:rsidRPr="00B94C5E">
        <w:rPr>
          <w:rFonts w:ascii="Traditional Arabic" w:hAnsi="Traditional Arabic" w:cs="Traditional Arabic"/>
          <w:b/>
          <w:bCs/>
          <w:sz w:val="32"/>
          <w:szCs w:val="32"/>
          <w:rtl/>
        </w:rPr>
        <w:t>اختبار النموذج البنائي</w:t>
      </w:r>
      <w:r w:rsidR="00A435E0">
        <w:rPr>
          <w:rFonts w:ascii="Traditional Arabic" w:hAnsi="Traditional Arabic" w:cs="Traditional Arabic" w:hint="cs"/>
          <w:b/>
          <w:bCs/>
          <w:sz w:val="32"/>
          <w:szCs w:val="32"/>
          <w:rtl/>
        </w:rPr>
        <w:t xml:space="preserve"> </w:t>
      </w:r>
      <w:r w:rsidRPr="00B94C5E">
        <w:rPr>
          <w:rFonts w:ascii="Traditional Arabic" w:hAnsi="Traditional Arabic" w:cs="Traditional Arabic"/>
          <w:b/>
          <w:bCs/>
          <w:sz w:val="32"/>
          <w:szCs w:val="32"/>
        </w:rPr>
        <w:t xml:space="preserve"> (Structural Model Assessment - Inner Model)</w:t>
      </w:r>
    </w:p>
    <w:p w14:paraId="22F91B74" w14:textId="77777777" w:rsidR="00B94C5E" w:rsidRPr="00A435E0" w:rsidRDefault="00B94C5E" w:rsidP="00A435E0">
      <w:p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بعد التأكد من جودة وسلامة نموذج القياس، تم الانتقال إلى تقييم العلاقات السببية واختبار الفرضيات عبر المعايير والخطوات المنهجية التالية</w:t>
      </w:r>
      <w:r w:rsidRPr="00A435E0">
        <w:rPr>
          <w:rFonts w:ascii="Traditional Arabic" w:hAnsi="Traditional Arabic" w:cs="Traditional Arabic"/>
          <w:sz w:val="32"/>
          <w:szCs w:val="32"/>
        </w:rPr>
        <w:t xml:space="preserve">: </w:t>
      </w:r>
    </w:p>
    <w:p w14:paraId="499EF866" w14:textId="77777777" w:rsidR="00B94C5E" w:rsidRPr="00A435E0" w:rsidRDefault="00B94C5E" w:rsidP="00A435E0">
      <w:pPr>
        <w:numPr>
          <w:ilvl w:val="0"/>
          <w:numId w:val="22"/>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معاملات المسار</w:t>
      </w:r>
      <w:r w:rsidRPr="00A435E0">
        <w:rPr>
          <w:rFonts w:ascii="Traditional Arabic" w:hAnsi="Traditional Arabic" w:cs="Traditional Arabic"/>
          <w:sz w:val="32"/>
          <w:szCs w:val="32"/>
        </w:rPr>
        <w:t xml:space="preserve"> (</w:t>
      </w:r>
      <m:oMath>
        <m:r>
          <w:rPr>
            <w:rFonts w:ascii="Cambria Math" w:eastAsiaTheme="minorEastAsia" w:hAnsi="Cambria Math" w:cs="Traditional Arabic"/>
            <w:sz w:val="32"/>
            <w:szCs w:val="32"/>
          </w:rPr>
          <m:t>β-</m:t>
        </m:r>
      </m:oMath>
      <w:r w:rsidR="00A435E0">
        <w:rPr>
          <w:rFonts w:ascii="Traditional Arabic" w:eastAsiaTheme="minorEastAsia" w:hAnsi="Traditional Arabic" w:cs="Traditional Arabic"/>
          <w:sz w:val="32"/>
          <w:szCs w:val="32"/>
        </w:rPr>
        <w:t xml:space="preserve"> </w:t>
      </w:r>
      <w:r w:rsidRPr="00A435E0">
        <w:rPr>
          <w:rFonts w:ascii="Traditional Arabic" w:hAnsi="Traditional Arabic" w:cs="Traditional Arabic"/>
          <w:sz w:val="32"/>
          <w:szCs w:val="32"/>
        </w:rPr>
        <w:t xml:space="preserve">Path Coefficients): </w:t>
      </w:r>
      <w:r w:rsidRPr="00A435E0">
        <w:rPr>
          <w:rFonts w:ascii="Traditional Arabic" w:hAnsi="Traditional Arabic" w:cs="Traditional Arabic"/>
          <w:sz w:val="32"/>
          <w:szCs w:val="32"/>
          <w:rtl/>
        </w:rPr>
        <w:t>لتحديد اتجاه وقوة العلاقات والروابط السببية بين المتغيرات</w:t>
      </w:r>
      <w:r w:rsidRPr="00A435E0">
        <w:rPr>
          <w:rFonts w:ascii="Traditional Arabic" w:hAnsi="Traditional Arabic" w:cs="Traditional Arabic"/>
          <w:sz w:val="32"/>
          <w:szCs w:val="32"/>
        </w:rPr>
        <w:t xml:space="preserve">. </w:t>
      </w:r>
    </w:p>
    <w:p w14:paraId="72AC30ED" w14:textId="77777777" w:rsidR="00B94C5E" w:rsidRPr="00A435E0" w:rsidRDefault="00B94C5E" w:rsidP="00A435E0">
      <w:pPr>
        <w:numPr>
          <w:ilvl w:val="0"/>
          <w:numId w:val="22"/>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lastRenderedPageBreak/>
        <w:t>القيم الاحتمالية والدلالة</w:t>
      </w:r>
      <w:r w:rsidRPr="00A435E0">
        <w:rPr>
          <w:rFonts w:ascii="Traditional Arabic" w:hAnsi="Traditional Arabic" w:cs="Traditional Arabic"/>
          <w:sz w:val="32"/>
          <w:szCs w:val="32"/>
        </w:rPr>
        <w:t xml:space="preserve"> (T-statistics &amp; P-values): </w:t>
      </w:r>
      <w:r w:rsidRPr="00A435E0">
        <w:rPr>
          <w:rFonts w:ascii="Traditional Arabic" w:hAnsi="Traditional Arabic" w:cs="Traditional Arabic"/>
          <w:sz w:val="32"/>
          <w:szCs w:val="32"/>
          <w:rtl/>
        </w:rPr>
        <w:t xml:space="preserve">لتحديد الدلالة الإحصائية للعلاقات بالاعتماد على تقنية إعادة المعاينة الذاتية </w:t>
      </w:r>
      <w:r w:rsidRPr="00A435E0">
        <w:rPr>
          <w:rFonts w:ascii="Traditional Arabic" w:hAnsi="Traditional Arabic" w:cs="Traditional Arabic"/>
          <w:sz w:val="32"/>
          <w:szCs w:val="32"/>
        </w:rPr>
        <w:t xml:space="preserve">(Bootstrapping) </w:t>
      </w:r>
      <w:r w:rsidRPr="00A435E0">
        <w:rPr>
          <w:rFonts w:ascii="Traditional Arabic" w:hAnsi="Traditional Arabic" w:cs="Traditional Arabic"/>
          <w:sz w:val="32"/>
          <w:szCs w:val="32"/>
          <w:rtl/>
        </w:rPr>
        <w:t>بخمسة آلاف عينة (5000</w:t>
      </w:r>
      <w:r w:rsidRPr="00A435E0">
        <w:rPr>
          <w:rFonts w:ascii="Traditional Arabic" w:hAnsi="Traditional Arabic" w:cs="Traditional Arabic"/>
          <w:sz w:val="32"/>
          <w:szCs w:val="32"/>
        </w:rPr>
        <w:t xml:space="preserve"> subsamples). </w:t>
      </w:r>
    </w:p>
    <w:p w14:paraId="52DDE610" w14:textId="77777777" w:rsidR="00B94C5E" w:rsidRPr="00A435E0" w:rsidRDefault="00B94C5E" w:rsidP="00A435E0">
      <w:pPr>
        <w:numPr>
          <w:ilvl w:val="0"/>
          <w:numId w:val="22"/>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معامل التحديد</w:t>
      </w:r>
      <w:r w:rsidRPr="00A435E0">
        <w:rPr>
          <w:rFonts w:ascii="Traditional Arabic" w:hAnsi="Traditional Arabic" w:cs="Traditional Arabic"/>
          <w:sz w:val="32"/>
          <w:szCs w:val="32"/>
        </w:rPr>
        <w:t xml:space="preserve"> (</w:t>
      </w:r>
      <m:oMath>
        <m:sSup>
          <m:sSupPr>
            <m:ctrlPr>
              <w:rPr>
                <w:rFonts w:ascii="Cambria Math" w:hAnsi="Cambria Math" w:cs="Traditional Arabic"/>
                <w:i/>
                <w:sz w:val="32"/>
                <w:szCs w:val="32"/>
              </w:rPr>
            </m:ctrlPr>
          </m:sSupPr>
          <m:e>
            <m:r>
              <w:rPr>
                <w:rFonts w:ascii="Cambria Math" w:hAnsi="Cambria Math" w:cs="Traditional Arabic"/>
                <w:sz w:val="32"/>
                <w:szCs w:val="32"/>
              </w:rPr>
              <m:t>R</m:t>
            </m:r>
          </m:e>
          <m:sup>
            <m:r>
              <w:rPr>
                <w:rFonts w:ascii="Cambria Math" w:hAnsi="Cambria Math" w:cs="Traditional Arabic"/>
                <w:sz w:val="32"/>
                <w:szCs w:val="32"/>
              </w:rPr>
              <m:t>2</m:t>
            </m:r>
          </m:sup>
        </m:sSup>
      </m:oMath>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لمعرفة القوة التفسيرية للنموذج ونسبة التباين المفسر في المتغيرات التابعة والوسيطة</w:t>
      </w:r>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وتصنف قيمه إجمالاً إلى ضعيفة</w:t>
      </w:r>
      <w:r w:rsidRPr="00A435E0">
        <w:rPr>
          <w:rFonts w:ascii="Traditional Arabic" w:hAnsi="Traditional Arabic" w:cs="Traditional Arabic"/>
          <w:sz w:val="32"/>
          <w:szCs w:val="32"/>
        </w:rPr>
        <w:t xml:space="preserve"> (0.25)</w:t>
      </w:r>
      <w:r w:rsidRPr="00A435E0">
        <w:rPr>
          <w:rFonts w:ascii="Traditional Arabic" w:hAnsi="Traditional Arabic" w:cs="Traditional Arabic"/>
          <w:sz w:val="32"/>
          <w:szCs w:val="32"/>
          <w:rtl/>
        </w:rPr>
        <w:t>، أو متوسطة</w:t>
      </w:r>
      <w:r w:rsidRPr="00A435E0">
        <w:rPr>
          <w:rFonts w:ascii="Traditional Arabic" w:hAnsi="Traditional Arabic" w:cs="Traditional Arabic"/>
          <w:sz w:val="32"/>
          <w:szCs w:val="32"/>
        </w:rPr>
        <w:t xml:space="preserve"> (0.50)</w:t>
      </w:r>
      <w:r w:rsidRPr="00A435E0">
        <w:rPr>
          <w:rFonts w:ascii="Traditional Arabic" w:hAnsi="Traditional Arabic" w:cs="Traditional Arabic"/>
          <w:sz w:val="32"/>
          <w:szCs w:val="32"/>
          <w:rtl/>
        </w:rPr>
        <w:t>، أو قوية</w:t>
      </w:r>
      <w:r w:rsidR="00A435E0">
        <w:rPr>
          <w:rFonts w:ascii="Traditional Arabic" w:hAnsi="Traditional Arabic" w:cs="Traditional Arabic" w:hint="cs"/>
          <w:sz w:val="32"/>
          <w:szCs w:val="32"/>
          <w:rtl/>
        </w:rPr>
        <w:t xml:space="preserve"> </w:t>
      </w:r>
      <w:r w:rsidR="00A435E0" w:rsidRPr="00A435E0">
        <w:rPr>
          <w:rFonts w:ascii="Traditional Arabic" w:hAnsi="Traditional Arabic" w:cs="Traditional Arabic"/>
          <w:sz w:val="32"/>
          <w:szCs w:val="32"/>
          <w:rtl/>
        </w:rPr>
        <w:t xml:space="preserve">(0.75) </w:t>
      </w:r>
      <w:r w:rsidRPr="00A435E0">
        <w:rPr>
          <w:rFonts w:ascii="Traditional Arabic" w:hAnsi="Traditional Arabic" w:cs="Traditional Arabic"/>
          <w:sz w:val="32"/>
          <w:szCs w:val="32"/>
        </w:rPr>
        <w:t xml:space="preserve"> (Hair et al.,</w:t>
      </w:r>
      <w:r w:rsidR="00A435E0">
        <w:rPr>
          <w:rFonts w:ascii="Traditional Arabic" w:hAnsi="Traditional Arabic" w:cs="Traditional Arabic"/>
          <w:sz w:val="32"/>
          <w:szCs w:val="32"/>
        </w:rPr>
        <w:t>2019</w:t>
      </w:r>
      <w:r w:rsidRPr="00A435E0">
        <w:rPr>
          <w:rFonts w:ascii="Traditional Arabic" w:hAnsi="Traditional Arabic" w:cs="Traditional Arabic"/>
          <w:sz w:val="32"/>
          <w:szCs w:val="32"/>
        </w:rPr>
        <w:t xml:space="preserve"> </w:t>
      </w:r>
    </w:p>
    <w:p w14:paraId="25CFD84B" w14:textId="77777777" w:rsidR="00B94C5E" w:rsidRPr="00A435E0" w:rsidRDefault="00B94C5E" w:rsidP="00A435E0">
      <w:pPr>
        <w:numPr>
          <w:ilvl w:val="0"/>
          <w:numId w:val="22"/>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حجم التأثير</w:t>
      </w:r>
      <w:r w:rsidRPr="00A435E0">
        <w:rPr>
          <w:rFonts w:ascii="Traditional Arabic" w:hAnsi="Traditional Arabic" w:cs="Traditional Arabic"/>
          <w:sz w:val="32"/>
          <w:szCs w:val="32"/>
        </w:rPr>
        <w:t xml:space="preserve"> (</w:t>
      </w:r>
      <m:oMath>
        <m:sSup>
          <m:sSupPr>
            <m:ctrlPr>
              <w:rPr>
                <w:rFonts w:ascii="Cambria Math" w:hAnsi="Cambria Math" w:cs="Traditional Arabic"/>
                <w:i/>
                <w:sz w:val="32"/>
                <w:szCs w:val="32"/>
              </w:rPr>
            </m:ctrlPr>
          </m:sSupPr>
          <m:e>
            <m:r>
              <w:rPr>
                <w:rFonts w:ascii="Cambria Math" w:hAnsi="Cambria Math" w:cs="Traditional Arabic"/>
                <w:sz w:val="32"/>
                <w:szCs w:val="32"/>
              </w:rPr>
              <m:t>f</m:t>
            </m:r>
          </m:e>
          <m:sup>
            <m:r>
              <w:rPr>
                <w:rFonts w:ascii="Cambria Math" w:hAnsi="Cambria Math" w:cs="Traditional Arabic"/>
                <w:sz w:val="32"/>
                <w:szCs w:val="32"/>
              </w:rPr>
              <m:t>2</m:t>
            </m:r>
          </m:sup>
        </m:sSup>
      </m:oMath>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لتحديد مدى مساهمة وحجم تأثير كل متغير مستقل أو وسيط على المتغير التابع بشكل منفرد</w:t>
      </w:r>
      <w:r w:rsidRPr="00A435E0">
        <w:rPr>
          <w:rFonts w:ascii="Traditional Arabic" w:hAnsi="Traditional Arabic" w:cs="Traditional Arabic"/>
          <w:sz w:val="32"/>
          <w:szCs w:val="32"/>
        </w:rPr>
        <w:t xml:space="preserve">. </w:t>
      </w:r>
    </w:p>
    <w:p w14:paraId="31A97EFA" w14:textId="77777777" w:rsidR="00B94C5E" w:rsidRPr="00A435E0" w:rsidRDefault="00B94C5E" w:rsidP="00A435E0">
      <w:pPr>
        <w:numPr>
          <w:ilvl w:val="0"/>
          <w:numId w:val="22"/>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معامل القدرة التنبؤية</w:t>
      </w:r>
      <w:r w:rsidRPr="00A435E0">
        <w:rPr>
          <w:rFonts w:ascii="Traditional Arabic" w:hAnsi="Traditional Arabic" w:cs="Traditional Arabic"/>
          <w:sz w:val="32"/>
          <w:szCs w:val="32"/>
        </w:rPr>
        <w:t xml:space="preserve"> (</w:t>
      </w:r>
      <m:oMath>
        <m:sSup>
          <m:sSupPr>
            <m:ctrlPr>
              <w:rPr>
                <w:rFonts w:ascii="Cambria Math" w:hAnsi="Cambria Math" w:cs="Traditional Arabic"/>
                <w:i/>
                <w:sz w:val="32"/>
                <w:szCs w:val="32"/>
              </w:rPr>
            </m:ctrlPr>
          </m:sSupPr>
          <m:e>
            <m:r>
              <w:rPr>
                <w:rFonts w:ascii="Cambria Math" w:hAnsi="Cambria Math" w:cs="Traditional Arabic"/>
                <w:sz w:val="32"/>
                <w:szCs w:val="32"/>
              </w:rPr>
              <m:t>Q</m:t>
            </m:r>
          </m:e>
          <m:sup>
            <m:r>
              <w:rPr>
                <w:rFonts w:ascii="Cambria Math" w:hAnsi="Cambria Math" w:cs="Traditional Arabic"/>
                <w:sz w:val="32"/>
                <w:szCs w:val="32"/>
              </w:rPr>
              <m:t>2</m:t>
            </m:r>
          </m:sup>
        </m:sSup>
      </m:oMath>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للتحقق من الصلاحية والقدرة التنبؤية للنموذج البنائي باستخدام تقنية</w:t>
      </w:r>
      <w:r w:rsidRPr="00A435E0">
        <w:rPr>
          <w:rFonts w:ascii="Traditional Arabic" w:hAnsi="Traditional Arabic" w:cs="Traditional Arabic"/>
          <w:sz w:val="32"/>
          <w:szCs w:val="32"/>
        </w:rPr>
        <w:t xml:space="preserve"> (Blindfolding)</w:t>
      </w:r>
      <w:r w:rsidRPr="00A435E0">
        <w:rPr>
          <w:rFonts w:ascii="Traditional Arabic" w:hAnsi="Traditional Arabic" w:cs="Traditional Arabic"/>
          <w:sz w:val="32"/>
          <w:szCs w:val="32"/>
          <w:rtl/>
        </w:rPr>
        <w:t>، ويجب أن تكون القيمة المحسوبة لجميع المتغيرات التابعة أكبر من الصفر</w:t>
      </w:r>
      <w:r w:rsidRPr="00A435E0">
        <w:rPr>
          <w:rFonts w:ascii="Traditional Arabic" w:hAnsi="Traditional Arabic" w:cs="Traditional Arabic"/>
          <w:sz w:val="32"/>
          <w:szCs w:val="32"/>
        </w:rPr>
        <w:t xml:space="preserve">. </w:t>
      </w:r>
    </w:p>
    <w:p w14:paraId="4E790C78" w14:textId="77777777" w:rsidR="00B94C5E" w:rsidRPr="00A435E0" w:rsidRDefault="00B94C5E" w:rsidP="00A435E0">
      <w:pPr>
        <w:numPr>
          <w:ilvl w:val="0"/>
          <w:numId w:val="22"/>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مؤشر جودة المطابقة</w:t>
      </w:r>
      <w:r w:rsidRPr="00A435E0">
        <w:rPr>
          <w:rFonts w:ascii="Traditional Arabic" w:hAnsi="Traditional Arabic" w:cs="Traditional Arabic"/>
          <w:sz w:val="32"/>
          <w:szCs w:val="32"/>
        </w:rPr>
        <w:t xml:space="preserve"> (SRMR): </w:t>
      </w:r>
      <w:r w:rsidRPr="00A435E0">
        <w:rPr>
          <w:rFonts w:ascii="Traditional Arabic" w:hAnsi="Traditional Arabic" w:cs="Traditional Arabic"/>
          <w:sz w:val="32"/>
          <w:szCs w:val="32"/>
          <w:rtl/>
        </w:rPr>
        <w:t xml:space="preserve">لقياس مدى جودة مطابقة النموذج الكلي للبيانات الفعلية، ويشترط أن تكون قيمته أقل من </w:t>
      </w:r>
      <w:r w:rsidRPr="00A435E0">
        <w:rPr>
          <w:rFonts w:ascii="Traditional Arabic" w:hAnsi="Traditional Arabic" w:cs="Traditional Arabic"/>
          <w:sz w:val="32"/>
          <w:szCs w:val="32"/>
        </w:rPr>
        <w:t xml:space="preserve">0.08 </w:t>
      </w:r>
      <w:r w:rsidRPr="00A435E0">
        <w:rPr>
          <w:rFonts w:ascii="Traditional Arabic" w:hAnsi="Traditional Arabic" w:cs="Traditional Arabic"/>
          <w:sz w:val="32"/>
          <w:szCs w:val="32"/>
          <w:rtl/>
        </w:rPr>
        <w:t>لتمثيل مطابقة ممتازة</w:t>
      </w:r>
      <w:r w:rsidRPr="00A435E0">
        <w:rPr>
          <w:rFonts w:ascii="Traditional Arabic" w:hAnsi="Traditional Arabic" w:cs="Traditional Arabic"/>
          <w:sz w:val="32"/>
          <w:szCs w:val="32"/>
        </w:rPr>
        <w:t xml:space="preserve"> (Henseler et al., 2016). </w:t>
      </w:r>
    </w:p>
    <w:p w14:paraId="14E034A8" w14:textId="77777777" w:rsidR="00A435E0" w:rsidRPr="00A435E0" w:rsidRDefault="00A435E0" w:rsidP="00A435E0">
      <w:pPr>
        <w:bidi/>
        <w:spacing w:after="0" w:line="240" w:lineRule="auto"/>
        <w:jc w:val="both"/>
        <w:rPr>
          <w:rFonts w:ascii="Traditional Arabic" w:hAnsi="Traditional Arabic" w:cs="Traditional Arabic"/>
          <w:b/>
          <w:bCs/>
          <w:sz w:val="16"/>
          <w:szCs w:val="16"/>
          <w:rtl/>
        </w:rPr>
      </w:pPr>
    </w:p>
    <w:p w14:paraId="7850DB6F" w14:textId="77777777" w:rsidR="00B94C5E" w:rsidRPr="00A435E0" w:rsidRDefault="00B94C5E" w:rsidP="00A435E0">
      <w:pPr>
        <w:bidi/>
        <w:spacing w:after="0" w:line="240" w:lineRule="auto"/>
        <w:jc w:val="both"/>
        <w:rPr>
          <w:rFonts w:ascii="Traditional Arabic" w:hAnsi="Traditional Arabic" w:cs="Traditional Arabic"/>
          <w:b/>
          <w:bCs/>
          <w:sz w:val="32"/>
          <w:szCs w:val="32"/>
        </w:rPr>
      </w:pPr>
      <w:r w:rsidRPr="00A435E0">
        <w:rPr>
          <w:rFonts w:ascii="Traditional Arabic" w:hAnsi="Traditional Arabic" w:cs="Traditional Arabic"/>
          <w:b/>
          <w:bCs/>
          <w:sz w:val="32"/>
          <w:szCs w:val="32"/>
          <w:rtl/>
        </w:rPr>
        <w:t>منهجية تحليل الوساطة والمقارنات البينية</w:t>
      </w:r>
      <w:r w:rsidR="00A435E0">
        <w:rPr>
          <w:rFonts w:ascii="Traditional Arabic" w:hAnsi="Traditional Arabic" w:cs="Traditional Arabic" w:hint="cs"/>
          <w:b/>
          <w:bCs/>
          <w:sz w:val="32"/>
          <w:szCs w:val="32"/>
          <w:rtl/>
        </w:rPr>
        <w:t xml:space="preserve"> </w:t>
      </w:r>
      <w:r w:rsidR="00A435E0">
        <w:rPr>
          <w:rFonts w:ascii="Traditional Arabic" w:hAnsi="Traditional Arabic" w:cs="Traditional Arabic"/>
          <w:b/>
          <w:bCs/>
          <w:sz w:val="32"/>
          <w:szCs w:val="32"/>
        </w:rPr>
        <w:t xml:space="preserve">  </w:t>
      </w:r>
      <w:r w:rsidRPr="00A435E0">
        <w:rPr>
          <w:rFonts w:ascii="Traditional Arabic" w:hAnsi="Traditional Arabic" w:cs="Traditional Arabic"/>
          <w:b/>
          <w:bCs/>
          <w:sz w:val="32"/>
          <w:szCs w:val="32"/>
        </w:rPr>
        <w:t xml:space="preserve"> (Mediation &amp; MGA Analysis)</w:t>
      </w:r>
    </w:p>
    <w:p w14:paraId="50FF1953" w14:textId="77777777" w:rsidR="00B94C5E" w:rsidRPr="00A435E0" w:rsidRDefault="00B94C5E" w:rsidP="00A435E0">
      <w:pPr>
        <w:numPr>
          <w:ilvl w:val="0"/>
          <w:numId w:val="23"/>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تحليل الوساطة</w:t>
      </w:r>
      <w:r w:rsidRPr="00A435E0">
        <w:rPr>
          <w:rFonts w:ascii="Traditional Arabic" w:hAnsi="Traditional Arabic" w:cs="Traditional Arabic"/>
          <w:sz w:val="32"/>
          <w:szCs w:val="32"/>
        </w:rPr>
        <w:t xml:space="preserve"> (Mediation Analysis): </w:t>
      </w:r>
      <w:r w:rsidRPr="00A435E0">
        <w:rPr>
          <w:rFonts w:ascii="Traditional Arabic" w:hAnsi="Traditional Arabic" w:cs="Traditional Arabic"/>
          <w:sz w:val="32"/>
          <w:szCs w:val="32"/>
          <w:rtl/>
        </w:rPr>
        <w:t xml:space="preserve">تم اختبار الأثر الوسيط للتسويق الرقمي بالاعتماد على المنهجية العلمية لـ </w:t>
      </w:r>
      <w:r w:rsidRPr="00A435E0">
        <w:rPr>
          <w:rFonts w:ascii="Traditional Arabic" w:hAnsi="Traditional Arabic" w:cs="Traditional Arabic"/>
          <w:sz w:val="32"/>
          <w:szCs w:val="32"/>
        </w:rPr>
        <w:t xml:space="preserve">(Zhao, Lynch &amp; Chen, 2010). </w:t>
      </w:r>
      <w:r w:rsidRPr="00A435E0">
        <w:rPr>
          <w:rFonts w:ascii="Traditional Arabic" w:hAnsi="Traditional Arabic" w:cs="Traditional Arabic"/>
          <w:sz w:val="32"/>
          <w:szCs w:val="32"/>
          <w:rtl/>
        </w:rPr>
        <w:t>تتيح هذه المنهجية تحديد نوع الوساطة بدقة (سواء كانت وساطة كاملة</w:t>
      </w:r>
      <w:r w:rsidRPr="00A435E0">
        <w:rPr>
          <w:rFonts w:ascii="Traditional Arabic" w:hAnsi="Traditional Arabic" w:cs="Traditional Arabic"/>
          <w:sz w:val="32"/>
          <w:szCs w:val="32"/>
        </w:rPr>
        <w:t xml:space="preserve"> Full Mediation</w:t>
      </w:r>
      <w:r w:rsidRPr="00A435E0">
        <w:rPr>
          <w:rFonts w:ascii="Traditional Arabic" w:hAnsi="Traditional Arabic" w:cs="Traditional Arabic"/>
          <w:sz w:val="32"/>
          <w:szCs w:val="32"/>
          <w:rtl/>
        </w:rPr>
        <w:t>، أو وساطة جزئية</w:t>
      </w:r>
      <w:r w:rsidRPr="00A435E0">
        <w:rPr>
          <w:rFonts w:ascii="Traditional Arabic" w:hAnsi="Traditional Arabic" w:cs="Traditional Arabic"/>
          <w:sz w:val="32"/>
          <w:szCs w:val="32"/>
        </w:rPr>
        <w:t xml:space="preserve"> Partial Mediation</w:t>
      </w:r>
      <w:r w:rsidRPr="00A435E0">
        <w:rPr>
          <w:rFonts w:ascii="Traditional Arabic" w:hAnsi="Traditional Arabic" w:cs="Traditional Arabic"/>
          <w:sz w:val="32"/>
          <w:szCs w:val="32"/>
          <w:rtl/>
        </w:rPr>
        <w:t>، أو غياب تام للأثر الوسيط) باستعمال تقنية البوتسترابينج لتقدير المسارات غير المباشرة واختبار دلالتها</w:t>
      </w:r>
      <w:r w:rsidRPr="00A435E0">
        <w:rPr>
          <w:rFonts w:ascii="Traditional Arabic" w:hAnsi="Traditional Arabic" w:cs="Traditional Arabic"/>
          <w:sz w:val="32"/>
          <w:szCs w:val="32"/>
        </w:rPr>
        <w:t xml:space="preserve">. </w:t>
      </w:r>
    </w:p>
    <w:p w14:paraId="657B637C" w14:textId="77777777" w:rsidR="00B94C5E" w:rsidRPr="00A435E0" w:rsidRDefault="00B94C5E" w:rsidP="00A435E0">
      <w:pPr>
        <w:numPr>
          <w:ilvl w:val="0"/>
          <w:numId w:val="23"/>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تحليل المقارنات البينية للمجموعات</w:t>
      </w:r>
      <w:r w:rsidRPr="00A435E0">
        <w:rPr>
          <w:rFonts w:ascii="Traditional Arabic" w:hAnsi="Traditional Arabic" w:cs="Traditional Arabic"/>
          <w:sz w:val="32"/>
          <w:szCs w:val="32"/>
        </w:rPr>
        <w:t xml:space="preserve"> (Multi-Group Analysis - PLS-MGA): </w:t>
      </w:r>
      <w:r w:rsidRPr="00A435E0">
        <w:rPr>
          <w:rFonts w:ascii="Traditional Arabic" w:hAnsi="Traditional Arabic" w:cs="Traditional Arabic"/>
          <w:sz w:val="32"/>
          <w:szCs w:val="32"/>
          <w:rtl/>
        </w:rPr>
        <w:t>تم استخدام تقنيات الـ</w:t>
      </w:r>
      <w:r w:rsidRPr="00A435E0">
        <w:rPr>
          <w:rFonts w:ascii="Traditional Arabic" w:hAnsi="Traditional Arabic" w:cs="Traditional Arabic"/>
          <w:sz w:val="32"/>
          <w:szCs w:val="32"/>
        </w:rPr>
        <w:t xml:space="preserve"> MGA </w:t>
      </w:r>
      <w:r w:rsidRPr="00A435E0">
        <w:rPr>
          <w:rFonts w:ascii="Traditional Arabic" w:hAnsi="Traditional Arabic" w:cs="Traditional Arabic"/>
          <w:sz w:val="32"/>
          <w:szCs w:val="32"/>
          <w:rtl/>
        </w:rPr>
        <w:t>لمقارنة الفروق الجوهرية والنوعية في العلاقات والمسارات البنائية بناءً على متغيرين تصنيفيين رئيسيين</w:t>
      </w:r>
      <w:r w:rsidRPr="00A435E0">
        <w:rPr>
          <w:rFonts w:ascii="Traditional Arabic" w:hAnsi="Traditional Arabic" w:cs="Traditional Arabic"/>
          <w:sz w:val="32"/>
          <w:szCs w:val="32"/>
        </w:rPr>
        <w:t xml:space="preserve">: </w:t>
      </w:r>
    </w:p>
    <w:p w14:paraId="49A4802F" w14:textId="77777777" w:rsidR="00B94C5E" w:rsidRPr="00A435E0" w:rsidRDefault="00B94C5E" w:rsidP="00A435E0">
      <w:pPr>
        <w:numPr>
          <w:ilvl w:val="1"/>
          <w:numId w:val="23"/>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مستويات تبني الذكاء الاصطناعي</w:t>
      </w:r>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مقارنة الاختلافات بين الشركات ذات التبني (المرتفع، المتوسط، والمنخفض</w:t>
      </w:r>
      <w:r w:rsidR="00A435E0" w:rsidRPr="00A435E0">
        <w:rPr>
          <w:rFonts w:ascii="Traditional Arabic" w:hAnsi="Traditional Arabic" w:cs="Traditional Arabic" w:hint="cs"/>
          <w:sz w:val="32"/>
          <w:szCs w:val="32"/>
          <w:rtl/>
        </w:rPr>
        <w:t>)</w:t>
      </w:r>
      <w:r w:rsidRPr="00A435E0">
        <w:rPr>
          <w:rFonts w:ascii="Traditional Arabic" w:hAnsi="Traditional Arabic" w:cs="Traditional Arabic"/>
          <w:sz w:val="32"/>
          <w:szCs w:val="32"/>
        </w:rPr>
        <w:t xml:space="preserve"> </w:t>
      </w:r>
    </w:p>
    <w:p w14:paraId="46D679BE" w14:textId="77777777" w:rsidR="00B94C5E" w:rsidRPr="00A435E0" w:rsidRDefault="00B94C5E" w:rsidP="00A435E0">
      <w:pPr>
        <w:numPr>
          <w:ilvl w:val="1"/>
          <w:numId w:val="23"/>
        </w:numPr>
        <w:bidi/>
        <w:spacing w:after="0" w:line="240" w:lineRule="auto"/>
        <w:jc w:val="both"/>
        <w:rPr>
          <w:rFonts w:ascii="Traditional Arabic" w:hAnsi="Traditional Arabic" w:cs="Traditional Arabic"/>
          <w:sz w:val="32"/>
          <w:szCs w:val="32"/>
        </w:rPr>
      </w:pPr>
      <w:r w:rsidRPr="00A435E0">
        <w:rPr>
          <w:rFonts w:ascii="Traditional Arabic" w:hAnsi="Traditional Arabic" w:cs="Traditional Arabic"/>
          <w:sz w:val="32"/>
          <w:szCs w:val="32"/>
          <w:rtl/>
        </w:rPr>
        <w:t>القطاعات الاقتصادية</w:t>
      </w:r>
      <w:r w:rsidRPr="00A435E0">
        <w:rPr>
          <w:rFonts w:ascii="Traditional Arabic" w:hAnsi="Traditional Arabic" w:cs="Traditional Arabic"/>
          <w:sz w:val="32"/>
          <w:szCs w:val="32"/>
        </w:rPr>
        <w:t xml:space="preserve">: </w:t>
      </w:r>
      <w:r w:rsidRPr="00A435E0">
        <w:rPr>
          <w:rFonts w:ascii="Traditional Arabic" w:hAnsi="Traditional Arabic" w:cs="Traditional Arabic"/>
          <w:sz w:val="32"/>
          <w:szCs w:val="32"/>
          <w:rtl/>
        </w:rPr>
        <w:t>تحديد ما إذا كان أثر العلاقات يختلف دلالته إحصائياً بين القطاعات (الصناعي، والخدمي، والتجاري</w:t>
      </w:r>
      <w:r w:rsidR="00A435E0" w:rsidRPr="00A435E0">
        <w:rPr>
          <w:rFonts w:ascii="Traditional Arabic" w:hAnsi="Traditional Arabic" w:cs="Traditional Arabic" w:hint="cs"/>
          <w:sz w:val="32"/>
          <w:szCs w:val="32"/>
          <w:rtl/>
        </w:rPr>
        <w:t>)</w:t>
      </w:r>
      <w:r w:rsidRPr="00A435E0">
        <w:rPr>
          <w:rFonts w:ascii="Traditional Arabic" w:hAnsi="Traditional Arabic" w:cs="Traditional Arabic"/>
          <w:sz w:val="32"/>
          <w:szCs w:val="32"/>
        </w:rPr>
        <w:t xml:space="preserve"> </w:t>
      </w:r>
    </w:p>
    <w:p w14:paraId="2D0952BB" w14:textId="77777777" w:rsidR="00B94C5E" w:rsidRPr="00A435E0" w:rsidRDefault="00B94C5E" w:rsidP="00A435E0">
      <w:pPr>
        <w:bidi/>
        <w:spacing w:after="0" w:line="240" w:lineRule="auto"/>
        <w:jc w:val="both"/>
        <w:rPr>
          <w:rFonts w:ascii="Traditional Arabic" w:hAnsi="Traditional Arabic" w:cs="Traditional Arabic"/>
          <w:sz w:val="32"/>
          <w:szCs w:val="32"/>
          <w:rtl/>
        </w:rPr>
      </w:pPr>
    </w:p>
    <w:p w14:paraId="59B78834" w14:textId="77777777" w:rsidR="009F421F" w:rsidRDefault="009F421F" w:rsidP="009F421F">
      <w:pPr>
        <w:bidi/>
        <w:spacing w:after="0" w:line="240" w:lineRule="auto"/>
        <w:rPr>
          <w:rFonts w:ascii="Traditional Arabic" w:hAnsi="Traditional Arabic" w:cs="Traditional Arabic"/>
          <w:sz w:val="32"/>
          <w:szCs w:val="32"/>
        </w:rPr>
      </w:pPr>
    </w:p>
    <w:p w14:paraId="70F11C89" w14:textId="77777777" w:rsidR="002D0103" w:rsidRDefault="002D0103" w:rsidP="002D0103">
      <w:pPr>
        <w:bidi/>
        <w:spacing w:after="0" w:line="24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المراجع </w:t>
      </w:r>
    </w:p>
    <w:p w14:paraId="6CE0B851" w14:textId="77777777" w:rsidR="002D0103" w:rsidRPr="002D0103" w:rsidRDefault="002D0103" w:rsidP="002D0103">
      <w:pPr>
        <w:pStyle w:val="a6"/>
        <w:numPr>
          <w:ilvl w:val="0"/>
          <w:numId w:val="25"/>
        </w:numPr>
        <w:spacing w:after="0" w:line="240" w:lineRule="auto"/>
        <w:rPr>
          <w:rFonts w:ascii="Traditional Arabic" w:hAnsi="Traditional Arabic" w:cs="Traditional Arabic"/>
          <w:sz w:val="40"/>
          <w:szCs w:val="40"/>
        </w:rPr>
      </w:pPr>
      <w:r w:rsidRPr="002D0103">
        <w:rPr>
          <w:rFonts w:asciiTheme="majorBidi" w:hAnsiTheme="majorBidi" w:cstheme="majorBidi"/>
          <w:sz w:val="24"/>
          <w:szCs w:val="24"/>
        </w:rPr>
        <w:t xml:space="preserve">Braun, V., &amp; Clarke, V. (2006). Using thematic analysis in psychology. </w:t>
      </w:r>
      <w:r w:rsidRPr="002D0103">
        <w:rPr>
          <w:rFonts w:asciiTheme="majorBidi" w:hAnsiTheme="majorBidi" w:cstheme="majorBidi"/>
          <w:i/>
          <w:iCs/>
          <w:sz w:val="24"/>
          <w:szCs w:val="24"/>
        </w:rPr>
        <w:t>Qualitative Research in Psychology</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3</w:t>
      </w:r>
      <w:r w:rsidRPr="002D0103">
        <w:rPr>
          <w:rFonts w:asciiTheme="majorBidi" w:hAnsiTheme="majorBidi" w:cstheme="majorBidi"/>
          <w:sz w:val="24"/>
          <w:szCs w:val="24"/>
        </w:rPr>
        <w:t xml:space="preserve">(2), 77–101. </w:t>
      </w:r>
      <w:hyperlink r:id="rId7" w:tgtFrame="_blank" w:history="1">
        <w:r w:rsidRPr="002D0103">
          <w:rPr>
            <w:rStyle w:val="Hyperlink"/>
            <w:rFonts w:asciiTheme="majorBidi" w:hAnsiTheme="majorBidi" w:cstheme="majorBidi"/>
            <w:sz w:val="24"/>
            <w:szCs w:val="24"/>
          </w:rPr>
          <w:t>https://doi.org/10.1191/1478088706qp063oa</w:t>
        </w:r>
      </w:hyperlink>
    </w:p>
    <w:p w14:paraId="040BE1B5"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Chaffey, D., &amp; Ellis-Chadwick, F. (2019). </w:t>
      </w:r>
      <w:r w:rsidRPr="002D0103">
        <w:rPr>
          <w:rFonts w:asciiTheme="majorBidi" w:hAnsiTheme="majorBidi" w:cstheme="majorBidi"/>
          <w:i/>
          <w:iCs/>
          <w:sz w:val="24"/>
          <w:szCs w:val="24"/>
        </w:rPr>
        <w:t>Digital marketing: Strategy, implementation and practice</w:t>
      </w:r>
      <w:r w:rsidRPr="002D0103">
        <w:rPr>
          <w:rFonts w:asciiTheme="majorBidi" w:hAnsiTheme="majorBidi" w:cstheme="majorBidi"/>
          <w:sz w:val="24"/>
          <w:szCs w:val="24"/>
        </w:rPr>
        <w:t xml:space="preserve"> (7th ed.). Pearson.</w:t>
      </w:r>
    </w:p>
    <w:p w14:paraId="56DE8DFB"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Creswell, J. W., &amp; Plano Clark, V. L. (2018). </w:t>
      </w:r>
      <w:r w:rsidRPr="002D0103">
        <w:rPr>
          <w:rFonts w:asciiTheme="majorBidi" w:hAnsiTheme="majorBidi" w:cstheme="majorBidi"/>
          <w:i/>
          <w:iCs/>
          <w:sz w:val="24"/>
          <w:szCs w:val="24"/>
        </w:rPr>
        <w:t>Designing and conducting mixed methods research</w:t>
      </w:r>
      <w:r w:rsidRPr="002D0103">
        <w:rPr>
          <w:rFonts w:asciiTheme="majorBidi" w:hAnsiTheme="majorBidi" w:cstheme="majorBidi"/>
          <w:sz w:val="24"/>
          <w:szCs w:val="24"/>
        </w:rPr>
        <w:t xml:space="preserve"> (3rd ed.). SAGE Publications.</w:t>
      </w:r>
    </w:p>
    <w:p w14:paraId="32F9BCFD"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Davis, F. D. (1989). Perceived usefulness, perceived ease of use, and user acceptance of information technology. </w:t>
      </w:r>
      <w:r w:rsidRPr="002D0103">
        <w:rPr>
          <w:rFonts w:asciiTheme="majorBidi" w:hAnsiTheme="majorBidi" w:cstheme="majorBidi"/>
          <w:i/>
          <w:iCs/>
          <w:sz w:val="24"/>
          <w:szCs w:val="24"/>
        </w:rPr>
        <w:t>MIS Quarterly</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13</w:t>
      </w:r>
      <w:r w:rsidRPr="002D0103">
        <w:rPr>
          <w:rFonts w:asciiTheme="majorBidi" w:hAnsiTheme="majorBidi" w:cstheme="majorBidi"/>
          <w:sz w:val="24"/>
          <w:szCs w:val="24"/>
        </w:rPr>
        <w:t xml:space="preserve">(3), 319–340. </w:t>
      </w:r>
      <w:hyperlink r:id="rId8" w:tgtFrame="_blank" w:history="1">
        <w:r w:rsidRPr="002D0103">
          <w:rPr>
            <w:rStyle w:val="Hyperlink"/>
            <w:rFonts w:asciiTheme="majorBidi" w:hAnsiTheme="majorBidi" w:cstheme="majorBidi"/>
            <w:sz w:val="24"/>
            <w:szCs w:val="24"/>
          </w:rPr>
          <w:t>https://doi.org/10.2307/249008</w:t>
        </w:r>
      </w:hyperlink>
    </w:p>
    <w:p w14:paraId="31D3F17B"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Fornell, C., &amp; Larcker, D. F. (1981). Evaluating structural equation models with unobservable variables and measurement error. </w:t>
      </w:r>
      <w:r w:rsidRPr="002D0103">
        <w:rPr>
          <w:rFonts w:asciiTheme="majorBidi" w:hAnsiTheme="majorBidi" w:cstheme="majorBidi"/>
          <w:i/>
          <w:iCs/>
          <w:sz w:val="24"/>
          <w:szCs w:val="24"/>
        </w:rPr>
        <w:t>Journal of Marketing Research</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18</w:t>
      </w:r>
      <w:r w:rsidRPr="002D0103">
        <w:rPr>
          <w:rFonts w:asciiTheme="majorBidi" w:hAnsiTheme="majorBidi" w:cstheme="majorBidi"/>
          <w:sz w:val="24"/>
          <w:szCs w:val="24"/>
        </w:rPr>
        <w:t xml:space="preserve">(1), 39–50. </w:t>
      </w:r>
      <w:hyperlink r:id="rId9" w:tgtFrame="_blank" w:history="1">
        <w:r w:rsidRPr="002D0103">
          <w:rPr>
            <w:rStyle w:val="Hyperlink"/>
            <w:rFonts w:asciiTheme="majorBidi" w:hAnsiTheme="majorBidi" w:cstheme="majorBidi"/>
            <w:sz w:val="24"/>
            <w:szCs w:val="24"/>
          </w:rPr>
          <w:t>https://doi.org/10.2307/3151312</w:t>
        </w:r>
      </w:hyperlink>
    </w:p>
    <w:p w14:paraId="2AE3BEAC"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Hair, J. F., Hult, G. T. M., Ringle, C. M., &amp; Sarstedt, M. (2017). </w:t>
      </w:r>
      <w:r w:rsidRPr="002D0103">
        <w:rPr>
          <w:rFonts w:asciiTheme="majorBidi" w:hAnsiTheme="majorBidi" w:cstheme="majorBidi"/>
          <w:i/>
          <w:iCs/>
          <w:sz w:val="24"/>
          <w:szCs w:val="24"/>
        </w:rPr>
        <w:t>A primer on partial least squares structural equation modeling (PLS-SEM)</w:t>
      </w:r>
      <w:r w:rsidRPr="002D0103">
        <w:rPr>
          <w:rFonts w:asciiTheme="majorBidi" w:hAnsiTheme="majorBidi" w:cstheme="majorBidi"/>
          <w:sz w:val="24"/>
          <w:szCs w:val="24"/>
        </w:rPr>
        <w:t xml:space="preserve"> (2nd ed.). SAGE Publications.</w:t>
      </w:r>
    </w:p>
    <w:p w14:paraId="7E168ECB"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Hair, J. F., Hult, G. T. M., Ringle, C. M., &amp; Sarstedt, M. (2022). </w:t>
      </w:r>
      <w:r w:rsidRPr="002D0103">
        <w:rPr>
          <w:rFonts w:asciiTheme="majorBidi" w:hAnsiTheme="majorBidi" w:cstheme="majorBidi"/>
          <w:i/>
          <w:iCs/>
          <w:sz w:val="24"/>
          <w:szCs w:val="24"/>
        </w:rPr>
        <w:t>A primer on partial least squares structural equation modeling (PLS-SEM)</w:t>
      </w:r>
      <w:r w:rsidRPr="002D0103">
        <w:rPr>
          <w:rFonts w:asciiTheme="majorBidi" w:hAnsiTheme="majorBidi" w:cstheme="majorBidi"/>
          <w:sz w:val="24"/>
          <w:szCs w:val="24"/>
        </w:rPr>
        <w:t xml:space="preserve"> (3rd ed.). SAGE Publications.</w:t>
      </w:r>
    </w:p>
    <w:p w14:paraId="4270F86F"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Hair, J. F., Risher, J. J., Sarstedt, M., &amp; Ringle, C. M. (2019). When to use and how to report the results of PLS-SEM. </w:t>
      </w:r>
      <w:r w:rsidRPr="002D0103">
        <w:rPr>
          <w:rFonts w:asciiTheme="majorBidi" w:hAnsiTheme="majorBidi" w:cstheme="majorBidi"/>
          <w:i/>
          <w:iCs/>
          <w:sz w:val="24"/>
          <w:szCs w:val="24"/>
        </w:rPr>
        <w:t>European Business Review</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31</w:t>
      </w:r>
      <w:r w:rsidRPr="002D0103">
        <w:rPr>
          <w:rFonts w:asciiTheme="majorBidi" w:hAnsiTheme="majorBidi" w:cstheme="majorBidi"/>
          <w:sz w:val="24"/>
          <w:szCs w:val="24"/>
        </w:rPr>
        <w:t xml:space="preserve">(1), 2–24. </w:t>
      </w:r>
      <w:hyperlink r:id="rId10" w:tgtFrame="_blank" w:history="1">
        <w:r w:rsidRPr="002D0103">
          <w:rPr>
            <w:rStyle w:val="Hyperlink"/>
            <w:rFonts w:asciiTheme="majorBidi" w:hAnsiTheme="majorBidi" w:cstheme="majorBidi"/>
            <w:sz w:val="24"/>
            <w:szCs w:val="24"/>
          </w:rPr>
          <w:t>https://doi.org/10.1108/EBR-11-2018-0203</w:t>
        </w:r>
      </w:hyperlink>
    </w:p>
    <w:p w14:paraId="02F78961"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Henseler, J., Hubona, G., &amp; Ray, P. A. (2016). Using PLS path modeling in new technology research: Updated guidelines. </w:t>
      </w:r>
      <w:r w:rsidRPr="002D0103">
        <w:rPr>
          <w:rFonts w:asciiTheme="majorBidi" w:hAnsiTheme="majorBidi" w:cstheme="majorBidi"/>
          <w:i/>
          <w:iCs/>
          <w:sz w:val="24"/>
          <w:szCs w:val="24"/>
        </w:rPr>
        <w:t>Industrial Management &amp; Data Systems</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116</w:t>
      </w:r>
      <w:r w:rsidRPr="002D0103">
        <w:rPr>
          <w:rFonts w:asciiTheme="majorBidi" w:hAnsiTheme="majorBidi" w:cstheme="majorBidi"/>
          <w:sz w:val="24"/>
          <w:szCs w:val="24"/>
        </w:rPr>
        <w:t xml:space="preserve">(1), 2–20. </w:t>
      </w:r>
      <w:hyperlink r:id="rId11" w:tgtFrame="_blank" w:history="1">
        <w:r w:rsidRPr="002D0103">
          <w:rPr>
            <w:rStyle w:val="Hyperlink"/>
            <w:rFonts w:asciiTheme="majorBidi" w:hAnsiTheme="majorBidi" w:cstheme="majorBidi"/>
            <w:sz w:val="24"/>
            <w:szCs w:val="24"/>
          </w:rPr>
          <w:t>https://doi.org/10.1108/IMDS-09-2015-0382</w:t>
        </w:r>
      </w:hyperlink>
    </w:p>
    <w:p w14:paraId="6D5DF38D"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Henseler, J., Ringle, C. M., &amp; Sarstedt, M. (2015). A new criterion for assessing discriminant validity in variance-based structural equation modeling. </w:t>
      </w:r>
      <w:r w:rsidRPr="002D0103">
        <w:rPr>
          <w:rFonts w:asciiTheme="majorBidi" w:hAnsiTheme="majorBidi" w:cstheme="majorBidi"/>
          <w:i/>
          <w:iCs/>
          <w:sz w:val="24"/>
          <w:szCs w:val="24"/>
        </w:rPr>
        <w:t>Journal of the Academy of Marketing Science</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43</w:t>
      </w:r>
      <w:r w:rsidRPr="002D0103">
        <w:rPr>
          <w:rFonts w:asciiTheme="majorBidi" w:hAnsiTheme="majorBidi" w:cstheme="majorBidi"/>
          <w:sz w:val="24"/>
          <w:szCs w:val="24"/>
        </w:rPr>
        <w:t xml:space="preserve">(1), 115–135. </w:t>
      </w:r>
      <w:hyperlink r:id="rId12" w:tgtFrame="_blank" w:history="1">
        <w:r w:rsidRPr="002D0103">
          <w:rPr>
            <w:rStyle w:val="Hyperlink"/>
            <w:rFonts w:asciiTheme="majorBidi" w:hAnsiTheme="majorBidi" w:cstheme="majorBidi"/>
            <w:sz w:val="24"/>
            <w:szCs w:val="24"/>
          </w:rPr>
          <w:t>https://doi.org/10.1007/s11747-014-0403-8</w:t>
        </w:r>
      </w:hyperlink>
    </w:p>
    <w:p w14:paraId="48555399"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Katsikeas, C. S., Morgan, N. A., Leonidou, L. C., &amp; Hult, G. T. M. (2016). Assessing performance outcomes in marketing. </w:t>
      </w:r>
      <w:r w:rsidRPr="002D0103">
        <w:rPr>
          <w:rFonts w:asciiTheme="majorBidi" w:hAnsiTheme="majorBidi" w:cstheme="majorBidi"/>
          <w:i/>
          <w:iCs/>
          <w:sz w:val="24"/>
          <w:szCs w:val="24"/>
        </w:rPr>
        <w:t>Journal of Marketing</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80</w:t>
      </w:r>
      <w:r w:rsidRPr="002D0103">
        <w:rPr>
          <w:rFonts w:asciiTheme="majorBidi" w:hAnsiTheme="majorBidi" w:cstheme="majorBidi"/>
          <w:sz w:val="24"/>
          <w:szCs w:val="24"/>
        </w:rPr>
        <w:t xml:space="preserve">(2), 1–38. </w:t>
      </w:r>
      <w:hyperlink r:id="rId13" w:tgtFrame="_blank" w:history="1">
        <w:r w:rsidRPr="002D0103">
          <w:rPr>
            <w:rStyle w:val="Hyperlink"/>
            <w:rFonts w:asciiTheme="majorBidi" w:hAnsiTheme="majorBidi" w:cstheme="majorBidi"/>
            <w:sz w:val="24"/>
            <w:szCs w:val="24"/>
          </w:rPr>
          <w:t>https://doi.org/10.1509/jm.15.0287</w:t>
        </w:r>
      </w:hyperlink>
    </w:p>
    <w:p w14:paraId="0C74EA3B"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Kock, N. (2015). Common method bias in PLS-SEM: A full collinearity assessment approach. </w:t>
      </w:r>
      <w:r w:rsidRPr="002D0103">
        <w:rPr>
          <w:rFonts w:asciiTheme="majorBidi" w:hAnsiTheme="majorBidi" w:cstheme="majorBidi"/>
          <w:i/>
          <w:iCs/>
          <w:sz w:val="24"/>
          <w:szCs w:val="24"/>
        </w:rPr>
        <w:t>International Journal of e-Collaboration</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11</w:t>
      </w:r>
      <w:r w:rsidRPr="002D0103">
        <w:rPr>
          <w:rFonts w:asciiTheme="majorBidi" w:hAnsiTheme="majorBidi" w:cstheme="majorBidi"/>
          <w:sz w:val="24"/>
          <w:szCs w:val="24"/>
        </w:rPr>
        <w:t xml:space="preserve">(4), 1–10. </w:t>
      </w:r>
      <w:hyperlink r:id="rId14" w:tgtFrame="_blank" w:history="1">
        <w:r w:rsidRPr="002D0103">
          <w:rPr>
            <w:rStyle w:val="Hyperlink"/>
            <w:rFonts w:asciiTheme="majorBidi" w:hAnsiTheme="majorBidi" w:cstheme="majorBidi"/>
            <w:sz w:val="24"/>
            <w:szCs w:val="24"/>
          </w:rPr>
          <w:t>https://doi.org/10.4018/ijec.2015100101</w:t>
        </w:r>
      </w:hyperlink>
    </w:p>
    <w:p w14:paraId="7C4A7E25"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Podsakoff, P. M., MacKenzie, S. B., &amp; Podsakoff, N. P. (2012). Sources of method bias in social science research and recommendations on how to control it. </w:t>
      </w:r>
      <w:r w:rsidRPr="002D0103">
        <w:rPr>
          <w:rFonts w:asciiTheme="majorBidi" w:hAnsiTheme="majorBidi" w:cstheme="majorBidi"/>
          <w:i/>
          <w:iCs/>
          <w:sz w:val="24"/>
          <w:szCs w:val="24"/>
        </w:rPr>
        <w:t>Annual Review of Psychology</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63</w:t>
      </w:r>
      <w:r w:rsidRPr="002D0103">
        <w:rPr>
          <w:rFonts w:asciiTheme="majorBidi" w:hAnsiTheme="majorBidi" w:cstheme="majorBidi"/>
          <w:sz w:val="24"/>
          <w:szCs w:val="24"/>
        </w:rPr>
        <w:t xml:space="preserve">(1), 539–569. </w:t>
      </w:r>
      <w:hyperlink r:id="rId15" w:tgtFrame="_blank" w:history="1">
        <w:r w:rsidRPr="002D0103">
          <w:rPr>
            <w:rStyle w:val="Hyperlink"/>
            <w:rFonts w:asciiTheme="majorBidi" w:hAnsiTheme="majorBidi" w:cstheme="majorBidi"/>
            <w:sz w:val="24"/>
            <w:szCs w:val="24"/>
          </w:rPr>
          <w:t>https://doi.org/10.1146/annurev-psych-120710-100452</w:t>
        </w:r>
      </w:hyperlink>
    </w:p>
    <w:p w14:paraId="50D651CB" w14:textId="77777777" w:rsidR="002D0103" w:rsidRPr="002D0103" w:rsidRDefault="002D0103" w:rsidP="002D0103">
      <w:pPr>
        <w:pStyle w:val="a6"/>
        <w:numPr>
          <w:ilvl w:val="0"/>
          <w:numId w:val="23"/>
        </w:numPr>
        <w:spacing w:after="0" w:line="240" w:lineRule="auto"/>
        <w:jc w:val="both"/>
        <w:rPr>
          <w:rFonts w:asciiTheme="majorBidi" w:hAnsiTheme="majorBidi" w:cstheme="majorBidi"/>
          <w:sz w:val="24"/>
          <w:szCs w:val="24"/>
        </w:rPr>
      </w:pPr>
      <w:r w:rsidRPr="002D0103">
        <w:rPr>
          <w:rFonts w:asciiTheme="majorBidi" w:hAnsiTheme="majorBidi" w:cstheme="majorBidi"/>
          <w:sz w:val="24"/>
          <w:szCs w:val="24"/>
        </w:rPr>
        <w:t xml:space="preserve">Venkatesh, V., Morris, M. G., Davis, G. B., &amp; Davis, F. D. (2003). User acceptance of information technology: Toward a unified view. </w:t>
      </w:r>
      <w:r w:rsidRPr="002D0103">
        <w:rPr>
          <w:rFonts w:asciiTheme="majorBidi" w:hAnsiTheme="majorBidi" w:cstheme="majorBidi"/>
          <w:i/>
          <w:iCs/>
          <w:sz w:val="24"/>
          <w:szCs w:val="24"/>
        </w:rPr>
        <w:t>MIS Quarterly</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27</w:t>
      </w:r>
      <w:r w:rsidRPr="002D0103">
        <w:rPr>
          <w:rFonts w:asciiTheme="majorBidi" w:hAnsiTheme="majorBidi" w:cstheme="majorBidi"/>
          <w:sz w:val="24"/>
          <w:szCs w:val="24"/>
        </w:rPr>
        <w:t xml:space="preserve">(3), 425–478. </w:t>
      </w:r>
      <w:hyperlink r:id="rId16" w:tgtFrame="_blank" w:history="1">
        <w:r w:rsidRPr="002D0103">
          <w:rPr>
            <w:rStyle w:val="Hyperlink"/>
            <w:rFonts w:asciiTheme="majorBidi" w:hAnsiTheme="majorBidi" w:cstheme="majorBidi"/>
            <w:sz w:val="24"/>
            <w:szCs w:val="24"/>
          </w:rPr>
          <w:t>https://doi.org/10.2307/30036540</w:t>
        </w:r>
      </w:hyperlink>
    </w:p>
    <w:p w14:paraId="490CB86E" w14:textId="77777777" w:rsidR="002D0103" w:rsidRPr="002D0103" w:rsidRDefault="002D0103" w:rsidP="002D0103">
      <w:pPr>
        <w:pStyle w:val="a6"/>
        <w:numPr>
          <w:ilvl w:val="0"/>
          <w:numId w:val="23"/>
        </w:numPr>
        <w:spacing w:after="0" w:line="240" w:lineRule="auto"/>
        <w:jc w:val="both"/>
        <w:rPr>
          <w:rFonts w:ascii="Traditional Arabic" w:hAnsi="Traditional Arabic" w:cs="Traditional Arabic"/>
          <w:sz w:val="36"/>
          <w:szCs w:val="36"/>
        </w:rPr>
      </w:pPr>
      <w:r w:rsidRPr="002D0103">
        <w:rPr>
          <w:rFonts w:asciiTheme="majorBidi" w:hAnsiTheme="majorBidi" w:cstheme="majorBidi"/>
          <w:sz w:val="24"/>
          <w:szCs w:val="24"/>
        </w:rPr>
        <w:t xml:space="preserve">Zhao, X., Lynch, J. G., &amp; Chen, Q. (2010). Reconsidering Baron and Kenny: Myths and truths about mediation analysis. </w:t>
      </w:r>
      <w:r w:rsidRPr="002D0103">
        <w:rPr>
          <w:rFonts w:asciiTheme="majorBidi" w:hAnsiTheme="majorBidi" w:cstheme="majorBidi"/>
          <w:i/>
          <w:iCs/>
          <w:sz w:val="24"/>
          <w:szCs w:val="24"/>
        </w:rPr>
        <w:t>Journal of Consumer Research</w:t>
      </w:r>
      <w:r w:rsidRPr="002D0103">
        <w:rPr>
          <w:rFonts w:asciiTheme="majorBidi" w:hAnsiTheme="majorBidi" w:cstheme="majorBidi"/>
          <w:sz w:val="24"/>
          <w:szCs w:val="24"/>
        </w:rPr>
        <w:t xml:space="preserve">, </w:t>
      </w:r>
      <w:r w:rsidRPr="002D0103">
        <w:rPr>
          <w:rFonts w:asciiTheme="majorBidi" w:hAnsiTheme="majorBidi" w:cstheme="majorBidi"/>
          <w:i/>
          <w:iCs/>
          <w:sz w:val="24"/>
          <w:szCs w:val="24"/>
        </w:rPr>
        <w:t>37</w:t>
      </w:r>
      <w:r w:rsidRPr="002D0103">
        <w:rPr>
          <w:rFonts w:asciiTheme="majorBidi" w:hAnsiTheme="majorBidi" w:cstheme="majorBidi"/>
          <w:sz w:val="24"/>
          <w:szCs w:val="24"/>
        </w:rPr>
        <w:t xml:space="preserve">(2), 197–206. </w:t>
      </w:r>
      <w:hyperlink r:id="rId17" w:tgtFrame="_blank" w:history="1">
        <w:r w:rsidRPr="002D0103">
          <w:rPr>
            <w:rStyle w:val="Hyperlink"/>
            <w:rFonts w:asciiTheme="majorBidi" w:hAnsiTheme="majorBidi" w:cstheme="majorBidi"/>
            <w:sz w:val="24"/>
            <w:szCs w:val="24"/>
          </w:rPr>
          <w:t>https://doi.org/10.1086/651257</w:t>
        </w:r>
      </w:hyperlink>
    </w:p>
    <w:p w14:paraId="080C2C15" w14:textId="77777777" w:rsidR="00A435E0" w:rsidRPr="002D0103" w:rsidRDefault="00A435E0" w:rsidP="002D0103">
      <w:pPr>
        <w:spacing w:after="0" w:line="240" w:lineRule="auto"/>
        <w:rPr>
          <w:rFonts w:ascii="Traditional Arabic" w:hAnsi="Traditional Arabic" w:cs="Traditional Arabic"/>
          <w:sz w:val="36"/>
          <w:szCs w:val="36"/>
          <w:rtl/>
        </w:rPr>
      </w:pPr>
    </w:p>
    <w:sectPr w:rsidR="00A435E0" w:rsidRPr="002D01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F Sultan">
    <w:altName w:val="Times New Roman"/>
    <w:charset w:val="00"/>
    <w:family w:val="auto"/>
    <w:pitch w:val="variable"/>
    <w:sig w:usb0="00000000" w:usb1="C000A04A"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C7AF4"/>
    <w:multiLevelType w:val="multilevel"/>
    <w:tmpl w:val="704C7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C46C7"/>
    <w:multiLevelType w:val="hybridMultilevel"/>
    <w:tmpl w:val="F9CA6834"/>
    <w:lvl w:ilvl="0" w:tplc="74F442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CE001C"/>
    <w:multiLevelType w:val="multilevel"/>
    <w:tmpl w:val="B628B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6527FF"/>
    <w:multiLevelType w:val="hybridMultilevel"/>
    <w:tmpl w:val="37423720"/>
    <w:lvl w:ilvl="0" w:tplc="AF70E5FE">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6C7432"/>
    <w:multiLevelType w:val="hybridMultilevel"/>
    <w:tmpl w:val="AFCEE864"/>
    <w:lvl w:ilvl="0" w:tplc="AF70E5FE">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CF48B2"/>
    <w:multiLevelType w:val="multilevel"/>
    <w:tmpl w:val="0EE02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CC3CF2"/>
    <w:multiLevelType w:val="multilevel"/>
    <w:tmpl w:val="BBBEDB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ED5B79"/>
    <w:multiLevelType w:val="hybridMultilevel"/>
    <w:tmpl w:val="FB3AA5FA"/>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66995"/>
    <w:multiLevelType w:val="hybridMultilevel"/>
    <w:tmpl w:val="69101180"/>
    <w:lvl w:ilvl="0" w:tplc="792C1F7E">
      <w:numFmt w:val="bullet"/>
      <w:lvlText w:val="-"/>
      <w:lvlJc w:val="left"/>
      <w:pPr>
        <w:ind w:left="1725" w:hanging="1005"/>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372BC"/>
    <w:multiLevelType w:val="hybridMultilevel"/>
    <w:tmpl w:val="A8E83B0C"/>
    <w:lvl w:ilvl="0" w:tplc="74F442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F65B5E"/>
    <w:multiLevelType w:val="hybridMultilevel"/>
    <w:tmpl w:val="EF80C0A0"/>
    <w:lvl w:ilvl="0" w:tplc="74F442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082E42"/>
    <w:multiLevelType w:val="hybridMultilevel"/>
    <w:tmpl w:val="B14408B4"/>
    <w:lvl w:ilvl="0" w:tplc="84D0C0D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80615C"/>
    <w:multiLevelType w:val="multilevel"/>
    <w:tmpl w:val="C494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61E9B"/>
    <w:multiLevelType w:val="hybridMultilevel"/>
    <w:tmpl w:val="9426141A"/>
    <w:lvl w:ilvl="0" w:tplc="74F442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D383271"/>
    <w:multiLevelType w:val="multilevel"/>
    <w:tmpl w:val="CE00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D40FA"/>
    <w:multiLevelType w:val="hybridMultilevel"/>
    <w:tmpl w:val="E850E962"/>
    <w:lvl w:ilvl="0" w:tplc="792C1F7E">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DA59FB"/>
    <w:multiLevelType w:val="multilevel"/>
    <w:tmpl w:val="86EE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947ED0"/>
    <w:multiLevelType w:val="multilevel"/>
    <w:tmpl w:val="77D2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6344EA"/>
    <w:multiLevelType w:val="multilevel"/>
    <w:tmpl w:val="FC3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BF308C"/>
    <w:multiLevelType w:val="multilevel"/>
    <w:tmpl w:val="3DA8C3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6852F0"/>
    <w:multiLevelType w:val="multilevel"/>
    <w:tmpl w:val="F206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445757"/>
    <w:multiLevelType w:val="multilevel"/>
    <w:tmpl w:val="D9BC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714747"/>
    <w:multiLevelType w:val="multilevel"/>
    <w:tmpl w:val="80388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345CAA"/>
    <w:multiLevelType w:val="hybridMultilevel"/>
    <w:tmpl w:val="6EB0B962"/>
    <w:lvl w:ilvl="0" w:tplc="74F442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3563198">
    <w:abstractNumId w:val="1"/>
  </w:num>
  <w:num w:numId="2" w16cid:durableId="2056193">
    <w:abstractNumId w:val="16"/>
  </w:num>
  <w:num w:numId="3" w16cid:durableId="480851005">
    <w:abstractNumId w:val="9"/>
  </w:num>
  <w:num w:numId="4" w16cid:durableId="1710183469">
    <w:abstractNumId w:val="8"/>
  </w:num>
  <w:num w:numId="5" w16cid:durableId="357002230">
    <w:abstractNumId w:val="0"/>
  </w:num>
  <w:num w:numId="6" w16cid:durableId="751589261">
    <w:abstractNumId w:val="6"/>
  </w:num>
  <w:num w:numId="7" w16cid:durableId="850294711">
    <w:abstractNumId w:val="15"/>
  </w:num>
  <w:num w:numId="8" w16cid:durableId="854684809">
    <w:abstractNumId w:val="3"/>
  </w:num>
  <w:num w:numId="9" w16cid:durableId="772092967">
    <w:abstractNumId w:val="5"/>
  </w:num>
  <w:num w:numId="10" w16cid:durableId="1723598753">
    <w:abstractNumId w:val="4"/>
  </w:num>
  <w:num w:numId="11" w16cid:durableId="1113788506">
    <w:abstractNumId w:val="24"/>
  </w:num>
  <w:num w:numId="12" w16cid:durableId="920874790">
    <w:abstractNumId w:val="14"/>
  </w:num>
  <w:num w:numId="13" w16cid:durableId="1531916972">
    <w:abstractNumId w:val="10"/>
  </w:num>
  <w:num w:numId="14" w16cid:durableId="1397896131">
    <w:abstractNumId w:val="2"/>
  </w:num>
  <w:num w:numId="15" w16cid:durableId="1770807061">
    <w:abstractNumId w:val="21"/>
  </w:num>
  <w:num w:numId="16" w16cid:durableId="2094469901">
    <w:abstractNumId w:val="20"/>
  </w:num>
  <w:num w:numId="17" w16cid:durableId="1871915487">
    <w:abstractNumId w:val="23"/>
  </w:num>
  <w:num w:numId="18" w16cid:durableId="2019503848">
    <w:abstractNumId w:val="22"/>
  </w:num>
  <w:num w:numId="19" w16cid:durableId="1420178350">
    <w:abstractNumId w:val="18"/>
  </w:num>
  <w:num w:numId="20" w16cid:durableId="1148127989">
    <w:abstractNumId w:val="13"/>
  </w:num>
  <w:num w:numId="21" w16cid:durableId="1206719717">
    <w:abstractNumId w:val="19"/>
  </w:num>
  <w:num w:numId="22" w16cid:durableId="600258500">
    <w:abstractNumId w:val="17"/>
  </w:num>
  <w:num w:numId="23" w16cid:durableId="1479230041">
    <w:abstractNumId w:val="7"/>
  </w:num>
  <w:num w:numId="24" w16cid:durableId="888566538">
    <w:abstractNumId w:val="12"/>
  </w:num>
  <w:num w:numId="25" w16cid:durableId="15828360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21F"/>
    <w:rsid w:val="00015451"/>
    <w:rsid w:val="00087B1F"/>
    <w:rsid w:val="000A40BF"/>
    <w:rsid w:val="00101615"/>
    <w:rsid w:val="00110359"/>
    <w:rsid w:val="001F3999"/>
    <w:rsid w:val="00251663"/>
    <w:rsid w:val="002D0103"/>
    <w:rsid w:val="006775AC"/>
    <w:rsid w:val="007B22DA"/>
    <w:rsid w:val="007E3A25"/>
    <w:rsid w:val="009F421F"/>
    <w:rsid w:val="00A21652"/>
    <w:rsid w:val="00A435E0"/>
    <w:rsid w:val="00AE08D8"/>
    <w:rsid w:val="00B67BC7"/>
    <w:rsid w:val="00B94C5E"/>
    <w:rsid w:val="00DD06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E4F0"/>
  <w15:docId w15:val="{8730802C-7EA7-45CC-A7C0-1C96B80EE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40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9F421F"/>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9F421F"/>
    <w:rPr>
      <w:rFonts w:ascii="Tahoma" w:hAnsi="Tahoma" w:cs="Tahoma"/>
      <w:sz w:val="16"/>
      <w:szCs w:val="16"/>
    </w:rPr>
  </w:style>
  <w:style w:type="table" w:styleId="a4">
    <w:name w:val="Table Grid"/>
    <w:basedOn w:val="a1"/>
    <w:uiPriority w:val="39"/>
    <w:rsid w:val="007B2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7B22DA"/>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0A40BF"/>
    <w:pPr>
      <w:ind w:left="720"/>
      <w:contextualSpacing/>
    </w:pPr>
  </w:style>
  <w:style w:type="character" w:styleId="a7">
    <w:name w:val="Placeholder Text"/>
    <w:basedOn w:val="a0"/>
    <w:uiPriority w:val="99"/>
    <w:semiHidden/>
    <w:rsid w:val="00A435E0"/>
    <w:rPr>
      <w:color w:val="808080"/>
    </w:rPr>
  </w:style>
  <w:style w:type="character" w:styleId="Hyperlink">
    <w:name w:val="Hyperlink"/>
    <w:basedOn w:val="a0"/>
    <w:uiPriority w:val="99"/>
    <w:unhideWhenUsed/>
    <w:rsid w:val="002D01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50571">
      <w:bodyDiv w:val="1"/>
      <w:marLeft w:val="0"/>
      <w:marRight w:val="0"/>
      <w:marTop w:val="0"/>
      <w:marBottom w:val="0"/>
      <w:divBdr>
        <w:top w:val="none" w:sz="0" w:space="0" w:color="auto"/>
        <w:left w:val="none" w:sz="0" w:space="0" w:color="auto"/>
        <w:bottom w:val="none" w:sz="0" w:space="0" w:color="auto"/>
        <w:right w:val="none" w:sz="0" w:space="0" w:color="auto"/>
      </w:divBdr>
    </w:div>
    <w:div w:id="382757780">
      <w:bodyDiv w:val="1"/>
      <w:marLeft w:val="0"/>
      <w:marRight w:val="0"/>
      <w:marTop w:val="0"/>
      <w:marBottom w:val="0"/>
      <w:divBdr>
        <w:top w:val="none" w:sz="0" w:space="0" w:color="auto"/>
        <w:left w:val="none" w:sz="0" w:space="0" w:color="auto"/>
        <w:bottom w:val="none" w:sz="0" w:space="0" w:color="auto"/>
        <w:right w:val="none" w:sz="0" w:space="0" w:color="auto"/>
      </w:divBdr>
    </w:div>
    <w:div w:id="504366887">
      <w:bodyDiv w:val="1"/>
      <w:marLeft w:val="0"/>
      <w:marRight w:val="0"/>
      <w:marTop w:val="0"/>
      <w:marBottom w:val="0"/>
      <w:divBdr>
        <w:top w:val="none" w:sz="0" w:space="0" w:color="auto"/>
        <w:left w:val="none" w:sz="0" w:space="0" w:color="auto"/>
        <w:bottom w:val="none" w:sz="0" w:space="0" w:color="auto"/>
        <w:right w:val="none" w:sz="0" w:space="0" w:color="auto"/>
      </w:divBdr>
    </w:div>
    <w:div w:id="676200738">
      <w:bodyDiv w:val="1"/>
      <w:marLeft w:val="0"/>
      <w:marRight w:val="0"/>
      <w:marTop w:val="0"/>
      <w:marBottom w:val="0"/>
      <w:divBdr>
        <w:top w:val="none" w:sz="0" w:space="0" w:color="auto"/>
        <w:left w:val="none" w:sz="0" w:space="0" w:color="auto"/>
        <w:bottom w:val="none" w:sz="0" w:space="0" w:color="auto"/>
        <w:right w:val="none" w:sz="0" w:space="0" w:color="auto"/>
      </w:divBdr>
    </w:div>
    <w:div w:id="1422413550">
      <w:bodyDiv w:val="1"/>
      <w:marLeft w:val="0"/>
      <w:marRight w:val="0"/>
      <w:marTop w:val="0"/>
      <w:marBottom w:val="0"/>
      <w:divBdr>
        <w:top w:val="none" w:sz="0" w:space="0" w:color="auto"/>
        <w:left w:val="none" w:sz="0" w:space="0" w:color="auto"/>
        <w:bottom w:val="none" w:sz="0" w:space="0" w:color="auto"/>
        <w:right w:val="none" w:sz="0" w:space="0" w:color="auto"/>
      </w:divBdr>
    </w:div>
    <w:div w:id="1468279128">
      <w:bodyDiv w:val="1"/>
      <w:marLeft w:val="0"/>
      <w:marRight w:val="0"/>
      <w:marTop w:val="0"/>
      <w:marBottom w:val="0"/>
      <w:divBdr>
        <w:top w:val="none" w:sz="0" w:space="0" w:color="auto"/>
        <w:left w:val="none" w:sz="0" w:space="0" w:color="auto"/>
        <w:bottom w:val="none" w:sz="0" w:space="0" w:color="auto"/>
        <w:right w:val="none" w:sz="0" w:space="0" w:color="auto"/>
      </w:divBdr>
    </w:div>
    <w:div w:id="1699158508">
      <w:bodyDiv w:val="1"/>
      <w:marLeft w:val="0"/>
      <w:marRight w:val="0"/>
      <w:marTop w:val="0"/>
      <w:marBottom w:val="0"/>
      <w:divBdr>
        <w:top w:val="none" w:sz="0" w:space="0" w:color="auto"/>
        <w:left w:val="none" w:sz="0" w:space="0" w:color="auto"/>
        <w:bottom w:val="none" w:sz="0" w:space="0" w:color="auto"/>
        <w:right w:val="none" w:sz="0" w:space="0" w:color="auto"/>
      </w:divBdr>
    </w:div>
    <w:div w:id="1722821169">
      <w:bodyDiv w:val="1"/>
      <w:marLeft w:val="0"/>
      <w:marRight w:val="0"/>
      <w:marTop w:val="0"/>
      <w:marBottom w:val="0"/>
      <w:divBdr>
        <w:top w:val="none" w:sz="0" w:space="0" w:color="auto"/>
        <w:left w:val="none" w:sz="0" w:space="0" w:color="auto"/>
        <w:bottom w:val="none" w:sz="0" w:space="0" w:color="auto"/>
        <w:right w:val="none" w:sz="0" w:space="0" w:color="auto"/>
      </w:divBdr>
    </w:div>
    <w:div w:id="1724403725">
      <w:bodyDiv w:val="1"/>
      <w:marLeft w:val="0"/>
      <w:marRight w:val="0"/>
      <w:marTop w:val="0"/>
      <w:marBottom w:val="0"/>
      <w:divBdr>
        <w:top w:val="none" w:sz="0" w:space="0" w:color="auto"/>
        <w:left w:val="none" w:sz="0" w:space="0" w:color="auto"/>
        <w:bottom w:val="none" w:sz="0" w:space="0" w:color="auto"/>
        <w:right w:val="none" w:sz="0" w:space="0" w:color="auto"/>
      </w:divBdr>
    </w:div>
    <w:div w:id="2086560646">
      <w:bodyDiv w:val="1"/>
      <w:marLeft w:val="0"/>
      <w:marRight w:val="0"/>
      <w:marTop w:val="0"/>
      <w:marBottom w:val="0"/>
      <w:divBdr>
        <w:top w:val="none" w:sz="0" w:space="0" w:color="auto"/>
        <w:left w:val="none" w:sz="0" w:space="0" w:color="auto"/>
        <w:bottom w:val="none" w:sz="0" w:space="0" w:color="auto"/>
        <w:right w:val="none" w:sz="0" w:space="0" w:color="auto"/>
      </w:divBdr>
      <w:divsChild>
        <w:div w:id="1245214962">
          <w:marLeft w:val="0"/>
          <w:marRight w:val="0"/>
          <w:marTop w:val="0"/>
          <w:marBottom w:val="0"/>
          <w:divBdr>
            <w:top w:val="none" w:sz="0" w:space="0" w:color="auto"/>
            <w:left w:val="none" w:sz="0" w:space="0" w:color="auto"/>
            <w:bottom w:val="none" w:sz="0" w:space="0" w:color="auto"/>
            <w:right w:val="none" w:sz="0" w:space="0" w:color="auto"/>
          </w:divBdr>
          <w:divsChild>
            <w:div w:id="1968312436">
              <w:marLeft w:val="0"/>
              <w:marRight w:val="0"/>
              <w:marTop w:val="0"/>
              <w:marBottom w:val="0"/>
              <w:divBdr>
                <w:top w:val="none" w:sz="0" w:space="0" w:color="auto"/>
                <w:left w:val="none" w:sz="0" w:space="0" w:color="auto"/>
                <w:bottom w:val="none" w:sz="0" w:space="0" w:color="auto"/>
                <w:right w:val="none" w:sz="0" w:space="0" w:color="auto"/>
              </w:divBdr>
              <w:divsChild>
                <w:div w:id="2695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49008" TargetMode="External"/><Relationship Id="rId13" Type="http://schemas.openxmlformats.org/officeDocument/2006/relationships/hyperlink" Target="https://www.google.com/search?q=https://doi.org/10.1509/jm.15.028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search?q=https://doi.org/10.1191/1478088706qp063oa" TargetMode="External"/><Relationship Id="rId12" Type="http://schemas.openxmlformats.org/officeDocument/2006/relationships/hyperlink" Target="https://doi.org/10.1007/s11747-014-0403-8" TargetMode="External"/><Relationship Id="rId17" Type="http://schemas.openxmlformats.org/officeDocument/2006/relationships/hyperlink" Target="https://www.google.com/search?q=https://doi.org/10.1086/651257" TargetMode="External"/><Relationship Id="rId2" Type="http://schemas.openxmlformats.org/officeDocument/2006/relationships/numbering" Target="numbering.xml"/><Relationship Id="rId16" Type="http://schemas.openxmlformats.org/officeDocument/2006/relationships/hyperlink" Target="https://www.google.com/search?q=https://doi.org/10.2307/3003654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m/search?q=https://doi.org/10.1108/IMDS-09-2015-0382" TargetMode="External"/><Relationship Id="rId5" Type="http://schemas.openxmlformats.org/officeDocument/2006/relationships/webSettings" Target="webSettings.xml"/><Relationship Id="rId15" Type="http://schemas.openxmlformats.org/officeDocument/2006/relationships/hyperlink" Target="https://www.google.com/search?q=https://doi.org/10.1146/annurev-psych-120710-100452" TargetMode="External"/><Relationship Id="rId10" Type="http://schemas.openxmlformats.org/officeDocument/2006/relationships/hyperlink" Target="https://doi.org/10.1108/EBR-11-2018-020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307/3151312" TargetMode="External"/><Relationship Id="rId14" Type="http://schemas.openxmlformats.org/officeDocument/2006/relationships/hyperlink" Target="https://www.google.com/search?q=https://doi.org/10.4018/ijec.2015100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EF011-59C0-4684-9511-15B240758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Eng-Mamdouh Elngar</dc:creator>
  <cp:lastModifiedBy>Noufah nono</cp:lastModifiedBy>
  <cp:revision>2</cp:revision>
  <cp:lastPrinted>2026-07-14T01:14:00Z</cp:lastPrinted>
  <dcterms:created xsi:type="dcterms:W3CDTF">2026-07-18T21:13:00Z</dcterms:created>
  <dcterms:modified xsi:type="dcterms:W3CDTF">2026-07-18T21:13:00Z</dcterms:modified>
</cp:coreProperties>
</file>