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8195B" w14:textId="77777777" w:rsidR="00303072" w:rsidRPr="00DF5E65" w:rsidRDefault="00804B87" w:rsidP="00DF5E65">
      <w:pPr>
        <w:bidi/>
        <w:spacing w:after="40" w:line="252" w:lineRule="auto"/>
        <w:jc w:val="center"/>
        <w:rPr>
          <w:rFonts w:ascii="Simplified Arabic" w:hAnsi="Simplified Arabic" w:cs="Simplified Arabic"/>
          <w:color w:val="000000" w:themeColor="text1"/>
          <w:szCs w:val="20"/>
        </w:rPr>
      </w:pPr>
      <w:r w:rsidRPr="00DF5E65">
        <w:rPr>
          <w:rFonts w:ascii="Simplified Arabic" w:hAnsi="Simplified Arabic" w:cs="Simplified Arabic"/>
          <w:b/>
          <w:color w:val="000000" w:themeColor="text1"/>
          <w:szCs w:val="20"/>
          <w:rtl/>
        </w:rPr>
        <w:t>نموذج مراجعة الاستبانة قبل التحكيم الخارجي - فوزية عبد الله الدبيان</w:t>
      </w:r>
    </w:p>
    <w:p w14:paraId="5F919EB5" w14:textId="77777777" w:rsidR="00303072" w:rsidRPr="00DF5E65" w:rsidRDefault="00804B87" w:rsidP="00DF5E65">
      <w:pPr>
        <w:bidi/>
        <w:spacing w:after="40" w:line="252" w:lineRule="auto"/>
        <w:jc w:val="center"/>
        <w:rPr>
          <w:rFonts w:ascii="Simplified Arabic" w:hAnsi="Simplified Arabic" w:cs="Simplified Arabic"/>
          <w:color w:val="000000" w:themeColor="text1"/>
          <w:szCs w:val="20"/>
        </w:rPr>
      </w:pPr>
      <w:r w:rsidRPr="00DF5E65">
        <w:rPr>
          <w:rFonts w:ascii="Simplified Arabic" w:hAnsi="Simplified Arabic" w:cs="Simplified Arabic"/>
          <w:b/>
          <w:color w:val="000000" w:themeColor="text1"/>
          <w:szCs w:val="20"/>
          <w:rtl/>
        </w:rPr>
        <w:t>نموذج مراجعة مشرف الرسالة قبل إرسال الاستبانة إلى المحكمين الخارجيين</w:t>
      </w:r>
    </w:p>
    <w:p w14:paraId="7082801C" w14:textId="77777777" w:rsidR="00303072" w:rsidRPr="00DF5E65" w:rsidRDefault="00804B87" w:rsidP="00DF5E65">
      <w:pPr>
        <w:bidi/>
        <w:spacing w:after="80" w:line="252" w:lineRule="auto"/>
        <w:jc w:val="center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>ملاحظة: يُترك عمود رد الطالب/التعديل المنجز للطالب لاستكماله بعد مراجعة النسخة المعدلة، مع إرفاق نسخة محدثة تُظهر التعديلات الجوهرية قبل الإرسال للمحكمين.</w:t>
      </w:r>
    </w:p>
    <w:p w14:paraId="5979A3C3" w14:textId="77777777" w:rsidR="00303072" w:rsidRPr="00DF5E65" w:rsidRDefault="00804B87" w:rsidP="00DF5E65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>أولاً: بيانات عامة عن الاستبانة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453"/>
        <w:gridCol w:w="13363"/>
      </w:tblGrid>
      <w:tr w:rsidR="00303072" w:rsidRPr="00DF5E65" w14:paraId="2AE79FF0" w14:textId="77777777" w:rsidTr="00DF5E65">
        <w:tc>
          <w:tcPr>
            <w:tcW w:w="2475" w:type="dxa"/>
            <w:vAlign w:val="center"/>
          </w:tcPr>
          <w:p w14:paraId="2A8C57C4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البند</w:t>
            </w:r>
          </w:p>
        </w:tc>
        <w:tc>
          <w:tcPr>
            <w:tcW w:w="13567" w:type="dxa"/>
            <w:vAlign w:val="center"/>
          </w:tcPr>
          <w:p w14:paraId="650FD19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التفاصيل</w:t>
            </w:r>
          </w:p>
        </w:tc>
      </w:tr>
      <w:tr w:rsidR="00303072" w:rsidRPr="00DF5E65" w14:paraId="34B51581" w14:textId="77777777" w:rsidTr="00DF5E65">
        <w:tc>
          <w:tcPr>
            <w:tcW w:w="2475" w:type="dxa"/>
            <w:vAlign w:val="center"/>
          </w:tcPr>
          <w:p w14:paraId="12EF821F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color w:val="000000" w:themeColor="text1"/>
                <w:szCs w:val="20"/>
                <w:rtl/>
              </w:rPr>
              <w:t>اسم الطالب/الطالبة</w:t>
            </w:r>
          </w:p>
        </w:tc>
        <w:tc>
          <w:tcPr>
            <w:tcW w:w="13567" w:type="dxa"/>
            <w:vAlign w:val="center"/>
          </w:tcPr>
          <w:p w14:paraId="095FA12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فوزية عبد الله الدبيان</w:t>
            </w:r>
          </w:p>
        </w:tc>
      </w:tr>
      <w:tr w:rsidR="00303072" w:rsidRPr="00DF5E65" w14:paraId="2226ACD9" w14:textId="77777777" w:rsidTr="00DF5E65">
        <w:tc>
          <w:tcPr>
            <w:tcW w:w="2475" w:type="dxa"/>
            <w:vAlign w:val="center"/>
          </w:tcPr>
          <w:p w14:paraId="2206B747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color w:val="000000" w:themeColor="text1"/>
                <w:szCs w:val="20"/>
                <w:rtl/>
              </w:rPr>
              <w:t>عنوان الرسالة</w:t>
            </w:r>
          </w:p>
        </w:tc>
        <w:tc>
          <w:tcPr>
            <w:tcW w:w="13567" w:type="dxa"/>
            <w:vAlign w:val="center"/>
          </w:tcPr>
          <w:p w14:paraId="76B1E838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ذكاء الأعمال والابتكار التنظيمي: الدور الوسيط لجودة القرارات الاستراتيجية في المصارف العاملة بمدينة الرياض</w:t>
            </w:r>
          </w:p>
        </w:tc>
      </w:tr>
      <w:tr w:rsidR="00303072" w:rsidRPr="00DF5E65" w14:paraId="7A97A508" w14:textId="77777777" w:rsidTr="00DF5E65">
        <w:tc>
          <w:tcPr>
            <w:tcW w:w="2475" w:type="dxa"/>
            <w:vAlign w:val="center"/>
          </w:tcPr>
          <w:p w14:paraId="40C1C817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color w:val="000000" w:themeColor="text1"/>
                <w:szCs w:val="20"/>
                <w:rtl/>
              </w:rPr>
              <w:t>نوع الأداة</w:t>
            </w:r>
          </w:p>
        </w:tc>
        <w:tc>
          <w:tcPr>
            <w:tcW w:w="13567" w:type="dxa"/>
            <w:vAlign w:val="center"/>
          </w:tcPr>
          <w:p w14:paraId="6525EA3A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استبانة موجهة للتحكيم العلمي ثم للتطبيق الميداني في القطاع المصرفي</w:t>
            </w:r>
          </w:p>
        </w:tc>
      </w:tr>
      <w:tr w:rsidR="00303072" w:rsidRPr="00DF5E65" w14:paraId="5740E571" w14:textId="77777777" w:rsidTr="00DF5E65">
        <w:tc>
          <w:tcPr>
            <w:tcW w:w="2475" w:type="dxa"/>
            <w:vAlign w:val="center"/>
          </w:tcPr>
          <w:p w14:paraId="26A32EAD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color w:val="000000" w:themeColor="text1"/>
                <w:szCs w:val="20"/>
                <w:rtl/>
              </w:rPr>
              <w:t>الغرض من المراجعة</w:t>
            </w:r>
          </w:p>
        </w:tc>
        <w:tc>
          <w:tcPr>
            <w:tcW w:w="13567" w:type="dxa"/>
            <w:vAlign w:val="center"/>
          </w:tcPr>
          <w:p w14:paraId="5D42659B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مراجعة اتساق متغيرات ذكاء الأعمال وجودة القرارات الاستراتيجية والابتكار التنظيمي، وفحص وضوح الفقرات وترجمتها وتكييفها مع البيئة المصرفية.</w:t>
            </w:r>
          </w:p>
        </w:tc>
      </w:tr>
      <w:tr w:rsidR="00303072" w:rsidRPr="00DF5E65" w14:paraId="7843CCBB" w14:textId="77777777" w:rsidTr="00DF5E65">
        <w:tc>
          <w:tcPr>
            <w:tcW w:w="2475" w:type="dxa"/>
            <w:vAlign w:val="center"/>
          </w:tcPr>
          <w:p w14:paraId="6FAEFCBC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color w:val="000000" w:themeColor="text1"/>
                <w:szCs w:val="20"/>
                <w:rtl/>
              </w:rPr>
              <w:t>قرار المشرف قبل التحكيم الخارجي</w:t>
            </w:r>
          </w:p>
        </w:tc>
        <w:tc>
          <w:tcPr>
            <w:tcW w:w="13567" w:type="dxa"/>
            <w:vAlign w:val="center"/>
          </w:tcPr>
          <w:p w14:paraId="2722AC96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تحتاج الاستبانة إلى مراجعة تنظيمية ومفاهيمية قبل التحكيم، مع حذف التكرار وضبط مقياس الإجابة والفقرات المكررة.</w:t>
            </w:r>
          </w:p>
        </w:tc>
      </w:tr>
    </w:tbl>
    <w:p w14:paraId="5C1224C2" w14:textId="77777777" w:rsidR="00303072" w:rsidRPr="00DF5E65" w:rsidRDefault="00303072" w:rsidP="00DF5E65">
      <w:pPr>
        <w:bidi/>
        <w:spacing w:after="80" w:line="252" w:lineRule="auto"/>
        <w:jc w:val="both"/>
        <w:rPr>
          <w:rFonts w:ascii="Simplified Arabic" w:hAnsi="Simplified Arabic" w:cs="Simplified Arabic"/>
          <w:color w:val="000000" w:themeColor="text1"/>
          <w:szCs w:val="20"/>
        </w:rPr>
      </w:pPr>
    </w:p>
    <w:p w14:paraId="3F190603" w14:textId="77777777" w:rsidR="00303072" w:rsidRPr="00DF5E65" w:rsidRDefault="00804B87" w:rsidP="00DF5E65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>ثانياً: ملخص نقاط القوة والجوانب التي تحتاج إلى عناية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908"/>
        <w:gridCol w:w="7908"/>
      </w:tblGrid>
      <w:tr w:rsidR="00303072" w:rsidRPr="00DF5E65" w14:paraId="23545498" w14:textId="77777777" w:rsidTr="00DF5E65">
        <w:tc>
          <w:tcPr>
            <w:tcW w:w="7913" w:type="dxa"/>
            <w:vAlign w:val="center"/>
          </w:tcPr>
          <w:p w14:paraId="3E086B4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نقاط قوة أولية</w:t>
            </w:r>
          </w:p>
        </w:tc>
        <w:tc>
          <w:tcPr>
            <w:tcW w:w="7913" w:type="dxa"/>
            <w:vAlign w:val="center"/>
          </w:tcPr>
          <w:p w14:paraId="64080929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ملاحظات تطويرية عامة</w:t>
            </w:r>
          </w:p>
        </w:tc>
      </w:tr>
      <w:tr w:rsidR="00303072" w:rsidRPr="00DF5E65" w14:paraId="65C3EC0B" w14:textId="77777777" w:rsidTr="00DF5E65">
        <w:tc>
          <w:tcPr>
            <w:tcW w:w="7776" w:type="dxa"/>
            <w:vAlign w:val="center"/>
          </w:tcPr>
          <w:p w14:paraId="753E17DE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• هيكل الدراسة واضح ويشمل متغيراً مستقلاً ووسيطاً وتابعاً.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توجد محاولة جيدة لربط الفقرات بمصادر حديثة وترجمة بعضها إلى سياق مصرفي.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تضمين الاعتبارات الأخلاقية في المقدمة نقطة قوة مهمة.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التعريفات الإجرائية في نسخة المستجيب تساعد على توجيه المحكمين والطلبة.</w:t>
            </w:r>
          </w:p>
        </w:tc>
        <w:tc>
          <w:tcPr>
            <w:tcW w:w="7776" w:type="dxa"/>
            <w:vAlign w:val="center"/>
          </w:tcPr>
          <w:p w14:paraId="6A2698E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• يوجد تكرار في المقدمة وبعض الفقرات، وتاريخ الأداة غير مكتمل.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بعض فقرات الوسيط تشير مباشرة إلى ذكاء الأعمال، مما يضعف الفصل بين المتغيرات.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تحتاج أبعاد نموذج TAM إلى تبرير داخل متغير ذكاء الأعمال أو إعادة تسمية المتغير.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br/>
              <w:t>• لا يظهر مقياس ليكرت واضح ومكتمل في نسخة المستجيب.</w:t>
            </w:r>
          </w:p>
        </w:tc>
      </w:tr>
    </w:tbl>
    <w:p w14:paraId="284348F3" w14:textId="77777777" w:rsidR="00303072" w:rsidRPr="00DF5E65" w:rsidRDefault="00303072" w:rsidP="00DF5E65">
      <w:pPr>
        <w:bidi/>
        <w:spacing w:after="80" w:line="252" w:lineRule="auto"/>
        <w:jc w:val="both"/>
        <w:rPr>
          <w:rFonts w:ascii="Simplified Arabic" w:hAnsi="Simplified Arabic" w:cs="Simplified Arabic"/>
          <w:color w:val="000000" w:themeColor="text1"/>
          <w:szCs w:val="20"/>
        </w:rPr>
      </w:pPr>
    </w:p>
    <w:p w14:paraId="38525BC8" w14:textId="77777777" w:rsidR="00303072" w:rsidRPr="00DF5E65" w:rsidRDefault="00804B87" w:rsidP="00DF5E65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>ثالثاً: جدول المراجعة التفصيلية والتوجيهات المطلوبة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26"/>
        <w:gridCol w:w="1823"/>
        <w:gridCol w:w="1404"/>
        <w:gridCol w:w="5323"/>
        <w:gridCol w:w="3164"/>
        <w:gridCol w:w="1422"/>
        <w:gridCol w:w="2054"/>
      </w:tblGrid>
      <w:tr w:rsidR="00303072" w:rsidRPr="00DF5E65" w14:paraId="61DEDBA9" w14:textId="77777777" w:rsidTr="00DF5E65">
        <w:tc>
          <w:tcPr>
            <w:tcW w:w="631" w:type="dxa"/>
            <w:vAlign w:val="center"/>
          </w:tcPr>
          <w:p w14:paraId="4A97E8C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م</w:t>
            </w:r>
          </w:p>
        </w:tc>
        <w:tc>
          <w:tcPr>
            <w:tcW w:w="1844" w:type="dxa"/>
            <w:vAlign w:val="center"/>
          </w:tcPr>
          <w:p w14:paraId="40C96A44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القسم/الفقرة محل المراجعة</w:t>
            </w:r>
          </w:p>
        </w:tc>
        <w:tc>
          <w:tcPr>
            <w:tcW w:w="1418" w:type="dxa"/>
            <w:vAlign w:val="center"/>
          </w:tcPr>
          <w:p w14:paraId="09FE7BFD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نوع الملاحظة</w:t>
            </w:r>
          </w:p>
        </w:tc>
        <w:tc>
          <w:tcPr>
            <w:tcW w:w="5418" w:type="dxa"/>
            <w:vAlign w:val="center"/>
          </w:tcPr>
          <w:p w14:paraId="02E73EC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تعليق المشرف والتوجيه التفصيلي</w:t>
            </w:r>
          </w:p>
        </w:tc>
        <w:tc>
          <w:tcPr>
            <w:tcW w:w="3212" w:type="dxa"/>
            <w:vAlign w:val="center"/>
          </w:tcPr>
          <w:p w14:paraId="7C5F1B2C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الإجراء المطلوب من الطالب</w:t>
            </w:r>
          </w:p>
        </w:tc>
        <w:tc>
          <w:tcPr>
            <w:tcW w:w="1442" w:type="dxa"/>
            <w:vAlign w:val="center"/>
          </w:tcPr>
          <w:p w14:paraId="67A2558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الحالة</w:t>
            </w:r>
          </w:p>
        </w:tc>
        <w:tc>
          <w:tcPr>
            <w:tcW w:w="2077" w:type="dxa"/>
            <w:vAlign w:val="center"/>
          </w:tcPr>
          <w:p w14:paraId="59B723A2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رد الطالب/التعديل المنجز</w:t>
            </w:r>
          </w:p>
        </w:tc>
      </w:tr>
      <w:tr w:rsidR="00303072" w:rsidRPr="00DF5E65" w14:paraId="6638BFEA" w14:textId="77777777" w:rsidTr="00DF5E65">
        <w:tc>
          <w:tcPr>
            <w:tcW w:w="631" w:type="dxa"/>
            <w:vAlign w:val="center"/>
          </w:tcPr>
          <w:p w14:paraId="3D9DCC1E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</w:t>
            </w:r>
          </w:p>
        </w:tc>
        <w:tc>
          <w:tcPr>
            <w:tcW w:w="1844" w:type="dxa"/>
            <w:vAlign w:val="center"/>
          </w:tcPr>
          <w:p w14:paraId="69AC800D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بيانات الغلاف</w:t>
            </w:r>
          </w:p>
        </w:tc>
        <w:tc>
          <w:tcPr>
            <w:tcW w:w="1418" w:type="dxa"/>
            <w:vAlign w:val="center"/>
          </w:tcPr>
          <w:p w14:paraId="19B954CE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تنظيم</w:t>
            </w:r>
          </w:p>
        </w:tc>
        <w:tc>
          <w:tcPr>
            <w:tcW w:w="5418" w:type="dxa"/>
            <w:vAlign w:val="center"/>
          </w:tcPr>
          <w:p w14:paraId="75F733C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تاريخ الأداة غير مكتمل، كما ورد اسم الباحثة بصيغتين: فوزيه/فوزية.</w:t>
            </w:r>
          </w:p>
        </w:tc>
        <w:tc>
          <w:tcPr>
            <w:tcW w:w="3212" w:type="dxa"/>
            <w:vAlign w:val="center"/>
          </w:tcPr>
          <w:p w14:paraId="278979E9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استكمال التاريخ وتوحيد كتابة الاسم في كامل المستند والغلاف ونموذج التحكيم.</w:t>
            </w:r>
          </w:p>
        </w:tc>
        <w:tc>
          <w:tcPr>
            <w:tcW w:w="1442" w:type="dxa"/>
            <w:vAlign w:val="center"/>
          </w:tcPr>
          <w:p w14:paraId="6016B0CA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تعديل</w:t>
            </w:r>
          </w:p>
        </w:tc>
        <w:tc>
          <w:tcPr>
            <w:tcW w:w="2077" w:type="dxa"/>
            <w:vAlign w:val="center"/>
          </w:tcPr>
          <w:p w14:paraId="61892AB8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5A61BE22" w14:textId="77777777" w:rsidTr="00DF5E65">
        <w:tc>
          <w:tcPr>
            <w:tcW w:w="631" w:type="dxa"/>
            <w:vAlign w:val="center"/>
          </w:tcPr>
          <w:p w14:paraId="2A276381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2</w:t>
            </w:r>
          </w:p>
        </w:tc>
        <w:tc>
          <w:tcPr>
            <w:tcW w:w="1844" w:type="dxa"/>
            <w:vAlign w:val="center"/>
          </w:tcPr>
          <w:p w14:paraId="44210A21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تكرار المقدمة</w:t>
            </w:r>
          </w:p>
        </w:tc>
        <w:tc>
          <w:tcPr>
            <w:tcW w:w="1418" w:type="dxa"/>
            <w:vAlign w:val="center"/>
          </w:tcPr>
          <w:p w14:paraId="428E6BA8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تنظيم وإخراج</w:t>
            </w:r>
          </w:p>
        </w:tc>
        <w:tc>
          <w:tcPr>
            <w:tcW w:w="5418" w:type="dxa"/>
            <w:vAlign w:val="center"/>
          </w:tcPr>
          <w:p w14:paraId="6CC4D36F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تظهر مقدمة التحكيم والنص الأخلاقي أكثر من مرة داخل الملف، وهذا يضعف جاهزية النسخة النهائية.</w:t>
            </w:r>
          </w:p>
        </w:tc>
        <w:tc>
          <w:tcPr>
            <w:tcW w:w="3212" w:type="dxa"/>
            <w:vAlign w:val="center"/>
          </w:tcPr>
          <w:p w14:paraId="55F04D7F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حذف التكرار والإبقاء على نسخة واحدة مرتبة للمحكمين ونسخة منفصلة للمستجيبين.</w:t>
            </w:r>
          </w:p>
        </w:tc>
        <w:tc>
          <w:tcPr>
            <w:tcW w:w="1442" w:type="dxa"/>
            <w:vAlign w:val="center"/>
          </w:tcPr>
          <w:p w14:paraId="7ED9EADB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تنظيف</w:t>
            </w:r>
          </w:p>
        </w:tc>
        <w:tc>
          <w:tcPr>
            <w:tcW w:w="2077" w:type="dxa"/>
            <w:vAlign w:val="center"/>
          </w:tcPr>
          <w:p w14:paraId="0913DF14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5F90048C" w14:textId="77777777" w:rsidTr="00DF5E65">
        <w:tc>
          <w:tcPr>
            <w:tcW w:w="631" w:type="dxa"/>
            <w:vAlign w:val="center"/>
          </w:tcPr>
          <w:p w14:paraId="72C7FD35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3</w:t>
            </w:r>
          </w:p>
        </w:tc>
        <w:tc>
          <w:tcPr>
            <w:tcW w:w="1844" w:type="dxa"/>
            <w:vAlign w:val="center"/>
          </w:tcPr>
          <w:p w14:paraId="7D49D8CE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هيكل المتغيرات</w:t>
            </w:r>
          </w:p>
        </w:tc>
        <w:tc>
          <w:tcPr>
            <w:tcW w:w="1418" w:type="dxa"/>
            <w:vAlign w:val="center"/>
          </w:tcPr>
          <w:p w14:paraId="150F4F19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اتساق منهجي</w:t>
            </w:r>
          </w:p>
        </w:tc>
        <w:tc>
          <w:tcPr>
            <w:tcW w:w="5418" w:type="dxa"/>
            <w:vAlign w:val="center"/>
          </w:tcPr>
          <w:p w14:paraId="075A3A18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البناء العام مناسب: ذكاء الأعمال، جودة القرارات الاستراتيجية كوسيط، والابتكار التنظيمي كمتغير تابع.</w:t>
            </w:r>
          </w:p>
        </w:tc>
        <w:tc>
          <w:tcPr>
            <w:tcW w:w="3212" w:type="dxa"/>
            <w:vAlign w:val="center"/>
          </w:tcPr>
          <w:p w14:paraId="2B734D30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 xml:space="preserve">إظهار نموذج الدراسة أو مخطط مختصر يوضح المسار: ذكاء الأعمال </w:t>
            </w:r>
            <w:r w:rsidRPr="00DF5E65">
              <w:rPr>
                <w:rFonts w:ascii="Times New Roman" w:hAnsi="Times New Roman" w:cs="Times New Roman" w:hint="cs"/>
                <w:color w:val="000000" w:themeColor="text1"/>
                <w:szCs w:val="20"/>
                <w:rtl/>
              </w:rPr>
              <w:t>←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 xml:space="preserve"> </w:t>
            </w:r>
            <w:r w:rsidRPr="00DF5E65">
              <w:rPr>
                <w:rFonts w:ascii="Simplified Arabic" w:hAnsi="Simplified Arabic" w:cs="Simplified Arabic" w:hint="cs"/>
                <w:color w:val="000000" w:themeColor="text1"/>
                <w:szCs w:val="20"/>
                <w:rtl/>
              </w:rPr>
              <w:t>جودة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 xml:space="preserve"> </w:t>
            </w:r>
            <w:r w:rsidRPr="00DF5E65">
              <w:rPr>
                <w:rFonts w:ascii="Simplified Arabic" w:hAnsi="Simplified Arabic" w:cs="Simplified Arabic" w:hint="cs"/>
                <w:color w:val="000000" w:themeColor="text1"/>
                <w:szCs w:val="20"/>
                <w:rtl/>
              </w:rPr>
              <w:t>القرارات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 xml:space="preserve"> </w:t>
            </w:r>
            <w:r w:rsidRPr="00DF5E65">
              <w:rPr>
                <w:rFonts w:ascii="Times New Roman" w:hAnsi="Times New Roman" w:cs="Times New Roman" w:hint="cs"/>
                <w:color w:val="000000" w:themeColor="text1"/>
                <w:szCs w:val="20"/>
                <w:rtl/>
              </w:rPr>
              <w:t>←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 xml:space="preserve"> </w:t>
            </w:r>
            <w:r w:rsidRPr="00DF5E65">
              <w:rPr>
                <w:rFonts w:ascii="Simplified Arabic" w:hAnsi="Simplified Arabic" w:cs="Simplified Arabic" w:hint="cs"/>
                <w:color w:val="000000" w:themeColor="text1"/>
                <w:szCs w:val="20"/>
                <w:rtl/>
              </w:rPr>
              <w:t>الابتكار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 xml:space="preserve"> </w:t>
            </w:r>
            <w:r w:rsidRPr="00DF5E65">
              <w:rPr>
                <w:rFonts w:ascii="Simplified Arabic" w:hAnsi="Simplified Arabic" w:cs="Simplified Arabic" w:hint="cs"/>
                <w:color w:val="000000" w:themeColor="text1"/>
                <w:szCs w:val="20"/>
                <w:rtl/>
              </w:rPr>
              <w:t>التنظيمي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.</w:t>
            </w:r>
          </w:p>
        </w:tc>
        <w:tc>
          <w:tcPr>
            <w:tcW w:w="1442" w:type="dxa"/>
            <w:vAlign w:val="center"/>
          </w:tcPr>
          <w:p w14:paraId="0164F332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مقبول مع تحسين</w:t>
            </w:r>
          </w:p>
        </w:tc>
        <w:tc>
          <w:tcPr>
            <w:tcW w:w="2077" w:type="dxa"/>
            <w:vAlign w:val="center"/>
          </w:tcPr>
          <w:p w14:paraId="18D286F4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37E9FB2D" w14:textId="77777777" w:rsidTr="00DF5E65">
        <w:tc>
          <w:tcPr>
            <w:tcW w:w="631" w:type="dxa"/>
            <w:vAlign w:val="center"/>
          </w:tcPr>
          <w:p w14:paraId="330B6642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lastRenderedPageBreak/>
              <w:t>4</w:t>
            </w:r>
          </w:p>
        </w:tc>
        <w:tc>
          <w:tcPr>
            <w:tcW w:w="1844" w:type="dxa"/>
            <w:vAlign w:val="center"/>
          </w:tcPr>
          <w:p w14:paraId="575EC9A4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ذكاء الأعمال كمتغير مستقل</w:t>
            </w:r>
          </w:p>
        </w:tc>
        <w:tc>
          <w:tcPr>
            <w:tcW w:w="1418" w:type="dxa"/>
            <w:vAlign w:val="center"/>
          </w:tcPr>
          <w:p w14:paraId="6A6A8659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تبرير نظري</w:t>
            </w:r>
          </w:p>
        </w:tc>
        <w:tc>
          <w:tcPr>
            <w:tcW w:w="5418" w:type="dxa"/>
            <w:vAlign w:val="center"/>
          </w:tcPr>
          <w:p w14:paraId="13B0E22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استخدام أبعاد نموذج TAM مثل الفائدة وسهولة الاستخدام ونية الاستخدام قد يقيس قبول التقنية أكثر من قياس ذكاء الأعمال ذاته.</w:t>
            </w:r>
          </w:p>
        </w:tc>
        <w:tc>
          <w:tcPr>
            <w:tcW w:w="3212" w:type="dxa"/>
            <w:vAlign w:val="center"/>
          </w:tcPr>
          <w:p w14:paraId="03E068CE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تبرير نظري واضح لاستخدام TAM أو إعادة تسمية المتغير إلى "قبول واستخدام ذكاء الأعمال" إذا كان ذلك أدق.</w:t>
            </w:r>
          </w:p>
        </w:tc>
        <w:tc>
          <w:tcPr>
            <w:tcW w:w="1442" w:type="dxa"/>
            <w:vAlign w:val="center"/>
          </w:tcPr>
          <w:p w14:paraId="532165A0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تبرير</w:t>
            </w:r>
          </w:p>
        </w:tc>
        <w:tc>
          <w:tcPr>
            <w:tcW w:w="2077" w:type="dxa"/>
            <w:vAlign w:val="center"/>
          </w:tcPr>
          <w:p w14:paraId="43448D35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0CD4C594" w14:textId="77777777" w:rsidTr="00DF5E65">
        <w:tc>
          <w:tcPr>
            <w:tcW w:w="631" w:type="dxa"/>
            <w:vAlign w:val="center"/>
          </w:tcPr>
          <w:p w14:paraId="2655CDC8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5</w:t>
            </w:r>
          </w:p>
        </w:tc>
        <w:tc>
          <w:tcPr>
            <w:tcW w:w="1844" w:type="dxa"/>
            <w:vAlign w:val="center"/>
          </w:tcPr>
          <w:p w14:paraId="44C442BB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نية الاستخدام</w:t>
            </w:r>
          </w:p>
        </w:tc>
        <w:tc>
          <w:tcPr>
            <w:tcW w:w="1418" w:type="dxa"/>
            <w:vAlign w:val="center"/>
          </w:tcPr>
          <w:p w14:paraId="3840C7F1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تداخل مع السلوك</w:t>
            </w:r>
          </w:p>
        </w:tc>
        <w:tc>
          <w:tcPr>
            <w:tcW w:w="5418" w:type="dxa"/>
            <w:vAlign w:val="center"/>
          </w:tcPr>
          <w:p w14:paraId="28433162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بعض عبارات نية الاستخدام قريبة من التوصية أو الرغبة الشخصية، وقد لا تقيس الاستخدام الفعلي للأنظمة.</w:t>
            </w:r>
          </w:p>
        </w:tc>
        <w:tc>
          <w:tcPr>
            <w:tcW w:w="3212" w:type="dxa"/>
            <w:vAlign w:val="center"/>
          </w:tcPr>
          <w:p w14:paraId="34CA455C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تقليل العبارات السلوكية العامة، وإضافة عبارات عن الاعتماد الفعلي على مخرجات ذكاء الأعمال في العمل المصرفي.</w:t>
            </w:r>
          </w:p>
        </w:tc>
        <w:tc>
          <w:tcPr>
            <w:tcW w:w="1442" w:type="dxa"/>
            <w:vAlign w:val="center"/>
          </w:tcPr>
          <w:p w14:paraId="4ED39C3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مراجعة</w:t>
            </w:r>
          </w:p>
        </w:tc>
        <w:tc>
          <w:tcPr>
            <w:tcW w:w="2077" w:type="dxa"/>
            <w:vAlign w:val="center"/>
          </w:tcPr>
          <w:p w14:paraId="271C8987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6AF93858" w14:textId="77777777" w:rsidTr="00DF5E65">
        <w:tc>
          <w:tcPr>
            <w:tcW w:w="631" w:type="dxa"/>
            <w:vAlign w:val="center"/>
          </w:tcPr>
          <w:p w14:paraId="59AC87D2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6</w:t>
            </w:r>
          </w:p>
        </w:tc>
        <w:tc>
          <w:tcPr>
            <w:tcW w:w="1844" w:type="dxa"/>
            <w:vAlign w:val="center"/>
          </w:tcPr>
          <w:p w14:paraId="4AE360F3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عبارة إضافية في نية الاستخدام</w:t>
            </w:r>
          </w:p>
        </w:tc>
        <w:tc>
          <w:tcPr>
            <w:tcW w:w="1418" w:type="dxa"/>
            <w:vAlign w:val="center"/>
          </w:tcPr>
          <w:p w14:paraId="100B2611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توثيق</w:t>
            </w:r>
          </w:p>
        </w:tc>
        <w:tc>
          <w:tcPr>
            <w:tcW w:w="5418" w:type="dxa"/>
            <w:vAlign w:val="center"/>
          </w:tcPr>
          <w:p w14:paraId="16C02136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توجد عبارة إضافية دون مصدر واضح، وقريبة في المعنى من عبارة التوصية للزملاء.</w:t>
            </w:r>
          </w:p>
        </w:tc>
        <w:tc>
          <w:tcPr>
            <w:tcW w:w="3212" w:type="dxa"/>
            <w:vAlign w:val="center"/>
          </w:tcPr>
          <w:p w14:paraId="63C6CF9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إما حذف العبارة أو تبرير إضافتها وتوضيح مصدر بنائها، مع تقليل التكرار بينها وبين العبارة السابقة.</w:t>
            </w:r>
          </w:p>
        </w:tc>
        <w:tc>
          <w:tcPr>
            <w:tcW w:w="1442" w:type="dxa"/>
            <w:vAlign w:val="center"/>
          </w:tcPr>
          <w:p w14:paraId="5D16857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قرار</w:t>
            </w:r>
          </w:p>
        </w:tc>
        <w:tc>
          <w:tcPr>
            <w:tcW w:w="2077" w:type="dxa"/>
            <w:vAlign w:val="center"/>
          </w:tcPr>
          <w:p w14:paraId="440ABCC9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7A45CDAE" w14:textId="77777777" w:rsidTr="00DF5E65">
        <w:tc>
          <w:tcPr>
            <w:tcW w:w="631" w:type="dxa"/>
            <w:vAlign w:val="center"/>
          </w:tcPr>
          <w:p w14:paraId="75F37330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7</w:t>
            </w:r>
          </w:p>
        </w:tc>
        <w:tc>
          <w:tcPr>
            <w:tcW w:w="1844" w:type="dxa"/>
            <w:vAlign w:val="center"/>
          </w:tcPr>
          <w:p w14:paraId="1796F5F2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المتغير الوسيط</w:t>
            </w:r>
          </w:p>
        </w:tc>
        <w:tc>
          <w:tcPr>
            <w:tcW w:w="1418" w:type="dxa"/>
            <w:vAlign w:val="center"/>
          </w:tcPr>
          <w:p w14:paraId="156601FC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فصل مفاهيمي</w:t>
            </w:r>
          </w:p>
        </w:tc>
        <w:tc>
          <w:tcPr>
            <w:tcW w:w="5418" w:type="dxa"/>
            <w:vAlign w:val="center"/>
          </w:tcPr>
          <w:p w14:paraId="0566D57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بعض فقرات جودة القرار تشير مباشرة إلى أنظمة ذكاء الأعمال، وهذا قد يخلق تداخلاً بين المتغير المستقل والوسيط.</w:t>
            </w:r>
          </w:p>
        </w:tc>
        <w:tc>
          <w:tcPr>
            <w:tcW w:w="3212" w:type="dxa"/>
            <w:vAlign w:val="center"/>
          </w:tcPr>
          <w:p w14:paraId="5517596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إعادة صياغة فقرات الوسيط لتقيس جودة القرار بذاته دون الإشارة المباشرة إلى ذكاء الأعمال.</w:t>
            </w:r>
          </w:p>
        </w:tc>
        <w:tc>
          <w:tcPr>
            <w:tcW w:w="1442" w:type="dxa"/>
            <w:vAlign w:val="center"/>
          </w:tcPr>
          <w:p w14:paraId="7BCD4F8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تعديل</w:t>
            </w:r>
          </w:p>
        </w:tc>
        <w:tc>
          <w:tcPr>
            <w:tcW w:w="2077" w:type="dxa"/>
            <w:vAlign w:val="center"/>
          </w:tcPr>
          <w:p w14:paraId="0E700393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1519D690" w14:textId="77777777" w:rsidTr="00DF5E65">
        <w:tc>
          <w:tcPr>
            <w:tcW w:w="631" w:type="dxa"/>
            <w:vAlign w:val="center"/>
          </w:tcPr>
          <w:p w14:paraId="62F07DA7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8</w:t>
            </w:r>
          </w:p>
        </w:tc>
        <w:tc>
          <w:tcPr>
            <w:tcW w:w="1844" w:type="dxa"/>
            <w:vAlign w:val="center"/>
          </w:tcPr>
          <w:p w14:paraId="3F1149CF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خبرة متخذ القرار</w:t>
            </w:r>
          </w:p>
        </w:tc>
        <w:tc>
          <w:tcPr>
            <w:tcW w:w="1418" w:type="dxa"/>
            <w:vAlign w:val="center"/>
          </w:tcPr>
          <w:p w14:paraId="15495162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اتساق البعد</w:t>
            </w:r>
          </w:p>
        </w:tc>
        <w:tc>
          <w:tcPr>
            <w:tcW w:w="5418" w:type="dxa"/>
            <w:vAlign w:val="center"/>
          </w:tcPr>
          <w:p w14:paraId="38C3E582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خبرة متخذ القرار تبدو شرطاً أو متغيراً ضابطاً أكثر من كونها بعداً لجودة القرار، إلا إذا تم تبريرها نظرياً.</w:t>
            </w:r>
          </w:p>
        </w:tc>
        <w:tc>
          <w:tcPr>
            <w:tcW w:w="3212" w:type="dxa"/>
            <w:vAlign w:val="center"/>
          </w:tcPr>
          <w:p w14:paraId="4E487BF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تبرير إدراجها كبعد من جودة القرار، أو تحويلها إلى متغير ضابط/خصائص عينة إن كان ذلك أنسب.</w:t>
            </w:r>
          </w:p>
        </w:tc>
        <w:tc>
          <w:tcPr>
            <w:tcW w:w="1442" w:type="dxa"/>
            <w:vAlign w:val="center"/>
          </w:tcPr>
          <w:p w14:paraId="4DC7FD4E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تبرير</w:t>
            </w:r>
          </w:p>
        </w:tc>
        <w:tc>
          <w:tcPr>
            <w:tcW w:w="2077" w:type="dxa"/>
            <w:vAlign w:val="center"/>
          </w:tcPr>
          <w:p w14:paraId="0C4D85FC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2E82C4FA" w14:textId="77777777" w:rsidTr="00DF5E65">
        <w:tc>
          <w:tcPr>
            <w:tcW w:w="631" w:type="dxa"/>
            <w:vAlign w:val="center"/>
          </w:tcPr>
          <w:p w14:paraId="1B4906C4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9</w:t>
            </w:r>
          </w:p>
        </w:tc>
        <w:tc>
          <w:tcPr>
            <w:tcW w:w="1844" w:type="dxa"/>
            <w:vAlign w:val="center"/>
          </w:tcPr>
          <w:p w14:paraId="5B95465F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الابتكار التنظيمي</w:t>
            </w:r>
          </w:p>
        </w:tc>
        <w:tc>
          <w:tcPr>
            <w:tcW w:w="1418" w:type="dxa"/>
            <w:vAlign w:val="center"/>
          </w:tcPr>
          <w:p w14:paraId="08B99B0F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تكرار الفقرات</w:t>
            </w:r>
          </w:p>
        </w:tc>
        <w:tc>
          <w:tcPr>
            <w:tcW w:w="5418" w:type="dxa"/>
            <w:vAlign w:val="center"/>
          </w:tcPr>
          <w:p w14:paraId="537E3B2E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توجد فقرات مكررة أو شبه مكررة في أبعاد الابتكار، مثل تكرار فقرة ابتكار الخدمات الرقمية وتكرار آليات العمل المتطورة.</w:t>
            </w:r>
          </w:p>
        </w:tc>
        <w:tc>
          <w:tcPr>
            <w:tcW w:w="3212" w:type="dxa"/>
            <w:vAlign w:val="center"/>
          </w:tcPr>
          <w:p w14:paraId="2CB13E69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حذف الفقرات المكررة أو استبدالها بعبارات تقيس جوانب جديدة من الابتكار.</w:t>
            </w:r>
          </w:p>
        </w:tc>
        <w:tc>
          <w:tcPr>
            <w:tcW w:w="1442" w:type="dxa"/>
            <w:vAlign w:val="center"/>
          </w:tcPr>
          <w:p w14:paraId="26B40ECC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تعديل عاجل</w:t>
            </w:r>
          </w:p>
        </w:tc>
        <w:tc>
          <w:tcPr>
            <w:tcW w:w="2077" w:type="dxa"/>
            <w:vAlign w:val="center"/>
          </w:tcPr>
          <w:p w14:paraId="64A87AFA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0165C81E" w14:textId="77777777" w:rsidTr="00DF5E65">
        <w:tc>
          <w:tcPr>
            <w:tcW w:w="631" w:type="dxa"/>
            <w:vAlign w:val="center"/>
          </w:tcPr>
          <w:p w14:paraId="69CB83D5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10</w:t>
            </w:r>
          </w:p>
        </w:tc>
        <w:tc>
          <w:tcPr>
            <w:tcW w:w="1844" w:type="dxa"/>
            <w:vAlign w:val="center"/>
          </w:tcPr>
          <w:p w14:paraId="3F8D7A7D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جدول الابتكار التنظيمي</w:t>
            </w:r>
          </w:p>
        </w:tc>
        <w:tc>
          <w:tcPr>
            <w:tcW w:w="1418" w:type="dxa"/>
            <w:vAlign w:val="center"/>
          </w:tcPr>
          <w:p w14:paraId="31A0EDC5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تنسيق</w:t>
            </w:r>
          </w:p>
        </w:tc>
        <w:tc>
          <w:tcPr>
            <w:tcW w:w="5418" w:type="dxa"/>
            <w:vAlign w:val="center"/>
          </w:tcPr>
          <w:p w14:paraId="05CE68AD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يظهر في أحد الجداول عمودان باسم "التعديل"، مما يربك المحكم ويضعف وضوح المصدر والصياغة المعدلة.</w:t>
            </w:r>
          </w:p>
        </w:tc>
        <w:tc>
          <w:tcPr>
            <w:tcW w:w="3212" w:type="dxa"/>
            <w:vAlign w:val="center"/>
          </w:tcPr>
          <w:p w14:paraId="5A925A9C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توحيد الأعمدة إلى: المتغير/البعد، الفقرة الأصلية، المصدر، الصياغة المعدلة.</w:t>
            </w:r>
          </w:p>
        </w:tc>
        <w:tc>
          <w:tcPr>
            <w:tcW w:w="1442" w:type="dxa"/>
            <w:vAlign w:val="center"/>
          </w:tcPr>
          <w:p w14:paraId="3BAB017E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تنسيق</w:t>
            </w:r>
          </w:p>
        </w:tc>
        <w:tc>
          <w:tcPr>
            <w:tcW w:w="2077" w:type="dxa"/>
            <w:vAlign w:val="center"/>
          </w:tcPr>
          <w:p w14:paraId="2A650B0D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52EED357" w14:textId="77777777" w:rsidTr="00DF5E65">
        <w:tc>
          <w:tcPr>
            <w:tcW w:w="631" w:type="dxa"/>
            <w:vAlign w:val="center"/>
          </w:tcPr>
          <w:p w14:paraId="38BAEAEF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11</w:t>
            </w:r>
          </w:p>
        </w:tc>
        <w:tc>
          <w:tcPr>
            <w:tcW w:w="1844" w:type="dxa"/>
            <w:vAlign w:val="center"/>
          </w:tcPr>
          <w:p w14:paraId="75D3A9F7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البيئة المصرفية</w:t>
            </w:r>
          </w:p>
        </w:tc>
        <w:tc>
          <w:tcPr>
            <w:tcW w:w="1418" w:type="dxa"/>
            <w:vAlign w:val="center"/>
          </w:tcPr>
          <w:p w14:paraId="542C578C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ملاءمة العينة</w:t>
            </w:r>
          </w:p>
        </w:tc>
        <w:tc>
          <w:tcPr>
            <w:tcW w:w="5418" w:type="dxa"/>
            <w:vAlign w:val="center"/>
          </w:tcPr>
          <w:p w14:paraId="4427889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العبارات مناسبة للمصارف، لكن يلزم التأكد من أن المستجيبين يستخدمون أو يعرفون فعلياً أدوات ذكاء الأعمال.</w:t>
            </w:r>
          </w:p>
        </w:tc>
        <w:tc>
          <w:tcPr>
            <w:tcW w:w="3212" w:type="dxa"/>
            <w:vAlign w:val="center"/>
          </w:tcPr>
          <w:p w14:paraId="3BAF4CC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سؤال فلترة: هل تستخدم أو تطلع على تقارير/لوحات ذكاء الأعمال في عملك؟</w:t>
            </w:r>
          </w:p>
        </w:tc>
        <w:tc>
          <w:tcPr>
            <w:tcW w:w="1442" w:type="dxa"/>
            <w:vAlign w:val="center"/>
          </w:tcPr>
          <w:p w14:paraId="4F20BB1E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إضافة</w:t>
            </w:r>
          </w:p>
        </w:tc>
        <w:tc>
          <w:tcPr>
            <w:tcW w:w="2077" w:type="dxa"/>
            <w:vAlign w:val="center"/>
          </w:tcPr>
          <w:p w14:paraId="35B7456A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5EC2216D" w14:textId="77777777" w:rsidTr="00DF5E65">
        <w:tc>
          <w:tcPr>
            <w:tcW w:w="631" w:type="dxa"/>
            <w:vAlign w:val="center"/>
          </w:tcPr>
          <w:p w14:paraId="2F2E96A9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12</w:t>
            </w:r>
          </w:p>
        </w:tc>
        <w:tc>
          <w:tcPr>
            <w:tcW w:w="1844" w:type="dxa"/>
            <w:vAlign w:val="center"/>
          </w:tcPr>
          <w:p w14:paraId="29569402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البيانات الشخصية والوظيفية</w:t>
            </w:r>
          </w:p>
        </w:tc>
        <w:tc>
          <w:tcPr>
            <w:tcW w:w="1418" w:type="dxa"/>
            <w:vAlign w:val="center"/>
          </w:tcPr>
          <w:p w14:paraId="7978D68E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ضبط العينة</w:t>
            </w:r>
          </w:p>
        </w:tc>
        <w:tc>
          <w:tcPr>
            <w:tcW w:w="5418" w:type="dxa"/>
            <w:vAlign w:val="center"/>
          </w:tcPr>
          <w:p w14:paraId="2BCC10E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البيانات الحالية محدودة نسبياً ولا تكفي لتحديد علاقة المستجيب بالقرارات الاستراتيجية أو أنظمة ذكاء الأعمال.</w:t>
            </w:r>
          </w:p>
        </w:tc>
        <w:tc>
          <w:tcPr>
            <w:tcW w:w="3212" w:type="dxa"/>
            <w:vAlign w:val="center"/>
          </w:tcPr>
          <w:p w14:paraId="4EB054FD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نوع الإدارة، طبيعة الدور في اتخاذ القرار، ومدى التعامل مع لوحات ذكاء الأعمال.</w:t>
            </w:r>
          </w:p>
        </w:tc>
        <w:tc>
          <w:tcPr>
            <w:tcW w:w="1442" w:type="dxa"/>
            <w:vAlign w:val="center"/>
          </w:tcPr>
          <w:p w14:paraId="5DB9522A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تعزيز</w:t>
            </w:r>
          </w:p>
        </w:tc>
        <w:tc>
          <w:tcPr>
            <w:tcW w:w="2077" w:type="dxa"/>
            <w:vAlign w:val="center"/>
          </w:tcPr>
          <w:p w14:paraId="2991F072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3DE4B655" w14:textId="77777777" w:rsidTr="00DF5E65">
        <w:tc>
          <w:tcPr>
            <w:tcW w:w="631" w:type="dxa"/>
            <w:vAlign w:val="center"/>
          </w:tcPr>
          <w:p w14:paraId="58892E89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13</w:t>
            </w:r>
          </w:p>
        </w:tc>
        <w:tc>
          <w:tcPr>
            <w:tcW w:w="1844" w:type="dxa"/>
            <w:vAlign w:val="center"/>
          </w:tcPr>
          <w:p w14:paraId="21CB12BE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مقياس الإجابة</w:t>
            </w:r>
          </w:p>
        </w:tc>
        <w:tc>
          <w:tcPr>
            <w:tcW w:w="1418" w:type="dxa"/>
            <w:vAlign w:val="center"/>
          </w:tcPr>
          <w:p w14:paraId="069AB5C1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وضوح للمستجيب</w:t>
            </w:r>
          </w:p>
        </w:tc>
        <w:tc>
          <w:tcPr>
            <w:tcW w:w="5418" w:type="dxa"/>
            <w:vAlign w:val="center"/>
          </w:tcPr>
          <w:p w14:paraId="783B5F76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لا يظهر بوضوح جدول مستقل لمقياس ليكرت في نسخة المستجيب، رغم الإشارة إلى المقياس داخل التعريفات.</w:t>
            </w:r>
          </w:p>
        </w:tc>
        <w:tc>
          <w:tcPr>
            <w:tcW w:w="3212" w:type="dxa"/>
            <w:vAlign w:val="center"/>
          </w:tcPr>
          <w:p w14:paraId="18CA3478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جدول مقياس الإجابة قبل الفقرات: 5 موافق بشدة إلى 1 غير موافق بشدة.</w:t>
            </w:r>
          </w:p>
        </w:tc>
        <w:tc>
          <w:tcPr>
            <w:tcW w:w="1442" w:type="dxa"/>
            <w:vAlign w:val="center"/>
          </w:tcPr>
          <w:p w14:paraId="204BAA26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إضافة</w:t>
            </w:r>
          </w:p>
        </w:tc>
        <w:tc>
          <w:tcPr>
            <w:tcW w:w="2077" w:type="dxa"/>
            <w:vAlign w:val="center"/>
          </w:tcPr>
          <w:p w14:paraId="11CB4362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3FF577D9" w14:textId="77777777" w:rsidTr="00DF5E65">
        <w:tc>
          <w:tcPr>
            <w:tcW w:w="631" w:type="dxa"/>
            <w:vAlign w:val="center"/>
          </w:tcPr>
          <w:p w14:paraId="0A33A968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14</w:t>
            </w:r>
          </w:p>
        </w:tc>
        <w:tc>
          <w:tcPr>
            <w:tcW w:w="1844" w:type="dxa"/>
            <w:vAlign w:val="center"/>
          </w:tcPr>
          <w:p w14:paraId="7AF6BC0A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طول العبارات</w:t>
            </w:r>
          </w:p>
        </w:tc>
        <w:tc>
          <w:tcPr>
            <w:tcW w:w="1418" w:type="dxa"/>
            <w:vAlign w:val="center"/>
          </w:tcPr>
          <w:p w14:paraId="6698D3DA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لغة ووضوح</w:t>
            </w:r>
          </w:p>
        </w:tc>
        <w:tc>
          <w:tcPr>
            <w:tcW w:w="5418" w:type="dxa"/>
            <w:vAlign w:val="center"/>
          </w:tcPr>
          <w:p w14:paraId="100434BB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بعض التعريفات والعبارات طويلة وتحتوي على أكثر من فكرة، مما قد يربك المستجيب.</w:t>
            </w:r>
          </w:p>
        </w:tc>
        <w:tc>
          <w:tcPr>
            <w:tcW w:w="3212" w:type="dxa"/>
            <w:vAlign w:val="center"/>
          </w:tcPr>
          <w:p w14:paraId="0C6797F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اختصار العبارات، وتجنب الجمع بين أكثر من مؤشر في فقرة واحدة.</w:t>
            </w:r>
          </w:p>
        </w:tc>
        <w:tc>
          <w:tcPr>
            <w:tcW w:w="1442" w:type="dxa"/>
            <w:vAlign w:val="center"/>
          </w:tcPr>
          <w:p w14:paraId="7D3CC04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تبسيط</w:t>
            </w:r>
          </w:p>
        </w:tc>
        <w:tc>
          <w:tcPr>
            <w:tcW w:w="2077" w:type="dxa"/>
            <w:vAlign w:val="center"/>
          </w:tcPr>
          <w:p w14:paraId="1EA8774D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40B31876" w14:textId="77777777" w:rsidTr="00DF5E65">
        <w:tc>
          <w:tcPr>
            <w:tcW w:w="631" w:type="dxa"/>
            <w:vAlign w:val="center"/>
          </w:tcPr>
          <w:p w14:paraId="4703A67C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15</w:t>
            </w:r>
          </w:p>
        </w:tc>
        <w:tc>
          <w:tcPr>
            <w:tcW w:w="1844" w:type="dxa"/>
            <w:vAlign w:val="center"/>
          </w:tcPr>
          <w:p w14:paraId="7216B70A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المصطلحات</w:t>
            </w:r>
          </w:p>
        </w:tc>
        <w:tc>
          <w:tcPr>
            <w:tcW w:w="1418" w:type="dxa"/>
            <w:vAlign w:val="center"/>
          </w:tcPr>
          <w:p w14:paraId="6C78EC39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اتساق لغوي</w:t>
            </w:r>
          </w:p>
        </w:tc>
        <w:tc>
          <w:tcPr>
            <w:tcW w:w="5418" w:type="dxa"/>
            <w:vAlign w:val="center"/>
          </w:tcPr>
          <w:p w14:paraId="760B2EA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هناك تنوع في استخدام: أنظمة/أدوات/تطبيقات ذكاء الأعمال، وقد يفسرها المستجيب بمعان مختلفة.</w:t>
            </w:r>
          </w:p>
        </w:tc>
        <w:tc>
          <w:tcPr>
            <w:tcW w:w="3212" w:type="dxa"/>
            <w:vAlign w:val="center"/>
          </w:tcPr>
          <w:p w14:paraId="2608D44B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اعتماد مصطلح موحد أو تعريفها في بداية الأداة ثم الالتزام بالمصطلح المختار.</w:t>
            </w:r>
          </w:p>
        </w:tc>
        <w:tc>
          <w:tcPr>
            <w:tcW w:w="1442" w:type="dxa"/>
            <w:vAlign w:val="center"/>
          </w:tcPr>
          <w:p w14:paraId="3BC51A30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يحتاج توحيد</w:t>
            </w:r>
          </w:p>
        </w:tc>
        <w:tc>
          <w:tcPr>
            <w:tcW w:w="2077" w:type="dxa"/>
            <w:vAlign w:val="center"/>
          </w:tcPr>
          <w:p w14:paraId="138A6E38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71D91CC9" w14:textId="77777777" w:rsidTr="00DF5E65">
        <w:tc>
          <w:tcPr>
            <w:tcW w:w="631" w:type="dxa"/>
            <w:vAlign w:val="center"/>
          </w:tcPr>
          <w:p w14:paraId="31BE3099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16</w:t>
            </w:r>
          </w:p>
        </w:tc>
        <w:tc>
          <w:tcPr>
            <w:tcW w:w="1844" w:type="dxa"/>
            <w:vAlign w:val="center"/>
          </w:tcPr>
          <w:p w14:paraId="685B2D3B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المراجع والتكييف</w:t>
            </w:r>
          </w:p>
        </w:tc>
        <w:tc>
          <w:tcPr>
            <w:tcW w:w="1418" w:type="dxa"/>
            <w:vAlign w:val="center"/>
          </w:tcPr>
          <w:p w14:paraId="0CE30D7F" w14:textId="77777777" w:rsidR="00303072" w:rsidRPr="00DF5E65" w:rsidRDefault="00804B87" w:rsidP="00DF5E65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/>
                <w:bCs/>
                <w:color w:val="000000" w:themeColor="text1"/>
                <w:szCs w:val="20"/>
                <w:rtl/>
              </w:rPr>
              <w:t>توثيق علمي</w:t>
            </w:r>
          </w:p>
        </w:tc>
        <w:tc>
          <w:tcPr>
            <w:tcW w:w="5418" w:type="dxa"/>
            <w:vAlign w:val="center"/>
          </w:tcPr>
          <w:p w14:paraId="7D898B89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 xml:space="preserve">المصادر كثيرة وهذا جيد، لكن يجب توضيح منطق الترجمة والتكييف من الإنجليزية 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lastRenderedPageBreak/>
              <w:t>إلى البيئة المصرفية السعودية.</w:t>
            </w:r>
          </w:p>
        </w:tc>
        <w:tc>
          <w:tcPr>
            <w:tcW w:w="3212" w:type="dxa"/>
            <w:vAlign w:val="center"/>
          </w:tcPr>
          <w:p w14:paraId="20BB152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lastRenderedPageBreak/>
              <w:t xml:space="preserve">إضافة ملاحظة منهجية قصيرة حول الترجمة </w:t>
            </w: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lastRenderedPageBreak/>
              <w:t>والتكييف والمراجعة اللغوية للأداة.</w:t>
            </w:r>
          </w:p>
        </w:tc>
        <w:tc>
          <w:tcPr>
            <w:tcW w:w="1442" w:type="dxa"/>
            <w:vAlign w:val="center"/>
          </w:tcPr>
          <w:p w14:paraId="442697B0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lastRenderedPageBreak/>
              <w:t>يحتاج تحسين</w:t>
            </w:r>
          </w:p>
        </w:tc>
        <w:tc>
          <w:tcPr>
            <w:tcW w:w="2077" w:type="dxa"/>
            <w:vAlign w:val="center"/>
          </w:tcPr>
          <w:p w14:paraId="179608B7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</w:tbl>
    <w:p w14:paraId="31322FB9" w14:textId="77777777" w:rsidR="00303072" w:rsidRPr="00DF5E65" w:rsidRDefault="00303072" w:rsidP="00DF5E65">
      <w:pPr>
        <w:bidi/>
        <w:spacing w:after="80" w:line="252" w:lineRule="auto"/>
        <w:jc w:val="both"/>
        <w:rPr>
          <w:rFonts w:ascii="Simplified Arabic" w:hAnsi="Simplified Arabic" w:cs="Simplified Arabic"/>
          <w:color w:val="000000" w:themeColor="text1"/>
          <w:szCs w:val="20"/>
        </w:rPr>
      </w:pPr>
    </w:p>
    <w:p w14:paraId="6D5DAAD7" w14:textId="77777777" w:rsidR="00303072" w:rsidRPr="00DF5E65" w:rsidRDefault="00804B87" w:rsidP="00DF5E65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>رابعاً: أمثلة لصياغات أو معالجات مقترحة يمكن اعتمادها أو البناء عليها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890"/>
        <w:gridCol w:w="4475"/>
        <w:gridCol w:w="6421"/>
        <w:gridCol w:w="3030"/>
      </w:tblGrid>
      <w:tr w:rsidR="00303072" w:rsidRPr="00DF5E65" w14:paraId="6B50D888" w14:textId="77777777" w:rsidTr="00DF5E65">
        <w:tc>
          <w:tcPr>
            <w:tcW w:w="1908" w:type="dxa"/>
            <w:vAlign w:val="center"/>
          </w:tcPr>
          <w:p w14:paraId="3D6FE3C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القسم/البعد</w:t>
            </w:r>
          </w:p>
        </w:tc>
        <w:tc>
          <w:tcPr>
            <w:tcW w:w="4536" w:type="dxa"/>
            <w:vAlign w:val="center"/>
          </w:tcPr>
          <w:p w14:paraId="08814174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الصياغة الحالية/الملاحظة</w:t>
            </w:r>
          </w:p>
        </w:tc>
        <w:tc>
          <w:tcPr>
            <w:tcW w:w="6526" w:type="dxa"/>
            <w:vAlign w:val="center"/>
          </w:tcPr>
          <w:p w14:paraId="61B8A68D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الصياغة أو المعالجة المقترحة</w:t>
            </w:r>
          </w:p>
        </w:tc>
        <w:tc>
          <w:tcPr>
            <w:tcW w:w="3072" w:type="dxa"/>
            <w:vAlign w:val="center"/>
          </w:tcPr>
          <w:p w14:paraId="03DA5DE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سبب التعديل</w:t>
            </w:r>
          </w:p>
        </w:tc>
      </w:tr>
      <w:tr w:rsidR="00303072" w:rsidRPr="00DF5E65" w14:paraId="48ABE5C4" w14:textId="77777777" w:rsidTr="00DF5E65">
        <w:tc>
          <w:tcPr>
            <w:tcW w:w="1908" w:type="dxa"/>
            <w:vAlign w:val="center"/>
          </w:tcPr>
          <w:p w14:paraId="178FB80B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مقياس الإجابة</w:t>
            </w:r>
          </w:p>
        </w:tc>
        <w:tc>
          <w:tcPr>
            <w:tcW w:w="4536" w:type="dxa"/>
            <w:vAlign w:val="center"/>
          </w:tcPr>
          <w:p w14:paraId="7F94415A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الإشارة للمقياس دون جدول واضح.</w:t>
            </w:r>
          </w:p>
        </w:tc>
        <w:tc>
          <w:tcPr>
            <w:tcW w:w="6526" w:type="dxa"/>
            <w:vAlign w:val="center"/>
          </w:tcPr>
          <w:p w14:paraId="759C253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يرجى تحديد درجة موافقتك: 5 موافق بشدة، 4 موافق، 3 محايد، 2 غير موافق، 1 غير موافق بشدة.</w:t>
            </w:r>
          </w:p>
        </w:tc>
        <w:tc>
          <w:tcPr>
            <w:tcW w:w="3072" w:type="dxa"/>
            <w:vAlign w:val="center"/>
          </w:tcPr>
          <w:p w14:paraId="024C6ADA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تسهيل الإجابة وتوحيد الترميز.</w:t>
            </w:r>
          </w:p>
        </w:tc>
      </w:tr>
      <w:tr w:rsidR="00303072" w:rsidRPr="00DF5E65" w14:paraId="6E0F3820" w14:textId="77777777" w:rsidTr="00DF5E65">
        <w:tc>
          <w:tcPr>
            <w:tcW w:w="1908" w:type="dxa"/>
            <w:vAlign w:val="center"/>
          </w:tcPr>
          <w:p w14:paraId="059A6F5E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تكرار فقرة</w:t>
            </w:r>
          </w:p>
        </w:tc>
        <w:tc>
          <w:tcPr>
            <w:tcW w:w="4536" w:type="dxa"/>
            <w:vAlign w:val="center"/>
          </w:tcPr>
          <w:p w14:paraId="10AF277E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يحرص المصرف على ابتكار خدمات مالية ورقمية جديدة... مكررة.</w:t>
            </w:r>
          </w:p>
        </w:tc>
        <w:tc>
          <w:tcPr>
            <w:tcW w:w="6526" w:type="dxa"/>
            <w:vAlign w:val="center"/>
          </w:tcPr>
          <w:p w14:paraId="2A8AC50C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حذف إحدى الفقرتين أو استبدالها بفقرة عن سرعة إطلاق الخدمات الرقمية الجديدة.</w:t>
            </w:r>
          </w:p>
        </w:tc>
        <w:tc>
          <w:tcPr>
            <w:tcW w:w="3072" w:type="dxa"/>
            <w:vAlign w:val="center"/>
          </w:tcPr>
          <w:p w14:paraId="28B620A6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تقليل التكرار ورفع صدق المحتوى.</w:t>
            </w:r>
          </w:p>
        </w:tc>
      </w:tr>
      <w:tr w:rsidR="00303072" w:rsidRPr="00DF5E65" w14:paraId="4C96AD7A" w14:textId="77777777" w:rsidTr="00DF5E65">
        <w:tc>
          <w:tcPr>
            <w:tcW w:w="1908" w:type="dxa"/>
            <w:vAlign w:val="center"/>
          </w:tcPr>
          <w:p w14:paraId="58E909D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فصل الوسيط عن المستقل</w:t>
            </w:r>
          </w:p>
        </w:tc>
        <w:tc>
          <w:tcPr>
            <w:tcW w:w="4536" w:type="dxa"/>
            <w:vAlign w:val="center"/>
          </w:tcPr>
          <w:p w14:paraId="7F2ADA8F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تُسهم البنية التحتية التقنية لذكاء الأعمال في اختصار زمن القرار.</w:t>
            </w:r>
          </w:p>
        </w:tc>
        <w:tc>
          <w:tcPr>
            <w:tcW w:w="6526" w:type="dxa"/>
            <w:vAlign w:val="center"/>
          </w:tcPr>
          <w:p w14:paraId="2A0FAA4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تصدر القرارات الاستراتيجية في وقت مناسب وبكفاءة إجرائية عالية.</w:t>
            </w:r>
          </w:p>
        </w:tc>
        <w:tc>
          <w:tcPr>
            <w:tcW w:w="3072" w:type="dxa"/>
            <w:vAlign w:val="center"/>
          </w:tcPr>
          <w:p w14:paraId="3603D888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قياس جودة القرار دون إدخال سببها.</w:t>
            </w:r>
          </w:p>
        </w:tc>
      </w:tr>
      <w:tr w:rsidR="00303072" w:rsidRPr="00DF5E65" w14:paraId="7D920A88" w14:textId="77777777" w:rsidTr="00DF5E65">
        <w:tc>
          <w:tcPr>
            <w:tcW w:w="1908" w:type="dxa"/>
            <w:vAlign w:val="center"/>
          </w:tcPr>
          <w:p w14:paraId="4B89F384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فلترة العينة</w:t>
            </w:r>
          </w:p>
        </w:tc>
        <w:tc>
          <w:tcPr>
            <w:tcW w:w="4536" w:type="dxa"/>
            <w:vAlign w:val="center"/>
          </w:tcPr>
          <w:p w14:paraId="064FF2C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لا يوجد تحقق واضح من تعامل المستجيب مع ذكاء الأعمال.</w:t>
            </w:r>
          </w:p>
        </w:tc>
        <w:tc>
          <w:tcPr>
            <w:tcW w:w="6526" w:type="dxa"/>
            <w:vAlign w:val="center"/>
          </w:tcPr>
          <w:p w14:paraId="4420D438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هل تعتمد في عملك على تقارير أو لوحات ذكاء الأعمال؟ نعم/لا.</w:t>
            </w:r>
          </w:p>
        </w:tc>
        <w:tc>
          <w:tcPr>
            <w:tcW w:w="3072" w:type="dxa"/>
            <w:vAlign w:val="center"/>
          </w:tcPr>
          <w:p w14:paraId="3A7A36B8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ضمان ملاءمة المستجيب لموضوع الدراسة.</w:t>
            </w:r>
          </w:p>
        </w:tc>
      </w:tr>
    </w:tbl>
    <w:p w14:paraId="66AAED81" w14:textId="77777777" w:rsidR="00303072" w:rsidRPr="00DF5E65" w:rsidRDefault="00303072" w:rsidP="00DF5E65">
      <w:pPr>
        <w:bidi/>
        <w:spacing w:after="80" w:line="252" w:lineRule="auto"/>
        <w:jc w:val="both"/>
        <w:rPr>
          <w:rFonts w:ascii="Simplified Arabic" w:hAnsi="Simplified Arabic" w:cs="Simplified Arabic"/>
          <w:color w:val="000000" w:themeColor="text1"/>
          <w:szCs w:val="20"/>
        </w:rPr>
      </w:pPr>
    </w:p>
    <w:p w14:paraId="46664F7F" w14:textId="77777777" w:rsidR="00303072" w:rsidRPr="00DF5E65" w:rsidRDefault="00804B87" w:rsidP="00DF5E65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>خامساً: قائمة تحقق قبل إعادة الإرسال للمشرف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621"/>
        <w:gridCol w:w="1056"/>
        <w:gridCol w:w="1056"/>
        <w:gridCol w:w="3083"/>
      </w:tblGrid>
      <w:tr w:rsidR="00303072" w:rsidRPr="00DF5E65" w14:paraId="0097B4FF" w14:textId="77777777" w:rsidTr="00DF5E65">
        <w:tc>
          <w:tcPr>
            <w:tcW w:w="10944" w:type="dxa"/>
            <w:vAlign w:val="center"/>
          </w:tcPr>
          <w:p w14:paraId="5E04889C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البند</w:t>
            </w:r>
          </w:p>
        </w:tc>
        <w:tc>
          <w:tcPr>
            <w:tcW w:w="1080" w:type="dxa"/>
            <w:vAlign w:val="center"/>
          </w:tcPr>
          <w:p w14:paraId="6EF9C1D4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تم</w:t>
            </w:r>
          </w:p>
        </w:tc>
        <w:tc>
          <w:tcPr>
            <w:tcW w:w="1080" w:type="dxa"/>
            <w:vAlign w:val="center"/>
          </w:tcPr>
          <w:p w14:paraId="7E8DD73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لم يتم</w:t>
            </w:r>
          </w:p>
        </w:tc>
        <w:tc>
          <w:tcPr>
            <w:tcW w:w="3168" w:type="dxa"/>
            <w:vAlign w:val="center"/>
          </w:tcPr>
          <w:p w14:paraId="2285C307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bCs/>
                <w:color w:val="000000" w:themeColor="text1"/>
                <w:szCs w:val="20"/>
                <w:rtl/>
              </w:rPr>
              <w:t>ملاحظة الطالب</w:t>
            </w:r>
          </w:p>
        </w:tc>
      </w:tr>
      <w:tr w:rsidR="00303072" w:rsidRPr="00DF5E65" w14:paraId="2EDE447C" w14:textId="77777777" w:rsidTr="00DF5E65">
        <w:tc>
          <w:tcPr>
            <w:tcW w:w="10944" w:type="dxa"/>
            <w:vAlign w:val="center"/>
          </w:tcPr>
          <w:p w14:paraId="570738C2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استكمال التاريخ وتوحيد كتابة اسم الباحثة.</w:t>
            </w:r>
          </w:p>
        </w:tc>
        <w:tc>
          <w:tcPr>
            <w:tcW w:w="1080" w:type="dxa"/>
            <w:vAlign w:val="center"/>
          </w:tcPr>
          <w:p w14:paraId="4B19451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237B734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5201EC97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59BB6694" w14:textId="77777777" w:rsidTr="00DF5E65">
        <w:tc>
          <w:tcPr>
            <w:tcW w:w="10944" w:type="dxa"/>
            <w:vAlign w:val="center"/>
          </w:tcPr>
          <w:p w14:paraId="1FF6048B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حذف التكرار في مقدمة التحكيم ونسخة المستجيب.</w:t>
            </w:r>
          </w:p>
        </w:tc>
        <w:tc>
          <w:tcPr>
            <w:tcW w:w="1080" w:type="dxa"/>
            <w:vAlign w:val="center"/>
          </w:tcPr>
          <w:p w14:paraId="3C190484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26CF026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6E9B5FE9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758C57B6" w14:textId="77777777" w:rsidTr="00DF5E65">
        <w:tc>
          <w:tcPr>
            <w:tcW w:w="10944" w:type="dxa"/>
            <w:vAlign w:val="center"/>
          </w:tcPr>
          <w:p w14:paraId="055B1C34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جدول واضح لمقياس ليكرت قبل الفقرات.</w:t>
            </w:r>
          </w:p>
        </w:tc>
        <w:tc>
          <w:tcPr>
            <w:tcW w:w="1080" w:type="dxa"/>
            <w:vAlign w:val="center"/>
          </w:tcPr>
          <w:p w14:paraId="1355A19A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572558F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4ED25178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5F7BD399" w14:textId="77777777" w:rsidTr="00DF5E65">
        <w:tc>
          <w:tcPr>
            <w:tcW w:w="10944" w:type="dxa"/>
            <w:vAlign w:val="center"/>
          </w:tcPr>
          <w:p w14:paraId="240DC94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تبرير استخدام أبعاد TAM ضمن متغير ذكاء الأعمال أو إعادة تسمية المتغير.</w:t>
            </w:r>
          </w:p>
        </w:tc>
        <w:tc>
          <w:tcPr>
            <w:tcW w:w="1080" w:type="dxa"/>
            <w:vAlign w:val="center"/>
          </w:tcPr>
          <w:p w14:paraId="3FEF2220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53FCF918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2AECF4E6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2ED270B5" w14:textId="77777777" w:rsidTr="00DF5E65">
        <w:tc>
          <w:tcPr>
            <w:tcW w:w="10944" w:type="dxa"/>
            <w:vAlign w:val="center"/>
          </w:tcPr>
          <w:p w14:paraId="2C718FB1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حذف أو تعديل الفقرات المكررة في أبعاد الابتكار التنظيمي.</w:t>
            </w:r>
          </w:p>
        </w:tc>
        <w:tc>
          <w:tcPr>
            <w:tcW w:w="1080" w:type="dxa"/>
            <w:vAlign w:val="center"/>
          </w:tcPr>
          <w:p w14:paraId="1BA23D7D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3A1DA320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1E07DDBD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07EC027F" w14:textId="77777777" w:rsidTr="00DF5E65">
        <w:tc>
          <w:tcPr>
            <w:tcW w:w="10944" w:type="dxa"/>
            <w:vAlign w:val="center"/>
          </w:tcPr>
          <w:p w14:paraId="5A3A897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إعادة صياغة فقرات الوسيط التي تشير مباشرة إلى ذكاء الأعمال.</w:t>
            </w:r>
          </w:p>
        </w:tc>
        <w:tc>
          <w:tcPr>
            <w:tcW w:w="1080" w:type="dxa"/>
            <w:vAlign w:val="center"/>
          </w:tcPr>
          <w:p w14:paraId="12B7D560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31817A20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4F36E495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4DA7BBF1" w14:textId="77777777" w:rsidTr="00DF5E65">
        <w:tc>
          <w:tcPr>
            <w:tcW w:w="10944" w:type="dxa"/>
            <w:vAlign w:val="center"/>
          </w:tcPr>
          <w:p w14:paraId="042877DD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تصحيح جدول الابتكار بإزالة عمود التعديل المكرر.</w:t>
            </w:r>
          </w:p>
        </w:tc>
        <w:tc>
          <w:tcPr>
            <w:tcW w:w="1080" w:type="dxa"/>
            <w:vAlign w:val="center"/>
          </w:tcPr>
          <w:p w14:paraId="1F8B15D4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35D136DD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363295C0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27F5F0AD" w14:textId="77777777" w:rsidTr="00DF5E65">
        <w:tc>
          <w:tcPr>
            <w:tcW w:w="10944" w:type="dxa"/>
            <w:vAlign w:val="center"/>
          </w:tcPr>
          <w:p w14:paraId="36E1FA8C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أسئلة فلترة مرتبطة باستخدام ذكاء الأعمال والمشاركة في القرار الاستراتيجي.</w:t>
            </w:r>
          </w:p>
        </w:tc>
        <w:tc>
          <w:tcPr>
            <w:tcW w:w="1080" w:type="dxa"/>
            <w:vAlign w:val="center"/>
          </w:tcPr>
          <w:p w14:paraId="16559937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6CE389FA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70312218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0D8029AB" w14:textId="77777777" w:rsidTr="00DF5E65">
        <w:tc>
          <w:tcPr>
            <w:tcW w:w="10944" w:type="dxa"/>
            <w:vAlign w:val="center"/>
          </w:tcPr>
          <w:p w14:paraId="211EDD5D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توحيد المصطلحات: أنظمة/أدوات/تطبيقات ذكاء الأعمال.</w:t>
            </w:r>
          </w:p>
        </w:tc>
        <w:tc>
          <w:tcPr>
            <w:tcW w:w="1080" w:type="dxa"/>
            <w:vAlign w:val="center"/>
          </w:tcPr>
          <w:p w14:paraId="381EFB53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179C5E05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64CFA880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  <w:tr w:rsidR="00303072" w:rsidRPr="00DF5E65" w14:paraId="32170FAB" w14:textId="77777777" w:rsidTr="00DF5E65">
        <w:tc>
          <w:tcPr>
            <w:tcW w:w="10944" w:type="dxa"/>
            <w:vAlign w:val="center"/>
          </w:tcPr>
          <w:p w14:paraId="08CB3F92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implified Arabic" w:hAnsi="Simplified Arabic" w:cs="Simplified Arabic"/>
                <w:color w:val="000000" w:themeColor="text1"/>
                <w:szCs w:val="20"/>
                <w:rtl/>
              </w:rPr>
              <w:t>إضافة ملاحظة منهجية عن الترجمة والتكييف من المصادر.</w:t>
            </w:r>
          </w:p>
        </w:tc>
        <w:tc>
          <w:tcPr>
            <w:tcW w:w="1080" w:type="dxa"/>
            <w:vAlign w:val="center"/>
          </w:tcPr>
          <w:p w14:paraId="78526B39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0CE869D6" w14:textId="77777777" w:rsidR="00303072" w:rsidRPr="00DF5E65" w:rsidRDefault="00804B87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  <w:r w:rsidRPr="00DF5E65">
              <w:rPr>
                <w:rFonts w:ascii="Segoe UI Symbol" w:hAnsi="Segoe UI Symbol" w:cs="Segoe UI Symbol" w:hint="cs"/>
                <w:color w:val="000000" w:themeColor="text1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4B310198" w14:textId="77777777" w:rsidR="00303072" w:rsidRPr="00DF5E65" w:rsidRDefault="00303072" w:rsidP="00DF5E65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color w:val="000000" w:themeColor="text1"/>
                <w:szCs w:val="20"/>
              </w:rPr>
            </w:pPr>
          </w:p>
        </w:tc>
      </w:tr>
    </w:tbl>
    <w:p w14:paraId="39C0D8BB" w14:textId="77777777" w:rsidR="00303072" w:rsidRPr="00DF5E65" w:rsidRDefault="00804B87" w:rsidP="00DF5E65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color w:val="000000" w:themeColor="text1"/>
          <w:szCs w:val="20"/>
        </w:rPr>
      </w:pP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 xml:space="preserve">اعتماد المشرف بعد المراجعة </w:t>
      </w:r>
      <w:proofErr w:type="gramStart"/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 xml:space="preserve">الثانية:   </w:t>
      </w:r>
      <w:proofErr w:type="gramEnd"/>
      <w:r w:rsidRPr="00DF5E65">
        <w:rPr>
          <w:rFonts w:ascii="Segoe UI Symbol" w:hAnsi="Segoe UI Symbol" w:cs="Segoe UI Symbol" w:hint="cs"/>
          <w:bCs/>
          <w:color w:val="000000" w:themeColor="text1"/>
          <w:szCs w:val="20"/>
          <w:rtl/>
        </w:rPr>
        <w:t>☐</w:t>
      </w: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 xml:space="preserve"> </w:t>
      </w:r>
      <w:r w:rsidRPr="00DF5E65">
        <w:rPr>
          <w:rFonts w:ascii="Simplified Arabic" w:hAnsi="Simplified Arabic" w:cs="Simplified Arabic" w:hint="cs"/>
          <w:bCs/>
          <w:color w:val="000000" w:themeColor="text1"/>
          <w:szCs w:val="20"/>
          <w:rtl/>
        </w:rPr>
        <w:t>معتمد</w:t>
      </w: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 xml:space="preserve"> </w:t>
      </w:r>
      <w:r w:rsidRPr="00DF5E65">
        <w:rPr>
          <w:rFonts w:ascii="Simplified Arabic" w:hAnsi="Simplified Arabic" w:cs="Simplified Arabic" w:hint="cs"/>
          <w:bCs/>
          <w:color w:val="000000" w:themeColor="text1"/>
          <w:szCs w:val="20"/>
          <w:rtl/>
        </w:rPr>
        <w:t>للإرسال</w:t>
      </w: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 xml:space="preserve"> </w:t>
      </w:r>
      <w:r w:rsidRPr="00DF5E65">
        <w:rPr>
          <w:rFonts w:ascii="Simplified Arabic" w:hAnsi="Simplified Arabic" w:cs="Simplified Arabic" w:hint="cs"/>
          <w:bCs/>
          <w:color w:val="000000" w:themeColor="text1"/>
          <w:szCs w:val="20"/>
          <w:rtl/>
        </w:rPr>
        <w:t>للمحكمين</w:t>
      </w: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 xml:space="preserve">   </w:t>
      </w:r>
      <w:r w:rsidRPr="00DF5E65">
        <w:rPr>
          <w:rFonts w:ascii="Segoe UI Symbol" w:hAnsi="Segoe UI Symbol" w:cs="Segoe UI Symbol" w:hint="cs"/>
          <w:bCs/>
          <w:color w:val="000000" w:themeColor="text1"/>
          <w:szCs w:val="20"/>
          <w:rtl/>
        </w:rPr>
        <w:t>☐</w:t>
      </w: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 xml:space="preserve"> </w:t>
      </w:r>
      <w:r w:rsidRPr="00DF5E65">
        <w:rPr>
          <w:rFonts w:ascii="Simplified Arabic" w:hAnsi="Simplified Arabic" w:cs="Simplified Arabic" w:hint="cs"/>
          <w:bCs/>
          <w:color w:val="000000" w:themeColor="text1"/>
          <w:szCs w:val="20"/>
          <w:rtl/>
        </w:rPr>
        <w:t>يحتاج</w:t>
      </w: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 xml:space="preserve"> </w:t>
      </w:r>
      <w:r w:rsidRPr="00DF5E65">
        <w:rPr>
          <w:rFonts w:ascii="Simplified Arabic" w:hAnsi="Simplified Arabic" w:cs="Simplified Arabic" w:hint="cs"/>
          <w:bCs/>
          <w:color w:val="000000" w:themeColor="text1"/>
          <w:szCs w:val="20"/>
          <w:rtl/>
        </w:rPr>
        <w:t>إلى</w:t>
      </w: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 xml:space="preserve"> </w:t>
      </w:r>
      <w:r w:rsidRPr="00DF5E65">
        <w:rPr>
          <w:rFonts w:ascii="Simplified Arabic" w:hAnsi="Simplified Arabic" w:cs="Simplified Arabic" w:hint="cs"/>
          <w:bCs/>
          <w:color w:val="000000" w:themeColor="text1"/>
          <w:szCs w:val="20"/>
          <w:rtl/>
        </w:rPr>
        <w:t>مراجعة</w:t>
      </w:r>
      <w:r w:rsidRPr="00DF5E65">
        <w:rPr>
          <w:rFonts w:ascii="Simplified Arabic" w:hAnsi="Simplified Arabic" w:cs="Simplified Arabic"/>
          <w:bCs/>
          <w:color w:val="000000" w:themeColor="text1"/>
          <w:szCs w:val="20"/>
          <w:rtl/>
        </w:rPr>
        <w:t xml:space="preserve"> </w:t>
      </w:r>
      <w:r w:rsidRPr="00DF5E65">
        <w:rPr>
          <w:rFonts w:ascii="Simplified Arabic" w:hAnsi="Simplified Arabic" w:cs="Simplified Arabic" w:hint="cs"/>
          <w:bCs/>
          <w:color w:val="000000" w:themeColor="text1"/>
          <w:szCs w:val="20"/>
          <w:rtl/>
        </w:rPr>
        <w:t>إضافية</w:t>
      </w:r>
    </w:p>
    <w:p w14:paraId="36474DF5" w14:textId="77777777" w:rsidR="00303072" w:rsidRPr="00DF5E65" w:rsidRDefault="00804B87" w:rsidP="00DF5E65">
      <w:pPr>
        <w:bidi/>
        <w:jc w:val="both"/>
        <w:rPr>
          <w:rFonts w:ascii="Simplified Arabic" w:hAnsi="Simplified Arabic" w:cs="Simplified Arabic"/>
          <w:color w:val="000000" w:themeColor="text1"/>
          <w:szCs w:val="20"/>
        </w:rPr>
      </w:pPr>
      <w:r w:rsidRPr="00DF5E65">
        <w:rPr>
          <w:rFonts w:ascii="Simplified Arabic" w:hAnsi="Simplified Arabic" w:cs="Simplified Arabic"/>
          <w:color w:val="000000" w:themeColor="text1"/>
          <w:szCs w:val="20"/>
        </w:rPr>
        <w:br w:type="page"/>
      </w:r>
    </w:p>
    <w:sectPr w:rsidR="00303072" w:rsidRPr="00DF5E65" w:rsidSect="00034616">
      <w:footerReference w:type="default" r:id="rId8"/>
      <w:pgSz w:w="16834" w:h="11909" w:orient="landscape"/>
      <w:pgMar w:top="504" w:right="504" w:bottom="504" w:left="5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C3049" w14:textId="77777777" w:rsidR="00E5415C" w:rsidRDefault="00E5415C">
      <w:pPr>
        <w:spacing w:after="0" w:line="240" w:lineRule="auto"/>
      </w:pPr>
      <w:r>
        <w:separator/>
      </w:r>
    </w:p>
  </w:endnote>
  <w:endnote w:type="continuationSeparator" w:id="0">
    <w:p w14:paraId="7C6B425B" w14:textId="77777777" w:rsidR="00E5415C" w:rsidRDefault="00E54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C33DB" w14:textId="77777777" w:rsidR="00303072" w:rsidRDefault="00804B87">
    <w:pPr>
      <w:pStyle w:val="Footer"/>
      <w:bidi/>
      <w:jc w:val="center"/>
    </w:pPr>
    <w:proofErr w:type="spellStart"/>
    <w:r>
      <w:rPr>
        <w:color w:val="646464"/>
        <w:sz w:val="16"/>
      </w:rPr>
      <w:t>نموذج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مراجعة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الاستبانة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قبل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التحكيم</w:t>
    </w:r>
    <w:proofErr w:type="spellEnd"/>
    <w:r>
      <w:rPr>
        <w:color w:val="646464"/>
        <w:sz w:val="16"/>
      </w:rPr>
      <w:t xml:space="preserve"> </w:t>
    </w:r>
    <w:proofErr w:type="spellStart"/>
    <w:r>
      <w:rPr>
        <w:color w:val="646464"/>
        <w:sz w:val="16"/>
      </w:rPr>
      <w:t>الخارجي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C6036" w14:textId="77777777" w:rsidR="00E5415C" w:rsidRDefault="00E5415C">
      <w:pPr>
        <w:spacing w:after="0" w:line="240" w:lineRule="auto"/>
      </w:pPr>
      <w:r>
        <w:separator/>
      </w:r>
    </w:p>
  </w:footnote>
  <w:footnote w:type="continuationSeparator" w:id="0">
    <w:p w14:paraId="7EE88C8C" w14:textId="77777777" w:rsidR="00E5415C" w:rsidRDefault="00E541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61888811">
    <w:abstractNumId w:val="8"/>
  </w:num>
  <w:num w:numId="2" w16cid:durableId="2127654515">
    <w:abstractNumId w:val="6"/>
  </w:num>
  <w:num w:numId="3" w16cid:durableId="239756482">
    <w:abstractNumId w:val="5"/>
  </w:num>
  <w:num w:numId="4" w16cid:durableId="994531578">
    <w:abstractNumId w:val="4"/>
  </w:num>
  <w:num w:numId="5" w16cid:durableId="471219722">
    <w:abstractNumId w:val="7"/>
  </w:num>
  <w:num w:numId="6" w16cid:durableId="176434376">
    <w:abstractNumId w:val="3"/>
  </w:num>
  <w:num w:numId="7" w16cid:durableId="65955501">
    <w:abstractNumId w:val="2"/>
  </w:num>
  <w:num w:numId="8" w16cid:durableId="74058627">
    <w:abstractNumId w:val="1"/>
  </w:num>
  <w:num w:numId="9" w16cid:durableId="293025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sLQwNzc2NDY2MzdX0lEKTi0uzszPAykwqgUANKqxSywAAAA="/>
  </w:docVars>
  <w:rsids>
    <w:rsidRoot w:val="00B47730"/>
    <w:rsid w:val="00034616"/>
    <w:rsid w:val="0006063C"/>
    <w:rsid w:val="0015074B"/>
    <w:rsid w:val="0029639D"/>
    <w:rsid w:val="00303072"/>
    <w:rsid w:val="00326F90"/>
    <w:rsid w:val="00650F0C"/>
    <w:rsid w:val="00804B87"/>
    <w:rsid w:val="00AA1D8D"/>
    <w:rsid w:val="00B47730"/>
    <w:rsid w:val="00C442A0"/>
    <w:rsid w:val="00CB0664"/>
    <w:rsid w:val="00DF5E65"/>
    <w:rsid w:val="00E541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27B9D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Fadi AbdelFattah</dc:creator>
  <cp:keywords/>
  <cp:lastModifiedBy>Fadi Abdelfattah</cp:lastModifiedBy>
  <cp:revision>2</cp:revision>
  <dcterms:created xsi:type="dcterms:W3CDTF">2026-06-30T16:24:00Z</dcterms:created>
  <dcterms:modified xsi:type="dcterms:W3CDTF">2026-06-30T16:24:00Z</dcterms:modified>
  <cp:category/>
</cp:coreProperties>
</file>