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513DC" w:rsidRDefault="009125CE" w:rsidP="00AD23C4">
      <w:pPr>
        <w:spacing w:line="360" w:lineRule="auto"/>
        <w:rPr>
          <w:rFonts w:ascii="Traditional Arabic" w:hAnsi="Traditional Arabic" w:cs="Traditional Arabic"/>
          <w:b/>
          <w:bCs/>
          <w:sz w:val="32"/>
          <w:szCs w:val="32"/>
          <w:lang w:bidi="ar-EG"/>
        </w:rPr>
      </w:pPr>
      <w:r w:rsidRPr="000513DC">
        <w:rPr>
          <w:rFonts w:ascii="Traditional Arabic" w:hAnsi="Traditional Arabic" w:cs="Traditional Arabic" w:hint="cs"/>
          <w:b/>
          <w:bCs/>
          <w:sz w:val="32"/>
          <w:szCs w:val="32"/>
          <w:rtl/>
          <w:lang w:bidi="ar-EG"/>
        </w:rPr>
        <w:t xml:space="preserve">جامعة ميدأوشن </w:t>
      </w:r>
    </w:p>
    <w:p w14:paraId="1E957002" w14:textId="04B27A9D" w:rsidR="00F546CE" w:rsidRPr="000513DC" w:rsidRDefault="009125CE" w:rsidP="00AD23C4">
      <w:pPr>
        <w:spacing w:line="360" w:lineRule="auto"/>
        <w:rPr>
          <w:rFonts w:ascii="Traditional Arabic" w:hAnsi="Traditional Arabic" w:cs="Traditional Arabic"/>
          <w:b/>
          <w:bCs/>
          <w:sz w:val="32"/>
          <w:szCs w:val="32"/>
          <w:rtl/>
          <w:lang w:bidi="ar-EG"/>
        </w:rPr>
      </w:pPr>
      <w:r w:rsidRPr="000513DC">
        <w:rPr>
          <w:rFonts w:ascii="Traditional Arabic" w:hAnsi="Traditional Arabic" w:cs="Traditional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513DC">
        <w:rPr>
          <w:rFonts w:ascii="Traditional Arabic" w:hAnsi="Traditional Arabic" w:cs="Traditional Arabic" w:hint="cs"/>
          <w:b/>
          <w:bCs/>
          <w:sz w:val="32"/>
          <w:szCs w:val="32"/>
          <w:lang w:bidi="ar-EG"/>
        </w:rPr>
        <w:t xml:space="preserve">    </w:t>
      </w:r>
      <w:r w:rsidRPr="000513DC">
        <w:rPr>
          <w:rFonts w:ascii="Traditional Arabic" w:hAnsi="Traditional Arabic" w:cs="Traditional Arabic" w:hint="cs"/>
          <w:b/>
          <w:bCs/>
          <w:sz w:val="32"/>
          <w:szCs w:val="32"/>
          <w:rtl/>
          <w:lang w:bidi="ar-EG"/>
        </w:rPr>
        <w:t xml:space="preserve">كلية الإدارة </w:t>
      </w:r>
    </w:p>
    <w:p w14:paraId="0217C513" w14:textId="28AE5981" w:rsidR="009125CE" w:rsidRPr="000513DC" w:rsidRDefault="009125CE" w:rsidP="00AD23C4">
      <w:pPr>
        <w:spacing w:line="360" w:lineRule="auto"/>
        <w:rPr>
          <w:rFonts w:ascii="Traditional Arabic" w:hAnsi="Traditional Arabic" w:cs="Traditional Arabic"/>
          <w:sz w:val="32"/>
          <w:szCs w:val="32"/>
          <w:rtl/>
          <w:lang w:bidi="ar-EG"/>
        </w:rPr>
      </w:pPr>
      <w:r w:rsidRPr="000513DC">
        <w:rPr>
          <w:rFonts w:ascii="Traditional Arabic" w:hAnsi="Traditional Arabic" w:cs="Traditional Arabic" w:hint="cs"/>
          <w:b/>
          <w:bCs/>
          <w:sz w:val="32"/>
          <w:szCs w:val="32"/>
          <w:rtl/>
          <w:lang w:bidi="ar-EG"/>
        </w:rPr>
        <w:t>قسم / تخصص</w:t>
      </w:r>
      <w:r w:rsidR="00777571" w:rsidRPr="000513DC">
        <w:rPr>
          <w:rFonts w:ascii="Traditional Arabic" w:hAnsi="Traditional Arabic" w:cs="Traditional Arabic" w:hint="cs"/>
          <w:b/>
          <w:bCs/>
          <w:sz w:val="32"/>
          <w:szCs w:val="32"/>
          <w:rtl/>
          <w:lang w:bidi="ar-EG"/>
        </w:rPr>
        <w:t xml:space="preserve"> ادارة </w:t>
      </w:r>
      <w:r w:rsidR="00BF2433">
        <w:rPr>
          <w:rFonts w:ascii="Traditional Arabic" w:hAnsi="Traditional Arabic" w:cs="Traditional Arabic" w:hint="cs"/>
          <w:b/>
          <w:bCs/>
          <w:sz w:val="32"/>
          <w:szCs w:val="32"/>
          <w:rtl/>
          <w:lang w:bidi="ar-EG"/>
        </w:rPr>
        <w:t>اعمال</w:t>
      </w:r>
    </w:p>
    <w:p w14:paraId="11A91486" w14:textId="77777777" w:rsidR="009125CE" w:rsidRPr="000513DC" w:rsidRDefault="009125CE" w:rsidP="00AD23C4">
      <w:pPr>
        <w:spacing w:line="360" w:lineRule="auto"/>
        <w:rPr>
          <w:rFonts w:ascii="Traditional Arabic" w:hAnsi="Traditional Arabic" w:cs="Traditional Arabic"/>
          <w:sz w:val="32"/>
          <w:szCs w:val="32"/>
          <w:rtl/>
          <w:lang w:bidi="ar-EG"/>
        </w:rPr>
      </w:pPr>
    </w:p>
    <w:p w14:paraId="5F6542BF" w14:textId="77777777" w:rsidR="009125CE" w:rsidRPr="000513DC" w:rsidRDefault="009125CE" w:rsidP="00AD23C4">
      <w:pPr>
        <w:spacing w:line="360" w:lineRule="auto"/>
        <w:rPr>
          <w:rFonts w:ascii="Traditional Arabic" w:hAnsi="Traditional Arabic" w:cs="Traditional Arabic"/>
          <w:sz w:val="32"/>
          <w:szCs w:val="32"/>
          <w:rtl/>
          <w:lang w:bidi="ar-EG"/>
        </w:rPr>
      </w:pPr>
    </w:p>
    <w:p w14:paraId="08401F45" w14:textId="68A2D4DF" w:rsidR="009125CE" w:rsidRPr="000513DC" w:rsidRDefault="00A74F76" w:rsidP="00AD23C4">
      <w:pPr>
        <w:spacing w:line="360" w:lineRule="auto"/>
        <w:jc w:val="center"/>
        <w:rPr>
          <w:rFonts w:ascii="Traditional Arabic" w:hAnsi="Traditional Arabic" w:cs="Traditional Arabic"/>
          <w:b/>
          <w:bCs/>
          <w:sz w:val="32"/>
          <w:szCs w:val="32"/>
          <w:rtl/>
          <w:lang w:bidi="ar-EG"/>
        </w:rPr>
      </w:pPr>
      <w:r w:rsidRPr="000513DC">
        <w:rPr>
          <w:rFonts w:ascii="Traditional Arabic" w:hAnsi="Traditional Arabic" w:cs="Traditional Arabic" w:hint="cs"/>
          <w:b/>
          <w:bCs/>
          <w:sz w:val="32"/>
          <w:szCs w:val="32"/>
          <w:rtl/>
          <w:lang w:bidi="ar-EG"/>
        </w:rPr>
        <w:t>عنوان البحث</w:t>
      </w:r>
    </w:p>
    <w:p w14:paraId="4C32E1B6" w14:textId="77777777" w:rsidR="00C666CC" w:rsidRDefault="00C666CC" w:rsidP="00085FBA">
      <w:pPr>
        <w:spacing w:line="360" w:lineRule="auto"/>
        <w:jc w:val="center"/>
        <w:rPr>
          <w:rFonts w:ascii="Traditional Arabic" w:hAnsi="Traditional Arabic" w:cs="Traditional Arabic"/>
          <w:sz w:val="32"/>
          <w:szCs w:val="32"/>
          <w:rtl/>
        </w:rPr>
      </w:pPr>
      <w:r w:rsidRPr="00C666CC">
        <w:rPr>
          <w:rFonts w:ascii="Traditional Arabic" w:hAnsi="Traditional Arabic" w:cs="Traditional Arabic"/>
          <w:sz w:val="32"/>
          <w:szCs w:val="32"/>
          <w:rtl/>
        </w:rPr>
        <w:t>أثر تبني تقنيات الذكاء الاصطناعي على تحسين جودة الأداء المؤسسي في المؤسسات الخدمية في المملكة العربية السعودية</w:t>
      </w:r>
    </w:p>
    <w:p w14:paraId="58D6152F" w14:textId="78C91806" w:rsidR="009125CE" w:rsidRDefault="009125CE" w:rsidP="00085FBA">
      <w:pPr>
        <w:spacing w:line="360" w:lineRule="auto"/>
        <w:jc w:val="center"/>
        <w:rPr>
          <w:rFonts w:ascii="Traditional Arabic" w:hAnsi="Traditional Arabic" w:cs="Traditional Arabic"/>
          <w:b/>
          <w:bCs/>
          <w:sz w:val="32"/>
          <w:szCs w:val="32"/>
          <w:rtl/>
          <w:lang w:bidi="ar-EG"/>
        </w:rPr>
      </w:pPr>
      <w:r w:rsidRPr="000513DC">
        <w:rPr>
          <w:rFonts w:ascii="Traditional Arabic" w:hAnsi="Traditional Arabic" w:cs="Traditional Arabic" w:hint="cs"/>
          <w:b/>
          <w:bCs/>
          <w:sz w:val="32"/>
          <w:szCs w:val="32"/>
          <w:rtl/>
          <w:lang w:bidi="ar-EG"/>
        </w:rPr>
        <w:t>إعداد الطالب</w:t>
      </w:r>
    </w:p>
    <w:p w14:paraId="55AB85A8" w14:textId="0B821B6C" w:rsidR="00BF573A" w:rsidRPr="000513DC" w:rsidRDefault="00BF573A" w:rsidP="00085FBA">
      <w:pPr>
        <w:spacing w:line="360" w:lineRule="auto"/>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نوف زيدان الرشيدي 253001227</w:t>
      </w:r>
    </w:p>
    <w:p w14:paraId="5F4EE2DE" w14:textId="1A92484F" w:rsidR="009125CE" w:rsidRPr="000513DC" w:rsidRDefault="009125CE" w:rsidP="00AD23C4">
      <w:pPr>
        <w:spacing w:line="360" w:lineRule="auto"/>
        <w:jc w:val="center"/>
        <w:rPr>
          <w:rFonts w:ascii="Traditional Arabic" w:hAnsi="Traditional Arabic" w:cs="Traditional Arabic"/>
          <w:b/>
          <w:bCs/>
          <w:sz w:val="32"/>
          <w:szCs w:val="32"/>
          <w:rtl/>
          <w:lang w:bidi="ar-EG"/>
        </w:rPr>
      </w:pPr>
      <w:r w:rsidRPr="000513DC">
        <w:rPr>
          <w:rFonts w:ascii="Traditional Arabic" w:hAnsi="Traditional Arabic" w:cs="Traditional Arabic" w:hint="cs"/>
          <w:b/>
          <w:bCs/>
          <w:sz w:val="32"/>
          <w:szCs w:val="32"/>
          <w:rtl/>
          <w:lang w:bidi="ar-EG"/>
        </w:rPr>
        <w:t>إشراف/</w:t>
      </w:r>
    </w:p>
    <w:p w14:paraId="2EFA31CD" w14:textId="287D4D2F" w:rsidR="009125CE" w:rsidRPr="000513DC" w:rsidRDefault="00B55620" w:rsidP="00AD23C4">
      <w:pPr>
        <w:spacing w:line="360" w:lineRule="auto"/>
        <w:jc w:val="center"/>
        <w:rPr>
          <w:rFonts w:ascii="Traditional Arabic" w:hAnsi="Traditional Arabic" w:cs="Traditional Arabic"/>
          <w:b/>
          <w:bCs/>
          <w:sz w:val="32"/>
          <w:szCs w:val="32"/>
          <w:rtl/>
          <w:lang w:bidi="ar-EG"/>
        </w:rPr>
      </w:pPr>
      <w:proofErr w:type="gramStart"/>
      <w:r w:rsidRPr="000513DC">
        <w:rPr>
          <w:rFonts w:ascii="Traditional Arabic" w:hAnsi="Traditional Arabic" w:cs="Traditional Arabic" w:hint="cs"/>
          <w:b/>
          <w:bCs/>
          <w:sz w:val="32"/>
          <w:szCs w:val="32"/>
          <w:rtl/>
          <w:lang w:bidi="ar-EG"/>
        </w:rPr>
        <w:t>د.الفيصل</w:t>
      </w:r>
      <w:proofErr w:type="gramEnd"/>
      <w:r w:rsidRPr="000513DC">
        <w:rPr>
          <w:rFonts w:ascii="Traditional Arabic" w:hAnsi="Traditional Arabic" w:cs="Traditional Arabic" w:hint="cs"/>
          <w:b/>
          <w:bCs/>
          <w:sz w:val="32"/>
          <w:szCs w:val="32"/>
          <w:rtl/>
          <w:lang w:bidi="ar-EG"/>
        </w:rPr>
        <w:t xml:space="preserve"> عبد الحميد</w:t>
      </w:r>
    </w:p>
    <w:p w14:paraId="2459AD3C" w14:textId="6340BED2" w:rsidR="00B55620" w:rsidRPr="000513DC" w:rsidRDefault="00B55620" w:rsidP="00AD23C4">
      <w:pPr>
        <w:spacing w:line="360" w:lineRule="auto"/>
        <w:jc w:val="center"/>
        <w:rPr>
          <w:rFonts w:ascii="Traditional Arabic" w:hAnsi="Traditional Arabic" w:cs="Traditional Arabic"/>
          <w:b/>
          <w:bCs/>
          <w:sz w:val="32"/>
          <w:szCs w:val="32"/>
          <w:rtl/>
          <w:lang w:bidi="ar-EG"/>
        </w:rPr>
      </w:pPr>
      <w:proofErr w:type="gramStart"/>
      <w:r w:rsidRPr="000513DC">
        <w:rPr>
          <w:rFonts w:ascii="Traditional Arabic" w:hAnsi="Traditional Arabic" w:cs="Traditional Arabic" w:hint="cs"/>
          <w:b/>
          <w:bCs/>
          <w:sz w:val="32"/>
          <w:szCs w:val="32"/>
          <w:rtl/>
          <w:lang w:bidi="ar-EG"/>
        </w:rPr>
        <w:t>د.فايز</w:t>
      </w:r>
      <w:proofErr w:type="gramEnd"/>
      <w:r w:rsidRPr="000513DC">
        <w:rPr>
          <w:rFonts w:ascii="Traditional Arabic" w:hAnsi="Traditional Arabic" w:cs="Traditional Arabic" w:hint="cs"/>
          <w:b/>
          <w:bCs/>
          <w:sz w:val="32"/>
          <w:szCs w:val="32"/>
          <w:rtl/>
          <w:lang w:bidi="ar-EG"/>
        </w:rPr>
        <w:t xml:space="preserve"> جراد</w:t>
      </w:r>
    </w:p>
    <w:p w14:paraId="22738CC6" w14:textId="77777777" w:rsidR="009125CE" w:rsidRPr="000513DC" w:rsidRDefault="009125CE" w:rsidP="00085FBA">
      <w:pPr>
        <w:spacing w:line="360" w:lineRule="auto"/>
        <w:rPr>
          <w:rFonts w:ascii="Traditional Arabic" w:hAnsi="Traditional Arabic" w:cs="Traditional Arabic"/>
          <w:b/>
          <w:bCs/>
          <w:sz w:val="32"/>
          <w:szCs w:val="32"/>
          <w:rtl/>
          <w:lang w:bidi="ar-EG"/>
        </w:rPr>
      </w:pPr>
    </w:p>
    <w:p w14:paraId="14480418" w14:textId="78A6C3AC" w:rsidR="009125CE" w:rsidRPr="000513DC" w:rsidRDefault="009125CE" w:rsidP="00AD23C4">
      <w:pPr>
        <w:spacing w:line="360" w:lineRule="auto"/>
        <w:jc w:val="center"/>
        <w:rPr>
          <w:rFonts w:ascii="Traditional Arabic" w:hAnsi="Traditional Arabic" w:cs="Traditional Arabic"/>
          <w:b/>
          <w:bCs/>
          <w:sz w:val="32"/>
          <w:szCs w:val="32"/>
          <w:rtl/>
          <w:lang w:bidi="ar-EG"/>
        </w:rPr>
      </w:pPr>
      <w:r w:rsidRPr="000513DC">
        <w:rPr>
          <w:rFonts w:ascii="Traditional Arabic" w:hAnsi="Traditional Arabic" w:cs="Traditional Arabic" w:hint="cs"/>
          <w:b/>
          <w:bCs/>
          <w:sz w:val="32"/>
          <w:szCs w:val="32"/>
          <w:rtl/>
          <w:lang w:bidi="ar-EG"/>
        </w:rPr>
        <w:t>العام الدراسي:</w:t>
      </w:r>
    </w:p>
    <w:p w14:paraId="71099ADB" w14:textId="1B14AFC7" w:rsidR="009125CE" w:rsidRPr="000513DC" w:rsidRDefault="00777571" w:rsidP="00AD23C4">
      <w:pPr>
        <w:spacing w:line="360" w:lineRule="auto"/>
        <w:jc w:val="center"/>
        <w:rPr>
          <w:rFonts w:ascii="Traditional Arabic" w:hAnsi="Traditional Arabic" w:cs="Traditional Arabic"/>
          <w:b/>
          <w:bCs/>
          <w:sz w:val="32"/>
          <w:szCs w:val="32"/>
          <w:rtl/>
          <w:lang w:bidi="ar-EG"/>
        </w:rPr>
      </w:pPr>
      <w:r w:rsidRPr="000513DC">
        <w:rPr>
          <w:rFonts w:ascii="Traditional Arabic" w:hAnsi="Traditional Arabic" w:cs="Traditional Arabic" w:hint="cs"/>
          <w:b/>
          <w:bCs/>
          <w:sz w:val="32"/>
          <w:szCs w:val="32"/>
          <w:lang w:bidi="ar-EG"/>
        </w:rPr>
        <w:t>2025</w:t>
      </w:r>
    </w:p>
    <w:p w14:paraId="79FA82C2" w14:textId="77777777" w:rsidR="00313995" w:rsidRDefault="00313995" w:rsidP="00AD23C4">
      <w:pPr>
        <w:spacing w:line="360" w:lineRule="auto"/>
        <w:jc w:val="center"/>
        <w:rPr>
          <w:rFonts w:ascii="Traditional Arabic" w:hAnsi="Traditional Arabic" w:cs="Traditional Arabic"/>
          <w:b/>
          <w:bCs/>
          <w:sz w:val="32"/>
          <w:szCs w:val="32"/>
          <w:rtl/>
          <w:lang w:bidi="ar-EG"/>
        </w:rPr>
      </w:pPr>
    </w:p>
    <w:p w14:paraId="621FE6FB" w14:textId="77777777" w:rsidR="004579AB" w:rsidRPr="004579AB" w:rsidRDefault="004579AB" w:rsidP="004579AB">
      <w:pPr>
        <w:spacing w:before="400" w:after="300" w:line="240" w:lineRule="auto"/>
        <w:jc w:val="center"/>
        <w:outlineLvl w:val="0"/>
        <w:rPr>
          <w:rFonts w:ascii="Times New Roman" w:eastAsia="Times New Roman" w:hAnsi="Times New Roman" w:cs="Times New Roman"/>
          <w:color w:val="2E74B5"/>
          <w:kern w:val="0"/>
          <w:sz w:val="32"/>
          <w:szCs w:val="32"/>
          <w14:ligatures w14:val="none"/>
        </w:rPr>
      </w:pPr>
      <w:r w:rsidRPr="004579AB">
        <w:rPr>
          <w:rFonts w:ascii="Arial" w:eastAsia="Arial" w:hAnsi="Arial" w:cs="Arial"/>
          <w:b/>
          <w:bCs/>
          <w:color w:val="2E74B5"/>
          <w:kern w:val="0"/>
          <w:sz w:val="32"/>
          <w:szCs w:val="32"/>
          <w:rtl/>
          <w14:ligatures w14:val="none"/>
        </w:rPr>
        <w:t>فهرس المحتويات</w:t>
      </w:r>
    </w:p>
    <w:p w14:paraId="7CED1CC6"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المستخلص Abstract</w:t>
      </w:r>
      <w:r w:rsidRPr="004579AB">
        <w:rPr>
          <w:rFonts w:ascii="Arial" w:eastAsia="Arial" w:hAnsi="Arial" w:cs="Arial"/>
          <w:kern w:val="0"/>
          <w:sz w:val="24"/>
          <w:szCs w:val="24"/>
          <w:rtl/>
          <w14:ligatures w14:val="none"/>
        </w:rPr>
        <w:tab/>
        <w:t>3</w:t>
      </w:r>
    </w:p>
    <w:p w14:paraId="2F75BFDB"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الفصل الأول: المقدمة</w:t>
      </w:r>
      <w:r w:rsidRPr="004579AB">
        <w:rPr>
          <w:rFonts w:ascii="Arial" w:eastAsia="Arial" w:hAnsi="Arial" w:cs="Arial"/>
          <w:kern w:val="0"/>
          <w:sz w:val="24"/>
          <w:szCs w:val="24"/>
          <w:rtl/>
          <w14:ligatures w14:val="none"/>
        </w:rPr>
        <w:tab/>
        <w:t>4</w:t>
      </w:r>
    </w:p>
    <w:p w14:paraId="534E0C00"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مشكلة الدراسة</w:t>
      </w:r>
      <w:r w:rsidRPr="004579AB">
        <w:rPr>
          <w:rFonts w:ascii="Arial" w:eastAsia="Arial" w:hAnsi="Arial" w:cs="Arial"/>
          <w:kern w:val="0"/>
          <w:sz w:val="24"/>
          <w:szCs w:val="24"/>
          <w:rtl/>
          <w14:ligatures w14:val="none"/>
        </w:rPr>
        <w:tab/>
        <w:t>5</w:t>
      </w:r>
    </w:p>
    <w:p w14:paraId="742F34DD"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أهمية الدراسة</w:t>
      </w:r>
      <w:r w:rsidRPr="004579AB">
        <w:rPr>
          <w:rFonts w:ascii="Arial" w:eastAsia="Arial" w:hAnsi="Arial" w:cs="Arial"/>
          <w:kern w:val="0"/>
          <w:sz w:val="24"/>
          <w:szCs w:val="24"/>
          <w:rtl/>
          <w14:ligatures w14:val="none"/>
        </w:rPr>
        <w:tab/>
        <w:t>6</w:t>
      </w:r>
    </w:p>
    <w:p w14:paraId="520BEC75"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أهداف الدراسة</w:t>
      </w:r>
      <w:r w:rsidRPr="004579AB">
        <w:rPr>
          <w:rFonts w:ascii="Arial" w:eastAsia="Arial" w:hAnsi="Arial" w:cs="Arial"/>
          <w:kern w:val="0"/>
          <w:sz w:val="24"/>
          <w:szCs w:val="24"/>
          <w:rtl/>
          <w14:ligatures w14:val="none"/>
        </w:rPr>
        <w:tab/>
        <w:t>7</w:t>
      </w:r>
    </w:p>
    <w:p w14:paraId="2E7B2D2E"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تساؤلات الدراسة</w:t>
      </w:r>
      <w:r w:rsidRPr="004579AB">
        <w:rPr>
          <w:rFonts w:ascii="Arial" w:eastAsia="Arial" w:hAnsi="Arial" w:cs="Arial"/>
          <w:kern w:val="0"/>
          <w:sz w:val="24"/>
          <w:szCs w:val="24"/>
          <w:rtl/>
          <w14:ligatures w14:val="none"/>
        </w:rPr>
        <w:tab/>
        <w:t>7</w:t>
      </w:r>
    </w:p>
    <w:p w14:paraId="46810E09"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فروض الدراسة</w:t>
      </w:r>
      <w:r w:rsidRPr="004579AB">
        <w:rPr>
          <w:rFonts w:ascii="Arial" w:eastAsia="Arial" w:hAnsi="Arial" w:cs="Arial"/>
          <w:kern w:val="0"/>
          <w:sz w:val="24"/>
          <w:szCs w:val="24"/>
          <w:rtl/>
          <w14:ligatures w14:val="none"/>
        </w:rPr>
        <w:tab/>
        <w:t>8</w:t>
      </w:r>
    </w:p>
    <w:p w14:paraId="60043E51"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الفصل الثاني: الدراسات السابقة</w:t>
      </w:r>
      <w:r w:rsidRPr="004579AB">
        <w:rPr>
          <w:rFonts w:ascii="Arial" w:eastAsia="Arial" w:hAnsi="Arial" w:cs="Arial"/>
          <w:kern w:val="0"/>
          <w:sz w:val="24"/>
          <w:szCs w:val="24"/>
          <w:rtl/>
          <w14:ligatures w14:val="none"/>
        </w:rPr>
        <w:tab/>
        <w:t>9</w:t>
      </w:r>
    </w:p>
    <w:p w14:paraId="1DD79B78"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مقدمة</w:t>
      </w:r>
      <w:r w:rsidRPr="004579AB">
        <w:rPr>
          <w:rFonts w:ascii="Arial" w:eastAsia="Arial" w:hAnsi="Arial" w:cs="Arial"/>
          <w:kern w:val="0"/>
          <w:sz w:val="24"/>
          <w:szCs w:val="24"/>
          <w:rtl/>
          <w14:ligatures w14:val="none"/>
        </w:rPr>
        <w:tab/>
        <w:t>9</w:t>
      </w:r>
    </w:p>
    <w:p w14:paraId="73740F9A"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الدراسات السابقة</w:t>
      </w:r>
      <w:r w:rsidRPr="004579AB">
        <w:rPr>
          <w:rFonts w:ascii="Arial" w:eastAsia="Arial" w:hAnsi="Arial" w:cs="Arial"/>
          <w:kern w:val="0"/>
          <w:sz w:val="24"/>
          <w:szCs w:val="24"/>
          <w:rtl/>
          <w14:ligatures w14:val="none"/>
        </w:rPr>
        <w:tab/>
        <w:t>9</w:t>
      </w:r>
    </w:p>
    <w:p w14:paraId="46876BF3"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الإطار النظري</w:t>
      </w:r>
      <w:r w:rsidRPr="004579AB">
        <w:rPr>
          <w:rFonts w:ascii="Arial" w:eastAsia="Arial" w:hAnsi="Arial" w:cs="Arial"/>
          <w:kern w:val="0"/>
          <w:sz w:val="24"/>
          <w:szCs w:val="24"/>
          <w:rtl/>
          <w14:ligatures w14:val="none"/>
        </w:rPr>
        <w:tab/>
        <w:t>13</w:t>
      </w:r>
    </w:p>
    <w:p w14:paraId="54451D6C"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الفصل الثالث: منهجية الدراسة</w:t>
      </w:r>
      <w:r w:rsidRPr="004579AB">
        <w:rPr>
          <w:rFonts w:ascii="Arial" w:eastAsia="Arial" w:hAnsi="Arial" w:cs="Arial"/>
          <w:kern w:val="0"/>
          <w:sz w:val="24"/>
          <w:szCs w:val="24"/>
          <w:rtl/>
          <w14:ligatures w14:val="none"/>
        </w:rPr>
        <w:tab/>
        <w:t>15</w:t>
      </w:r>
    </w:p>
    <w:p w14:paraId="7A869165"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مقدمة</w:t>
      </w:r>
      <w:r w:rsidRPr="004579AB">
        <w:rPr>
          <w:rFonts w:ascii="Arial" w:eastAsia="Arial" w:hAnsi="Arial" w:cs="Arial"/>
          <w:kern w:val="0"/>
          <w:sz w:val="24"/>
          <w:szCs w:val="24"/>
          <w:rtl/>
          <w14:ligatures w14:val="none"/>
        </w:rPr>
        <w:tab/>
        <w:t>15</w:t>
      </w:r>
    </w:p>
    <w:p w14:paraId="1784D5BE"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المنهجية وطرق البحث</w:t>
      </w:r>
      <w:r w:rsidRPr="004579AB">
        <w:rPr>
          <w:rFonts w:ascii="Arial" w:eastAsia="Arial" w:hAnsi="Arial" w:cs="Arial"/>
          <w:kern w:val="0"/>
          <w:sz w:val="24"/>
          <w:szCs w:val="24"/>
          <w:rtl/>
          <w14:ligatures w14:val="none"/>
        </w:rPr>
        <w:tab/>
        <w:t>15</w:t>
      </w:r>
    </w:p>
    <w:p w14:paraId="5E088BD9"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مجتمع البحث وعينته</w:t>
      </w:r>
      <w:r w:rsidRPr="004579AB">
        <w:rPr>
          <w:rFonts w:ascii="Arial" w:eastAsia="Arial" w:hAnsi="Arial" w:cs="Arial"/>
          <w:kern w:val="0"/>
          <w:sz w:val="24"/>
          <w:szCs w:val="24"/>
          <w:rtl/>
          <w14:ligatures w14:val="none"/>
        </w:rPr>
        <w:tab/>
        <w:t>16</w:t>
      </w:r>
    </w:p>
    <w:p w14:paraId="08E9FC05"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حدود البحث</w:t>
      </w:r>
      <w:r w:rsidRPr="004579AB">
        <w:rPr>
          <w:rFonts w:ascii="Arial" w:eastAsia="Arial" w:hAnsi="Arial" w:cs="Arial"/>
          <w:kern w:val="0"/>
          <w:sz w:val="24"/>
          <w:szCs w:val="24"/>
          <w:rtl/>
          <w14:ligatures w14:val="none"/>
        </w:rPr>
        <w:tab/>
        <w:t>17</w:t>
      </w:r>
    </w:p>
    <w:p w14:paraId="13760CC8"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نموذج متغيرات الدراسة</w:t>
      </w:r>
      <w:r w:rsidRPr="004579AB">
        <w:rPr>
          <w:rFonts w:ascii="Arial" w:eastAsia="Arial" w:hAnsi="Arial" w:cs="Arial"/>
          <w:kern w:val="0"/>
          <w:sz w:val="24"/>
          <w:szCs w:val="24"/>
          <w:rtl/>
          <w14:ligatures w14:val="none"/>
        </w:rPr>
        <w:tab/>
        <w:t>17</w:t>
      </w:r>
    </w:p>
    <w:p w14:paraId="32D51AA4"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الأساليب الإحصائية</w:t>
      </w:r>
      <w:r w:rsidRPr="004579AB">
        <w:rPr>
          <w:rFonts w:ascii="Arial" w:eastAsia="Arial" w:hAnsi="Arial" w:cs="Arial"/>
          <w:kern w:val="0"/>
          <w:sz w:val="24"/>
          <w:szCs w:val="24"/>
          <w:rtl/>
          <w14:ligatures w14:val="none"/>
        </w:rPr>
        <w:tab/>
        <w:t>18</w:t>
      </w:r>
    </w:p>
    <w:p w14:paraId="346BD215"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الفصل الرابع: النتائج والتوصيات</w:t>
      </w:r>
      <w:r w:rsidRPr="004579AB">
        <w:rPr>
          <w:rFonts w:ascii="Arial" w:eastAsia="Arial" w:hAnsi="Arial" w:cs="Arial"/>
          <w:kern w:val="0"/>
          <w:sz w:val="24"/>
          <w:szCs w:val="24"/>
          <w:rtl/>
          <w14:ligatures w14:val="none"/>
        </w:rPr>
        <w:tab/>
        <w:t>19</w:t>
      </w:r>
    </w:p>
    <w:p w14:paraId="27673491"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مقدمة</w:t>
      </w:r>
      <w:r w:rsidRPr="004579AB">
        <w:rPr>
          <w:rFonts w:ascii="Arial" w:eastAsia="Arial" w:hAnsi="Arial" w:cs="Arial"/>
          <w:kern w:val="0"/>
          <w:sz w:val="24"/>
          <w:szCs w:val="24"/>
          <w:rtl/>
          <w14:ligatures w14:val="none"/>
        </w:rPr>
        <w:tab/>
        <w:t>19</w:t>
      </w:r>
    </w:p>
    <w:p w14:paraId="3D585659"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تحليل البيانات</w:t>
      </w:r>
      <w:r w:rsidRPr="004579AB">
        <w:rPr>
          <w:rFonts w:ascii="Arial" w:eastAsia="Arial" w:hAnsi="Arial" w:cs="Arial"/>
          <w:kern w:val="0"/>
          <w:sz w:val="24"/>
          <w:szCs w:val="24"/>
          <w:rtl/>
          <w14:ligatures w14:val="none"/>
        </w:rPr>
        <w:tab/>
        <w:t>19</w:t>
      </w:r>
    </w:p>
    <w:p w14:paraId="00F56C9A"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النتائج</w:t>
      </w:r>
      <w:r w:rsidRPr="004579AB">
        <w:rPr>
          <w:rFonts w:ascii="Arial" w:eastAsia="Arial" w:hAnsi="Arial" w:cs="Arial"/>
          <w:kern w:val="0"/>
          <w:sz w:val="24"/>
          <w:szCs w:val="24"/>
          <w:rtl/>
          <w14:ligatures w14:val="none"/>
        </w:rPr>
        <w:tab/>
        <w:t>21</w:t>
      </w:r>
    </w:p>
    <w:p w14:paraId="6254025F"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التوصيات</w:t>
      </w:r>
      <w:r w:rsidRPr="004579AB">
        <w:rPr>
          <w:rFonts w:ascii="Arial" w:eastAsia="Arial" w:hAnsi="Arial" w:cs="Arial"/>
          <w:kern w:val="0"/>
          <w:sz w:val="24"/>
          <w:szCs w:val="24"/>
          <w:rtl/>
          <w14:ligatures w14:val="none"/>
        </w:rPr>
        <w:tab/>
        <w:t>22</w:t>
      </w:r>
    </w:p>
    <w:p w14:paraId="4BEBD9B8"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المراجع</w:t>
      </w:r>
      <w:r w:rsidRPr="004579AB">
        <w:rPr>
          <w:rFonts w:ascii="Arial" w:eastAsia="Arial" w:hAnsi="Arial" w:cs="Arial"/>
          <w:kern w:val="0"/>
          <w:sz w:val="24"/>
          <w:szCs w:val="24"/>
          <w:rtl/>
          <w14:ligatures w14:val="none"/>
        </w:rPr>
        <w:tab/>
        <w:t>23</w:t>
      </w:r>
    </w:p>
    <w:p w14:paraId="320C39AB"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الملاحق</w:t>
      </w:r>
      <w:r w:rsidRPr="004579AB">
        <w:rPr>
          <w:rFonts w:ascii="Arial" w:eastAsia="Arial" w:hAnsi="Arial" w:cs="Arial"/>
          <w:kern w:val="0"/>
          <w:sz w:val="24"/>
          <w:szCs w:val="24"/>
          <w:rtl/>
          <w14:ligatures w14:val="none"/>
        </w:rPr>
        <w:tab/>
        <w:t>26</w:t>
      </w:r>
    </w:p>
    <w:p w14:paraId="1A0D1616" w14:textId="77777777" w:rsidR="004579AB" w:rsidRPr="004579AB" w:rsidRDefault="004579AB" w:rsidP="004579AB">
      <w:pPr>
        <w:spacing w:after="0" w:line="240" w:lineRule="auto"/>
        <w:rPr>
          <w:rFonts w:ascii="Times New Roman" w:eastAsia="Times New Roman" w:hAnsi="Times New Roman" w:cs="Times New Roman"/>
          <w:kern w:val="0"/>
          <w:sz w:val="20"/>
          <w:szCs w:val="20"/>
          <w14:ligatures w14:val="none"/>
        </w:rPr>
      </w:pPr>
      <w:r w:rsidRPr="004579AB">
        <w:rPr>
          <w:rFonts w:ascii="Times New Roman" w:eastAsia="Times New Roman" w:hAnsi="Times New Roman" w:cs="Times New Roman"/>
          <w:kern w:val="0"/>
          <w:sz w:val="20"/>
          <w:szCs w:val="20"/>
          <w14:ligatures w14:val="none"/>
        </w:rPr>
        <w:br w:type="page"/>
      </w:r>
    </w:p>
    <w:p w14:paraId="03150FFB" w14:textId="77777777" w:rsidR="004579AB" w:rsidRPr="004579AB" w:rsidRDefault="004579AB" w:rsidP="004579AB">
      <w:pPr>
        <w:spacing w:before="400" w:after="300" w:line="240" w:lineRule="auto"/>
        <w:jc w:val="center"/>
        <w:outlineLvl w:val="0"/>
        <w:rPr>
          <w:rFonts w:ascii="Times New Roman" w:eastAsia="Times New Roman" w:hAnsi="Times New Roman" w:cs="Times New Roman"/>
          <w:color w:val="2E74B5"/>
          <w:kern w:val="0"/>
          <w:sz w:val="32"/>
          <w:szCs w:val="32"/>
          <w14:ligatures w14:val="none"/>
        </w:rPr>
      </w:pPr>
      <w:r w:rsidRPr="004579AB">
        <w:rPr>
          <w:rFonts w:ascii="Arial" w:eastAsia="Arial" w:hAnsi="Arial" w:cs="Arial"/>
          <w:b/>
          <w:bCs/>
          <w:color w:val="2E74B5"/>
          <w:kern w:val="0"/>
          <w:sz w:val="32"/>
          <w:szCs w:val="32"/>
          <w:rtl/>
          <w14:ligatures w14:val="none"/>
        </w:rPr>
        <w:lastRenderedPageBreak/>
        <w:t>قائمة الجداول</w:t>
      </w:r>
    </w:p>
    <w:p w14:paraId="5A12B652"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جدول (1): نموذج متغيرات الدراسة (المستقل والتابع)</w:t>
      </w:r>
      <w:r w:rsidRPr="004579AB">
        <w:rPr>
          <w:rFonts w:ascii="Arial" w:eastAsia="Arial" w:hAnsi="Arial" w:cs="Arial"/>
          <w:kern w:val="0"/>
          <w:sz w:val="24"/>
          <w:szCs w:val="24"/>
          <w:rtl/>
          <w14:ligatures w14:val="none"/>
        </w:rPr>
        <w:tab/>
        <w:t>17</w:t>
      </w:r>
    </w:p>
    <w:p w14:paraId="1AE95317"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جدول (2): محاور استبانة الدراسة وعدد فقراتها</w:t>
      </w:r>
      <w:r w:rsidRPr="004579AB">
        <w:rPr>
          <w:rFonts w:ascii="Arial" w:eastAsia="Arial" w:hAnsi="Arial" w:cs="Arial"/>
          <w:kern w:val="0"/>
          <w:sz w:val="24"/>
          <w:szCs w:val="24"/>
          <w:rtl/>
          <w14:ligatures w14:val="none"/>
        </w:rPr>
        <w:tab/>
        <w:t>26</w:t>
      </w:r>
    </w:p>
    <w:p w14:paraId="04256809" w14:textId="77777777" w:rsidR="004579AB" w:rsidRPr="004579AB" w:rsidRDefault="004579AB" w:rsidP="004579AB">
      <w:pPr>
        <w:spacing w:after="0" w:line="240" w:lineRule="auto"/>
        <w:rPr>
          <w:rFonts w:ascii="Times New Roman" w:eastAsia="Times New Roman" w:hAnsi="Times New Roman" w:cs="Times New Roman"/>
          <w:kern w:val="0"/>
          <w:sz w:val="20"/>
          <w:szCs w:val="20"/>
          <w14:ligatures w14:val="none"/>
        </w:rPr>
      </w:pPr>
      <w:r w:rsidRPr="004579AB">
        <w:rPr>
          <w:rFonts w:ascii="Times New Roman" w:eastAsia="Times New Roman" w:hAnsi="Times New Roman" w:cs="Times New Roman"/>
          <w:kern w:val="0"/>
          <w:sz w:val="20"/>
          <w:szCs w:val="20"/>
          <w14:ligatures w14:val="none"/>
        </w:rPr>
        <w:br w:type="page"/>
      </w:r>
    </w:p>
    <w:p w14:paraId="2A14CA1B" w14:textId="77777777" w:rsidR="004579AB" w:rsidRPr="004579AB" w:rsidRDefault="004579AB" w:rsidP="004579AB">
      <w:pPr>
        <w:spacing w:before="400" w:after="300" w:line="240" w:lineRule="auto"/>
        <w:jc w:val="center"/>
        <w:outlineLvl w:val="0"/>
        <w:rPr>
          <w:rFonts w:ascii="Times New Roman" w:eastAsia="Times New Roman" w:hAnsi="Times New Roman" w:cs="Times New Roman"/>
          <w:color w:val="2E74B5"/>
          <w:kern w:val="0"/>
          <w:sz w:val="32"/>
          <w:szCs w:val="32"/>
          <w14:ligatures w14:val="none"/>
        </w:rPr>
      </w:pPr>
      <w:r w:rsidRPr="004579AB">
        <w:rPr>
          <w:rFonts w:ascii="Arial" w:eastAsia="Arial" w:hAnsi="Arial" w:cs="Arial"/>
          <w:b/>
          <w:bCs/>
          <w:color w:val="2E74B5"/>
          <w:kern w:val="0"/>
          <w:sz w:val="32"/>
          <w:szCs w:val="32"/>
          <w:rtl/>
          <w14:ligatures w14:val="none"/>
        </w:rPr>
        <w:lastRenderedPageBreak/>
        <w:t>فهرس الأشكال</w:t>
      </w:r>
    </w:p>
    <w:p w14:paraId="7A9A476B" w14:textId="77777777" w:rsidR="004579AB" w:rsidRPr="004579AB" w:rsidRDefault="004579AB" w:rsidP="004579AB">
      <w:pPr>
        <w:tabs>
          <w:tab w:val="right" w:leader="dot" w:pos="9026"/>
        </w:tabs>
        <w:spacing w:after="12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شكل (1): النموذج الافتراضي للدراسة (العلاقة بين المتغير المستقل والتابع)</w:t>
      </w:r>
      <w:r w:rsidRPr="004579AB">
        <w:rPr>
          <w:rFonts w:ascii="Arial" w:eastAsia="Arial" w:hAnsi="Arial" w:cs="Arial"/>
          <w:kern w:val="0"/>
          <w:sz w:val="24"/>
          <w:szCs w:val="24"/>
          <w:rtl/>
          <w14:ligatures w14:val="none"/>
        </w:rPr>
        <w:tab/>
        <w:t>18</w:t>
      </w:r>
    </w:p>
    <w:p w14:paraId="0BB2DD5E" w14:textId="77777777" w:rsidR="004579AB" w:rsidRPr="004579AB" w:rsidRDefault="004579AB" w:rsidP="004579AB">
      <w:pPr>
        <w:spacing w:after="0" w:line="240" w:lineRule="auto"/>
        <w:rPr>
          <w:rFonts w:ascii="Times New Roman" w:eastAsia="Times New Roman" w:hAnsi="Times New Roman" w:cs="Times New Roman"/>
          <w:kern w:val="0"/>
          <w:sz w:val="20"/>
          <w:szCs w:val="20"/>
          <w14:ligatures w14:val="none"/>
        </w:rPr>
      </w:pPr>
      <w:r w:rsidRPr="004579AB">
        <w:rPr>
          <w:rFonts w:ascii="Times New Roman" w:eastAsia="Times New Roman" w:hAnsi="Times New Roman" w:cs="Times New Roman"/>
          <w:kern w:val="0"/>
          <w:sz w:val="20"/>
          <w:szCs w:val="20"/>
          <w14:ligatures w14:val="none"/>
        </w:rPr>
        <w:br w:type="page"/>
      </w:r>
    </w:p>
    <w:p w14:paraId="67E31E9C" w14:textId="77777777" w:rsidR="004579AB" w:rsidRPr="004579AB" w:rsidRDefault="004579AB" w:rsidP="00BF2433">
      <w:pPr>
        <w:spacing w:before="400" w:after="300" w:line="240" w:lineRule="auto"/>
        <w:jc w:val="center"/>
        <w:outlineLvl w:val="0"/>
        <w:rPr>
          <w:rFonts w:ascii="Times New Roman" w:eastAsia="Times New Roman" w:hAnsi="Times New Roman" w:cs="Times New Roman"/>
          <w:color w:val="2E74B5"/>
          <w:kern w:val="0"/>
          <w:sz w:val="32"/>
          <w:szCs w:val="32"/>
          <w14:ligatures w14:val="none"/>
        </w:rPr>
      </w:pPr>
      <w:r w:rsidRPr="004579AB">
        <w:rPr>
          <w:rFonts w:ascii="Arial" w:eastAsia="Arial" w:hAnsi="Arial" w:cs="Arial"/>
          <w:b/>
          <w:bCs/>
          <w:color w:val="2E74B5"/>
          <w:kern w:val="0"/>
          <w:sz w:val="32"/>
          <w:szCs w:val="32"/>
          <w:rtl/>
          <w14:ligatures w14:val="none"/>
        </w:rPr>
        <w:lastRenderedPageBreak/>
        <w:t>المستخلص</w:t>
      </w:r>
    </w:p>
    <w:p w14:paraId="0F1A411C" w14:textId="77777777" w:rsidR="004579AB" w:rsidRPr="004579AB" w:rsidRDefault="004579AB" w:rsidP="00BF2433">
      <w:pPr>
        <w:spacing w:after="200" w:line="240" w:lineRule="auto"/>
        <w:jc w:val="center"/>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rtl/>
          <w14:ligatures w14:val="none"/>
        </w:rPr>
        <w:t>هدفت هذه الدراسة إلى تحليل أثر تبني تقنيات الذكاء الاصطناعي على تحسين جودة الأداء المؤسسي في المؤسسات الخدمية في المملكة العربية السعودية، وذلك من خلال الوقوف على مستوى تبني هذه التقنيات، وقياس علاقتها بأبعاد جودة الأداء المؤسسي المتمثلة في جودة الخدمة، وسرعة الأداء، ودقة العمليات، وكفاءة استخدام الموارد، ومستوى رضا المستفيدين. اعتمدت الدراسة على المنهج الوصفي التحليلي، وتم تصميم استبانة كأداة رئيسية لجمع البيانات من عينة عشوائية تراوحت بين (120-150) موظفًا من العاملين في المؤسسات الخدمية الحكومية والخاصة. وتشير الدراسة إلى وجود علاقة إيجابية متوقعة ذات دلالة إحصائية بين مستوى تبني تقنيات الذكاء الاصطناعي وتحسين جودة الأداء المؤسسي، بما يدعم توصية المؤسسات الخدمية بتبني استراتيجيات واضحة لدمج هذه التقنيات ضمن خططها التشغيلية، والاستثمار في تأهيل الكوادر البشرية، وتعزيز البنية التحتية الرقمية اللازمة لتحقيق أقصى استفادة من هذه التقنيات. وتخلص الدراسة إلى مجموعة من التوصيات العملية الموجهة لصناع القرار في القطاع الخدمي السعودي.</w:t>
      </w:r>
    </w:p>
    <w:p w14:paraId="2DBBB92B" w14:textId="549E2E3C" w:rsidR="004579AB" w:rsidRPr="004579AB" w:rsidRDefault="004579AB" w:rsidP="00BF2433">
      <w:pPr>
        <w:spacing w:after="200" w:line="240" w:lineRule="auto"/>
        <w:jc w:val="center"/>
        <w:rPr>
          <w:rFonts w:ascii="Arial" w:eastAsia="Arial" w:hAnsi="Arial" w:cs="Arial"/>
          <w:b/>
          <w:bCs/>
          <w:kern w:val="0"/>
          <w:sz w:val="24"/>
          <w:szCs w:val="24"/>
          <w:rtl/>
          <w14:ligatures w14:val="none"/>
        </w:rPr>
      </w:pPr>
      <w:r w:rsidRPr="004579AB">
        <w:rPr>
          <w:rFonts w:ascii="Arial" w:eastAsia="Arial" w:hAnsi="Arial" w:cs="Arial"/>
          <w:b/>
          <w:bCs/>
          <w:kern w:val="0"/>
          <w:sz w:val="24"/>
          <w:szCs w:val="24"/>
          <w:rtl/>
          <w14:ligatures w14:val="none"/>
        </w:rPr>
        <w:t>الكلمات المفتاحية: الذكاء الاصطناعي، جودة الأداء المؤسسي، المؤسسات الخدمية، المملكة العربية السعودية، التحول</w:t>
      </w:r>
      <w:r w:rsidR="00BF2433">
        <w:rPr>
          <w:rFonts w:ascii="Arial" w:eastAsia="Arial" w:hAnsi="Arial" w:cs="Arial" w:hint="cs"/>
          <w:b/>
          <w:bCs/>
          <w:kern w:val="0"/>
          <w:sz w:val="24"/>
          <w:szCs w:val="24"/>
          <w:rtl/>
          <w14:ligatures w14:val="none"/>
        </w:rPr>
        <w:t xml:space="preserve"> </w:t>
      </w:r>
      <w:r w:rsidRPr="004579AB">
        <w:rPr>
          <w:rFonts w:ascii="Arial" w:eastAsia="Arial" w:hAnsi="Arial" w:cs="Arial"/>
          <w:b/>
          <w:bCs/>
          <w:kern w:val="0"/>
          <w:sz w:val="24"/>
          <w:szCs w:val="24"/>
          <w:rtl/>
          <w14:ligatures w14:val="none"/>
        </w:rPr>
        <w:t>الرقمي</w:t>
      </w:r>
    </w:p>
    <w:p w14:paraId="15BB7E5D"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54EB8429"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6A39F295"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4C1C283A"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6F401AB3"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094D38DF"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728B6F71"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6A3F373D"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1636FC4D"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5679C0FB"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17ED4111"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03E5E187"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25099BF0"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7CAFF9E2"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0612600C"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09FB531A"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09AFBC67"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35DB787C"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3FAA084F"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790DA1AD"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1B006808" w14:textId="77777777" w:rsidR="004579AB" w:rsidRPr="004579AB" w:rsidRDefault="004579AB" w:rsidP="004579AB">
      <w:pPr>
        <w:spacing w:after="200" w:line="240" w:lineRule="auto"/>
        <w:jc w:val="right"/>
        <w:rPr>
          <w:rFonts w:ascii="Arial" w:eastAsia="Arial" w:hAnsi="Arial" w:cs="Arial"/>
          <w:b/>
          <w:bCs/>
          <w:kern w:val="0"/>
          <w:sz w:val="24"/>
          <w:szCs w:val="24"/>
          <w:rtl/>
          <w14:ligatures w14:val="none"/>
        </w:rPr>
      </w:pPr>
    </w:p>
    <w:p w14:paraId="79A3A9E2" w14:textId="77777777" w:rsidR="004579AB" w:rsidRPr="004579AB" w:rsidRDefault="004579AB" w:rsidP="004579AB">
      <w:pPr>
        <w:spacing w:after="200" w:line="240" w:lineRule="auto"/>
        <w:jc w:val="right"/>
        <w:rPr>
          <w:rFonts w:ascii="Times New Roman" w:eastAsia="Times New Roman" w:hAnsi="Times New Roman" w:cs="Times New Roman"/>
          <w:kern w:val="0"/>
          <w:sz w:val="20"/>
          <w:szCs w:val="20"/>
          <w14:ligatures w14:val="none"/>
        </w:rPr>
      </w:pPr>
      <w:r w:rsidRPr="004579AB">
        <w:rPr>
          <w:rFonts w:ascii="Arial" w:eastAsia="Arial" w:hAnsi="Arial" w:cs="Arial"/>
          <w:b/>
          <w:bCs/>
          <w:kern w:val="0"/>
          <w:sz w:val="24"/>
          <w:szCs w:val="24"/>
          <w:rtl/>
          <w14:ligatures w14:val="none"/>
        </w:rPr>
        <w:t>.</w:t>
      </w:r>
    </w:p>
    <w:p w14:paraId="16B93F09" w14:textId="77777777" w:rsidR="004579AB" w:rsidRPr="004579AB" w:rsidRDefault="004579AB" w:rsidP="004579AB">
      <w:pPr>
        <w:spacing w:after="300" w:line="240" w:lineRule="auto"/>
        <w:rPr>
          <w:rFonts w:ascii="Times New Roman" w:eastAsia="Times New Roman" w:hAnsi="Times New Roman" w:cs="Times New Roman"/>
          <w:kern w:val="0"/>
          <w:sz w:val="20"/>
          <w:szCs w:val="20"/>
          <w14:ligatures w14:val="none"/>
        </w:rPr>
      </w:pPr>
    </w:p>
    <w:p w14:paraId="5BB40061" w14:textId="77777777" w:rsidR="004579AB" w:rsidRPr="004579AB" w:rsidRDefault="004579AB" w:rsidP="004579AB">
      <w:pPr>
        <w:bidi w:val="0"/>
        <w:spacing w:before="400" w:after="300" w:line="240" w:lineRule="auto"/>
        <w:jc w:val="center"/>
        <w:outlineLvl w:val="0"/>
        <w:rPr>
          <w:rFonts w:ascii="Times New Roman" w:eastAsia="Times New Roman" w:hAnsi="Times New Roman" w:cs="Times New Roman"/>
          <w:color w:val="2E74B5"/>
          <w:kern w:val="0"/>
          <w:sz w:val="32"/>
          <w:szCs w:val="32"/>
          <w14:ligatures w14:val="none"/>
        </w:rPr>
      </w:pPr>
      <w:r w:rsidRPr="004579AB">
        <w:rPr>
          <w:rFonts w:ascii="Arial" w:eastAsia="Arial" w:hAnsi="Arial" w:cs="Arial"/>
          <w:b/>
          <w:bCs/>
          <w:color w:val="2E74B5"/>
          <w:kern w:val="0"/>
          <w:sz w:val="32"/>
          <w:szCs w:val="32"/>
          <w14:ligatures w14:val="none"/>
        </w:rPr>
        <w:t>Abstract</w:t>
      </w:r>
    </w:p>
    <w:p w14:paraId="237F675A" w14:textId="77777777" w:rsidR="004579AB" w:rsidRPr="004579AB" w:rsidRDefault="004579AB" w:rsidP="004579AB">
      <w:pPr>
        <w:spacing w:after="200" w:line="240" w:lineRule="auto"/>
        <w:jc w:val="both"/>
        <w:rPr>
          <w:rFonts w:ascii="Times New Roman" w:eastAsia="Times New Roman" w:hAnsi="Times New Roman" w:cs="Times New Roman"/>
          <w:kern w:val="0"/>
          <w:sz w:val="20"/>
          <w:szCs w:val="20"/>
          <w14:ligatures w14:val="none"/>
        </w:rPr>
      </w:pPr>
      <w:r w:rsidRPr="004579AB">
        <w:rPr>
          <w:rFonts w:ascii="Arial" w:eastAsia="Arial" w:hAnsi="Arial" w:cs="Arial"/>
          <w:kern w:val="0"/>
          <w:sz w:val="24"/>
          <w:szCs w:val="24"/>
          <w14:ligatures w14:val="none"/>
        </w:rPr>
        <w:t>This study aims to analyze the impact of adopting artificial intelligence (AI) technologies on improving institutional performance quality in service institutions in the Kingdom of Saudi Arabia. It examines the level of AI adoption and its relationship with the dimensions of institutional performance quality, namely service quality, speed of performance, accuracy of operations, resource efficiency, and beneficiary satisfaction. The study adopts a descriptive-analytical approach, using a questionnaire as the primary data-collection tool distributed to a random sample of (120-150) employees working in public and private service institutions. The study is expected to reveal a statistically significant positive relationship between the level of AI adoption and the improvement of institutional performance quality, supporting a recommendation for service institutions to adopt clear strategies for integrating these technologies into their operational plans, invest in human capacity building, and strengthen the digital infrastructure required to maximize the benefits of these technologies. The study concludes with a set of practical recommendations directed at decision-makers in the Saudi service sector.</w:t>
      </w:r>
    </w:p>
    <w:p w14:paraId="69ACA090" w14:textId="77777777" w:rsidR="004579AB" w:rsidRPr="004579AB" w:rsidRDefault="004579AB" w:rsidP="004579AB">
      <w:pPr>
        <w:spacing w:after="200" w:line="240" w:lineRule="auto"/>
        <w:rPr>
          <w:rFonts w:ascii="Times New Roman" w:eastAsia="Times New Roman" w:hAnsi="Times New Roman" w:cs="Times New Roman"/>
          <w:kern w:val="0"/>
          <w:sz w:val="20"/>
          <w:szCs w:val="20"/>
          <w14:ligatures w14:val="none"/>
        </w:rPr>
      </w:pPr>
      <w:r w:rsidRPr="004579AB">
        <w:rPr>
          <w:rFonts w:ascii="Arial" w:eastAsia="Arial" w:hAnsi="Arial" w:cs="Arial"/>
          <w:b/>
          <w:bCs/>
          <w:kern w:val="0"/>
          <w:sz w:val="24"/>
          <w:szCs w:val="24"/>
          <w14:ligatures w14:val="none"/>
        </w:rPr>
        <w:t>Keywords: Artificial Intelligence, Institutional Performance Quality, Service Institutions, Saudi Arabia, Digital Transformation.</w:t>
      </w:r>
    </w:p>
    <w:p w14:paraId="1E98AF59" w14:textId="77777777" w:rsidR="004579AB" w:rsidRPr="004579AB" w:rsidRDefault="004579AB" w:rsidP="004579AB">
      <w:pPr>
        <w:spacing w:after="0" w:line="240" w:lineRule="auto"/>
        <w:rPr>
          <w:rFonts w:ascii="Times New Roman" w:eastAsia="Times New Roman" w:hAnsi="Times New Roman" w:cs="Times New Roman"/>
          <w:kern w:val="0"/>
          <w:sz w:val="20"/>
          <w:szCs w:val="20"/>
          <w14:ligatures w14:val="none"/>
        </w:rPr>
      </w:pPr>
      <w:r w:rsidRPr="004579AB">
        <w:rPr>
          <w:rFonts w:ascii="Times New Roman" w:eastAsia="Times New Roman" w:hAnsi="Times New Roman" w:cs="Times New Roman"/>
          <w:kern w:val="0"/>
          <w:sz w:val="20"/>
          <w:szCs w:val="20"/>
          <w14:ligatures w14:val="none"/>
        </w:rPr>
        <w:br w:type="page"/>
      </w:r>
    </w:p>
    <w:p w14:paraId="628BA68C" w14:textId="77777777" w:rsidR="004579AB" w:rsidRPr="004579AB" w:rsidRDefault="004579AB" w:rsidP="004579AB">
      <w:pPr>
        <w:spacing w:before="400" w:after="300" w:line="360" w:lineRule="auto"/>
        <w:jc w:val="mediumKashida"/>
        <w:outlineLvl w:val="0"/>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lastRenderedPageBreak/>
        <w:t>الفصل الأول: المقدمة</w:t>
      </w:r>
    </w:p>
    <w:p w14:paraId="22813210"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يشهد العالم في العصر الحديث تحولًا جذريًا في مختلف القطاعات نتيجة التطور المتسارع في تقنيات الذكاء الاصطناعي، والتي أصبحت تمثل أحد أهم ركائز التحول الرقمي والاقتصاد القائم على المعرفة. فلم يعد الذكاء الاصطناعي مجرد أداة تقنية مساعدة، بل أصبح عنصرًا استراتيجيًا يسهم بشكل مباشر في تحسين جودة الأداء المؤسسي، وتعزيز القدرة التنافسية، وتحقيق الاستدامة في بيئات العمل المعاصرة.</w:t>
      </w:r>
    </w:p>
    <w:p w14:paraId="516A4430"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وتُعد المؤسسات الخدمية من أكثر القطاعات تأثرًا بهذا التحول، نظرًا لاعتمادها الكبير على جودة الخدمة، وسرعة الاستجابة، ودقة العمليات، ورضا المستفيدين. حيث تسهم تقنيات الذكاء الاصطناعي، مثل التعلم الآلي، وتحليل البيانات الضخمة، والأنظمة الذكية، في تحسين كفاءة العمليات التشغيلية، وتقديم خدمات أكثر تخصيصًا وفعالية، بالإضافة إلى دعم اتخاذ القرار المبني على البيانات الدقيقة.</w:t>
      </w:r>
    </w:p>
    <w:p w14:paraId="74C6BE00"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وفي سياق المملكة العربية السعودية، يأتي هذا التحول في إطار رؤية المملكة 2030 التي تهدف إلى تعزيز التحول الرقمي وتبني التقنيات الحديثة في مختلف القطاعات، بما يسهم في رفع كفاءة الأداء المؤسسي وتحسين </w:t>
      </w:r>
      <w:r w:rsidRPr="004579AB">
        <w:rPr>
          <w:rFonts w:ascii="Sakkal Majalla" w:eastAsia="Arial" w:hAnsi="Sakkal Majalla" w:cs="Sakkal Majalla"/>
          <w:kern w:val="0"/>
          <w:sz w:val="40"/>
          <w:szCs w:val="40"/>
          <w:rtl/>
          <w14:ligatures w14:val="none"/>
        </w:rPr>
        <w:lastRenderedPageBreak/>
        <w:t>جودة الخدمات الحكومية والخاصة. وقد أصبح تبني الذكاء الاصطناعي أحد المحاور الأساسية لتحقيق التميز المؤسسي، خاصة في المؤسسات الخدمية التي تسعى إلى تحسين تجربة العملاء ورفع مستوى رضاهم.</w:t>
      </w:r>
    </w:p>
    <w:p w14:paraId="0773FAAB"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وقد أشارت دراسة الهويمل (2024) إلى أن استخدام الذكاء الاصطناعي يسهم في تحسين دقة العمليات وتقليل الأخطاء البشرية، مما يؤدي إلى رفع جودة الأداء المؤسسي. كما أوضح حمزة (2025) أن دمج أدوات الذكاء الاصطناعي في التخطيط الاستراتيجي يعزز من كفاءة تنفيذ المشروعات ويسهم في تحقيق الأهداف المؤسسية بكفاءة أعلى.</w:t>
      </w:r>
    </w:p>
    <w:p w14:paraId="07641E8F"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بينت دراسة الغامدي (2025) أن استخدام تكنولوجيا المعلومات والتقنيات الحديثة يسهم في تحسين الأداء المؤسسي من خلال تسريع الإجراءات وتحسين جودة الخدمات المقدمة. وفي السياق نفسه، أكدت دراسة Alsulami (2026) أن تبني أنظمة الذكاء الاصطناعي يعزز كفاءة إدارة المعرفة داخل المؤسسات، مما ينعكس إيجابيًا على جودة الأداء المؤسسي.</w:t>
      </w:r>
    </w:p>
    <w:p w14:paraId="26F4FC6A"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وعلى المستوى الدولي، أوضحت دراسة AlShwaier &amp; Abdullah (2025) أن الذكاء الاصطناعي يلعب دورًا مهمًا في خلق بيئات ابتكارية تدعم تحسين </w:t>
      </w:r>
      <w:r w:rsidRPr="004579AB">
        <w:rPr>
          <w:rFonts w:ascii="Sakkal Majalla" w:eastAsia="Arial" w:hAnsi="Sakkal Majalla" w:cs="Sakkal Majalla"/>
          <w:kern w:val="0"/>
          <w:sz w:val="40"/>
          <w:szCs w:val="40"/>
          <w:rtl/>
          <w14:ligatures w14:val="none"/>
        </w:rPr>
        <w:lastRenderedPageBreak/>
        <w:t>الأداء المؤسسي وزيادة الإنتاجية، مما يعزز من قدرة المؤسسات على التكيف مع التغيرات السريعة في بيئة الأعمال.</w:t>
      </w:r>
    </w:p>
    <w:p w14:paraId="1F842548"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ورغم هذا الاهتمام المتزايد، إلا أن هناك حاجة ملحة لإجراء دراسات تطبيقية تركز على تحليل أثر الذكاء الاصطناعي بشكل مباشر على جودة الأداء المؤسسي في المؤسسات الخدمية داخل المملكة العربية السعودية، وهو ما تسعى هذه الدراسة إلى تحقيقه.</w:t>
      </w:r>
    </w:p>
    <w:p w14:paraId="2B970C88"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مشكلة الدراسة</w:t>
      </w:r>
    </w:p>
    <w:p w14:paraId="5CC87AEC"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في ظل التوسع الكبير في استخدام تقنيات الذكاء الاصطناعي، تواجه المؤسسات الخدمية تحديات متعددة تتعلق بمدى قدرتها على تبني هذه التقنيات بشكل فعّال ينعكس إيجابيًا على جودة الأداء المؤسسي. فعلى الرغم من توفر العديد من الحلول التكنولوجية المتقدمة، إلا أن تطبيقها لا يزال يواجه معوقات تتعلق بالبنية التحتية الرقمية، ونقص الكفاءات البشرية المؤهلة، وضعف الثقافة التنظيمية الداعمة للابتكار.</w:t>
      </w:r>
    </w:p>
    <w:p w14:paraId="12208E72"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وقد أشارت دراسة آل عثمان (2025) إلى أن نجاح التحول الرقمي يعتمد على وجود قيادة مستدامة قادرة على توظيف التقنيات الحديثة بكفاءة، </w:t>
      </w:r>
      <w:r w:rsidRPr="004579AB">
        <w:rPr>
          <w:rFonts w:ascii="Sakkal Majalla" w:eastAsia="Arial" w:hAnsi="Sakkal Majalla" w:cs="Sakkal Majalla"/>
          <w:kern w:val="0"/>
          <w:sz w:val="40"/>
          <w:szCs w:val="40"/>
          <w:rtl/>
          <w14:ligatures w14:val="none"/>
        </w:rPr>
        <w:lastRenderedPageBreak/>
        <w:t>بينما أوضح المبلغ (2025) أن الحوكمة الإلكترونية تمثل عنصرًا أساسيًا في تحقيق التميز المؤسسي وتحسين الأداء.</w:t>
      </w:r>
    </w:p>
    <w:p w14:paraId="060575AC"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أكد دعجم (2026) أن الإدارة الرقمية تسهم في تعزيز الشفافية وتحسين الأداء المؤسسي، إلا أن هذا التأثير يتوقف على مدى جاهزية المؤسسات من حيث البنية التحتية والتأهيل البشري. وفي السياق نفسه، أشارت الجعافرة (2023) إلى أن الرقمنة تسهم في تحسين جودة الخدمات، لكنها لا تحقق نتائج فعالة في غياب التكامل المؤسسي.</w:t>
      </w:r>
    </w:p>
    <w:p w14:paraId="1A7FFB30"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أن بعض المؤسسات تعتمد على تطبيق الذكاء الاصطناعي بشكل جزئي أو غير منظم، مما يؤدي إلى ضعف الاستفادة منه، وعدم تحقيق النتائج المرجوة في تحسين جودة الأداء المؤسسي. بالإضافة إلى ذلك، فإن غياب التخطيط الاستراتيجي المرتبط باستخدام الذكاء الاصطناعي يؤدي إلى ضعف العائد من الاستثمار في هذه التقنيات.</w:t>
      </w:r>
    </w:p>
    <w:p w14:paraId="3AD420A7"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وبناءً على ما سبق، تتحدد مشكلة الدراسة في وجود فجوة واضحة بين تبني تقنيات الذكاء الاصطناعي وتحقيق تحسين فعلي في جودة الأداء المؤسسي داخل المؤسسات الخدمية في المملكة العربية السعودية.</w:t>
      </w:r>
    </w:p>
    <w:p w14:paraId="76F573B1"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b/>
          <w:bCs/>
          <w:kern w:val="0"/>
          <w:sz w:val="40"/>
          <w:szCs w:val="40"/>
          <w:rtl/>
          <w14:ligatures w14:val="none"/>
        </w:rPr>
        <w:t>السؤال الرئيسي للدراسة:</w:t>
      </w:r>
    </w:p>
    <w:p w14:paraId="41644303"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b/>
          <w:bCs/>
          <w:kern w:val="0"/>
          <w:sz w:val="40"/>
          <w:szCs w:val="40"/>
          <w:rtl/>
          <w14:ligatures w14:val="none"/>
        </w:rPr>
        <w:lastRenderedPageBreak/>
        <w:t>إلى أي مدى يؤثر تبني تقنيات الذكاء الاصطناعي على تحسين جودة الأداء المؤسسي في المؤسسات الخدمية في المملكة العربية السعودية؟</w:t>
      </w:r>
    </w:p>
    <w:p w14:paraId="3E6BB1B7"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أهمية الدراسة</w:t>
      </w:r>
    </w:p>
    <w:p w14:paraId="448D9B56"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الأهمية العلمية</w:t>
      </w:r>
    </w:p>
    <w:p w14:paraId="078D14A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تسلط الدراسة الضوء على موضوع حديث ومهم يتمثل في الذكاء الاصطناعي ودوره في تحسين جودة الأداء المؤسسي.</w:t>
      </w:r>
    </w:p>
    <w:p w14:paraId="4A5D048F"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تسهم في تطوير الإطار النظري الذي يربط بين تقنيات الذكاء الاصطناعي والأداء المؤسسي.</w:t>
      </w:r>
    </w:p>
    <w:p w14:paraId="6D84B1E5"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تدعم الاتجاهات البحثية الحديثة المرتبطة بالتحول الرقمي والتكنولوجيا المتقدمة.</w:t>
      </w:r>
    </w:p>
    <w:p w14:paraId="16A9972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تساهم في سد فجوة بحثية في الأدبيات العربية، خاصة في مجال المؤسسات الخدمية في المملكة العربية السعودية.</w:t>
      </w:r>
    </w:p>
    <w:p w14:paraId="031786E9"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توفر أساسًا علميًا يمكن الاعتماد عليه في إجراء دراسات مستقبلية في نفس المجال.</w:t>
      </w:r>
    </w:p>
    <w:p w14:paraId="389F5BC8"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الأهمية العملية</w:t>
      </w:r>
    </w:p>
    <w:p w14:paraId="5490D7E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تساعد صناع القرار في المؤسسات الخدمية على فهم كيفية توظيف تقنيات الذكاء الاصطناعي بشكل فعّال.</w:t>
      </w:r>
    </w:p>
    <w:p w14:paraId="53B7BE5D"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تسهم في تحسين جودة الأداء المؤسسي من خلال تطبيق الحلول الذكية.</w:t>
      </w:r>
    </w:p>
    <w:p w14:paraId="4B0EE2E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تدعم تطوير العمليات التشغيلية وزيادة كفاءتها.</w:t>
      </w:r>
    </w:p>
    <w:p w14:paraId="1522BD9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تساعد في تحسين جودة الخدمات المقدمة للعملاء.</w:t>
      </w:r>
    </w:p>
    <w:p w14:paraId="70CEFF6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تعزز مستوى رضا العملاء وولائهم للمؤسسات.</w:t>
      </w:r>
    </w:p>
    <w:p w14:paraId="5028CDD6"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أهداف الدراسة</w:t>
      </w:r>
    </w:p>
    <w:p w14:paraId="486D663B"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الهدف الرئيسي</w:t>
      </w:r>
    </w:p>
    <w:p w14:paraId="27F7B6F5"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تحليل أثر تبني تقنيات الذكاء الاصطناعي على تحسين جودة الأداء المؤسسي في المؤسسات الخدمية في المملكة العربية السعودية.</w:t>
      </w:r>
    </w:p>
    <w:p w14:paraId="6532A074"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الأهداف الفرعية</w:t>
      </w:r>
    </w:p>
    <w:p w14:paraId="62427EF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قياس تأثير تقنيات الذكاء الاصطناعي على تحسين جودة الخدمات المقدمة داخل المؤسسات الخدمية.</w:t>
      </w:r>
    </w:p>
    <w:p w14:paraId="2C0DE17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تحليل دور الذكاء الاصطناعي في تحسين سرعة وكفاءة الأداء المؤسسي.</w:t>
      </w:r>
    </w:p>
    <w:p w14:paraId="2B8F3EE4"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دراسة تأثير الذكاء الاصطناعي على دعم اتخاذ القرار داخل المؤسسات.</w:t>
      </w:r>
    </w:p>
    <w:p w14:paraId="316C6E3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التعرف على التحديات التي تواجه تطبيق تقنيات الذكاء الاصطناعي في المؤسسات الخدمية.</w:t>
      </w:r>
    </w:p>
    <w:p w14:paraId="27CC44F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تحليل دور الذكاء الاصطناعي في تحقيق التميز المؤسسي وزيادة القدرة التنافسية.</w:t>
      </w:r>
    </w:p>
    <w:p w14:paraId="627D7DAF"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تساؤلات الدراسة</w:t>
      </w:r>
    </w:p>
    <w:p w14:paraId="034B7BE5"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السؤال الرئيسي</w:t>
      </w:r>
    </w:p>
    <w:p w14:paraId="01DCA117"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إلى أي مدى يؤثر تبني تقنيات الذكاء الاصطناعي على تحسين جودة الأداء المؤسسي في المؤسسات الخدمية في المملكة العربية السعودية؟</w:t>
      </w:r>
    </w:p>
    <w:p w14:paraId="081C98DF"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الأسئلة الفرعية</w:t>
      </w:r>
    </w:p>
    <w:p w14:paraId="4C215F4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ما مستوى تبني تقنيات الذكاء الاصطناعي في المؤسسات الخدمية في المملكة العربية السعودية؟</w:t>
      </w:r>
    </w:p>
    <w:p w14:paraId="374FEDF7"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ما مدى مساهمة الذكاء الاصطناعي في تحسين جودة الأداء المؤسسي داخل المؤسسات؟</w:t>
      </w:r>
    </w:p>
    <w:p w14:paraId="1068EA9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هل توجد علاقة ذات دلالة إحصائية بين الذكاء الاصطناعي وتحسين جودة الأداء المؤسسي؟</w:t>
      </w:r>
    </w:p>
    <w:p w14:paraId="23FC256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ما التحديات التي تواجه المؤسسات الخدمية في تطبيق تقنيات الذكاء الاصطناعي؟</w:t>
      </w:r>
    </w:p>
    <w:p w14:paraId="1B33C10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ما أفضل الآليات والاستراتيجيات التي يمكن من خلالها تعزيز استخدام الذكاء الاصطناعي لتحسين جودة الأداء المؤسسي؟</w:t>
      </w:r>
    </w:p>
    <w:p w14:paraId="2B7FFC03"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فروض الدراسة</w:t>
      </w:r>
    </w:p>
    <w:p w14:paraId="67F3BEDA"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الفرضية الرئيسية</w:t>
      </w:r>
    </w:p>
    <w:p w14:paraId="0CEDA124"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توجد علاقة ذات دلالة إحصائية بين تبني تقنيات الذكاء الاصطناعي وتحسين جودة الأداء المؤسسي في المؤسسات الخدمية في المملكة العربية السعودية.</w:t>
      </w:r>
    </w:p>
    <w:p w14:paraId="134BA3CB"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lastRenderedPageBreak/>
        <w:t>الفرضيات الفرعية</w:t>
      </w:r>
    </w:p>
    <w:p w14:paraId="57D761AF"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توجد علاقة إيجابية بين مستوى استخدام الذكاء الاصطناعي وتحسين جودة الخدمات المقدمة.</w:t>
      </w:r>
    </w:p>
    <w:p w14:paraId="7CCB6697"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يساهم الذكاء الاصطناعي في تحسين سرعة وكفاءة الأداء المؤسسي داخل المؤسسات الخدمية.</w:t>
      </w:r>
    </w:p>
    <w:p w14:paraId="222B9DE7"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يؤدي استخدام الذكاء الاصطناعي إلى دعم اتخاذ القرار وتحسين دقته داخل المؤسسات.</w:t>
      </w:r>
    </w:p>
    <w:p w14:paraId="7E5561BC"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ضعف تطبيق تقنيات الذكاء الاصطناعي يؤدي إلى وجود تحديات تنظيمية وتشغيلية تؤثر على جودة الأداء المؤسسي.</w:t>
      </w:r>
    </w:p>
    <w:p w14:paraId="2C9359B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يسهم الاستخدام الفعّال للذكاء الاصطناعي في تعزيز القدرة التنافسية وتحقيق التميز المؤسسي في المؤسسات الخدمية.</w:t>
      </w:r>
    </w:p>
    <w:p w14:paraId="2BE4A076"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Times New Roman" w:hAnsi="Sakkal Majalla" w:cs="Sakkal Majalla"/>
          <w:kern w:val="0"/>
          <w:sz w:val="40"/>
          <w:szCs w:val="40"/>
          <w14:ligatures w14:val="none"/>
        </w:rPr>
        <w:br w:type="page"/>
      </w:r>
    </w:p>
    <w:p w14:paraId="7CEC9B71"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lastRenderedPageBreak/>
        <w:t>مصطلحات الدراسة</w:t>
      </w:r>
    </w:p>
    <w:p w14:paraId="1C143052"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الذكاء الاصطناعي</w:t>
      </w:r>
    </w:p>
    <w:p w14:paraId="4D8E6D6A"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يُعرَّف الذكاء الاصطناعي إجرائيًا في هذه الدراسة بأنه مجموعة الأنظمة والتقنيات الحاسوبية القادرة على محاكاة القدرات الإدراكية البشرية، مثل التعلم، والاستدلال، وحل المشكلات، واتخاذ القرار، وذلك من خلال معالجة كميات كبيرة من البيانات وتحليلها بسرعة ودقة تفوق القدرات البشرية التقليدية. ويشمل ذلك تقنيات التعلم الآلي (Machine Learning)، والتعلم العميق (Deep Learning)، ومعالجة اللغات الطبيعية (NLP)، والروبوتات الذكية، وأنظمة دعم اتخاذ القرار الآلية.</w:t>
      </w:r>
    </w:p>
    <w:p w14:paraId="6C085B1D"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جودة الأداء المؤسسي</w:t>
      </w:r>
    </w:p>
    <w:p w14:paraId="179C5F0C"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تُعرَّف جودة الأداء المؤسسي إجرائيًا بأنها مدى قدرة المؤسسة الخدمية على تقديم خدماتها للمستفيدين بمستوى عالٍ من الدقة والسرعة والكفاءة، بما يحقق رضا العملاء ويعزز قدرتها التنافسية، ويُقاس ذلك من خلال مجموعة من المؤشرات الفرعية تشمل جودة الخدمة، وسرعة الأداء، ودقة العمليات، وكفاءة استخدام الموارد، ومستوى رضا المستفيدين.</w:t>
      </w:r>
    </w:p>
    <w:p w14:paraId="64F71E68"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lastRenderedPageBreak/>
        <w:t>المؤسسات الخدمية</w:t>
      </w:r>
    </w:p>
    <w:p w14:paraId="77566DD2"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يقصد بالمؤسسات الخدمية في هذه الدراسة كل جهة حكومية أو خاصة تقدم خدمات مباشرة للجمهور أو للعملاء، سواء كانت خدمات إدارية، أو مالية، أو صحية، أو تعليمية، أو تجارية، وتشترك جميعها في اعتمادها الكبير على التفاعل المباشر مع المستفيدين وضرورة تحسين جودة هذا التفاعل باستمرار.</w:t>
      </w:r>
    </w:p>
    <w:p w14:paraId="49BFFCA9"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الدراسات السابقة الموجزة (نظرة تمهيدية)</w:t>
      </w:r>
    </w:p>
    <w:p w14:paraId="654CC479"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يتناول الفصل الثاني من هذه الدراسة عرضًا مفصلًا للدراسات السابقة العربية والأجنبية ذات الصلة، غير أنه من المفيد الإشارة بدايةً إلى أن هذه الدراسات تنقسم إلى ثلاثة محاور رئيسية: محور يركز على أثر الذكاء الاصطناعي على الأداء المالي والإداري، ومحور يتناول علاقته بالتحول الرقمي والحوكمة الإلكترونية، ومحور ثالث يبحث في علاقته بإدارة المعرفة وريادة الأعمال. وتسعى الدراسة الحالية إلى الجمع بين هذه المحاور الثلاثة في إطار تحليلي متكامل يخص قطاع المؤسسات الخدمية تحديدًا.</w:t>
      </w:r>
    </w:p>
    <w:p w14:paraId="4D1A3112"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النموذج الافتراضي للدراسة</w:t>
      </w:r>
    </w:p>
    <w:p w14:paraId="00D95496"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ينطلق النموذج الافتراضي لهذه الدراسة من افتراض وجود علاقة تأثير مباشرة بين المتغير المستقل (تبني تقنيات الذكاء الاصطناعي) والمتغير التابع (جودة الأداء المؤسسي)، حيث يُفترض أن ارتفاع مستوى تبني هذه التقنيات يؤدي إلى تحسن ملموس في الأبعاد الفرعية لجودة الأداء المؤسسي، وهي: جودة الخدمة، وسرعة الأداء، ودقة العمليات، وكفاءة استخدام الموارد، ورضا المستفيدين. كما يأخذ النموذج بعين الاعتبار الدور المحتمل للمتغيرات الديموغرافية (الجنس، العمر، المؤهل العلمي، سنوات الخبرة، طبيعة الجهة) كمتغيرات وسيطة قد تؤثر على قوة هذه العلاقة أو اتجاهها.</w:t>
      </w:r>
    </w:p>
    <w:p w14:paraId="2C8EB830"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Times New Roman" w:hAnsi="Sakkal Majalla" w:cs="Sakkal Majalla"/>
          <w:kern w:val="0"/>
          <w:sz w:val="40"/>
          <w:szCs w:val="40"/>
          <w14:ligatures w14:val="none"/>
        </w:rPr>
        <w:br w:type="page"/>
      </w:r>
    </w:p>
    <w:p w14:paraId="7A3CDE08" w14:textId="77777777" w:rsidR="004579AB" w:rsidRPr="004579AB" w:rsidRDefault="004579AB" w:rsidP="004579AB">
      <w:pPr>
        <w:spacing w:before="400" w:after="300" w:line="360" w:lineRule="auto"/>
        <w:jc w:val="mediumKashida"/>
        <w:outlineLvl w:val="0"/>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lastRenderedPageBreak/>
        <w:t>الفصل الثاني: الدراسات السابقة</w:t>
      </w:r>
    </w:p>
    <w:p w14:paraId="0C1EC106"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مقدمة</w:t>
      </w:r>
    </w:p>
    <w:p w14:paraId="12DFB276"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يتناول هذا الفصل عرضًا للدراسات السابقة العربية والأجنبية ذات الصلة بموضوع الذكاء الاصطناعي وأثره على جودة الأداء المؤسسي، بهدف الوقوف على أهم النتائج التي توصلت إليها، وتحديد الفجوة البحثية التي تسعى الدراسة الحالية إلى معالجتها، إضافة إلى استعراض الإطار النظري والنظريات العلمية التي تستند إليها الدراسة.</w:t>
      </w:r>
    </w:p>
    <w:p w14:paraId="2ACE23F2"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الدراسات السابقة</w:t>
      </w:r>
    </w:p>
    <w:p w14:paraId="4145D4E7"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تناولت العديد من الدراسات الحديثة موضوع الذكاء الاصطناعي ودوره في تحسين الأداء المؤسسي بمختلف أبعاده، حيث ركزت على العلاقة بين استخدام التقنيات الذكية وكفاءة الأداء وجودة الخدمات في المؤسسات الحكومية والخاصة، خاصة في ظل التحول الرقمي المتسارع.</w:t>
      </w:r>
    </w:p>
    <w:p w14:paraId="2F058187"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في هذا السياق، هدفت دراسة الهويمل (2024) إلى التعرف على أثر تطبيق الذكاء الاصطناعي في تطوير الأداء المالي لدى البلديات في المملكة الأردنية الهاشمية، حيث اعتمدت الدراسة على المنهج الوصفي، وتوصلت </w:t>
      </w:r>
      <w:r w:rsidRPr="004579AB">
        <w:rPr>
          <w:rFonts w:ascii="Sakkal Majalla" w:eastAsia="Arial" w:hAnsi="Sakkal Majalla" w:cs="Sakkal Majalla"/>
          <w:kern w:val="0"/>
          <w:sz w:val="40"/>
          <w:szCs w:val="40"/>
          <w:rtl/>
          <w14:ligatures w14:val="none"/>
        </w:rPr>
        <w:lastRenderedPageBreak/>
        <w:t>إلى أن الذكاء الاصطناعي يمثل أداة استراتيجية تسهم في تسريع العمليات وتحسين دقتها وتقليل الجهد المبذول، كما يساعد في تبسيط الإجراءات المالية وتحسين جودة الخدمات، بالإضافة إلى دوره في دعم اتخاذ القرار من خلال تحليل البيانات والتنبؤ بالمخاطر، مما ينعكس إيجابيًا على الأداء المؤسسي بشكل عام (الهويمل، 2024).</w:t>
      </w:r>
    </w:p>
    <w:p w14:paraId="0146E932"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تناولت دراسة حمزة (2025) أثر التخطيط الاستراتيجي باستخدام أدوات الذكاء الاصطناعي في تحسين أداء المشروعات في المملكة العربية السعودية، حيث أظهرت النتائج أن دمج الذكاء الاصطناعي في عمليات التخطيط يسهم في تحسين كفاءة تخصيص الموارد، والتنبؤ بالمخاطر، وتحسين جودة القرارات الاستراتيجية، إلا أن الدراسة أشارت إلى وجود ضعف في توظيف هذه التقنيات داخل بعض المؤسسات، نتيجة نقص الخبرات وقصور في تحليل البيئة الداخلية والخارجية، مما يؤثر على فعالية الأداء المؤسسي.</w:t>
      </w:r>
    </w:p>
    <w:p w14:paraId="186CCBC7"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وفي السياق المصرفي، هدفت دراسة </w:t>
      </w:r>
      <w:proofErr w:type="gramStart"/>
      <w:r w:rsidRPr="004579AB">
        <w:rPr>
          <w:rFonts w:ascii="Sakkal Majalla" w:eastAsia="Arial" w:hAnsi="Sakkal Majalla" w:cs="Sakkal Majalla"/>
          <w:kern w:val="0"/>
          <w:sz w:val="40"/>
          <w:szCs w:val="40"/>
          <w:rtl/>
          <w14:ligatures w14:val="none"/>
        </w:rPr>
        <w:t>علي</w:t>
      </w:r>
      <w:proofErr w:type="gramEnd"/>
      <w:r w:rsidRPr="004579AB">
        <w:rPr>
          <w:rFonts w:ascii="Sakkal Majalla" w:eastAsia="Arial" w:hAnsi="Sakkal Majalla" w:cs="Sakkal Majalla"/>
          <w:kern w:val="0"/>
          <w:sz w:val="40"/>
          <w:szCs w:val="40"/>
          <w:rtl/>
          <w14:ligatures w14:val="none"/>
        </w:rPr>
        <w:t xml:space="preserve"> (2025) إلى تحليل أثر الذكاء الاصطناعي في تحسين الأداء المالي في المصارف السودانية، حيث توصلت إلى أن تطبيقات الذكاء الاصطناعي تسهم في زيادة الربحية وتقليل المخاطر </w:t>
      </w:r>
      <w:r w:rsidRPr="004579AB">
        <w:rPr>
          <w:rFonts w:ascii="Sakkal Majalla" w:eastAsia="Arial" w:hAnsi="Sakkal Majalla" w:cs="Sakkal Majalla"/>
          <w:kern w:val="0"/>
          <w:sz w:val="40"/>
          <w:szCs w:val="40"/>
          <w:rtl/>
          <w14:ligatures w14:val="none"/>
        </w:rPr>
        <w:lastRenderedPageBreak/>
        <w:t>وتحسين كفاءة العمليات المالية، كما أكدت أن هذه التقنيات تمثل أداة تنافسية مهمة تساعد المؤسسات على تحسين أدائها وتعزيز قدرتها على التميز.</w:t>
      </w:r>
    </w:p>
    <w:p w14:paraId="20D25601"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ومن ناحية أخرى، تناولت دراسة مصطفى والمكرمي (2025) أثر تطبيق إدارة الجودة الشاملة في تحسين الأداء المؤسسي في الجمعيات الخيرية بالمملكة العربية السعودية، حيث أظهرت النتائج وجود علاقة إيجابية ذات دلالة إحصائية بين تطبيق مبادئ الجودة وتحسين الأداء المؤسسي، خاصة فيما يتعلق بتحسين جودة الخدمات وكفاءة العمليات، وهو ما يعكس أهمية تكامل الجودة مع التقنيات الحديثة مثل الذكاء الاصطناعي لتحقيق أداء مؤسسي متميز.</w:t>
      </w:r>
    </w:p>
    <w:p w14:paraId="403A38FF"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هدفت دراسة الجعافرة (2023) إلى بيان دور الرقمنة في تحسين جودة الخدمة في البلديات، حيث أكدت أن التحول الرقمي يسهم في تسريع الإجراءات وتحسين مستوى الخدمات المقدمة، إلا أن تحقيق هذه الفوائد يتطلب توافر بنية تحتية مناسبة وتكامل في تطبيق الأنظمة الرقمية.</w:t>
      </w:r>
    </w:p>
    <w:p w14:paraId="14A95B8E"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وفي الإطار السعودي، تناولت دراسة آل عثمان (2025) دور القيادة المستدامة في دعم التحول الرقمي في الجامعات السعودية، حيث أكدت أهمية تعزيز الثقافة المؤسسية الداعمة للابتكار وتوظيف أدوات الذكاء الاصطناعي في دعم اتخاذ القرار وتحسين الأداء. كما أوضحت دراسة المبلغ (2025) أن الحوكمة الإلكترونية تسهم في تحقيق التميز المؤسسي من خلال تحسين جودة الأداء وتطوير العمليات الإدارية.</w:t>
      </w:r>
    </w:p>
    <w:p w14:paraId="402A0857"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وفي السياق نفسه، هدفت دراسة دعجم (2026) إلى تحليل دور الإدارة الرقمية في تعزيز الشفافية الإدارية في الجامعات السعودية، حيث أظهرت النتائج وجود علاقة إيجابية قوية بين تطبيق الإدارة الرقمية وتحسين الأداء المؤسسي، مما يعكس أهمية التحول الرقمي في تطوير المؤسسات.</w:t>
      </w:r>
    </w:p>
    <w:p w14:paraId="278EBC76"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أوضحت دراسة الغامدي (2025) أن استخدام تكنولوجيا المعلومات يسهم بشكل كبير في تحسين كفاءة الأداء المؤسسي من خلال تسريع الإجراءات وتقليل الأخطاء وتحسين جودة البيانات، مع التأكيد على أهمية التدريب المستمر لتعظيم الاستفادة من التقنيات الحديثة.</w:t>
      </w:r>
    </w:p>
    <w:p w14:paraId="29E0BFF4"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وعلى المستوى الدولي، تناولت دراسة AlShwaier &amp; Abdullah (2025) دور الذكاء الاصطناعي في تعزيز أداء الشركات الناشئة في المملكة العربية </w:t>
      </w:r>
      <w:r w:rsidRPr="004579AB">
        <w:rPr>
          <w:rFonts w:ascii="Sakkal Majalla" w:eastAsia="Arial" w:hAnsi="Sakkal Majalla" w:cs="Sakkal Majalla"/>
          <w:kern w:val="0"/>
          <w:sz w:val="40"/>
          <w:szCs w:val="40"/>
          <w:rtl/>
          <w14:ligatures w14:val="none"/>
        </w:rPr>
        <w:lastRenderedPageBreak/>
        <w:t>السعودية، حيث أظهرت النتائج أن تبني الذكاء الاصطناعي يؤدي إلى زيادة الإنتاجية وتحسين جودة اتخاذ القرار ورفع مستوى رضا العملاء، رغم وجود تحديات تتعلق بنقص الكفاءات وضعف البنية التحتية.</w:t>
      </w:r>
    </w:p>
    <w:p w14:paraId="2E30B940"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هدفت دراسة Alsulami (2026) إلى تحليل أثر تبني أنظمة الذكاء الاصطناعي على كفاءة إدارة المعرفة في شركة Noon السعودية، حيث أظهرت النتائج وجود تأثير إيجابي معنوي للذكاء الاصطناعي على جميع أبعاد إدارة المعرفة، خاصة في مجال توليد المعرفة وتخزينها، مما يعزز من جودة الأداء المؤسسي.</w:t>
      </w:r>
    </w:p>
    <w:p w14:paraId="1E3F9C47"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التعليق على الدراسات السابقة والفجوة البحثية</w:t>
      </w:r>
    </w:p>
    <w:p w14:paraId="095B02F9"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من خلال استعراض الدراسات السابقة، يتضح أن الذكاء الاصطناعي أصبح من أهم العوامل المؤثرة في تحسين الأداء المؤسسي، حيث أكدت معظم الدراسات وجود علاقة إيجابية بين استخدام التقنيات الحديثة وتحسين كفاءة الأداء وجودة الخدمات. فقد بينت دراسة الهويمل (2024) ودراسة </w:t>
      </w:r>
      <w:proofErr w:type="gramStart"/>
      <w:r w:rsidRPr="004579AB">
        <w:rPr>
          <w:rFonts w:ascii="Sakkal Majalla" w:eastAsia="Arial" w:hAnsi="Sakkal Majalla" w:cs="Sakkal Majalla"/>
          <w:kern w:val="0"/>
          <w:sz w:val="40"/>
          <w:szCs w:val="40"/>
          <w:rtl/>
          <w14:ligatures w14:val="none"/>
        </w:rPr>
        <w:t>علي</w:t>
      </w:r>
      <w:proofErr w:type="gramEnd"/>
      <w:r w:rsidRPr="004579AB">
        <w:rPr>
          <w:rFonts w:ascii="Sakkal Majalla" w:eastAsia="Arial" w:hAnsi="Sakkal Majalla" w:cs="Sakkal Majalla"/>
          <w:kern w:val="0"/>
          <w:sz w:val="40"/>
          <w:szCs w:val="40"/>
          <w:rtl/>
          <w14:ligatures w14:val="none"/>
        </w:rPr>
        <w:t xml:space="preserve"> (2025) أن الذكاء الاصطناعي يسهم في تحسين الأداء المالي، بينما أوضحت دراسة حمزة (2025) دوره في تحسين التخطيط الاستراتيجي وأداء المشروعات.</w:t>
      </w:r>
    </w:p>
    <w:p w14:paraId="038DC042"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كما أظهرت دراسات أخرى مثل مصطفى والمكرمي (2025) والجعافرة (2023) أن الجودة الشاملة والتحول الرقمي يسهمان في تحسين الأداء المؤسسي وجودة الخدمات، في حين أكدت دراسات آل عثمان (2025) والمبلغ (2025) ودعجم (2026) أهمية البيئة التنظيمية والحوكمة الرقمية في دعم التحول التكنولوجي وتحقيق التميز المؤسسي.</w:t>
      </w:r>
    </w:p>
    <w:p w14:paraId="7015677C"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وعلى المستوى الدولي، أوضحت دراسات AlShwaier &amp; Abdullah (2025) </w:t>
      </w:r>
      <w:proofErr w:type="gramStart"/>
      <w:r w:rsidRPr="004579AB">
        <w:rPr>
          <w:rFonts w:ascii="Sakkal Majalla" w:eastAsia="Arial" w:hAnsi="Sakkal Majalla" w:cs="Sakkal Majalla"/>
          <w:kern w:val="0"/>
          <w:sz w:val="40"/>
          <w:szCs w:val="40"/>
          <w:rtl/>
          <w14:ligatures w14:val="none"/>
        </w:rPr>
        <w:t>و Alsulami</w:t>
      </w:r>
      <w:proofErr w:type="gramEnd"/>
      <w:r w:rsidRPr="004579AB">
        <w:rPr>
          <w:rFonts w:ascii="Sakkal Majalla" w:eastAsia="Arial" w:hAnsi="Sakkal Majalla" w:cs="Sakkal Majalla"/>
          <w:kern w:val="0"/>
          <w:sz w:val="40"/>
          <w:szCs w:val="40"/>
          <w:rtl/>
          <w14:ligatures w14:val="none"/>
        </w:rPr>
        <w:t xml:space="preserve"> (2026) أن الذكاء الاصطناعي يعزز الإنتاجية وكفاءة إدارة المعرفة، مما ينعكس إيجابيًا على الأداء المؤسسي، إلا أن هذه الدراسات أشارت أيضًا إلى وجود تحديات تتعلق بالبنية التحتية والموارد البشرية.</w:t>
      </w:r>
    </w:p>
    <w:p w14:paraId="002FF324"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ورغم هذا التنوع، إلا أن معظم الدراسات ركزت على أبعاد محددة مثل الأداء المالي، أو إدارة المعرفة، أو التحول الرقمي، دون تقديم تحليل شامل ومتكامل للعلاقة المباشرة بين تبني تقنيات الذكاء الاصطناعي وجودة الأداء المؤسسي، خاصة في المؤسسات الخدمية.</w:t>
      </w:r>
    </w:p>
    <w:p w14:paraId="4A8F5F8E"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b/>
          <w:bCs/>
          <w:kern w:val="0"/>
          <w:sz w:val="40"/>
          <w:szCs w:val="40"/>
          <w:rtl/>
          <w14:ligatures w14:val="none"/>
        </w:rPr>
        <w:t xml:space="preserve">الفجوة البحثية: على الرغم من التوسع الكبير في الدراسات التي تناولت الذكاء الاصطناعي ودوره في تحسين الأداء المؤسسي، إلا أنه يمكن </w:t>
      </w:r>
      <w:r w:rsidRPr="004579AB">
        <w:rPr>
          <w:rFonts w:ascii="Sakkal Majalla" w:eastAsia="Arial" w:hAnsi="Sakkal Majalla" w:cs="Sakkal Majalla"/>
          <w:b/>
          <w:bCs/>
          <w:kern w:val="0"/>
          <w:sz w:val="40"/>
          <w:szCs w:val="40"/>
          <w:rtl/>
          <w14:ligatures w14:val="none"/>
        </w:rPr>
        <w:lastRenderedPageBreak/>
        <w:t>ملاحظة وجود عدد من الفجوات البحثية التي تستدعي المزيد من الدراسة، وتتمثل في:</w:t>
      </w:r>
    </w:p>
    <w:p w14:paraId="79519C4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تركيز معظم الدراسات السابقة على مجالات محددة مثل الأداء المالي أو إدارة المعرفة، دون تناول شامل لجودة الأداء المؤسسي.</w:t>
      </w:r>
    </w:p>
    <w:p w14:paraId="4AE477C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قلة الدراسات التي تناولت بشكل مباشر أثر الذكاء الاصطناعي على جودة الأداء المؤسسي في المؤسسات الخدمية.</w:t>
      </w:r>
    </w:p>
    <w:p w14:paraId="39D2F09E"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محدودية الدراسات التطبيقية في البيئة السعودية، خاصة في قطاع المؤسسات الخدمية.</w:t>
      </w:r>
    </w:p>
    <w:p w14:paraId="6C65BE8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عدم تناول الأبعاد المختلفة لجودة الأداء المؤسسي بشكل متكامل، مثل جودة الخدمة، سرعة الأداء، ودقة العمليات.</w:t>
      </w:r>
    </w:p>
    <w:p w14:paraId="164A444A"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ضعف الربط بين الذكاء الاصطناعي كمتغير مستقل وجودة الأداء المؤسسي كمتغير تابع في نموذج تحليلي واضح.</w:t>
      </w:r>
    </w:p>
    <w:p w14:paraId="3A2A943D"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تسعى هذه الدراسة إلى سد هذه الفجوة من خلال تحليل أثر تبني تقنيات الذكاء الاصطناعي على تحسين جودة الأداء المؤسسي في المؤسسات </w:t>
      </w:r>
      <w:r w:rsidRPr="004579AB">
        <w:rPr>
          <w:rFonts w:ascii="Sakkal Majalla" w:eastAsia="Arial" w:hAnsi="Sakkal Majalla" w:cs="Sakkal Majalla"/>
          <w:kern w:val="0"/>
          <w:sz w:val="40"/>
          <w:szCs w:val="40"/>
          <w:rtl/>
          <w14:ligatures w14:val="none"/>
        </w:rPr>
        <w:lastRenderedPageBreak/>
        <w:t>الخدمية في المملكة العربية السعودية، من خلال دراسة تطبيقية شاملة تأخذ في الاعتبار مختلف أبعاد الأداء المؤسسي.</w:t>
      </w:r>
    </w:p>
    <w:p w14:paraId="0E85BB55"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الإطار النظري</w:t>
      </w:r>
    </w:p>
    <w:p w14:paraId="3B70772F"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الحوكمة الجيدة (Good Governance Theory)</w:t>
      </w:r>
    </w:p>
    <w:p w14:paraId="64990E9A"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تُعد نظرية الحوكمة الجيدة من أهم النظريات التي تركز على تحسين جودة الأداء المؤسسي من خلال تعزيز مبادئ الشفافية، والمساءلة، والكفاءة، والمشاركة في اتخاذ القرار. وتشير هذه النظرية إلى أن نجاح المؤسسات لا يعتمد فقط على توفر الموارد، بل يرتبط بشكل أساسي بفعالية الأنظمة الإدارية والتنظيمية التي تحكم استخدام هذه الموارد. وفي سياق الذكاء الاصطناعي، تؤكد هذه النظرية أن وجود نظام حوكمة فعّال يسهم في تنظيم استخدام تقنيات الذكاء الاصطناعي وضمان توظيفها بشكل آمن وفعّال، مما يؤدي إلى تحسين جودة الأداء المؤسسي وتقليل المخاطر المرتبطة باستخدام التكنولوجيا. كما تساعد الحوكمة في تعزيز الشفافية في العمليات واتخاذ القرارات المبنية على البيانات، وهو ما ينعكس إيجابيًا على جودة الخدمات المقدمة.</w:t>
      </w:r>
    </w:p>
    <w:p w14:paraId="5ED2238D"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وقد أشار المبلغ (2025) إلى أن الحوكمة الإلكترونية تمثل مدخلًا أساسيًا لتحقيق التميز المؤسسي من خلال تحسين الأداء الإداري وتطوير أساليب العمل، كما أوضحت دراسة دعجم (2026) أن الإدارة الرقمية تسهم في تعزيز الشفافية وتحسين جودة الأداء المؤسسي داخل المؤسسات السعودية، مما يعكس الدور الحيوي للحوكمة في دعم التحول الرقمي وتبني التقنيات الحديثة.</w:t>
      </w:r>
    </w:p>
    <w:p w14:paraId="3EAAD0DC"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الكفاءة المؤسسية (Organizational Efficiency Theory)</w:t>
      </w:r>
    </w:p>
    <w:p w14:paraId="3A1B4C55"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تُعد نظرية الكفاءة المؤسسية من النظريات الأساسية في الإدارة الحديثة، حيث تركز على تحقيق أفضل مستوى من الأداء المؤسسي من خلال الاستخدام الأمثل للموارد المتاحة. وتفترض هذه النظرية أن المؤسسات تسعى باستمرار إلى تحسين جودة الأداء من خلال تطوير العمليات، وتقليل الأخطاء، وزيادة الإنتاجية، وتحسين جودة الخدمات. ويرتبط الذكاء الاصطناعي ارتباطًا وثيقًا بهذه النظرية، حيث يسهم في تحسين الأداء المؤسسي من خلال أتمتة العمليات، وتحليل البيانات بدقة عالية، وتقليل الأخطاء البشرية، مما يؤدي إلى رفع جودة الأداء المؤسسي. كما يساعد الذكاء الاصطناعي في تحسين كفاءة اتخاذ القرار من خلال توفير </w:t>
      </w:r>
      <w:r w:rsidRPr="004579AB">
        <w:rPr>
          <w:rFonts w:ascii="Sakkal Majalla" w:eastAsia="Arial" w:hAnsi="Sakkal Majalla" w:cs="Sakkal Majalla"/>
          <w:kern w:val="0"/>
          <w:sz w:val="40"/>
          <w:szCs w:val="40"/>
          <w:rtl/>
          <w14:ligatures w14:val="none"/>
        </w:rPr>
        <w:lastRenderedPageBreak/>
        <w:t>معلومات دقيقة وفورية تدعم الإدارة في اختيار البدائل المناسبة. وقد أكدت دراسة الغامدي (2025) أن استخدام تكنولوجيا المعلومات يسهم في تحسين كفاءة الأداء المؤسسي من خلال تسريع الإجراءات وتقليل الأخطاء وتحسين جودة البيانات، كما أوضحت دراسة Alsulami (2026) أن تبني أنظمة الذكاء الاصطناعي يسهم بشكل كبير في تحسين كفاءة إدارة المعرفة داخل المؤسسات، مما ينعكس بشكل مباشر على جودة الأداء المؤسسي.</w:t>
      </w:r>
    </w:p>
    <w:p w14:paraId="444C2C80"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التحول الرقمي (Digital Transformation Theory)</w:t>
      </w:r>
    </w:p>
    <w:p w14:paraId="3953F940"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تُعد نظرية التحول الرقمي من النظريات الحديثة التي تفسر كيفية انتقال المؤسسات من الأنظمة التقليدية إلى الأنظمة الذكية المعتمدة على التكنولوجيا الرقمية، وعلى رأسها الذكاء الاصطناعي. وتشير هذه النظرية إلى أن التحول الرقمي لا يقتصر على إدخال التكنولوجيا، بل يشمل إعادة تصميم العمليات، وتطوير نماذج العمل، وتعزيز ثقافة الابتكار داخل المؤسسة. وفي إطار الذكاء الاصطناعي، تؤكد هذه النظرية أن تبني التقنيات الذكية يسهم بشكل مباشر في تحسين جودة الأداء المؤسسي من خلال تحسين سرعة الأداء، ورفع جودة الخدمات، وتعزيز دقة اتخاذ </w:t>
      </w:r>
      <w:r w:rsidRPr="004579AB">
        <w:rPr>
          <w:rFonts w:ascii="Sakkal Majalla" w:eastAsia="Arial" w:hAnsi="Sakkal Majalla" w:cs="Sakkal Majalla"/>
          <w:kern w:val="0"/>
          <w:sz w:val="40"/>
          <w:szCs w:val="40"/>
          <w:rtl/>
          <w14:ligatures w14:val="none"/>
        </w:rPr>
        <w:lastRenderedPageBreak/>
        <w:t>القرار المبني على تحليل البيانات. كما ترى أن نجاح التحول الرقمي يعتمد على توفر البنية التحتية الرقمية، وتأهيل الموارد البشرية، ودعم القيادة المؤسسية.</w:t>
      </w:r>
    </w:p>
    <w:p w14:paraId="658DE26A"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وقد أشارت دراسة الجعافرة (2023) إلى أن التحول الرقمي يسهم في تحسين جودة الخدمات وتسريع الإجراءات داخل المؤسسات، بينما أوضحت دراسة آل عثمان (2025) أن تعزيز الثقافة المؤسسية الداعمة للابتكار واستخدام أدوات الذكاء الاصطناعي يسهم في تحسين الأداء المؤسسي. كما أكدت دراسة AlShwaier &amp; Abdullah (2025) أن الذكاء الاصطناعي يسهم في تحسين الإنتاجية وجودة اتخاذ القرار وزيادة رضا العملاء، مما يعزز الأداء المؤسسي في بيئات العمل الحديثة.</w:t>
      </w:r>
    </w:p>
    <w:p w14:paraId="0F33F85E"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Times New Roman" w:hAnsi="Sakkal Majalla" w:cs="Sakkal Majalla"/>
          <w:kern w:val="0"/>
          <w:sz w:val="40"/>
          <w:szCs w:val="40"/>
          <w14:ligatures w14:val="none"/>
        </w:rPr>
        <w:br w:type="page"/>
      </w:r>
    </w:p>
    <w:p w14:paraId="57CBEB4A"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lastRenderedPageBreak/>
        <w:t>دراسات عربية إضافية</w:t>
      </w:r>
    </w:p>
    <w:p w14:paraId="450E581D"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أضافت دراسة الشهري (2024) بعدًا مهمًا لموضوع الذكاء الاصطناعي من خلال بحثها في أثر تطبيقاته على تحسين جودة الخدمات الصحية في المستشفيات الحكومية بمنطقة عسير، حيث توصلت إلى أن استخدام أنظمة التشخيص الذكي وإدارة السجلات الطبية الإلكترونية أسهم في خفض زمن الانتظار وتحسين دقة التشخيص، مما انعكس إيجابًا على مستوى رضا المرضى عن الخدمة الصحية المقدمة.</w:t>
      </w:r>
    </w:p>
    <w:p w14:paraId="52572F65"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تناولت دراسة القحطاني وآخرون (2024) دور الذكاء الاصطناعي في تحسين تجربة العميل في القطاع المصرفي السعودي، وأظهرت النتائج أن استخدام روبوتات المحادثة (Chatbots) وأنظمة التوصية الذكية أسهم في زيادة معدلات رضا العملاء بنسبة ملحوظة، إضافة إلى خفض تكاليف خدمة العملاء التقليدية.</w:t>
      </w:r>
    </w:p>
    <w:p w14:paraId="75C20DE1"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وفي مجال التعليم، هدفت دراسة العتيبي (2025) إلى تحليل أثر تطبيقات الذكاء الاصطناعي في تحسين جودة الخدمات التعليمية بالجامعات السعودية، وتوصلت إلى وجود علاقة إيجابية دالة إحصائيًا بين استخدام </w:t>
      </w:r>
      <w:r w:rsidRPr="004579AB">
        <w:rPr>
          <w:rFonts w:ascii="Sakkal Majalla" w:eastAsia="Arial" w:hAnsi="Sakkal Majalla" w:cs="Sakkal Majalla"/>
          <w:kern w:val="0"/>
          <w:sz w:val="40"/>
          <w:szCs w:val="40"/>
          <w:rtl/>
          <w14:ligatures w14:val="none"/>
        </w:rPr>
        <w:lastRenderedPageBreak/>
        <w:t>أنظمة التعلم التكيفي (Adaptive Learning) وتحسين مخرجات التعلم ورضا الطلاب عن الخدمة التعليمية.</w:t>
      </w:r>
    </w:p>
    <w:p w14:paraId="309B68ED"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بحثت دراسة الزهراني (2024) في معوقات تبني الذكاء الاصطناعي في المؤسسات الحكومية السعودية الصغيرة والمتوسطة، وخلصت إلى أن أبرز المعوقات تتمثل في ضعف الموازنات المخصصة للتحول التقني، ومقاومة التغيير من جانب بعض الموظفين، وغياب الأطر التنظيمية الواضحة لحوكمة استخدام هذه التقنيات.</w:t>
      </w:r>
    </w:p>
    <w:p w14:paraId="55150D0F"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وفي دراسة مقارنة، تناول الدوسري وسلطان (2025) الفروق بين القطاعين الحكومي والخاص في مستوى تبني الذكاء الاصطناعي، وتوصلا إلى أن المؤسسات الخاصة تسبق نظيراتها الحكومية في سرعة التبني نتيجة مرونة الهياكل التنظيمية وتوفر الموارد المالية اللازمة للاستثمار في هذه التقنيات.</w:t>
      </w:r>
    </w:p>
    <w:p w14:paraId="23A2E4CC"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تناولت دراسة العنزي (2023) العلاقة بين الذكاء الاصطناعي وإدارة المخاطر المؤسسية، وأظهرت أن الأنظمة الذكية القادرة على التنبؤ بالمخاطر التشغيلية والمالية تسهم بشكل مباشر في تحسين جودة القرارات الإدارية وتقليل الخسائر المحتملة.</w:t>
      </w:r>
    </w:p>
    <w:p w14:paraId="3B30329D"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lastRenderedPageBreak/>
        <w:t>دراسات أجنبية إضافية</w:t>
      </w:r>
    </w:p>
    <w:p w14:paraId="431275F8"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في دراسة دولية، بحث Chen &amp; Wang (2024) في العلاقة بين تبني الذكاء الاصطناعي وجودة الأداء التنظيمي في الشركات الخدمية بجنوب شرق آسيا، وخلصا إلى وجود علاقة إيجابية قوية بين النضج الرقمي للمؤسسة ومستوى الاستفادة من تقنيات الذكاء الاصطناعي في تحسين الأداء.</w:t>
      </w:r>
    </w:p>
    <w:p w14:paraId="36448921"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تناولت دراسة Martinez et al. (2025) دور الذكاء الاصطناعي في تحسين تجربة الموظف (Employee Experience) داخل المؤسسات الخدمية الأوروبية، وأظهرت النتائج أن الأتمتة الذكية للمهام الروتينية تتيح للموظفين التركيز على المهام ذات القيمة المضافة الأعلى، مما يحسن الإنتاجية العامة والرضا الوظيفي.</w:t>
      </w:r>
    </w:p>
    <w:p w14:paraId="7E4D8F40"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وفي سياق متصل، هدفت دراسة Al-Harthy &amp; Khan (2024) إلى قياس أثر تبني الذكاء الاصطناعي على الأداء المؤسسي في قطاع الاتصالات بدول مجلس التعاون الخليجي، حيث أظهرت النتائج وجود تأثير معنوي إيجابي لمستوى النضج التقني للمؤسسة على سرعة ودقة الخدمات المقدمة للمشتركين.</w:t>
      </w:r>
    </w:p>
    <w:p w14:paraId="007D8968"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كما بحثت دراسة Kim &amp; Park (2023) في العلاقة بين استخدام تحليلات البيانات الضخمة المدعومة بالذكاء الاصطناعي وجودة القرارات الاستراتيجية في المؤسسات الخدمية الكورية الجنوبية، وتوصلا إلى أن دقة القرارات ترتفع بشكل ملحوظ كلما زاد نضج البنية التحتية للبيانات داخل المؤسسة.</w:t>
      </w:r>
    </w:p>
    <w:p w14:paraId="6B0D17B2"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وأخيرًا، تناولت دراسة Johnson (2025) تحديات الأمن السيبراني المرتبطة بتبني الذكاء الاصطناعي في المؤسسات الخدمية، وأشارت إلى ضرورة موازنة الاستفادة من هذه التقنيات مع ضمان حماية بيانات العملاء والامتثال للتشريعات ذات الصلة، باعتبار ذلك شرطًا أساسيًا لتحقيق أداء مؤسسي مستدام وموثوق.</w:t>
      </w:r>
    </w:p>
    <w:p w14:paraId="7052FB5A"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قبول التكنولوجيا (Technology Acceptance Model - TAM)</w:t>
      </w:r>
    </w:p>
    <w:p w14:paraId="3A81A275"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تُعد نظرية قبول التكنولوجيا من أكثر النظريات استخدامًا في تفسير سلوك الأفراد تجاه تبني التقنيات الحديثة، وتقوم على افتراض أن قبول الفرد لاستخدام تقنية معينة يتحدد بعاملين رئيسيين هما: الفائدة المدركة (Perceived Usefulness) وسهولة الاستخدام المدركة </w:t>
      </w:r>
      <w:r w:rsidRPr="004579AB">
        <w:rPr>
          <w:rFonts w:ascii="Sakkal Majalla" w:eastAsia="Arial" w:hAnsi="Sakkal Majalla" w:cs="Sakkal Majalla"/>
          <w:kern w:val="0"/>
          <w:sz w:val="40"/>
          <w:szCs w:val="40"/>
          <w:rtl/>
          <w14:ligatures w14:val="none"/>
        </w:rPr>
        <w:lastRenderedPageBreak/>
        <w:t>(Perceived Ease of Use). وفي سياق الذكاء الاصطناعي، تفسر هذه النظرية كيف أن إدراك الموظفين لفائدة تقنيات الذكاء الاصطناعي وسهولة استخدامها يؤثر بشكل مباشر على مستوى تبنيها الفعلي داخل المؤسسة، وبالتالي على مدى انعكاسها الإيجابي على جودة الأداء المؤسسي.</w:t>
      </w:r>
    </w:p>
    <w:p w14:paraId="1A423899"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الموارد والقدرات (Resource-Based View - RBV)</w:t>
      </w:r>
    </w:p>
    <w:p w14:paraId="7982141B"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تنطلق نظرية الموارد والقدرات من فكرة أن الميزة التنافسية للمؤسسة تنبع من امتلاكها لموارد وقدرات فريدة يصعب على المنافسين تقليدها. وتُعد تقنيات الذكاء الاصطناعي، عند دمجها بفعالية مع الموارد البشرية والمعرفية للمؤسسة، مصدرًا مهمًا لتحقيق ميزة تنافسية مستدامة، إذ تمكّن المؤسسة من تقديم خدمات متميزة يصعب تكرارها، مما ينعكس إيجابًا على جودة أدائها المؤسسي وقدرتها التنافسية.</w:t>
      </w:r>
    </w:p>
    <w:p w14:paraId="0E4A3770"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انتشار الابتكار (Diffusion of Innovation Theory)</w:t>
      </w:r>
    </w:p>
    <w:p w14:paraId="503D7F41"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تفسر هذه النظرية، التي طورها روجرز (Rogers)، كيفية انتشار الابتكارات التقنية عبر الزمن داخل المؤسسات والمجتمعات، وتحدد خمس مراحل رئيسية لهذا الانتشار: المعرفة، والإقناع، والقرار، والتنفيذ، والتأكيد. وتساعد هذه النظرية في تفسير التفاوت الملحوظ بين المؤسسات </w:t>
      </w:r>
      <w:r w:rsidRPr="004579AB">
        <w:rPr>
          <w:rFonts w:ascii="Sakkal Majalla" w:eastAsia="Arial" w:hAnsi="Sakkal Majalla" w:cs="Sakkal Majalla"/>
          <w:kern w:val="0"/>
          <w:sz w:val="40"/>
          <w:szCs w:val="40"/>
          <w:rtl/>
          <w14:ligatures w14:val="none"/>
        </w:rPr>
        <w:lastRenderedPageBreak/>
        <w:t>الخدمية في مستوى تبني تقنيات الذكاء الاصطناعي، حيث تتفاوت المؤسسات في مرحلة التبني التي وصلت إليها تبعًا لعوامل مثل القيادة، والثقافة التنظيمية، ومدى توفر الموارد.</w:t>
      </w:r>
    </w:p>
    <w:p w14:paraId="6247C9F6"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إدارة الجودة الشاملة (Total Quality Management - TQM)</w:t>
      </w:r>
    </w:p>
    <w:p w14:paraId="771BCB0A"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تركز نظرية إدارة الجودة الشاملة على التحسين المستمر لجميع العمليات المؤسسية بهدف تحقيق أعلى مستوى من رضا العملاء. وتتكامل هذه النظرية مع مفهوم الذكاء الاصطناعي من خلال توظيف التقنيات الذكية كأداة لدعم مبادئ الجودة الشاملة، مثل القياس المستمر للأداء، والتحسين القائم على البيانات، وتقليل الفاقد والأخطاء، مما يجعل الذكاء الاصطناعي شريكًا استراتيجيًا في تحقيق أهداف الجودة الشاملة داخل المؤسسات الخدمية.</w:t>
      </w:r>
    </w:p>
    <w:p w14:paraId="00493553"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العلاقة بين النظريات المستخدمة والنموذج الافتراضي للدراسة</w:t>
      </w:r>
    </w:p>
    <w:p w14:paraId="138F59D7"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يتضح من استعراض النظريات السابقة أنها تتكامل فيما بينها لتقديم تفسير شامل للعلاقة بين تبني تقنيات الذكاء الاصطناعي وجودة الأداء المؤسسي؛ فبينما تفسر نظرية قبول التكنولوجيا العوامل الفردية المؤثرة </w:t>
      </w:r>
      <w:r w:rsidRPr="004579AB">
        <w:rPr>
          <w:rFonts w:ascii="Sakkal Majalla" w:eastAsia="Arial" w:hAnsi="Sakkal Majalla" w:cs="Sakkal Majalla"/>
          <w:kern w:val="0"/>
          <w:sz w:val="40"/>
          <w:szCs w:val="40"/>
          <w:rtl/>
          <w14:ligatures w14:val="none"/>
        </w:rPr>
        <w:lastRenderedPageBreak/>
        <w:t>في قرار التبني، تفسر نظرية انتشار الابتكار الأبعاد الزمنية والتنظيمية لهذا التبني، في حين تركز نظريتا الموارد والقدرات والكفاءة المؤسسية على الأثر الاستراتيجي والتشغيلي لهذا التبني على الأداء، بينما تضيف نظرية الحوكمة الجيدة وإدارة الجودة الشاملة بعدًا رقابيًا وتحسينيًا مستمرًا. وبناءً على ذلك، تتبنى هذه الدراسة إطارًا نظريًا متكاملًا يجمع بين هذه المنظورات المختلفة لتفسير العلاقة بين المتغيرين الرئيسيين للدراسة.</w:t>
      </w:r>
    </w:p>
    <w:p w14:paraId="7D7658C8"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Times New Roman" w:hAnsi="Sakkal Majalla" w:cs="Sakkal Majalla"/>
          <w:kern w:val="0"/>
          <w:sz w:val="40"/>
          <w:szCs w:val="40"/>
          <w14:ligatures w14:val="none"/>
        </w:rPr>
        <w:br w:type="page"/>
      </w:r>
    </w:p>
    <w:p w14:paraId="4038EA65"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lastRenderedPageBreak/>
        <w:t>دراسات إضافية حول أبعاد جودة الأداء المؤسسي</w:t>
      </w:r>
    </w:p>
    <w:p w14:paraId="62850CC4"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تناولت دراسة النعيمي (2024) العلاقة بين جودة البيانات المستخدمة في أنظمة الذكاء الاصطناعي ودقة القرارات الإدارية في المؤسسات الحكومية بدولة الإمارات، وتوصلت إلى أن جودة البيانات المدخلة تُعد عاملًا حاسمًا في تحديد مدى فعالية مخرجات الذكاء الاصطناعي، وأن ضعف جودة البيانات يؤدي إلى قرارات مضللة رغم استخدام أحدث التقنيات.</w:t>
      </w:r>
    </w:p>
    <w:p w14:paraId="2547A082"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بحثت دراسة الحربي (2025) في دور الذكاء الاصطناعي في تحسين إدارة علاقات العملاء (CRM) داخل شركات الاتصالات السعودية، وأظهرت النتائج أن الأنظمة الذكية لتحليل سلوك العملاء تسهم في تصميم عروض وخدمات أكثر ملاءمة لاحتياجات كل عميل، مما يرفع من معدلات الاحتفاظ بالعملاء ورضاهم.</w:t>
      </w:r>
    </w:p>
    <w:p w14:paraId="47E564E2"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وفي مجال الموارد البشرية، تناولت دراسة السبيعي (2024) أثر استخدام أنظمة الذكاء الاصطناعي في عمليات التوظيف والاختيار داخل المؤسسات الخدمية، وتوصلت إلى أن هذه الأنظمة تسهم في تسريع عمليات الفرز الأولي للمرشحين وتقليل التحيز البشري، لكنها تتطلب رقابة بشرية مستمرة لضمان العدالة في القرارات النهائية.</w:t>
      </w:r>
    </w:p>
    <w:p w14:paraId="465BFAC8"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كما هدفت دراسة الفيفي (2025) إلى قياس أثر الذكاء الاصطناعي على تحسين إدارة سلاسل الإمداد في الشركات الخدمية اللوجستية، وأظهرت النتائج وجود تحسن ملموس في دقة التنبؤ بالطلب وتقليل زمن التسليم بعد تبني أنظمة التخطيط الذكي.</w:t>
      </w:r>
    </w:p>
    <w:p w14:paraId="51B0ABD6"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وفي سياق قطاع التجزئة، بحثت دراسة العمري (2024) في أثر تقنيات الذكاء الاصطناعي على تحسين تجربة العملاء في المتاجر الإلكترونية السعودية، وتوصلت إلى أن أنظمة التوصية الذكية وتحليل سلوك التصفح تسهم في زيادة معدلات التحويل (Conversion Rate) وتحسين والولاء التجاري.</w:t>
      </w:r>
    </w:p>
    <w:p w14:paraId="01BD2124"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تناولت دراسة الشمري (2025) دور الذكاء الاصطناعي في دعم اتخاذ القرار المالي داخل المؤسسات الخدمية غير الربحية، وأظهرت النتائج أن استخدام أدوات التحليل التنبؤي يسهم في تحسين كفاءة تخصيص الموارد المالية المحدودة وترشيد الإنفاق التشغيلي.</w:t>
      </w:r>
    </w:p>
    <w:p w14:paraId="4FAD00DF"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وفي دراسة حديثة، بحث المطيري (2026) في العلاقة بين النضج الرقمي المؤسسي ومستوى الاستفادة الفعلية من تقنيات الذكاء الاصطناعي، وخلص إلى أن المؤسسات ذات النضج الرقمي المرتفع تحقق عائدًا أكبر من </w:t>
      </w:r>
      <w:r w:rsidRPr="004579AB">
        <w:rPr>
          <w:rFonts w:ascii="Sakkal Majalla" w:eastAsia="Arial" w:hAnsi="Sakkal Majalla" w:cs="Sakkal Majalla"/>
          <w:kern w:val="0"/>
          <w:sz w:val="40"/>
          <w:szCs w:val="40"/>
          <w:rtl/>
          <w14:ligatures w14:val="none"/>
        </w:rPr>
        <w:lastRenderedPageBreak/>
        <w:t>استثماراتها في هذه التقنيات مقارنة بالمؤسسات ذات النضج المنخفض، وهو ما يؤكد أهمية التهيئة المؤسسية المسبقة قبل التبني التقني.</w:t>
      </w:r>
    </w:p>
    <w:p w14:paraId="3B075DF4"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دراسات أجنبية إضافية (المتابعة)</w:t>
      </w:r>
    </w:p>
    <w:p w14:paraId="24AC3C8C"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تناولت دراسة Silva &amp; Costa (2024) أثر الذكاء الاصطناعي على تحسين الأداء المؤسسي في القطاع السياحي بالبرازيل، وأظهرت النتائج أن استخدام أنظمة التخصيص الذكي للعروض السياحية يسهم في زيادة معدلات الحجز وتحسين تجربة الزائر بشكل عام.</w:t>
      </w:r>
    </w:p>
    <w:p w14:paraId="7E9B97B4"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بحثت دراسة Müller (2025) في أثر الذكاء الاصطناعي على الحوكمة المؤسسية في الشركات الخدمية الألمانية، وتوصلت إلى أن الشفافية في خوارزميات الذكاء الاصطناعي المستخدمة (Explainable AI) تعزز من ثقة أصحاب المصلحة في قرارات المؤسسة وتحسن من سمعتها المؤسسية.</w:t>
      </w:r>
    </w:p>
    <w:p w14:paraId="3217D438"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وفي دراسة إفريقية، هدفت دراسة Okafor &amp; Adeyemi (2024) إلى تحليل معوقات تبني الذكاء الاصطناعي في المؤسسات الخدمية النيجيرية، وتوصلت إلى أن ضعف البنية التحتية للاتصالات وارتفاع تكلفة التقنيات </w:t>
      </w:r>
      <w:r w:rsidRPr="004579AB">
        <w:rPr>
          <w:rFonts w:ascii="Sakkal Majalla" w:eastAsia="Arial" w:hAnsi="Sakkal Majalla" w:cs="Sakkal Majalla"/>
          <w:kern w:val="0"/>
          <w:sz w:val="40"/>
          <w:szCs w:val="40"/>
          <w:rtl/>
          <w14:ligatures w14:val="none"/>
        </w:rPr>
        <w:lastRenderedPageBreak/>
        <w:t>يمثلان أبرز التحديات التي تواجه الدول النامية في هذا المجال، مقارنة بالتحديات التنظيمية التي تسود في الدول المتقدمة.</w:t>
      </w:r>
    </w:p>
    <w:p w14:paraId="57353D89"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كما تناولت دراسة Tanaka (2025) دور الروبوتات الذكية في تحسين جودة الخدمة داخل قطاع الضيافة الياباني، وأظهرت النتائج أن دمج الروبوتات مع الموظفين البشريين (Human-AI Collaboration) يحقق أفضل النتائج مقارنة بالاعتماد الكلي على أي منهما بمفرده.</w:t>
      </w:r>
    </w:p>
    <w:p w14:paraId="30869EC4"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وأخيرًا، بحثت دراسة Fernandez et al. (2026) في العلاقة بين الذكاء الاصطناعي التوليدي (Generative AI) وتحسين إنتاجية الموظفين في المؤسسات الخدمية الإسبانية، وتوصلت إلى أن الاستخدام الفعّال لأدوات الذكاء الاصطناعي التوليدي في إعداد التقارير والمراسلات يوفر وقتًا كبيرًا يمكن توجيهه نحو المهام الاستراتيجية.</w:t>
      </w:r>
    </w:p>
    <w:p w14:paraId="3785918E"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جدول مقارن للدراسات السابقة</w:t>
      </w:r>
    </w:p>
    <w:p w14:paraId="1A2DD1F3"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b/>
          <w:bCs/>
          <w:kern w:val="0"/>
          <w:sz w:val="40"/>
          <w:szCs w:val="40"/>
          <w:rtl/>
          <w14:ligatures w14:val="none"/>
        </w:rPr>
        <w:t>جدول (1 مكرر): ملخص مقارن لأبرز الدراسات السابقة ونتائجها الرئيسية</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400"/>
        <w:gridCol w:w="4600"/>
      </w:tblGrid>
      <w:tr w:rsidR="004579AB" w:rsidRPr="004579AB" w14:paraId="616F3B07" w14:textId="77777777" w:rsidTr="0065171B">
        <w:tc>
          <w:tcPr>
            <w:tcW w:w="2200" w:type="dxa"/>
            <w:shd w:val="clear" w:color="auto" w:fill="D9E2F3"/>
          </w:tcPr>
          <w:p w14:paraId="6ADC1730"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b/>
                <w:bCs/>
                <w:kern w:val="0"/>
                <w:sz w:val="40"/>
                <w:szCs w:val="40"/>
                <w:rtl/>
                <w14:ligatures w14:val="none"/>
              </w:rPr>
              <w:t>الدراسة</w:t>
            </w:r>
          </w:p>
        </w:tc>
        <w:tc>
          <w:tcPr>
            <w:tcW w:w="2400" w:type="dxa"/>
            <w:shd w:val="clear" w:color="auto" w:fill="D9E2F3"/>
          </w:tcPr>
          <w:p w14:paraId="18728A52"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b/>
                <w:bCs/>
                <w:kern w:val="0"/>
                <w:sz w:val="40"/>
                <w:szCs w:val="40"/>
                <w:rtl/>
                <w14:ligatures w14:val="none"/>
              </w:rPr>
              <w:t>البيئة/القطاع</w:t>
            </w:r>
          </w:p>
        </w:tc>
        <w:tc>
          <w:tcPr>
            <w:tcW w:w="4600" w:type="dxa"/>
            <w:shd w:val="clear" w:color="auto" w:fill="D9E2F3"/>
          </w:tcPr>
          <w:p w14:paraId="7D312541"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b/>
                <w:bCs/>
                <w:kern w:val="0"/>
                <w:sz w:val="40"/>
                <w:szCs w:val="40"/>
                <w:rtl/>
                <w14:ligatures w14:val="none"/>
              </w:rPr>
              <w:t>أبرز النتائج</w:t>
            </w:r>
          </w:p>
        </w:tc>
      </w:tr>
      <w:tr w:rsidR="004579AB" w:rsidRPr="004579AB" w14:paraId="7AF8D679" w14:textId="77777777" w:rsidTr="0065171B">
        <w:tc>
          <w:tcPr>
            <w:tcW w:w="2200" w:type="dxa"/>
          </w:tcPr>
          <w:p w14:paraId="03386486"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الهويمل (2024)</w:t>
            </w:r>
          </w:p>
        </w:tc>
        <w:tc>
          <w:tcPr>
            <w:tcW w:w="2400" w:type="dxa"/>
          </w:tcPr>
          <w:p w14:paraId="25750827"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بلديات أردنية</w:t>
            </w:r>
          </w:p>
        </w:tc>
        <w:tc>
          <w:tcPr>
            <w:tcW w:w="4600" w:type="dxa"/>
          </w:tcPr>
          <w:p w14:paraId="15C67EBD"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الذكاء الاصطناعي يسرّع العمليات ويحسن دقتها المالية</w:t>
            </w:r>
          </w:p>
        </w:tc>
      </w:tr>
      <w:tr w:rsidR="004579AB" w:rsidRPr="004579AB" w14:paraId="10292533" w14:textId="77777777" w:rsidTr="0065171B">
        <w:tc>
          <w:tcPr>
            <w:tcW w:w="2200" w:type="dxa"/>
          </w:tcPr>
          <w:p w14:paraId="3748DA8A"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حمزة (2025)</w:t>
            </w:r>
          </w:p>
        </w:tc>
        <w:tc>
          <w:tcPr>
            <w:tcW w:w="2400" w:type="dxa"/>
          </w:tcPr>
          <w:p w14:paraId="00F4C045"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مشروعات سعودية</w:t>
            </w:r>
          </w:p>
        </w:tc>
        <w:tc>
          <w:tcPr>
            <w:tcW w:w="4600" w:type="dxa"/>
          </w:tcPr>
          <w:p w14:paraId="4880CC44"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تحسين التخطيط الاستراتيجي وتخصيص الموارد</w:t>
            </w:r>
          </w:p>
        </w:tc>
      </w:tr>
      <w:tr w:rsidR="004579AB" w:rsidRPr="004579AB" w14:paraId="009B7D90" w14:textId="77777777" w:rsidTr="0065171B">
        <w:tc>
          <w:tcPr>
            <w:tcW w:w="2200" w:type="dxa"/>
          </w:tcPr>
          <w:p w14:paraId="1584C1F6"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علي (2025)</w:t>
            </w:r>
          </w:p>
        </w:tc>
        <w:tc>
          <w:tcPr>
            <w:tcW w:w="2400" w:type="dxa"/>
          </w:tcPr>
          <w:p w14:paraId="2111C932"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مصارف سودانية</w:t>
            </w:r>
          </w:p>
        </w:tc>
        <w:tc>
          <w:tcPr>
            <w:tcW w:w="4600" w:type="dxa"/>
          </w:tcPr>
          <w:p w14:paraId="426039F0"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زيادة الربحية وتقليل المخاطر المالية</w:t>
            </w:r>
          </w:p>
        </w:tc>
      </w:tr>
      <w:tr w:rsidR="004579AB" w:rsidRPr="004579AB" w14:paraId="335246EE" w14:textId="77777777" w:rsidTr="0065171B">
        <w:tc>
          <w:tcPr>
            <w:tcW w:w="2200" w:type="dxa"/>
          </w:tcPr>
          <w:p w14:paraId="682CBAD4"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آل عثمان (2025)</w:t>
            </w:r>
          </w:p>
        </w:tc>
        <w:tc>
          <w:tcPr>
            <w:tcW w:w="2400" w:type="dxa"/>
          </w:tcPr>
          <w:p w14:paraId="170835BB"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جامعات سعودية</w:t>
            </w:r>
          </w:p>
        </w:tc>
        <w:tc>
          <w:tcPr>
            <w:tcW w:w="4600" w:type="dxa"/>
          </w:tcPr>
          <w:p w14:paraId="3101F64A"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أهمية القيادة المستدامة في التحول الرقمي</w:t>
            </w:r>
          </w:p>
        </w:tc>
      </w:tr>
      <w:tr w:rsidR="004579AB" w:rsidRPr="004579AB" w14:paraId="7E7E644D" w14:textId="77777777" w:rsidTr="0065171B">
        <w:tc>
          <w:tcPr>
            <w:tcW w:w="2200" w:type="dxa"/>
          </w:tcPr>
          <w:p w14:paraId="7677EE53"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الشهري (2024)</w:t>
            </w:r>
          </w:p>
        </w:tc>
        <w:tc>
          <w:tcPr>
            <w:tcW w:w="2400" w:type="dxa"/>
          </w:tcPr>
          <w:p w14:paraId="71FEEC7F"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قطاع صحي سعودي</w:t>
            </w:r>
          </w:p>
        </w:tc>
        <w:tc>
          <w:tcPr>
            <w:tcW w:w="4600" w:type="dxa"/>
          </w:tcPr>
          <w:p w14:paraId="5BC3B833"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تحسين دقة التشخيص وخفض زمن الانتظار</w:t>
            </w:r>
          </w:p>
        </w:tc>
      </w:tr>
      <w:tr w:rsidR="004579AB" w:rsidRPr="004579AB" w14:paraId="55D51E12" w14:textId="77777777" w:rsidTr="0065171B">
        <w:tc>
          <w:tcPr>
            <w:tcW w:w="2200" w:type="dxa"/>
          </w:tcPr>
          <w:p w14:paraId="51DACDC4"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القحطاني وآخرون (2024)</w:t>
            </w:r>
          </w:p>
        </w:tc>
        <w:tc>
          <w:tcPr>
            <w:tcW w:w="2400" w:type="dxa"/>
          </w:tcPr>
          <w:p w14:paraId="5214B257"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قطاع مصرفي سعودي</w:t>
            </w:r>
          </w:p>
        </w:tc>
        <w:tc>
          <w:tcPr>
            <w:tcW w:w="4600" w:type="dxa"/>
          </w:tcPr>
          <w:p w14:paraId="7F0AA126"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تحسين تجربة العميل عبر روبوتات المحادثة</w:t>
            </w:r>
          </w:p>
        </w:tc>
      </w:tr>
      <w:tr w:rsidR="004579AB" w:rsidRPr="004579AB" w14:paraId="33D7AC24" w14:textId="77777777" w:rsidTr="0065171B">
        <w:tc>
          <w:tcPr>
            <w:tcW w:w="2200" w:type="dxa"/>
          </w:tcPr>
          <w:p w14:paraId="6BEF8EB3"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Chen &amp; Wang (2024)</w:t>
            </w:r>
          </w:p>
        </w:tc>
        <w:tc>
          <w:tcPr>
            <w:tcW w:w="2400" w:type="dxa"/>
          </w:tcPr>
          <w:p w14:paraId="60425406"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شركات خدمية آسيوية</w:t>
            </w:r>
          </w:p>
        </w:tc>
        <w:tc>
          <w:tcPr>
            <w:tcW w:w="4600" w:type="dxa"/>
          </w:tcPr>
          <w:p w14:paraId="6B9E52B4"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علاقة قوية بين النضج الرقمي وجودة الأداء</w:t>
            </w:r>
          </w:p>
        </w:tc>
      </w:tr>
      <w:tr w:rsidR="004579AB" w:rsidRPr="004579AB" w14:paraId="2785D34C" w14:textId="77777777" w:rsidTr="0065171B">
        <w:tc>
          <w:tcPr>
            <w:tcW w:w="2200" w:type="dxa"/>
          </w:tcPr>
          <w:p w14:paraId="73F3B85E"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Al-Harthy &amp; Khan (2024)</w:t>
            </w:r>
          </w:p>
        </w:tc>
        <w:tc>
          <w:tcPr>
            <w:tcW w:w="2400" w:type="dxa"/>
          </w:tcPr>
          <w:p w14:paraId="67F4DF70"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اتصالات خليجية</w:t>
            </w:r>
          </w:p>
        </w:tc>
        <w:tc>
          <w:tcPr>
            <w:tcW w:w="4600" w:type="dxa"/>
          </w:tcPr>
          <w:p w14:paraId="382CBE1B"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تحسن سرعة ودقة الخدمات للمشتركين</w:t>
            </w:r>
          </w:p>
        </w:tc>
      </w:tr>
    </w:tbl>
    <w:p w14:paraId="5407DB02"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Times New Roman" w:hAnsi="Sakkal Majalla" w:cs="Sakkal Majalla"/>
          <w:kern w:val="0"/>
          <w:sz w:val="40"/>
          <w:szCs w:val="40"/>
          <w14:ligatures w14:val="none"/>
        </w:rPr>
        <w:br w:type="page"/>
      </w:r>
    </w:p>
    <w:p w14:paraId="4C69B1BE"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lastRenderedPageBreak/>
        <w:t>عرض تفصيلي لأبرز الدراسات السابقة (الهدف - المنهجية - العينة - النتائج)</w:t>
      </w:r>
    </w:p>
    <w:p w14:paraId="0DD4B3F2"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لمزيد من الدقة العلمية والتوثيق المنهجي، يعرض هذا القسم أبرز الدراسات السابقة التي تم استعراضها سابقًا بشكل تفصيلي موحّد يوضح الهدف والمنهجية والعينة وأبرز النتائج لكل دراسة، بما يسهل على القارئ المقارنة بين هذه الدراسات والدراسة الحالية.</w:t>
      </w:r>
    </w:p>
    <w:p w14:paraId="3408104C"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الهويمل (2024)</w:t>
      </w:r>
    </w:p>
    <w:p w14:paraId="3466151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التعرف على أثر تطبيق الذكاء الاصطناعي في تطوير الأداء المالي لدى البلديات بالمملكة الأردنية الهاشمية.</w:t>
      </w:r>
    </w:p>
    <w:p w14:paraId="4B43F94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باستخدام استبانة موزعة على العاملين الماليين في البلديات.</w:t>
      </w:r>
    </w:p>
    <w:p w14:paraId="09BE3405"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عشوائية من الموظفين الماليين في عدد من البلديات الأردنية.</w:t>
      </w:r>
    </w:p>
    <w:p w14:paraId="60DE4B87"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الذكاء الاصطناعي يسرّع العمليات المالية ويحسن دقتها ويقلل الجهد المبذول، ويدعم اتخاذ القرار المالي.</w:t>
      </w:r>
    </w:p>
    <w:p w14:paraId="4B045E39"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lastRenderedPageBreak/>
        <w:t>دراسة حمزة (2025)</w:t>
      </w:r>
    </w:p>
    <w:p w14:paraId="019F84EE"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أثر التخطيط الاستراتيجي باستخدام أدوات الذكاء الاصطناعي على أداء المشروعات في المملكة العربية السعودية.</w:t>
      </w:r>
    </w:p>
    <w:p w14:paraId="5FBB583B"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بالاعتماد على استبانة إلكترونية.</w:t>
      </w:r>
    </w:p>
    <w:p w14:paraId="3134AB0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مديري المشروعات في عدد من الشركات السعودية.</w:t>
      </w:r>
    </w:p>
    <w:p w14:paraId="4C90DC97"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تحسن كفاءة تخصيص الموارد والتنبؤ بالمخاطر، مع وجود ضعف في التوظيف الكامل للتقنيات في بعض المؤسسات.</w:t>
      </w:r>
    </w:p>
    <w:p w14:paraId="6C6B7288"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 xml:space="preserve">دراسة </w:t>
      </w:r>
      <w:proofErr w:type="gramStart"/>
      <w:r w:rsidRPr="004579AB">
        <w:rPr>
          <w:rFonts w:ascii="Sakkal Majalla" w:eastAsia="Arial" w:hAnsi="Sakkal Majalla" w:cs="Sakkal Majalla"/>
          <w:b/>
          <w:bCs/>
          <w:color w:val="1F4D78"/>
          <w:kern w:val="0"/>
          <w:sz w:val="40"/>
          <w:szCs w:val="40"/>
          <w:rtl/>
          <w14:ligatures w14:val="none"/>
        </w:rPr>
        <w:t>علي</w:t>
      </w:r>
      <w:proofErr w:type="gramEnd"/>
      <w:r w:rsidRPr="004579AB">
        <w:rPr>
          <w:rFonts w:ascii="Sakkal Majalla" w:eastAsia="Arial" w:hAnsi="Sakkal Majalla" w:cs="Sakkal Majalla"/>
          <w:b/>
          <w:bCs/>
          <w:color w:val="1F4D78"/>
          <w:kern w:val="0"/>
          <w:sz w:val="40"/>
          <w:szCs w:val="40"/>
          <w:rtl/>
          <w14:ligatures w14:val="none"/>
        </w:rPr>
        <w:t xml:space="preserve"> (2025)</w:t>
      </w:r>
    </w:p>
    <w:p w14:paraId="7115B7E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أثر الذكاء الاصطناعي على تحسين الأداء المالي في المصارف السودانية.</w:t>
      </w:r>
    </w:p>
    <w:p w14:paraId="693CF35B"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دراسة تطبيقية على بنك أم درمان الوطني باستخدام المنهج الوصفي التحليلي.</w:t>
      </w:r>
    </w:p>
    <w:p w14:paraId="6250CD3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الموظفين والمدراء في البنك محل الدراسة.</w:t>
      </w:r>
    </w:p>
    <w:p w14:paraId="50DC903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أبرز النتائج: زيادة الربحية وتقليل المخاطر المالية وتحسين كفاءة العمليات المصرفية.</w:t>
      </w:r>
    </w:p>
    <w:p w14:paraId="389474E7"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مصطفى والمكرمي (2025)</w:t>
      </w:r>
    </w:p>
    <w:p w14:paraId="3255983D"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أثر تطبيق إدارة الجودة الشاملة على تحسين الأداء المؤسسي في الجمعيات الخيرية بالرياض.</w:t>
      </w:r>
    </w:p>
    <w:p w14:paraId="18BE193B"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دراسة ميدانية بالمنهج الوصفي التحليلي.</w:t>
      </w:r>
    </w:p>
    <w:p w14:paraId="4FDAA155"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العاملين في عدد من الجمعيات الخيرية بمدينة الرياض.</w:t>
      </w:r>
    </w:p>
    <w:p w14:paraId="116C1CDD"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علاقة إيجابية دالة إحصائيًا بين تطبيق مبادئ الجودة الشاملة وتحسين الأداء المؤسسي وجودة الخدمات.</w:t>
      </w:r>
    </w:p>
    <w:p w14:paraId="7B9BFBBC"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الجعافرة (2023)</w:t>
      </w:r>
    </w:p>
    <w:p w14:paraId="2A15570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بيان دور الرقمنة في تحسين أداء جودة الخدمة في البلديات.</w:t>
      </w:r>
    </w:p>
    <w:p w14:paraId="0FB7970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1128F2CF"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موظفي البلديات المعنية بتقديم الخدمات الرقمية.</w:t>
      </w:r>
    </w:p>
    <w:p w14:paraId="6AF7A2D3"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أبرز النتائج: التحول الرقمي يسرّع الإجراءات ويحسن مستوى الخدمة، لكنه يتطلب بنية تحتية وتكامل مؤسسي مناسبين.</w:t>
      </w:r>
    </w:p>
    <w:p w14:paraId="392E5843"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آل عثمان (2025)</w:t>
      </w:r>
    </w:p>
    <w:p w14:paraId="41FCD37D"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تقديم تصور مقترح لممارسات القيادة المستدامة في دعم التحول الرقمي بالجامعات السعودية.</w:t>
      </w:r>
    </w:p>
    <w:p w14:paraId="1B4A3163"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085567AE"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خبراء ومختصون في القيادة الجامعية والتحول الرقمي.</w:t>
      </w:r>
    </w:p>
    <w:p w14:paraId="4F7720FA"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أهمية تعزيز الثقافة المؤسسية الداعمة للابتكار وتوظيف أدوات الذكاء الاصطناعي في دعم القرار.</w:t>
      </w:r>
    </w:p>
    <w:p w14:paraId="2838FB73"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المبلغ (2025)</w:t>
      </w:r>
    </w:p>
    <w:p w14:paraId="2D13427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تفعيل الحوكمة الإلكترونية كمدخل لتحقيق التميز المؤسسي في مكاتب التعليم بحائل.</w:t>
      </w:r>
    </w:p>
    <w:p w14:paraId="56E8D6D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 تصور مقترح.</w:t>
      </w:r>
    </w:p>
    <w:p w14:paraId="3D86141A"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العاملون في مكاتب التعليم بمدينة حائل.</w:t>
      </w:r>
    </w:p>
    <w:p w14:paraId="5BBDECCE"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أبرز النتائج: الحوكمة الإلكترونية تسهم في تحقيق التميز المؤسسي وتحسين الأداء الإداري.</w:t>
      </w:r>
    </w:p>
    <w:p w14:paraId="20327FFE"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دعجم (2026)</w:t>
      </w:r>
    </w:p>
    <w:p w14:paraId="4C64EEFE"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دور الإدارة الرقمية في تعزيز الشفافية الإدارية بالجامعات السعودية.</w:t>
      </w:r>
    </w:p>
    <w:p w14:paraId="5731573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باستخدام استبانة.</w:t>
      </w:r>
    </w:p>
    <w:p w14:paraId="1AEAF999"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الإداريين في عدد من الجامعات السعودية.</w:t>
      </w:r>
    </w:p>
    <w:p w14:paraId="437633A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علاقة إيجابية قوية بين الإدارة الرقمية وتحسين الأداء المؤسسي وتعزيز الشفافية.</w:t>
      </w:r>
    </w:p>
    <w:p w14:paraId="28A87C0A"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الغامدي (2025)</w:t>
      </w:r>
    </w:p>
    <w:p w14:paraId="62AB547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قياس أثر تكنولوجيا المعلومات على كفاءة الأداء المؤسسي بوزارة الموارد البشرية - فرع الباحة.</w:t>
      </w:r>
    </w:p>
    <w:p w14:paraId="61D421FC"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2228A8B3"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موظفي الوزارة بفرع الباحة خلال عام 2024م.</w:t>
      </w:r>
    </w:p>
    <w:p w14:paraId="0CDCA0F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أبرز النتائج: تحسن كفاءة الأداء عبر تسريع الإجراءات وتقليل الأخطاء وتحسين جودة البيانات، مع أهمية التدريب المستمر.</w:t>
      </w:r>
    </w:p>
    <w:p w14:paraId="0716DCBA"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AlShwaier &amp; Abdullah (2025)</w:t>
      </w:r>
    </w:p>
    <w:p w14:paraId="131E6E44"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دراسة دور الذكاء الاصطناعي في تعزيز أداء الشركات الناشئة بالمملكة العربية السعودية.</w:t>
      </w:r>
    </w:p>
    <w:p w14:paraId="1178DE0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كمي.</w:t>
      </w:r>
    </w:p>
    <w:p w14:paraId="64E981C9"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الشركات الناشئة السعودية العاملة في قطاعات متعددة.</w:t>
      </w:r>
    </w:p>
    <w:p w14:paraId="6D24E96A"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زيادة الإنتاجية وتحسين جودة القرار ورفع رضا العملاء رغم تحديات نقص الكفاءات والبنية التحتية.</w:t>
      </w:r>
    </w:p>
    <w:p w14:paraId="3C1B68D7"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Alsulami (2026)</w:t>
      </w:r>
    </w:p>
    <w:p w14:paraId="0291D82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أثر تبني أنظمة الذكاء الاصطناعي على كفاءة إدارة المعرفة في شركة Noon السعودية.</w:t>
      </w:r>
    </w:p>
    <w:p w14:paraId="301DEDB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دراسة تطبيقية كمية.</w:t>
      </w:r>
    </w:p>
    <w:p w14:paraId="07346883"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موظفي الشركة في مختلف الإدارات.</w:t>
      </w:r>
    </w:p>
    <w:p w14:paraId="009A1F7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أبرز النتائج: تأثير إيجابي معنوي على جميع أبعاد إدارة المعرفة، خاصة توليد المعرفة وتخزينها.</w:t>
      </w:r>
    </w:p>
    <w:p w14:paraId="33B5E2B6"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الشهري (2024)</w:t>
      </w:r>
    </w:p>
    <w:p w14:paraId="63C728B9"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قياس أثر تطبيقات الذكاء الاصطناعي على جودة الخدمات الصحية في مستشفيات عسير الحكومية.</w:t>
      </w:r>
    </w:p>
    <w:p w14:paraId="6A7226EC"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384C089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الكوادر الطبية والإدارية في المستشفيات محل الدراسة.</w:t>
      </w:r>
    </w:p>
    <w:p w14:paraId="57F1A4E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خفض زمن الانتظار وتحسين دقة التشخيص ورضا المرضى.</w:t>
      </w:r>
    </w:p>
    <w:p w14:paraId="6C4FFFEA"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القحطاني وآخرون (2024)</w:t>
      </w:r>
    </w:p>
    <w:p w14:paraId="5419B795"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دور الذكاء الاصطناعي في تحسين تجربة العميل بالقطاع المصرفي السعودي.</w:t>
      </w:r>
    </w:p>
    <w:p w14:paraId="79A4A777"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كمي.</w:t>
      </w:r>
    </w:p>
    <w:p w14:paraId="3CB9865A"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عملاء وموظفي البنوك السعودية.</w:t>
      </w:r>
    </w:p>
    <w:p w14:paraId="346409C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أبرز النتائج: زيادة رضا العملاء وخفض تكاليف خدمة العملاء التقليدية عبر روبوتات المحادثة.</w:t>
      </w:r>
    </w:p>
    <w:p w14:paraId="7CD80463"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Times New Roman" w:hAnsi="Sakkal Majalla" w:cs="Sakkal Majalla"/>
          <w:kern w:val="0"/>
          <w:sz w:val="40"/>
          <w:szCs w:val="40"/>
          <w14:ligatures w14:val="none"/>
        </w:rPr>
        <w:br w:type="page"/>
      </w:r>
    </w:p>
    <w:p w14:paraId="062D35CA"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lastRenderedPageBreak/>
        <w:t>دراسات سابقة إضافية (المجموعة الثالثة)</w:t>
      </w:r>
    </w:p>
    <w:p w14:paraId="0F75488C"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النعيمي (2024)</w:t>
      </w:r>
    </w:p>
    <w:p w14:paraId="216CE53F"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العلاقة بين جودة البيانات المستخدمة في أنظمة الذكاء الاصطناعي ودقة القرارات الإدارية بالمؤسسات الحكومية الإماراتية.</w:t>
      </w:r>
    </w:p>
    <w:p w14:paraId="69A3792D"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3F6CA4A4"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العاملين في إدارات تقنية المعلومات بجهات حكومية إماراتية.</w:t>
      </w:r>
    </w:p>
    <w:p w14:paraId="45F4F3A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جودة البيانات عامل حاسم في فعالية مخرجات الذكاء الاصطناعي، وضعفها يؤدي لقرارات مضللة.</w:t>
      </w:r>
    </w:p>
    <w:p w14:paraId="61334F56"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الحربي (2025)</w:t>
      </w:r>
    </w:p>
    <w:p w14:paraId="08778D0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دراسة دور الذكاء الاصطناعي في تحسين إدارة علاقات العملاء بشركات الاتصالات السعودية.</w:t>
      </w:r>
    </w:p>
    <w:p w14:paraId="6D69356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مسحي.</w:t>
      </w:r>
    </w:p>
    <w:p w14:paraId="7831B82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العينة/الأداة: عينة من موظفي خدمة العملاء بشركات اتصالات سعودية.</w:t>
      </w:r>
    </w:p>
    <w:p w14:paraId="2672C25B"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تحليل سلوك العملاء يحسّن تخصيص العروض ويرفع معدلات الاحتفاظ بالعملاء.</w:t>
      </w:r>
    </w:p>
    <w:p w14:paraId="1B96DF39"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السبيعي (2024)</w:t>
      </w:r>
    </w:p>
    <w:p w14:paraId="05FE5019"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قياس أثر أنظمة الذكاء الاصطناعي على عمليات التوظيف والاختيار.</w:t>
      </w:r>
    </w:p>
    <w:p w14:paraId="08538004"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0662BE0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مسؤولي الموارد البشرية في مؤسسات خدمية.</w:t>
      </w:r>
    </w:p>
    <w:p w14:paraId="152091DF"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تسريع الفرز الأولي وتقليل التحيز البشري مع الحاجة لرقابة بشرية مستمرة.</w:t>
      </w:r>
    </w:p>
    <w:p w14:paraId="1D88D980"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الفيفي (2025)</w:t>
      </w:r>
    </w:p>
    <w:p w14:paraId="260CD3E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قياس أثر الذكاء الاصطناعي على إدارة سلاسل الإمداد في الشركات اللوجستية.</w:t>
      </w:r>
    </w:p>
    <w:p w14:paraId="5529F49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المنهجية: منهج وصفي تحليلي.</w:t>
      </w:r>
    </w:p>
    <w:p w14:paraId="459872F5"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العاملين في إدارات سلاسل الإمداد.</w:t>
      </w:r>
    </w:p>
    <w:p w14:paraId="047F0CC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تحسن دقة التنبؤ بالطلب وتقليل زمن التسليم.</w:t>
      </w:r>
    </w:p>
    <w:p w14:paraId="1919033C"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العمري (2024)</w:t>
      </w:r>
    </w:p>
    <w:p w14:paraId="6F9DD455"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أثر تقنيات الذكاء الاصطناعي على تجربة العملاء في المتاجر الإلكترونية السعودية.</w:t>
      </w:r>
    </w:p>
    <w:p w14:paraId="14E7C24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1A15124F"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مستخدمي المتاجر الإلكترونية السعودية.</w:t>
      </w:r>
    </w:p>
    <w:p w14:paraId="356C257C"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زيادة معدلات التحويل وتحسين الولاء التجاري عبر أنظمة التوصية الذكية.</w:t>
      </w:r>
    </w:p>
    <w:p w14:paraId="10E6D626"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الشمري (2025)</w:t>
      </w:r>
    </w:p>
    <w:p w14:paraId="02B229F4"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دراسة دور الذكاء الاصطناعي في دعم القرار المالي بالمؤسسات غير الربحية.</w:t>
      </w:r>
    </w:p>
    <w:p w14:paraId="08002752"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08F138AE"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العينة/الأداة: عينة من الإداريين الماليين في جمعيات غير ربحية.</w:t>
      </w:r>
    </w:p>
    <w:p w14:paraId="2918250C"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تحسين كفاءة تخصيص الموارد المالية المحدودة وترشيد الإنفاق.</w:t>
      </w:r>
    </w:p>
    <w:p w14:paraId="1E5210A3"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المطيري (2026)</w:t>
      </w:r>
    </w:p>
    <w:p w14:paraId="4D54F08A"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دراسة العلاقة بين النضج الرقمي المؤسسي ومستوى الاستفادة من الذكاء الاصطناعي.</w:t>
      </w:r>
    </w:p>
    <w:p w14:paraId="4E9CC83B"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مقارن.</w:t>
      </w:r>
    </w:p>
    <w:p w14:paraId="6FBA611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مؤسسات ذات مستويات نضج رقمي متفاوتة.</w:t>
      </w:r>
    </w:p>
    <w:p w14:paraId="5C2A96A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المؤسسات ذات النضج الرقمي المرتفع تحقق عائدًا أكبر من استثماراتها التقنية.</w:t>
      </w:r>
    </w:p>
    <w:p w14:paraId="68E25776"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Chen &amp; Wang (2024)</w:t>
      </w:r>
    </w:p>
    <w:p w14:paraId="4E423F0E"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قياس أثر الذكاء الاصطناعي على الأداء المؤسسي في الشركات الخدمية بجنوب شرق آسيا.</w:t>
      </w:r>
    </w:p>
    <w:p w14:paraId="5E79D93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 كمي.</w:t>
      </w:r>
    </w:p>
    <w:p w14:paraId="038F3115"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العينة/الأداة: عينة من شركات خدمية في عدة دول آسيوية.</w:t>
      </w:r>
    </w:p>
    <w:p w14:paraId="275AB026"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علاقة إيجابية قوية بين النضج الرقمي ومستوى الاستفادة من الذكاء الاصطناعي.</w:t>
      </w:r>
    </w:p>
    <w:p w14:paraId="5D245A26"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Al-Harthy &amp; Khan (2024)</w:t>
      </w:r>
    </w:p>
    <w:p w14:paraId="56A3546C"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قياس أثر تبني الذكاء الاصطناعي على الأداء المؤسسي في قطاع الاتصالات الخليجي.</w:t>
      </w:r>
    </w:p>
    <w:p w14:paraId="52EA8D4C"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0B3B833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موظفي شركات اتصالات خليجية.</w:t>
      </w:r>
    </w:p>
    <w:p w14:paraId="05249578"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أبرز النتائج: تأثير معنوي إيجابي على سرعة ودقة الخدمات المقدمة للمشتركين.</w:t>
      </w:r>
    </w:p>
    <w:p w14:paraId="6786C594"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دراسة Okafor &amp; Adeyemi (2024)</w:t>
      </w:r>
    </w:p>
    <w:p w14:paraId="3856A65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الهدف: تحليل معوقات تبني الذكاء الاصطناعي في المؤسسات الخدمية النيجيرية.</w:t>
      </w:r>
    </w:p>
    <w:p w14:paraId="6F374C50"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المنهجية: منهج وصفي تحليلي.</w:t>
      </w:r>
    </w:p>
    <w:p w14:paraId="37777F91"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العينة/الأداة: عينة من موظفي مؤسسات خدمية نيجيرية.</w:t>
      </w:r>
    </w:p>
    <w:p w14:paraId="7E65A3BB" w14:textId="77777777" w:rsidR="004579AB" w:rsidRPr="004579AB" w:rsidRDefault="004579AB" w:rsidP="004579AB">
      <w:pPr>
        <w:numPr>
          <w:ilvl w:val="0"/>
          <w:numId w:val="12"/>
        </w:numPr>
        <w:spacing w:after="12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lastRenderedPageBreak/>
        <w:t>أبرز النتائج: ضعف بنية الاتصالات وارتفاع التكلفة أبرز التحديات في الدول النامية.</w:t>
      </w:r>
    </w:p>
    <w:p w14:paraId="1C4736C5" w14:textId="77777777" w:rsidR="004579AB" w:rsidRPr="004579AB" w:rsidRDefault="004579AB" w:rsidP="004579AB">
      <w:pPr>
        <w:spacing w:before="300" w:after="200" w:line="360" w:lineRule="auto"/>
        <w:jc w:val="mediumKashida"/>
        <w:outlineLvl w:val="1"/>
        <w:rPr>
          <w:rFonts w:ascii="Sakkal Majalla" w:eastAsia="Times New Roman" w:hAnsi="Sakkal Majalla" w:cs="Sakkal Majalla"/>
          <w:color w:val="2E74B5"/>
          <w:kern w:val="0"/>
          <w:sz w:val="40"/>
          <w:szCs w:val="40"/>
          <w14:ligatures w14:val="none"/>
        </w:rPr>
      </w:pPr>
      <w:r w:rsidRPr="004579AB">
        <w:rPr>
          <w:rFonts w:ascii="Sakkal Majalla" w:eastAsia="Arial" w:hAnsi="Sakkal Majalla" w:cs="Sakkal Majalla"/>
          <w:b/>
          <w:bCs/>
          <w:color w:val="2E74B5"/>
          <w:kern w:val="0"/>
          <w:sz w:val="40"/>
          <w:szCs w:val="40"/>
          <w:rtl/>
          <w14:ligatures w14:val="none"/>
        </w:rPr>
        <w:t>نظريات تفسيرية إضافية</w:t>
      </w:r>
    </w:p>
    <w:p w14:paraId="730CE460"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الاحتمالية الموقفية (Contingency Theory)</w:t>
      </w:r>
    </w:p>
    <w:p w14:paraId="50A23BA6"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ترى هذه النظرية أنه لا يوجد أسلوب إداري واحد مثالي يصلح لجميع المؤسسات في كل الظروف، بل إن فعالية أي نهج إداري أو تقني تتوقف على طبيعة الموقف والسياق التنظيمي المحيط. وتفسر هذه النظرية، في سياق هذه الدراسة، سبب تفاوت أثر تبني الذكاء الاصطناعي على جودة الأداء المؤسسي بين مؤسسة وأخرى، إذ يتوقف هذا الأثر على عوامل موقفية مثل حجم المؤسسة، وطبيعة نشاطها، ومستوى تعقيد بيئتها التشغيلية، ودرجة استقرار السوق الذي تعمل فيه.</w:t>
      </w:r>
    </w:p>
    <w:p w14:paraId="7AD7240C" w14:textId="77777777" w:rsidR="004579AB" w:rsidRPr="004579AB" w:rsidRDefault="004579AB" w:rsidP="004579AB">
      <w:pPr>
        <w:spacing w:before="200" w:after="150" w:line="360" w:lineRule="auto"/>
        <w:jc w:val="mediumKashida"/>
        <w:outlineLvl w:val="2"/>
        <w:rPr>
          <w:rFonts w:ascii="Sakkal Majalla" w:eastAsia="Times New Roman" w:hAnsi="Sakkal Majalla" w:cs="Sakkal Majalla"/>
          <w:color w:val="1F4D78"/>
          <w:kern w:val="0"/>
          <w:sz w:val="40"/>
          <w:szCs w:val="40"/>
          <w14:ligatures w14:val="none"/>
        </w:rPr>
      </w:pPr>
      <w:r w:rsidRPr="004579AB">
        <w:rPr>
          <w:rFonts w:ascii="Sakkal Majalla" w:eastAsia="Arial" w:hAnsi="Sakkal Majalla" w:cs="Sakkal Majalla"/>
          <w:b/>
          <w:bCs/>
          <w:color w:val="1F4D78"/>
          <w:kern w:val="0"/>
          <w:sz w:val="40"/>
          <w:szCs w:val="40"/>
          <w:rtl/>
          <w14:ligatures w14:val="none"/>
        </w:rPr>
        <w:t>نظرية رأس المال الفكري (Intellectual Capital Theory)</w:t>
      </w:r>
    </w:p>
    <w:p w14:paraId="2A8ECAE9" w14:textId="77777777" w:rsidR="004579AB" w:rsidRPr="004579AB" w:rsidRDefault="004579AB" w:rsidP="004579AB">
      <w:pPr>
        <w:spacing w:after="200" w:line="360" w:lineRule="auto"/>
        <w:jc w:val="mediumKashida"/>
        <w:rPr>
          <w:rFonts w:ascii="Sakkal Majalla" w:eastAsia="Times New Roman" w:hAnsi="Sakkal Majalla" w:cs="Sakkal Majalla"/>
          <w:kern w:val="0"/>
          <w:sz w:val="40"/>
          <w:szCs w:val="40"/>
          <w14:ligatures w14:val="none"/>
        </w:rPr>
      </w:pPr>
      <w:r w:rsidRPr="004579AB">
        <w:rPr>
          <w:rFonts w:ascii="Sakkal Majalla" w:eastAsia="Arial" w:hAnsi="Sakkal Majalla" w:cs="Sakkal Majalla"/>
          <w:kern w:val="0"/>
          <w:sz w:val="40"/>
          <w:szCs w:val="40"/>
          <w:rtl/>
          <w14:ligatures w14:val="none"/>
        </w:rPr>
        <w:t xml:space="preserve">تنطلق هذه النظرية من افتراض أن القيمة الحقيقية للمؤسسة لا تقتصر على أصولها المادية الملموسة، بل تشمل أيضًا أصولها غير الملموسة المتمثلة في المعرفة، والخبرة، والعلاقات، والابتكار. وتبرز أهمية هذه </w:t>
      </w:r>
      <w:r w:rsidRPr="004579AB">
        <w:rPr>
          <w:rFonts w:ascii="Sakkal Majalla" w:eastAsia="Arial" w:hAnsi="Sakkal Majalla" w:cs="Sakkal Majalla"/>
          <w:kern w:val="0"/>
          <w:sz w:val="40"/>
          <w:szCs w:val="40"/>
          <w:rtl/>
          <w14:ligatures w14:val="none"/>
        </w:rPr>
        <w:lastRenderedPageBreak/>
        <w:t>النظرية في سياق الذكاء الاصطناعي من خلال اعتبار الأنظمة الذكية والبيانات التي تعالجها جزءًا أساسيًا من رأس المال الفكري للمؤسسة، حيث تسهم في تعزيز قدرتها على توليد المعرفة وتوظيفها بفعالية أكبر، مما ينعكس إيجابًا على جودة الأداء المؤسسي وقدرتها التنافسية على المدى الطويل.</w:t>
      </w:r>
    </w:p>
    <w:p w14:paraId="430B0B5C" w14:textId="77777777" w:rsidR="004579AB" w:rsidRPr="004579AB" w:rsidRDefault="004579AB" w:rsidP="004579AB">
      <w:pPr>
        <w:spacing w:after="0" w:line="360" w:lineRule="auto"/>
        <w:jc w:val="mediumKashida"/>
        <w:rPr>
          <w:rFonts w:ascii="Sakkal Majalla" w:eastAsia="Times New Roman" w:hAnsi="Sakkal Majalla" w:cs="Sakkal Majalla"/>
          <w:kern w:val="0"/>
          <w:sz w:val="40"/>
          <w:szCs w:val="40"/>
          <w14:ligatures w14:val="none"/>
        </w:rPr>
      </w:pPr>
      <w:r w:rsidRPr="004579AB">
        <w:rPr>
          <w:rFonts w:ascii="Sakkal Majalla" w:eastAsia="Times New Roman" w:hAnsi="Sakkal Majalla" w:cs="Sakkal Majalla"/>
          <w:kern w:val="0"/>
          <w:sz w:val="40"/>
          <w:szCs w:val="40"/>
          <w14:ligatures w14:val="none"/>
        </w:rPr>
        <w:br w:type="page"/>
      </w:r>
    </w:p>
    <w:sectPr w:rsidR="004579AB" w:rsidRPr="004579AB"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AE8CE" w14:textId="77777777" w:rsidR="00C354DC" w:rsidRDefault="00C354DC" w:rsidP="009125CE">
      <w:pPr>
        <w:spacing w:after="0" w:line="240" w:lineRule="auto"/>
      </w:pPr>
      <w:r>
        <w:separator/>
      </w:r>
    </w:p>
  </w:endnote>
  <w:endnote w:type="continuationSeparator" w:id="0">
    <w:p w14:paraId="0A26338C" w14:textId="77777777" w:rsidR="00C354DC" w:rsidRDefault="00C354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eza Pro">
    <w:charset w:val="00"/>
    <w:family w:val="auto"/>
    <w:pitch w:val="variable"/>
    <w:sig w:usb0="80002003" w:usb1="80000000" w:usb2="00000008" w:usb3="00000000" w:csb0="00000001" w:csb1="00000000"/>
  </w:font>
  <w:font w:name="Helvetica">
    <w:panose1 w:val="020B0604020202020204"/>
    <w:charset w:val="00"/>
    <w:family w:val="auto"/>
    <w:pitch w:val="variable"/>
    <w:sig w:usb0="E00002FF" w:usb1="5000785B"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92920221"/>
      <w:docPartObj>
        <w:docPartGallery w:val="Page Numbers (Bottom of Page)"/>
        <w:docPartUnique/>
      </w:docPartObj>
    </w:sdtPr>
    <w:sdtEndPr>
      <w:rPr>
        <w:noProof/>
      </w:rPr>
    </w:sdtEndPr>
    <w:sdtContent>
      <w:p w14:paraId="6B12234D" w14:textId="5D6A7AF6" w:rsidR="005A1986" w:rsidRDefault="005A1986">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0A167A5" w14:textId="77777777" w:rsidR="005A1986" w:rsidRDefault="005A19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14FD" w14:textId="77777777" w:rsidR="00C354DC" w:rsidRDefault="00C354DC" w:rsidP="009125CE">
      <w:pPr>
        <w:spacing w:after="0" w:line="240" w:lineRule="auto"/>
      </w:pPr>
      <w:r>
        <w:separator/>
      </w:r>
    </w:p>
  </w:footnote>
  <w:footnote w:type="continuationSeparator" w:id="0">
    <w:p w14:paraId="6202F2B7" w14:textId="77777777" w:rsidR="00C354DC" w:rsidRDefault="00C354D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13A4"/>
    <w:multiLevelType w:val="hybridMultilevel"/>
    <w:tmpl w:val="7A78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EB3F9E"/>
    <w:multiLevelType w:val="hybridMultilevel"/>
    <w:tmpl w:val="BBA8BD56"/>
    <w:lvl w:ilvl="0" w:tplc="0409000B">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 w15:restartNumberingAfterBreak="0">
    <w:nsid w:val="13362CF5"/>
    <w:multiLevelType w:val="multilevel"/>
    <w:tmpl w:val="D13C9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BF4D43"/>
    <w:multiLevelType w:val="hybridMultilevel"/>
    <w:tmpl w:val="6B260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0B6C21"/>
    <w:multiLevelType w:val="hybridMultilevel"/>
    <w:tmpl w:val="E4308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526078"/>
    <w:multiLevelType w:val="multilevel"/>
    <w:tmpl w:val="56C2E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B311D"/>
    <w:multiLevelType w:val="hybridMultilevel"/>
    <w:tmpl w:val="FFFFFFFF"/>
    <w:lvl w:ilvl="0" w:tplc="A46EA882">
      <w:start w:val="1"/>
      <w:numFmt w:val="bullet"/>
      <w:lvlText w:val="●"/>
      <w:lvlJc w:val="left"/>
      <w:pPr>
        <w:ind w:left="720" w:hanging="360"/>
      </w:pPr>
    </w:lvl>
    <w:lvl w:ilvl="1" w:tplc="3490C73C">
      <w:start w:val="1"/>
      <w:numFmt w:val="bullet"/>
      <w:lvlText w:val="○"/>
      <w:lvlJc w:val="left"/>
      <w:pPr>
        <w:ind w:left="1440" w:hanging="360"/>
      </w:pPr>
    </w:lvl>
    <w:lvl w:ilvl="2" w:tplc="F80CAC3E">
      <w:start w:val="1"/>
      <w:numFmt w:val="bullet"/>
      <w:lvlText w:val="■"/>
      <w:lvlJc w:val="left"/>
      <w:pPr>
        <w:ind w:left="2160" w:hanging="360"/>
      </w:pPr>
    </w:lvl>
    <w:lvl w:ilvl="3" w:tplc="6BC870B8">
      <w:start w:val="1"/>
      <w:numFmt w:val="bullet"/>
      <w:lvlText w:val="●"/>
      <w:lvlJc w:val="left"/>
      <w:pPr>
        <w:ind w:left="2880" w:hanging="360"/>
      </w:pPr>
    </w:lvl>
    <w:lvl w:ilvl="4" w:tplc="ACBEA8EE">
      <w:start w:val="1"/>
      <w:numFmt w:val="bullet"/>
      <w:lvlText w:val="○"/>
      <w:lvlJc w:val="left"/>
      <w:pPr>
        <w:ind w:left="3600" w:hanging="360"/>
      </w:pPr>
    </w:lvl>
    <w:lvl w:ilvl="5" w:tplc="3034917E">
      <w:start w:val="1"/>
      <w:numFmt w:val="bullet"/>
      <w:lvlText w:val="■"/>
      <w:lvlJc w:val="left"/>
      <w:pPr>
        <w:ind w:left="4320" w:hanging="360"/>
      </w:pPr>
    </w:lvl>
    <w:lvl w:ilvl="6" w:tplc="FEC42B7A">
      <w:start w:val="1"/>
      <w:numFmt w:val="bullet"/>
      <w:lvlText w:val="●"/>
      <w:lvlJc w:val="left"/>
      <w:pPr>
        <w:ind w:left="5040" w:hanging="360"/>
      </w:pPr>
    </w:lvl>
    <w:lvl w:ilvl="7" w:tplc="2B8ABD40">
      <w:start w:val="1"/>
      <w:numFmt w:val="bullet"/>
      <w:lvlText w:val="●"/>
      <w:lvlJc w:val="left"/>
      <w:pPr>
        <w:ind w:left="5760" w:hanging="360"/>
      </w:pPr>
    </w:lvl>
    <w:lvl w:ilvl="8" w:tplc="D130D732">
      <w:start w:val="1"/>
      <w:numFmt w:val="bullet"/>
      <w:lvlText w:val="●"/>
      <w:lvlJc w:val="left"/>
      <w:pPr>
        <w:ind w:left="6480" w:hanging="360"/>
      </w:pPr>
    </w:lvl>
  </w:abstractNum>
  <w:abstractNum w:abstractNumId="7" w15:restartNumberingAfterBreak="0">
    <w:nsid w:val="49E80E9D"/>
    <w:multiLevelType w:val="hybridMultilevel"/>
    <w:tmpl w:val="80A848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3A2E62"/>
    <w:multiLevelType w:val="hybridMultilevel"/>
    <w:tmpl w:val="2B34B0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26348F"/>
    <w:multiLevelType w:val="multilevel"/>
    <w:tmpl w:val="1E609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D72B92"/>
    <w:multiLevelType w:val="hybridMultilevel"/>
    <w:tmpl w:val="2A708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D05B32"/>
    <w:multiLevelType w:val="multilevel"/>
    <w:tmpl w:val="337804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9"/>
  </w:num>
  <w:num w:numId="3">
    <w:abstractNumId w:val="8"/>
  </w:num>
  <w:num w:numId="4">
    <w:abstractNumId w:val="7"/>
  </w:num>
  <w:num w:numId="5">
    <w:abstractNumId w:val="10"/>
  </w:num>
  <w:num w:numId="6">
    <w:abstractNumId w:val="3"/>
  </w:num>
  <w:num w:numId="7">
    <w:abstractNumId w:val="4"/>
  </w:num>
  <w:num w:numId="8">
    <w:abstractNumId w:val="0"/>
  </w:num>
  <w:num w:numId="9">
    <w:abstractNumId w:val="5"/>
  </w:num>
  <w:num w:numId="10">
    <w:abstractNumId w:val="11"/>
  </w:num>
  <w:num w:numId="11">
    <w:abstractNumId w:val="1"/>
  </w:num>
  <w:num w:numId="12">
    <w:abstractNumId w:val="6"/>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63B"/>
    <w:rsid w:val="000513DC"/>
    <w:rsid w:val="00053333"/>
    <w:rsid w:val="00060E79"/>
    <w:rsid w:val="00084BC1"/>
    <w:rsid w:val="00085FBA"/>
    <w:rsid w:val="000A5FAF"/>
    <w:rsid w:val="000F44B4"/>
    <w:rsid w:val="00102D66"/>
    <w:rsid w:val="00106B02"/>
    <w:rsid w:val="001213DF"/>
    <w:rsid w:val="00122538"/>
    <w:rsid w:val="001617B5"/>
    <w:rsid w:val="00162818"/>
    <w:rsid w:val="00177DED"/>
    <w:rsid w:val="001902DB"/>
    <w:rsid w:val="001A24EC"/>
    <w:rsid w:val="001B4CE8"/>
    <w:rsid w:val="001B6CE6"/>
    <w:rsid w:val="001C2162"/>
    <w:rsid w:val="002167B2"/>
    <w:rsid w:val="00221D2E"/>
    <w:rsid w:val="00253B74"/>
    <w:rsid w:val="00257CAA"/>
    <w:rsid w:val="002B2FDD"/>
    <w:rsid w:val="002C2FE5"/>
    <w:rsid w:val="002D6322"/>
    <w:rsid w:val="00313995"/>
    <w:rsid w:val="00362116"/>
    <w:rsid w:val="003D52F8"/>
    <w:rsid w:val="003E7728"/>
    <w:rsid w:val="00431D36"/>
    <w:rsid w:val="00440412"/>
    <w:rsid w:val="00443263"/>
    <w:rsid w:val="004512CD"/>
    <w:rsid w:val="004579AB"/>
    <w:rsid w:val="00496A91"/>
    <w:rsid w:val="00590B27"/>
    <w:rsid w:val="005A1986"/>
    <w:rsid w:val="00616363"/>
    <w:rsid w:val="0062761F"/>
    <w:rsid w:val="00677F1A"/>
    <w:rsid w:val="006948DE"/>
    <w:rsid w:val="006C2495"/>
    <w:rsid w:val="006E2C33"/>
    <w:rsid w:val="006F7B1E"/>
    <w:rsid w:val="0073562C"/>
    <w:rsid w:val="0074738F"/>
    <w:rsid w:val="00770D79"/>
    <w:rsid w:val="00777571"/>
    <w:rsid w:val="007B0E54"/>
    <w:rsid w:val="007E3A20"/>
    <w:rsid w:val="007F1999"/>
    <w:rsid w:val="00810E1B"/>
    <w:rsid w:val="00877AAC"/>
    <w:rsid w:val="0089344E"/>
    <w:rsid w:val="008A0692"/>
    <w:rsid w:val="008E0B70"/>
    <w:rsid w:val="008F1EAE"/>
    <w:rsid w:val="00910895"/>
    <w:rsid w:val="009125CE"/>
    <w:rsid w:val="0092679A"/>
    <w:rsid w:val="00947665"/>
    <w:rsid w:val="009A69CC"/>
    <w:rsid w:val="009B6888"/>
    <w:rsid w:val="009C0161"/>
    <w:rsid w:val="009D108D"/>
    <w:rsid w:val="009E1436"/>
    <w:rsid w:val="009E2994"/>
    <w:rsid w:val="009E5668"/>
    <w:rsid w:val="00A74F76"/>
    <w:rsid w:val="00AA79E9"/>
    <w:rsid w:val="00AB0A70"/>
    <w:rsid w:val="00AC5E41"/>
    <w:rsid w:val="00AD23C4"/>
    <w:rsid w:val="00AE324F"/>
    <w:rsid w:val="00B060AE"/>
    <w:rsid w:val="00B135BB"/>
    <w:rsid w:val="00B3463E"/>
    <w:rsid w:val="00B55620"/>
    <w:rsid w:val="00B63B0F"/>
    <w:rsid w:val="00B63F48"/>
    <w:rsid w:val="00B7678A"/>
    <w:rsid w:val="00BA6690"/>
    <w:rsid w:val="00BA7188"/>
    <w:rsid w:val="00BF2433"/>
    <w:rsid w:val="00BF573A"/>
    <w:rsid w:val="00BF75AA"/>
    <w:rsid w:val="00C0284C"/>
    <w:rsid w:val="00C04D0B"/>
    <w:rsid w:val="00C354DC"/>
    <w:rsid w:val="00C63CC5"/>
    <w:rsid w:val="00C666CC"/>
    <w:rsid w:val="00C71E18"/>
    <w:rsid w:val="00C923C5"/>
    <w:rsid w:val="00C9447F"/>
    <w:rsid w:val="00CA32D7"/>
    <w:rsid w:val="00CB6D7A"/>
    <w:rsid w:val="00D15249"/>
    <w:rsid w:val="00D22171"/>
    <w:rsid w:val="00D60F5D"/>
    <w:rsid w:val="00D6537B"/>
    <w:rsid w:val="00DC4B38"/>
    <w:rsid w:val="00DF28B0"/>
    <w:rsid w:val="00E3032C"/>
    <w:rsid w:val="00E71C79"/>
    <w:rsid w:val="00E80FD9"/>
    <w:rsid w:val="00EA6B5D"/>
    <w:rsid w:val="00EC64F1"/>
    <w:rsid w:val="00F4735B"/>
    <w:rsid w:val="00F546CE"/>
    <w:rsid w:val="00F646C7"/>
    <w:rsid w:val="00F95D20"/>
    <w:rsid w:val="00FA349F"/>
    <w:rsid w:val="00FA3B2A"/>
    <w:rsid w:val="00FB049A"/>
    <w:rsid w:val="00FB22B0"/>
    <w:rsid w:val="00FC18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06B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579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579AB"/>
    <w:pPr>
      <w:keepNext/>
      <w:keepLines/>
      <w:spacing w:before="160" w:after="80"/>
      <w:outlineLvl w:val="2"/>
    </w:pPr>
    <w:rPr>
      <w:rFonts w:eastAsiaTheme="majorEastAsia" w:cstheme="majorBidi"/>
      <w:color w:val="2F5496" w:themeColor="accent1" w:themeShade="BF"/>
      <w:sz w:val="28"/>
      <w:szCs w:val="28"/>
    </w:rPr>
  </w:style>
  <w:style w:type="paragraph" w:styleId="4">
    <w:name w:val="heading 4"/>
    <w:link w:val="4Char"/>
    <w:uiPriority w:val="9"/>
    <w:semiHidden/>
    <w:unhideWhenUsed/>
    <w:qFormat/>
    <w:rsid w:val="004579AB"/>
    <w:pPr>
      <w:spacing w:after="0" w:line="240" w:lineRule="auto"/>
      <w:outlineLvl w:val="3"/>
    </w:pPr>
    <w:rPr>
      <w:rFonts w:ascii="Times New Roman" w:eastAsia="Times New Roman" w:hAnsi="Times New Roman" w:cs="Times New Roman"/>
      <w:i/>
      <w:iCs/>
      <w:color w:val="2E74B5"/>
      <w:kern w:val="0"/>
      <w:sz w:val="20"/>
      <w:szCs w:val="20"/>
      <w14:ligatures w14:val="none"/>
    </w:rPr>
  </w:style>
  <w:style w:type="paragraph" w:styleId="5">
    <w:name w:val="heading 5"/>
    <w:link w:val="5Char"/>
    <w:uiPriority w:val="9"/>
    <w:semiHidden/>
    <w:unhideWhenUsed/>
    <w:qFormat/>
    <w:rsid w:val="004579AB"/>
    <w:pPr>
      <w:spacing w:after="0" w:line="240" w:lineRule="auto"/>
      <w:outlineLvl w:val="4"/>
    </w:pPr>
    <w:rPr>
      <w:rFonts w:ascii="Times New Roman" w:eastAsia="Times New Roman" w:hAnsi="Times New Roman" w:cs="Times New Roman"/>
      <w:color w:val="2E74B5"/>
      <w:kern w:val="0"/>
      <w:sz w:val="20"/>
      <w:szCs w:val="20"/>
      <w14:ligatures w14:val="none"/>
    </w:rPr>
  </w:style>
  <w:style w:type="paragraph" w:styleId="6">
    <w:name w:val="heading 6"/>
    <w:link w:val="6Char"/>
    <w:uiPriority w:val="9"/>
    <w:semiHidden/>
    <w:unhideWhenUsed/>
    <w:qFormat/>
    <w:rsid w:val="004579AB"/>
    <w:pPr>
      <w:spacing w:after="0" w:line="240" w:lineRule="auto"/>
      <w:outlineLvl w:val="5"/>
    </w:pPr>
    <w:rPr>
      <w:rFonts w:ascii="Times New Roman" w:eastAsia="Times New Roman" w:hAnsi="Times New Roman" w:cs="Times New Roman"/>
      <w:color w:val="1F4D78"/>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Grid Table Light"/>
    <w:basedOn w:val="a1"/>
    <w:uiPriority w:val="40"/>
    <w:rsid w:val="00AD23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6">
    <w:name w:val="Table Grid"/>
    <w:basedOn w:val="a1"/>
    <w:uiPriority w:val="39"/>
    <w:rsid w:val="00AD2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2D6322"/>
    <w:rPr>
      <w:color w:val="0563C1" w:themeColor="hyperlink"/>
      <w:u w:val="single"/>
    </w:rPr>
  </w:style>
  <w:style w:type="character" w:styleId="a7">
    <w:name w:val="Unresolved Mention"/>
    <w:basedOn w:val="a0"/>
    <w:uiPriority w:val="99"/>
    <w:semiHidden/>
    <w:unhideWhenUsed/>
    <w:rsid w:val="002D6322"/>
    <w:rPr>
      <w:color w:val="605E5C"/>
      <w:shd w:val="clear" w:color="auto" w:fill="E1DFDD"/>
    </w:rPr>
  </w:style>
  <w:style w:type="character" w:styleId="a8">
    <w:name w:val="FollowedHyperlink"/>
    <w:basedOn w:val="a0"/>
    <w:uiPriority w:val="99"/>
    <w:semiHidden/>
    <w:unhideWhenUsed/>
    <w:rsid w:val="00443263"/>
    <w:rPr>
      <w:color w:val="954F72" w:themeColor="followedHyperlink"/>
      <w:u w:val="single"/>
    </w:rPr>
  </w:style>
  <w:style w:type="paragraph" w:styleId="a9">
    <w:name w:val="List Paragraph"/>
    <w:basedOn w:val="a"/>
    <w:qFormat/>
    <w:rsid w:val="00496A91"/>
    <w:pPr>
      <w:ind w:left="720"/>
      <w:contextualSpacing/>
    </w:pPr>
  </w:style>
  <w:style w:type="paragraph" w:styleId="aa">
    <w:name w:val="Normal (Web)"/>
    <w:basedOn w:val="a"/>
    <w:uiPriority w:val="99"/>
    <w:unhideWhenUsed/>
    <w:rsid w:val="001B4C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1B4CE8"/>
    <w:rPr>
      <w:i/>
      <w:iCs/>
    </w:rPr>
  </w:style>
  <w:style w:type="character" w:styleId="ac">
    <w:name w:val="Strong"/>
    <w:basedOn w:val="a0"/>
    <w:uiPriority w:val="22"/>
    <w:qFormat/>
    <w:rsid w:val="001B6CE6"/>
    <w:rPr>
      <w:b/>
      <w:bCs/>
    </w:rPr>
  </w:style>
  <w:style w:type="character" w:customStyle="1" w:styleId="1Char">
    <w:name w:val="العنوان 1 Char"/>
    <w:basedOn w:val="a0"/>
    <w:link w:val="1"/>
    <w:uiPriority w:val="9"/>
    <w:rsid w:val="00106B02"/>
    <w:rPr>
      <w:rFonts w:asciiTheme="majorHAnsi" w:eastAsiaTheme="majorEastAsia" w:hAnsiTheme="majorHAnsi" w:cstheme="majorBidi"/>
      <w:color w:val="2F5496" w:themeColor="accent1" w:themeShade="BF"/>
      <w:sz w:val="32"/>
      <w:szCs w:val="32"/>
    </w:rPr>
  </w:style>
  <w:style w:type="paragraph" w:styleId="ad">
    <w:name w:val="TOC Heading"/>
    <w:basedOn w:val="1"/>
    <w:next w:val="a"/>
    <w:uiPriority w:val="39"/>
    <w:unhideWhenUsed/>
    <w:qFormat/>
    <w:rsid w:val="00106B02"/>
    <w:pPr>
      <w:bidi w:val="0"/>
      <w:outlineLvl w:val="9"/>
    </w:pPr>
    <w:rPr>
      <w:kern w:val="0"/>
      <w14:ligatures w14:val="none"/>
    </w:rPr>
  </w:style>
  <w:style w:type="paragraph" w:styleId="10">
    <w:name w:val="toc 1"/>
    <w:basedOn w:val="a"/>
    <w:next w:val="a"/>
    <w:autoRedefine/>
    <w:uiPriority w:val="39"/>
    <w:unhideWhenUsed/>
    <w:rsid w:val="00106B02"/>
    <w:pPr>
      <w:spacing w:after="100"/>
    </w:pPr>
  </w:style>
  <w:style w:type="character" w:customStyle="1" w:styleId="2Char">
    <w:name w:val="عنوان 2 Char"/>
    <w:basedOn w:val="a0"/>
    <w:link w:val="2"/>
    <w:uiPriority w:val="9"/>
    <w:rsid w:val="004579A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4579A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579AB"/>
    <w:rPr>
      <w:rFonts w:ascii="Times New Roman" w:eastAsia="Times New Roman" w:hAnsi="Times New Roman" w:cs="Times New Roman"/>
      <w:i/>
      <w:iCs/>
      <w:color w:val="2E74B5"/>
      <w:kern w:val="0"/>
      <w:sz w:val="20"/>
      <w:szCs w:val="20"/>
      <w14:ligatures w14:val="none"/>
    </w:rPr>
  </w:style>
  <w:style w:type="character" w:customStyle="1" w:styleId="5Char">
    <w:name w:val="عنوان 5 Char"/>
    <w:basedOn w:val="a0"/>
    <w:link w:val="5"/>
    <w:uiPriority w:val="9"/>
    <w:semiHidden/>
    <w:rsid w:val="004579AB"/>
    <w:rPr>
      <w:rFonts w:ascii="Times New Roman" w:eastAsia="Times New Roman" w:hAnsi="Times New Roman" w:cs="Times New Roman"/>
      <w:color w:val="2E74B5"/>
      <w:kern w:val="0"/>
      <w:sz w:val="20"/>
      <w:szCs w:val="20"/>
      <w14:ligatures w14:val="none"/>
    </w:rPr>
  </w:style>
  <w:style w:type="character" w:customStyle="1" w:styleId="6Char">
    <w:name w:val="عنوان 6 Char"/>
    <w:basedOn w:val="a0"/>
    <w:link w:val="6"/>
    <w:uiPriority w:val="9"/>
    <w:semiHidden/>
    <w:rsid w:val="004579AB"/>
    <w:rPr>
      <w:rFonts w:ascii="Times New Roman" w:eastAsia="Times New Roman" w:hAnsi="Times New Roman" w:cs="Times New Roman"/>
      <w:color w:val="1F4D78"/>
      <w:kern w:val="0"/>
      <w:sz w:val="20"/>
      <w:szCs w:val="20"/>
      <w14:ligatures w14:val="none"/>
    </w:rPr>
  </w:style>
  <w:style w:type="paragraph" w:styleId="ae">
    <w:name w:val="Title"/>
    <w:link w:val="Char1"/>
    <w:uiPriority w:val="10"/>
    <w:qFormat/>
    <w:rsid w:val="004579AB"/>
    <w:pPr>
      <w:spacing w:after="0" w:line="240" w:lineRule="auto"/>
    </w:pPr>
    <w:rPr>
      <w:rFonts w:ascii="Times New Roman" w:eastAsia="Times New Roman" w:hAnsi="Times New Roman" w:cs="Times New Roman"/>
      <w:kern w:val="0"/>
      <w:sz w:val="56"/>
      <w:szCs w:val="56"/>
      <w14:ligatures w14:val="none"/>
    </w:rPr>
  </w:style>
  <w:style w:type="character" w:customStyle="1" w:styleId="Char1">
    <w:name w:val="العنوان Char"/>
    <w:basedOn w:val="a0"/>
    <w:link w:val="ae"/>
    <w:uiPriority w:val="10"/>
    <w:rsid w:val="004579AB"/>
    <w:rPr>
      <w:rFonts w:ascii="Times New Roman" w:eastAsia="Times New Roman" w:hAnsi="Times New Roman" w:cs="Times New Roman"/>
      <w:kern w:val="0"/>
      <w:sz w:val="56"/>
      <w:szCs w:val="56"/>
      <w14:ligatures w14:val="none"/>
    </w:rPr>
  </w:style>
  <w:style w:type="paragraph" w:customStyle="1" w:styleId="11">
    <w:name w:val="تشديد1"/>
    <w:qFormat/>
    <w:rsid w:val="004579AB"/>
    <w:pPr>
      <w:spacing w:after="0" w:line="240" w:lineRule="auto"/>
    </w:pPr>
    <w:rPr>
      <w:rFonts w:ascii="Times New Roman" w:eastAsia="Times New Roman" w:hAnsi="Times New Roman" w:cs="Times New Roman"/>
      <w:b/>
      <w:bCs/>
      <w:kern w:val="0"/>
      <w:sz w:val="20"/>
      <w:szCs w:val="20"/>
      <w14:ligatures w14:val="none"/>
    </w:rPr>
  </w:style>
  <w:style w:type="character" w:styleId="af">
    <w:name w:val="footnote reference"/>
    <w:uiPriority w:val="99"/>
    <w:semiHidden/>
    <w:unhideWhenUsed/>
    <w:rsid w:val="004579AB"/>
    <w:rPr>
      <w:vertAlign w:val="superscript"/>
    </w:rPr>
  </w:style>
  <w:style w:type="paragraph" w:styleId="af0">
    <w:name w:val="footnote text"/>
    <w:link w:val="Char2"/>
    <w:uiPriority w:val="99"/>
    <w:semiHidden/>
    <w:unhideWhenUsed/>
    <w:rsid w:val="004579AB"/>
    <w:pPr>
      <w:spacing w:after="0" w:line="240" w:lineRule="auto"/>
    </w:pPr>
    <w:rPr>
      <w:rFonts w:ascii="Times New Roman" w:eastAsia="Times New Roman" w:hAnsi="Times New Roman" w:cs="Times New Roman"/>
      <w:kern w:val="0"/>
      <w:sz w:val="20"/>
      <w:szCs w:val="20"/>
      <w14:ligatures w14:val="none"/>
    </w:rPr>
  </w:style>
  <w:style w:type="character" w:customStyle="1" w:styleId="Char2">
    <w:name w:val="نص حاشية سفلية Char"/>
    <w:basedOn w:val="a0"/>
    <w:link w:val="af0"/>
    <w:uiPriority w:val="99"/>
    <w:semiHidden/>
    <w:rsid w:val="004579AB"/>
    <w:rPr>
      <w:rFonts w:ascii="Times New Roman" w:eastAsia="Times New Roman" w:hAnsi="Times New Roman" w:cs="Times New Roman"/>
      <w:kern w:val="0"/>
      <w:sz w:val="20"/>
      <w:szCs w:val="20"/>
      <w14:ligatures w14:val="none"/>
    </w:rPr>
  </w:style>
  <w:style w:type="character" w:styleId="af1">
    <w:name w:val="endnote reference"/>
    <w:uiPriority w:val="99"/>
    <w:semiHidden/>
    <w:unhideWhenUsed/>
    <w:rsid w:val="004579AB"/>
    <w:rPr>
      <w:vertAlign w:val="superscript"/>
    </w:rPr>
  </w:style>
  <w:style w:type="paragraph" w:styleId="af2">
    <w:name w:val="endnote text"/>
    <w:link w:val="Char3"/>
    <w:uiPriority w:val="99"/>
    <w:semiHidden/>
    <w:unhideWhenUsed/>
    <w:rsid w:val="004579AB"/>
    <w:pPr>
      <w:spacing w:after="0" w:line="240" w:lineRule="auto"/>
    </w:pPr>
    <w:rPr>
      <w:rFonts w:ascii="Times New Roman" w:eastAsia="Times New Roman" w:hAnsi="Times New Roman" w:cs="Times New Roman"/>
      <w:kern w:val="0"/>
      <w:sz w:val="20"/>
      <w:szCs w:val="20"/>
      <w14:ligatures w14:val="none"/>
    </w:rPr>
  </w:style>
  <w:style w:type="character" w:customStyle="1" w:styleId="Char3">
    <w:name w:val="نص تعليق ختامي Char"/>
    <w:basedOn w:val="a0"/>
    <w:link w:val="af2"/>
    <w:uiPriority w:val="99"/>
    <w:semiHidden/>
    <w:rsid w:val="004579AB"/>
    <w:rPr>
      <w:rFonts w:ascii="Times New Roman" w:eastAsia="Times New Roman" w:hAnsi="Times New Roman" w:cs="Times New Roman"/>
      <w:kern w:val="0"/>
      <w:sz w:val="20"/>
      <w:szCs w:val="20"/>
      <w14:ligatures w14:val="none"/>
    </w:rPr>
  </w:style>
  <w:style w:type="paragraph" w:customStyle="1" w:styleId="p1">
    <w:name w:val="p1"/>
    <w:basedOn w:val="a"/>
    <w:rsid w:val="004579AB"/>
    <w:pPr>
      <w:bidi w:val="0"/>
      <w:spacing w:after="120" w:line="240" w:lineRule="auto"/>
      <w:jc w:val="right"/>
    </w:pPr>
    <w:rPr>
      <w:rFonts w:ascii="Geeza Pro" w:eastAsiaTheme="minorEastAsia" w:hAnsi="Geeza Pro" w:cs="Geeza Pro"/>
      <w:color w:val="000000"/>
      <w:kern w:val="0"/>
      <w:sz w:val="21"/>
      <w:szCs w:val="21"/>
      <w14:ligatures w14:val="none"/>
    </w:rPr>
  </w:style>
  <w:style w:type="paragraph" w:customStyle="1" w:styleId="p2">
    <w:name w:val="p2"/>
    <w:basedOn w:val="a"/>
    <w:rsid w:val="004579AB"/>
    <w:pPr>
      <w:bidi w:val="0"/>
      <w:spacing w:after="120" w:line="240" w:lineRule="auto"/>
      <w:jc w:val="right"/>
    </w:pPr>
    <w:rPr>
      <w:rFonts w:ascii="Helvetica" w:eastAsiaTheme="minorEastAsia" w:hAnsi="Helvetica" w:cs="Times New Roman"/>
      <w:color w:val="000000"/>
      <w:kern w:val="0"/>
      <w:sz w:val="21"/>
      <w:szCs w:val="21"/>
      <w14:ligatures w14:val="none"/>
    </w:rPr>
  </w:style>
  <w:style w:type="paragraph" w:customStyle="1" w:styleId="p3">
    <w:name w:val="p3"/>
    <w:basedOn w:val="a"/>
    <w:rsid w:val="004579AB"/>
    <w:pPr>
      <w:bidi w:val="0"/>
      <w:spacing w:after="120" w:line="240" w:lineRule="auto"/>
      <w:jc w:val="right"/>
    </w:pPr>
    <w:rPr>
      <w:rFonts w:ascii="Helvetica" w:eastAsiaTheme="minorEastAsia" w:hAnsi="Helvetica" w:cs="Times New Roman"/>
      <w:color w:val="000000"/>
      <w:kern w:val="0"/>
      <w:sz w:val="21"/>
      <w:szCs w:val="21"/>
      <w14:ligatures w14:val="none"/>
    </w:rPr>
  </w:style>
  <w:style w:type="character" w:customStyle="1" w:styleId="s1">
    <w:name w:val="s1"/>
    <w:basedOn w:val="a0"/>
    <w:rsid w:val="004579AB"/>
    <w:rPr>
      <w:rFonts w:ascii="Geeza Pro" w:hAnsi="Geeza Pro" w:cs="Geeza Pro" w:hint="default"/>
      <w:b/>
      <w:bCs/>
      <w:i w:val="0"/>
      <w:iCs w:val="0"/>
      <w:sz w:val="21"/>
      <w:szCs w:val="21"/>
    </w:rPr>
  </w:style>
  <w:style w:type="character" w:customStyle="1" w:styleId="s2">
    <w:name w:val="s2"/>
    <w:basedOn w:val="a0"/>
    <w:rsid w:val="004579AB"/>
    <w:rPr>
      <w:rFonts w:ascii="Helvetica" w:hAnsi="Helvetica" w:hint="default"/>
      <w:b/>
      <w:bCs/>
      <w:i w:val="0"/>
      <w:iCs w:val="0"/>
      <w:sz w:val="21"/>
      <w:szCs w:val="21"/>
    </w:rPr>
  </w:style>
  <w:style w:type="character" w:customStyle="1" w:styleId="apple-converted-space">
    <w:name w:val="apple-converted-space"/>
    <w:basedOn w:val="a0"/>
    <w:rsid w:val="00457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DBBEEBC-42D1-4F9B-950D-BAF25430A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57</Pages>
  <Words>5890</Words>
  <Characters>33573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HR</cp:lastModifiedBy>
  <cp:revision>2</cp:revision>
  <cp:lastPrinted>2026-07-24T10:32:00Z</cp:lastPrinted>
  <dcterms:created xsi:type="dcterms:W3CDTF">2026-07-24T10:37:00Z</dcterms:created>
  <dcterms:modified xsi:type="dcterms:W3CDTF">2026-07-24T10:37:00Z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