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99D56" w14:textId="77777777" w:rsidR="000364AD" w:rsidRDefault="000364AD">
      <w:pPr>
        <w:rPr>
          <w:rtl/>
          <w:lang w:bidi="ar-EG"/>
        </w:rPr>
      </w:pPr>
    </w:p>
    <w:p w14:paraId="14072B50" w14:textId="77777777" w:rsidR="00B500F9" w:rsidRDefault="00B500F9" w:rsidP="00B500F9">
      <w:pPr>
        <w:rPr>
          <w:rFonts w:ascii="Sakkal Majalla" w:hAnsi="Sakkal Majalla" w:cs="Sakkal Majalla"/>
          <w:sz w:val="28"/>
          <w:szCs w:val="28"/>
          <w:rtl/>
        </w:rPr>
      </w:pPr>
    </w:p>
    <w:p w14:paraId="72154BA4" w14:textId="77777777" w:rsidR="00B500F9" w:rsidRDefault="00B500F9" w:rsidP="00B500F9">
      <w:pPr>
        <w:rPr>
          <w:rFonts w:ascii="Sakkal Majalla" w:hAnsi="Sakkal Majalla" w:cs="Sakkal Majalla"/>
          <w:sz w:val="28"/>
          <w:szCs w:val="28"/>
          <w:rtl/>
        </w:rPr>
      </w:pPr>
    </w:p>
    <w:p w14:paraId="3603B988" w14:textId="77777777" w:rsidR="00B500F9" w:rsidRDefault="00B500F9" w:rsidP="00B500F9">
      <w:pPr>
        <w:rPr>
          <w:rFonts w:ascii="Sakkal Majalla" w:hAnsi="Sakkal Majalla" w:cs="Sakkal Majalla"/>
          <w:sz w:val="28"/>
          <w:szCs w:val="28"/>
          <w:rtl/>
        </w:rPr>
      </w:pPr>
    </w:p>
    <w:p w14:paraId="47F16010" w14:textId="77777777" w:rsidR="00B500F9" w:rsidRDefault="00B500F9" w:rsidP="00B500F9">
      <w:pPr>
        <w:rPr>
          <w:rFonts w:ascii="Sakkal Majalla" w:hAnsi="Sakkal Majalla" w:cs="Sakkal Majalla"/>
          <w:sz w:val="28"/>
          <w:szCs w:val="28"/>
          <w:rtl/>
        </w:rPr>
      </w:pPr>
    </w:p>
    <w:p w14:paraId="11FF0E7F" w14:textId="77777777" w:rsidR="00B500F9" w:rsidRDefault="00B500F9" w:rsidP="00B500F9">
      <w:pPr>
        <w:rPr>
          <w:rFonts w:ascii="Sakkal Majalla" w:hAnsi="Sakkal Majalla" w:cs="Sakkal Majalla"/>
          <w:sz w:val="28"/>
          <w:szCs w:val="28"/>
          <w:rtl/>
        </w:rPr>
      </w:pPr>
    </w:p>
    <w:p w14:paraId="00DBD8F6" w14:textId="77777777" w:rsidR="00B500F9" w:rsidRDefault="00B500F9" w:rsidP="00B500F9">
      <w:pPr>
        <w:rPr>
          <w:rFonts w:ascii="Sakkal Majalla" w:hAnsi="Sakkal Majalla" w:cs="Sakkal Majalla"/>
          <w:sz w:val="28"/>
          <w:szCs w:val="28"/>
          <w:u w:val="single"/>
          <w:rtl/>
        </w:rPr>
      </w:pPr>
    </w:p>
    <w:p w14:paraId="0D1EF909" w14:textId="77777777" w:rsidR="00B500F9" w:rsidRPr="009F738B" w:rsidRDefault="00B500F9" w:rsidP="00B500F9">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7844936D" w14:textId="77777777" w:rsidR="00B500F9" w:rsidRDefault="00B500F9" w:rsidP="00B500F9">
      <w:pPr>
        <w:rPr>
          <w:rFonts w:ascii="Sakkal Majalla" w:hAnsi="Sakkal Majalla" w:cs="Sakkal Majalla"/>
          <w:sz w:val="28"/>
          <w:szCs w:val="28"/>
          <w:u w:val="single"/>
          <w:rtl/>
        </w:rPr>
      </w:pPr>
    </w:p>
    <w:p w14:paraId="79D8BB09" w14:textId="77777777" w:rsidR="00B500F9" w:rsidRDefault="00B500F9" w:rsidP="00B500F9">
      <w:pPr>
        <w:rPr>
          <w:rFonts w:ascii="Sakkal Majalla" w:hAnsi="Sakkal Majalla" w:cs="Sakkal Majalla"/>
          <w:sz w:val="28"/>
          <w:szCs w:val="28"/>
          <w:u w:val="single"/>
          <w:rtl/>
        </w:rPr>
      </w:pPr>
    </w:p>
    <w:p w14:paraId="0A8C493A" w14:textId="77777777" w:rsidR="00B500F9" w:rsidRDefault="00B500F9" w:rsidP="00B500F9">
      <w:pPr>
        <w:rPr>
          <w:rFonts w:ascii="Sakkal Majalla" w:hAnsi="Sakkal Majalla" w:cs="Sakkal Majalla"/>
          <w:sz w:val="28"/>
          <w:szCs w:val="28"/>
          <w:u w:val="single"/>
          <w:rtl/>
        </w:rPr>
      </w:pPr>
    </w:p>
    <w:p w14:paraId="42E1DA69" w14:textId="77777777" w:rsidR="00B500F9" w:rsidRDefault="00B500F9" w:rsidP="00B500F9">
      <w:pPr>
        <w:rPr>
          <w:rFonts w:ascii="Sakkal Majalla" w:hAnsi="Sakkal Majalla" w:cs="Sakkal Majalla"/>
          <w:sz w:val="28"/>
          <w:szCs w:val="28"/>
          <w:u w:val="single"/>
          <w:rtl/>
        </w:rPr>
      </w:pPr>
    </w:p>
    <w:p w14:paraId="6D84CBA7" w14:textId="77777777" w:rsidR="00B500F9" w:rsidRDefault="00B500F9" w:rsidP="00B500F9">
      <w:pPr>
        <w:rPr>
          <w:rFonts w:ascii="Sakkal Majalla" w:hAnsi="Sakkal Majalla" w:cs="Sakkal Majalla"/>
          <w:sz w:val="28"/>
          <w:szCs w:val="28"/>
          <w:u w:val="single"/>
          <w:rtl/>
        </w:rPr>
      </w:pPr>
    </w:p>
    <w:p w14:paraId="1A85B9E2" w14:textId="77777777" w:rsidR="00B500F9" w:rsidRDefault="00B500F9" w:rsidP="00B500F9">
      <w:pPr>
        <w:rPr>
          <w:rFonts w:ascii="Sakkal Majalla" w:hAnsi="Sakkal Majalla" w:cs="Sakkal Majalla"/>
          <w:sz w:val="28"/>
          <w:szCs w:val="28"/>
          <w:u w:val="single"/>
          <w:rtl/>
        </w:rPr>
      </w:pPr>
    </w:p>
    <w:p w14:paraId="1738E274" w14:textId="77777777" w:rsidR="00B500F9" w:rsidRDefault="00B500F9" w:rsidP="00B500F9">
      <w:pPr>
        <w:rPr>
          <w:rFonts w:ascii="Sakkal Majalla" w:hAnsi="Sakkal Majalla" w:cs="Sakkal Majalla"/>
          <w:sz w:val="28"/>
          <w:szCs w:val="28"/>
          <w:u w:val="single"/>
          <w:rtl/>
        </w:rPr>
      </w:pPr>
    </w:p>
    <w:p w14:paraId="7C543D53" w14:textId="77777777" w:rsidR="00B500F9" w:rsidRDefault="00B500F9" w:rsidP="00B500F9">
      <w:pPr>
        <w:rPr>
          <w:rFonts w:ascii="Sakkal Majalla" w:hAnsi="Sakkal Majalla" w:cs="Sakkal Majalla"/>
          <w:sz w:val="28"/>
          <w:szCs w:val="28"/>
          <w:u w:val="single"/>
          <w:rtl/>
        </w:rPr>
      </w:pPr>
    </w:p>
    <w:p w14:paraId="46C19A67" w14:textId="77777777" w:rsidR="00B500F9" w:rsidRDefault="00B500F9" w:rsidP="00B500F9">
      <w:pPr>
        <w:rPr>
          <w:rFonts w:ascii="Sakkal Majalla" w:hAnsi="Sakkal Majalla" w:cs="Sakkal Majalla"/>
          <w:sz w:val="28"/>
          <w:szCs w:val="28"/>
          <w:u w:val="single"/>
          <w:rtl/>
        </w:rPr>
      </w:pPr>
    </w:p>
    <w:p w14:paraId="0C4D4800" w14:textId="77777777" w:rsidR="00B500F9" w:rsidRDefault="00B500F9" w:rsidP="00B500F9">
      <w:pPr>
        <w:rPr>
          <w:rFonts w:ascii="Sakkal Majalla" w:hAnsi="Sakkal Majalla" w:cs="Sakkal Majalla"/>
          <w:sz w:val="28"/>
          <w:szCs w:val="28"/>
          <w:u w:val="single"/>
          <w:rtl/>
        </w:rPr>
      </w:pPr>
    </w:p>
    <w:p w14:paraId="0BCFCEAB" w14:textId="77777777" w:rsidR="00B500F9" w:rsidRPr="009F738B" w:rsidRDefault="00B500F9" w:rsidP="00B500F9">
      <w:pPr>
        <w:pStyle w:val="Heading2"/>
        <w:rPr>
          <w:rtl/>
        </w:rPr>
      </w:pPr>
      <w:bookmarkStart w:id="3" w:name="_Toc172397776"/>
      <w:bookmarkStart w:id="4" w:name="_Toc172746089"/>
      <w:bookmarkStart w:id="5" w:name="_Toc191138769"/>
      <w:r w:rsidRPr="009F738B">
        <w:rPr>
          <w:rtl/>
        </w:rPr>
        <w:t>المقدمة</w:t>
      </w:r>
      <w:bookmarkEnd w:id="3"/>
      <w:bookmarkEnd w:id="4"/>
      <w:bookmarkEnd w:id="5"/>
    </w:p>
    <w:p w14:paraId="3E381F1B" w14:textId="77777777" w:rsidR="00B500F9" w:rsidRPr="00CC5C49" w:rsidRDefault="00B500F9" w:rsidP="00B500F9">
      <w:pPr>
        <w:pStyle w:val="NoSpacing"/>
        <w:rPr>
          <w:rtl/>
        </w:rPr>
      </w:pPr>
      <w:r w:rsidRPr="00CC5C49">
        <w:rPr>
          <w:rtl/>
        </w:rPr>
        <w:t xml:space="preserve">تُسبب متغيراتٌ عديدة، بما في ذلك التحولات الاقتصادية والتحسينات التقنية والتحديات البيئية، تطورًا سريعًا في بيئة الأعمال الحديثة محليًا وعالميًا. وقد أصبحت هذه القضايا مصدر قلقٍ بالغٍ للعديد من الشركات. ونظرًا لأن المخاطر البيئية تؤثر الآن على جوانب عديدة من النشاط الاقتصادي والاجتماعي، لا على البيئة الطبيعية فحسب، فقد أصبحت عنصرًا أساسيًا في ملف المخاطر الذي يتعين على المؤسسات التعامل معه. وتظهر هذه المخاطر كمجموعة متنوعة من المشاكل، بما في ذلك التلوث، وتغير المناخ، واستنزاف الموارد الطبيعية، وتزايد الكوارث الطبيعية، وكلها تؤثر بشكل مباشر على </w:t>
      </w:r>
      <w:r w:rsidRPr="00CC5C49">
        <w:rPr>
          <w:rtl/>
        </w:rPr>
        <w:lastRenderedPageBreak/>
        <w:t>عمليات المؤسسات واستمراريتها. لذا، تُعد إدارة المخاطر البيئية أداةً استراتيجيةً بالغة الأهمية للحد من هذه المخاطر وتحويلها إلى فرص. وهذا يُعزز قدرة المؤسسة على حماية مواردها، والتكيف مع التغيرات، وتحقيق التنمية المستدامة</w:t>
      </w:r>
      <w:sdt>
        <w:sdtPr>
          <w:rPr>
            <w:rtl/>
          </w:rPr>
          <w:id w:val="-166106817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Osh24 \l 3073</w:instrText>
          </w:r>
          <w:r>
            <w:rPr>
              <w:rtl/>
            </w:rPr>
            <w:instrText xml:space="preserve"> </w:instrText>
          </w:r>
          <w:r>
            <w:rPr>
              <w:rtl/>
            </w:rPr>
            <w:fldChar w:fldCharType="separate"/>
          </w:r>
          <w:r>
            <w:rPr>
              <w:noProof/>
              <w:rtl/>
            </w:rPr>
            <w:t xml:space="preserve"> </w:t>
          </w:r>
          <w:r>
            <w:rPr>
              <w:rFonts w:hint="cs"/>
              <w:noProof/>
              <w:rtl/>
            </w:rPr>
            <w:t>(</w:t>
          </w:r>
          <w:r>
            <w:rPr>
              <w:rFonts w:hint="cs"/>
              <w:noProof/>
            </w:rPr>
            <w:t>Osheyor</w:t>
          </w:r>
          <w:r>
            <w:rPr>
              <w:rFonts w:hint="cs"/>
              <w:noProof/>
              <w:rtl/>
            </w:rPr>
            <w:t>، 2024)</w:t>
          </w:r>
          <w:r>
            <w:rPr>
              <w:rtl/>
            </w:rPr>
            <w:fldChar w:fldCharType="end"/>
          </w:r>
        </w:sdtContent>
      </w:sdt>
      <w:r w:rsidRPr="00CC5C49">
        <w:rPr>
          <w:rtl/>
        </w:rPr>
        <w:t>.</w:t>
      </w:r>
    </w:p>
    <w:p w14:paraId="0A0E365D" w14:textId="77777777" w:rsidR="00B500F9" w:rsidRPr="00CC5C49" w:rsidRDefault="00B500F9" w:rsidP="00B500F9">
      <w:pPr>
        <w:pStyle w:val="NoSpacing"/>
        <w:rPr>
          <w:rtl/>
        </w:rPr>
      </w:pPr>
      <w:r w:rsidRPr="00CC5C49">
        <w:rPr>
          <w:rtl/>
        </w:rPr>
        <w:t>أصبحت إدارة المخاطر البيئية الآن عنصرًا أساسيًا في التخطيط الاستراتيجي الشامل، ولم تعد وظيفةً ثانويةً أو هامشيةً داخل المؤسسات. فالشركات التي تفشل في وضع استراتيجياتٍ واضحة المعالم للتخفيف من هذه المخاطر تُخاطر بتكبد خسائر مالية فادحة أو مواجهة مشكلات قانونية وتنظيمية قد تُهدد بقاءها. تتعرض المؤسسات لضغوط متزايدة لتطبيق سياسات بيئية مسؤولة، مع إدراك الناس على الصعيدين المحلي والعالمي لأهمية الحفاظ على البيئة. ويستخدم المستثمرون والهيئات التنظيمية الآن معايير الحوكمة البيئية والاجتماعية والاقتصادية (</w:t>
      </w:r>
      <w:r w:rsidRPr="00CC5C49">
        <w:t>ESG</w:t>
      </w:r>
      <w:r w:rsidRPr="00CC5C49">
        <w:rPr>
          <w:rtl/>
        </w:rPr>
        <w:t>) كأحد أهم المقاييس لتقييم استدامة الشركات وأدائها. ونتيجةً لذلك، تُعدّ إدارة المخاطر البيئية أمرًا بالغ الأهمية لتحسين مكانة الشركات ورفع مستوى تنافسيتها في السوق</w:t>
      </w:r>
      <w:sdt>
        <w:sdtPr>
          <w:rPr>
            <w:rtl/>
          </w:rPr>
          <w:id w:val="-191053312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Blu21 \l 3073</w:instrText>
          </w:r>
          <w:r>
            <w:rPr>
              <w:rtl/>
            </w:rPr>
            <w:instrText xml:space="preserve"> </w:instrText>
          </w:r>
          <w:r>
            <w:rPr>
              <w:rtl/>
            </w:rPr>
            <w:fldChar w:fldCharType="separate"/>
          </w:r>
          <w:r>
            <w:rPr>
              <w:noProof/>
              <w:rtl/>
            </w:rPr>
            <w:t xml:space="preserve"> </w:t>
          </w:r>
          <w:r>
            <w:rPr>
              <w:rFonts w:hint="cs"/>
              <w:noProof/>
              <w:rtl/>
            </w:rPr>
            <w:t>(</w:t>
          </w:r>
          <w:r>
            <w:rPr>
              <w:rFonts w:hint="cs"/>
              <w:noProof/>
            </w:rPr>
            <w:t>Blundo</w:t>
          </w:r>
          <w:r>
            <w:rPr>
              <w:rFonts w:hint="cs"/>
              <w:noProof/>
              <w:rtl/>
            </w:rPr>
            <w:t>، 2021)</w:t>
          </w:r>
          <w:r>
            <w:rPr>
              <w:rtl/>
            </w:rPr>
            <w:fldChar w:fldCharType="end"/>
          </w:r>
        </w:sdtContent>
      </w:sdt>
      <w:r w:rsidRPr="00CC5C49">
        <w:rPr>
          <w:rtl/>
        </w:rPr>
        <w:t>.</w:t>
      </w:r>
    </w:p>
    <w:p w14:paraId="5E48424F" w14:textId="77777777" w:rsidR="00B500F9" w:rsidRPr="00CC5C49" w:rsidRDefault="00B500F9" w:rsidP="00B500F9">
      <w:pPr>
        <w:pStyle w:val="NoSpacing"/>
        <w:rPr>
          <w:rtl/>
        </w:rPr>
      </w:pPr>
      <w:r w:rsidRPr="00CC5C49">
        <w:rPr>
          <w:rtl/>
        </w:rPr>
        <w:t>شهدت الآثار السلبية للتغير البيئي العالمي تزايدًا ملحوظًا في العقود الأخيرة، بدءًا من الكوارث الطبيعية المفاجئة كالأعاصير والفيضانات وحرائق الغابات، وصولًا إلى ارتفاع درجات الحرارة وتغير أنماط هطول الأمطار والجفاف. وتتأثر بيئة الشركات بشكل مباشر بهذه الظواهر البيئية، مما قد يؤدي إلى انقطاع سلسلة التوريد، أو توقف الإنتاج، أو تضرر البنية التحتية والأصول. علاوةً على ذلك، ازدادت صرامة اللوائح البيئية المحلية والدولية، مما يُصعّب على الشركات الامتثال لمعايير الاستدامة. لذلك، من الضروري وضع خطط فعّالة لإدارة المخاطر البيئية تُساعد الشركات على توقع حالات الطوارئ والحد من آثارها المحتملة.</w:t>
      </w:r>
    </w:p>
    <w:p w14:paraId="1524B734" w14:textId="77777777" w:rsidR="00B500F9" w:rsidRPr="00CC5C49" w:rsidRDefault="00B500F9" w:rsidP="00B500F9">
      <w:pPr>
        <w:pStyle w:val="NoSpacing"/>
        <w:rPr>
          <w:rtl/>
        </w:rPr>
      </w:pPr>
      <w:r w:rsidRPr="00CC5C49">
        <w:rPr>
          <w:rtl/>
        </w:rPr>
        <w:t>في إطار رؤية المملكة 2030، شهدت المملكة العربية السعودية، إحدى أكبر اقتصادات الشرق الأوسط، تحولاً جذرياً في بنيتها الاقتصادية خلال السنوات الأخيرة. تُولي الحكومة السعودية أولوية قصوى لإدارة المخاطر البيئية على جميع المستويات، ويُعدّ الحفاظ على البيئة والتنمية المستدامة ركيزتين أساسيتين لهذه الاستراتيجية. ويتجلى هذا في تطبيق قوانين ولوائح بيئية صارمة تهدف إلى خفض التلوث، وتشجيع استخدام مصادر الطاقة المتجددة، وتقليل الاعتماد على الموارد غير المتجددة. تُعدّ إدارة المخاطر البيئية شاغلاً استراتيجياً للشركات العاملة في قطاعي النفط والبتروكيماويات، بالإضافة إلى قطاعات أخرى، نظراً لاعتماد الاقتصاد السعودي الكبير على هذه القطاعات</w:t>
      </w:r>
      <w:sdt>
        <w:sdtPr>
          <w:rPr>
            <w:rtl/>
          </w:rPr>
          <w:id w:val="-96526955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Ban14 \l 3073</w:instrText>
          </w:r>
          <w:r>
            <w:rPr>
              <w:rtl/>
            </w:rPr>
            <w:instrText xml:space="preserve"> </w:instrText>
          </w:r>
          <w:r>
            <w:rPr>
              <w:rtl/>
            </w:rPr>
            <w:fldChar w:fldCharType="separate"/>
          </w:r>
          <w:r>
            <w:rPr>
              <w:noProof/>
              <w:rtl/>
            </w:rPr>
            <w:t xml:space="preserve"> </w:t>
          </w:r>
          <w:r>
            <w:rPr>
              <w:rFonts w:hint="cs"/>
              <w:noProof/>
              <w:rtl/>
            </w:rPr>
            <w:t>(</w:t>
          </w:r>
          <w:r>
            <w:rPr>
              <w:rFonts w:hint="cs"/>
              <w:noProof/>
            </w:rPr>
            <w:t>Banholzer</w:t>
          </w:r>
          <w:r>
            <w:rPr>
              <w:rFonts w:hint="cs"/>
              <w:noProof/>
              <w:rtl/>
            </w:rPr>
            <w:t>، 2014)</w:t>
          </w:r>
          <w:r>
            <w:rPr>
              <w:rtl/>
            </w:rPr>
            <w:fldChar w:fldCharType="end"/>
          </w:r>
        </w:sdtContent>
      </w:sdt>
      <w:r w:rsidRPr="00CC5C49">
        <w:rPr>
          <w:rtl/>
        </w:rPr>
        <w:t>.</w:t>
      </w:r>
    </w:p>
    <w:p w14:paraId="3C950BF3" w14:textId="77777777" w:rsidR="00B500F9" w:rsidRPr="00CC5C49" w:rsidRDefault="00B500F9" w:rsidP="00B500F9">
      <w:pPr>
        <w:pStyle w:val="NoSpacing"/>
        <w:rPr>
          <w:rtl/>
        </w:rPr>
      </w:pPr>
      <w:r w:rsidRPr="00CC5C49">
        <w:rPr>
          <w:rtl/>
        </w:rPr>
        <w:t xml:space="preserve">وللحد من المخاطر البيئية وتشجيع الاستدامة في بيئة الأعمال، وضعت المملكة العربية السعودية عدداً من البرامج واللوائح الجريئة. وتُعد مبادرة الشرق الأوسط الخضراء ومبادرة السعودية الخضراء من أشهر هذه البرامج، حيث تسعى </w:t>
      </w:r>
      <w:r w:rsidRPr="00CC5C49">
        <w:rPr>
          <w:rtl/>
        </w:rPr>
        <w:lastRenderedPageBreak/>
        <w:t>إلى تحسين كفاءة استخدام الموارد الطبيعية، وخفض انبعاثات الكربون، وزيادة الغطاء النباتي. بهدف بناء البنية التحتية للطاقة المتجددة، بما في ذلك مشاريع طاقة الرياح والطاقة الشمسية، تم إطلاق برامج أخرى. وبما أنه من المتوقع الآن من القطاع الخاص الالتزام بمعايير بيئية أكثر صرامة في سياق الحوكمة الرشيدة، فإن هذه الجهود لا تقتصر على الحكومة فقط.</w:t>
      </w:r>
    </w:p>
    <w:p w14:paraId="1A3F5291" w14:textId="1B465E51" w:rsidR="00B500F9" w:rsidRPr="00CC5C49" w:rsidRDefault="00B500F9" w:rsidP="00B500F9">
      <w:pPr>
        <w:pStyle w:val="NoSpacing"/>
        <w:rPr>
          <w:rtl/>
        </w:rPr>
      </w:pPr>
      <w:r w:rsidRPr="00CC5C49">
        <w:rPr>
          <w:rtl/>
        </w:rPr>
        <w:t>. تُعدّ مبادرات إدارة المخاطر البيئية من أهمّ المبادرات. كما تُساعد تقنياتٌ مثل الذكاء الاصطناعي وإنترنت الأشياء (</w:t>
      </w:r>
      <w:r w:rsidRPr="00CC5C49">
        <w:t>IoT</w:t>
      </w:r>
      <w:r w:rsidRPr="00CC5C49">
        <w:rPr>
          <w:rtl/>
        </w:rPr>
        <w:t>) على توقع هذه المخاطر وتوفير تدابير وقائية للحدّ من آثارها. وبفضل التكنولوجيا الرقمية الحديثة، يُمكن للشركات الآن مراقبة أدائها البيئي باستمرار، مما يُحسّن قدرتها على تلبية توقعات المستثمرين والمستهلكين والامتثال للأنظمة. ويتجلى تزايد فهم قيمة الابتكار في معالجة القضايا البيئية في استخدام العديد من المؤسسات في المملكة العربية السعودية لهذه التقنيات كجزء من سياساتها البيئية. تكتسب هذه الدراسة أهميتها من خلال تناولها قضيةً جوهريةً تمس عددًا من الجوانب الاجتماعية والاقتصادية والبيئية في المملكة العربية السعودية. وتهدف إلى دراسة إدارة المخاطر البيئية في وضعها الحالي. وتتناول الدراسة مناخ الأعمال في المملكة العربية السعودية، وتبحث في الفرص والصعوبات التي تواجهها الشركات في تطبيق ممارسات الاستدامة. وإلى جانب تسليط الضوء على أفضل الممارسات الدولية التي يُمكن تطبيقها محليًا، يُقدّم التقرير اقتراحاتٍ قيّمة لمساعدة المديرين التنفيذيين وصانعي القرار على تحسين أدائهم البيئي</w:t>
      </w:r>
      <w:sdt>
        <w:sdtPr>
          <w:rPr>
            <w:rtl/>
          </w:rPr>
          <w:id w:val="-90806387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Pop24 \l 3073</w:instrText>
          </w:r>
          <w:r>
            <w:rPr>
              <w:rtl/>
            </w:rPr>
            <w:instrText xml:space="preserve"> </w:instrText>
          </w:r>
          <w:r>
            <w:rPr>
              <w:rtl/>
            </w:rPr>
            <w:fldChar w:fldCharType="separate"/>
          </w:r>
          <w:r>
            <w:rPr>
              <w:noProof/>
              <w:rtl/>
            </w:rPr>
            <w:t xml:space="preserve"> </w:t>
          </w:r>
          <w:r>
            <w:rPr>
              <w:rFonts w:hint="cs"/>
              <w:noProof/>
              <w:rtl/>
            </w:rPr>
            <w:t>(</w:t>
          </w:r>
          <w:r>
            <w:rPr>
              <w:rFonts w:hint="cs"/>
              <w:noProof/>
            </w:rPr>
            <w:t>Popescu</w:t>
          </w:r>
          <w:r>
            <w:rPr>
              <w:rFonts w:hint="cs"/>
              <w:noProof/>
              <w:rtl/>
            </w:rPr>
            <w:t>، 2024)</w:t>
          </w:r>
          <w:r>
            <w:rPr>
              <w:rtl/>
            </w:rPr>
            <w:fldChar w:fldCharType="end"/>
          </w:r>
        </w:sdtContent>
      </w:sdt>
      <w:r w:rsidRPr="00CC5C49">
        <w:rPr>
          <w:rtl/>
        </w:rPr>
        <w:t>.</w:t>
      </w:r>
    </w:p>
    <w:p w14:paraId="0A4F3CBA" w14:textId="77777777" w:rsidR="00B500F9" w:rsidRDefault="00B500F9" w:rsidP="00B500F9">
      <w:pPr>
        <w:rPr>
          <w:rtl/>
        </w:rPr>
      </w:pPr>
      <w:bookmarkStart w:id="6" w:name="_Toc169370865"/>
      <w:bookmarkStart w:id="7" w:name="_Toc169565909"/>
      <w:bookmarkStart w:id="8" w:name="_Toc171440855"/>
      <w:bookmarkStart w:id="9" w:name="_Toc191138770"/>
    </w:p>
    <w:p w14:paraId="1CD959F4" w14:textId="77777777" w:rsidR="00B500F9" w:rsidRDefault="00B500F9" w:rsidP="00B500F9">
      <w:pPr>
        <w:rPr>
          <w:rtl/>
        </w:rPr>
      </w:pPr>
    </w:p>
    <w:p w14:paraId="595CA9D3" w14:textId="77777777" w:rsidR="00B500F9" w:rsidRDefault="00B500F9" w:rsidP="00B500F9">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52EBE8BB" w14:textId="77777777" w:rsidR="00B500F9" w:rsidRPr="003053B8" w:rsidRDefault="00B500F9" w:rsidP="00B500F9">
      <w:pPr>
        <w:pStyle w:val="NoSpacing"/>
        <w:numPr>
          <w:ilvl w:val="0"/>
          <w:numId w:val="2"/>
        </w:numPr>
        <w:spacing w:after="160"/>
        <w:rPr>
          <w:b/>
          <w:bCs/>
          <w:rtl/>
        </w:rPr>
      </w:pPr>
      <w:r w:rsidRPr="003053B8">
        <w:rPr>
          <w:b/>
          <w:bCs/>
          <w:rtl/>
        </w:rPr>
        <w:t xml:space="preserve">أولاً: </w:t>
      </w:r>
      <w:r w:rsidRPr="003053B8">
        <w:rPr>
          <w:rFonts w:hint="cs"/>
          <w:b/>
          <w:bCs/>
          <w:rtl/>
        </w:rPr>
        <w:t>المشكلة</w:t>
      </w:r>
      <w:r w:rsidRPr="003053B8">
        <w:rPr>
          <w:b/>
          <w:bCs/>
          <w:rtl/>
        </w:rPr>
        <w:t xml:space="preserve"> الرئيسية</w:t>
      </w:r>
    </w:p>
    <w:p w14:paraId="3F4C290C" w14:textId="77777777" w:rsidR="00B500F9" w:rsidRDefault="00B500F9" w:rsidP="00B500F9">
      <w:pPr>
        <w:pStyle w:val="NoSpacing"/>
        <w:rPr>
          <w:rtl/>
        </w:rPr>
      </w:pPr>
      <w:r>
        <w:rPr>
          <w:rtl/>
        </w:rPr>
        <w:t>تُحدث التغيرات البيئية والمناخية والاقتصادية المتسارعة تغييرات جوهرية في بيئة الأعمال في المملكة العربية السعودية، وكذلك في العديد من الدول الأخرى حول العالم. وتتعرض استدامة واستمرارية المؤسسات لتهديدات بيئية مباشرة، مثل التلوث، وتغير المناخ، والكوارث الطبيعية، واستنزاف الموارد الطبيعية. وهناك تباين ملحوظ بين ما يتم تنفيذه فعلياً في العديد من المؤسسات السعودية والمتطلبات والمعايير الدولية لإدارة المخاطر البيئية، على الرغم من الجهود الحكومية المبذولة وعمل العديد من المؤسسات في هذا المجال. ويُعيق هذا التباين قدرتها على التكيف مع الأزمات البيئية والحد من آثارها الضارة. لذلك</w:t>
      </w:r>
      <w:r>
        <w:rPr>
          <w:rFonts w:hint="cs"/>
          <w:rtl/>
        </w:rPr>
        <w:t xml:space="preserve"> من</w:t>
      </w:r>
      <w:r>
        <w:rPr>
          <w:rtl/>
        </w:rPr>
        <w:t xml:space="preserve"> أبرز العوائق التي تحول دون تنفيذ المؤسسات السعودية لاستراتيجيات شاملة وناجحة للسيطرة على المخاطر البيئية في البيئة الاقتصادية المعاصرة</w:t>
      </w:r>
      <w:sdt>
        <w:sdtPr>
          <w:rPr>
            <w:rtl/>
          </w:rPr>
          <w:id w:val="69520775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Alm242 \l 3073</w:instrText>
          </w:r>
          <w:r>
            <w:rPr>
              <w:rtl/>
            </w:rPr>
            <w:instrText xml:space="preserve"> </w:instrText>
          </w:r>
          <w:r>
            <w:rPr>
              <w:rtl/>
            </w:rPr>
            <w:fldChar w:fldCharType="separate"/>
          </w:r>
          <w:r>
            <w:rPr>
              <w:noProof/>
              <w:rtl/>
            </w:rPr>
            <w:t xml:space="preserve"> </w:t>
          </w:r>
          <w:r>
            <w:rPr>
              <w:rFonts w:hint="cs"/>
              <w:noProof/>
              <w:rtl/>
            </w:rPr>
            <w:t>(</w:t>
          </w:r>
          <w:r>
            <w:rPr>
              <w:rFonts w:hint="cs"/>
              <w:noProof/>
            </w:rPr>
            <w:t>Almheiri</w:t>
          </w:r>
          <w:r>
            <w:rPr>
              <w:rFonts w:hint="cs"/>
              <w:noProof/>
              <w:rtl/>
            </w:rPr>
            <w:t>، 2024)</w:t>
          </w:r>
          <w:r>
            <w:rPr>
              <w:rtl/>
            </w:rPr>
            <w:fldChar w:fldCharType="end"/>
          </w:r>
        </w:sdtContent>
      </w:sdt>
      <w:r>
        <w:rPr>
          <w:rFonts w:hint="cs"/>
          <w:rtl/>
        </w:rPr>
        <w:t>.</w:t>
      </w:r>
    </w:p>
    <w:p w14:paraId="67CF8667" w14:textId="77777777" w:rsidR="00B500F9" w:rsidRDefault="00B500F9" w:rsidP="00B500F9">
      <w:pPr>
        <w:pStyle w:val="NoSpacing"/>
        <w:rPr>
          <w:rtl/>
        </w:rPr>
      </w:pPr>
    </w:p>
    <w:p w14:paraId="1F63FD7A" w14:textId="77777777" w:rsidR="00B500F9" w:rsidRPr="003053B8" w:rsidRDefault="00B500F9" w:rsidP="00B500F9">
      <w:pPr>
        <w:pStyle w:val="NoSpacing"/>
        <w:numPr>
          <w:ilvl w:val="0"/>
          <w:numId w:val="2"/>
        </w:numPr>
        <w:spacing w:after="160"/>
        <w:rPr>
          <w:b/>
          <w:bCs/>
          <w:rtl/>
        </w:rPr>
      </w:pPr>
      <w:r w:rsidRPr="003053B8">
        <w:rPr>
          <w:b/>
          <w:bCs/>
          <w:rtl/>
        </w:rPr>
        <w:t xml:space="preserve">ثانياً، </w:t>
      </w:r>
      <w:r w:rsidRPr="003053B8">
        <w:rPr>
          <w:rFonts w:hint="cs"/>
          <w:b/>
          <w:bCs/>
          <w:rtl/>
        </w:rPr>
        <w:t>المشاكل</w:t>
      </w:r>
      <w:r w:rsidRPr="003053B8">
        <w:rPr>
          <w:b/>
          <w:bCs/>
          <w:rtl/>
        </w:rPr>
        <w:t xml:space="preserve"> الفرعية</w:t>
      </w:r>
    </w:p>
    <w:p w14:paraId="5A0005EA" w14:textId="77777777" w:rsidR="00B500F9" w:rsidRPr="003053B8" w:rsidRDefault="00B500F9" w:rsidP="00B500F9">
      <w:pPr>
        <w:pStyle w:val="NoSpacing"/>
        <w:numPr>
          <w:ilvl w:val="0"/>
          <w:numId w:val="3"/>
        </w:numPr>
        <w:spacing w:after="160"/>
        <w:rPr>
          <w:b/>
          <w:bCs/>
          <w:rtl/>
        </w:rPr>
      </w:pPr>
      <w:r w:rsidRPr="003053B8">
        <w:rPr>
          <w:b/>
          <w:bCs/>
          <w:rtl/>
        </w:rPr>
        <w:t>إن المعرفة المؤسسية بأهمية إدارة المخاطر البيئية ضعيفة أو غير كافية.</w:t>
      </w:r>
    </w:p>
    <w:p w14:paraId="4DEFBE9E" w14:textId="61901DC3" w:rsidR="00B500F9" w:rsidRDefault="00B500F9" w:rsidP="00B500F9">
      <w:pPr>
        <w:pStyle w:val="NoSpacing"/>
        <w:rPr>
          <w:rtl/>
        </w:rPr>
      </w:pPr>
      <w:r>
        <w:rPr>
          <w:rtl/>
        </w:rPr>
        <w:t>الاهتمام بوضع سياسات وخطط واضحة لإدارة المخاطر البيئية، إذ لا تزال بعض المؤسسات تعتبرها قضايا ثانوية لا تؤثر بشكل مباشر على العمليات اليومية أو الأرباح. وقد يكون غياب الثقافة البيئية لدى الإدارة والموظفين، أو الجهل بالعلاقة الواضحة بين المخاطر البيئية واستدامة المؤسسة على المدى الطويل، سببًا في هذا النقص في الوعي. فعندما تظهر أزمات بيئية غير متوقعة، قد يؤدي تجاهل هذه المخاطر أو التقليل من أهميتها إلى خسائر مالية فادحة، ويضر بسمعة الشركة لدى المستثمرين والعملاء</w:t>
      </w:r>
      <w:sdt>
        <w:sdtPr>
          <w:rPr>
            <w:rtl/>
          </w:rPr>
          <w:id w:val="19134811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Asi21 \l 3073</w:instrText>
          </w:r>
          <w:r>
            <w:rPr>
              <w:rtl/>
            </w:rPr>
            <w:instrText xml:space="preserve"> </w:instrText>
          </w:r>
          <w:r>
            <w:rPr>
              <w:rtl/>
            </w:rPr>
            <w:fldChar w:fldCharType="separate"/>
          </w:r>
          <w:r>
            <w:rPr>
              <w:noProof/>
              <w:rtl/>
            </w:rPr>
            <w:t xml:space="preserve"> </w:t>
          </w:r>
          <w:r>
            <w:rPr>
              <w:rFonts w:hint="cs"/>
              <w:noProof/>
              <w:rtl/>
            </w:rPr>
            <w:t>(</w:t>
          </w:r>
          <w:r>
            <w:rPr>
              <w:rFonts w:hint="cs"/>
              <w:noProof/>
            </w:rPr>
            <w:t>Asibey</w:t>
          </w:r>
          <w:r>
            <w:rPr>
              <w:rFonts w:hint="cs"/>
              <w:noProof/>
              <w:rtl/>
            </w:rPr>
            <w:t>، 2021)</w:t>
          </w:r>
          <w:r>
            <w:rPr>
              <w:rtl/>
            </w:rPr>
            <w:fldChar w:fldCharType="end"/>
          </w:r>
        </w:sdtContent>
      </w:sdt>
      <w:r>
        <w:rPr>
          <w:rtl/>
        </w:rPr>
        <w:t>.</w:t>
      </w:r>
    </w:p>
    <w:p w14:paraId="0170A0B9" w14:textId="77777777" w:rsidR="00B500F9" w:rsidRPr="003053B8" w:rsidRDefault="00B500F9" w:rsidP="00B500F9">
      <w:pPr>
        <w:pStyle w:val="NoSpacing"/>
        <w:numPr>
          <w:ilvl w:val="0"/>
          <w:numId w:val="3"/>
        </w:numPr>
        <w:spacing w:after="160"/>
        <w:rPr>
          <w:b/>
          <w:bCs/>
          <w:rtl/>
        </w:rPr>
      </w:pPr>
      <w:r w:rsidRPr="003053B8">
        <w:rPr>
          <w:b/>
          <w:bCs/>
          <w:rtl/>
        </w:rPr>
        <w:t>تفتقر إدارة المخاطر البيئية إلى الموارد والكفاءات المتخصصة.</w:t>
      </w:r>
    </w:p>
    <w:p w14:paraId="58D28D35" w14:textId="70D2A3FE" w:rsidR="00B500F9" w:rsidRDefault="00B500F9" w:rsidP="00B500F9">
      <w:pPr>
        <w:pStyle w:val="NoSpacing"/>
        <w:rPr>
          <w:rtl/>
        </w:rPr>
      </w:pPr>
      <w:r>
        <w:rPr>
          <w:rtl/>
        </w:rPr>
        <w:t>في مجال إدارة المخاطر البيئية، تواجه العديد من المؤسسات صعوبة في إيجاد موارد بشرية ماهرة ومتخصصة، مما يؤثر بشكل مباشر على قدرة المؤسسة على وضع خطط واستراتيجيات متكاملة. كما يؤدي نقص التمويل لهذا القطاع إلى نقص الاستثمارات في مبادرات تدريب الموظفين أو إنشاء الأطر الإدارية والفنية اللازمة. وتعجز المؤسسات عن توقع الكوارث البيئية أو الاستجابة لها بفعالية بسبب نقص الموارد والخبرة</w:t>
      </w:r>
      <w:sdt>
        <w:sdtPr>
          <w:rPr>
            <w:rtl/>
          </w:rPr>
          <w:id w:val="-65861475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Wel24 \l 3073</w:instrText>
          </w:r>
          <w:r>
            <w:rPr>
              <w:rtl/>
            </w:rPr>
            <w:instrText xml:space="preserve"> </w:instrText>
          </w:r>
          <w:r>
            <w:rPr>
              <w:rtl/>
            </w:rPr>
            <w:fldChar w:fldCharType="separate"/>
          </w:r>
          <w:r>
            <w:rPr>
              <w:noProof/>
              <w:rtl/>
            </w:rPr>
            <w:t xml:space="preserve"> </w:t>
          </w:r>
          <w:r>
            <w:rPr>
              <w:rFonts w:hint="cs"/>
              <w:noProof/>
              <w:rtl/>
            </w:rPr>
            <w:t>(</w:t>
          </w:r>
          <w:r>
            <w:rPr>
              <w:rFonts w:hint="cs"/>
              <w:noProof/>
            </w:rPr>
            <w:t>Weld-Ali</w:t>
          </w:r>
          <w:r>
            <w:rPr>
              <w:rFonts w:hint="cs"/>
              <w:noProof/>
              <w:rtl/>
            </w:rPr>
            <w:t>، 2024)</w:t>
          </w:r>
          <w:r>
            <w:rPr>
              <w:rtl/>
            </w:rPr>
            <w:fldChar w:fldCharType="end"/>
          </w:r>
        </w:sdtContent>
      </w:sdt>
      <w:r>
        <w:rPr>
          <w:rtl/>
        </w:rPr>
        <w:t>.</w:t>
      </w:r>
    </w:p>
    <w:p w14:paraId="20800658" w14:textId="77777777" w:rsidR="00B500F9" w:rsidRPr="003053B8" w:rsidRDefault="00B500F9" w:rsidP="00B500F9">
      <w:pPr>
        <w:pStyle w:val="NoSpacing"/>
        <w:numPr>
          <w:ilvl w:val="0"/>
          <w:numId w:val="3"/>
        </w:numPr>
        <w:spacing w:after="160"/>
        <w:rPr>
          <w:b/>
          <w:bCs/>
          <w:rtl/>
        </w:rPr>
      </w:pPr>
      <w:r w:rsidRPr="003053B8">
        <w:rPr>
          <w:b/>
          <w:bCs/>
          <w:rtl/>
        </w:rPr>
        <w:t>العقبات التنظيمية والقانونية</w:t>
      </w:r>
    </w:p>
    <w:p w14:paraId="6A8025F9" w14:textId="77777777" w:rsidR="00B500F9" w:rsidRDefault="00B500F9" w:rsidP="00B500F9">
      <w:pPr>
        <w:pStyle w:val="NoSpacing"/>
        <w:rPr>
          <w:rtl/>
        </w:rPr>
      </w:pPr>
      <w:r>
        <w:rPr>
          <w:rtl/>
        </w:rPr>
        <w:t>على الرغم من أن المملكة العربية السعودية لديها قوانين ولوائح بيئية صريحة، إلا أن بعض المؤسسات تواجه صعوبة في الالتزام الكامل بها. وقد يكون تعقيد بعض العمليات أو غياب المشورة المفيدة لمساعدة الشركات على فهم المتطلبات القانونية وتطبيقها بأقصى فعالية ممكنة سببًا لهذه التحديات. علاوة على ذلك، في بعض الحالات، قد يؤدي ضعف الرقابة والمتابعة إلى عدم امتثال الشركات بشكل كامل، مما يزيد من احتمال تعرضها لمخاطر قانونية وبيئية قد تُهدد استقرارها.</w:t>
      </w:r>
    </w:p>
    <w:p w14:paraId="513DB0A6" w14:textId="77777777" w:rsidR="00B500F9" w:rsidRPr="003053B8" w:rsidRDefault="00B500F9" w:rsidP="00B500F9">
      <w:pPr>
        <w:pStyle w:val="NoSpacing"/>
        <w:numPr>
          <w:ilvl w:val="0"/>
          <w:numId w:val="3"/>
        </w:numPr>
        <w:spacing w:after="160"/>
        <w:rPr>
          <w:b/>
          <w:bCs/>
          <w:rtl/>
        </w:rPr>
      </w:pPr>
      <w:r w:rsidRPr="003053B8">
        <w:rPr>
          <w:b/>
          <w:bCs/>
          <w:rtl/>
        </w:rPr>
        <w:t>الاستخدام غير الكافي للتقنيات الحديثة في تقييم وإدارة المخاطر البيئية</w:t>
      </w:r>
    </w:p>
    <w:p w14:paraId="46AEBF6C" w14:textId="77777777" w:rsidR="00B500F9" w:rsidRDefault="00B500F9" w:rsidP="00B500F9">
      <w:pPr>
        <w:pStyle w:val="NoSpacing"/>
        <w:rPr>
          <w:rtl/>
        </w:rPr>
      </w:pPr>
      <w:r>
        <w:rPr>
          <w:rtl/>
        </w:rPr>
        <w:t xml:space="preserve">لا يزال استخدام التقنيات الحديثة، مثل الذكاء الاصطناعي وإنترنت الأشياء وأنظمة التحليل البيئي وتقنيات الاستشعار عن بُعد، محدودًا في العديد من المؤسسات السعودية، على الرغم من التطورات التكنولوجية الملحوظة. يُصعّب هذا الخلل </w:t>
      </w:r>
      <w:r>
        <w:rPr>
          <w:rtl/>
        </w:rPr>
        <w:lastRenderedPageBreak/>
        <w:t>جمع البيانات البيئية الموثوقة وتقييمها باستمرار، مما يُصعّب التنبؤ بحالات الطوارئ البيئية المحتملة أو التعامل معها بشكل استباقي. تُصبح المؤسسات أكثر عرضة للخسائر في حال وقوع أحداث بيئية غير متوقعة في حال غياب هذه التقنيات المتطورة</w:t>
      </w:r>
      <w:sdt>
        <w:sdtPr>
          <w:rPr>
            <w:rtl/>
          </w:rPr>
          <w:id w:val="-181301732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Ale251 \l 3073</w:instrText>
          </w:r>
          <w:r>
            <w:rPr>
              <w:rtl/>
            </w:rPr>
            <w:instrText xml:space="preserve"> </w:instrText>
          </w:r>
          <w:r>
            <w:rPr>
              <w:rtl/>
            </w:rPr>
            <w:fldChar w:fldCharType="separate"/>
          </w:r>
          <w:r>
            <w:rPr>
              <w:noProof/>
              <w:rtl/>
            </w:rPr>
            <w:t xml:space="preserve"> </w:t>
          </w:r>
          <w:r>
            <w:rPr>
              <w:rFonts w:hint="cs"/>
              <w:noProof/>
              <w:rtl/>
            </w:rPr>
            <w:t>(</w:t>
          </w:r>
          <w:r>
            <w:rPr>
              <w:rFonts w:hint="cs"/>
              <w:noProof/>
            </w:rPr>
            <w:t>Alexandra</w:t>
          </w:r>
          <w:r>
            <w:rPr>
              <w:rFonts w:hint="cs"/>
              <w:noProof/>
              <w:rtl/>
            </w:rPr>
            <w:t>، 2025)</w:t>
          </w:r>
          <w:r>
            <w:rPr>
              <w:rtl/>
            </w:rPr>
            <w:fldChar w:fldCharType="end"/>
          </w:r>
        </w:sdtContent>
      </w:sdt>
      <w:r>
        <w:rPr>
          <w:rtl/>
        </w:rPr>
        <w:t>.</w:t>
      </w:r>
    </w:p>
    <w:p w14:paraId="38F27A63" w14:textId="77777777" w:rsidR="00B500F9" w:rsidRPr="003053B8" w:rsidRDefault="00B500F9" w:rsidP="00B500F9">
      <w:pPr>
        <w:pStyle w:val="NoSpacing"/>
        <w:numPr>
          <w:ilvl w:val="0"/>
          <w:numId w:val="3"/>
        </w:numPr>
        <w:spacing w:after="160"/>
        <w:rPr>
          <w:b/>
          <w:bCs/>
          <w:rtl/>
        </w:rPr>
      </w:pPr>
      <w:r w:rsidRPr="003053B8">
        <w:rPr>
          <w:b/>
          <w:bCs/>
          <w:rtl/>
        </w:rPr>
        <w:t>التكلفة الباهظة لتطبيق ممارسات إدارة المخاطر البيئية والاستدامة</w:t>
      </w:r>
    </w:p>
    <w:p w14:paraId="494DEDDF" w14:textId="77777777" w:rsidR="00B500F9" w:rsidRPr="003053B8" w:rsidRDefault="00B500F9" w:rsidP="00B500F9">
      <w:pPr>
        <w:pStyle w:val="NoSpacing"/>
        <w:rPr>
          <w:rtl/>
        </w:rPr>
      </w:pPr>
      <w:r>
        <w:rPr>
          <w:rtl/>
        </w:rPr>
        <w:t>يُعدّ ارتفاع تكلفة تبني تدابير الاستدامة البيئية من أكبر التحديات التي تواجه الشركات، وخاصةً الصغيرة والمتوسطة ذات التمويل المحدود. يتطلب تبني الحلول البيئية المعاصرة، مثل تقنيات خفض الانبعاثات أو أنظمة الطاقة المتجددة، تكاليف مالية باهظة قد لا تعتقد بعض الشركات أنها ستؤتي ثمارها فورًا. وغالبًا ما تُهمل السياسات البيئية الفعالة أو تتأخر نتيجةً لهذا التوجه، مما يزيد من المخاطر التي قد تواجهها الشركة في المستقبل، سواءً أكانت تشغيلية أم قانونية أم حتى متعلقة بسمعتها</w:t>
      </w:r>
      <w:sdt>
        <w:sdtPr>
          <w:rPr>
            <w:rtl/>
          </w:rPr>
          <w:id w:val="188706134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Bas24 \l 3073</w:instrText>
          </w:r>
          <w:r>
            <w:rPr>
              <w:rtl/>
            </w:rPr>
            <w:instrText xml:space="preserve"> </w:instrText>
          </w:r>
          <w:r>
            <w:rPr>
              <w:rtl/>
            </w:rPr>
            <w:fldChar w:fldCharType="separate"/>
          </w:r>
          <w:r>
            <w:rPr>
              <w:noProof/>
              <w:rtl/>
            </w:rPr>
            <w:t xml:space="preserve"> </w:t>
          </w:r>
          <w:r>
            <w:rPr>
              <w:rFonts w:hint="cs"/>
              <w:noProof/>
              <w:rtl/>
            </w:rPr>
            <w:t>(</w:t>
          </w:r>
          <w:r>
            <w:rPr>
              <w:rFonts w:hint="cs"/>
              <w:noProof/>
            </w:rPr>
            <w:t>Basit</w:t>
          </w:r>
          <w:r>
            <w:rPr>
              <w:rFonts w:hint="cs"/>
              <w:noProof/>
              <w:rtl/>
            </w:rPr>
            <w:t>، 2024)</w:t>
          </w:r>
          <w:r>
            <w:rPr>
              <w:rtl/>
            </w:rPr>
            <w:fldChar w:fldCharType="end"/>
          </w:r>
        </w:sdtContent>
      </w:sdt>
      <w:r>
        <w:rPr>
          <w:rtl/>
        </w:rPr>
        <w:t>.</w:t>
      </w:r>
    </w:p>
    <w:p w14:paraId="4DAB6FE8" w14:textId="77777777" w:rsidR="00B500F9" w:rsidRPr="00E06C68" w:rsidRDefault="00B500F9" w:rsidP="00B500F9">
      <w:pPr>
        <w:spacing w:after="0" w:line="360" w:lineRule="auto"/>
        <w:rPr>
          <w:rFonts w:ascii="Sakkal Majalla" w:hAnsi="Sakkal Majalla" w:cs="Sakkal Majalla"/>
          <w:sz w:val="28"/>
          <w:szCs w:val="28"/>
          <w:rtl/>
          <w:lang w:bidi="ar-EG"/>
        </w:rPr>
      </w:pPr>
    </w:p>
    <w:p w14:paraId="44F106B3" w14:textId="77777777" w:rsidR="00B500F9" w:rsidRDefault="00B500F9" w:rsidP="00B500F9">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6D9ADEAF" w14:textId="77777777" w:rsidR="00B500F9" w:rsidRPr="005C129F" w:rsidRDefault="00B500F9" w:rsidP="00B500F9">
      <w:pPr>
        <w:pStyle w:val="NoSpacing"/>
        <w:numPr>
          <w:ilvl w:val="0"/>
          <w:numId w:val="4"/>
        </w:numPr>
        <w:spacing w:after="160"/>
        <w:rPr>
          <w:b/>
          <w:bCs/>
          <w:rtl/>
        </w:rPr>
      </w:pPr>
      <w:r w:rsidRPr="005C129F">
        <w:rPr>
          <w:b/>
          <w:bCs/>
          <w:rtl/>
        </w:rPr>
        <w:t>أولاً: الأهمية العلمية</w:t>
      </w:r>
    </w:p>
    <w:p w14:paraId="695DE1B9" w14:textId="5BEA4587" w:rsidR="00B500F9" w:rsidRPr="00C6775C" w:rsidRDefault="00B500F9" w:rsidP="00B500F9">
      <w:pPr>
        <w:pStyle w:val="NoSpacing"/>
        <w:rPr>
          <w:rtl/>
        </w:rPr>
      </w:pPr>
      <w:r w:rsidRPr="00C6775C">
        <w:rPr>
          <w:rtl/>
        </w:rPr>
        <w:t>نظراً لمعالجتها لموضوع إدارة المخاطر البيئية، وهو موضوع بالغ الأهمية في البيئة الاقتصادية المعاصرة في المملكة العربية السعودية، تكتسب هذه الدراسة أهمية بالغة من الناحية العلمية. ولا تزال هناك حاجة إلى مزيد من الدراسات والبحوث حول هذا الموضوع. فالمخاطر البيئية تؤثر بشكل مباشر على استدامة المؤسسات واستمراريتها، إلا أن عدد الدراسات المحلية التي تناولت هذا الموضوع بعمق لا يزال محدوداً مقارنةً بنطاق القضايا البيئية المتنامية. ومن خلال تقديم دراسة شاملة للوضع الراهن للمؤسسات في هذا المجال، تُسهم هذه الدراسة في سدّ فجوة معرفية.</w:t>
      </w:r>
    </w:p>
    <w:p w14:paraId="51A963AD" w14:textId="77777777" w:rsidR="00B500F9" w:rsidRPr="00C6775C" w:rsidRDefault="00B500F9" w:rsidP="00B500F9">
      <w:pPr>
        <w:pStyle w:val="NoSpacing"/>
        <w:rPr>
          <w:rtl/>
        </w:rPr>
      </w:pPr>
      <w:r w:rsidRPr="00C6775C">
        <w:rPr>
          <w:rtl/>
        </w:rPr>
        <w:t>ولأنها تُوضح طبيعة العلاقة بين إدارة المخاطر البيئية وتحقيق الأداء المؤسسي المستدام، تُساعد الدراسة أيضاً في بناء إطار نظري متكامل يُمكن الاعتماد عليه لتطوير أبحاث مستقبلية، سواءً في المملكة أو في المنطقة العربية ككل. كما أنها تُساعد الباحثين على فهم أفضل لكيفية تأثير ثقافة العمل، والامتثال القانوني، والموارد البشرية، والتكنولوجيا، على مدى فعالية تطبيق تقنيات إدارة المخاطر البيئية. تكتسب هذه الدراسة العلمية أهميتها من خلال توفيرها قاعدة معرفية يمكن للباحثين الأكاديميين الاسترشاد بها عند معالجة قضايا الحوكمة البيئية والاجتماعية والاقتصادية (</w:t>
      </w:r>
      <w:r w:rsidRPr="00C6775C">
        <w:t>ESG</w:t>
      </w:r>
      <w:r w:rsidRPr="00C6775C">
        <w:rPr>
          <w:rtl/>
        </w:rPr>
        <w:t>) وربطها بالتحديات الإقليمية التي تواجهها المؤسسات</w:t>
      </w:r>
      <w:sdt>
        <w:sdtPr>
          <w:rPr>
            <w:rtl/>
          </w:rPr>
          <w:id w:val="-475611720"/>
          <w:citation/>
        </w:sdtPr>
        <w:sdtEndPr/>
        <w:sdtContent>
          <w:r w:rsidRPr="00C6775C">
            <w:rPr>
              <w:rtl/>
            </w:rPr>
            <w:fldChar w:fldCharType="begin"/>
          </w:r>
          <w:r w:rsidRPr="00C6775C">
            <w:rPr>
              <w:rtl/>
            </w:rPr>
            <w:instrText xml:space="preserve"> </w:instrText>
          </w:r>
          <w:r w:rsidRPr="00C6775C">
            <w:rPr>
              <w:rFonts w:hint="cs"/>
            </w:rPr>
            <w:instrText>CITATION</w:instrText>
          </w:r>
          <w:r w:rsidRPr="00C6775C">
            <w:rPr>
              <w:rFonts w:hint="cs"/>
              <w:rtl/>
            </w:rPr>
            <w:instrText xml:space="preserve"> </w:instrText>
          </w:r>
          <w:r w:rsidRPr="00C6775C">
            <w:rPr>
              <w:rFonts w:hint="cs"/>
            </w:rPr>
            <w:instrText>Ala258 \l 3073</w:instrText>
          </w:r>
          <w:r w:rsidRPr="00C6775C">
            <w:rPr>
              <w:rtl/>
            </w:rPr>
            <w:instrText xml:space="preserve"> </w:instrText>
          </w:r>
          <w:r w:rsidRPr="00C6775C">
            <w:rPr>
              <w:rtl/>
            </w:rPr>
            <w:fldChar w:fldCharType="separate"/>
          </w:r>
          <w:r>
            <w:rPr>
              <w:noProof/>
              <w:rtl/>
            </w:rPr>
            <w:t xml:space="preserve"> </w:t>
          </w:r>
          <w:r>
            <w:rPr>
              <w:rFonts w:hint="cs"/>
              <w:noProof/>
              <w:rtl/>
            </w:rPr>
            <w:t>(</w:t>
          </w:r>
          <w:r>
            <w:rPr>
              <w:rFonts w:hint="cs"/>
              <w:noProof/>
            </w:rPr>
            <w:t>Alayed</w:t>
          </w:r>
          <w:r>
            <w:rPr>
              <w:rFonts w:hint="cs"/>
              <w:noProof/>
              <w:rtl/>
            </w:rPr>
            <w:t>، 2025)</w:t>
          </w:r>
          <w:r w:rsidRPr="00C6775C">
            <w:rPr>
              <w:rtl/>
            </w:rPr>
            <w:fldChar w:fldCharType="end"/>
          </w:r>
        </w:sdtContent>
      </w:sdt>
      <w:r w:rsidRPr="00C6775C">
        <w:rPr>
          <w:rtl/>
        </w:rPr>
        <w:t>.</w:t>
      </w:r>
    </w:p>
    <w:p w14:paraId="6A61CC25" w14:textId="77777777" w:rsidR="00B500F9" w:rsidRDefault="00B500F9" w:rsidP="00B500F9">
      <w:pPr>
        <w:pStyle w:val="NoSpacing"/>
        <w:rPr>
          <w:rtl/>
        </w:rPr>
      </w:pPr>
      <w:r>
        <w:rPr>
          <w:rtl/>
        </w:rPr>
        <w:lastRenderedPageBreak/>
        <w:t>يساهم النموذج التحليلي للدراسة، والذي يُمكن استخدامه لمقارنة واقع المؤسسات السعودية بواقع الدول الأخرى، في فهم أفضل لكيفية تأثير العوامل التنظيمية والثقافية والبيئية على تطبيق استراتيجيات إدارة المخاطر البيئية. وهذه أيضًا إحدى الجوانب التي تكتسب فيها الدراسة أهمية علمية. إذ يُتيح هذا الجانب المقارن إمكانية التوصل إلى استنتاجات قابلة للتطبيق في سياقات مؤسسية أخرى تتعامل مع قضايا مماثلة، مما يُضيف قيمة علمية للدراسة</w:t>
      </w:r>
      <w:sdt>
        <w:sdtPr>
          <w:rPr>
            <w:rtl/>
          </w:rPr>
          <w:id w:val="71193546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Taz25 \l 3073</w:instrText>
          </w:r>
          <w:r>
            <w:rPr>
              <w:rtl/>
            </w:rPr>
            <w:instrText xml:space="preserve"> </w:instrText>
          </w:r>
          <w:r>
            <w:rPr>
              <w:rtl/>
            </w:rPr>
            <w:fldChar w:fldCharType="separate"/>
          </w:r>
          <w:r>
            <w:rPr>
              <w:noProof/>
              <w:rtl/>
            </w:rPr>
            <w:t xml:space="preserve"> </w:t>
          </w:r>
          <w:r>
            <w:rPr>
              <w:rFonts w:hint="cs"/>
              <w:noProof/>
              <w:rtl/>
            </w:rPr>
            <w:t>(</w:t>
          </w:r>
          <w:r>
            <w:rPr>
              <w:rFonts w:hint="cs"/>
              <w:noProof/>
            </w:rPr>
            <w:t>Tazikeh</w:t>
          </w:r>
          <w:r>
            <w:rPr>
              <w:rFonts w:hint="cs"/>
              <w:noProof/>
              <w:rtl/>
            </w:rPr>
            <w:t>، 2025)</w:t>
          </w:r>
          <w:r>
            <w:rPr>
              <w:rtl/>
            </w:rPr>
            <w:fldChar w:fldCharType="end"/>
          </w:r>
        </w:sdtContent>
      </w:sdt>
      <w:r>
        <w:rPr>
          <w:rtl/>
        </w:rPr>
        <w:t>.</w:t>
      </w:r>
    </w:p>
    <w:p w14:paraId="44E1A1A6" w14:textId="77777777" w:rsidR="00B500F9" w:rsidRDefault="00B500F9" w:rsidP="00B500F9">
      <w:pPr>
        <w:pStyle w:val="NoSpacing"/>
        <w:rPr>
          <w:rtl/>
        </w:rPr>
      </w:pPr>
    </w:p>
    <w:p w14:paraId="1F0340F6" w14:textId="77777777" w:rsidR="00B500F9" w:rsidRPr="005C129F" w:rsidRDefault="00B500F9" w:rsidP="00B500F9">
      <w:pPr>
        <w:pStyle w:val="NoSpacing"/>
        <w:numPr>
          <w:ilvl w:val="0"/>
          <w:numId w:val="4"/>
        </w:numPr>
        <w:spacing w:after="160"/>
        <w:rPr>
          <w:b/>
          <w:bCs/>
          <w:rtl/>
        </w:rPr>
      </w:pPr>
      <w:r w:rsidRPr="005C129F">
        <w:rPr>
          <w:b/>
          <w:bCs/>
          <w:rtl/>
        </w:rPr>
        <w:t>ثانيًا: الأهمية العملية</w:t>
      </w:r>
    </w:p>
    <w:p w14:paraId="53DE41E2" w14:textId="10BA4BF2" w:rsidR="00B500F9" w:rsidRDefault="00B500F9" w:rsidP="00B500F9">
      <w:pPr>
        <w:pStyle w:val="NoSpacing"/>
        <w:rPr>
          <w:rtl/>
        </w:rPr>
      </w:pPr>
      <w:r>
        <w:rPr>
          <w:rtl/>
        </w:rPr>
        <w:t>الأهمية العملية للدراسة من قدرتها على زيادة المعرفة المؤسسية داخل المؤسسات السعودية بأهمية تمويل التقنيات الحديثة لإدارة المخاطر البيئية، بما في ذلك تحليلات البيانات، وإنترنت الأشياء، وأنظمة الإنذار المبكر. كما ستساعد الدراسة في التأكيد على أهمية تأهيل الموارد البشرية وتطوير خبراتها في هذا المجال من أجل تكوين فرق قادرة على التعامل بفعالية مع المخاوف البيئية.</w:t>
      </w:r>
    </w:p>
    <w:p w14:paraId="10926C3F" w14:textId="77777777" w:rsidR="00B500F9" w:rsidRPr="005C129F" w:rsidRDefault="00B500F9" w:rsidP="00B500F9">
      <w:pPr>
        <w:pStyle w:val="NoSpacing"/>
        <w:rPr>
          <w:rtl/>
        </w:rPr>
      </w:pPr>
      <w:r>
        <w:rPr>
          <w:rtl/>
        </w:rPr>
        <w:t>تتجاوز الآثار العملية للدراسة حدود المؤسسات؛ سيستفيد المستثمرون أيضًا من نتائجها عند تقييمهم للمخاطر التي ينطوي عليها الاستثمار في قطاعات معينة في المملكة. باختيارهم سلعًا وخدمات تلتزم بالمعايير البيئية، يُمكن للمستهلكين أيضًا ممارسة دورهم التنظيمي غير المباشر وزيادة وعيهم بالأداء البيئي للمؤسسات. وهكذا، تُصبح الدراسة أداةً تدعم المسؤولية الاجتماعية للشركات وتعزز الروابط بين المؤسسات والمجتمع</w:t>
      </w:r>
      <w:sdt>
        <w:sdtPr>
          <w:rPr>
            <w:rtl/>
          </w:rPr>
          <w:id w:val="146006744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Oko25 \l 3073</w:instrText>
          </w:r>
          <w:r>
            <w:rPr>
              <w:rtl/>
            </w:rPr>
            <w:instrText xml:space="preserve"> </w:instrText>
          </w:r>
          <w:r>
            <w:rPr>
              <w:rtl/>
            </w:rPr>
            <w:fldChar w:fldCharType="separate"/>
          </w:r>
          <w:r>
            <w:rPr>
              <w:noProof/>
              <w:rtl/>
            </w:rPr>
            <w:t xml:space="preserve"> </w:t>
          </w:r>
          <w:r>
            <w:rPr>
              <w:rFonts w:hint="cs"/>
              <w:noProof/>
              <w:rtl/>
            </w:rPr>
            <w:t>(</w:t>
          </w:r>
          <w:r>
            <w:rPr>
              <w:rFonts w:hint="cs"/>
              <w:noProof/>
            </w:rPr>
            <w:t>Oko-Odion</w:t>
          </w:r>
          <w:r>
            <w:rPr>
              <w:rFonts w:hint="cs"/>
              <w:noProof/>
              <w:rtl/>
            </w:rPr>
            <w:t>، 2025)</w:t>
          </w:r>
          <w:r>
            <w:rPr>
              <w:rtl/>
            </w:rPr>
            <w:fldChar w:fldCharType="end"/>
          </w:r>
        </w:sdtContent>
      </w:sdt>
      <w:r>
        <w:rPr>
          <w:rtl/>
        </w:rPr>
        <w:t>.</w:t>
      </w:r>
    </w:p>
    <w:p w14:paraId="5C4F6B00" w14:textId="77777777" w:rsidR="00B500F9" w:rsidRPr="007A310C" w:rsidRDefault="00B500F9" w:rsidP="00B500F9">
      <w:pPr>
        <w:pStyle w:val="NoSpacing"/>
        <w:rPr>
          <w:rtl/>
        </w:rPr>
      </w:pPr>
    </w:p>
    <w:p w14:paraId="6DC8CF17" w14:textId="77777777" w:rsidR="00B500F9" w:rsidRPr="00201BD2" w:rsidRDefault="00B500F9" w:rsidP="00B500F9">
      <w:pPr>
        <w:pStyle w:val="NoSpacing"/>
      </w:pPr>
    </w:p>
    <w:p w14:paraId="4BBD9B5E" w14:textId="77777777" w:rsidR="00B500F9" w:rsidRPr="00DE5E70" w:rsidRDefault="00B500F9" w:rsidP="00B500F9">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43FE4249" w14:textId="77777777" w:rsidR="00B500F9" w:rsidRPr="00C6775C" w:rsidRDefault="00B500F9" w:rsidP="00B500F9">
      <w:pPr>
        <w:pStyle w:val="NoSpacing"/>
        <w:numPr>
          <w:ilvl w:val="0"/>
          <w:numId w:val="7"/>
        </w:numPr>
        <w:spacing w:after="160"/>
        <w:rPr>
          <w:b/>
          <w:bCs/>
          <w:rtl/>
        </w:rPr>
      </w:pPr>
      <w:r w:rsidRPr="008971D2">
        <w:rPr>
          <w:b/>
          <w:bCs/>
          <w:rtl/>
          <w:lang w:bidi="ar-SA"/>
        </w:rPr>
        <w:t>أولاً: الهدف الأساسي</w:t>
      </w:r>
    </w:p>
    <w:p w14:paraId="0C41BBE5" w14:textId="77777777" w:rsidR="00B500F9" w:rsidRDefault="00B500F9" w:rsidP="00B500F9">
      <w:pPr>
        <w:pStyle w:val="NoSpacing"/>
        <w:rPr>
          <w:rtl/>
        </w:rPr>
      </w:pPr>
      <w:r w:rsidRPr="00194DB2">
        <w:rPr>
          <w:rtl/>
        </w:rPr>
        <w:t>تهدف هذه الدراسة إلى تحليل واقع إدارة المخاطر البيئية في بيئة الأعمال المعاصرة في المملكة العربية السعودية، وذلك من خلال تحديد مدى تبني المؤسسات لاستراتيجيات شاملة وناجحة لإدارة المخاطر البيئية، ورصد أهم المعوقات التي تحول دون تطبيقها. كما تسعى الدراسة إلى وضع إطار عمل فعّال يساعد المؤسسات السعودية على تعزيز قدرتها في التعامل مع المخاطر البيئية المختلفة، بما يسهم في تحقيق مبادئ الاستدامة ورفع مستوى تنافسيتها في الأسواق الإقليمية والدولية.</w:t>
      </w:r>
    </w:p>
    <w:p w14:paraId="50D1FDB5" w14:textId="77777777" w:rsidR="00B500F9" w:rsidRPr="00194DB2" w:rsidRDefault="00B500F9" w:rsidP="00B500F9">
      <w:pPr>
        <w:pStyle w:val="NoSpacing"/>
        <w:numPr>
          <w:ilvl w:val="0"/>
          <w:numId w:val="6"/>
        </w:numPr>
        <w:spacing w:after="160"/>
        <w:rPr>
          <w:b/>
          <w:bCs/>
          <w:rtl/>
        </w:rPr>
      </w:pPr>
      <w:r w:rsidRPr="00194DB2">
        <w:rPr>
          <w:b/>
          <w:bCs/>
          <w:rtl/>
        </w:rPr>
        <w:t>ثانياً: الأهداف الفرعية</w:t>
      </w:r>
    </w:p>
    <w:p w14:paraId="22FEE777" w14:textId="77777777" w:rsidR="00B500F9" w:rsidRPr="00194DB2" w:rsidRDefault="00B500F9" w:rsidP="00B500F9">
      <w:pPr>
        <w:pStyle w:val="NoSpacing"/>
        <w:numPr>
          <w:ilvl w:val="0"/>
          <w:numId w:val="5"/>
        </w:numPr>
        <w:spacing w:after="160"/>
        <w:rPr>
          <w:b/>
          <w:bCs/>
          <w:rtl/>
        </w:rPr>
      </w:pPr>
      <w:r w:rsidRPr="00194DB2">
        <w:rPr>
          <w:b/>
          <w:bCs/>
          <w:rtl/>
        </w:rPr>
        <w:lastRenderedPageBreak/>
        <w:t>تقييم مدى فهم المؤسسات لأهمية إدارة المخاطر البيئية:</w:t>
      </w:r>
    </w:p>
    <w:p w14:paraId="28028A7C" w14:textId="77777777" w:rsidR="00B500F9" w:rsidRDefault="00B500F9" w:rsidP="00B500F9">
      <w:pPr>
        <w:pStyle w:val="NoSpacing"/>
        <w:rPr>
          <w:rtl/>
        </w:rPr>
      </w:pPr>
      <w:r>
        <w:rPr>
          <w:rtl/>
        </w:rPr>
        <w:t>يركز هذا الهدف على تحديد مستوى وعي القيادات الإدارية والعاملين في المؤسسات السعودية بأهمية المخاطر البيئية وتأثيرها المباشر على استدامة المؤسسة، ومدى انعكاس هذا الفهم على صياغة السياسات والاستراتيجيات الداخلية.</w:t>
      </w:r>
    </w:p>
    <w:p w14:paraId="0487911D" w14:textId="77777777" w:rsidR="00B500F9" w:rsidRPr="00194DB2" w:rsidRDefault="00B500F9" w:rsidP="00B500F9">
      <w:pPr>
        <w:pStyle w:val="NoSpacing"/>
        <w:numPr>
          <w:ilvl w:val="0"/>
          <w:numId w:val="5"/>
        </w:numPr>
        <w:spacing w:after="160"/>
        <w:rPr>
          <w:b/>
          <w:bCs/>
          <w:rtl/>
        </w:rPr>
      </w:pPr>
      <w:r w:rsidRPr="00194DB2">
        <w:rPr>
          <w:b/>
          <w:bCs/>
          <w:rtl/>
        </w:rPr>
        <w:t>التعرف على المعوقات الداخلية والخارجية التي تواجه المؤسسات عند تطبيق خطط إدارة المخاطر البيئية:</w:t>
      </w:r>
    </w:p>
    <w:p w14:paraId="5FD6C5BF" w14:textId="77777777" w:rsidR="00B500F9" w:rsidRDefault="00B500F9" w:rsidP="00B500F9">
      <w:pPr>
        <w:pStyle w:val="NoSpacing"/>
        <w:rPr>
          <w:rtl/>
        </w:rPr>
      </w:pPr>
      <w:r>
        <w:rPr>
          <w:rtl/>
        </w:rPr>
        <w:t>يتمثل هذا الهدف في رصد العوائق القانونية والتشريعية التي قد تعيق المؤسسات، إلى جانب التحديات المرتبطة بالموارد البشرية والمالية والتكنولوجية التي تحول دون تطبيق تقنيات إدارة المخاطر البيئية بشكل فعّال.</w:t>
      </w:r>
    </w:p>
    <w:p w14:paraId="4D6D23C7" w14:textId="77777777" w:rsidR="00B500F9" w:rsidRPr="00194DB2" w:rsidRDefault="00B500F9" w:rsidP="00B500F9">
      <w:pPr>
        <w:pStyle w:val="NoSpacing"/>
        <w:numPr>
          <w:ilvl w:val="0"/>
          <w:numId w:val="5"/>
        </w:numPr>
        <w:spacing w:after="160"/>
        <w:rPr>
          <w:b/>
          <w:bCs/>
          <w:rtl/>
        </w:rPr>
      </w:pPr>
      <w:r w:rsidRPr="00194DB2">
        <w:rPr>
          <w:b/>
          <w:bCs/>
          <w:rtl/>
        </w:rPr>
        <w:t>دراسة مدى استخدام التقنيات الحديثة في رصد وتقييم المخاطر البيئية:</w:t>
      </w:r>
    </w:p>
    <w:p w14:paraId="6F0258A4" w14:textId="77777777" w:rsidR="00B500F9" w:rsidRDefault="00B500F9" w:rsidP="00B500F9">
      <w:pPr>
        <w:pStyle w:val="NoSpacing"/>
        <w:rPr>
          <w:rtl/>
        </w:rPr>
      </w:pPr>
      <w:r>
        <w:rPr>
          <w:rtl/>
        </w:rPr>
        <w:t>يسعى هذا الهدف إلى التعرف على مستوى اعتماد المؤسسات السعودية على التقنيات الحديثة، مثل الذكاء الاصطناعي وإنترنت الأشياء وأنظمة التحليل البيئي، ودورها في تعزيز إجراءات إدارة المخاطر البيئية.</w:t>
      </w:r>
    </w:p>
    <w:p w14:paraId="480F7321" w14:textId="77777777" w:rsidR="00B500F9" w:rsidRPr="00194DB2" w:rsidRDefault="00B500F9" w:rsidP="00B500F9">
      <w:pPr>
        <w:pStyle w:val="NoSpacing"/>
        <w:numPr>
          <w:ilvl w:val="0"/>
          <w:numId w:val="5"/>
        </w:numPr>
        <w:spacing w:after="160"/>
        <w:rPr>
          <w:b/>
          <w:bCs/>
          <w:rtl/>
        </w:rPr>
      </w:pPr>
      <w:r w:rsidRPr="00194DB2">
        <w:rPr>
          <w:b/>
          <w:bCs/>
          <w:rtl/>
        </w:rPr>
        <w:t>تقييم التزام المؤسسات السعودية بالقوانين واللوائح البيئية الوطنية والدولية:</w:t>
      </w:r>
    </w:p>
    <w:p w14:paraId="13C09407" w14:textId="77777777" w:rsidR="00B500F9" w:rsidRDefault="00B500F9" w:rsidP="00B500F9">
      <w:pPr>
        <w:pStyle w:val="NoSpacing"/>
        <w:rPr>
          <w:rtl/>
        </w:rPr>
      </w:pPr>
      <w:r>
        <w:rPr>
          <w:rtl/>
        </w:rPr>
        <w:t>يركز هذا الهدف على تحديد مدى التزام المؤسسات بالقوانين والأنظمة البيئية المحلية والدولية، ومدى جاهزيتها للاستمرار في الامتثال لها بشكل مستدام.</w:t>
      </w:r>
    </w:p>
    <w:p w14:paraId="5DFB9E9E" w14:textId="77777777" w:rsidR="00B500F9" w:rsidRPr="00194DB2" w:rsidRDefault="00B500F9" w:rsidP="00B500F9">
      <w:pPr>
        <w:pStyle w:val="NoSpacing"/>
        <w:numPr>
          <w:ilvl w:val="0"/>
          <w:numId w:val="5"/>
        </w:numPr>
        <w:spacing w:after="160"/>
        <w:rPr>
          <w:b/>
          <w:bCs/>
          <w:rtl/>
        </w:rPr>
      </w:pPr>
      <w:r w:rsidRPr="00194DB2">
        <w:rPr>
          <w:b/>
          <w:bCs/>
          <w:rtl/>
        </w:rPr>
        <w:t>تقديم قائمة من الاقتراحات والأساليب العملية لتحسين إدارة المخاطر البيئية:</w:t>
      </w:r>
    </w:p>
    <w:p w14:paraId="1900F795" w14:textId="77777777" w:rsidR="00B500F9" w:rsidRDefault="00B500F9" w:rsidP="00B500F9">
      <w:pPr>
        <w:pStyle w:val="NoSpacing"/>
        <w:rPr>
          <w:rtl/>
        </w:rPr>
      </w:pPr>
      <w:r>
        <w:rPr>
          <w:rtl/>
        </w:rPr>
        <w:t>يهدف هذا الهدف إلى وضع حلول عملية للمؤسسات السعودية تساعدها على تعزيز فعاليتها في التعامل مع القضايا البيئية المختلفة، بما يتماشى مع معايير الاستدامة وأهداف رؤية المملكة 2030.</w:t>
      </w:r>
    </w:p>
    <w:p w14:paraId="5526BCFC" w14:textId="77777777" w:rsidR="00B500F9" w:rsidRPr="007A310C" w:rsidRDefault="00B500F9" w:rsidP="00B500F9">
      <w:pPr>
        <w:pStyle w:val="NoSpacing"/>
        <w:rPr>
          <w:rtl/>
        </w:rPr>
      </w:pPr>
    </w:p>
    <w:p w14:paraId="4A2CEFAE" w14:textId="77777777" w:rsidR="00B500F9" w:rsidRDefault="00B500F9" w:rsidP="00B500F9">
      <w:pPr>
        <w:pStyle w:val="Heading2"/>
        <w:rPr>
          <w:rtl/>
        </w:rPr>
      </w:pPr>
      <w:bookmarkStart w:id="19" w:name="_Toc171440858"/>
      <w:bookmarkStart w:id="20" w:name="_Toc191138773"/>
      <w:r w:rsidRPr="00DE5E70">
        <w:rPr>
          <w:rtl/>
        </w:rPr>
        <w:t>تساؤلات الدراسة:</w:t>
      </w:r>
      <w:bookmarkEnd w:id="17"/>
      <w:bookmarkEnd w:id="18"/>
      <w:bookmarkEnd w:id="19"/>
      <w:bookmarkEnd w:id="20"/>
    </w:p>
    <w:p w14:paraId="38F3C1C6" w14:textId="77777777" w:rsidR="00B500F9" w:rsidRPr="00403381" w:rsidRDefault="00B500F9" w:rsidP="00B500F9">
      <w:pPr>
        <w:pStyle w:val="NoSpacing"/>
        <w:numPr>
          <w:ilvl w:val="0"/>
          <w:numId w:val="8"/>
        </w:numPr>
        <w:spacing w:after="160"/>
        <w:rPr>
          <w:b/>
          <w:bCs/>
          <w:rtl/>
        </w:rPr>
      </w:pPr>
      <w:r w:rsidRPr="00403381">
        <w:rPr>
          <w:b/>
          <w:bCs/>
          <w:rtl/>
        </w:rPr>
        <w:t>أولاً: السؤال الأساسي</w:t>
      </w:r>
    </w:p>
    <w:p w14:paraId="7A5DA16B" w14:textId="77777777" w:rsidR="00B500F9" w:rsidRPr="00403381" w:rsidRDefault="00B500F9" w:rsidP="00B500F9">
      <w:pPr>
        <w:pStyle w:val="NoSpacing"/>
        <w:numPr>
          <w:ilvl w:val="0"/>
          <w:numId w:val="9"/>
        </w:numPr>
        <w:spacing w:after="160"/>
        <w:rPr>
          <w:rtl/>
        </w:rPr>
      </w:pPr>
      <w:r w:rsidRPr="00403381">
        <w:rPr>
          <w:rtl/>
        </w:rPr>
        <w:t>إلى أي مدى تطبق المؤسسات السعودية استراتيجيات شاملة وفعّالة لإدارة المخاطر البيئية في بيئة الأعمال المعاصرة، وما أبرز التحديات التي تعيق تطبيق هذه الاستراتيجيات؟</w:t>
      </w:r>
    </w:p>
    <w:p w14:paraId="75067390" w14:textId="77777777" w:rsidR="00B500F9" w:rsidRDefault="00B500F9" w:rsidP="00B500F9">
      <w:pPr>
        <w:pStyle w:val="NoSpacing"/>
        <w:rPr>
          <w:rtl/>
        </w:rPr>
      </w:pPr>
    </w:p>
    <w:p w14:paraId="138C5885" w14:textId="77777777" w:rsidR="00B500F9" w:rsidRPr="00403381" w:rsidRDefault="00B500F9" w:rsidP="00B500F9">
      <w:pPr>
        <w:pStyle w:val="NoSpacing"/>
        <w:numPr>
          <w:ilvl w:val="0"/>
          <w:numId w:val="8"/>
        </w:numPr>
        <w:spacing w:after="160"/>
        <w:rPr>
          <w:b/>
          <w:bCs/>
          <w:rtl/>
        </w:rPr>
      </w:pPr>
      <w:r w:rsidRPr="00403381">
        <w:rPr>
          <w:b/>
          <w:bCs/>
          <w:rtl/>
        </w:rPr>
        <w:t>ثانياً: الأسئلة الفرعية</w:t>
      </w:r>
    </w:p>
    <w:p w14:paraId="0A2CADE0" w14:textId="77777777" w:rsidR="00B500F9" w:rsidRPr="00403381" w:rsidRDefault="00B500F9" w:rsidP="00B500F9">
      <w:pPr>
        <w:pStyle w:val="NoSpacing"/>
        <w:numPr>
          <w:ilvl w:val="0"/>
          <w:numId w:val="9"/>
        </w:numPr>
        <w:spacing w:after="160"/>
        <w:rPr>
          <w:rtl/>
        </w:rPr>
      </w:pPr>
      <w:r w:rsidRPr="00403381">
        <w:rPr>
          <w:rtl/>
        </w:rPr>
        <w:lastRenderedPageBreak/>
        <w:t>ما مدى وعي وفهم القيادات الإدارية والموظفين في المؤسسات السعودية بأهمية إدارة المخاطر البيئية وأثرها على استدامة المؤسسة؟</w:t>
      </w:r>
    </w:p>
    <w:p w14:paraId="6F172FC2" w14:textId="77777777" w:rsidR="00B500F9" w:rsidRPr="00403381" w:rsidRDefault="00B500F9" w:rsidP="00B500F9">
      <w:pPr>
        <w:pStyle w:val="NoSpacing"/>
        <w:numPr>
          <w:ilvl w:val="0"/>
          <w:numId w:val="9"/>
        </w:numPr>
        <w:spacing w:after="160"/>
        <w:rPr>
          <w:rtl/>
        </w:rPr>
      </w:pPr>
      <w:r w:rsidRPr="00403381">
        <w:rPr>
          <w:rtl/>
        </w:rPr>
        <w:t>ما أبرز المعوقات الداخلية والخارجية، سواء كانت قانونية أو تشريعية أو مرتبطة بالموارد البشرية والمالية والتكنولوجية، التي تواجه المؤسسات عند تطبيق خطط إدارة المخاطر البيئية؟</w:t>
      </w:r>
    </w:p>
    <w:p w14:paraId="679006F5" w14:textId="77777777" w:rsidR="00B500F9" w:rsidRPr="00403381" w:rsidRDefault="00B500F9" w:rsidP="00B500F9">
      <w:pPr>
        <w:pStyle w:val="NoSpacing"/>
        <w:numPr>
          <w:ilvl w:val="0"/>
          <w:numId w:val="9"/>
        </w:numPr>
        <w:spacing w:after="160"/>
        <w:rPr>
          <w:rtl/>
        </w:rPr>
      </w:pPr>
      <w:r w:rsidRPr="00403381">
        <w:rPr>
          <w:rtl/>
        </w:rPr>
        <w:t>إلى أي مدى تعتمد المؤسسات السعودية على التقنيات الحديثة مثل الذكاء الاصطناعي وإنترنت الأشياء وأنظمة التحليل البيئي في رصد وتقييم المخاطر البيئية؟</w:t>
      </w:r>
    </w:p>
    <w:p w14:paraId="1B67CAFC" w14:textId="77777777" w:rsidR="00B500F9" w:rsidRPr="00403381" w:rsidRDefault="00B500F9" w:rsidP="00B500F9">
      <w:pPr>
        <w:pStyle w:val="NoSpacing"/>
        <w:numPr>
          <w:ilvl w:val="0"/>
          <w:numId w:val="9"/>
        </w:numPr>
        <w:spacing w:after="160"/>
        <w:rPr>
          <w:rtl/>
        </w:rPr>
      </w:pPr>
      <w:r w:rsidRPr="00403381">
        <w:rPr>
          <w:rtl/>
        </w:rPr>
        <w:t>ما مستوى التزام المؤسسات السعودية بالقوانين واللوائح البيئية الوطنية والدولية، وما مدى استعدادها للامتثال المستمر لها؟</w:t>
      </w:r>
    </w:p>
    <w:p w14:paraId="77E2E130" w14:textId="77777777" w:rsidR="00B500F9" w:rsidRDefault="00B500F9" w:rsidP="00B500F9">
      <w:pPr>
        <w:pStyle w:val="NoSpacing"/>
        <w:numPr>
          <w:ilvl w:val="0"/>
          <w:numId w:val="9"/>
        </w:numPr>
        <w:spacing w:after="160"/>
      </w:pPr>
      <w:r w:rsidRPr="00403381">
        <w:rPr>
          <w:rtl/>
        </w:rPr>
        <w:t>ما أهم الحلول والاقتراحات العملية التي يمكن أن تسهم في تحسين إدارة المخاطر البيئية بالمؤسسات السعودية وتعزيز فعاليتها بما يتوافق مع معايير الاستدامة وأهداف رؤية المملكة 2030؟</w:t>
      </w:r>
    </w:p>
    <w:p w14:paraId="55E5DEC1" w14:textId="77777777" w:rsidR="00B500F9" w:rsidRPr="009F4503" w:rsidRDefault="00B500F9" w:rsidP="00B500F9">
      <w:pPr>
        <w:pStyle w:val="NoSpacing"/>
        <w:rPr>
          <w:rtl/>
        </w:rPr>
      </w:pPr>
    </w:p>
    <w:p w14:paraId="6E9F76BD" w14:textId="77777777" w:rsidR="00B500F9" w:rsidRDefault="00B500F9" w:rsidP="00B500F9">
      <w:pPr>
        <w:pStyle w:val="Heading1"/>
        <w:spacing w:before="0" w:line="360" w:lineRule="auto"/>
        <w:rPr>
          <w:rFonts w:ascii="Simplified Arabic" w:hAnsi="Simplified Arabic" w:cs="Simplified Arabic"/>
          <w:b/>
          <w:bCs/>
          <w:color w:val="000000" w:themeColor="text1"/>
          <w:sz w:val="28"/>
          <w:szCs w:val="28"/>
          <w:rtl/>
        </w:rPr>
      </w:pPr>
      <w:bookmarkStart w:id="21" w:name="_Toc169370869"/>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769B2EB0" w14:textId="77777777" w:rsidR="00B500F9" w:rsidRPr="00D47E99" w:rsidRDefault="00B500F9" w:rsidP="00B500F9">
      <w:pPr>
        <w:pStyle w:val="NoSpacing"/>
        <w:numPr>
          <w:ilvl w:val="0"/>
          <w:numId w:val="10"/>
        </w:numPr>
        <w:spacing w:after="160"/>
        <w:rPr>
          <w:b/>
          <w:bCs/>
          <w:rtl/>
        </w:rPr>
      </w:pPr>
      <w:r w:rsidRPr="00D47E99">
        <w:rPr>
          <w:b/>
          <w:bCs/>
          <w:rtl/>
        </w:rPr>
        <w:t>أولاً: الفرضية الرئيسة</w:t>
      </w:r>
    </w:p>
    <w:p w14:paraId="3A5B03DC" w14:textId="77777777" w:rsidR="00B500F9" w:rsidRDefault="00B500F9" w:rsidP="00B500F9">
      <w:pPr>
        <w:pStyle w:val="NoSpacing"/>
        <w:numPr>
          <w:ilvl w:val="0"/>
          <w:numId w:val="11"/>
        </w:numPr>
        <w:spacing w:after="160"/>
      </w:pPr>
      <w:r w:rsidRPr="00D47E99">
        <w:rPr>
          <w:rtl/>
        </w:rPr>
        <w:t>تطبق المؤسسات السعودية استراتيجيات شاملة وفعّالة لإدارة المخاطر البيئية في بيئة الأعمال المعاصرة، ولا تواجه معوقات جوهرية تعيق تطبيق هذه الاستراتيجيات.</w:t>
      </w:r>
    </w:p>
    <w:p w14:paraId="50AFD461" w14:textId="77777777" w:rsidR="00B500F9" w:rsidRPr="00D47E99" w:rsidRDefault="00B500F9" w:rsidP="00B500F9">
      <w:pPr>
        <w:pStyle w:val="NoSpacing"/>
        <w:rPr>
          <w:rtl/>
        </w:rPr>
      </w:pPr>
    </w:p>
    <w:p w14:paraId="047375B1" w14:textId="77777777" w:rsidR="00B500F9" w:rsidRPr="00D47E99" w:rsidRDefault="00B500F9" w:rsidP="00B500F9">
      <w:pPr>
        <w:pStyle w:val="NoSpacing"/>
        <w:numPr>
          <w:ilvl w:val="0"/>
          <w:numId w:val="10"/>
        </w:numPr>
        <w:spacing w:after="160"/>
        <w:rPr>
          <w:b/>
          <w:bCs/>
          <w:rtl/>
        </w:rPr>
      </w:pPr>
      <w:r w:rsidRPr="00D47E99">
        <w:rPr>
          <w:b/>
          <w:bCs/>
          <w:rtl/>
        </w:rPr>
        <w:t>ثانياً: الفرضيات الفرعية</w:t>
      </w:r>
    </w:p>
    <w:p w14:paraId="5C76C2B8" w14:textId="77777777" w:rsidR="00B500F9" w:rsidRPr="00D47E99" w:rsidRDefault="00B500F9" w:rsidP="00B500F9">
      <w:pPr>
        <w:pStyle w:val="NoSpacing"/>
        <w:numPr>
          <w:ilvl w:val="0"/>
          <w:numId w:val="11"/>
        </w:numPr>
        <w:spacing w:after="160"/>
        <w:rPr>
          <w:rtl/>
        </w:rPr>
      </w:pPr>
      <w:r w:rsidRPr="00D47E99">
        <w:rPr>
          <w:rtl/>
        </w:rPr>
        <w:t>لدى القيادات الإدارية والموظفين في المؤسسات السعودية وعي وفهم كافٍ بأهمية إدارة المخاطر البيئية وتأثيرها المباشر على استدامة المؤسسة.</w:t>
      </w:r>
    </w:p>
    <w:p w14:paraId="5318E841" w14:textId="77777777" w:rsidR="00B500F9" w:rsidRPr="00D47E99" w:rsidRDefault="00B500F9" w:rsidP="00B500F9">
      <w:pPr>
        <w:pStyle w:val="NoSpacing"/>
        <w:numPr>
          <w:ilvl w:val="0"/>
          <w:numId w:val="11"/>
        </w:numPr>
        <w:spacing w:after="160"/>
        <w:rPr>
          <w:rtl/>
        </w:rPr>
      </w:pPr>
      <w:r w:rsidRPr="00D47E99">
        <w:rPr>
          <w:rtl/>
        </w:rPr>
        <w:t>لا تواجه المؤسسات السعودية معوقات داخلية أو خارجية كبيرة – سواء كانت قانونية أو تشريعية أو متعلقة بالموارد البشرية والمالية والتكنولوجية – عند تطبيق خطط إدارة المخاطر البيئية.</w:t>
      </w:r>
    </w:p>
    <w:p w14:paraId="7D92F687" w14:textId="77777777" w:rsidR="00B500F9" w:rsidRPr="00D47E99" w:rsidRDefault="00B500F9" w:rsidP="00B500F9">
      <w:pPr>
        <w:pStyle w:val="NoSpacing"/>
        <w:numPr>
          <w:ilvl w:val="0"/>
          <w:numId w:val="11"/>
        </w:numPr>
        <w:spacing w:after="160"/>
        <w:rPr>
          <w:rtl/>
        </w:rPr>
      </w:pPr>
      <w:r w:rsidRPr="00D47E99">
        <w:rPr>
          <w:rtl/>
        </w:rPr>
        <w:lastRenderedPageBreak/>
        <w:t>تعتمد المؤسسات السعودية بدرجة كافية على التقنيات الحديثة مثل الذكاء الاصطناعي وإنترنت الأشياء وأنظمة التحليل البيئي في رصد وتقييم المخاطر البيئية.</w:t>
      </w:r>
    </w:p>
    <w:p w14:paraId="0A088EFC" w14:textId="77777777" w:rsidR="00B500F9" w:rsidRPr="00D47E99" w:rsidRDefault="00B500F9" w:rsidP="00B500F9">
      <w:pPr>
        <w:pStyle w:val="NoSpacing"/>
        <w:numPr>
          <w:ilvl w:val="0"/>
          <w:numId w:val="11"/>
        </w:numPr>
        <w:spacing w:after="160"/>
        <w:rPr>
          <w:rtl/>
        </w:rPr>
      </w:pPr>
      <w:r w:rsidRPr="00D47E99">
        <w:rPr>
          <w:rtl/>
        </w:rPr>
        <w:t>تلتزم المؤسسات السعودية التزاماً كاملاً بالقوانين واللوائح البيئية الوطنية والدولية، وهي مستعدة للاستمرار في الامتثال لها بشكل مستدام.</w:t>
      </w:r>
    </w:p>
    <w:p w14:paraId="0562096E" w14:textId="77777777" w:rsidR="00B500F9" w:rsidRPr="00D47E99" w:rsidRDefault="00B500F9" w:rsidP="00B500F9">
      <w:pPr>
        <w:pStyle w:val="NoSpacing"/>
        <w:numPr>
          <w:ilvl w:val="0"/>
          <w:numId w:val="11"/>
        </w:numPr>
        <w:spacing w:after="160"/>
        <w:rPr>
          <w:rtl/>
        </w:rPr>
      </w:pPr>
      <w:r w:rsidRPr="00D47E99">
        <w:rPr>
          <w:rtl/>
        </w:rPr>
        <w:t>لدى المؤسسات السعودية خطط وحلول عملية فعّالة لتحسين إدارة المخاطر البيئية وتعزيز فعاليتها بما يتوافق مع معايير الاستدامة وأهداف رؤية المملكة 2030.</w:t>
      </w:r>
    </w:p>
    <w:p w14:paraId="1D107710" w14:textId="77777777" w:rsidR="00B500F9" w:rsidRPr="009F4503" w:rsidRDefault="00B500F9" w:rsidP="00B500F9">
      <w:pPr>
        <w:pStyle w:val="NoSpacing"/>
        <w:rPr>
          <w:rtl/>
        </w:rPr>
      </w:pPr>
    </w:p>
    <w:p w14:paraId="1BB459D6" w14:textId="77777777" w:rsidR="00B500F9" w:rsidRPr="00DC28DB" w:rsidRDefault="00B500F9" w:rsidP="00B500F9">
      <w:pPr>
        <w:pStyle w:val="Heading2"/>
        <w:spacing w:line="360" w:lineRule="auto"/>
        <w:rPr>
          <w:rtl/>
        </w:rPr>
      </w:pPr>
      <w:bookmarkStart w:id="25" w:name="_Toc191138775"/>
      <w:r w:rsidRPr="008A269C">
        <w:rPr>
          <w:rtl/>
        </w:rPr>
        <w:t>النظرية العلمية المتبعة لإعداد البحث</w:t>
      </w:r>
      <w:bookmarkEnd w:id="25"/>
      <w:r w:rsidRPr="00DC28DB">
        <w:rPr>
          <w:rtl/>
        </w:rPr>
        <w:t>.</w:t>
      </w:r>
    </w:p>
    <w:p w14:paraId="70E722FB" w14:textId="77777777" w:rsidR="00B500F9" w:rsidRDefault="00B500F9" w:rsidP="00B500F9">
      <w:pPr>
        <w:pStyle w:val="NoSpacing"/>
        <w:rPr>
          <w:rtl/>
        </w:rPr>
      </w:pPr>
      <w:r>
        <w:rPr>
          <w:rtl/>
        </w:rPr>
        <w:t>يُعد دمج الجانب البيئي في نظام الإدارة العام للمؤسسة أساس إدارة المخاطر البيئية. ويتجاوز الأمر مجرد اتباع اللوائح البيئية ليشمل وضع خطط استباقية ووقائية للتعامل مع أي مخاطر قد تؤثر على استمرارية الأعمال على المدى الطويل. وتستند هذه الاستراتيجية إلى نظريات الإدارة المعاصرة، التي ترى أن تحقيق الأهداف الاستراتيجية يعتمد بشكل حاسم على البيئات الداخلية والخارجية للمؤسسة. ووفقًا لهذا المنظور، تُصبح إدارة المخاطر البيئية عنصرًا أساسيًا في حوكمة الشركات، والتي تشمل رصد المخاطر المحتملة ووضع استراتيجيات للحد من تأثيرها على العمليات الاجتماعية والاقتصادية للشركة.</w:t>
      </w:r>
    </w:p>
    <w:p w14:paraId="6E35F8E2" w14:textId="77777777" w:rsidR="00B500F9" w:rsidRDefault="00B500F9" w:rsidP="00B500F9">
      <w:pPr>
        <w:pStyle w:val="NoSpacing"/>
        <w:rPr>
          <w:rtl/>
        </w:rPr>
      </w:pPr>
      <w:r>
        <w:rPr>
          <w:rtl/>
        </w:rPr>
        <w:t>ترتبط إدارة المخاطر البيئية ارتباطًا وثيقًا، وفقًا لأدبيات الإدارة والبيئة. فالشركات تكون أكثر استعدادًا للتعامل مع حالات الطوارئ البيئية وتقليل خسائرها المحتملة عند تطبيق إجراءات فعّالة في هذا المجال. كما أن تبني الممارسات الصديقة للبيئة يعزز ثقة المستثمرين والعملاء ويعزز مكانة المؤسسة بين أصحاب المصلحة. ووفقًا للنظريات الاقتصادية المعاصرة، فإن استثمار المؤسسة في إدارة المخاطر البيئية له تأثير إيجابي طويل المدى على قدرتها التنافسية واستمراريتها، بدلاً من أن يكون عبئًا ماليًا</w:t>
      </w:r>
      <w:sdt>
        <w:sdtPr>
          <w:rPr>
            <w:rtl/>
          </w:rPr>
          <w:id w:val="-51106669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Miz24 \l 3073</w:instrText>
          </w:r>
          <w:r>
            <w:rPr>
              <w:rtl/>
            </w:rPr>
            <w:instrText xml:space="preserve"> </w:instrText>
          </w:r>
          <w:r>
            <w:rPr>
              <w:rtl/>
            </w:rPr>
            <w:fldChar w:fldCharType="separate"/>
          </w:r>
          <w:r>
            <w:rPr>
              <w:noProof/>
              <w:rtl/>
            </w:rPr>
            <w:t xml:space="preserve"> </w:t>
          </w:r>
          <w:r>
            <w:rPr>
              <w:rFonts w:hint="cs"/>
              <w:noProof/>
              <w:rtl/>
            </w:rPr>
            <w:t>(</w:t>
          </w:r>
          <w:r>
            <w:rPr>
              <w:rFonts w:hint="cs"/>
              <w:noProof/>
            </w:rPr>
            <w:t>Mizrak</w:t>
          </w:r>
          <w:r>
            <w:rPr>
              <w:rFonts w:hint="cs"/>
              <w:noProof/>
              <w:rtl/>
            </w:rPr>
            <w:t>، 2024)</w:t>
          </w:r>
          <w:r>
            <w:rPr>
              <w:rtl/>
            </w:rPr>
            <w:fldChar w:fldCharType="end"/>
          </w:r>
        </w:sdtContent>
      </w:sdt>
      <w:r>
        <w:rPr>
          <w:rtl/>
        </w:rPr>
        <w:t>.</w:t>
      </w:r>
    </w:p>
    <w:p w14:paraId="2799E020" w14:textId="77777777" w:rsidR="00B500F9" w:rsidRDefault="00B500F9" w:rsidP="00B500F9">
      <w:pPr>
        <w:pStyle w:val="NoSpacing"/>
        <w:rPr>
          <w:rtl/>
        </w:rPr>
      </w:pPr>
      <w:r>
        <w:rPr>
          <w:rtl/>
        </w:rPr>
        <w:t>تُعد معايير الحوكمة البيئية والاجتماعية والاقتصادية (</w:t>
      </w:r>
      <w:r>
        <w:t>ESG</w:t>
      </w:r>
      <w:r>
        <w:rPr>
          <w:rtl/>
        </w:rPr>
        <w:t xml:space="preserve">) من أهم الأطر لتقييم التزام المؤسسات بالممارسات البيئية الجيدة. تهدف هذه المعايير، التي تحظى الآن بقبول واسع، إلى تحقيق توازن بين المسؤولية الاجتماعية والحفاظ على البيئة </w:t>
      </w:r>
      <w:r>
        <w:rPr>
          <w:rtl/>
        </w:rPr>
        <w:lastRenderedPageBreak/>
        <w:t>وتحقيق الربحية. ويكمن أساس إدارة المخاطر البيئية الشاملة والمنهجية في دمج هذه المعايير في التخطيط الاستراتيجي للشركات، مما يربط القرارات المالية بتأثيراتها على البيئة والمجتمع</w:t>
      </w:r>
      <w:sdt>
        <w:sdtPr>
          <w:rPr>
            <w:rtl/>
          </w:rPr>
          <w:id w:val="75115969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Bar232 \l 3073</w:instrText>
          </w:r>
          <w:r>
            <w:rPr>
              <w:rtl/>
            </w:rPr>
            <w:instrText xml:space="preserve"> </w:instrText>
          </w:r>
          <w:r>
            <w:rPr>
              <w:rtl/>
            </w:rPr>
            <w:fldChar w:fldCharType="separate"/>
          </w:r>
          <w:r>
            <w:rPr>
              <w:noProof/>
              <w:rtl/>
            </w:rPr>
            <w:t xml:space="preserve"> </w:t>
          </w:r>
          <w:r>
            <w:rPr>
              <w:rFonts w:hint="cs"/>
              <w:noProof/>
              <w:rtl/>
            </w:rPr>
            <w:t>(</w:t>
          </w:r>
          <w:r>
            <w:rPr>
              <w:rFonts w:hint="cs"/>
              <w:noProof/>
            </w:rPr>
            <w:t>Barbosa</w:t>
          </w:r>
          <w:r>
            <w:rPr>
              <w:rFonts w:hint="cs"/>
              <w:noProof/>
              <w:rtl/>
            </w:rPr>
            <w:t>، 2023)</w:t>
          </w:r>
          <w:r>
            <w:rPr>
              <w:rtl/>
            </w:rPr>
            <w:fldChar w:fldCharType="end"/>
          </w:r>
        </w:sdtContent>
      </w:sdt>
      <w:r>
        <w:rPr>
          <w:rtl/>
        </w:rPr>
        <w:t>.</w:t>
      </w:r>
    </w:p>
    <w:p w14:paraId="5538065D" w14:textId="77777777" w:rsidR="00B500F9" w:rsidRDefault="00B500F9" w:rsidP="00B500F9">
      <w:pPr>
        <w:pStyle w:val="NoSpacing"/>
        <w:rPr>
          <w:rtl/>
        </w:rPr>
      </w:pPr>
      <w:r>
        <w:rPr>
          <w:rtl/>
        </w:rPr>
        <w:t>تُبرز الأسس النظرية للدراسة أهمية التكنولوجيا في تعزيز قدرة الشركات على توقع التهديدات البيئية وإدارتها بفعالية. إذ يُمكن جمع كميات هائلة من البيانات البيئية وتحليلها آنيًا بفضل تقنيات إنترنت الأشياء والذكاء الاصطناعي ونظم المعلومات الجغرافية، مما يُسهّل اتخاذ قرارات أكثر دقة. إلى جانب زيادة كفاءة الموارد وتقليل الهدر، تُساعد التكنولوجيا أيضًا في بناء أنظمة إنذار مبكر تُقلل الخسائر المحتملة الناجمة عن الكوارث البيئية.</w:t>
      </w:r>
    </w:p>
    <w:p w14:paraId="6158F659" w14:textId="77777777" w:rsidR="00B500F9" w:rsidRPr="00717F76" w:rsidRDefault="00B500F9" w:rsidP="00B500F9">
      <w:pPr>
        <w:pStyle w:val="NoSpacing"/>
        <w:rPr>
          <w:rtl/>
        </w:rPr>
      </w:pPr>
      <w:r>
        <w:rPr>
          <w:rtl/>
        </w:rPr>
        <w:t>كما تُوسّع هذه الورقة البحثية نطاق فرضية النظريات المؤسسية، التي تُؤكد أن المؤسسات تتأثر بشكل كبير بالبيئة القانونية والتنظيمية التي تعمل فيها. يجب على المؤسسات الالتزام بمعايير محددة منصوص عليها في القوانين البيئية الوطنية والدولية؛ وقد يؤدي عدم الامتثال إلى غرامات أو إجراءات قانونية قد تُعرّض العمليات للخطر. لذلك، من الضروري ربط إدارة المخاطر البيئية بالقوانين والقواعد ذات الصلة لضمان الامتثال طويل الأمد والحفاظ على سمعة تنافسية في السوق</w:t>
      </w:r>
      <w:sdt>
        <w:sdtPr>
          <w:rPr>
            <w:rtl/>
          </w:rPr>
          <w:id w:val="-56548569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Ran231 \l 3073</w:instrText>
          </w:r>
          <w:r>
            <w:rPr>
              <w:rtl/>
            </w:rPr>
            <w:instrText xml:space="preserve"> </w:instrText>
          </w:r>
          <w:r>
            <w:rPr>
              <w:rtl/>
            </w:rPr>
            <w:fldChar w:fldCharType="separate"/>
          </w:r>
          <w:r>
            <w:rPr>
              <w:noProof/>
              <w:rtl/>
            </w:rPr>
            <w:t xml:space="preserve"> </w:t>
          </w:r>
          <w:r>
            <w:rPr>
              <w:rFonts w:hint="cs"/>
              <w:noProof/>
              <w:rtl/>
            </w:rPr>
            <w:t>(</w:t>
          </w:r>
          <w:r>
            <w:rPr>
              <w:rFonts w:hint="cs"/>
              <w:noProof/>
            </w:rPr>
            <w:t>Rane</w:t>
          </w:r>
          <w:r>
            <w:rPr>
              <w:rFonts w:hint="cs"/>
              <w:noProof/>
              <w:rtl/>
            </w:rPr>
            <w:t>، 2023)</w:t>
          </w:r>
          <w:r>
            <w:rPr>
              <w:rtl/>
            </w:rPr>
            <w:fldChar w:fldCharType="end"/>
          </w:r>
        </w:sdtContent>
      </w:sdt>
      <w:r>
        <w:rPr>
          <w:rtl/>
        </w:rPr>
        <w:t>.</w:t>
      </w:r>
    </w:p>
    <w:p w14:paraId="2CEFA8FF" w14:textId="77777777" w:rsidR="00B500F9" w:rsidRDefault="00B500F9" w:rsidP="00B500F9">
      <w:pPr>
        <w:pStyle w:val="NoSpacing"/>
        <w:rPr>
          <w:rtl/>
        </w:rPr>
      </w:pPr>
    </w:p>
    <w:p w14:paraId="0133115D" w14:textId="77777777" w:rsidR="00B500F9" w:rsidRDefault="00B500F9" w:rsidP="00B500F9">
      <w:pPr>
        <w:pStyle w:val="NoSpacing"/>
        <w:rPr>
          <w:rtl/>
        </w:rPr>
      </w:pPr>
    </w:p>
    <w:p w14:paraId="1F2DBE48" w14:textId="77777777" w:rsidR="00B500F9" w:rsidRDefault="00B500F9" w:rsidP="00B500F9">
      <w:pPr>
        <w:spacing w:after="0" w:line="360" w:lineRule="auto"/>
        <w:rPr>
          <w:rFonts w:ascii="Simplified Arabic" w:hAnsi="Simplified Arabic" w:cs="Simplified Arabic"/>
          <w:b/>
          <w:bCs/>
          <w:sz w:val="28"/>
          <w:szCs w:val="28"/>
          <w:rtl/>
        </w:rPr>
      </w:pPr>
    </w:p>
    <w:p w14:paraId="38E98B0D" w14:textId="77777777" w:rsidR="00B500F9" w:rsidRDefault="00B500F9" w:rsidP="00B500F9">
      <w:pPr>
        <w:spacing w:after="0" w:line="360" w:lineRule="auto"/>
        <w:rPr>
          <w:rFonts w:ascii="Simplified Arabic" w:hAnsi="Simplified Arabic" w:cs="Simplified Arabic"/>
          <w:b/>
          <w:bCs/>
          <w:sz w:val="28"/>
          <w:szCs w:val="28"/>
          <w:rtl/>
        </w:rPr>
      </w:pPr>
    </w:p>
    <w:p w14:paraId="72884E38" w14:textId="77777777" w:rsidR="00B500F9" w:rsidRDefault="00B500F9" w:rsidP="00B500F9">
      <w:pPr>
        <w:spacing w:after="0" w:line="360" w:lineRule="auto"/>
        <w:rPr>
          <w:rFonts w:ascii="Simplified Arabic" w:hAnsi="Simplified Arabic" w:cs="Simplified Arabic"/>
          <w:b/>
          <w:bCs/>
          <w:sz w:val="28"/>
          <w:szCs w:val="28"/>
          <w:rtl/>
        </w:rPr>
      </w:pPr>
    </w:p>
    <w:p w14:paraId="722DB06E" w14:textId="77777777" w:rsidR="00B500F9" w:rsidRDefault="00B500F9" w:rsidP="00B500F9">
      <w:pPr>
        <w:spacing w:after="0" w:line="360" w:lineRule="auto"/>
        <w:rPr>
          <w:rFonts w:ascii="Simplified Arabic" w:hAnsi="Simplified Arabic" w:cs="Simplified Arabic"/>
          <w:b/>
          <w:bCs/>
          <w:sz w:val="28"/>
          <w:szCs w:val="28"/>
          <w:rtl/>
        </w:rPr>
      </w:pPr>
    </w:p>
    <w:p w14:paraId="5DD64FFD" w14:textId="77777777" w:rsidR="00B500F9" w:rsidRDefault="00B500F9" w:rsidP="00B500F9">
      <w:pPr>
        <w:spacing w:after="0" w:line="360" w:lineRule="auto"/>
        <w:rPr>
          <w:rFonts w:ascii="Simplified Arabic" w:hAnsi="Simplified Arabic" w:cs="Simplified Arabic"/>
          <w:b/>
          <w:bCs/>
          <w:sz w:val="28"/>
          <w:szCs w:val="28"/>
          <w:rtl/>
        </w:rPr>
      </w:pPr>
    </w:p>
    <w:p w14:paraId="01C789A3" w14:textId="77777777" w:rsidR="00B500F9" w:rsidRDefault="00B500F9" w:rsidP="00B500F9">
      <w:pPr>
        <w:spacing w:after="0" w:line="360" w:lineRule="auto"/>
        <w:rPr>
          <w:rFonts w:ascii="Simplified Arabic" w:hAnsi="Simplified Arabic" w:cs="Simplified Arabic"/>
          <w:b/>
          <w:bCs/>
          <w:sz w:val="28"/>
          <w:szCs w:val="28"/>
          <w:rtl/>
        </w:rPr>
      </w:pPr>
    </w:p>
    <w:p w14:paraId="5EF7D4D5" w14:textId="77777777" w:rsidR="00B500F9" w:rsidRDefault="00B500F9" w:rsidP="00B500F9">
      <w:pPr>
        <w:spacing w:after="0" w:line="360" w:lineRule="auto"/>
        <w:rPr>
          <w:rFonts w:ascii="Simplified Arabic" w:hAnsi="Simplified Arabic" w:cs="Simplified Arabic"/>
          <w:b/>
          <w:bCs/>
          <w:sz w:val="28"/>
          <w:szCs w:val="28"/>
          <w:rtl/>
        </w:rPr>
      </w:pPr>
    </w:p>
    <w:p w14:paraId="64ACC612" w14:textId="77777777" w:rsidR="00B500F9" w:rsidRDefault="00B500F9" w:rsidP="00B500F9">
      <w:pPr>
        <w:spacing w:after="0" w:line="360" w:lineRule="auto"/>
        <w:rPr>
          <w:rFonts w:ascii="Simplified Arabic" w:hAnsi="Simplified Arabic" w:cs="Simplified Arabic"/>
          <w:b/>
          <w:bCs/>
          <w:sz w:val="28"/>
          <w:szCs w:val="28"/>
          <w:rtl/>
        </w:rPr>
      </w:pPr>
    </w:p>
    <w:p w14:paraId="53379773" w14:textId="77777777" w:rsidR="00B500F9" w:rsidRDefault="00B500F9" w:rsidP="00B500F9">
      <w:pPr>
        <w:spacing w:after="0" w:line="360" w:lineRule="auto"/>
        <w:rPr>
          <w:rFonts w:ascii="Simplified Arabic" w:hAnsi="Simplified Arabic" w:cs="Simplified Arabic"/>
          <w:b/>
          <w:bCs/>
          <w:sz w:val="28"/>
          <w:szCs w:val="28"/>
          <w:rtl/>
        </w:rPr>
      </w:pPr>
    </w:p>
    <w:p w14:paraId="16B9FABC" w14:textId="77777777" w:rsidR="00B500F9" w:rsidRDefault="00B500F9" w:rsidP="00B500F9">
      <w:pPr>
        <w:spacing w:after="0" w:line="360" w:lineRule="auto"/>
        <w:rPr>
          <w:rFonts w:ascii="Simplified Arabic" w:hAnsi="Simplified Arabic" w:cs="Simplified Arabic"/>
          <w:b/>
          <w:bCs/>
          <w:sz w:val="28"/>
          <w:szCs w:val="28"/>
          <w:rtl/>
        </w:rPr>
      </w:pPr>
    </w:p>
    <w:p w14:paraId="77D4BD9C" w14:textId="77777777" w:rsidR="00B500F9" w:rsidRDefault="00B500F9" w:rsidP="00B500F9">
      <w:pPr>
        <w:spacing w:after="0" w:line="360" w:lineRule="auto"/>
        <w:rPr>
          <w:rFonts w:ascii="Simplified Arabic" w:hAnsi="Simplified Arabic" w:cs="Simplified Arabic"/>
          <w:b/>
          <w:bCs/>
          <w:sz w:val="28"/>
          <w:szCs w:val="28"/>
          <w:rtl/>
        </w:rPr>
      </w:pPr>
    </w:p>
    <w:p w14:paraId="377AF62B" w14:textId="77777777" w:rsidR="00B500F9" w:rsidRDefault="00B500F9" w:rsidP="00B500F9">
      <w:pPr>
        <w:spacing w:after="0" w:line="360" w:lineRule="auto"/>
        <w:rPr>
          <w:rFonts w:ascii="Simplified Arabic" w:hAnsi="Simplified Arabic" w:cs="Simplified Arabic"/>
          <w:b/>
          <w:bCs/>
          <w:sz w:val="28"/>
          <w:szCs w:val="28"/>
          <w:rtl/>
        </w:rPr>
      </w:pPr>
    </w:p>
    <w:p w14:paraId="0342AA10" w14:textId="77777777" w:rsidR="00B500F9" w:rsidRDefault="00B500F9" w:rsidP="00B500F9">
      <w:pPr>
        <w:spacing w:after="0" w:line="360" w:lineRule="auto"/>
        <w:rPr>
          <w:rFonts w:ascii="Simplified Arabic" w:hAnsi="Simplified Arabic" w:cs="Simplified Arabic"/>
          <w:b/>
          <w:bCs/>
          <w:sz w:val="28"/>
          <w:szCs w:val="28"/>
          <w:rtl/>
        </w:rPr>
      </w:pPr>
    </w:p>
    <w:p w14:paraId="2F82E481" w14:textId="77777777" w:rsidR="00B500F9" w:rsidRDefault="00B500F9" w:rsidP="00B500F9">
      <w:pPr>
        <w:spacing w:after="0" w:line="360" w:lineRule="auto"/>
        <w:rPr>
          <w:rFonts w:ascii="Simplified Arabic" w:hAnsi="Simplified Arabic" w:cs="Simplified Arabic"/>
          <w:b/>
          <w:bCs/>
          <w:sz w:val="28"/>
          <w:szCs w:val="28"/>
          <w:rtl/>
        </w:rPr>
      </w:pPr>
    </w:p>
    <w:p w14:paraId="4B8507A6" w14:textId="77777777" w:rsidR="00B500F9" w:rsidRPr="009F738B" w:rsidRDefault="00B500F9" w:rsidP="00B500F9">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t>الفصل الثاني</w:t>
      </w:r>
      <w:bookmarkEnd w:id="26"/>
      <w:bookmarkEnd w:id="27"/>
      <w:bookmarkEnd w:id="28"/>
    </w:p>
    <w:p w14:paraId="49835388" w14:textId="77777777" w:rsidR="00B500F9" w:rsidRPr="009F738B" w:rsidRDefault="00B500F9" w:rsidP="00B500F9">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4E285548" w14:textId="77777777" w:rsidR="00B500F9" w:rsidRDefault="00B500F9" w:rsidP="00B500F9">
      <w:pPr>
        <w:rPr>
          <w:b/>
          <w:bCs/>
          <w:rtl/>
        </w:rPr>
      </w:pPr>
    </w:p>
    <w:p w14:paraId="7C5C92EE" w14:textId="77777777" w:rsidR="00B500F9" w:rsidRPr="003B5A4D" w:rsidRDefault="00B500F9" w:rsidP="00B500F9">
      <w:pPr>
        <w:rPr>
          <w:b/>
          <w:bCs/>
          <w:rtl/>
        </w:rPr>
      </w:pPr>
    </w:p>
    <w:p w14:paraId="067DA442" w14:textId="77777777" w:rsidR="00B500F9" w:rsidRPr="003B5A4D" w:rsidRDefault="00B500F9" w:rsidP="00B500F9">
      <w:pPr>
        <w:rPr>
          <w:rFonts w:ascii="Sakkal Majalla" w:hAnsi="Sakkal Majalla" w:cs="Sakkal Majalla"/>
          <w:b/>
          <w:bCs/>
          <w:sz w:val="28"/>
          <w:szCs w:val="28"/>
          <w:u w:val="single"/>
          <w:rtl/>
        </w:rPr>
      </w:pPr>
    </w:p>
    <w:p w14:paraId="1D132BC1" w14:textId="77777777" w:rsidR="00B500F9" w:rsidRPr="003B5A4D" w:rsidRDefault="00B500F9" w:rsidP="00B500F9">
      <w:pPr>
        <w:rPr>
          <w:rFonts w:ascii="Sakkal Majalla" w:hAnsi="Sakkal Majalla" w:cs="Sakkal Majalla"/>
          <w:b/>
          <w:bCs/>
          <w:sz w:val="28"/>
          <w:szCs w:val="28"/>
          <w:u w:val="single"/>
          <w:rtl/>
        </w:rPr>
      </w:pPr>
    </w:p>
    <w:p w14:paraId="0382524D" w14:textId="77777777" w:rsidR="00B500F9" w:rsidRPr="003B5A4D" w:rsidRDefault="00B500F9" w:rsidP="00B500F9">
      <w:pPr>
        <w:rPr>
          <w:rFonts w:ascii="Sakkal Majalla" w:hAnsi="Sakkal Majalla" w:cs="Sakkal Majalla"/>
          <w:b/>
          <w:bCs/>
          <w:sz w:val="28"/>
          <w:szCs w:val="28"/>
          <w:u w:val="single"/>
          <w:rtl/>
        </w:rPr>
      </w:pPr>
    </w:p>
    <w:p w14:paraId="399BF684" w14:textId="77777777" w:rsidR="00B500F9" w:rsidRDefault="00B500F9" w:rsidP="00B500F9">
      <w:pPr>
        <w:rPr>
          <w:rFonts w:ascii="Sakkal Majalla" w:hAnsi="Sakkal Majalla" w:cs="Sakkal Majalla"/>
          <w:sz w:val="28"/>
          <w:szCs w:val="28"/>
          <w:u w:val="single"/>
          <w:rtl/>
        </w:rPr>
      </w:pPr>
    </w:p>
    <w:p w14:paraId="2F4CF5AE" w14:textId="77777777" w:rsidR="00B500F9" w:rsidRDefault="00B500F9" w:rsidP="00B500F9">
      <w:pPr>
        <w:rPr>
          <w:rFonts w:ascii="Sakkal Majalla" w:hAnsi="Sakkal Majalla" w:cs="Sakkal Majalla"/>
          <w:sz w:val="28"/>
          <w:szCs w:val="28"/>
          <w:u w:val="single"/>
          <w:rtl/>
        </w:rPr>
      </w:pPr>
    </w:p>
    <w:p w14:paraId="3679D1E1" w14:textId="77777777" w:rsidR="00B500F9" w:rsidRDefault="00B500F9" w:rsidP="00B500F9">
      <w:pPr>
        <w:rPr>
          <w:rFonts w:ascii="Sakkal Majalla" w:hAnsi="Sakkal Majalla" w:cs="Sakkal Majalla"/>
          <w:sz w:val="28"/>
          <w:szCs w:val="28"/>
          <w:u w:val="single"/>
          <w:rtl/>
        </w:rPr>
      </w:pPr>
    </w:p>
    <w:p w14:paraId="7A756B05" w14:textId="77777777" w:rsidR="00B500F9" w:rsidRDefault="00B500F9" w:rsidP="00B500F9">
      <w:pPr>
        <w:rPr>
          <w:rFonts w:ascii="Sakkal Majalla" w:hAnsi="Sakkal Majalla" w:cs="Sakkal Majalla"/>
          <w:sz w:val="28"/>
          <w:szCs w:val="28"/>
          <w:u w:val="single"/>
          <w:rtl/>
        </w:rPr>
      </w:pPr>
    </w:p>
    <w:p w14:paraId="05978732" w14:textId="77777777" w:rsidR="00B500F9" w:rsidRDefault="00B500F9" w:rsidP="00B500F9">
      <w:pPr>
        <w:rPr>
          <w:rFonts w:ascii="Sakkal Majalla" w:hAnsi="Sakkal Majalla" w:cs="Sakkal Majalla"/>
          <w:sz w:val="28"/>
          <w:szCs w:val="28"/>
          <w:u w:val="single"/>
          <w:rtl/>
        </w:rPr>
      </w:pPr>
    </w:p>
    <w:p w14:paraId="212A3DB1" w14:textId="77777777" w:rsidR="00B500F9" w:rsidRDefault="00B500F9" w:rsidP="00B500F9">
      <w:pPr>
        <w:rPr>
          <w:rFonts w:ascii="Sakkal Majalla" w:hAnsi="Sakkal Majalla" w:cs="Sakkal Majalla"/>
          <w:sz w:val="28"/>
          <w:szCs w:val="28"/>
          <w:u w:val="single"/>
          <w:rtl/>
          <w:lang w:bidi="ar-EG"/>
        </w:rPr>
      </w:pPr>
    </w:p>
    <w:p w14:paraId="6C8D6F70" w14:textId="77777777" w:rsidR="00B500F9" w:rsidRPr="0048136D" w:rsidRDefault="00B500F9" w:rsidP="00B500F9">
      <w:pPr>
        <w:pStyle w:val="Heading2"/>
        <w:rPr>
          <w:rtl/>
        </w:rPr>
      </w:pPr>
      <w:bookmarkStart w:id="32" w:name="_Toc172397785"/>
      <w:bookmarkStart w:id="33" w:name="_Toc172746098"/>
      <w:bookmarkStart w:id="34" w:name="_Toc191138778"/>
      <w:r>
        <w:rPr>
          <w:rFonts w:hint="cs"/>
          <w:rtl/>
        </w:rPr>
        <w:t>ال</w:t>
      </w:r>
      <w:r w:rsidRPr="0048136D">
        <w:rPr>
          <w:rtl/>
        </w:rPr>
        <w:t>مقدمة</w:t>
      </w:r>
      <w:bookmarkEnd w:id="32"/>
      <w:bookmarkEnd w:id="33"/>
      <w:bookmarkEnd w:id="34"/>
    </w:p>
    <w:p w14:paraId="08F9081D" w14:textId="77777777" w:rsidR="00B500F9" w:rsidRPr="008F0A01" w:rsidRDefault="00B500F9" w:rsidP="00B500F9">
      <w:pPr>
        <w:pStyle w:val="NoSpacing"/>
        <w:rPr>
          <w:rtl/>
        </w:rPr>
      </w:pPr>
      <w:r w:rsidRPr="008F0A01">
        <w:rPr>
          <w:rtl/>
        </w:rPr>
        <w:t xml:space="preserve">يجب أن تبدأ أي دراسة علمية بمراجعة وتحليل الأبحاث السابقة، إذ يُسهم ذلك في بناء قاعدة معرفية متينة وتحديد أي ثغرات بحثية تحتاج إلى سد. وعليه، يهدف هذا الفصل إلى دراسة وتقييم أشهر الدراسات والأبحاث التي أُجريت حول موضوع إدارة المخاطر البيئية في عالم الشركات، سواءً محليًا أو إقليميًا أو عالميًا. ويهدف إلى تطبيق نتائجها على مشكلة </w:t>
      </w:r>
      <w:r w:rsidRPr="008F0A01">
        <w:rPr>
          <w:rtl/>
        </w:rPr>
        <w:lastRenderedPageBreak/>
        <w:t>الدراسة الحالية وأسئلتها، واستخدامها لدعم إطارها النظري. يُسهّل هذا الفصل إيجاد أوجه التشابه والاختلاف بين الدراسة الحالية والأبحاث السابقة. كما يُمكّن الباحث من معالجة مشكلة إدارة المخاطر البيئية من خلال استخدام الأدوات المنهجية التي استخدمتها هذه الدراسات. ومن خلال وضع نتائج البحث الحالي في سياق علمي أوسع، يكتسب البحث مصداقية. مستوى الوعي المؤسسي بالمخاطر البيئية، والصعوبات والعوائق التي تواجهها المؤسسات عند تطبيق استراتيجيات الإدارة البيئية، ووظيفة التكنولوجيا المعاصرة في رصد المخاطر وتقييمها، ومدى الامتثال للقوانين البيئية الوطنية والدولية، ليست سوى أمثلة قليلة على المواضيع التي يغطيها هذا الفصل في عرضه التحليلي المنظم لمجموعة من الدراسات. وسيُقدم في نهاية الفصل ملخص شامل يشرح الاستنتاجات الرئيسية من الأبحاث السابقة وكيفية تطبيقها في ضوء أهداف الدراسة الحالية.</w:t>
      </w:r>
    </w:p>
    <w:p w14:paraId="54B8EDB7" w14:textId="77777777" w:rsidR="00B500F9" w:rsidRDefault="00B500F9" w:rsidP="00B500F9">
      <w:pPr>
        <w:spacing w:line="360" w:lineRule="auto"/>
        <w:rPr>
          <w:rFonts w:ascii="Sakkal Majalla" w:hAnsi="Sakkal Majalla" w:cs="Sakkal Majalla"/>
          <w:sz w:val="28"/>
          <w:szCs w:val="28"/>
          <w:rtl/>
        </w:rPr>
      </w:pPr>
    </w:p>
    <w:p w14:paraId="558473A0" w14:textId="77777777" w:rsidR="00B500F9" w:rsidRDefault="00B500F9" w:rsidP="00B500F9">
      <w:pPr>
        <w:spacing w:line="360" w:lineRule="auto"/>
        <w:rPr>
          <w:rFonts w:ascii="Sakkal Majalla" w:hAnsi="Sakkal Majalla" w:cs="Sakkal Majalla"/>
          <w:sz w:val="28"/>
          <w:szCs w:val="28"/>
          <w:rtl/>
        </w:rPr>
      </w:pPr>
    </w:p>
    <w:p w14:paraId="55549B6A" w14:textId="77777777" w:rsidR="00B500F9" w:rsidRDefault="00B500F9" w:rsidP="00B500F9">
      <w:pPr>
        <w:spacing w:line="360" w:lineRule="auto"/>
        <w:rPr>
          <w:rFonts w:ascii="Sakkal Majalla" w:hAnsi="Sakkal Majalla" w:cs="Sakkal Majalla"/>
          <w:sz w:val="28"/>
          <w:szCs w:val="28"/>
          <w:rtl/>
        </w:rPr>
      </w:pPr>
    </w:p>
    <w:p w14:paraId="29DB06A1" w14:textId="77777777" w:rsidR="00B500F9" w:rsidRDefault="00B500F9" w:rsidP="00B500F9">
      <w:pPr>
        <w:spacing w:line="360" w:lineRule="auto"/>
        <w:rPr>
          <w:rFonts w:ascii="Sakkal Majalla" w:hAnsi="Sakkal Majalla" w:cs="Sakkal Majalla"/>
          <w:sz w:val="28"/>
          <w:szCs w:val="28"/>
          <w:rtl/>
        </w:rPr>
      </w:pPr>
    </w:p>
    <w:p w14:paraId="529A0F27" w14:textId="77777777" w:rsidR="00B500F9" w:rsidRDefault="00B500F9" w:rsidP="00B500F9">
      <w:pPr>
        <w:spacing w:line="360" w:lineRule="auto"/>
        <w:rPr>
          <w:rFonts w:ascii="Sakkal Majalla" w:hAnsi="Sakkal Majalla" w:cs="Sakkal Majalla"/>
          <w:sz w:val="28"/>
          <w:szCs w:val="28"/>
          <w:rtl/>
        </w:rPr>
      </w:pPr>
    </w:p>
    <w:p w14:paraId="7B441BA3" w14:textId="77777777" w:rsidR="00B500F9" w:rsidRDefault="00B500F9" w:rsidP="00B500F9">
      <w:pPr>
        <w:spacing w:line="360" w:lineRule="auto"/>
        <w:rPr>
          <w:rFonts w:ascii="Sakkal Majalla" w:hAnsi="Sakkal Majalla" w:cs="Sakkal Majalla"/>
          <w:sz w:val="28"/>
          <w:szCs w:val="28"/>
          <w:rtl/>
        </w:rPr>
      </w:pPr>
    </w:p>
    <w:p w14:paraId="7EE53F90" w14:textId="77777777" w:rsidR="00B500F9" w:rsidRDefault="00B500F9" w:rsidP="00B500F9">
      <w:pPr>
        <w:spacing w:line="360" w:lineRule="auto"/>
        <w:rPr>
          <w:rFonts w:ascii="Sakkal Majalla" w:hAnsi="Sakkal Majalla" w:cs="Sakkal Majalla"/>
          <w:sz w:val="28"/>
          <w:szCs w:val="28"/>
          <w:rtl/>
        </w:rPr>
      </w:pPr>
    </w:p>
    <w:p w14:paraId="3BC46130" w14:textId="77777777" w:rsidR="00B500F9" w:rsidRDefault="00B500F9" w:rsidP="00B500F9">
      <w:pPr>
        <w:spacing w:line="360" w:lineRule="auto"/>
        <w:rPr>
          <w:rFonts w:ascii="Sakkal Majalla" w:hAnsi="Sakkal Majalla" w:cs="Sakkal Majalla"/>
          <w:sz w:val="28"/>
          <w:szCs w:val="28"/>
          <w:rtl/>
        </w:rPr>
      </w:pPr>
    </w:p>
    <w:p w14:paraId="77D13B3C" w14:textId="77777777" w:rsidR="00B500F9" w:rsidRDefault="00B500F9" w:rsidP="00B500F9">
      <w:pPr>
        <w:spacing w:line="360" w:lineRule="auto"/>
        <w:rPr>
          <w:rFonts w:ascii="Sakkal Majalla" w:hAnsi="Sakkal Majalla" w:cs="Sakkal Majalla"/>
          <w:sz w:val="28"/>
          <w:szCs w:val="28"/>
          <w:rtl/>
        </w:rPr>
      </w:pPr>
    </w:p>
    <w:p w14:paraId="30DA73F8" w14:textId="77777777" w:rsidR="00B500F9" w:rsidRDefault="00B500F9" w:rsidP="00B500F9">
      <w:pPr>
        <w:pStyle w:val="Heading2"/>
        <w:rPr>
          <w:rtl/>
        </w:rPr>
      </w:pPr>
      <w:bookmarkStart w:id="35" w:name="_Toc191138779"/>
      <w:r>
        <w:rPr>
          <w:rFonts w:hint="cs"/>
          <w:rtl/>
        </w:rPr>
        <w:t>متغيرات الدراسة</w:t>
      </w:r>
      <w:bookmarkEnd w:id="35"/>
    </w:p>
    <w:p w14:paraId="479FBEA5" w14:textId="77777777" w:rsidR="00B500F9" w:rsidRPr="00FA1585" w:rsidRDefault="00B500F9" w:rsidP="00B500F9">
      <w:pPr>
        <w:pStyle w:val="NoSpacing"/>
        <w:rPr>
          <w:rtl/>
        </w:rPr>
      </w:pPr>
      <w:r w:rsidRPr="00FA1585">
        <w:rPr>
          <w:rtl/>
        </w:rPr>
        <w:t xml:space="preserve">يمثل هذا المخطط النموذج المفاهيمي المتكامل للدراسة، حيث يوضح العلاقة المحورية بين المتغيرات قيد البحث، فمن الواضح أن "المخاطر البيئية" هي المتغير التابع، أي أنها الظاهرة الأساسية التي تسعى الدراسة لتفسيرها وفهم العوامل المؤثرة فيها. وفي المقابل، تظهر </w:t>
      </w:r>
      <w:r w:rsidRPr="00FA1585">
        <w:rPr>
          <w:rFonts w:hint="cs"/>
          <w:rtl/>
        </w:rPr>
        <w:t>ثلاث</w:t>
      </w:r>
      <w:r w:rsidRPr="00FA1585">
        <w:rPr>
          <w:rtl/>
        </w:rPr>
        <w:t xml:space="preserve"> متغيرات مستقلة رئيسية، وهي "القضايا البيئية"، و"خطط الطوارئ"، و"قرارات </w:t>
      </w:r>
      <w:r w:rsidRPr="00FA1585">
        <w:rPr>
          <w:rtl/>
        </w:rPr>
        <w:lastRenderedPageBreak/>
        <w:t>الاستثمار"، والتي يُفترض، كما تشير الأسهم الصفراء، أنها تؤثر بشكل مباشر ومستقل في مستوى المخاطر البيئية. بمعنى آخر، يفترض النموذج أن مدى وعي المنظمة بالقضايا البيئية، ودرجة استعدادها بخطط طوارئ فعالة، ومدى دمجها للاعتبارات البيئية في قراراتها الاستثمارية، هي جميعها عوامل حيوية تشكل مجتمعةً التأثير الكلي على المتغير التابع. وبناءً على التحليلات الإحصائية التي أثبتت الدلالة المعنوية لهذا النموذج، يؤكد هذا المخطط أن هذه المتغيرات الثلاثة ليست مجرد عوامل نظرية، بل هي بالفعل محركات أساسية ومؤثرة تساهم في تفسير وتحديد مستوى المخاطر البيئية التي تواجهها المؤسسة.</w:t>
      </w:r>
    </w:p>
    <w:p w14:paraId="566199B4" w14:textId="77777777" w:rsidR="00B500F9" w:rsidRDefault="00B500F9" w:rsidP="00B500F9">
      <w:pPr>
        <w:rPr>
          <w:rtl/>
          <w:lang w:bidi="ar-EG"/>
        </w:rPr>
      </w:pPr>
    </w:p>
    <w:p w14:paraId="79527F74" w14:textId="77777777" w:rsidR="00B500F9" w:rsidRDefault="00B500F9" w:rsidP="00B500F9">
      <w:pPr>
        <w:rPr>
          <w:rtl/>
          <w:lang w:bidi="ar-EG"/>
        </w:rPr>
      </w:pPr>
    </w:p>
    <w:p w14:paraId="6CF08903" w14:textId="77777777" w:rsidR="00B500F9" w:rsidRDefault="00B500F9" w:rsidP="00B500F9">
      <w:pPr>
        <w:rPr>
          <w:rtl/>
          <w:lang w:bidi="ar-EG"/>
        </w:rPr>
      </w:pPr>
    </w:p>
    <w:p w14:paraId="62C52C4D" w14:textId="77777777" w:rsidR="00B500F9" w:rsidRDefault="00B500F9" w:rsidP="00B500F9">
      <w:pPr>
        <w:rPr>
          <w:rtl/>
          <w:lang w:bidi="ar-EG"/>
        </w:rPr>
      </w:pPr>
    </w:p>
    <w:p w14:paraId="41417BAF" w14:textId="77777777" w:rsidR="00B500F9" w:rsidRDefault="00B500F9" w:rsidP="00B500F9">
      <w:pPr>
        <w:rPr>
          <w:rtl/>
          <w:lang w:bidi="ar-EG"/>
        </w:rPr>
      </w:pPr>
    </w:p>
    <w:p w14:paraId="0832D021" w14:textId="77777777" w:rsidR="00B500F9" w:rsidRDefault="00B500F9" w:rsidP="00B500F9">
      <w:pPr>
        <w:rPr>
          <w:rtl/>
          <w:lang w:bidi="ar-EG"/>
        </w:rPr>
      </w:pPr>
    </w:p>
    <w:p w14:paraId="20673684" w14:textId="77777777" w:rsidR="00B500F9" w:rsidRDefault="00B500F9" w:rsidP="00B500F9">
      <w:pPr>
        <w:rPr>
          <w:rtl/>
          <w:lang w:bidi="ar-EG"/>
        </w:rPr>
      </w:pPr>
    </w:p>
    <w:p w14:paraId="32A32618" w14:textId="77777777" w:rsidR="00B500F9" w:rsidRDefault="00B500F9" w:rsidP="00B500F9">
      <w:pPr>
        <w:rPr>
          <w:rtl/>
          <w:lang w:bidi="ar-EG"/>
        </w:rPr>
      </w:pPr>
    </w:p>
    <w:p w14:paraId="37F92CC7" w14:textId="77777777" w:rsidR="00B500F9" w:rsidRDefault="00B500F9" w:rsidP="00B500F9">
      <w:pPr>
        <w:rPr>
          <w:rtl/>
          <w:lang w:bidi="ar-EG"/>
        </w:rPr>
      </w:pPr>
    </w:p>
    <w:p w14:paraId="6D37A1C3" w14:textId="77777777" w:rsidR="00B500F9" w:rsidRDefault="00B500F9" w:rsidP="00B500F9">
      <w:pPr>
        <w:rPr>
          <w:rtl/>
          <w:lang w:bidi="ar-EG"/>
        </w:rPr>
      </w:pPr>
    </w:p>
    <w:p w14:paraId="0A459D05" w14:textId="77777777" w:rsidR="00B500F9" w:rsidRDefault="00B500F9" w:rsidP="00B500F9">
      <w:pPr>
        <w:rPr>
          <w:rtl/>
          <w:lang w:bidi="ar-EG"/>
        </w:rPr>
      </w:pPr>
    </w:p>
    <w:p w14:paraId="2BA580F0" w14:textId="77777777" w:rsidR="00B500F9" w:rsidRDefault="00B500F9" w:rsidP="00B500F9">
      <w:pPr>
        <w:rPr>
          <w:rtl/>
          <w:lang w:bidi="ar-EG"/>
        </w:rPr>
      </w:pPr>
    </w:p>
    <w:p w14:paraId="075052E7" w14:textId="77777777" w:rsidR="00B500F9" w:rsidRDefault="00B500F9" w:rsidP="00B500F9">
      <w:pPr>
        <w:rPr>
          <w:rtl/>
          <w:lang w:bidi="ar-EG"/>
        </w:rPr>
      </w:pPr>
    </w:p>
    <w:p w14:paraId="2F8927FC" w14:textId="77777777" w:rsidR="00B500F9" w:rsidRDefault="00B500F9" w:rsidP="00B500F9">
      <w:pPr>
        <w:rPr>
          <w:rtl/>
          <w:lang w:bidi="ar-EG"/>
        </w:rPr>
      </w:pPr>
    </w:p>
    <w:p w14:paraId="3BCFADA3" w14:textId="77777777" w:rsidR="00B500F9" w:rsidRDefault="00B500F9" w:rsidP="00B500F9">
      <w:pPr>
        <w:rPr>
          <w:rtl/>
          <w:lang w:bidi="ar-EG"/>
        </w:rPr>
      </w:pPr>
    </w:p>
    <w:p w14:paraId="29451DCF" w14:textId="77777777" w:rsidR="00B500F9" w:rsidRDefault="00B500F9" w:rsidP="00B500F9">
      <w:pPr>
        <w:rPr>
          <w:rtl/>
          <w:lang w:bidi="ar-EG"/>
        </w:rPr>
      </w:pPr>
    </w:p>
    <w:p w14:paraId="5B954EA3" w14:textId="77777777" w:rsidR="00B500F9" w:rsidRDefault="00B500F9" w:rsidP="00B500F9">
      <w:pPr>
        <w:rPr>
          <w:rtl/>
          <w:lang w:bidi="ar-EG"/>
        </w:rPr>
      </w:pPr>
    </w:p>
    <w:p w14:paraId="09F6A526" w14:textId="77777777" w:rsidR="00B500F9" w:rsidRPr="009F4503" w:rsidRDefault="00B500F9" w:rsidP="00B500F9">
      <w:pPr>
        <w:rPr>
          <w:rtl/>
          <w:lang w:bidi="ar-EG"/>
        </w:rPr>
      </w:pPr>
    </w:p>
    <w:p w14:paraId="562A65CA" w14:textId="77777777" w:rsidR="00B500F9" w:rsidRDefault="00B500F9" w:rsidP="00B500F9">
      <w:pPr>
        <w:pStyle w:val="Heading2"/>
        <w:rPr>
          <w:rtl/>
        </w:rPr>
      </w:pPr>
      <w:bookmarkStart w:id="36" w:name="_Toc172397786"/>
      <w:bookmarkStart w:id="37" w:name="_Toc172746099"/>
      <w:bookmarkStart w:id="38" w:name="_Toc191138780"/>
      <w:r w:rsidRPr="0048136D">
        <w:rPr>
          <w:rtl/>
        </w:rPr>
        <w:t>الدراسات السابقة</w:t>
      </w:r>
      <w:bookmarkStart w:id="39" w:name="_Toc172397787"/>
      <w:bookmarkStart w:id="40" w:name="_Toc172746100"/>
      <w:bookmarkEnd w:id="36"/>
      <w:bookmarkEnd w:id="37"/>
      <w:bookmarkEnd w:id="38"/>
    </w:p>
    <w:p w14:paraId="338FDF0F" w14:textId="77777777" w:rsidR="00B500F9" w:rsidRDefault="00B500F9" w:rsidP="00B500F9">
      <w:pPr>
        <w:pStyle w:val="NoSpacing"/>
        <w:rPr>
          <w:rtl/>
        </w:rPr>
      </w:pPr>
      <w:r w:rsidRPr="006217A0">
        <w:rPr>
          <w:rtl/>
        </w:rPr>
        <w:t>تضع الدول في جميع أنحاء العالم تدابير قانونية لتقليل الآثار الضارة للتدهور البيئي. في سياق رؤية المملكة العربية السعودية 2030، بحثت هذه الدراسة في كيفية تفاعل انبعاثات ثاني أكسيد الكربون وبعض العوامل الاقتصادية الأخرى. تم فحص الديناميكيات قصيرة الأجل والتفاعلات طويلة الأجل بين المتغيرات قيد الدراسة (1970-2020) باستخدام نموذج الانحدار الذاتي للتأخر الموزع (</w:t>
      </w:r>
      <w:r w:rsidRPr="006217A0">
        <w:t>ARDL</w:t>
      </w:r>
      <w:r w:rsidRPr="006217A0">
        <w:rPr>
          <w:rtl/>
        </w:rPr>
        <w:t xml:space="preserve">). زادت انبعاثات غازات الاحتباس الحراري من جميع القطاعات في المملكة </w:t>
      </w:r>
      <w:r w:rsidRPr="006217A0">
        <w:rPr>
          <w:rtl/>
        </w:rPr>
        <w:lastRenderedPageBreak/>
        <w:t>العربية السعودية بشكل ملحوظ (</w:t>
      </w:r>
      <w:r w:rsidRPr="006217A0">
        <w:t>p &lt; 0.05</w:t>
      </w:r>
      <w:r w:rsidRPr="006217A0">
        <w:rPr>
          <w:rtl/>
        </w:rPr>
        <w:t>) وفقًا لاختبار مان-</w:t>
      </w:r>
      <w:proofErr w:type="spellStart"/>
      <w:r w:rsidRPr="006217A0">
        <w:rPr>
          <w:rtl/>
        </w:rPr>
        <w:t>كيندال</w:t>
      </w:r>
      <w:proofErr w:type="spellEnd"/>
      <w:r w:rsidRPr="006217A0">
        <w:rPr>
          <w:rtl/>
        </w:rPr>
        <w:t xml:space="preserve"> (</w:t>
      </w:r>
      <w:r w:rsidRPr="006217A0">
        <w:t>MK</w:t>
      </w:r>
      <w:r w:rsidRPr="006217A0">
        <w:rPr>
          <w:rtl/>
        </w:rPr>
        <w:t>). شهدت التدفئة والكهرباء أكبر الزيادات، حيث مثلت 7345454.47 طنًا من مكافئ ثاني أكسيد الكربون سنويًا (</w:t>
      </w:r>
      <w:r w:rsidRPr="006217A0">
        <w:t>p &lt; 0.05</w:t>
      </w:r>
      <w:r w:rsidRPr="006217A0">
        <w:rPr>
          <w:rtl/>
        </w:rPr>
        <w:t xml:space="preserve">). ومع ذلك، وفقًا لنموذج </w:t>
      </w:r>
      <w:r w:rsidRPr="006217A0">
        <w:t>ARDL</w:t>
      </w:r>
      <w:r w:rsidRPr="006217A0">
        <w:rPr>
          <w:rtl/>
        </w:rPr>
        <w:t xml:space="preserve">، فإن انبعاثات ثاني أكسيد الكربون من الناتج المحلي الإجمالي والزراعة والصناعة والخدمات وإنتاج النفط لها تأثير مباشر على البيئة. وبالتالي، فإن الناتج المحلي الإجمالي وإنتاج النفط والخدمات والزراعة تساهم جميعها في ارتفاع انبعاثات ثاني أكسيد الكربون. من ناحية أخرى، تساعد الصناعة في تقليل انبعاثات ثاني أكسيد الكربون. بالإضافة إلى ذلك، ووفقًا لنموذج </w:t>
      </w:r>
      <w:r w:rsidRPr="006217A0">
        <w:t>ARDL</w:t>
      </w:r>
      <w:r w:rsidRPr="006217A0">
        <w:rPr>
          <w:rtl/>
        </w:rPr>
        <w:t>، فإن زيادة الناتج المحلي الإجمالي بنسبة 1% ترفع انبعاثات ثاني أكسيد الكربون بنسبة 3.46%، وزيادة إنتاج النفط بنسبة 1% ترفع انبعاثات ثاني أكسيد الكربون بنسبة 4.04%. من ناحية أخرى، تنخفض انبعاثات ثاني أكسيد الكربون بنسبة 7.25% لكل زيادة بنسبة 1% في الصناعة. لنتائج هذه الدراسة آثار على السياسات الوطنية في معالجة القضايا البيئية</w:t>
      </w:r>
      <w:sdt>
        <w:sdtPr>
          <w:rPr>
            <w:rtl/>
          </w:rPr>
          <w:id w:val="-110503586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Alt24 \l 3073</w:instrText>
          </w:r>
          <w:r>
            <w:rPr>
              <w:rtl/>
            </w:rPr>
            <w:instrText xml:space="preserve"> </w:instrText>
          </w:r>
          <w:r>
            <w:rPr>
              <w:rtl/>
            </w:rPr>
            <w:fldChar w:fldCharType="separate"/>
          </w:r>
          <w:r>
            <w:rPr>
              <w:noProof/>
              <w:rtl/>
            </w:rPr>
            <w:t xml:space="preserve"> </w:t>
          </w:r>
          <w:r>
            <w:rPr>
              <w:rFonts w:hint="cs"/>
              <w:noProof/>
              <w:rtl/>
            </w:rPr>
            <w:t>(</w:t>
          </w:r>
          <w:r>
            <w:rPr>
              <w:rFonts w:hint="cs"/>
              <w:noProof/>
            </w:rPr>
            <w:t>Altouma</w:t>
          </w:r>
          <w:r>
            <w:rPr>
              <w:rFonts w:hint="cs"/>
              <w:noProof/>
              <w:rtl/>
            </w:rPr>
            <w:t>، 2024)</w:t>
          </w:r>
          <w:r>
            <w:rPr>
              <w:rtl/>
            </w:rPr>
            <w:fldChar w:fldCharType="end"/>
          </w:r>
        </w:sdtContent>
      </w:sdt>
      <w:r w:rsidRPr="006217A0">
        <w:rPr>
          <w:rtl/>
        </w:rPr>
        <w:t>.</w:t>
      </w:r>
    </w:p>
    <w:p w14:paraId="316D12C6" w14:textId="77777777" w:rsidR="00B500F9" w:rsidRDefault="00B500F9" w:rsidP="00B500F9">
      <w:pPr>
        <w:pStyle w:val="NoSpacing"/>
        <w:rPr>
          <w:rtl/>
        </w:rPr>
      </w:pPr>
      <w:r w:rsidRPr="00A0682F">
        <w:rPr>
          <w:rtl/>
        </w:rPr>
        <w:t>يساعد إطار العمل المعروف باسم الحوكمة البيئية والاجتماعية (</w:t>
      </w:r>
      <w:r w:rsidRPr="00A0682F">
        <w:t>ESG</w:t>
      </w:r>
      <w:r w:rsidRPr="00A0682F">
        <w:rPr>
          <w:rtl/>
        </w:rPr>
        <w:t xml:space="preserve">) الخدمات المالية الدولية على وضع خطط استراتيجية للحد من المخاطر التشغيلية والمالية والعمل نحو أهداف التنمية المستدامة للأمم المتحدة. وعلى الرغم من صعوبة قياسها ماليًا، فإن أصحاب المصلحة يعتبرون </w:t>
      </w:r>
      <w:r w:rsidRPr="00A0682F">
        <w:t>ESG</w:t>
      </w:r>
      <w:r w:rsidRPr="00A0682F">
        <w:rPr>
          <w:rtl/>
        </w:rPr>
        <w:t xml:space="preserve"> قيمة حيوية عند تخطيط استثماراتهم في سوق رأس المال نظرًا لأن هذه الجوانب لديها القدرة على الاستفادة من مقايضات المخاطر والعائد. تتطلب مرونة نماذج أعمال الشركات في التكيف مع التغيرات في البيئة الاقتصادية أن يأخذ أصحاب المصلحة الخارجيون تقارير </w:t>
      </w:r>
      <w:r w:rsidRPr="00A0682F">
        <w:t>ESG</w:t>
      </w:r>
      <w:r w:rsidRPr="00A0682F">
        <w:rPr>
          <w:rtl/>
        </w:rPr>
        <w:t xml:space="preserve"> في الاعتبار في الأسواق المالية العالمية غير المستقرة. ونظرًا لقدرتهم على الاستفادة من مقايضات المخاطر والعائد وتعزيز التنمية المستدامة، فإن أصحاب المصلحة الخارجيين مثل البورصات والمستثمرين والمحللين الماليين والشركات يطالبون بشكل متزايد بتقارير </w:t>
      </w:r>
      <w:r w:rsidRPr="00A0682F">
        <w:t>ESG</w:t>
      </w:r>
      <w:r w:rsidRPr="00A0682F">
        <w:rPr>
          <w:rtl/>
        </w:rPr>
        <w:t xml:space="preserve"> والبحوث. باستخدام خوارزميات تصنيف محددة، تدرس الدراسة الحالية درجات </w:t>
      </w:r>
      <w:r w:rsidRPr="00A0682F">
        <w:t>ESG</w:t>
      </w:r>
      <w:r w:rsidRPr="00A0682F">
        <w:rPr>
          <w:rtl/>
        </w:rPr>
        <w:t xml:space="preserve"> لكل سهم مدرج في مؤشر تداول لجميع الأسهم (</w:t>
      </w:r>
      <w:r w:rsidRPr="00A0682F">
        <w:t>TASI</w:t>
      </w:r>
      <w:r w:rsidRPr="00A0682F">
        <w:rPr>
          <w:rtl/>
        </w:rPr>
        <w:t>). تُظهر نتائج التحليل الوضع الراهن للاستدامة في قطاع الأعمال السعودي، وتُقدم توصياتٍ حول كيفية استخدام المستثمرين الأخلاقيين لتصنيفات الحوكمة البيئية والاجتماعية والمؤسسية (</w:t>
      </w:r>
      <w:r w:rsidRPr="00A0682F">
        <w:t>ESG</w:t>
      </w:r>
      <w:r w:rsidRPr="00A0682F">
        <w:rPr>
          <w:rtl/>
        </w:rPr>
        <w:t>) لإيجاد قيمة استثمارية، وكيف تُعزز مزايا هذا المؤشر الوثيق والموثوق والمتسق استدامة سوق الأسهم على المدى الطويل. بفضل نتائج الدراسة، سيتمكن المستثمرون من تخطيط خياراتهم الاستثمارية المتعلقة بسوق رأس المال. تُظهر نتائج التحليل الوضع المستدام للشركات السعودية اليوم، وتُقدم نصائح حول كيفية استخدام المستثمرين الأخلاقيين لتصنيفات الحوكمة البيئية والاجتماعية والمؤسسية لإيجاد قيمة استثمارية، مع مراعاة العوامل المهمة المؤثرة على نجاح الأعمال والاستثمار</w:t>
      </w:r>
      <w:sdt>
        <w:sdtPr>
          <w:rPr>
            <w:rtl/>
          </w:rPr>
          <w:id w:val="-151229086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Vin20 \l 3073</w:instrText>
          </w:r>
          <w:r>
            <w:rPr>
              <w:rtl/>
            </w:rPr>
            <w:instrText xml:space="preserve"> </w:instrText>
          </w:r>
          <w:r>
            <w:rPr>
              <w:rtl/>
            </w:rPr>
            <w:fldChar w:fldCharType="separate"/>
          </w:r>
          <w:r>
            <w:rPr>
              <w:noProof/>
              <w:rtl/>
            </w:rPr>
            <w:t xml:space="preserve"> </w:t>
          </w:r>
          <w:r>
            <w:rPr>
              <w:rFonts w:hint="cs"/>
              <w:noProof/>
              <w:rtl/>
            </w:rPr>
            <w:t>(</w:t>
          </w:r>
          <w:r>
            <w:rPr>
              <w:rFonts w:hint="cs"/>
              <w:noProof/>
            </w:rPr>
            <w:t>Vinodkumar</w:t>
          </w:r>
          <w:r>
            <w:rPr>
              <w:rFonts w:hint="cs"/>
              <w:noProof/>
              <w:rtl/>
            </w:rPr>
            <w:t>، 2020)</w:t>
          </w:r>
          <w:r>
            <w:rPr>
              <w:rtl/>
            </w:rPr>
            <w:fldChar w:fldCharType="end"/>
          </w:r>
        </w:sdtContent>
      </w:sdt>
      <w:r w:rsidRPr="00A0682F">
        <w:rPr>
          <w:rtl/>
        </w:rPr>
        <w:t>.</w:t>
      </w:r>
    </w:p>
    <w:p w14:paraId="407604FB" w14:textId="77777777" w:rsidR="00B500F9" w:rsidRPr="006217A0" w:rsidRDefault="00B500F9" w:rsidP="00B500F9">
      <w:pPr>
        <w:pStyle w:val="NoSpacing"/>
        <w:rPr>
          <w:rtl/>
        </w:rPr>
      </w:pPr>
      <w:r w:rsidRPr="009760E3">
        <w:rPr>
          <w:rtl/>
        </w:rPr>
        <w:lastRenderedPageBreak/>
        <w:t>من خلال تحديد مناطق الفيضانات في موقع معين باستخدام الأدوات الهيدرولوجية والهيدروليكية المناسبة، يمكن التخفيف من آثار الفيضانات. باستخدام دراسة حالة لطيبة وحوض الجامعة الإسلامية في المدينة المنورة، المملكة العربية السعودية، تقترح هذه الورقة تقنية مصفوفة المخاطر. يتم دمج النماذج الهيدرولوجية والهيدروليكية لتحديد مناطق غمر الفيضانات، والتي تشكل أساس التحليل. بناءً على احتمالية حدوث الفيضانات وعمق الغمر المقابل، يتم إنشاء مصفوفة مخاطر الفيضانات. ينقسم معيار مصفوفة المخاطر إلى ثلاث فئات بناءً على مستوى المخاطر: عالية ومتوسطة ومنخفضة. وفقًا للدراسة النموذجية، قد يكون هناك خطر متوسط إلى مرتفع للفيضانات مع فترات إعادة تشغيل تبلغ 50 و100 عام، وهناك خطر منخفض إلى متوسط لتكرار الفيضانات مع فترات عودة تبلغ 5 سنوات. يتم عرض النتائج على صورة قمر صناعي ثنائية الأبعاد تسلط الضوء على المناطق المعرضة للفيضانات. لتحديد حجم المناطق المتضررة وتقييم مدى الضرر وتداعياته الاقتصادية، عُرضت لمحة كمية عن النتائج بصريًا. وتُعدّ مصفوفة مخاطر الفيضانات، التي طُوّرت كأداة كمية لتقييم الأضرار، أساسيةً لصانعي القرار</w:t>
      </w:r>
      <w:sdt>
        <w:sdtPr>
          <w:rPr>
            <w:rtl/>
          </w:rPr>
          <w:id w:val="97379598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Abd18 \l 3073</w:instrText>
          </w:r>
          <w:r>
            <w:rPr>
              <w:rtl/>
            </w:rPr>
            <w:instrText xml:space="preserve"> </w:instrText>
          </w:r>
          <w:r>
            <w:rPr>
              <w:rtl/>
            </w:rPr>
            <w:fldChar w:fldCharType="separate"/>
          </w:r>
          <w:r>
            <w:rPr>
              <w:noProof/>
              <w:rtl/>
            </w:rPr>
            <w:t xml:space="preserve"> </w:t>
          </w:r>
          <w:r>
            <w:rPr>
              <w:rFonts w:hint="cs"/>
              <w:noProof/>
              <w:rtl/>
            </w:rPr>
            <w:t>(</w:t>
          </w:r>
          <w:r>
            <w:rPr>
              <w:rFonts w:hint="cs"/>
              <w:noProof/>
            </w:rPr>
            <w:t>Abdulrazzak</w:t>
          </w:r>
          <w:r>
            <w:rPr>
              <w:rFonts w:hint="cs"/>
              <w:noProof/>
              <w:rtl/>
            </w:rPr>
            <w:t>، 2018)</w:t>
          </w:r>
          <w:r>
            <w:rPr>
              <w:rtl/>
            </w:rPr>
            <w:fldChar w:fldCharType="end"/>
          </w:r>
        </w:sdtContent>
      </w:sdt>
      <w:r w:rsidRPr="009760E3">
        <w:rPr>
          <w:rtl/>
        </w:rPr>
        <w:t>.</w:t>
      </w:r>
    </w:p>
    <w:p w14:paraId="0AA9DCDD" w14:textId="77777777" w:rsidR="00B500F9" w:rsidRDefault="00B500F9" w:rsidP="00B500F9">
      <w:pPr>
        <w:pStyle w:val="NoSpacing"/>
        <w:rPr>
          <w:rtl/>
        </w:rPr>
      </w:pPr>
      <w:r w:rsidRPr="0030320C">
        <w:rPr>
          <w:rtl/>
        </w:rPr>
        <w:t>مع انتقالها من اقتصاد قائم على النفط إلى اقتصاد أوسع وأكثر استدامة، تمر المملكة العربية السعودية بتحول اقتصادي. ويُعد تعدين الفوسفات، الذي يتم التحقيق فيه في هذه الورقة، أحد جوانب الاقتصاد الجديد الذي ينطوي على استغلال الموارد المعدنية الوفيرة في البلاد. واستنادًا إلى البحث، وُجد أن المسؤولية الاجتماعية للشركات وإدارة مخاطر المؤسسات أفكار جديدة نسبيًا، لا سيما في سياق المملكة العربية السعودية. ونتيجة لذلك، لا يُعرف الكثير عن كيفية تطبيقها في دولة نامية. وقد تمت الإشارة إلى حالة مشروع وعد الشمال من أجل النظر عن كثب في مدى شيوع بعض الأدوات والإجراءات في هذا القطاع. وتتناول هذه الدراسة ثلاثة مواضيع بحثية محددة: 1. ما هو تأثير إدارة مخاطر المؤسسات (</w:t>
      </w:r>
      <w:r w:rsidRPr="0030320C">
        <w:t>ERM</w:t>
      </w:r>
      <w:r w:rsidRPr="0030320C">
        <w:rPr>
          <w:rtl/>
        </w:rPr>
        <w:t>) على الأداء التنظيمي؟ 2. كيف يتأثر أداء المؤسسة بالمسؤولية الاجتماعية للشركات (</w:t>
      </w:r>
      <w:r w:rsidRPr="0030320C">
        <w:t>CSR</w:t>
      </w:r>
      <w:r w:rsidRPr="0030320C">
        <w:rPr>
          <w:rtl/>
        </w:rPr>
        <w:t xml:space="preserve">)؟ 3. كيف يتأثر أداء المؤسسة بمزيج إدارة مخاطر المؤسسات والمسؤولية الاجتماعية للشركات؟ اعتمدت الدراسة نهجًا متعدد الأساليب على ثلاثة مستويات (محلي أو جزئي، وطني أو متوسط، وعالمي أو كلي) لمعالجة هذه المشكلات. واستُخدمت دراسة حالة من الأدبيات حول أربعة مناجم، واستطلاعان عبر الإنترنت (كلي ومتوسط)، ومجموعات تركيز ومقابلات على المستوى الجزئي لجمع البيانات. وأظهرت استنتاجات الدراسة أن القطاع يسعى جاهدًا ليصبح أكثر استدامة، ويدرك مزايا دمج المسؤولية الاجتماعية للشركات مع إدارة المخاطر المؤسسية. ولا تقتصر المساهمة الرئيسية لهذه الدراسة على المملكة العربية السعودية فحسب، بل تنطبق أيضًا على الدول النامية حيث تُعدّ المسؤولية الاجتماعية للشركات وإدارة المخاطر المؤسسية مفاهيم جديدة. ويمكن الاستفادة من هذا الفهم المُحسّن لإظهار كيف يُمكن لدمج إدارة المخاطر المؤسسية </w:t>
      </w:r>
      <w:r w:rsidRPr="0030320C">
        <w:rPr>
          <w:rtl/>
        </w:rPr>
        <w:lastRenderedPageBreak/>
        <w:t>والمسؤولية الاجتماعية للشركات أن يُعزز الأداء في عمليات التعدين الأخرى داخل المملكة وخارجها. ويُضمّن التقرير مُلخصًا لبرامج عالمية مثل المجلس الدولي للتعدين والمعادن (</w:t>
      </w:r>
      <w:r w:rsidRPr="0030320C">
        <w:t>ICMM</w:t>
      </w:r>
      <w:r w:rsidRPr="0030320C">
        <w:rPr>
          <w:rtl/>
        </w:rPr>
        <w:t>) والهيئة الدولية لإدارة المخاطر المؤسسية (</w:t>
      </w:r>
      <w:r w:rsidRPr="0030320C">
        <w:t>IRMA</w:t>
      </w:r>
      <w:r w:rsidRPr="0030320C">
        <w:rPr>
          <w:rtl/>
        </w:rPr>
        <w:t>)، حيث يُؤكد أيضًا على أوجه التشابه في المخاطر التي تواجهها شركات التعدين بجميع أنواعها عالميًا. ولجعل التعدين الدولي آمنًا ومستدامًا قدر الإمكان، يُمكن استخدام هذه الأطر والجهود العالمية جنبًا إلى جنب مع إدارة المخاطر المؤسسية والمسؤولية الاجتماعية للشركات</w:t>
      </w:r>
      <w:sdt>
        <w:sdtPr>
          <w:rPr>
            <w:rtl/>
          </w:rPr>
          <w:id w:val="-120201869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ALS24 \l 3073</w:instrText>
          </w:r>
          <w:r>
            <w:rPr>
              <w:rtl/>
            </w:rPr>
            <w:instrText xml:space="preserve"> </w:instrText>
          </w:r>
          <w:r>
            <w:rPr>
              <w:rtl/>
            </w:rPr>
            <w:fldChar w:fldCharType="separate"/>
          </w:r>
          <w:r>
            <w:rPr>
              <w:noProof/>
              <w:rtl/>
            </w:rPr>
            <w:t xml:space="preserve"> </w:t>
          </w:r>
          <w:r>
            <w:rPr>
              <w:rFonts w:hint="cs"/>
              <w:noProof/>
              <w:rtl/>
            </w:rPr>
            <w:t>(</w:t>
          </w:r>
          <w:r>
            <w:rPr>
              <w:rFonts w:hint="cs"/>
              <w:noProof/>
            </w:rPr>
            <w:t>ALSHAMMRY</w:t>
          </w:r>
          <w:r>
            <w:rPr>
              <w:rFonts w:hint="cs"/>
              <w:noProof/>
              <w:rtl/>
            </w:rPr>
            <w:t>، 2024)</w:t>
          </w:r>
          <w:r>
            <w:rPr>
              <w:rtl/>
            </w:rPr>
            <w:fldChar w:fldCharType="end"/>
          </w:r>
        </w:sdtContent>
      </w:sdt>
      <w:r w:rsidRPr="0030320C">
        <w:rPr>
          <w:rtl/>
        </w:rPr>
        <w:t>.</w:t>
      </w:r>
    </w:p>
    <w:p w14:paraId="318ACF4C" w14:textId="77777777" w:rsidR="00B500F9" w:rsidRDefault="00B500F9" w:rsidP="00B500F9">
      <w:pPr>
        <w:pStyle w:val="NoSpacing"/>
        <w:rPr>
          <w:rtl/>
        </w:rPr>
      </w:pPr>
      <w:r w:rsidRPr="00DF5FCB">
        <w:rPr>
          <w:rtl/>
        </w:rPr>
        <w:t>كجزء من رؤيتها 2030 للانتقال من اقتصاد يعتمد على النفط إلى اقتصاد قائم على المعرفة، اقترحت المملكة العربية السعودية مشروعًا جديدًا يسمى مدينة نيوم، والذي تم التخطيط له على ساحل البحر الأحمر ويتضمن عددًا من الجوانب المميزة والصعبة. ومع ذلك، تأتي المبادرة مع عدد من المخاطر والصعوبات، والتي يجب دراستها جميعًا بعناية من أجل وضع وتنفيذ خطط التسويق والترويج. ونظرًا لحجم المشروع ونطاقه، فإن الهدف من هذه الدراسة هو تحديد وتقييم الإعدادات الرئيسية والمخاطر ذات الصلة بما يتماشى مع أهداف المدينة المخطط لها. تم جمع البيانات حول خطورة المخاطر التي تم العثور عليها وتصنيفها في مراجعة الأدبيات من خلال استطلاع رأي عبر الإنترنت باستخدام الاستبيانات. لاختيار متخصصين من مختلف الجهات الحكومية للمشاركة في الدراسة، تم استخدام استراتيجية أخذ العينات الهادفة. وشكل ما مجموعه 417 متطوعًا مطلعًا من مختلف الوزارات والإدارات السعودية العينة النهائية. كانت المخاطر القانونية والتعاقدية والتشغيلية ومخاطر القوة القاهرة ومخاطر الموارد البشرية والمالية والتكنولوجية والسياسية والبيئية والاجتماعية والثقافية من بين فئات المخاطر والمشاكل الإحدى عشرة التي تم تحديدها. وشملت هذه المخاطر تحديات التصميم. وفي حين وُجد أن المخاطر البيئية (متوسط التأثير = 2.7) والقانونية (متوسط التأثير = 2.5) ومخاطر القوة القاهرة (متوسط التأثير = 2.2) منخفضة الخطورة، فإن المخاطر المرتبطة بالموارد البشرية (متوسط التأثير = 4) وعوامل التكنولوجيا (متوسط التأثير = 4) والمخاطر التعاقدية (متوسط التأثير = 3.9) كانت عالية جدًا. تتطلب إدارة المشاريع الضخمة تخطيطًا وتنفيذًا فعالين، بالإضافة إلى تقنيات تقييم المخاطر والحد منها. ولتحقيق النجاح، من الضروري أيضًا التعامل مع مجموعة متنوعة من العوامل المؤثرة خلال مرحلة التنفيذ، وخاصةً الخيارات الحكومية</w:t>
      </w:r>
      <w:sdt>
        <w:sdtPr>
          <w:rPr>
            <w:rtl/>
          </w:rPr>
          <w:id w:val="-88202098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Alg221 \l 3073</w:instrText>
          </w:r>
          <w:r>
            <w:rPr>
              <w:rtl/>
            </w:rPr>
            <w:instrText xml:space="preserve"> </w:instrText>
          </w:r>
          <w:r>
            <w:rPr>
              <w:rtl/>
            </w:rPr>
            <w:fldChar w:fldCharType="separate"/>
          </w:r>
          <w:r>
            <w:rPr>
              <w:noProof/>
              <w:rtl/>
            </w:rPr>
            <w:t xml:space="preserve"> </w:t>
          </w:r>
          <w:r>
            <w:rPr>
              <w:rFonts w:hint="cs"/>
              <w:noProof/>
              <w:rtl/>
            </w:rPr>
            <w:t>(</w:t>
          </w:r>
          <w:r>
            <w:rPr>
              <w:rFonts w:hint="cs"/>
              <w:noProof/>
            </w:rPr>
            <w:t>Algumzi</w:t>
          </w:r>
          <w:r>
            <w:rPr>
              <w:rFonts w:hint="cs"/>
              <w:noProof/>
              <w:rtl/>
            </w:rPr>
            <w:t>، 2022)</w:t>
          </w:r>
          <w:r>
            <w:rPr>
              <w:rtl/>
            </w:rPr>
            <w:fldChar w:fldCharType="end"/>
          </w:r>
        </w:sdtContent>
      </w:sdt>
      <w:r w:rsidRPr="00DF5FCB">
        <w:rPr>
          <w:rtl/>
        </w:rPr>
        <w:t>.</w:t>
      </w:r>
    </w:p>
    <w:p w14:paraId="353F5540" w14:textId="77777777" w:rsidR="00B500F9" w:rsidRDefault="00B500F9" w:rsidP="00B500F9">
      <w:pPr>
        <w:pStyle w:val="NoSpacing"/>
        <w:rPr>
          <w:rtl/>
        </w:rPr>
      </w:pPr>
      <w:r w:rsidRPr="00ED2BCA">
        <w:rPr>
          <w:rtl/>
        </w:rPr>
        <w:t xml:space="preserve">تعمل جميع دول العالم على احتواء جائحة كوفيد-19، وتواجه حكوماتها ضغوطًا وصعوبات غير مسبوقة. ونظرًا لأن كوفيد-19 تسبب في انكماش اجتماعي واقتصادي وتدهور في الأنظمة الصحية، يمكن توضيح أساليب مختلفة لبناء سياسات صحية واجتماعية واقتصادية تركز على المواطن من خلال الرؤى والدروس المستفادة من بعض الدول. وقد وضعت المملكة العربية السعودية عددًا من السياسات والخطط لوقف انتشار الجائحة وإنقاذ الأرواح. ونتيجة لذلك، </w:t>
      </w:r>
      <w:r w:rsidRPr="00ED2BCA">
        <w:rPr>
          <w:rtl/>
        </w:rPr>
        <w:lastRenderedPageBreak/>
        <w:t>ندرس كيفية مكافحة نظام الحد من مخاطر الكوارث السعودي (</w:t>
      </w:r>
      <w:r w:rsidRPr="00ED2BCA">
        <w:t>DRRS</w:t>
      </w:r>
      <w:r w:rsidRPr="00ED2BCA">
        <w:rPr>
          <w:rtl/>
        </w:rPr>
        <w:t>) لانتشار الفيروس وتوفير بيئة آمنة لصحة السكان. ونوثق ونحلل إطار عمل إدارة مخاطر الأزمات والكوارث ضمن عملية إدارة المخاطر باستخدام أسلوب دراسة الحالة النوعية. وعند دراسة ظاهرة ما في بيئاتها ومواقفها الفعلية، تعمل منهجية دراسة الحالة بكفاءة. لذلك، نعرض الدروس المستفادة من تجربة المملكة العربية السعودية في إدارة مخاطر الكوارث في مكافحة وباء كوفيد-19. المستويات الرئيسية الثلاثة لنظام الحد من مخاطر الكوارث في المملكة العربية السعودية (</w:t>
      </w:r>
      <w:r w:rsidRPr="00ED2BCA">
        <w:t>DRRS</w:t>
      </w:r>
      <w:r w:rsidRPr="00ED2BCA">
        <w:rPr>
          <w:rtl/>
        </w:rPr>
        <w:t>) هي الاستراتيجية، والتشغيلية، والتكتيكية، كما اكتشفنا خلال جائحة كوفيد-19. بالإضافة إلى إجراء عمليات تدقيق ومراقبة لوحدات إدارة الأزمات اللامركزية الشاملة على المستويين التكتيكي والتشغيلي، يُمثل المستوى الاستراتيجي قسم التخطيط الاستراتيجي. وتشير النتائج إلى ثلاثة آثار سياسية: الحفاظ على الوعي العام على المستوى الوطني، والحفاظ على المرونة في إطار الإدارة الوطنية، وتعزيز الحوكمة الرشيدة على مستوى الإدارة المحلية. خلال المراحل الأربع للتخفيف (الاستعداد)، والتأهب، والاستجابة (التنفيذ)، والتعافي (بعد كوفيد-19)، هناك حاجة إلى تدخلات متعددة المستويات لحماية الأفراد المعرضين للخطر في سياق جائحة كوفيد-</w:t>
      </w:r>
      <w:r>
        <w:rPr>
          <w:rFonts w:hint="cs"/>
          <w:rtl/>
        </w:rPr>
        <w:t xml:space="preserve"> </w:t>
      </w:r>
      <w:r w:rsidRPr="00ED2BCA">
        <w:rPr>
          <w:rtl/>
        </w:rPr>
        <w:t>19</w:t>
      </w:r>
      <w:r>
        <w:rPr>
          <w:rFonts w:hint="cs"/>
          <w:rtl/>
        </w:rPr>
        <w:t xml:space="preserve"> </w:t>
      </w:r>
      <w:sdt>
        <w:sdtPr>
          <w:rPr>
            <w:rtl/>
          </w:rPr>
          <w:id w:val="50887388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Jaz21 \l 3073</w:instrText>
          </w:r>
          <w:r>
            <w:rPr>
              <w:rtl/>
            </w:rPr>
            <w:instrText xml:space="preserve"> </w:instrText>
          </w:r>
          <w:r>
            <w:rPr>
              <w:rtl/>
            </w:rPr>
            <w:fldChar w:fldCharType="separate"/>
          </w:r>
          <w:r>
            <w:rPr>
              <w:rFonts w:hint="cs"/>
              <w:noProof/>
              <w:rtl/>
            </w:rPr>
            <w:t>(</w:t>
          </w:r>
          <w:r>
            <w:rPr>
              <w:rFonts w:hint="cs"/>
              <w:noProof/>
            </w:rPr>
            <w:t>Jaziri</w:t>
          </w:r>
          <w:r>
            <w:rPr>
              <w:rFonts w:hint="cs"/>
              <w:noProof/>
              <w:rtl/>
            </w:rPr>
            <w:t>، 2021)</w:t>
          </w:r>
          <w:r>
            <w:rPr>
              <w:rtl/>
            </w:rPr>
            <w:fldChar w:fldCharType="end"/>
          </w:r>
        </w:sdtContent>
      </w:sdt>
      <w:r>
        <w:rPr>
          <w:rFonts w:hint="cs"/>
          <w:rtl/>
        </w:rPr>
        <w:t xml:space="preserve"> .</w:t>
      </w:r>
    </w:p>
    <w:p w14:paraId="59B64C65" w14:textId="77777777" w:rsidR="00B500F9" w:rsidRDefault="00B500F9" w:rsidP="00B500F9">
      <w:pPr>
        <w:pStyle w:val="NoSpacing"/>
        <w:rPr>
          <w:rtl/>
        </w:rPr>
      </w:pPr>
      <w:r w:rsidRPr="007D7D81">
        <w:rPr>
          <w:rtl/>
        </w:rPr>
        <w:t>يتناول هذا المقال، في فترة وجيزة، مبادرات الحد من مخاطر الكوارث الحالية في المملكة العربية السعودية، وهي دولة معرضة لمجموعة من الكوارث، مثل الحر الشديد والجفاف والفيضانات والغبار والعواصف الرملية، بالإضافة إلى تهديدات الإرهاب والعنف. كان هدفنا تقديم رؤى آنية حول مبادرات الحد من مخاطر الكوارث باستخدام أسلوب مراجعة سريع، مع التركيز على البيئة الجغرافية والاجتماعية والسياسية المتميزة للمملكة العربية السعودية. تُعد هذه الدراسة دليلاً قيّماً للمناطق الخطرة المماثلة حول العالم. يغطي تقييمنا التقدم الذي أحرزته المملكة العربية السعودية في مجالات مهمة، مثل تحسين البنية التحتية وقوانين البناء، وإنشاء أنظمة الإنذار المبكر، وزيادة الوعي العام، وتعزيز قدرات الاستجابة للكوارث. على الرغم من أن المملكة العربية السعودية قد أحرزت تقدماً كبيراً في تطبيق أفضل الممارسات العالمية للحد من مخاطر الكوارث، إلا أن تحليلنا أشار أيضاً إلى بعض المجالات التي تحتاج إلى تحسين. وتشمل هذه التحسينات المستمرة في مهارات الاستجابة للطوارئ، وحملات التوعية العامة الأوسع نطاقاً، وأنظمة الإنذار المبكر الأكثر تطوراً. يُسلط هذا التقييم الضوء على تدابير بناء المرونة التي طبقتها المملكة العربية السعودية، ويقدم رؤى مهمة حول الإمكانات والصعوبات التي تواجه مبادرات الحد من مخاطر الكوارث في البلاد. تُقدم نتائجنا، المستندة إلى حالات مُحددة من كوارث سابقة، رؤيةً ثاقبةً للعوامل الواقعية لتحسين إدارة مخاطر الكوارث. ويمكن لهذه العوامل أن تؤثر على السياسات العامة، وترفع مستوى الوعي، وتُساعد المملكة العربية السعودية على بناء مستقبل أكثر أمانًا ومرونة</w:t>
      </w:r>
      <w:sdt>
        <w:sdtPr>
          <w:rPr>
            <w:rtl/>
          </w:rPr>
          <w:id w:val="167792607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AlW23 \l 3073</w:instrText>
          </w:r>
          <w:r>
            <w:rPr>
              <w:rtl/>
            </w:rPr>
            <w:instrText xml:space="preserve"> </w:instrText>
          </w:r>
          <w:r>
            <w:rPr>
              <w:rtl/>
            </w:rPr>
            <w:fldChar w:fldCharType="separate"/>
          </w:r>
          <w:r>
            <w:rPr>
              <w:noProof/>
              <w:rtl/>
            </w:rPr>
            <w:t xml:space="preserve"> </w:t>
          </w:r>
          <w:r>
            <w:rPr>
              <w:rFonts w:hint="cs"/>
              <w:noProof/>
              <w:rtl/>
            </w:rPr>
            <w:t>(</w:t>
          </w:r>
          <w:r>
            <w:rPr>
              <w:rFonts w:hint="cs"/>
              <w:noProof/>
            </w:rPr>
            <w:t>Al-Wathinani</w:t>
          </w:r>
          <w:r>
            <w:rPr>
              <w:rFonts w:hint="cs"/>
              <w:noProof/>
              <w:rtl/>
            </w:rPr>
            <w:t>، 2023)</w:t>
          </w:r>
          <w:r>
            <w:rPr>
              <w:rtl/>
            </w:rPr>
            <w:fldChar w:fldCharType="end"/>
          </w:r>
        </w:sdtContent>
      </w:sdt>
      <w:r w:rsidRPr="007D7D81">
        <w:rPr>
          <w:rtl/>
        </w:rPr>
        <w:t>.</w:t>
      </w:r>
    </w:p>
    <w:p w14:paraId="419D97DB" w14:textId="77777777" w:rsidR="00B500F9" w:rsidRDefault="00B500F9" w:rsidP="00B500F9">
      <w:pPr>
        <w:pStyle w:val="NoSpacing"/>
        <w:rPr>
          <w:rtl/>
        </w:rPr>
      </w:pPr>
      <w:r w:rsidRPr="00110F6D">
        <w:rPr>
          <w:rtl/>
        </w:rPr>
        <w:lastRenderedPageBreak/>
        <w:t>من الممكن تقييم فعالية الإفصاح عن مخاطر الشركات كما هو عليه اليوم وتحديد مجالات التحسين من خلال فهم كيفية تأثير هيكل ملكية الشركات عليه. أهملت الدراسات السابقة حول العوامل المؤثرة على الإفصاح عن مخاطر الشركات (</w:t>
      </w:r>
      <w:r w:rsidRPr="00110F6D">
        <w:t>CRD</w:t>
      </w:r>
      <w:r w:rsidRPr="00110F6D">
        <w:rPr>
          <w:rtl/>
        </w:rPr>
        <w:t xml:space="preserve">) في الغالب التأثير المحتمل لهيكل الملكية على </w:t>
      </w:r>
      <w:r w:rsidRPr="00110F6D">
        <w:t>CRD</w:t>
      </w:r>
      <w:r w:rsidRPr="00110F6D">
        <w:rPr>
          <w:rtl/>
        </w:rPr>
        <w:t xml:space="preserve"> لصالح التركيز على السمات الخاصة بالشركة وحوكمة الشركات. على حد علم المؤلفين، لم تبحث أي دراسة حتى الآن عن كثب في كيفية تأثير هيكل الملكية على مستويات </w:t>
      </w:r>
      <w:r w:rsidRPr="00110F6D">
        <w:t>CRD</w:t>
      </w:r>
      <w:r w:rsidRPr="00110F6D">
        <w:rPr>
          <w:rtl/>
        </w:rPr>
        <w:t xml:space="preserve"> في المملكة العربية السعودية. تبحث هذه الدراسة في كيفية تأثير هياكل الملكية المختلفة على </w:t>
      </w:r>
      <w:r w:rsidRPr="00110F6D">
        <w:t>CRD</w:t>
      </w:r>
      <w:r w:rsidRPr="00110F6D">
        <w:rPr>
          <w:rtl/>
        </w:rPr>
        <w:t xml:space="preserve"> في المملكة العربية السعودية، وهي دولة نامية ذات تركيز كبير للملكية وبيئة مؤسسية متميزة. تم استخدام تحليل بيانات اللوحة للتقارير السنوية للشركات السعودية المدرجة على مدى فترة أربع سنوات في الدراسة. تشير النتائج إلى أن هيكل الملكية له تأثير كبير على </w:t>
      </w:r>
      <w:r w:rsidRPr="00110F6D">
        <w:t>CRD</w:t>
      </w:r>
      <w:r w:rsidRPr="00110F6D">
        <w:rPr>
          <w:rtl/>
        </w:rPr>
        <w:t>. ومع ذلك، فإن شكل الملكية يحدد درجة واتجاه هذا التأثير. تكشف الشركات ذات الملكية الحكومية والملكية الأكبر عن معلومات أكثر حول المخاطر. من ناحية أخرى، تكشف الشركات ذات الملكية المؤسسية والعائلية الأكبر عادةً عن معلومات أقل حول المخاطر. مع ذلك، لا يتأثر هيكل الملكية (</w:t>
      </w:r>
      <w:r w:rsidRPr="00110F6D">
        <w:t>CRD</w:t>
      </w:r>
      <w:r w:rsidRPr="00110F6D">
        <w:rPr>
          <w:rtl/>
        </w:rPr>
        <w:t>) بملكية المديرين التنفيذيين وغير التنفيذيين. وتشير النتائج إلى أن العائلات المسيطرة لا تشترك جميعها في السمات والأسباب نفسها للانخراط في هيكل الملكية. وبشكل عام، تدعم النتائج الدور المحوري لهيكل الملكية في التأثير على تضارب المصالح من خلال رفع أو خفض هيكل الملكية. وتعزز نتائج الدراسة فكرة إمكانية استخدام العديد من النظريات لتفسير ظاهرة هيكل الملكية بشكل أفضل. ومن أجل تحسين إجراءات هيكل الملكية (</w:t>
      </w:r>
      <w:r w:rsidRPr="00110F6D">
        <w:t>CRD</w:t>
      </w:r>
      <w:r w:rsidRPr="00110F6D">
        <w:rPr>
          <w:rtl/>
        </w:rPr>
        <w:t>) وتعظيم هيكل الملكية، فإن للدراسة تداعيات مهمة على صانعي السياسات والهيئات التنظيمية والممارسين في المملكة العربية السعودية والدول النامية</w:t>
      </w:r>
      <w:sdt>
        <w:sdtPr>
          <w:rPr>
            <w:rtl/>
          </w:rPr>
          <w:id w:val="87705048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Hab192 \l 3073</w:instrText>
          </w:r>
          <w:r>
            <w:rPr>
              <w:rtl/>
            </w:rPr>
            <w:instrText xml:space="preserve"> </w:instrText>
          </w:r>
          <w:r>
            <w:rPr>
              <w:rtl/>
            </w:rPr>
            <w:fldChar w:fldCharType="separate"/>
          </w:r>
          <w:r>
            <w:rPr>
              <w:noProof/>
              <w:rtl/>
            </w:rPr>
            <w:t xml:space="preserve"> </w:t>
          </w:r>
          <w:r>
            <w:rPr>
              <w:rFonts w:hint="cs"/>
              <w:noProof/>
              <w:rtl/>
            </w:rPr>
            <w:t>(</w:t>
          </w:r>
          <w:r>
            <w:rPr>
              <w:rFonts w:hint="cs"/>
              <w:noProof/>
            </w:rPr>
            <w:t>Habtoor</w:t>
          </w:r>
          <w:r>
            <w:rPr>
              <w:rFonts w:hint="cs"/>
              <w:noProof/>
              <w:rtl/>
            </w:rPr>
            <w:t>، 2019)</w:t>
          </w:r>
          <w:r>
            <w:rPr>
              <w:rtl/>
            </w:rPr>
            <w:fldChar w:fldCharType="end"/>
          </w:r>
        </w:sdtContent>
      </w:sdt>
      <w:r w:rsidRPr="00110F6D">
        <w:rPr>
          <w:rtl/>
        </w:rPr>
        <w:t>.</w:t>
      </w:r>
    </w:p>
    <w:p w14:paraId="55D78C3E" w14:textId="77777777" w:rsidR="00B500F9" w:rsidRDefault="00B500F9" w:rsidP="00B500F9">
      <w:pPr>
        <w:pStyle w:val="NoSpacing"/>
        <w:rPr>
          <w:rtl/>
        </w:rPr>
      </w:pPr>
      <w:r w:rsidRPr="009976D5">
        <w:rPr>
          <w:rtl/>
        </w:rPr>
        <w:t>كان الغرض دراسة</w:t>
      </w:r>
      <w:sdt>
        <w:sdtPr>
          <w:rPr>
            <w:rtl/>
          </w:rPr>
          <w:id w:val="168524290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Alk233 \l 3073</w:instrText>
          </w:r>
          <w:r>
            <w:rPr>
              <w:rtl/>
            </w:rPr>
            <w:instrText xml:space="preserve"> </w:instrText>
          </w:r>
          <w:r>
            <w:rPr>
              <w:rtl/>
            </w:rPr>
            <w:fldChar w:fldCharType="separate"/>
          </w:r>
          <w:r>
            <w:rPr>
              <w:noProof/>
              <w:rtl/>
            </w:rPr>
            <w:t xml:space="preserve"> </w:t>
          </w:r>
          <w:r>
            <w:rPr>
              <w:rFonts w:hint="cs"/>
              <w:noProof/>
              <w:rtl/>
            </w:rPr>
            <w:t>(</w:t>
          </w:r>
          <w:r>
            <w:rPr>
              <w:rFonts w:hint="cs"/>
              <w:noProof/>
            </w:rPr>
            <w:t>Alkhyyoon</w:t>
          </w:r>
          <w:r>
            <w:rPr>
              <w:rFonts w:hint="cs"/>
              <w:noProof/>
              <w:rtl/>
            </w:rPr>
            <w:t>، 2023)</w:t>
          </w:r>
          <w:r>
            <w:rPr>
              <w:rtl/>
            </w:rPr>
            <w:fldChar w:fldCharType="end"/>
          </w:r>
        </w:sdtContent>
      </w:sdt>
      <w:r w:rsidRPr="009976D5">
        <w:rPr>
          <w:rtl/>
        </w:rPr>
        <w:t xml:space="preserve"> هو التحقيق في كيفية تأثير إدارة مخاطر المؤسسات، أو </w:t>
      </w:r>
      <w:r w:rsidRPr="009976D5">
        <w:t>ERM</w:t>
      </w:r>
      <w:r w:rsidRPr="009976D5">
        <w:rPr>
          <w:rtl/>
        </w:rPr>
        <w:t xml:space="preserve">، على أداء أعمال أسواق رأس المال في الدول النامية مثل المملكة العربية السعودية والعراق وإيران. تم التحقيق في البيئات الاقتصادية لثلاث دول مجاورة وناشئة - العراق والمملكة العربية السعودية وإيران - بين عامي 2012 و2019 من أجل تحقيق الهدف الرئيسي للدراسة. تم استخدام تحليل الانحدار اللوحة لاختبار الفرضيات. تشير البيانات إلى أن إدارة مخاطر المؤسسات قد تزيد من العائد على الأصول، وتقلل من إجمالي أصول الشركات الإيرانية، وتزيد من إجمالي أصول الشركات العراقية. علاوة على ذلك، أظهرت الإحصاءات أن إدارة مخاطر المؤسسات زادت من هوامش الربح الصافي وأبطأت نمو المبيعات في الشركات السعودية. قللت إدارة مخاطر المؤسسات من نمو المبيعات في الشركات العراقية مع زيادة العائد على الأصول في الشركات الإيرانية والشركات السعودية. علاوة على ذلك، فقد ثبت أنه في حين انخفض إجمالي دوران الأصول للشركات الإيرانية غير الاحتيالية، فقد ارتفع لنظيراتها العراقية. قدمت نتائج الدراسة أدلة قوية على أداء الشركات ووضعها المالي في </w:t>
      </w:r>
      <w:r w:rsidRPr="009976D5">
        <w:rPr>
          <w:rtl/>
        </w:rPr>
        <w:lastRenderedPageBreak/>
        <w:t>الدول النامية. نظراً لاختلاف النتائج جوهرياً في السياقات الاقتصادية الثلاثة، يُمكن الاستنتاج أن طبيعة الشركة وهيكلها قد يؤثران على كفاءة إدارة المخاطر المؤسسية وأدائها. وقد أضافت هذه الدراسة إلى رصيد المعرفة حول إدارة المخاطر المؤسسية كعامل حاسم يؤثر على أداء الشركات في الدول النامية ذات اللوائح التنظيمية المتنوعة لأسواق رأس المال. علاوة على ذلك، تُظهر الدراسات والإحصاءات المُجمّعة مدى انتشار الاحتيال وتأثيره على أداء الشركات في الدول النامية.</w:t>
      </w:r>
    </w:p>
    <w:p w14:paraId="492BFEA4" w14:textId="77777777" w:rsidR="00B500F9" w:rsidRDefault="00B500F9" w:rsidP="00B500F9">
      <w:pPr>
        <w:pStyle w:val="NoSpacing"/>
        <w:rPr>
          <w:rtl/>
        </w:rPr>
      </w:pPr>
      <w:r w:rsidRPr="00586354">
        <w:rPr>
          <w:rtl/>
        </w:rPr>
        <w:t>في المملكة العربية السعودية وأجزاء أخرى من العالم، تُعد المباني الخضراء ضرورية للنمو الحضري المستدام. تتأثر النتائج المحتملة للاستثمارات أو الخدمات المُدمجة في تصميم المباني الخضراء بعدد من عوامل الخطر. أنشأت الدراسة الحالية إطارًا منهجيًا للتحقيق في المخاطر المختلفة التي قد تؤدي إلى انخفاض قيمة المباني الخضراء في المملكة العربية السعودية. تبدأ المنهجية بتحديد 66 متغيرًا محتملاً للمخاطر من الأبحاث المنشورة. تم تحقيق معدل استجابة إجمالي قدره 29.7٪ عندما تم تسليم استبيان يدويًا إلى 300 ممارس (مديرين ومهندسين ومعماريين) من ذوي الخبرة في هندسة القيمة في قطاع البناء والذي جمع قائمة بعوامل الخطر المحددة. ثم تم استخدام الإحصاءات الوصفية لترتيب عوامل الخطر وفقًا لدرجات المستجيبين. بناءً على احتمالية تأثير متغيرات المخاطر على القيمة الناتجة عن تصميم المباني الخضراء، تم استرداد 16 مكونًا باستخدام تحليل المكونات الرئيسية. تم بعد ذلك تصنيف أهم 35 عامل خطر، من خلال تحليل العوامل، إلى 5 مجموعات: 8 في مجموعة المخاطر الوظيفية، و13 في مجموعة المخاطر المالية، و3 في مجموعة المخاطر التشغيلية، و3 في مجموعة المخاطر البيئية، و8 في مجموعة مخاطر الإدارة. تُحسّن الدراسة المعرفة بأهمية تأثير عوامل الخطر على توليد القيمة. بناءً على النتائج، تمكنت فرق الإدارة العليا وفرق إدارة القيمة (أو الهندسة) من تحديد وتنظيم وإدارة متغيرات المخاطر التي تؤثر بشكل كبير على قيمة المشروع الناتجة عن تصميم المباني الخضراء</w:t>
      </w:r>
      <w:sdt>
        <w:sdtPr>
          <w:rPr>
            <w:rtl/>
          </w:rPr>
          <w:id w:val="-37824842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Ala201 \l 3073</w:instrText>
          </w:r>
          <w:r>
            <w:rPr>
              <w:rtl/>
            </w:rPr>
            <w:instrText xml:space="preserve"> </w:instrText>
          </w:r>
          <w:r>
            <w:rPr>
              <w:rtl/>
            </w:rPr>
            <w:fldChar w:fldCharType="separate"/>
          </w:r>
          <w:r>
            <w:rPr>
              <w:noProof/>
              <w:rtl/>
            </w:rPr>
            <w:t xml:space="preserve"> </w:t>
          </w:r>
          <w:r>
            <w:rPr>
              <w:rFonts w:hint="cs"/>
              <w:noProof/>
              <w:rtl/>
            </w:rPr>
            <w:t>(</w:t>
          </w:r>
          <w:r>
            <w:rPr>
              <w:rFonts w:hint="cs"/>
              <w:noProof/>
            </w:rPr>
            <w:t>Alattyih</w:t>
          </w:r>
          <w:r>
            <w:rPr>
              <w:rFonts w:hint="cs"/>
              <w:noProof/>
              <w:rtl/>
            </w:rPr>
            <w:t>، 2020)</w:t>
          </w:r>
          <w:r>
            <w:rPr>
              <w:rtl/>
            </w:rPr>
            <w:fldChar w:fldCharType="end"/>
          </w:r>
        </w:sdtContent>
      </w:sdt>
      <w:r w:rsidRPr="00586354">
        <w:rPr>
          <w:rtl/>
        </w:rPr>
        <w:t>.</w:t>
      </w:r>
    </w:p>
    <w:p w14:paraId="37D4A46F" w14:textId="77777777" w:rsidR="00B500F9" w:rsidRDefault="00B500F9" w:rsidP="00B500F9">
      <w:pPr>
        <w:pStyle w:val="NoSpacing"/>
        <w:rPr>
          <w:rtl/>
        </w:rPr>
      </w:pPr>
    </w:p>
    <w:p w14:paraId="73B4FB68" w14:textId="77777777" w:rsidR="00B500F9" w:rsidRDefault="00B500F9" w:rsidP="00B500F9">
      <w:pPr>
        <w:pStyle w:val="NoSpacing"/>
        <w:rPr>
          <w:rtl/>
        </w:rPr>
      </w:pPr>
    </w:p>
    <w:p w14:paraId="011DB0C2" w14:textId="77777777" w:rsidR="00B500F9" w:rsidRDefault="00B500F9" w:rsidP="00B500F9">
      <w:pPr>
        <w:spacing w:line="360" w:lineRule="auto"/>
        <w:rPr>
          <w:rFonts w:ascii="Sakkal Majalla" w:hAnsi="Sakkal Majalla" w:cs="Sakkal Majalla"/>
          <w:sz w:val="28"/>
          <w:szCs w:val="28"/>
          <w:rtl/>
        </w:rPr>
      </w:pPr>
    </w:p>
    <w:p w14:paraId="6B12AC36" w14:textId="77777777" w:rsidR="00B500F9" w:rsidRDefault="00B500F9" w:rsidP="00B500F9">
      <w:pPr>
        <w:spacing w:line="360" w:lineRule="auto"/>
        <w:rPr>
          <w:rFonts w:ascii="Sakkal Majalla" w:hAnsi="Sakkal Majalla" w:cs="Sakkal Majalla"/>
          <w:sz w:val="28"/>
          <w:szCs w:val="28"/>
          <w:rtl/>
        </w:rPr>
      </w:pPr>
    </w:p>
    <w:p w14:paraId="46657420" w14:textId="77777777" w:rsidR="00B500F9" w:rsidRDefault="00B500F9" w:rsidP="00B500F9">
      <w:pPr>
        <w:spacing w:line="360" w:lineRule="auto"/>
        <w:rPr>
          <w:rFonts w:ascii="Sakkal Majalla" w:hAnsi="Sakkal Majalla" w:cs="Sakkal Majalla"/>
          <w:sz w:val="28"/>
          <w:szCs w:val="28"/>
          <w:rtl/>
        </w:rPr>
      </w:pPr>
    </w:p>
    <w:p w14:paraId="3D24D335" w14:textId="77777777" w:rsidR="00B500F9" w:rsidRDefault="00B500F9" w:rsidP="00B500F9">
      <w:pPr>
        <w:spacing w:line="360" w:lineRule="auto"/>
        <w:rPr>
          <w:rFonts w:ascii="Sakkal Majalla" w:hAnsi="Sakkal Majalla" w:cs="Sakkal Majalla"/>
          <w:sz w:val="28"/>
          <w:szCs w:val="28"/>
          <w:rtl/>
        </w:rPr>
      </w:pPr>
    </w:p>
    <w:p w14:paraId="48C75B17" w14:textId="77777777" w:rsidR="00B500F9" w:rsidRDefault="00B500F9" w:rsidP="00B500F9">
      <w:pPr>
        <w:spacing w:line="360" w:lineRule="auto"/>
        <w:rPr>
          <w:rFonts w:ascii="Sakkal Majalla" w:hAnsi="Sakkal Majalla" w:cs="Sakkal Majalla"/>
          <w:sz w:val="28"/>
          <w:szCs w:val="28"/>
          <w:rtl/>
        </w:rPr>
      </w:pPr>
    </w:p>
    <w:p w14:paraId="22FE5C19" w14:textId="77777777" w:rsidR="00B500F9" w:rsidRDefault="00B500F9" w:rsidP="00B500F9">
      <w:pPr>
        <w:spacing w:line="360" w:lineRule="auto"/>
        <w:rPr>
          <w:rFonts w:ascii="Sakkal Majalla" w:hAnsi="Sakkal Majalla" w:cs="Sakkal Majalla"/>
          <w:sz w:val="28"/>
          <w:szCs w:val="28"/>
          <w:rtl/>
        </w:rPr>
      </w:pPr>
    </w:p>
    <w:p w14:paraId="131FDD49" w14:textId="77777777" w:rsidR="00B500F9" w:rsidRDefault="00B500F9" w:rsidP="00B500F9">
      <w:pPr>
        <w:spacing w:line="360" w:lineRule="auto"/>
        <w:rPr>
          <w:rFonts w:ascii="Sakkal Majalla" w:hAnsi="Sakkal Majalla" w:cs="Sakkal Majalla"/>
          <w:sz w:val="28"/>
          <w:szCs w:val="28"/>
          <w:rtl/>
        </w:rPr>
      </w:pPr>
    </w:p>
    <w:p w14:paraId="487907D2" w14:textId="77777777" w:rsidR="00B500F9" w:rsidRDefault="00B500F9" w:rsidP="00B500F9">
      <w:pPr>
        <w:spacing w:line="360" w:lineRule="auto"/>
        <w:rPr>
          <w:rFonts w:ascii="Sakkal Majalla" w:hAnsi="Sakkal Majalla" w:cs="Sakkal Majalla"/>
          <w:sz w:val="28"/>
          <w:szCs w:val="28"/>
          <w:rtl/>
        </w:rPr>
      </w:pPr>
    </w:p>
    <w:p w14:paraId="662DD602" w14:textId="77777777" w:rsidR="00B500F9" w:rsidRDefault="00B500F9" w:rsidP="00B500F9">
      <w:pPr>
        <w:spacing w:line="360" w:lineRule="auto"/>
        <w:rPr>
          <w:rFonts w:ascii="Sakkal Majalla" w:hAnsi="Sakkal Majalla" w:cs="Sakkal Majalla"/>
          <w:sz w:val="28"/>
          <w:szCs w:val="28"/>
          <w:rtl/>
        </w:rPr>
      </w:pPr>
    </w:p>
    <w:p w14:paraId="0777F8F3" w14:textId="77777777" w:rsidR="00B500F9" w:rsidRDefault="00B500F9" w:rsidP="00B500F9">
      <w:pPr>
        <w:spacing w:line="360" w:lineRule="auto"/>
        <w:rPr>
          <w:rFonts w:ascii="Sakkal Majalla" w:hAnsi="Sakkal Majalla" w:cs="Sakkal Majalla"/>
          <w:sz w:val="28"/>
          <w:szCs w:val="28"/>
          <w:rtl/>
        </w:rPr>
      </w:pPr>
    </w:p>
    <w:p w14:paraId="20963D2C" w14:textId="77777777" w:rsidR="00B500F9" w:rsidRDefault="00B500F9" w:rsidP="00B500F9">
      <w:pPr>
        <w:spacing w:line="360" w:lineRule="auto"/>
        <w:rPr>
          <w:rFonts w:ascii="Sakkal Majalla" w:hAnsi="Sakkal Majalla" w:cs="Sakkal Majalla"/>
          <w:sz w:val="28"/>
          <w:szCs w:val="28"/>
          <w:rtl/>
        </w:rPr>
      </w:pPr>
    </w:p>
    <w:p w14:paraId="3EB591FB" w14:textId="77777777" w:rsidR="00B500F9" w:rsidRDefault="00B500F9" w:rsidP="00B500F9">
      <w:pPr>
        <w:spacing w:line="360" w:lineRule="auto"/>
        <w:rPr>
          <w:rFonts w:ascii="Sakkal Majalla" w:hAnsi="Sakkal Majalla" w:cs="Sakkal Majalla"/>
          <w:sz w:val="28"/>
          <w:szCs w:val="28"/>
          <w:rtl/>
        </w:rPr>
      </w:pPr>
    </w:p>
    <w:p w14:paraId="56AE3195" w14:textId="77777777" w:rsidR="00B500F9" w:rsidRDefault="00B500F9" w:rsidP="00B500F9">
      <w:pPr>
        <w:spacing w:line="360" w:lineRule="auto"/>
        <w:rPr>
          <w:rFonts w:ascii="Sakkal Majalla" w:hAnsi="Sakkal Majalla" w:cs="Sakkal Majalla"/>
          <w:sz w:val="28"/>
          <w:szCs w:val="28"/>
          <w:rtl/>
        </w:rPr>
      </w:pPr>
    </w:p>
    <w:p w14:paraId="73B11471" w14:textId="77777777" w:rsidR="00B500F9" w:rsidRDefault="00B500F9" w:rsidP="00B500F9">
      <w:pPr>
        <w:spacing w:line="360" w:lineRule="auto"/>
        <w:rPr>
          <w:rFonts w:ascii="Sakkal Majalla" w:hAnsi="Sakkal Majalla" w:cs="Sakkal Majalla"/>
          <w:sz w:val="28"/>
          <w:szCs w:val="28"/>
          <w:rtl/>
        </w:rPr>
      </w:pPr>
    </w:p>
    <w:p w14:paraId="6B6A21CB" w14:textId="77777777" w:rsidR="00B500F9" w:rsidRPr="00847E70" w:rsidRDefault="00B500F9" w:rsidP="00B500F9">
      <w:pPr>
        <w:spacing w:line="360" w:lineRule="auto"/>
        <w:rPr>
          <w:rFonts w:ascii="Sakkal Majalla" w:hAnsi="Sakkal Majalla" w:cs="Sakkal Majalla"/>
          <w:sz w:val="28"/>
          <w:szCs w:val="28"/>
          <w:rtl/>
        </w:rPr>
      </w:pPr>
    </w:p>
    <w:p w14:paraId="619F5491" w14:textId="77777777" w:rsidR="00B500F9" w:rsidRPr="00365FB4" w:rsidRDefault="00B500F9" w:rsidP="00B500F9">
      <w:pPr>
        <w:pStyle w:val="Heading2"/>
        <w:rPr>
          <w:rtl/>
        </w:rPr>
      </w:pPr>
      <w:bookmarkStart w:id="41" w:name="_Toc191138781"/>
      <w:r w:rsidRPr="00365FB4">
        <w:rPr>
          <w:rtl/>
        </w:rPr>
        <w:t>الإطار النظري</w:t>
      </w:r>
      <w:bookmarkEnd w:id="39"/>
      <w:bookmarkEnd w:id="40"/>
      <w:bookmarkEnd w:id="41"/>
    </w:p>
    <w:p w14:paraId="387C2734" w14:textId="77777777" w:rsidR="00B500F9" w:rsidRPr="008C6507" w:rsidRDefault="00B500F9" w:rsidP="00B500F9">
      <w:pPr>
        <w:spacing w:after="0" w:line="360" w:lineRule="auto"/>
      </w:pPr>
    </w:p>
    <w:p w14:paraId="0DF8B848" w14:textId="77777777" w:rsidR="00B500F9" w:rsidRDefault="00B500F9" w:rsidP="00B500F9">
      <w:pPr>
        <w:spacing w:after="0" w:line="360" w:lineRule="auto"/>
        <w:rPr>
          <w:rtl/>
        </w:rPr>
      </w:pPr>
      <w:r>
        <w:object w:dxaOrig="8805" w:dyaOrig="2505" w14:anchorId="705F53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4pt" o:ole="">
            <v:imagedata r:id="rId6" o:title=""/>
          </v:shape>
          <o:OLEObject Type="Embed" ProgID="Visio.Drawing.15" ShapeID="_x0000_i1025" DrawAspect="Content" ObjectID="_1816602016" r:id="rId7"/>
        </w:object>
      </w:r>
    </w:p>
    <w:p w14:paraId="19C25316" w14:textId="77777777" w:rsidR="00B500F9" w:rsidRDefault="00B500F9" w:rsidP="00B500F9">
      <w:pPr>
        <w:pStyle w:val="Caption"/>
        <w:rPr>
          <w:rtl/>
        </w:rPr>
      </w:pPr>
      <w:bookmarkStart w:id="42" w:name="_Toc205139967"/>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B869C6">
        <w:rPr>
          <w:rFonts w:cs="Arial" w:hint="eastAsia"/>
          <w:noProof/>
          <w:rtl/>
          <w:lang w:bidi="ar-EG"/>
        </w:rPr>
        <w:t>الإطار</w:t>
      </w:r>
      <w:r w:rsidRPr="00B869C6">
        <w:rPr>
          <w:rFonts w:cs="Arial"/>
          <w:noProof/>
          <w:rtl/>
          <w:lang w:bidi="ar-EG"/>
        </w:rPr>
        <w:t xml:space="preserve"> </w:t>
      </w:r>
      <w:r w:rsidRPr="00B869C6">
        <w:rPr>
          <w:rFonts w:cs="Arial" w:hint="eastAsia"/>
          <w:noProof/>
          <w:rtl/>
          <w:lang w:bidi="ar-EG"/>
        </w:rPr>
        <w:t>النظري</w:t>
      </w:r>
      <w:r w:rsidRPr="00B869C6">
        <w:rPr>
          <w:rFonts w:cs="Arial"/>
          <w:noProof/>
          <w:rtl/>
          <w:lang w:bidi="ar-EG"/>
        </w:rPr>
        <w:t xml:space="preserve"> </w:t>
      </w:r>
      <w:r w:rsidRPr="00B869C6">
        <w:rPr>
          <w:rFonts w:cs="Arial" w:hint="eastAsia"/>
          <w:noProof/>
          <w:rtl/>
          <w:lang w:bidi="ar-EG"/>
        </w:rPr>
        <w:t>للدراسة</w:t>
      </w:r>
      <w:bookmarkEnd w:id="42"/>
    </w:p>
    <w:p w14:paraId="4EFA3DEB" w14:textId="77777777" w:rsidR="00B500F9" w:rsidRDefault="00B500F9" w:rsidP="00B500F9">
      <w:pPr>
        <w:rPr>
          <w:rtl/>
        </w:rPr>
      </w:pPr>
    </w:p>
    <w:p w14:paraId="712652C9" w14:textId="77777777" w:rsidR="00B500F9" w:rsidRDefault="00B500F9" w:rsidP="00B500F9">
      <w:pPr>
        <w:rPr>
          <w:rtl/>
        </w:rPr>
      </w:pPr>
    </w:p>
    <w:p w14:paraId="6642D0DE" w14:textId="77777777" w:rsidR="00B500F9" w:rsidRDefault="00B500F9" w:rsidP="00B500F9">
      <w:pPr>
        <w:rPr>
          <w:rtl/>
        </w:rPr>
      </w:pPr>
    </w:p>
    <w:p w14:paraId="2C53CB90" w14:textId="77777777" w:rsidR="00B500F9" w:rsidRDefault="00B500F9" w:rsidP="00B500F9">
      <w:pPr>
        <w:rPr>
          <w:rtl/>
        </w:rPr>
      </w:pPr>
    </w:p>
    <w:p w14:paraId="25B510E8" w14:textId="77777777" w:rsidR="00B500F9" w:rsidRDefault="00B500F9" w:rsidP="00B500F9">
      <w:pPr>
        <w:rPr>
          <w:rtl/>
        </w:rPr>
      </w:pPr>
    </w:p>
    <w:p w14:paraId="2E565399" w14:textId="77777777" w:rsidR="00B500F9" w:rsidRDefault="00B500F9" w:rsidP="00B500F9">
      <w:pPr>
        <w:rPr>
          <w:rtl/>
        </w:rPr>
      </w:pPr>
    </w:p>
    <w:p w14:paraId="40D1DAB7" w14:textId="77777777" w:rsidR="00B500F9" w:rsidRDefault="00B500F9" w:rsidP="00B500F9">
      <w:pPr>
        <w:rPr>
          <w:rtl/>
        </w:rPr>
      </w:pPr>
    </w:p>
    <w:p w14:paraId="4DC078EB" w14:textId="77777777" w:rsidR="00B500F9" w:rsidRDefault="00B500F9" w:rsidP="00B500F9">
      <w:pPr>
        <w:rPr>
          <w:rtl/>
        </w:rPr>
      </w:pPr>
    </w:p>
    <w:p w14:paraId="6BEBB26D" w14:textId="77777777" w:rsidR="00B500F9" w:rsidRDefault="00B500F9" w:rsidP="00B500F9">
      <w:pPr>
        <w:rPr>
          <w:rtl/>
        </w:rPr>
      </w:pPr>
    </w:p>
    <w:p w14:paraId="4C28DE62" w14:textId="77777777" w:rsidR="00B500F9" w:rsidRDefault="00B500F9" w:rsidP="00B500F9">
      <w:pPr>
        <w:rPr>
          <w:rtl/>
        </w:rPr>
      </w:pPr>
    </w:p>
    <w:p w14:paraId="56E826E6" w14:textId="77777777" w:rsidR="00B500F9" w:rsidRDefault="00B500F9" w:rsidP="00B500F9">
      <w:pPr>
        <w:rPr>
          <w:rtl/>
        </w:rPr>
      </w:pPr>
    </w:p>
    <w:p w14:paraId="23292278" w14:textId="77777777" w:rsidR="00B500F9" w:rsidRDefault="00B500F9" w:rsidP="00B500F9">
      <w:pPr>
        <w:rPr>
          <w:rtl/>
        </w:rPr>
      </w:pPr>
    </w:p>
    <w:p w14:paraId="7C1C120F" w14:textId="77777777" w:rsidR="00B500F9" w:rsidRDefault="00B500F9" w:rsidP="00B500F9">
      <w:pPr>
        <w:rPr>
          <w:rtl/>
        </w:rPr>
      </w:pPr>
    </w:p>
    <w:p w14:paraId="5BEDB9B1" w14:textId="77777777" w:rsidR="00B500F9" w:rsidRDefault="00B500F9" w:rsidP="00B500F9">
      <w:pPr>
        <w:rPr>
          <w:rtl/>
        </w:rPr>
      </w:pPr>
    </w:p>
    <w:p w14:paraId="49F99909" w14:textId="77777777" w:rsidR="00B500F9" w:rsidRDefault="00B500F9" w:rsidP="00B500F9">
      <w:pPr>
        <w:rPr>
          <w:rtl/>
        </w:rPr>
      </w:pPr>
    </w:p>
    <w:p w14:paraId="0770D107" w14:textId="77777777" w:rsidR="00B500F9" w:rsidRDefault="00B500F9" w:rsidP="00B500F9">
      <w:pPr>
        <w:rPr>
          <w:rtl/>
        </w:rPr>
      </w:pPr>
    </w:p>
    <w:p w14:paraId="0E0FBC75" w14:textId="77777777" w:rsidR="00B500F9" w:rsidRDefault="00B500F9" w:rsidP="00B500F9">
      <w:pPr>
        <w:rPr>
          <w:rtl/>
        </w:rPr>
      </w:pPr>
    </w:p>
    <w:p w14:paraId="0CBD8FDA" w14:textId="77777777" w:rsidR="00B500F9" w:rsidRDefault="00B500F9" w:rsidP="00B500F9">
      <w:pPr>
        <w:rPr>
          <w:rtl/>
        </w:rPr>
      </w:pPr>
    </w:p>
    <w:p w14:paraId="5F444C46" w14:textId="77777777" w:rsidR="00B500F9" w:rsidRDefault="00B500F9" w:rsidP="00B500F9">
      <w:pPr>
        <w:rPr>
          <w:rtl/>
        </w:rPr>
      </w:pPr>
    </w:p>
    <w:p w14:paraId="5A2F0E77" w14:textId="77777777" w:rsidR="00B500F9" w:rsidRDefault="00B500F9" w:rsidP="00B500F9">
      <w:pPr>
        <w:rPr>
          <w:rtl/>
        </w:rPr>
      </w:pPr>
    </w:p>
    <w:p w14:paraId="5A4AE0CB" w14:textId="77777777" w:rsidR="00B500F9" w:rsidRDefault="00B500F9" w:rsidP="00B500F9">
      <w:pPr>
        <w:rPr>
          <w:rtl/>
        </w:rPr>
      </w:pPr>
    </w:p>
    <w:p w14:paraId="059EA55D" w14:textId="77777777" w:rsidR="00B500F9" w:rsidRPr="00954343" w:rsidRDefault="00B500F9" w:rsidP="00B500F9">
      <w:pPr>
        <w:rPr>
          <w:rtl/>
        </w:rPr>
      </w:pPr>
    </w:p>
    <w:p w14:paraId="323A9D8E" w14:textId="77777777" w:rsidR="00B500F9" w:rsidRDefault="00B500F9" w:rsidP="00B500F9">
      <w:pPr>
        <w:rPr>
          <w:rtl/>
        </w:rPr>
      </w:pPr>
    </w:p>
    <w:p w14:paraId="0DBB0FFB" w14:textId="77777777" w:rsidR="00B500F9" w:rsidRDefault="00B500F9" w:rsidP="00B500F9">
      <w:pPr>
        <w:pStyle w:val="Style1"/>
        <w:rPr>
          <w:rtl/>
        </w:rPr>
      </w:pPr>
      <w:r>
        <w:rPr>
          <w:rtl/>
        </w:rPr>
        <w:t>نظرية أصحاب المصلحة</w:t>
      </w:r>
    </w:p>
    <w:p w14:paraId="5C60B6EC" w14:textId="77777777" w:rsidR="00B500F9" w:rsidRDefault="00B500F9" w:rsidP="00B500F9">
      <w:pPr>
        <w:pStyle w:val="NoSpacing"/>
        <w:rPr>
          <w:rtl/>
        </w:rPr>
      </w:pPr>
      <w:r>
        <w:rPr>
          <w:rtl/>
        </w:rPr>
        <w:t>وفقًا لهذه النظرية، تتأثر الشركات بمجموعة متنوعة من أصحاب المصلحة، بما في ذلك المستهلكون والمستثمرون والحكومة والمجتمع المحلي، بدلًا من العمل بشكل مستقل عن محيطها. ووفقًا لهذه النظرية، فإن قدرة المؤسسة على تلبية متطلبات العديد من أصحاب المصلحة تُحدد نجاحها واستمراريتها على المدى الطويل. وتُشدد النظرية على أهمية دمج العامل البيئي في سياسة المؤسسة في إطار إدارة المخاطر البيئية، وذلك لضمان رضا أصحاب المصلحة، وتقليل المشكلات القانونية والاجتماعية، وتحسين سمعة المؤسسة</w:t>
      </w:r>
      <w:sdt>
        <w:sdtPr>
          <w:rPr>
            <w:rtl/>
          </w:rPr>
          <w:id w:val="49353609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Kal243 \l 3073</w:instrText>
          </w:r>
          <w:r>
            <w:rPr>
              <w:rtl/>
            </w:rPr>
            <w:instrText xml:space="preserve"> </w:instrText>
          </w:r>
          <w:r>
            <w:rPr>
              <w:rtl/>
            </w:rPr>
            <w:fldChar w:fldCharType="separate"/>
          </w:r>
          <w:r>
            <w:rPr>
              <w:noProof/>
              <w:rtl/>
            </w:rPr>
            <w:t xml:space="preserve"> </w:t>
          </w:r>
          <w:r>
            <w:rPr>
              <w:rFonts w:hint="cs"/>
              <w:noProof/>
              <w:rtl/>
            </w:rPr>
            <w:t>(</w:t>
          </w:r>
          <w:r>
            <w:rPr>
              <w:rFonts w:hint="cs"/>
              <w:noProof/>
            </w:rPr>
            <w:t>Kalra</w:t>
          </w:r>
          <w:r>
            <w:rPr>
              <w:rFonts w:hint="cs"/>
              <w:noProof/>
              <w:rtl/>
            </w:rPr>
            <w:t>، 2024)</w:t>
          </w:r>
          <w:r>
            <w:rPr>
              <w:rtl/>
            </w:rPr>
            <w:fldChar w:fldCharType="end"/>
          </w:r>
        </w:sdtContent>
      </w:sdt>
      <w:r>
        <w:rPr>
          <w:rtl/>
        </w:rPr>
        <w:t>.</w:t>
      </w:r>
    </w:p>
    <w:p w14:paraId="0556520E" w14:textId="77777777" w:rsidR="00B500F9" w:rsidRDefault="00B500F9" w:rsidP="00B500F9">
      <w:pPr>
        <w:pStyle w:val="Style1"/>
        <w:rPr>
          <w:rtl/>
        </w:rPr>
      </w:pPr>
      <w:r>
        <w:rPr>
          <w:rtl/>
        </w:rPr>
        <w:t>نظرية النظم</w:t>
      </w:r>
    </w:p>
    <w:p w14:paraId="5B96A027" w14:textId="77777777" w:rsidR="00B500F9" w:rsidRDefault="00B500F9" w:rsidP="00B500F9">
      <w:pPr>
        <w:pStyle w:val="NoSpacing"/>
        <w:rPr>
          <w:rtl/>
        </w:rPr>
      </w:pPr>
      <w:r>
        <w:rPr>
          <w:rtl/>
        </w:rPr>
        <w:t>وفقًا لهذه النظرية، تُعتبر المؤسسة نظامًا مفتوحًا يتواصل باستمرار مع العالم الخارجي. ووفقًا لهذه النظرية، قد يتأثر أداء المؤسسة بشكل مباشر أو غير مباشر بأي تهديدات بيئية خارجية. ووفقًا لهذه النظرية، تعمل العمليات الداخلية للمؤسسة وإجراءات إدارة المخاطر البيئية معًا لضمان قدرتها على الاستجابة السريعة للتغيرات البيئية وتقليل آثارها الضارة</w:t>
      </w:r>
      <w:sdt>
        <w:sdtPr>
          <w:rPr>
            <w:rtl/>
          </w:rPr>
          <w:id w:val="123682436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Cor131 \l 3073</w:instrText>
          </w:r>
          <w:r>
            <w:rPr>
              <w:rtl/>
            </w:rPr>
            <w:instrText xml:space="preserve"> </w:instrText>
          </w:r>
          <w:r>
            <w:rPr>
              <w:rtl/>
            </w:rPr>
            <w:fldChar w:fldCharType="separate"/>
          </w:r>
          <w:r>
            <w:rPr>
              <w:noProof/>
              <w:rtl/>
            </w:rPr>
            <w:t xml:space="preserve"> </w:t>
          </w:r>
          <w:r>
            <w:rPr>
              <w:rFonts w:hint="cs"/>
              <w:noProof/>
              <w:rtl/>
            </w:rPr>
            <w:t>(</w:t>
          </w:r>
          <w:r>
            <w:rPr>
              <w:rFonts w:hint="cs"/>
              <w:noProof/>
            </w:rPr>
            <w:t>Cordon</w:t>
          </w:r>
          <w:r>
            <w:rPr>
              <w:rFonts w:hint="cs"/>
              <w:noProof/>
              <w:rtl/>
            </w:rPr>
            <w:t>، 2013)</w:t>
          </w:r>
          <w:r>
            <w:rPr>
              <w:rtl/>
            </w:rPr>
            <w:fldChar w:fldCharType="end"/>
          </w:r>
        </w:sdtContent>
      </w:sdt>
      <w:r>
        <w:rPr>
          <w:rtl/>
        </w:rPr>
        <w:t>.</w:t>
      </w:r>
    </w:p>
    <w:p w14:paraId="3C8AD36E" w14:textId="77777777" w:rsidR="00B500F9" w:rsidRDefault="00B500F9" w:rsidP="00B500F9">
      <w:pPr>
        <w:pStyle w:val="Style1"/>
        <w:rPr>
          <w:rtl/>
        </w:rPr>
      </w:pPr>
      <w:r>
        <w:rPr>
          <w:rtl/>
        </w:rPr>
        <w:lastRenderedPageBreak/>
        <w:t>نظرية المؤسسات</w:t>
      </w:r>
    </w:p>
    <w:p w14:paraId="34DE05F1" w14:textId="77777777" w:rsidR="00B500F9" w:rsidRDefault="00B500F9" w:rsidP="00B500F9">
      <w:pPr>
        <w:pStyle w:val="NoSpacing"/>
        <w:rPr>
          <w:rtl/>
        </w:rPr>
      </w:pPr>
      <w:r>
        <w:rPr>
          <w:rtl/>
        </w:rPr>
        <w:t>وفقًا لهذه الفكرة، تتأثر المؤسسات بالقوانين واللوائح التي تحكم عملياتها، بالإضافة إلى المعايير والقواعد السائدة في المجتمع. وتؤكد النظرية على أهمية الالتزام بالقواعد واللوائح البيئية كعنصر أساسي في تحسين الاستدامة التنظيمية ضمن نطاق إدارة المخاطر البيئية. كما توضح النظرية كيفية تفاعل الشركات مع المطالب الاجتماعية والقانونية لتطبيق ممارسات صديقة للبيئة</w:t>
      </w:r>
      <w:sdt>
        <w:sdtPr>
          <w:rPr>
            <w:rtl/>
          </w:rPr>
          <w:id w:val="16513597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Eit24 \l 3073</w:instrText>
          </w:r>
          <w:r>
            <w:rPr>
              <w:rtl/>
            </w:rPr>
            <w:instrText xml:space="preserve"> </w:instrText>
          </w:r>
          <w:r>
            <w:rPr>
              <w:rtl/>
            </w:rPr>
            <w:fldChar w:fldCharType="separate"/>
          </w:r>
          <w:r>
            <w:rPr>
              <w:noProof/>
              <w:rtl/>
            </w:rPr>
            <w:t xml:space="preserve"> </w:t>
          </w:r>
          <w:r>
            <w:rPr>
              <w:rFonts w:hint="cs"/>
              <w:noProof/>
              <w:rtl/>
            </w:rPr>
            <w:t>(</w:t>
          </w:r>
          <w:r>
            <w:rPr>
              <w:rFonts w:hint="cs"/>
              <w:noProof/>
            </w:rPr>
            <w:t>Eitrem</w:t>
          </w:r>
          <w:r>
            <w:rPr>
              <w:rFonts w:hint="cs"/>
              <w:noProof/>
              <w:rtl/>
            </w:rPr>
            <w:t>، 2024)</w:t>
          </w:r>
          <w:r>
            <w:rPr>
              <w:rtl/>
            </w:rPr>
            <w:fldChar w:fldCharType="end"/>
          </w:r>
        </w:sdtContent>
      </w:sdt>
      <w:r>
        <w:rPr>
          <w:rtl/>
        </w:rPr>
        <w:t>.</w:t>
      </w:r>
    </w:p>
    <w:p w14:paraId="4496C65E" w14:textId="77777777" w:rsidR="00B500F9" w:rsidRDefault="00B500F9" w:rsidP="00B500F9">
      <w:pPr>
        <w:pStyle w:val="Style1"/>
        <w:rPr>
          <w:rtl/>
        </w:rPr>
      </w:pPr>
      <w:r>
        <w:rPr>
          <w:rtl/>
        </w:rPr>
        <w:t>نظرية الاستدامة</w:t>
      </w:r>
    </w:p>
    <w:p w14:paraId="6744D97D" w14:textId="77777777" w:rsidR="00B500F9" w:rsidRDefault="00B500F9" w:rsidP="00B500F9">
      <w:pPr>
        <w:pStyle w:val="NoSpacing"/>
        <w:rPr>
          <w:rtl/>
        </w:rPr>
      </w:pPr>
      <w:r>
        <w:rPr>
          <w:rtl/>
        </w:rPr>
        <w:t>ترتكز هذه النظرية على فكرة أن إدارة الأعمال يجب أن توازن بين العوامل الاقتصادية والاجتماعية والبيئية. وتؤكد على أن تطبيق الممارسات الصديقة للبيئة ضروري للتنمية طويلة الأجل وليس إسرافًا. ووفقًا لهذه النظرية، تُصبح إدارة المخاطر البيئية أمرًا بالغ الأهمية لتحقيق استدامة الشركات والحفاظ على العمليات في مواجهة الصعوبات البيئية المتزايدة</w:t>
      </w:r>
      <w:sdt>
        <w:sdtPr>
          <w:rPr>
            <w:rtl/>
          </w:rPr>
          <w:id w:val="121762740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Cha17 \l 3073</w:instrText>
          </w:r>
          <w:r>
            <w:rPr>
              <w:rtl/>
            </w:rPr>
            <w:instrText xml:space="preserve"> </w:instrText>
          </w:r>
          <w:r>
            <w:rPr>
              <w:rtl/>
            </w:rPr>
            <w:fldChar w:fldCharType="separate"/>
          </w:r>
          <w:r>
            <w:rPr>
              <w:noProof/>
              <w:rtl/>
            </w:rPr>
            <w:t xml:space="preserve"> </w:t>
          </w:r>
          <w:r>
            <w:rPr>
              <w:rFonts w:hint="cs"/>
              <w:noProof/>
              <w:rtl/>
            </w:rPr>
            <w:t>(</w:t>
          </w:r>
          <w:r>
            <w:rPr>
              <w:rFonts w:hint="cs"/>
              <w:noProof/>
            </w:rPr>
            <w:t>Chang</w:t>
          </w:r>
          <w:r>
            <w:rPr>
              <w:rFonts w:hint="cs"/>
              <w:noProof/>
              <w:rtl/>
            </w:rPr>
            <w:t>، 2017)</w:t>
          </w:r>
          <w:r>
            <w:rPr>
              <w:rtl/>
            </w:rPr>
            <w:fldChar w:fldCharType="end"/>
          </w:r>
        </w:sdtContent>
      </w:sdt>
      <w:r>
        <w:rPr>
          <w:rtl/>
        </w:rPr>
        <w:t>.</w:t>
      </w:r>
    </w:p>
    <w:p w14:paraId="57588C57" w14:textId="77777777" w:rsidR="00B500F9" w:rsidRDefault="00B500F9" w:rsidP="00B500F9">
      <w:pPr>
        <w:pStyle w:val="Style1"/>
        <w:rPr>
          <w:rtl/>
        </w:rPr>
      </w:pPr>
      <w:r>
        <w:rPr>
          <w:rtl/>
        </w:rPr>
        <w:t>النظرة القائمة على الموارد (</w:t>
      </w:r>
      <w:r>
        <w:t>RBV</w:t>
      </w:r>
      <w:r>
        <w:rPr>
          <w:rtl/>
        </w:rPr>
        <w:t>)</w:t>
      </w:r>
    </w:p>
    <w:p w14:paraId="7B0CD013" w14:textId="77777777" w:rsidR="00B500F9" w:rsidRPr="00954343" w:rsidRDefault="00B500F9" w:rsidP="00B500F9">
      <w:pPr>
        <w:pStyle w:val="NoSpacing"/>
        <w:rPr>
          <w:rtl/>
        </w:rPr>
      </w:pPr>
      <w:r>
        <w:rPr>
          <w:rtl/>
        </w:rPr>
        <w:t>وفقًا لهذه الفكرة، تنبع الميزة التنافسية الدائمة للمؤسسة من مواردها وكفاءاتها المتميزة. وفقًا لهذا المفهوم، فإن الشركات التي تستثمر في تدريب الكوادر الماهرة واستخدام أحدث تقنيات إدارة المخاطر البيئية ستكون أكثر قدرة على مواجهة التحديات وتحقيق نتائج استثنائية. كما يُشدد على أهمية تطوير قدرات داخلية متينة لتمكين الشركة من الاستجابة للطوارئ البيئية بنجاح</w:t>
      </w:r>
      <w:sdt>
        <w:sdtPr>
          <w:rPr>
            <w:rtl/>
          </w:rPr>
          <w:id w:val="124429530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Ker231 \l 3073</w:instrText>
          </w:r>
          <w:r>
            <w:rPr>
              <w:rtl/>
            </w:rPr>
            <w:instrText xml:space="preserve"> </w:instrText>
          </w:r>
          <w:r>
            <w:rPr>
              <w:rtl/>
            </w:rPr>
            <w:fldChar w:fldCharType="separate"/>
          </w:r>
          <w:r>
            <w:rPr>
              <w:noProof/>
              <w:rtl/>
            </w:rPr>
            <w:t xml:space="preserve"> </w:t>
          </w:r>
          <w:r>
            <w:rPr>
              <w:rFonts w:hint="cs"/>
              <w:noProof/>
              <w:rtl/>
            </w:rPr>
            <w:t>(</w:t>
          </w:r>
          <w:r>
            <w:rPr>
              <w:rFonts w:hint="cs"/>
              <w:noProof/>
            </w:rPr>
            <w:t>Kero</w:t>
          </w:r>
          <w:r>
            <w:rPr>
              <w:rFonts w:hint="cs"/>
              <w:noProof/>
              <w:rtl/>
            </w:rPr>
            <w:t>، 2023)</w:t>
          </w:r>
          <w:r>
            <w:rPr>
              <w:rtl/>
            </w:rPr>
            <w:fldChar w:fldCharType="end"/>
          </w:r>
        </w:sdtContent>
      </w:sdt>
      <w:r>
        <w:rPr>
          <w:rtl/>
        </w:rPr>
        <w:t>.</w:t>
      </w:r>
    </w:p>
    <w:p w14:paraId="35976D60" w14:textId="77777777" w:rsidR="00B500F9" w:rsidRPr="00365FB4" w:rsidRDefault="00B500F9" w:rsidP="00B500F9">
      <w:pPr>
        <w:spacing w:line="240" w:lineRule="auto"/>
        <w:jc w:val="both"/>
        <w:rPr>
          <w:rFonts w:ascii="Simplified Arabic" w:hAnsi="Simplified Arabic" w:cs="Simplified Arabic"/>
          <w:sz w:val="28"/>
          <w:szCs w:val="28"/>
          <w:rtl/>
        </w:rPr>
      </w:pPr>
    </w:p>
    <w:p w14:paraId="0D4BDB1D" w14:textId="77777777" w:rsidR="00B500F9" w:rsidRPr="00365FB4" w:rsidRDefault="00B500F9" w:rsidP="00B500F9">
      <w:pPr>
        <w:spacing w:line="240" w:lineRule="auto"/>
        <w:jc w:val="both"/>
        <w:rPr>
          <w:rFonts w:ascii="Simplified Arabic" w:hAnsi="Simplified Arabic" w:cs="Simplified Arabic"/>
          <w:sz w:val="28"/>
          <w:szCs w:val="28"/>
          <w:rtl/>
        </w:rPr>
      </w:pPr>
    </w:p>
    <w:p w14:paraId="322195D8" w14:textId="77777777" w:rsidR="00B500F9" w:rsidRPr="00365FB4" w:rsidRDefault="00B500F9" w:rsidP="00B500F9">
      <w:pPr>
        <w:spacing w:line="240" w:lineRule="auto"/>
        <w:jc w:val="both"/>
        <w:rPr>
          <w:rFonts w:ascii="Simplified Arabic" w:hAnsi="Simplified Arabic" w:cs="Simplified Arabic"/>
          <w:sz w:val="28"/>
          <w:szCs w:val="28"/>
          <w:rtl/>
        </w:rPr>
      </w:pPr>
    </w:p>
    <w:p w14:paraId="4D7E3CAF" w14:textId="77777777" w:rsidR="00B500F9" w:rsidRPr="00365FB4" w:rsidRDefault="00B500F9" w:rsidP="00B500F9">
      <w:pPr>
        <w:spacing w:line="240" w:lineRule="auto"/>
        <w:jc w:val="both"/>
        <w:rPr>
          <w:rFonts w:ascii="Simplified Arabic" w:hAnsi="Simplified Arabic" w:cs="Simplified Arabic"/>
          <w:sz w:val="28"/>
          <w:szCs w:val="28"/>
          <w:rtl/>
        </w:rPr>
      </w:pPr>
    </w:p>
    <w:p w14:paraId="7EEAEEC5" w14:textId="77777777" w:rsidR="00B500F9" w:rsidRPr="00365FB4" w:rsidRDefault="00B500F9" w:rsidP="00B500F9">
      <w:pPr>
        <w:spacing w:line="240" w:lineRule="auto"/>
        <w:jc w:val="both"/>
        <w:rPr>
          <w:rFonts w:ascii="Simplified Arabic" w:hAnsi="Simplified Arabic" w:cs="Simplified Arabic"/>
          <w:sz w:val="28"/>
          <w:szCs w:val="28"/>
          <w:rtl/>
        </w:rPr>
      </w:pPr>
    </w:p>
    <w:p w14:paraId="15D6FCAC" w14:textId="77777777" w:rsidR="00B500F9" w:rsidRPr="00365FB4" w:rsidRDefault="00B500F9" w:rsidP="00B500F9">
      <w:pPr>
        <w:spacing w:line="240" w:lineRule="auto"/>
        <w:jc w:val="both"/>
        <w:rPr>
          <w:rFonts w:ascii="Simplified Arabic" w:hAnsi="Simplified Arabic" w:cs="Simplified Arabic"/>
          <w:sz w:val="28"/>
          <w:szCs w:val="28"/>
          <w:rtl/>
        </w:rPr>
      </w:pPr>
    </w:p>
    <w:p w14:paraId="73A804C2" w14:textId="77777777" w:rsidR="00B500F9" w:rsidRPr="00365FB4" w:rsidRDefault="00B500F9" w:rsidP="00B500F9">
      <w:pPr>
        <w:spacing w:line="240" w:lineRule="auto"/>
        <w:jc w:val="both"/>
        <w:rPr>
          <w:rFonts w:ascii="Simplified Arabic" w:hAnsi="Simplified Arabic" w:cs="Simplified Arabic"/>
          <w:sz w:val="28"/>
          <w:szCs w:val="28"/>
          <w:rtl/>
        </w:rPr>
      </w:pPr>
    </w:p>
    <w:p w14:paraId="0FCB821D" w14:textId="77777777" w:rsidR="00B500F9" w:rsidRDefault="00B500F9" w:rsidP="00B500F9">
      <w:pPr>
        <w:rPr>
          <w:rtl/>
        </w:rPr>
      </w:pPr>
    </w:p>
    <w:p w14:paraId="0D4B3AED" w14:textId="77777777" w:rsidR="00B500F9" w:rsidRDefault="00B500F9" w:rsidP="00B500F9">
      <w:pPr>
        <w:rPr>
          <w:rtl/>
        </w:rPr>
      </w:pPr>
    </w:p>
    <w:p w14:paraId="2DB030E6" w14:textId="77777777" w:rsidR="00B500F9" w:rsidRDefault="00B500F9"/>
    <w:sectPr w:rsidR="00B500F9"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E5A1C"/>
    <w:multiLevelType w:val="hybridMultilevel"/>
    <w:tmpl w:val="719620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9B436C"/>
    <w:multiLevelType w:val="hybridMultilevel"/>
    <w:tmpl w:val="A0E86E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5477F6"/>
    <w:multiLevelType w:val="hybridMultilevel"/>
    <w:tmpl w:val="EC0AFD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975350"/>
    <w:multiLevelType w:val="hybridMultilevel"/>
    <w:tmpl w:val="EE12DD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220407"/>
    <w:multiLevelType w:val="hybridMultilevel"/>
    <w:tmpl w:val="6672BA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70CA9"/>
    <w:multiLevelType w:val="hybridMultilevel"/>
    <w:tmpl w:val="CF00B4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2E1EED"/>
    <w:multiLevelType w:val="hybridMultilevel"/>
    <w:tmpl w:val="5DC24A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D2292E"/>
    <w:multiLevelType w:val="hybridMultilevel"/>
    <w:tmpl w:val="120A77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9F54B5"/>
    <w:multiLevelType w:val="hybridMultilevel"/>
    <w:tmpl w:val="BCC45E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5A150C"/>
    <w:multiLevelType w:val="hybridMultilevel"/>
    <w:tmpl w:val="3F3A19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9"/>
  </w:num>
  <w:num w:numId="6">
    <w:abstractNumId w:val="3"/>
  </w:num>
  <w:num w:numId="7">
    <w:abstractNumId w:val="6"/>
  </w:num>
  <w:num w:numId="8">
    <w:abstractNumId w:val="8"/>
  </w:num>
  <w:num w:numId="9">
    <w:abstractNumId w:val="1"/>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7D6"/>
    <w:rsid w:val="00002B16"/>
    <w:rsid w:val="000364AD"/>
    <w:rsid w:val="00213BBC"/>
    <w:rsid w:val="002E45BD"/>
    <w:rsid w:val="00331F56"/>
    <w:rsid w:val="004978DA"/>
    <w:rsid w:val="004F6740"/>
    <w:rsid w:val="008A3771"/>
    <w:rsid w:val="00A35F68"/>
    <w:rsid w:val="00A749B0"/>
    <w:rsid w:val="00B427D6"/>
    <w:rsid w:val="00B500F9"/>
    <w:rsid w:val="00C1171D"/>
    <w:rsid w:val="00CA536D"/>
    <w:rsid w:val="00D74C8E"/>
    <w:rsid w:val="00EF083E"/>
    <w:rsid w:val="00F77B4F"/>
    <w:rsid w:val="00F979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0137F"/>
  <w15:chartTrackingRefBased/>
  <w15:docId w15:val="{8622D181-B314-4FE2-8708-FA0966DD2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0F9"/>
    <w:pPr>
      <w:bidi/>
      <w:spacing w:line="259" w:lineRule="auto"/>
    </w:pPr>
    <w:rPr>
      <w:sz w:val="22"/>
      <w:szCs w:val="22"/>
    </w:rPr>
  </w:style>
  <w:style w:type="paragraph" w:styleId="Heading1">
    <w:name w:val="heading 1"/>
    <w:basedOn w:val="Normal"/>
    <w:next w:val="Normal"/>
    <w:link w:val="Heading1Char"/>
    <w:uiPriority w:val="9"/>
    <w:qFormat/>
    <w:rsid w:val="00B427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27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27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7D6"/>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B427D6"/>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B427D6"/>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B427D6"/>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B427D6"/>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B427D6"/>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B427D6"/>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B427D6"/>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B427D6"/>
    <w:rPr>
      <w:rFonts w:eastAsiaTheme="majorEastAsia" w:cstheme="majorBidi"/>
      <w:noProof/>
      <w:color w:val="272727" w:themeColor="text1" w:themeTint="D8"/>
    </w:rPr>
  </w:style>
  <w:style w:type="paragraph" w:styleId="Title">
    <w:name w:val="Title"/>
    <w:basedOn w:val="Normal"/>
    <w:next w:val="Normal"/>
    <w:link w:val="TitleChar"/>
    <w:uiPriority w:val="10"/>
    <w:qFormat/>
    <w:rsid w:val="00B42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7D6"/>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B42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7D6"/>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B427D6"/>
    <w:pPr>
      <w:spacing w:before="160"/>
      <w:jc w:val="center"/>
    </w:pPr>
    <w:rPr>
      <w:i/>
      <w:iCs/>
      <w:color w:val="404040" w:themeColor="text1" w:themeTint="BF"/>
    </w:rPr>
  </w:style>
  <w:style w:type="character" w:customStyle="1" w:styleId="QuoteChar">
    <w:name w:val="Quote Char"/>
    <w:basedOn w:val="DefaultParagraphFont"/>
    <w:link w:val="Quote"/>
    <w:uiPriority w:val="29"/>
    <w:rsid w:val="00B427D6"/>
    <w:rPr>
      <w:i/>
      <w:iCs/>
      <w:noProof/>
      <w:color w:val="404040" w:themeColor="text1" w:themeTint="BF"/>
    </w:rPr>
  </w:style>
  <w:style w:type="paragraph" w:styleId="ListParagraph">
    <w:name w:val="List Paragraph"/>
    <w:basedOn w:val="Normal"/>
    <w:uiPriority w:val="34"/>
    <w:qFormat/>
    <w:rsid w:val="00B427D6"/>
    <w:pPr>
      <w:ind w:left="720"/>
      <w:contextualSpacing/>
    </w:pPr>
  </w:style>
  <w:style w:type="character" w:styleId="IntenseEmphasis">
    <w:name w:val="Intense Emphasis"/>
    <w:basedOn w:val="DefaultParagraphFont"/>
    <w:uiPriority w:val="21"/>
    <w:qFormat/>
    <w:rsid w:val="00B427D6"/>
    <w:rPr>
      <w:i/>
      <w:iCs/>
      <w:color w:val="0F4761" w:themeColor="accent1" w:themeShade="BF"/>
    </w:rPr>
  </w:style>
  <w:style w:type="paragraph" w:styleId="IntenseQuote">
    <w:name w:val="Intense Quote"/>
    <w:basedOn w:val="Normal"/>
    <w:next w:val="Normal"/>
    <w:link w:val="IntenseQuoteChar"/>
    <w:uiPriority w:val="30"/>
    <w:qFormat/>
    <w:rsid w:val="00B42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7D6"/>
    <w:rPr>
      <w:i/>
      <w:iCs/>
      <w:noProof/>
      <w:color w:val="0F4761" w:themeColor="accent1" w:themeShade="BF"/>
    </w:rPr>
  </w:style>
  <w:style w:type="character" w:styleId="IntenseReference">
    <w:name w:val="Intense Reference"/>
    <w:basedOn w:val="DefaultParagraphFont"/>
    <w:uiPriority w:val="32"/>
    <w:qFormat/>
    <w:rsid w:val="00B427D6"/>
    <w:rPr>
      <w:b/>
      <w:bCs/>
      <w:smallCaps/>
      <w:color w:val="0F4761" w:themeColor="accent1" w:themeShade="BF"/>
      <w:spacing w:val="5"/>
    </w:rPr>
  </w:style>
  <w:style w:type="paragraph" w:styleId="Caption">
    <w:name w:val="caption"/>
    <w:basedOn w:val="Normal"/>
    <w:next w:val="Normal"/>
    <w:uiPriority w:val="35"/>
    <w:unhideWhenUsed/>
    <w:qFormat/>
    <w:rsid w:val="00B500F9"/>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B500F9"/>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B500F9"/>
    <w:pPr>
      <w:numPr>
        <w:numId w:val="1"/>
      </w:numPr>
    </w:pPr>
    <w:rPr>
      <w:b/>
      <w:bCs/>
    </w:rPr>
  </w:style>
  <w:style w:type="character" w:customStyle="1" w:styleId="NoSpacingChar">
    <w:name w:val="No Spacing Char"/>
    <w:basedOn w:val="DefaultParagraphFont"/>
    <w:link w:val="NoSpacing"/>
    <w:uiPriority w:val="1"/>
    <w:rsid w:val="00B500F9"/>
    <w:rPr>
      <w:rFonts w:ascii="Sakkal Majalla" w:hAnsi="Sakkal Majalla" w:cs="Sakkal Majalla"/>
      <w:sz w:val="28"/>
      <w:szCs w:val="28"/>
      <w:lang w:bidi="ar-EG"/>
    </w:rPr>
  </w:style>
  <w:style w:type="character" w:customStyle="1" w:styleId="Style1Char">
    <w:name w:val="Style1 Char"/>
    <w:basedOn w:val="NoSpacingChar"/>
    <w:link w:val="Style1"/>
    <w:rsid w:val="00B500F9"/>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Osh24</b:Tag>
    <b:SourceType>JournalArticle</b:SourceType>
    <b:Guid>{BC4C13C5-8687-4534-9A58-FE076A0446C7}</b:Guid>
    <b:Author>
      <b:Author>
        <b:NameList>
          <b:Person>
            <b:Last>Osheyor</b:Last>
            <b:First>Joachim</b:First>
          </b:Person>
        </b:NameList>
      </b:Author>
    </b:Author>
    <b:Title>A review of technological innovations and environmental impact mitigation</b:Title>
    <b:Year>2024</b:Year>
    <b:URL>https://www.researchgate.net/publication/377209626_A_review_of_technological_innovations_and_environmental_impact_mitigation</b:URL>
    <b:RefOrder>1</b:RefOrder>
  </b:Source>
  <b:Source>
    <b:Tag>Blu21</b:Tag>
    <b:SourceType>JournalArticle</b:SourceType>
    <b:Guid>{0AA19045-FB55-4EAE-B4B7-793863DD20D0}</b:Guid>
    <b:Author>
      <b:Author>
        <b:NameList>
          <b:Person>
            <b:Last>Blundo</b:Last>
            <b:First>Davide</b:First>
            <b:Middle>Settembre</b:Middle>
          </b:Person>
        </b:NameList>
      </b:Author>
    </b:Author>
    <b:Title>Flexibility and Resilience in Corporate Decision Making: A New Sustainability-Based Risk Management System in Uncertain Times</b:Title>
    <b:Year>2021</b:Year>
    <b:URL>https://www.researchgate.net/publication/353665494_Flexibility_and_Resilience_in_Corporate_Decision_Making_A_New_Sustainability-Based_Risk_Management_System_in_Uncertain_Times</b:URL>
    <b:RefOrder>2</b:RefOrder>
  </b:Source>
  <b:Source>
    <b:Tag>Ban14</b:Tag>
    <b:SourceType>JournalArticle</b:SourceType>
    <b:Guid>{17AF5FAF-6454-456F-88FA-CE4F30509C8C}</b:Guid>
    <b:Author>
      <b:Author>
        <b:NameList>
          <b:Person>
            <b:Last>Banholzer</b:Last>
            <b:First>Sandra</b:First>
          </b:Person>
        </b:NameList>
      </b:Author>
    </b:Author>
    <b:Title>The Impact of Climate Change on Natural Disasters</b:Title>
    <b:Year>2014</b:Year>
    <b:URL>https://www.researchgate.net/publication/286508065_The_Impact_of_Climate_Change_on_Natural_Disasters</b:URL>
    <b:RefOrder>3</b:RefOrder>
  </b:Source>
  <b:Source>
    <b:Tag>Pop24</b:Tag>
    <b:SourceType>JournalArticle</b:SourceType>
    <b:Guid>{5A6E1B0B-8462-4B53-B774-D9997E67801E}</b:Guid>
    <b:Author>
      <b:Author>
        <b:NameList>
          <b:Person>
            <b:Last>Popescu</b:Last>
            <b:First>Simona</b:First>
          </b:Person>
        </b:NameList>
      </b:Author>
    </b:Author>
    <b:Title>Artificial intelligence and IoT driven technologies for environmental pollution monitoring and management</b:Title>
    <b:Year>2024</b:Year>
    <b:URL>https://www.researchgate.net/publication/378315907_Artificial_intelligence_and_IoT_driven_technologies_for_environmental_pollution_monitoring_and_management</b:URL>
    <b:RefOrder>4</b:RefOrder>
  </b:Source>
  <b:Source>
    <b:Tag>Alm242</b:Tag>
    <b:SourceType>JournalArticle</b:SourceType>
    <b:Guid>{54E9F8F3-1573-406A-94CC-4AA920D49651}</b:Guid>
    <b:Author>
      <b:Author>
        <b:NameList>
          <b:Person>
            <b:Last>Almheiri</b:Last>
            <b:First>Abdulla</b:First>
          </b:Person>
        </b:NameList>
      </b:Author>
    </b:Author>
    <b:Title>Climate change hazards and the resilience of coastal cities in the Gulf Cooperation Council countries: A systematic review</b:Title>
    <b:Year>2024</b:Year>
    <b:URL>https://www.sciencedirect.com/science/article/pii/S2590252024000370</b:URL>
    <b:RefOrder>5</b:RefOrder>
  </b:Source>
  <b:Source>
    <b:Tag>Asi21</b:Tag>
    <b:SourceType>JournalArticle</b:SourceType>
    <b:Guid>{985E2C7C-9E7C-43F1-A81F-34B4DB6477AF}</b:Guid>
    <b:Author>
      <b:Author>
        <b:NameList>
          <b:Person>
            <b:Last>Asibey</b:Last>
            <b:First>Michael</b:First>
            <b:Middle>Osei</b:Middle>
          </b:Person>
        </b:NameList>
      </b:Author>
    </b:Author>
    <b:Title>Urban planning trends on e-waste management in Ghanaian cities</b:Title>
    <b:Year>2021</b:Year>
    <b:URL>https://www.sciencedirect.com/science/article/abs/pii/S0264275120312919</b:URL>
    <b:RefOrder>6</b:RefOrder>
  </b:Source>
  <b:Source>
    <b:Tag>Wel24</b:Tag>
    <b:SourceType>JournalArticle</b:SourceType>
    <b:Guid>{74CA48E3-0018-4F2A-89C3-9403FB674C78}</b:Guid>
    <b:Author>
      <b:Author>
        <b:NameList>
          <b:Person>
            <b:Last>Weld-Ali</b:Last>
            <b:First>Wafa</b:First>
            <b:Middle>Mohammad</b:Middle>
          </b:Person>
        </b:NameList>
      </b:Author>
    </b:Author>
    <b:Title>The Practice of Enterprise Risk Management and Sustainable Performance in Jordan</b:Title>
    <b:Year>2024</b:Year>
    <b:URL>https://www.researchgate.net/publication/380446498_The_Practice_of_Enterprise_Risk_Management_and_Sustainable_Performance_in_Jordan</b:URL>
    <b:RefOrder>7</b:RefOrder>
  </b:Source>
  <b:Source>
    <b:Tag>Ale251</b:Tag>
    <b:SourceType>JournalArticle</b:SourceType>
    <b:Guid>{3A3AD27C-4DF3-440E-A961-6955C208B7A4}</b:Guid>
    <b:Author>
      <b:Author>
        <b:NameList>
          <b:Person>
            <b:Last>Alexandra</b:Last>
            <b:First>Luna</b:First>
          </b:Person>
        </b:NameList>
      </b:Author>
    </b:Author>
    <b:Title>The Role of Technology in Enhancing Risk Assessment</b:Title>
    <b:Year>2025</b:Year>
    <b:URL>https://www.researchgate.net/publication/388453528_The_Role_of_Technology_in_Enhancing_Risk_Assessment</b:URL>
    <b:RefOrder>8</b:RefOrder>
  </b:Source>
  <b:Source>
    <b:Tag>Bas24</b:Tag>
    <b:SourceType>JournalArticle</b:SourceType>
    <b:Guid>{F4D13467-D139-449F-A961-4E29ACF1E7F2}</b:Guid>
    <b:Author>
      <b:Author>
        <b:NameList>
          <b:Person>
            <b:Last>Basit</b:Last>
            <b:First>Shoaib</b:First>
            <b:Middle>Abdul</b:Middle>
          </b:Person>
        </b:NameList>
      </b:Author>
    </b:Author>
    <b:Title>Review of enablers and barriers of sustainable business practices in SMEs</b:Title>
    <b:Year>2024</b:Year>
    <b:URL>https://www.sciencedirect.com/science/article/pii/S2949948824000167</b:URL>
    <b:RefOrder>9</b:RefOrder>
  </b:Source>
  <b:Source>
    <b:Tag>Ala258</b:Tag>
    <b:SourceType>JournalArticle</b:SourceType>
    <b:Guid>{9854914E-DDD7-4E17-83D0-4D3518762106}</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10</b:RefOrder>
  </b:Source>
  <b:Source>
    <b:Tag>Taz25</b:Tag>
    <b:SourceType>JournalArticle</b:SourceType>
    <b:Guid>{705FFEA5-EE4D-4A2B-8FEC-A49AAC8477C2}</b:Guid>
    <b:Author>
      <b:Author>
        <b:NameList>
          <b:Person>
            <b:Last>Tazikeh</b:Last>
            <b:First>Simin</b:First>
          </b:Person>
        </b:NameList>
      </b:Author>
    </b:Author>
    <b:Title>Energy development and management in the Middle East: A holistic analysis</b:Title>
    <b:Year>2025</b:Year>
    <b:URL>https://www.sciencedirect.com/science/article/pii/S0196890424010653</b:URL>
    <b:RefOrder>11</b:RefOrder>
  </b:Source>
  <b:Source>
    <b:Tag>Oke23</b:Tag>
    <b:SourceType>JournalArticle</b:SourceType>
    <b:Guid>{5292AFE9-D37B-4A8D-9A9C-95123783E7B7}</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12</b:RefOrder>
  </b:Source>
  <b:Source>
    <b:Tag>Oko25</b:Tag>
    <b:SourceType>JournalArticle</b:SourceType>
    <b:Guid>{1C5517A0-EE9D-4B08-8E44-8ABE0287A664}</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13</b:RefOrder>
  </b:Source>
  <b:Source>
    <b:Tag>Miz24</b:Tag>
    <b:SourceType>JournalArticle</b:SourceType>
    <b:Guid>{9A4D033B-290B-479C-BB56-7CE6E00D17E2}</b:Guid>
    <b:Author>
      <b:Author>
        <b:NameList>
          <b:Person>
            <b:Last>Mizrak</b:Last>
            <b:First>Kağan</b:First>
            <b:Middle>Cenk</b:Middle>
          </b:Person>
        </b:NameList>
      </b:Author>
    </b:Author>
    <b:Title>Crisis Management and Risk Mitigation: Strategies for Effective Response and Resilience</b:Title>
    <b:Year>2024</b:Year>
    <b:URL>https://www.researchgate.net/publication/378432533_Crisis_Management_and_Risk_Mitigation_Strategies_for_Effective_Response_and_Resilience</b:URL>
    <b:RefOrder>14</b:RefOrder>
  </b:Source>
  <b:Source>
    <b:Tag>Bar232</b:Tag>
    <b:SourceType>JournalArticle</b:SourceType>
    <b:Guid>{5D153ABC-69EB-4DC6-8A3D-F175046C87C6}</b:Guid>
    <b:Author>
      <b:Author>
        <b:NameList>
          <b:Person>
            <b:Last>Barbosa</b:Last>
            <b:First>Anrafel</b:First>
            <b:Middle>De Souza</b:Middle>
          </b:Person>
        </b:NameList>
      </b:Author>
    </b:Author>
    <b:Title>Integration of Environmental, Social, and Governance (ESG) criteria: their impacts on corporate sustainability performance</b:Title>
    <b:Year>2023</b:Year>
    <b:URL>https://www.researchgate.net/publication/372336148_Integration_of_Environmental_Social_and_Governance_ESG_criteria_their_impacts_on_corporate_sustainability_performance</b:URL>
    <b:RefOrder>15</b:RefOrder>
  </b:Source>
  <b:Source>
    <b:Tag>Ran231</b:Tag>
    <b:SourceType>JournalArticle</b:SourceType>
    <b:Guid>{7DA52B47-13F3-46D1-8C77-A61800048BD9}</b:Guid>
    <b:Author>
      <b:Author>
        <b:NameList>
          <b:Person>
            <b:Last>Rane</b:Last>
            <b:First>Nitin</b:First>
          </b:Person>
        </b:NameList>
      </b:Author>
    </b:Author>
    <b:Title>Enhancing Customer Loyalty through Artificial Intelligence (AI), Internet of Things (IoT), and Big Data Technologies: Improving Customer Satisfaction, Engagement, Relationship, and Experience</b:Title>
    <b:Year>2023</b:Year>
    <b:URL>https://www.researchgate.net/publication/375428200_Enhancing_Customer_Loyalty_through_Artificial_Intelligence_AI_Internet_of_Things_IoT_and_Big_Data_Technologies_Improving_Customer_Satisfaction_Engagement_Relationship_and_Experience</b:URL>
    <b:RefOrder>16</b:RefOrder>
  </b:Source>
  <b:Source>
    <b:Tag>Alt24</b:Tag>
    <b:SourceType>JournalArticle</b:SourceType>
    <b:Guid>{9011FB86-DE0F-4A3D-98EE-70B30248DD2D}</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17</b:RefOrder>
  </b:Source>
  <b:Source>
    <b:Tag>Vin20</b:Tag>
    <b:SourceType>JournalArticle</b:SourceType>
    <b:Guid>{EDBFFA99-7F70-4855-A87A-D03F95D62C97}</b:Guid>
    <b:Author>
      <b:Author>
        <b:NameList>
          <b:Person>
            <b:Last>Vinodkumar</b:Last>
            <b:First>Nisa</b:First>
          </b:Person>
        </b:NameList>
      </b:Author>
    </b:Author>
    <b:Title>Environmental social governance: a core value to responsible stakeholders and stock market sustainability in the Kingdom of Saudi Arabia</b:Title>
    <b:Year>2020</b:Year>
    <b:URL>https://www.tandfonline.com/doi/abs/10.1080/20430795.2020.1827602</b:URL>
    <b:RefOrder>18</b:RefOrder>
  </b:Source>
  <b:Source>
    <b:Tag>Abd18</b:Tag>
    <b:SourceType>JournalArticle</b:SourceType>
    <b:Guid>{BB8DE07D-8946-46A4-8DDB-8C2088F80234}</b:Guid>
    <b:Author>
      <b:Author>
        <b:NameList>
          <b:Person>
            <b:Last>Abdulrazzak</b:Last>
            <b:First>Mohamed</b:First>
          </b:Person>
        </b:NameList>
      </b:Author>
    </b:Author>
    <b:Title>Flash flood risk assessment in urban arid environment: case study of Taibah and Islamic universities’ campuses, Medina, Kingdom of Saudi Arabia</b:Title>
    <b:Year>2018</b:Year>
    <b:URL>https://www.tandfonline.com/doi/full/10.1080/19475705.2018.1545705</b:URL>
    <b:RefOrder>19</b:RefOrder>
  </b:Source>
  <b:Source>
    <b:Tag>ALS24</b:Tag>
    <b:SourceType>JournalArticle</b:SourceType>
    <b:Guid>{AAB25487-6F7C-4281-90B3-4BEFE98ECA0F}</b:Guid>
    <b:Author>
      <b:Author>
        <b:NameList>
          <b:Person>
            <b:Last>ALSHAMMRY</b:Last>
            <b:First>MAMMDOH</b:First>
            <b:Middle>SAUD</b:Middle>
          </b:Person>
        </b:NameList>
      </b:Author>
    </b:Author>
    <b:Title>Risk and Sustainability in the case of the Saudi Arabian Mining Industry</b:Title>
    <b:Year>2024</b:Year>
    <b:URL>https://pure.port.ac.uk/ws/portalfiles/portal/82504747/Risk_and_Sustainability_in_the_case_of_the_Saudi_Arabian_Mining_Industry-_Dr._Mammdoh_Alshammari_-_ResearchDegree.pdf</b:URL>
    <b:RefOrder>20</b:RefOrder>
  </b:Source>
  <b:Source>
    <b:Tag>Alg221</b:Tag>
    <b:SourceType>JournalArticle</b:SourceType>
    <b:Guid>{C69C9555-F4ED-4AB5-9151-3544160BD70F}</b:Guid>
    <b:Author>
      <b:Author>
        <b:NameList>
          <b:Person>
            <b:Last>Algumzi</b:Last>
            <b:First>Areej</b:First>
          </b:Person>
        </b:NameList>
      </b:Author>
    </b:Author>
    <b:Title>Risks and Challenges Associated with NEOM Project in Saudi Arabia: A Marketing Perspective</b:Title>
    <b:Year>2022</b:Year>
    <b:URL>https://www.mdpi.com/1911-8074/15/9/381</b:URL>
    <b:RefOrder>21</b:RefOrder>
  </b:Source>
  <b:Source>
    <b:Tag>Jaz21</b:Tag>
    <b:SourceType>JournalArticle</b:SourceType>
    <b:Guid>{CE8A8302-E695-422E-A1DF-433110DE0FEF}</b:Guid>
    <b:Author>
      <b:Author>
        <b:NameList>
          <b:Person>
            <b:Last>Jaziri</b:Last>
            <b:First>R.</b:First>
          </b:Person>
        </b:NameList>
      </b:Author>
    </b:Author>
    <b:Title>The impact of crisis and disasters risk management in COVID-19 times: Insights and lessons learned from Saudi Arabia</b:Title>
    <b:Year>2021</b:Year>
    <b:URL>https://www.sciencedirect.com/science/article/pii/S2352552521000827</b:URL>
    <b:RefOrder>22</b:RefOrder>
  </b:Source>
  <b:Source>
    <b:Tag>AlW23</b:Tag>
    <b:SourceType>JournalArticle</b:SourceType>
    <b:Guid>{E83A2A11-4B18-4F38-8E7A-E29099BFAC7D}</b:Guid>
    <b:Author>
      <b:Author>
        <b:NameList>
          <b:Person>
            <b:Last>Al-Wathinani</b:Last>
            <b:First>Ahmed</b:First>
            <b:Middle>M.</b:Middle>
          </b:Person>
        </b:NameList>
      </b:Author>
    </b:Author>
    <b:Title>Driving Sustainable Disaster Risk Reduction: A Rapid Review of the Policies and Strategies in Saudi Arabia</b:Title>
    <b:Year>2023</b:Year>
    <b:URL>https://www.mdpi.com/2071-1050/15/14/10976</b:URL>
    <b:RefOrder>23</b:RefOrder>
  </b:Source>
  <b:Source>
    <b:Tag>Hab192</b:Tag>
    <b:SourceType>JournalArticle</b:SourceType>
    <b:Guid>{162FF164-57C1-45C6-B0F2-F40A44D9FFB4}</b:Guid>
    <b:Author>
      <b:Author>
        <b:NameList>
          <b:Person>
            <b:Last>Habtoor</b:Last>
            <b:First>Omer</b:First>
            <b:Middle>Saeed</b:Middle>
          </b:Person>
        </b:NameList>
      </b:Author>
    </b:Author>
    <b:Title>The impact of corporate ownership structure on corporate risk disclosure: Evidence from the Kingdom of Saudi Arabia</b:Title>
    <b:Year>2019</b:Year>
    <b:URL>https://www.ceeol.com/search/article-detail?id=889131</b:URL>
    <b:RefOrder>24</b:RefOrder>
  </b:Source>
  <b:Source>
    <b:Tag>Alk233</b:Tag>
    <b:SourceType>JournalArticle</b:SourceType>
    <b:Guid>{2AAAE2F4-D458-40F3-B51A-807BC8E1B247}</b:Guid>
    <b:Author>
      <b:Author>
        <b:NameList>
          <b:Person>
            <b:Last>Alkhyyoon</b:Last>
            <b:First>Hussein</b:First>
          </b:Person>
        </b:NameList>
      </b:Author>
    </b:Author>
    <b:Title>Organizational Risk Management and Performance from the Perspective of Fraud: A Comparative Study in Iraq, Iran, and Saudi Arabia</b:Title>
    <b:Year>2023</b:Year>
    <b:URL>https://www.mdpi.com/1911-8074/16/3/205</b:URL>
    <b:RefOrder>25</b:RefOrder>
  </b:Source>
  <b:Source>
    <b:Tag>Ala201</b:Tag>
    <b:SourceType>JournalArticle</b:SourceType>
    <b:Guid>{52E3DF68-B7E4-441A-B4B0-31485D9AD598}</b:Guid>
    <b:Author>
      <b:Author>
        <b:NameList>
          <b:Person>
            <b:Last>Alattyih</b:Last>
            <b:First>Wael</b:First>
          </b:Person>
        </b:NameList>
      </b:Author>
    </b:Author>
    <b:Title>Risk Factors Impacting the Project Value Created by Green Buildings in Saudi Arabia</b:Title>
    <b:Year>2020</b:Year>
    <b:URL>https://www.mdpi.com/2076-3417/10/21/7388</b:URL>
    <b:RefOrder>26</b:RefOrder>
  </b:Source>
  <b:Source>
    <b:Tag>Kal243</b:Tag>
    <b:SourceType>JournalArticle</b:SourceType>
    <b:Guid>{0931C340-831B-496B-ABC4-177EA14C5DCE}</b:Guid>
    <b:Author>
      <b:Author>
        <b:NameList>
          <b:Person>
            <b:Last>Kalra</b:Last>
            <b:First>Preeti</b:First>
          </b:Person>
        </b:NameList>
      </b:Author>
    </b:Author>
    <b:Title>CORPORATE SOCIAL RESPONSIBILITY AND STAKEHOLDER THEORY: AN INTEGRATED REVIEW</b:Title>
    <b:Year>2024</b:Year>
    <b:URL>https://www.researchgate.net/publication/379330233_CORPORATE_SOCIAL_RESPONSIBILITY_AND_STAKEHOLDER_THEORY_AN_INTEGRATED_REVIEW</b:URL>
    <b:RefOrder>27</b:RefOrder>
  </b:Source>
  <b:Source>
    <b:Tag>Cor131</b:Tag>
    <b:SourceType>JournalArticle</b:SourceType>
    <b:Guid>{D728D8A9-BADD-487A-8AEE-B57911454E5E}</b:Guid>
    <b:Author>
      <b:Author>
        <b:NameList>
          <b:Person>
            <b:Last>Cordon</b:Last>
            <b:First>Charissa</b:First>
          </b:Person>
        </b:NameList>
      </b:Author>
    </b:Author>
    <b:Title>System Theories: An Overview of Various System Theories and Its Application in Healthcare</b:Title>
    <b:Year>2013</b:Year>
    <b:URL>https://www.researchgate.net/publication/263039164_System_Theories_An_Overview_of_Various_System_Theories_and_Its_Application_in_Healthcare</b:URL>
    <b:RefOrder>28</b:RefOrder>
  </b:Source>
  <b:Source>
    <b:Tag>Eit24</b:Tag>
    <b:SourceType>JournalArticle</b:SourceType>
    <b:Guid>{D26B2910-881E-48E4-9681-9069DF6C5BE7}</b:Guid>
    <b:Author>
      <b:Author>
        <b:NameList>
          <b:Person>
            <b:Last>Eitrem</b:Last>
            <b:First>Anna</b:First>
          </b:Person>
        </b:NameList>
      </b:Author>
    </b:Author>
    <b:Title>The use of institutional theory in social and environmental accounting research: a critical review</b:Title>
    <b:Year>2024</b:Year>
    <b:URL>https://www.researchgate.net/publication/379688062_The_use_of_institutional_theory_in_social_and_environmental_accounting_research_a_critical_review</b:URL>
    <b:RefOrder>29</b:RefOrder>
  </b:Source>
  <b:Source>
    <b:Tag>Cha17</b:Tag>
    <b:SourceType>JournalArticle</b:SourceType>
    <b:Guid>{3A10F1EE-6193-42AB-A045-2484083895A7}</b:Guid>
    <b:Author>
      <b:Author>
        <b:NameList>
          <b:Person>
            <b:Last>Chang</b:Last>
            <b:First>Rui-Dong</b:First>
          </b:Person>
        </b:NameList>
      </b:Author>
    </b:Author>
    <b:Title>Evolving theories of sustainability and firms: History, future directions and implications for renewable energy research</b:Title>
    <b:Year>2017</b:Year>
    <b:URL>https://www.researchgate.net/publication/312385344_Evolving_theories_of_sustainability_and_firms_History_future_directions_and_implications_for_renewable_energy_research</b:URL>
    <b:RefOrder>30</b:RefOrder>
  </b:Source>
  <b:Source>
    <b:Tag>Ker231</b:Tag>
    <b:SourceType>JournalArticle</b:SourceType>
    <b:Guid>{F8816B28-B8BB-472D-9737-BFC89BD3931F}</b:Guid>
    <b:Author>
      <b:Author>
        <b:NameList>
          <b:Person>
            <b:Last>Kero</b:Last>
            <b:First>Chalchissa</b:First>
            <b:Middle>Amentie</b:Middle>
          </b:Person>
        </b:NameList>
      </b:Author>
    </b:Author>
    <b:Title>A Systematic Review of Resource-Based View and Dynamic Capabilities of Firms and Future Research Avenues</b:Title>
    <b:Year>2023</b:Year>
    <b:URL>https://www.researchgate.net/publication/375090918_A_Systematic_Review_of_Resource-Based_View_and_Dynamic_Capabilities_of_Firms_and_Future_Research_Avenues</b:URL>
    <b:RefOrder>31</b:RefOrder>
  </b:Source>
</b:Sources>
</file>

<file path=customXml/itemProps1.xml><?xml version="1.0" encoding="utf-8"?>
<ds:datastoreItem xmlns:ds="http://schemas.openxmlformats.org/officeDocument/2006/customXml" ds:itemID="{4A3AD0AF-8A09-4F48-B87F-3B962EC50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23</Pages>
  <Words>5395</Words>
  <Characters>30758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najla</cp:lastModifiedBy>
  <cp:revision>3</cp:revision>
  <dcterms:created xsi:type="dcterms:W3CDTF">2025-08-03T16:05:00Z</dcterms:created>
  <dcterms:modified xsi:type="dcterms:W3CDTF">2025-08-13T11:54:00Z</dcterms:modified>
</cp:coreProperties>
</file>