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FA02E" w14:textId="77777777" w:rsidR="000C5106" w:rsidRDefault="00C464EC" w:rsidP="00C72BA8">
      <w:pPr>
        <w:pStyle w:val="Body"/>
        <w:spacing w:line="360" w:lineRule="auto"/>
        <w:rPr>
          <w:rFonts w:ascii="Times New Roman" w:hAnsi="Times New Roman"/>
          <w:b/>
          <w:bCs/>
          <w:sz w:val="28"/>
          <w:szCs w:val="28"/>
        </w:rPr>
      </w:pPr>
      <w:r>
        <w:rPr>
          <w:rFonts w:ascii="Times New Roman" w:hAnsi="Times New Roman"/>
          <w:b/>
          <w:bCs/>
          <w:sz w:val="28"/>
          <w:szCs w:val="28"/>
        </w:rPr>
        <w:t xml:space="preserve">   </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4244"/>
      </w:tblGrid>
      <w:tr w:rsidR="000C5106" w14:paraId="38DE4A4A" w14:textId="77777777" w:rsidTr="000C5106">
        <w:trPr>
          <w:jc w:val="center"/>
        </w:trPr>
        <w:tc>
          <w:tcPr>
            <w:tcW w:w="4243" w:type="dxa"/>
            <w:vAlign w:val="center"/>
          </w:tcPr>
          <w:p w14:paraId="2AF3B93A" w14:textId="77777777" w:rsidR="001434A9" w:rsidRPr="001434A9" w:rsidRDefault="001434A9" w:rsidP="001434A9">
            <w:pPr>
              <w:pStyle w:val="Body"/>
              <w:spacing w:after="200" w:line="276" w:lineRule="auto"/>
              <w:jc w:val="center"/>
              <w:rPr>
                <w:rFonts w:ascii="Times New Roman" w:hAnsi="Times New Roman" w:cs="Times New Roman"/>
                <w:b/>
                <w:bCs/>
                <w:sz w:val="24"/>
                <w:szCs w:val="24"/>
                <w:rtl/>
              </w:rPr>
            </w:pPr>
            <w:r w:rsidRPr="001434A9">
              <w:rPr>
                <w:rFonts w:ascii="Times New Roman" w:hAnsi="Times New Roman" w:cs="Times New Roman"/>
                <w:b/>
                <w:bCs/>
                <w:sz w:val="24"/>
                <w:szCs w:val="24"/>
              </w:rPr>
              <w:t xml:space="preserve">Midocean University </w:t>
            </w:r>
          </w:p>
          <w:p w14:paraId="060A375D" w14:textId="141ADA2C" w:rsidR="000C5106" w:rsidRPr="001434A9" w:rsidRDefault="001434A9" w:rsidP="001434A9">
            <w:pPr>
              <w:pStyle w:val="Body"/>
              <w:spacing w:after="200" w:line="276" w:lineRule="auto"/>
              <w:jc w:val="center"/>
              <w:rPr>
                <w:rFonts w:ascii="Arial Unicode MS" w:hAnsi="Arial Unicode MS" w:cs="Times New Roman"/>
                <w:b/>
                <w:bCs/>
                <w:sz w:val="24"/>
                <w:szCs w:val="24"/>
                <w:rtl/>
              </w:rPr>
            </w:pPr>
            <w:r w:rsidRPr="001434A9">
              <w:rPr>
                <w:rFonts w:ascii="Times New Roman" w:hAnsi="Times New Roman" w:cs="Times New Roman"/>
                <w:b/>
                <w:bCs/>
                <w:sz w:val="24"/>
                <w:szCs w:val="24"/>
              </w:rPr>
              <w:t>Ph.D. program</w:t>
            </w:r>
          </w:p>
        </w:tc>
        <w:tc>
          <w:tcPr>
            <w:tcW w:w="4244" w:type="dxa"/>
          </w:tcPr>
          <w:p w14:paraId="50FA9977" w14:textId="77777777" w:rsidR="000C5106" w:rsidRDefault="000C5106" w:rsidP="00C464E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b/>
                <w:bCs/>
                <w:sz w:val="28"/>
                <w:szCs w:val="28"/>
                <w:rtl/>
              </w:rPr>
            </w:pPr>
            <w:r>
              <w:rPr>
                <w:rStyle w:val="NoneA"/>
                <w:noProof/>
              </w:rPr>
              <w:drawing>
                <wp:inline distT="0" distB="0" distL="0" distR="0" wp14:anchorId="42D4CD7A" wp14:editId="78DB9DEE">
                  <wp:extent cx="2352675" cy="819150"/>
                  <wp:effectExtent l="0" t="0" r="9525" b="0"/>
                  <wp:docPr id="695141639"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2353371" cy="8193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5CDD2A1" w14:textId="2A61EF21" w:rsidR="00325358" w:rsidRDefault="00325358" w:rsidP="00C72BA8">
      <w:pPr>
        <w:pStyle w:val="Body"/>
        <w:spacing w:line="360" w:lineRule="auto"/>
        <w:rPr>
          <w:rFonts w:ascii="Times New Roman" w:hAnsi="Times New Roman"/>
          <w:b/>
          <w:bCs/>
          <w:sz w:val="28"/>
          <w:szCs w:val="28"/>
          <w:rtl/>
        </w:rPr>
      </w:pPr>
    </w:p>
    <w:p w14:paraId="7869DD7A" w14:textId="548CF80F" w:rsidR="000C5106" w:rsidRDefault="000C5106" w:rsidP="000C5106">
      <w:pPr>
        <w:pStyle w:val="Body"/>
        <w:spacing w:line="360" w:lineRule="auto"/>
        <w:jc w:val="center"/>
        <w:rPr>
          <w:rFonts w:ascii="Times New Roman" w:hAnsi="Times New Roman" w:cs="Times New Roman"/>
          <w:b/>
          <w:bCs/>
          <w:spacing w:val="-4"/>
          <w:sz w:val="30"/>
          <w:szCs w:val="30"/>
          <w:rtl/>
          <w:lang w:val="ar-SA"/>
        </w:rPr>
      </w:pPr>
      <w:r w:rsidRPr="00C8185C">
        <w:rPr>
          <w:rFonts w:ascii="Times New Roman" w:hAnsi="Times New Roman" w:cs="Times New Roman"/>
          <w:b/>
          <w:bCs/>
          <w:spacing w:val="-4"/>
          <w:sz w:val="30"/>
          <w:szCs w:val="30"/>
          <w:highlight w:val="yellow"/>
        </w:rPr>
        <w:t>study name</w:t>
      </w:r>
      <w:r w:rsidR="00C8185C">
        <w:rPr>
          <w:rFonts w:ascii="Times New Roman" w:hAnsi="Times New Roman" w:cs="Times New Roman" w:hint="cs"/>
          <w:b/>
          <w:bCs/>
          <w:spacing w:val="-4"/>
          <w:sz w:val="30"/>
          <w:szCs w:val="30"/>
          <w:rtl/>
        </w:rPr>
        <w:t xml:space="preserve">   حذفها</w:t>
      </w:r>
      <w:r w:rsidR="005F6599">
        <w:rPr>
          <w:rFonts w:ascii="Times New Roman" w:hAnsi="Times New Roman" w:cs="Times New Roman" w:hint="cs"/>
          <w:b/>
          <w:bCs/>
          <w:spacing w:val="-4"/>
          <w:sz w:val="30"/>
          <w:szCs w:val="30"/>
          <w:rtl/>
        </w:rPr>
        <w:t xml:space="preserve"> والبداية باسم الرسالة مباشرة</w:t>
      </w:r>
    </w:p>
    <w:p w14:paraId="25872C05" w14:textId="77777777" w:rsidR="000C5106" w:rsidRDefault="000C5106" w:rsidP="000C5106">
      <w:pPr>
        <w:jc w:val="center"/>
        <w:rPr>
          <w:b/>
          <w:sz w:val="25"/>
          <w:szCs w:val="25"/>
          <w:rtl/>
        </w:rPr>
      </w:pPr>
      <w:r w:rsidRPr="000C5106">
        <w:rPr>
          <w:b/>
          <w:sz w:val="25"/>
          <w:szCs w:val="25"/>
        </w:rPr>
        <w:t xml:space="preserve">Legal Protection </w:t>
      </w:r>
      <w:r w:rsidRPr="002329E9">
        <w:rPr>
          <w:b/>
          <w:sz w:val="25"/>
          <w:szCs w:val="25"/>
          <w:highlight w:val="yellow"/>
        </w:rPr>
        <w:t>Of</w:t>
      </w:r>
      <w:r w:rsidRPr="000C5106">
        <w:rPr>
          <w:b/>
          <w:sz w:val="25"/>
          <w:szCs w:val="25"/>
        </w:rPr>
        <w:t xml:space="preserve"> Intellectual Property Rights in</w:t>
      </w:r>
    </w:p>
    <w:p w14:paraId="5BC6F1CB" w14:textId="05583F75" w:rsidR="000C5106" w:rsidRPr="000C5106" w:rsidRDefault="000C5106" w:rsidP="000C5106">
      <w:pPr>
        <w:jc w:val="center"/>
        <w:rPr>
          <w:b/>
          <w:sz w:val="25"/>
          <w:szCs w:val="25"/>
        </w:rPr>
      </w:pPr>
      <w:r w:rsidRPr="000C5106">
        <w:rPr>
          <w:b/>
          <w:sz w:val="25"/>
          <w:szCs w:val="25"/>
        </w:rPr>
        <w:t xml:space="preserve"> the Digital Environment: A </w:t>
      </w:r>
      <w:commentRangeStart w:id="0"/>
      <w:r w:rsidRPr="00C72A11">
        <w:rPr>
          <w:b/>
          <w:sz w:val="25"/>
          <w:szCs w:val="25"/>
          <w:highlight w:val="yellow"/>
        </w:rPr>
        <w:t>Ccomparative</w:t>
      </w:r>
      <w:commentRangeEnd w:id="0"/>
      <w:r w:rsidR="00C72A11">
        <w:rPr>
          <w:rStyle w:val="CommentReference"/>
          <w:rtl/>
        </w:rPr>
        <w:commentReference w:id="0"/>
      </w:r>
      <w:r w:rsidRPr="000C5106">
        <w:rPr>
          <w:b/>
          <w:sz w:val="25"/>
          <w:szCs w:val="25"/>
        </w:rPr>
        <w:t xml:space="preserve"> Study</w:t>
      </w:r>
    </w:p>
    <w:p w14:paraId="423DBC07" w14:textId="77777777" w:rsidR="000C5106" w:rsidRDefault="000C5106" w:rsidP="000C5106">
      <w:pPr>
        <w:pStyle w:val="Body"/>
        <w:spacing w:line="360" w:lineRule="auto"/>
        <w:jc w:val="center"/>
        <w:rPr>
          <w:rFonts w:ascii="Times New Roman" w:hAnsi="Times New Roman" w:cs="Times New Roman"/>
          <w:b/>
          <w:bCs/>
          <w:spacing w:val="-4"/>
          <w:sz w:val="30"/>
          <w:szCs w:val="30"/>
          <w:rtl/>
        </w:rPr>
      </w:pPr>
    </w:p>
    <w:p w14:paraId="0A54BF7E" w14:textId="77777777" w:rsidR="00591BDE" w:rsidRPr="00591BDE" w:rsidRDefault="00591BDE" w:rsidP="001434A9">
      <w:pPr>
        <w:spacing w:line="480" w:lineRule="auto"/>
        <w:jc w:val="center"/>
        <w:rPr>
          <w:b/>
          <w:sz w:val="25"/>
          <w:szCs w:val="25"/>
        </w:rPr>
      </w:pPr>
      <w:r w:rsidRPr="00591BDE">
        <w:rPr>
          <w:b/>
          <w:sz w:val="25"/>
          <w:szCs w:val="25"/>
        </w:rPr>
        <w:t>Prepared by</w:t>
      </w:r>
    </w:p>
    <w:p w14:paraId="2F6B763F" w14:textId="7215712A" w:rsidR="00591BDE" w:rsidRDefault="00591BDE" w:rsidP="001434A9">
      <w:pPr>
        <w:spacing w:line="480" w:lineRule="auto"/>
        <w:jc w:val="center"/>
        <w:rPr>
          <w:b/>
          <w:sz w:val="25"/>
          <w:szCs w:val="25"/>
          <w:rtl/>
        </w:rPr>
      </w:pPr>
      <w:r w:rsidRPr="005F6599">
        <w:rPr>
          <w:rFonts w:hint="cs"/>
          <w:b/>
          <w:sz w:val="25"/>
          <w:szCs w:val="25"/>
          <w:highlight w:val="yellow"/>
          <w:rtl/>
        </w:rPr>
        <w:t>)</w:t>
      </w:r>
      <w:r w:rsidR="005F6599">
        <w:rPr>
          <w:rFonts w:hint="cs"/>
          <w:b/>
          <w:sz w:val="25"/>
          <w:szCs w:val="25"/>
          <w:highlight w:val="yellow"/>
          <w:rtl/>
        </w:rPr>
        <w:t xml:space="preserve">  حذفها </w:t>
      </w:r>
      <w:r w:rsidRPr="005F6599">
        <w:rPr>
          <w:b/>
          <w:sz w:val="25"/>
          <w:szCs w:val="25"/>
          <w:highlight w:val="yellow"/>
        </w:rPr>
        <w:t>Researcher's name)</w:t>
      </w:r>
    </w:p>
    <w:p w14:paraId="6DB8E529" w14:textId="77777777" w:rsidR="001434A9" w:rsidRDefault="001434A9" w:rsidP="001434A9">
      <w:pPr>
        <w:spacing w:line="480" w:lineRule="auto"/>
        <w:jc w:val="center"/>
        <w:rPr>
          <w:b/>
          <w:sz w:val="25"/>
          <w:szCs w:val="25"/>
          <w:rtl/>
        </w:rPr>
      </w:pPr>
    </w:p>
    <w:p w14:paraId="4869E9BA" w14:textId="77777777" w:rsidR="001434A9" w:rsidRDefault="00591BDE" w:rsidP="00591BDE">
      <w:pPr>
        <w:jc w:val="center"/>
        <w:rPr>
          <w:b/>
          <w:sz w:val="25"/>
          <w:szCs w:val="25"/>
          <w:rtl/>
        </w:rPr>
      </w:pPr>
      <w:r w:rsidRPr="00591BDE">
        <w:rPr>
          <w:b/>
          <w:sz w:val="25"/>
          <w:szCs w:val="25"/>
        </w:rPr>
        <w:t xml:space="preserve">Khaled Omar Abobakr Baras </w:t>
      </w:r>
    </w:p>
    <w:p w14:paraId="06FB34D9" w14:textId="693C4682" w:rsidR="00591BDE" w:rsidRDefault="00591BDE" w:rsidP="00591BDE">
      <w:pPr>
        <w:jc w:val="center"/>
        <w:rPr>
          <w:b/>
          <w:sz w:val="25"/>
          <w:szCs w:val="25"/>
          <w:rtl/>
        </w:rPr>
      </w:pPr>
      <w:r w:rsidRPr="00591BDE">
        <w:rPr>
          <w:b/>
          <w:sz w:val="25"/>
          <w:szCs w:val="25"/>
        </w:rPr>
        <w:t>232001583</w:t>
      </w:r>
    </w:p>
    <w:p w14:paraId="56A61B91" w14:textId="77777777" w:rsidR="00591BDE" w:rsidRDefault="00591BDE" w:rsidP="00591BDE">
      <w:pPr>
        <w:jc w:val="center"/>
        <w:rPr>
          <w:b/>
          <w:sz w:val="25"/>
          <w:szCs w:val="25"/>
          <w:rtl/>
        </w:rPr>
      </w:pPr>
    </w:p>
    <w:p w14:paraId="6A7EB1CD" w14:textId="77777777" w:rsidR="001434A9" w:rsidRDefault="001434A9" w:rsidP="00591BDE">
      <w:pPr>
        <w:jc w:val="center"/>
        <w:rPr>
          <w:b/>
          <w:sz w:val="25"/>
          <w:szCs w:val="25"/>
          <w:rtl/>
        </w:rPr>
      </w:pPr>
    </w:p>
    <w:p w14:paraId="05B432BA" w14:textId="77777777" w:rsidR="001434A9" w:rsidRDefault="001434A9" w:rsidP="009F51E6">
      <w:pPr>
        <w:spacing w:line="360" w:lineRule="auto"/>
        <w:jc w:val="center"/>
      </w:pPr>
      <w:r>
        <w:rPr>
          <w:color w:val="1C1C1C"/>
        </w:rPr>
        <w:t>A</w:t>
      </w:r>
      <w:r>
        <w:rPr>
          <w:color w:val="1C1C1C"/>
          <w:spacing w:val="-2"/>
        </w:rPr>
        <w:t xml:space="preserve"> </w:t>
      </w:r>
      <w:r>
        <w:rPr>
          <w:color w:val="1C1C1C"/>
        </w:rPr>
        <w:t>Dissertation</w:t>
      </w:r>
      <w:r>
        <w:rPr>
          <w:color w:val="1C1C1C"/>
          <w:spacing w:val="-2"/>
        </w:rPr>
        <w:t xml:space="preserve"> </w:t>
      </w:r>
      <w:r>
        <w:rPr>
          <w:color w:val="1C1C1C"/>
        </w:rPr>
        <w:t>submitted</w:t>
      </w:r>
      <w:r>
        <w:rPr>
          <w:color w:val="1C1C1C"/>
          <w:spacing w:val="-3"/>
        </w:rPr>
        <w:t xml:space="preserve"> </w:t>
      </w:r>
      <w:r>
        <w:rPr>
          <w:color w:val="1C1C1C"/>
        </w:rPr>
        <w:t>to</w:t>
      </w:r>
      <w:r>
        <w:rPr>
          <w:color w:val="1C1C1C"/>
          <w:spacing w:val="-2"/>
        </w:rPr>
        <w:t xml:space="preserve"> </w:t>
      </w:r>
      <w:r>
        <w:rPr>
          <w:color w:val="1C1C1C"/>
        </w:rPr>
        <w:t>Doctorate</w:t>
      </w:r>
      <w:r>
        <w:rPr>
          <w:color w:val="1C1C1C"/>
          <w:spacing w:val="-4"/>
        </w:rPr>
        <w:t xml:space="preserve"> </w:t>
      </w:r>
      <w:r>
        <w:rPr>
          <w:color w:val="1C1C1C"/>
          <w:spacing w:val="-2"/>
        </w:rPr>
        <w:t>Program</w:t>
      </w:r>
    </w:p>
    <w:p w14:paraId="6D0AC2AA" w14:textId="77777777" w:rsidR="001434A9" w:rsidRDefault="001434A9" w:rsidP="009F51E6">
      <w:pPr>
        <w:spacing w:line="360" w:lineRule="auto"/>
        <w:jc w:val="center"/>
      </w:pPr>
      <w:r>
        <w:rPr>
          <w:color w:val="1C1C1C"/>
        </w:rPr>
        <w:t>In</w:t>
      </w:r>
      <w:r>
        <w:rPr>
          <w:color w:val="1C1C1C"/>
          <w:spacing w:val="-1"/>
        </w:rPr>
        <w:t xml:space="preserve"> </w:t>
      </w:r>
      <w:r>
        <w:rPr>
          <w:color w:val="1C1C1C"/>
        </w:rPr>
        <w:t>partial</w:t>
      </w:r>
      <w:r>
        <w:rPr>
          <w:color w:val="1C1C1C"/>
          <w:spacing w:val="-3"/>
        </w:rPr>
        <w:t xml:space="preserve"> </w:t>
      </w:r>
      <w:r>
        <w:rPr>
          <w:color w:val="1C1C1C"/>
        </w:rPr>
        <w:t>fulfillment</w:t>
      </w:r>
      <w:r>
        <w:rPr>
          <w:color w:val="1C1C1C"/>
          <w:spacing w:val="-3"/>
        </w:rPr>
        <w:t xml:space="preserve"> </w:t>
      </w:r>
      <w:r>
        <w:rPr>
          <w:color w:val="1C1C1C"/>
        </w:rPr>
        <w:t>of</w:t>
      </w:r>
      <w:r>
        <w:rPr>
          <w:color w:val="1C1C1C"/>
          <w:spacing w:val="-1"/>
        </w:rPr>
        <w:t xml:space="preserve"> </w:t>
      </w:r>
      <w:r>
        <w:rPr>
          <w:color w:val="1C1C1C"/>
        </w:rPr>
        <w:t>the</w:t>
      </w:r>
      <w:r>
        <w:rPr>
          <w:color w:val="1C1C1C"/>
          <w:spacing w:val="-2"/>
        </w:rPr>
        <w:t xml:space="preserve"> </w:t>
      </w:r>
      <w:r>
        <w:rPr>
          <w:color w:val="1C1C1C"/>
        </w:rPr>
        <w:t>requirements for</w:t>
      </w:r>
      <w:r>
        <w:rPr>
          <w:color w:val="1C1C1C"/>
          <w:spacing w:val="-1"/>
        </w:rPr>
        <w:t xml:space="preserve"> </w:t>
      </w:r>
      <w:r>
        <w:rPr>
          <w:color w:val="1C1C1C"/>
        </w:rPr>
        <w:t>the</w:t>
      </w:r>
      <w:r>
        <w:rPr>
          <w:color w:val="1C1C1C"/>
          <w:spacing w:val="-3"/>
        </w:rPr>
        <w:t xml:space="preserve"> </w:t>
      </w:r>
      <w:r>
        <w:rPr>
          <w:color w:val="1C1C1C"/>
        </w:rPr>
        <w:t>Degree</w:t>
      </w:r>
      <w:r>
        <w:rPr>
          <w:color w:val="1C1C1C"/>
          <w:spacing w:val="-2"/>
        </w:rPr>
        <w:t xml:space="preserve"> </w:t>
      </w:r>
      <w:r>
        <w:rPr>
          <w:color w:val="1C1C1C"/>
          <w:spacing w:val="-5"/>
        </w:rPr>
        <w:t>of</w:t>
      </w:r>
    </w:p>
    <w:p w14:paraId="6924E390" w14:textId="5FDAC637" w:rsidR="00591BDE" w:rsidRDefault="001434A9" w:rsidP="009F51E6">
      <w:pPr>
        <w:spacing w:line="360" w:lineRule="auto"/>
        <w:jc w:val="center"/>
        <w:rPr>
          <w:b/>
          <w:sz w:val="25"/>
          <w:szCs w:val="25"/>
          <w:rtl/>
          <w:lang w:bidi="ar-EG"/>
        </w:rPr>
      </w:pPr>
      <w:r w:rsidRPr="001434A9">
        <w:rPr>
          <w:b/>
          <w:sz w:val="25"/>
          <w:szCs w:val="25"/>
        </w:rPr>
        <w:t xml:space="preserve">Doctor of </w:t>
      </w:r>
      <w:r w:rsidR="005D6717" w:rsidRPr="005D6717">
        <w:rPr>
          <w:b/>
          <w:sz w:val="25"/>
          <w:szCs w:val="25"/>
        </w:rPr>
        <w:t>(Ph.D.)</w:t>
      </w:r>
      <w:r w:rsidRPr="001434A9">
        <w:rPr>
          <w:b/>
          <w:sz w:val="25"/>
          <w:szCs w:val="25"/>
        </w:rPr>
        <w:t xml:space="preserve"> In </w:t>
      </w:r>
      <w:r w:rsidR="005D6717">
        <w:rPr>
          <w:b/>
          <w:sz w:val="25"/>
          <w:szCs w:val="25"/>
        </w:rPr>
        <w:t>law</w:t>
      </w:r>
    </w:p>
    <w:p w14:paraId="107E4C76" w14:textId="77777777" w:rsidR="001434A9" w:rsidRDefault="001434A9" w:rsidP="009F51E6">
      <w:pPr>
        <w:spacing w:line="360" w:lineRule="auto"/>
        <w:jc w:val="center"/>
        <w:rPr>
          <w:b/>
          <w:sz w:val="25"/>
          <w:szCs w:val="25"/>
          <w:rtl/>
          <w:lang w:bidi="ar-EG"/>
        </w:rPr>
      </w:pPr>
    </w:p>
    <w:p w14:paraId="5B90D7AD" w14:textId="77777777" w:rsidR="001434A9" w:rsidRPr="00591BDE" w:rsidRDefault="001434A9" w:rsidP="001434A9">
      <w:pPr>
        <w:jc w:val="center"/>
        <w:rPr>
          <w:b/>
          <w:sz w:val="25"/>
          <w:szCs w:val="25"/>
        </w:rPr>
      </w:pPr>
    </w:p>
    <w:p w14:paraId="7A937BA4" w14:textId="77777777" w:rsidR="00591BDE" w:rsidRPr="00591BDE" w:rsidRDefault="00591BDE" w:rsidP="00591BDE">
      <w:pPr>
        <w:jc w:val="center"/>
        <w:rPr>
          <w:b/>
          <w:sz w:val="25"/>
          <w:szCs w:val="25"/>
        </w:rPr>
      </w:pPr>
    </w:p>
    <w:p w14:paraId="6E96EF69" w14:textId="77777777" w:rsidR="00591BDE" w:rsidRPr="00591BDE" w:rsidRDefault="00591BDE" w:rsidP="00591BDE">
      <w:pPr>
        <w:jc w:val="center"/>
        <w:rPr>
          <w:b/>
          <w:sz w:val="25"/>
          <w:szCs w:val="25"/>
        </w:rPr>
      </w:pPr>
    </w:p>
    <w:p w14:paraId="174683DA" w14:textId="77777777" w:rsidR="000C5106" w:rsidRDefault="000C5106" w:rsidP="00C72BA8">
      <w:pPr>
        <w:pStyle w:val="Body"/>
        <w:spacing w:line="360" w:lineRule="auto"/>
        <w:rPr>
          <w:rFonts w:ascii="Times New Roman" w:hAnsi="Times New Roman"/>
          <w:b/>
          <w:bCs/>
          <w:sz w:val="28"/>
          <w:szCs w:val="28"/>
        </w:rPr>
      </w:pPr>
    </w:p>
    <w:p w14:paraId="1C5F18E9" w14:textId="77777777" w:rsidR="001434A9" w:rsidRDefault="001434A9" w:rsidP="009F51E6">
      <w:pPr>
        <w:spacing w:line="360" w:lineRule="auto"/>
        <w:jc w:val="center"/>
        <w:rPr>
          <w:color w:val="1C1C1C"/>
          <w:spacing w:val="-2"/>
          <w:rtl/>
        </w:rPr>
      </w:pPr>
      <w:r w:rsidRPr="009F51E6">
        <w:rPr>
          <w:color w:val="1C1C1C"/>
          <w:spacing w:val="-2"/>
        </w:rPr>
        <w:t xml:space="preserve">Academic Year: 2026 AD </w:t>
      </w:r>
    </w:p>
    <w:p w14:paraId="32710CDF" w14:textId="5788DED3" w:rsidR="009678B8" w:rsidRPr="009F51E6" w:rsidRDefault="009678B8" w:rsidP="009678B8">
      <w:pPr>
        <w:spacing w:line="360" w:lineRule="auto"/>
        <w:jc w:val="center"/>
        <w:rPr>
          <w:color w:val="1C1C1C"/>
          <w:spacing w:val="-2"/>
          <w:rtl/>
        </w:rPr>
      </w:pPr>
      <w:r w:rsidRPr="009678B8">
        <w:rPr>
          <w:color w:val="1C1C1C"/>
          <w:spacing w:val="-2"/>
        </w:rPr>
        <w:t>AH 144</w:t>
      </w:r>
      <w:r w:rsidR="00A271EC">
        <w:rPr>
          <w:color w:val="1C1C1C"/>
          <w:spacing w:val="-2"/>
        </w:rPr>
        <w:t>7</w:t>
      </w:r>
      <w:r w:rsidRPr="009678B8">
        <w:rPr>
          <w:color w:val="1C1C1C"/>
          <w:spacing w:val="-2"/>
        </w:rPr>
        <w:t>–144</w:t>
      </w:r>
      <w:r w:rsidR="00A271EC">
        <w:rPr>
          <w:color w:val="1C1C1C"/>
          <w:spacing w:val="-2"/>
        </w:rPr>
        <w:t>8</w:t>
      </w:r>
    </w:p>
    <w:p w14:paraId="53E49768" w14:textId="669E95B0" w:rsidR="009678B8" w:rsidRDefault="009678B8" w:rsidP="009F51E6">
      <w:pPr>
        <w:spacing w:line="360" w:lineRule="auto"/>
        <w:jc w:val="center"/>
        <w:rPr>
          <w:b/>
          <w:bCs/>
        </w:rPr>
      </w:pPr>
    </w:p>
    <w:p w14:paraId="6CE18123" w14:textId="77777777" w:rsidR="009678B8" w:rsidRDefault="009678B8">
      <w:pPr>
        <w:rPr>
          <w:b/>
          <w:bCs/>
        </w:rPr>
      </w:pPr>
      <w:r>
        <w:rPr>
          <w:b/>
          <w:bCs/>
        </w:rPr>
        <w:br w:type="page"/>
      </w:r>
    </w:p>
    <w:p w14:paraId="5C6EA502" w14:textId="77777777" w:rsidR="00325358" w:rsidRDefault="00325358">
      <w:pPr>
        <w:rPr>
          <w:rFonts w:cs="Arial Unicode MS"/>
          <w:b/>
          <w:bCs/>
          <w:color w:val="000000"/>
          <w:u w:color="000000"/>
          <w14:textOutline w14:w="0" w14:cap="flat" w14:cmpd="sng" w14:algn="ctr">
            <w14:noFill/>
            <w14:prstDash w14:val="solid"/>
            <w14:bevel/>
          </w14:textOutline>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4244"/>
      </w:tblGrid>
      <w:tr w:rsidR="00325358" w14:paraId="4CD34A8B" w14:textId="77777777" w:rsidTr="009678B8">
        <w:trPr>
          <w:jc w:val="center"/>
        </w:trPr>
        <w:tc>
          <w:tcPr>
            <w:tcW w:w="4243" w:type="dxa"/>
            <w:vAlign w:val="center"/>
          </w:tcPr>
          <w:p w14:paraId="6A464BD9" w14:textId="77777777" w:rsidR="00325358" w:rsidRDefault="00325358" w:rsidP="00325358">
            <w:pPr>
              <w:pStyle w:val="Body"/>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جامعة ميد أوشن</w:t>
            </w:r>
          </w:p>
          <w:p w14:paraId="59C94048" w14:textId="03FD0BF3" w:rsidR="00325358" w:rsidRPr="00325358" w:rsidRDefault="00325358" w:rsidP="00325358">
            <w:pPr>
              <w:pStyle w:val="Body"/>
              <w:spacing w:after="200" w:line="276" w:lineRule="auto"/>
              <w:jc w:val="center"/>
              <w:rPr>
                <w:rtl/>
              </w:rPr>
            </w:pPr>
            <w:r>
              <w:rPr>
                <w:rFonts w:ascii="Arial Unicode MS" w:hAnsi="Arial Unicode MS" w:cs="Times New Roman" w:hint="cs"/>
                <w:b/>
                <w:bCs/>
                <w:sz w:val="24"/>
                <w:szCs w:val="24"/>
                <w:rtl/>
                <w:lang w:val="ar-SA"/>
              </w:rPr>
              <w:t>برنامج دكتوراه القانون</w:t>
            </w:r>
          </w:p>
        </w:tc>
        <w:tc>
          <w:tcPr>
            <w:tcW w:w="4244" w:type="dxa"/>
          </w:tcPr>
          <w:p w14:paraId="18B40292" w14:textId="78837300" w:rsidR="00325358" w:rsidRDefault="00325358" w:rsidP="00C72BA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b/>
                <w:bCs/>
                <w:sz w:val="28"/>
                <w:szCs w:val="28"/>
                <w:rtl/>
              </w:rPr>
            </w:pPr>
            <w:r>
              <w:rPr>
                <w:rStyle w:val="NoneA"/>
                <w:noProof/>
              </w:rPr>
              <w:drawing>
                <wp:inline distT="0" distB="0" distL="0" distR="0" wp14:anchorId="65DFBDAF" wp14:editId="5E717CF1">
                  <wp:extent cx="2352675" cy="819150"/>
                  <wp:effectExtent l="0" t="0" r="9525" b="0"/>
                  <wp:docPr id="386310944"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2353371" cy="8193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31FCDCDB" w14:textId="5DD6CA0A" w:rsidR="009678B8" w:rsidRDefault="009678B8" w:rsidP="00C72BA8">
      <w:pPr>
        <w:pStyle w:val="Body"/>
        <w:spacing w:line="360" w:lineRule="auto"/>
        <w:rPr>
          <w:rFonts w:ascii="Times New Roman" w:hAnsi="Times New Roman"/>
          <w:b/>
          <w:bCs/>
          <w:sz w:val="28"/>
          <w:szCs w:val="28"/>
          <w:rtl/>
        </w:rPr>
      </w:pPr>
    </w:p>
    <w:p w14:paraId="481BD001" w14:textId="038F02BF" w:rsidR="00C8185C" w:rsidRDefault="00DB5E0D" w:rsidP="00D5241C">
      <w:pPr>
        <w:pStyle w:val="Body"/>
        <w:spacing w:before="240" w:line="360" w:lineRule="auto"/>
        <w:jc w:val="center"/>
        <w:rPr>
          <w:rFonts w:ascii="Arial Unicode MS" w:hAnsi="Arial Unicode MS"/>
          <w:b/>
          <w:bCs/>
          <w:sz w:val="36"/>
          <w:szCs w:val="36"/>
          <w:rtl/>
          <w:lang w:val="ar-SA"/>
        </w:rPr>
      </w:pPr>
      <w:r w:rsidRPr="00C8185C">
        <w:rPr>
          <w:rFonts w:ascii="Arial Unicode MS" w:hAnsi="Arial Unicode MS" w:cs="Times New Roman" w:hint="cs"/>
          <w:b/>
          <w:bCs/>
          <w:sz w:val="32"/>
          <w:szCs w:val="32"/>
          <w:highlight w:val="yellow"/>
          <w:rtl/>
          <w:lang w:val="ar-SA"/>
        </w:rPr>
        <w:t>اسم الرسالة</w:t>
      </w:r>
      <w:r w:rsidR="00C8185C">
        <w:rPr>
          <w:rFonts w:ascii="Arial Unicode MS" w:hAnsi="Arial Unicode MS" w:cs="Times New Roman" w:hint="cs"/>
          <w:b/>
          <w:bCs/>
          <w:sz w:val="32"/>
          <w:szCs w:val="32"/>
          <w:rtl/>
          <w:lang w:val="ar-SA"/>
        </w:rPr>
        <w:t xml:space="preserve">  حذف </w:t>
      </w:r>
      <w:r w:rsidR="00D5241C">
        <w:rPr>
          <w:rFonts w:ascii="Arial Unicode MS" w:hAnsi="Arial Unicode MS" w:cs="Times New Roman" w:hint="cs"/>
          <w:b/>
          <w:bCs/>
          <w:sz w:val="32"/>
          <w:szCs w:val="32"/>
          <w:rtl/>
          <w:lang w:val="ar-SA"/>
        </w:rPr>
        <w:t>و</w:t>
      </w:r>
      <w:r w:rsidR="00C8185C">
        <w:rPr>
          <w:rFonts w:ascii="Arial Unicode MS" w:hAnsi="Arial Unicode MS" w:cs="Times New Roman" w:hint="cs"/>
          <w:b/>
          <w:bCs/>
          <w:sz w:val="32"/>
          <w:szCs w:val="32"/>
          <w:rtl/>
          <w:lang w:val="ar-SA"/>
        </w:rPr>
        <w:t xml:space="preserve"> </w:t>
      </w:r>
      <w:r w:rsidR="00C8185C">
        <w:rPr>
          <w:rFonts w:ascii="Arial Unicode MS" w:hAnsi="Arial Unicode MS" w:cs="Times New Roman"/>
          <w:b/>
          <w:bCs/>
          <w:sz w:val="36"/>
          <w:szCs w:val="36"/>
          <w:highlight w:val="yellow"/>
          <w:rtl/>
          <w:lang w:val="ar-SA"/>
        </w:rPr>
        <w:t>بداية الرسالة بالغلاف العربي ثم الغلاف الانجليزي</w:t>
      </w:r>
    </w:p>
    <w:p w14:paraId="23EE56DE" w14:textId="3A7F7A55" w:rsidR="00DB5E0D" w:rsidRPr="000E4146" w:rsidRDefault="00DB5E0D" w:rsidP="00DB5E0D">
      <w:pPr>
        <w:pStyle w:val="Body"/>
        <w:spacing w:before="240" w:line="360" w:lineRule="auto"/>
        <w:jc w:val="center"/>
        <w:rPr>
          <w:rFonts w:ascii="Arial Unicode MS" w:hAnsi="Arial Unicode MS" w:cs="Times New Roman"/>
          <w:b/>
          <w:bCs/>
          <w:sz w:val="32"/>
          <w:szCs w:val="32"/>
          <w:rtl/>
          <w:lang w:val="ar-SA"/>
        </w:rPr>
      </w:pPr>
    </w:p>
    <w:p w14:paraId="46ACDECC" w14:textId="672707C3" w:rsidR="000E4146" w:rsidRDefault="00DB5E0D" w:rsidP="000E4146">
      <w:pPr>
        <w:pStyle w:val="Body"/>
        <w:spacing w:before="240" w:line="360" w:lineRule="auto"/>
        <w:jc w:val="center"/>
        <w:rPr>
          <w:rFonts w:ascii="Arial Unicode MS" w:hAnsi="Arial Unicode MS" w:cs="Times New Roman"/>
          <w:b/>
          <w:bCs/>
          <w:sz w:val="36"/>
          <w:szCs w:val="36"/>
          <w:rtl/>
          <w:lang w:val="ar-SA"/>
        </w:rPr>
      </w:pPr>
      <w:r>
        <w:rPr>
          <w:rFonts w:ascii="Arial Unicode MS" w:hAnsi="Arial Unicode MS" w:cs="Times New Roman" w:hint="cs"/>
          <w:b/>
          <w:bCs/>
          <w:sz w:val="36"/>
          <w:szCs w:val="36"/>
          <w:rtl/>
          <w:lang w:val="ar-SA"/>
        </w:rPr>
        <w:t>الحمـاية القانونيـة لحقـوق الملكيـة الفكرية في</w:t>
      </w:r>
      <w:r w:rsidR="000E4146">
        <w:rPr>
          <w:rFonts w:ascii="Arial Unicode MS" w:hAnsi="Arial Unicode MS" w:cs="Times New Roman" w:hint="cs"/>
          <w:b/>
          <w:bCs/>
          <w:sz w:val="36"/>
          <w:szCs w:val="36"/>
          <w:rtl/>
          <w:lang w:val="ar-SA"/>
        </w:rPr>
        <w:t xml:space="preserve"> البيئة</w:t>
      </w:r>
    </w:p>
    <w:p w14:paraId="4847ECF9" w14:textId="29D5BBD5" w:rsidR="00DB5E0D" w:rsidRDefault="00DB5E0D" w:rsidP="000E4146">
      <w:pPr>
        <w:pStyle w:val="Body"/>
        <w:spacing w:before="240" w:line="360" w:lineRule="auto"/>
        <w:jc w:val="center"/>
        <w:rPr>
          <w:rFonts w:ascii="Arial Unicode MS" w:hAnsi="Arial Unicode MS" w:cs="Times New Roman"/>
          <w:b/>
          <w:bCs/>
          <w:sz w:val="36"/>
          <w:szCs w:val="36"/>
          <w:rtl/>
          <w:lang w:val="ar-SA"/>
        </w:rPr>
      </w:pPr>
      <w:r>
        <w:rPr>
          <w:rFonts w:ascii="Arial Unicode MS" w:hAnsi="Arial Unicode MS" w:cs="Times New Roman" w:hint="cs"/>
          <w:b/>
          <w:bCs/>
          <w:sz w:val="36"/>
          <w:szCs w:val="36"/>
          <w:rtl/>
          <w:lang w:val="ar-SA"/>
        </w:rPr>
        <w:t>الرقميـة</w:t>
      </w:r>
      <w:r w:rsidR="000E4146">
        <w:rPr>
          <w:rFonts w:ascii="Arial Unicode MS" w:hAnsi="Arial Unicode MS" w:cs="Times New Roman" w:hint="cs"/>
          <w:b/>
          <w:bCs/>
          <w:sz w:val="36"/>
          <w:szCs w:val="36"/>
          <w:rtl/>
          <w:lang w:val="ar-SA"/>
        </w:rPr>
        <w:t>:</w:t>
      </w:r>
      <w:r>
        <w:rPr>
          <w:rFonts w:ascii="Arial Unicode MS" w:hAnsi="Arial Unicode MS" w:cs="Times New Roman" w:hint="cs"/>
          <w:b/>
          <w:bCs/>
          <w:sz w:val="36"/>
          <w:szCs w:val="36"/>
          <w:rtl/>
          <w:lang w:val="ar-SA"/>
        </w:rPr>
        <w:t xml:space="preserve"> دراسة مقارنة</w:t>
      </w:r>
    </w:p>
    <w:p w14:paraId="447F8D9C" w14:textId="77777777" w:rsidR="000E4146" w:rsidRDefault="000E4146" w:rsidP="000E4146">
      <w:pPr>
        <w:pStyle w:val="Body"/>
        <w:spacing w:before="240" w:line="360" w:lineRule="auto"/>
        <w:jc w:val="center"/>
        <w:rPr>
          <w:rFonts w:ascii="Times New Roman" w:hAnsi="Times New Roman"/>
          <w:b/>
          <w:bCs/>
          <w:sz w:val="36"/>
          <w:szCs w:val="36"/>
          <w:rtl/>
          <w:lang w:val="ar-SA"/>
        </w:rPr>
      </w:pPr>
    </w:p>
    <w:p w14:paraId="5235FE76" w14:textId="7BC6C615" w:rsidR="000E4146" w:rsidRPr="000E4146" w:rsidRDefault="000E4146" w:rsidP="000E4146">
      <w:pPr>
        <w:pStyle w:val="Body"/>
        <w:spacing w:line="360" w:lineRule="auto"/>
        <w:jc w:val="center"/>
        <w:rPr>
          <w:rFonts w:ascii="Times New Roman" w:eastAsia="Times New Roman" w:hAnsi="Times New Roman" w:cs="Times New Roman"/>
          <w:sz w:val="28"/>
          <w:szCs w:val="28"/>
        </w:rPr>
      </w:pPr>
      <w:r w:rsidRPr="000E4146">
        <w:rPr>
          <w:rFonts w:ascii="Arial Unicode MS" w:hAnsi="Arial Unicode MS" w:cs="Times New Roman" w:hint="cs"/>
          <w:sz w:val="28"/>
          <w:szCs w:val="28"/>
          <w:rtl/>
          <w:lang w:val="ar-SA"/>
        </w:rPr>
        <w:t>إعداد</w:t>
      </w:r>
    </w:p>
    <w:p w14:paraId="7C6FDF57" w14:textId="3FFD6BC9" w:rsidR="000E4146" w:rsidRDefault="000E4146" w:rsidP="000E4146">
      <w:pPr>
        <w:pStyle w:val="Body"/>
        <w:spacing w:line="360" w:lineRule="auto"/>
        <w:jc w:val="center"/>
        <w:rPr>
          <w:rFonts w:ascii="Arial Unicode MS" w:hAnsi="Arial Unicode MS" w:cs="Times New Roman"/>
          <w:sz w:val="28"/>
          <w:szCs w:val="28"/>
          <w:rtl/>
          <w:lang w:val="ar-SA"/>
        </w:rPr>
      </w:pPr>
      <w:r w:rsidRPr="000E4146">
        <w:rPr>
          <w:rFonts w:ascii="Arial Unicode MS" w:hAnsi="Arial Unicode MS" w:cs="Times New Roman" w:hint="cs"/>
          <w:sz w:val="28"/>
          <w:szCs w:val="28"/>
          <w:rtl/>
          <w:lang w:val="ar-SA"/>
        </w:rPr>
        <w:t>الباحـث</w:t>
      </w:r>
      <w:r w:rsidRPr="000E4146">
        <w:rPr>
          <w:rFonts w:ascii="Times New Roman" w:hAnsi="Times New Roman"/>
          <w:sz w:val="28"/>
          <w:szCs w:val="28"/>
          <w:rtl/>
          <w:lang w:val="ar-SA"/>
        </w:rPr>
        <w:t xml:space="preserve">: </w:t>
      </w:r>
      <w:r w:rsidRPr="000E4146">
        <w:rPr>
          <w:rFonts w:ascii="Arial Unicode MS" w:hAnsi="Arial Unicode MS" w:cs="Times New Roman" w:hint="cs"/>
          <w:sz w:val="28"/>
          <w:szCs w:val="28"/>
          <w:rtl/>
          <w:lang w:val="ar-SA"/>
        </w:rPr>
        <w:t>خالد عمر أبو بكر باراس</w:t>
      </w:r>
    </w:p>
    <w:p w14:paraId="6AD801B7" w14:textId="33FCE2BB" w:rsidR="000E4146" w:rsidRDefault="000E4146" w:rsidP="000E4146">
      <w:pPr>
        <w:pStyle w:val="Body"/>
        <w:spacing w:line="360" w:lineRule="auto"/>
        <w:jc w:val="center"/>
        <w:rPr>
          <w:rFonts w:ascii="Times New Roman" w:hAnsi="Times New Roman"/>
          <w:b/>
          <w:bCs/>
          <w:sz w:val="28"/>
          <w:szCs w:val="28"/>
          <w:rtl/>
          <w:lang w:val="ar-SA"/>
        </w:rPr>
      </w:pPr>
      <w:r w:rsidRPr="00695E06">
        <w:rPr>
          <w:rFonts w:ascii="Times New Roman" w:hAnsi="Times New Roman"/>
          <w:b/>
          <w:bCs/>
          <w:sz w:val="28"/>
          <w:szCs w:val="28"/>
          <w:highlight w:val="yellow"/>
          <w:rtl/>
          <w:lang w:val="ar-SA"/>
        </w:rPr>
        <w:t>232001583</w:t>
      </w:r>
    </w:p>
    <w:p w14:paraId="67427615" w14:textId="77777777" w:rsidR="001F4EBA" w:rsidRDefault="001F4EBA" w:rsidP="000E4146">
      <w:pPr>
        <w:pStyle w:val="Body"/>
        <w:spacing w:line="360" w:lineRule="auto"/>
        <w:jc w:val="center"/>
        <w:rPr>
          <w:rFonts w:ascii="Times New Roman" w:hAnsi="Times New Roman"/>
          <w:b/>
          <w:bCs/>
          <w:sz w:val="28"/>
          <w:szCs w:val="28"/>
          <w:rtl/>
          <w:lang w:val="ar-SA"/>
        </w:rPr>
      </w:pPr>
    </w:p>
    <w:p w14:paraId="051EE9C5" w14:textId="41A8C9C9" w:rsidR="000E4146" w:rsidRPr="001F4EBA" w:rsidRDefault="000E4146" w:rsidP="000E4146">
      <w:pPr>
        <w:pStyle w:val="Body"/>
        <w:spacing w:line="360" w:lineRule="auto"/>
        <w:jc w:val="center"/>
        <w:rPr>
          <w:rFonts w:ascii="Times New Roman" w:hAnsi="Times New Roman"/>
          <w:sz w:val="28"/>
          <w:szCs w:val="28"/>
          <w:rtl/>
          <w:lang w:val="ar-SA"/>
        </w:rPr>
      </w:pPr>
      <w:r w:rsidRPr="001F4EBA">
        <w:rPr>
          <w:rFonts w:ascii="Times New Roman" w:hAnsi="Times New Roman" w:hint="cs"/>
          <w:sz w:val="28"/>
          <w:szCs w:val="28"/>
          <w:rtl/>
          <w:lang w:val="ar-SA"/>
        </w:rPr>
        <w:t xml:space="preserve">رسالة مقدمة إلى برنامج الدكتوراة في القانون </w:t>
      </w:r>
    </w:p>
    <w:p w14:paraId="7973CA63" w14:textId="43D2738C" w:rsidR="000E4146" w:rsidRDefault="000E4146" w:rsidP="000E4146">
      <w:pPr>
        <w:pStyle w:val="Body"/>
        <w:spacing w:line="360" w:lineRule="auto"/>
        <w:jc w:val="center"/>
        <w:rPr>
          <w:rFonts w:ascii="Times New Roman" w:hAnsi="Times New Roman"/>
          <w:b/>
          <w:bCs/>
          <w:sz w:val="28"/>
          <w:szCs w:val="28"/>
          <w:rtl/>
          <w:lang w:val="ar-SA"/>
        </w:rPr>
      </w:pPr>
      <w:r>
        <w:rPr>
          <w:rFonts w:ascii="Times New Roman" w:hAnsi="Times New Roman" w:hint="cs"/>
          <w:b/>
          <w:bCs/>
          <w:sz w:val="28"/>
          <w:szCs w:val="28"/>
          <w:rtl/>
          <w:lang w:val="ar-SA"/>
        </w:rPr>
        <w:t xml:space="preserve">كجزء من متطلبات نيل </w:t>
      </w:r>
      <w:r w:rsidR="005D6717">
        <w:rPr>
          <w:rFonts w:ascii="Times New Roman" w:hAnsi="Times New Roman" w:hint="cs"/>
          <w:b/>
          <w:bCs/>
          <w:sz w:val="28"/>
          <w:szCs w:val="28"/>
          <w:rtl/>
          <w:lang w:val="ar-SA"/>
        </w:rPr>
        <w:t xml:space="preserve">درجة </w:t>
      </w:r>
      <w:r>
        <w:rPr>
          <w:rFonts w:ascii="Times New Roman" w:hAnsi="Times New Roman" w:hint="cs"/>
          <w:b/>
          <w:bCs/>
          <w:sz w:val="28"/>
          <w:szCs w:val="28"/>
          <w:rtl/>
          <w:lang w:val="ar-SA"/>
        </w:rPr>
        <w:t>الدكتوراه في القانون</w:t>
      </w:r>
    </w:p>
    <w:p w14:paraId="7EA7AFAB" w14:textId="77777777" w:rsidR="001F4EBA" w:rsidRDefault="001F4EBA" w:rsidP="000E4146">
      <w:pPr>
        <w:pStyle w:val="Body"/>
        <w:spacing w:line="360" w:lineRule="auto"/>
        <w:jc w:val="center"/>
        <w:rPr>
          <w:rFonts w:ascii="Times New Roman" w:hAnsi="Times New Roman"/>
          <w:b/>
          <w:bCs/>
          <w:sz w:val="28"/>
          <w:szCs w:val="28"/>
          <w:rtl/>
          <w:lang w:val="ar-SA"/>
        </w:rPr>
      </w:pPr>
    </w:p>
    <w:p w14:paraId="665CBF4A" w14:textId="264587F3" w:rsidR="000E4146" w:rsidRPr="001F4EBA" w:rsidRDefault="000E4146" w:rsidP="000E4146">
      <w:pPr>
        <w:pStyle w:val="Body"/>
        <w:spacing w:line="360" w:lineRule="auto"/>
        <w:jc w:val="center"/>
        <w:rPr>
          <w:rFonts w:ascii="Times New Roman" w:hAnsi="Times New Roman"/>
          <w:sz w:val="28"/>
          <w:szCs w:val="28"/>
          <w:rtl/>
          <w:lang w:val="ar-SA"/>
        </w:rPr>
      </w:pPr>
      <w:r w:rsidRPr="001F4EBA">
        <w:rPr>
          <w:rFonts w:ascii="Times New Roman" w:hAnsi="Times New Roman" w:hint="cs"/>
          <w:sz w:val="28"/>
          <w:szCs w:val="28"/>
          <w:rtl/>
          <w:lang w:val="ar-SA"/>
        </w:rPr>
        <w:t>العام الجامعي 2026م</w:t>
      </w:r>
    </w:p>
    <w:p w14:paraId="64515A97" w14:textId="61DC2D28" w:rsidR="000E4146" w:rsidRPr="001F4EBA" w:rsidRDefault="000E4146" w:rsidP="000E4146">
      <w:pPr>
        <w:pStyle w:val="Body"/>
        <w:spacing w:line="360" w:lineRule="auto"/>
        <w:jc w:val="center"/>
        <w:rPr>
          <w:rFonts w:ascii="Times New Roman" w:eastAsia="Times New Roman" w:hAnsi="Times New Roman" w:cs="Times New Roman"/>
          <w:sz w:val="28"/>
          <w:szCs w:val="28"/>
        </w:rPr>
      </w:pPr>
      <w:r w:rsidRPr="001F4EBA">
        <w:rPr>
          <w:rFonts w:ascii="Times New Roman" w:hAnsi="Times New Roman" w:hint="cs"/>
          <w:sz w:val="28"/>
          <w:szCs w:val="28"/>
          <w:rtl/>
          <w:lang w:val="ar-SA"/>
        </w:rPr>
        <w:t>1447هـ - 1448هـ</w:t>
      </w:r>
    </w:p>
    <w:p w14:paraId="02F6D42A" w14:textId="77777777" w:rsidR="000E4146" w:rsidRPr="000E4146" w:rsidRDefault="000E4146" w:rsidP="000E4146">
      <w:pPr>
        <w:pStyle w:val="Body"/>
        <w:spacing w:before="240" w:line="360" w:lineRule="auto"/>
        <w:jc w:val="center"/>
        <w:rPr>
          <w:rFonts w:ascii="Times New Roman" w:hAnsi="Times New Roman"/>
          <w:b/>
          <w:bCs/>
          <w:sz w:val="36"/>
          <w:szCs w:val="36"/>
          <w:rtl/>
        </w:rPr>
      </w:pPr>
    </w:p>
    <w:p w14:paraId="63960574" w14:textId="77777777" w:rsidR="00DB5E0D" w:rsidRDefault="00DB5E0D">
      <w:pPr>
        <w:rPr>
          <w:rFonts w:cs="Arial Unicode MS"/>
          <w:b/>
          <w:bCs/>
          <w:color w:val="000000"/>
          <w:sz w:val="36"/>
          <w:szCs w:val="36"/>
          <w:u w:color="000000"/>
          <w:rtl/>
          <w:lang w:val="ar-SA"/>
          <w14:textOutline w14:w="0" w14:cap="flat" w14:cmpd="sng" w14:algn="ctr">
            <w14:noFill/>
            <w14:prstDash w14:val="solid"/>
            <w14:bevel/>
          </w14:textOutline>
        </w:rPr>
      </w:pPr>
      <w:r>
        <w:rPr>
          <w:b/>
          <w:bCs/>
          <w:sz w:val="36"/>
          <w:szCs w:val="36"/>
          <w:rtl/>
          <w:lang w:val="ar-SA"/>
        </w:rPr>
        <w:br w:type="page"/>
      </w:r>
    </w:p>
    <w:p w14:paraId="24165F61" w14:textId="1A5B1CB6" w:rsidR="00454428" w:rsidRDefault="001F4EBA" w:rsidP="001F4EBA">
      <w:pPr>
        <w:pStyle w:val="Body"/>
        <w:spacing w:line="360" w:lineRule="auto"/>
        <w:jc w:val="right"/>
        <w:rPr>
          <w:rFonts w:ascii="Times New Roman" w:eastAsia="Times New Roman" w:hAnsi="Times New Roman" w:cs="Times New Roman"/>
          <w:rtl/>
          <w:lang w:val="ar-SA"/>
        </w:rPr>
      </w:pPr>
      <w:r>
        <w:rPr>
          <w:rStyle w:val="FooterChar"/>
          <w:noProof/>
        </w:rPr>
        <w:lastRenderedPageBreak/>
        <w:drawing>
          <wp:inline distT="0" distB="0" distL="0" distR="0" wp14:anchorId="3469334E" wp14:editId="2896ED6D">
            <wp:extent cx="1857375" cy="819150"/>
            <wp:effectExtent l="0" t="0" r="9525" b="0"/>
            <wp:docPr id="1568104038"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1857926" cy="819393"/>
                    </a:xfrm>
                    <a:prstGeom prst="rect">
                      <a:avLst/>
                    </a:prstGeom>
                    <a:ln>
                      <a:noFill/>
                    </a:ln>
                    <a:extLst>
                      <a:ext uri="{53640926-AAD7-44D8-BBD7-CCE9431645EC}">
                        <a14:shadowObscured xmlns:a14="http://schemas.microsoft.com/office/drawing/2010/main"/>
                      </a:ext>
                    </a:extLst>
                  </pic:spPr>
                </pic:pic>
              </a:graphicData>
            </a:graphic>
          </wp:inline>
        </w:drawing>
      </w:r>
    </w:p>
    <w:p w14:paraId="3BB9895B" w14:textId="33676384" w:rsidR="00454428" w:rsidRPr="005F48C8" w:rsidRDefault="0004189D" w:rsidP="00C72BA8">
      <w:pPr>
        <w:pStyle w:val="Body"/>
        <w:spacing w:line="360" w:lineRule="auto"/>
        <w:jc w:val="center"/>
        <w:rPr>
          <w:rFonts w:ascii="Times New Roman" w:eastAsia="Times New Roman" w:hAnsi="Times New Roman" w:cs="Times New Roman"/>
          <w:b/>
          <w:bCs/>
          <w:spacing w:val="-3"/>
          <w:sz w:val="32"/>
          <w:szCs w:val="32"/>
          <w:rtl/>
          <w:lang w:val="ar-SA"/>
        </w:rPr>
      </w:pPr>
      <w:bookmarkStart w:id="1" w:name="_Hlk180453328"/>
      <w:r w:rsidRPr="005F48C8">
        <w:rPr>
          <w:rFonts w:ascii="Times New Roman" w:eastAsia="Times New Roman" w:hAnsi="Times New Roman" w:cs="Times New Roman" w:hint="cs"/>
          <w:b/>
          <w:bCs/>
          <w:spacing w:val="-3"/>
          <w:sz w:val="32"/>
          <w:szCs w:val="32"/>
          <w:rtl/>
          <w:lang w:val="ar-SA"/>
        </w:rPr>
        <w:t xml:space="preserve">هيئة المراجعة والاعتماد العلمي والمناقشة </w:t>
      </w:r>
    </w:p>
    <w:p w14:paraId="5B633E97" w14:textId="1689761A" w:rsidR="0004189D" w:rsidRPr="005F48C8" w:rsidRDefault="0004189D" w:rsidP="00C72BA8">
      <w:pPr>
        <w:pStyle w:val="Body"/>
        <w:spacing w:line="36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 xml:space="preserve">تمت الموافقة على هذه الرسالة من قبل لجنة المراجعة والاعتماد العلمي والمناقشة </w:t>
      </w:r>
    </w:p>
    <w:p w14:paraId="38593257" w14:textId="2FF32E0E" w:rsidR="0004189D" w:rsidRDefault="0004189D" w:rsidP="0004189D">
      <w:pPr>
        <w:pStyle w:val="Body"/>
        <w:spacing w:line="360" w:lineRule="auto"/>
        <w:rPr>
          <w:rFonts w:ascii="Times New Roman" w:eastAsia="Times New Roman" w:hAnsi="Times New Roman" w:cs="Times New Roman"/>
          <w:b/>
          <w:bCs/>
          <w:spacing w:val="-3"/>
          <w:sz w:val="40"/>
          <w:szCs w:val="40"/>
          <w:rtl/>
          <w:lang w:val="ar-SA"/>
        </w:rPr>
      </w:pPr>
    </w:p>
    <w:p w14:paraId="2613B8EE" w14:textId="1F069224" w:rsidR="0004189D" w:rsidRPr="005F48C8"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لجنة المراجعة والاعتماد العلمي:</w:t>
      </w:r>
    </w:p>
    <w:p w14:paraId="4839BC17" w14:textId="5B2967F5" w:rsidR="0004189D" w:rsidRPr="005F48C8"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w:t>
      </w:r>
      <w:r w:rsidR="00C464EC">
        <w:rPr>
          <w:rFonts w:ascii="Times New Roman" w:eastAsia="Times New Roman" w:hAnsi="Times New Roman" w:cs="Times New Roman" w:hint="cs"/>
          <w:b/>
          <w:bCs/>
          <w:spacing w:val="-3"/>
          <w:sz w:val="32"/>
          <w:szCs w:val="32"/>
          <w:rtl/>
          <w:lang w:val="ar-SA"/>
        </w:rPr>
        <w:t xml:space="preserve"> ابراهيم هرموش</w:t>
      </w:r>
    </w:p>
    <w:p w14:paraId="373B8FCA" w14:textId="77777777" w:rsidR="0004189D" w:rsidRDefault="0004189D" w:rsidP="005F48C8">
      <w:pPr>
        <w:pStyle w:val="Body"/>
        <w:spacing w:line="360" w:lineRule="auto"/>
        <w:rPr>
          <w:rFonts w:ascii="Times New Roman" w:eastAsia="Times New Roman" w:hAnsi="Times New Roman" w:cs="Times New Roman"/>
          <w:b/>
          <w:bCs/>
          <w:spacing w:val="-3"/>
          <w:sz w:val="32"/>
          <w:szCs w:val="32"/>
          <w:rtl/>
          <w:lang w:val="ar-SA"/>
        </w:rPr>
      </w:pPr>
    </w:p>
    <w:p w14:paraId="348C17CE" w14:textId="77777777" w:rsidR="004E4265" w:rsidRPr="005F48C8" w:rsidRDefault="004E4265" w:rsidP="005F48C8">
      <w:pPr>
        <w:pStyle w:val="Body"/>
        <w:spacing w:line="360" w:lineRule="auto"/>
        <w:rPr>
          <w:rFonts w:ascii="Times New Roman" w:eastAsia="Times New Roman" w:hAnsi="Times New Roman" w:cs="Times New Roman"/>
          <w:b/>
          <w:bCs/>
          <w:spacing w:val="-3"/>
          <w:sz w:val="32"/>
          <w:szCs w:val="32"/>
          <w:rtl/>
          <w:lang w:val="ar-SA"/>
        </w:rPr>
      </w:pPr>
    </w:p>
    <w:p w14:paraId="653782D4" w14:textId="79A225F9" w:rsidR="0004189D" w:rsidRPr="005F48C8"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لجنة المناقشة:</w:t>
      </w:r>
    </w:p>
    <w:p w14:paraId="41A8C7B3" w14:textId="59E769E1" w:rsidR="0004189D" w:rsidRPr="005F48C8" w:rsidRDefault="0004189D" w:rsidP="00C464EC">
      <w:pPr>
        <w:pStyle w:val="Body"/>
        <w:numPr>
          <w:ilvl w:val="0"/>
          <w:numId w:val="327"/>
        </w:numPr>
        <w:spacing w:line="360" w:lineRule="auto"/>
        <w:ind w:left="842" w:hanging="482"/>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w:t>
      </w:r>
      <w:r w:rsidR="00C464EC">
        <w:rPr>
          <w:rFonts w:ascii="Times New Roman" w:eastAsia="Times New Roman" w:hAnsi="Times New Roman" w:cs="Times New Roman" w:hint="cs"/>
          <w:b/>
          <w:bCs/>
          <w:spacing w:val="-3"/>
          <w:sz w:val="32"/>
          <w:szCs w:val="32"/>
          <w:rtl/>
          <w:lang w:val="ar-SA"/>
        </w:rPr>
        <w:t xml:space="preserve"> احمد </w:t>
      </w:r>
      <w:r w:rsidR="00C464EC" w:rsidRPr="002329E9">
        <w:rPr>
          <w:rFonts w:ascii="Times New Roman" w:eastAsia="Times New Roman" w:hAnsi="Times New Roman" w:cs="Times New Roman" w:hint="cs"/>
          <w:b/>
          <w:bCs/>
          <w:spacing w:val="-3"/>
          <w:sz w:val="32"/>
          <w:szCs w:val="32"/>
          <w:highlight w:val="yellow"/>
          <w:rtl/>
          <w:lang w:val="ar-SA"/>
        </w:rPr>
        <w:t>يحي</w:t>
      </w:r>
      <w:r w:rsidR="00C464EC">
        <w:rPr>
          <w:rFonts w:ascii="Times New Roman" w:eastAsia="Times New Roman" w:hAnsi="Times New Roman" w:cs="Times New Roman" w:hint="cs"/>
          <w:b/>
          <w:bCs/>
          <w:spacing w:val="-3"/>
          <w:sz w:val="32"/>
          <w:szCs w:val="32"/>
          <w:rtl/>
          <w:lang w:val="ar-SA"/>
        </w:rPr>
        <w:t xml:space="preserve"> </w:t>
      </w:r>
      <w:r w:rsidR="00DC5ABB">
        <w:rPr>
          <w:rFonts w:ascii="Times New Roman" w:eastAsia="Times New Roman" w:hAnsi="Times New Roman" w:cs="Times New Roman" w:hint="cs"/>
          <w:b/>
          <w:bCs/>
          <w:spacing w:val="-3"/>
          <w:sz w:val="32"/>
          <w:szCs w:val="32"/>
          <w:rtl/>
          <w:lang w:val="ar-SA"/>
        </w:rPr>
        <w:t xml:space="preserve"> (رئيسأ)</w:t>
      </w:r>
      <w:r w:rsidR="00C41C97">
        <w:rPr>
          <w:rFonts w:ascii="Times New Roman" w:eastAsia="Times New Roman" w:hAnsi="Times New Roman" w:cs="Times New Roman" w:hint="cs"/>
          <w:b/>
          <w:bCs/>
          <w:spacing w:val="-3"/>
          <w:sz w:val="32"/>
          <w:szCs w:val="32"/>
          <w:rtl/>
          <w:lang w:val="ar-SA"/>
        </w:rPr>
        <w:t xml:space="preserve">   </w:t>
      </w:r>
      <w:bookmarkStart w:id="2" w:name="_GoBack"/>
      <w:bookmarkEnd w:id="2"/>
      <w:r w:rsidR="00C41C97">
        <w:rPr>
          <w:rFonts w:ascii="Times New Roman" w:eastAsia="Times New Roman" w:hAnsi="Times New Roman" w:cs="Times New Roman" w:hint="cs"/>
          <w:b/>
          <w:bCs/>
          <w:spacing w:val="-3"/>
          <w:sz w:val="32"/>
          <w:szCs w:val="32"/>
          <w:rtl/>
          <w:lang w:val="ar-SA"/>
        </w:rPr>
        <w:t>يحى</w:t>
      </w:r>
    </w:p>
    <w:p w14:paraId="03CCA533" w14:textId="77777777" w:rsidR="00DC5ABB" w:rsidRDefault="00DC5ABB" w:rsidP="00DC5ABB">
      <w:pPr>
        <w:pStyle w:val="ListParagraph"/>
        <w:numPr>
          <w:ilvl w:val="0"/>
          <w:numId w:val="32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textAlignment w:val="baseline"/>
        <w:rPr>
          <w:rFonts w:ascii="Times New Roman" w:eastAsia="Times New Roman" w:hAnsi="Times New Roman" w:cs="Times New Roman"/>
          <w:sz w:val="28"/>
          <w:szCs w:val="28"/>
        </w:rPr>
      </w:pPr>
      <w:r w:rsidRPr="007837CE">
        <w:rPr>
          <w:rFonts w:ascii="Times New Roman" w:eastAsia="Times New Roman" w:hAnsi="Times New Roman" w:cs="Times New Roman"/>
          <w:b/>
          <w:bCs/>
          <w:spacing w:val="-3"/>
          <w:sz w:val="32"/>
          <w:szCs w:val="32"/>
          <w:rtl/>
          <w:lang w:val="ar-SA"/>
          <w14:textOutline w14:w="0" w14:cap="flat" w14:cmpd="sng" w14:algn="ctr">
            <w14:noFill/>
            <w14:prstDash w14:val="solid"/>
            <w14:bevel/>
          </w14:textOutline>
        </w:rPr>
        <w:t xml:space="preserve">السيد الدكتور/ نايل موسي العمران </w:t>
      </w:r>
      <w:r w:rsidRPr="007837CE">
        <w:rPr>
          <w:rFonts w:ascii="Times New Roman" w:eastAsia="Times New Roman" w:hAnsi="Times New Roman" w:cs="Times New Roman"/>
          <w:sz w:val="28"/>
          <w:szCs w:val="28"/>
          <w:rtl/>
        </w:rPr>
        <w:t>(عضوا)</w:t>
      </w:r>
    </w:p>
    <w:p w14:paraId="5CEA5AFC" w14:textId="77777777" w:rsidR="00DC5ABB" w:rsidRPr="007837CE" w:rsidRDefault="00DC5ABB" w:rsidP="00DC5ABB">
      <w:pPr>
        <w:pStyle w:val="ListParagraph"/>
        <w:spacing w:after="0" w:line="240" w:lineRule="auto"/>
        <w:textAlignment w:val="baseline"/>
        <w:rPr>
          <w:rFonts w:ascii="Times New Roman" w:eastAsia="Times New Roman" w:hAnsi="Times New Roman" w:cs="Times New Roman"/>
          <w:sz w:val="28"/>
          <w:szCs w:val="28"/>
        </w:rPr>
      </w:pPr>
    </w:p>
    <w:p w14:paraId="25B15E00" w14:textId="77777777" w:rsidR="00DC5ABB" w:rsidRPr="00E52497" w:rsidRDefault="00DC5ABB" w:rsidP="00DC5ABB">
      <w:pPr>
        <w:numPr>
          <w:ilvl w:val="0"/>
          <w:numId w:val="327"/>
        </w:numPr>
        <w:bidi/>
        <w:spacing w:line="360" w:lineRule="auto"/>
        <w:rPr>
          <w:rFonts w:eastAsia="Times New Roman"/>
          <w:b/>
          <w:bCs/>
          <w:color w:val="000000"/>
          <w:spacing w:val="-3"/>
          <w:sz w:val="32"/>
          <w:szCs w:val="32"/>
          <w:u w:color="000000"/>
          <w:rtl/>
          <w:lang w:val="ar-SA"/>
          <w14:textOutline w14:w="0" w14:cap="flat" w14:cmpd="sng" w14:algn="ctr">
            <w14:noFill/>
            <w14:prstDash w14:val="solid"/>
            <w14:bevel/>
          </w14:textOutline>
        </w:rPr>
      </w:pPr>
      <w:r w:rsidRPr="00E52497">
        <w:rPr>
          <w:rFonts w:eastAsia="Times New Roman" w:hint="cs"/>
          <w:b/>
          <w:bCs/>
          <w:color w:val="000000"/>
          <w:spacing w:val="-3"/>
          <w:sz w:val="32"/>
          <w:szCs w:val="32"/>
          <w:u w:color="000000"/>
          <w:rtl/>
          <w:lang w:val="ar-SA"/>
          <w14:textOutline w14:w="0" w14:cap="flat" w14:cmpd="sng" w14:algn="ctr">
            <w14:noFill/>
            <w14:prstDash w14:val="solid"/>
            <w14:bevel/>
          </w14:textOutline>
        </w:rPr>
        <w:t>السيد الدكتور/ ابراهيم هرموش</w:t>
      </w:r>
      <w:r>
        <w:rPr>
          <w:rFonts w:eastAsia="Times New Roman" w:hint="cs"/>
          <w:b/>
          <w:bCs/>
          <w:color w:val="000000"/>
          <w:spacing w:val="-3"/>
          <w:sz w:val="32"/>
          <w:szCs w:val="32"/>
          <w:u w:color="000000"/>
          <w:rtl/>
          <w:lang w:val="ar-SA"/>
          <w14:textOutline w14:w="0" w14:cap="flat" w14:cmpd="sng" w14:algn="ctr">
            <w14:noFill/>
            <w14:prstDash w14:val="solid"/>
            <w14:bevel/>
          </w14:textOutline>
        </w:rPr>
        <w:t xml:space="preserve"> </w:t>
      </w:r>
      <w:r w:rsidRPr="003B45BE">
        <w:rPr>
          <w:rFonts w:ascii="Calibri" w:eastAsia="Times New Roman" w:hAnsi="Calibri" w:cs="Calibri"/>
          <w:rtl/>
        </w:rPr>
        <w:t>(عضوا ومراجعاً)</w:t>
      </w:r>
    </w:p>
    <w:p w14:paraId="2B478B97" w14:textId="77777777" w:rsidR="005F48C8" w:rsidRDefault="005F48C8" w:rsidP="005F48C8">
      <w:pPr>
        <w:pStyle w:val="Body"/>
        <w:spacing w:line="360" w:lineRule="auto"/>
        <w:rPr>
          <w:rFonts w:ascii="Times New Roman" w:eastAsia="Times New Roman" w:hAnsi="Times New Roman" w:cs="Times New Roman"/>
          <w:b/>
          <w:bCs/>
          <w:spacing w:val="-3"/>
          <w:sz w:val="32"/>
          <w:szCs w:val="32"/>
          <w:rtl/>
          <w:lang w:val="ar-SA"/>
        </w:rPr>
      </w:pPr>
    </w:p>
    <w:p w14:paraId="36C6B23D" w14:textId="77777777" w:rsidR="004E4265" w:rsidRPr="005F48C8" w:rsidRDefault="004E4265" w:rsidP="005F48C8">
      <w:pPr>
        <w:pStyle w:val="Body"/>
        <w:spacing w:line="360" w:lineRule="auto"/>
        <w:rPr>
          <w:rFonts w:ascii="Times New Roman" w:eastAsia="Times New Roman" w:hAnsi="Times New Roman" w:cs="Times New Roman"/>
          <w:b/>
          <w:bCs/>
          <w:spacing w:val="-3"/>
          <w:sz w:val="32"/>
          <w:szCs w:val="32"/>
          <w:rtl/>
          <w:lang w:val="ar-SA"/>
        </w:rPr>
      </w:pPr>
    </w:p>
    <w:tbl>
      <w:tblPr>
        <w:tblStyle w:val="TableGrid"/>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49"/>
      </w:tblGrid>
      <w:tr w:rsidR="005F48C8" w:rsidRPr="005F48C8" w14:paraId="719F79CF" w14:textId="77777777" w:rsidTr="004E4265">
        <w:trPr>
          <w:jc w:val="center"/>
        </w:trPr>
        <w:tc>
          <w:tcPr>
            <w:tcW w:w="4243" w:type="dxa"/>
          </w:tcPr>
          <w:p w14:paraId="749069FA" w14:textId="77777777"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 xml:space="preserve">مدير برنامج الدكتوراة </w:t>
            </w:r>
          </w:p>
          <w:p w14:paraId="68791E0C" w14:textId="0AA40887"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 محمد بركات</w:t>
            </w:r>
          </w:p>
        </w:tc>
        <w:tc>
          <w:tcPr>
            <w:tcW w:w="4244" w:type="dxa"/>
          </w:tcPr>
          <w:p w14:paraId="57239D98" w14:textId="77777777"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 xml:space="preserve">رئيس الجامعة </w:t>
            </w:r>
          </w:p>
          <w:p w14:paraId="0982951F" w14:textId="61F11F7A"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 محمد احمد</w:t>
            </w:r>
          </w:p>
        </w:tc>
      </w:tr>
    </w:tbl>
    <w:p w14:paraId="57D74A70" w14:textId="77777777" w:rsidR="00454428" w:rsidRDefault="00454428" w:rsidP="005F48C8">
      <w:pPr>
        <w:pStyle w:val="Body"/>
        <w:spacing w:line="360" w:lineRule="auto"/>
        <w:rPr>
          <w:rFonts w:ascii="Times New Roman" w:eastAsia="Times New Roman" w:hAnsi="Times New Roman" w:cs="Times New Roman"/>
          <w:b/>
          <w:bCs/>
          <w:spacing w:val="-3"/>
          <w:sz w:val="40"/>
          <w:szCs w:val="40"/>
          <w:rtl/>
          <w:lang w:val="ar-SA"/>
        </w:rPr>
      </w:pPr>
    </w:p>
    <w:p w14:paraId="794F977B"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rtl/>
        </w:rPr>
      </w:pPr>
    </w:p>
    <w:bookmarkEnd w:id="1"/>
    <w:p w14:paraId="4E9B39DF" w14:textId="77777777" w:rsidR="004E4265" w:rsidRDefault="004E4265" w:rsidP="00C72BA8">
      <w:pPr>
        <w:pStyle w:val="Body"/>
        <w:spacing w:line="360" w:lineRule="auto"/>
        <w:rPr>
          <w:rtl/>
        </w:rPr>
      </w:pPr>
    </w:p>
    <w:p w14:paraId="2E0159AD" w14:textId="7D7A146C" w:rsidR="00454428" w:rsidRDefault="00C464EC" w:rsidP="004E4265">
      <w:pPr>
        <w:pStyle w:val="Body"/>
        <w:spacing w:line="360" w:lineRule="auto"/>
        <w:rPr>
          <w:rFonts w:cs="Calibri"/>
          <w:rtl/>
          <w:lang w:val="ar-SA"/>
        </w:rPr>
      </w:pPr>
      <w:r>
        <w:rPr>
          <w:rFonts w:ascii="Times New Roman" w:eastAsia="Times New Roman" w:hAnsi="Times New Roman" w:cs="Times New Roman"/>
          <w:b/>
          <w:bCs/>
          <w:noProof/>
          <w:sz w:val="28"/>
          <w:szCs w:val="28"/>
        </w:rPr>
        <w:lastRenderedPageBreak/>
        <w:drawing>
          <wp:inline distT="0" distB="0" distL="0" distR="0" wp14:anchorId="7345293E" wp14:editId="3164E21A">
            <wp:extent cx="5058250" cy="4914900"/>
            <wp:effectExtent l="0" t="0" r="9525" b="0"/>
            <wp:docPr id="1073741828" name="officeArt object" descr="صورة 2"/>
            <wp:cNvGraphicFramePr/>
            <a:graphic xmlns:a="http://schemas.openxmlformats.org/drawingml/2006/main">
              <a:graphicData uri="http://schemas.openxmlformats.org/drawingml/2006/picture">
                <pic:pic xmlns:pic="http://schemas.openxmlformats.org/drawingml/2006/picture">
                  <pic:nvPicPr>
                    <pic:cNvPr id="1073741828" name="صورة 2" descr="صورة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058250" cy="4914900"/>
                    </a:xfrm>
                    <a:prstGeom prst="rect">
                      <a:avLst/>
                    </a:prstGeom>
                    <a:ln w="12700" cap="flat">
                      <a:noFill/>
                      <a:miter lim="400000"/>
                    </a:ln>
                    <a:effectLst/>
                  </pic:spPr>
                </pic:pic>
              </a:graphicData>
            </a:graphic>
          </wp:inline>
        </w:drawing>
      </w:r>
    </w:p>
    <w:p w14:paraId="04DA1A44" w14:textId="77777777" w:rsidR="00454428" w:rsidRDefault="00454428" w:rsidP="00C72BA8">
      <w:pPr>
        <w:pStyle w:val="a"/>
        <w:spacing w:after="160"/>
        <w:rPr>
          <w:rtl/>
          <w:lang w:val="ar-SA"/>
        </w:rPr>
      </w:pPr>
    </w:p>
    <w:p w14:paraId="3E2E6311" w14:textId="77777777" w:rsidR="00454428" w:rsidRDefault="00454428" w:rsidP="00C72BA8">
      <w:pPr>
        <w:pStyle w:val="a"/>
        <w:spacing w:after="160"/>
        <w:rPr>
          <w:rtl/>
          <w:lang w:val="ar-SA"/>
        </w:rPr>
      </w:pPr>
    </w:p>
    <w:p w14:paraId="149B5E24" w14:textId="77777777" w:rsidR="00454428" w:rsidRDefault="00454428" w:rsidP="00C72BA8">
      <w:pPr>
        <w:pStyle w:val="a"/>
        <w:spacing w:after="160"/>
        <w:rPr>
          <w:rtl/>
          <w:lang w:val="ar-SA"/>
        </w:rPr>
      </w:pPr>
    </w:p>
    <w:p w14:paraId="27775230" w14:textId="77777777" w:rsidR="00454428" w:rsidRDefault="00454428" w:rsidP="00C72BA8">
      <w:pPr>
        <w:pStyle w:val="a"/>
        <w:spacing w:after="160"/>
        <w:rPr>
          <w:rtl/>
          <w:lang w:val="ar-SA"/>
        </w:rPr>
      </w:pPr>
    </w:p>
    <w:p w14:paraId="2798BD60" w14:textId="77777777" w:rsidR="00454428" w:rsidRDefault="00454428" w:rsidP="00C72BA8">
      <w:pPr>
        <w:pStyle w:val="a"/>
        <w:spacing w:after="160"/>
        <w:rPr>
          <w:rtl/>
          <w:lang w:val="ar-SA"/>
        </w:rPr>
      </w:pPr>
    </w:p>
    <w:p w14:paraId="29A5DFB9" w14:textId="77777777" w:rsidR="00454428" w:rsidRDefault="00454428" w:rsidP="00C72BA8">
      <w:pPr>
        <w:pStyle w:val="a"/>
        <w:spacing w:after="160"/>
        <w:rPr>
          <w:rtl/>
          <w:lang w:val="ar-SA"/>
        </w:rPr>
      </w:pPr>
    </w:p>
    <w:p w14:paraId="5907DB9C" w14:textId="77777777" w:rsidR="004E4265" w:rsidRDefault="004E4265" w:rsidP="00C72BA8">
      <w:pPr>
        <w:pStyle w:val="a"/>
        <w:spacing w:after="160"/>
        <w:rPr>
          <w:rtl/>
          <w:lang w:val="ar-SA"/>
        </w:rPr>
      </w:pPr>
    </w:p>
    <w:p w14:paraId="755163A0" w14:textId="77777777" w:rsidR="004E4265" w:rsidRDefault="004E4265" w:rsidP="00C72BA8">
      <w:pPr>
        <w:pStyle w:val="a"/>
        <w:spacing w:after="160"/>
        <w:rPr>
          <w:rtl/>
          <w:lang w:val="ar-SA"/>
        </w:rPr>
      </w:pPr>
    </w:p>
    <w:p w14:paraId="084E2C96" w14:textId="77777777" w:rsidR="00454428" w:rsidRDefault="00C464EC" w:rsidP="00C72BA8">
      <w:pPr>
        <w:pStyle w:val="a"/>
        <w:spacing w:after="160"/>
        <w:rPr>
          <w:rtl/>
          <w:lang w:val="ar-SA"/>
        </w:rPr>
      </w:pPr>
      <w:bookmarkStart w:id="3" w:name="_Toc227251052"/>
      <w:bookmarkStart w:id="4" w:name="_Toc232260607"/>
      <w:r>
        <w:rPr>
          <w:rFonts w:ascii="Arial Unicode MS" w:eastAsia="Arial Unicode MS" w:hAnsi="Arial Unicode MS" w:hint="cs"/>
          <w:rtl/>
          <w:lang w:val="ar-SA"/>
        </w:rPr>
        <w:lastRenderedPageBreak/>
        <w:t>الإهداء</w:t>
      </w:r>
      <w:bookmarkEnd w:id="3"/>
      <w:bookmarkEnd w:id="4"/>
    </w:p>
    <w:p w14:paraId="7FF47118" w14:textId="77777777" w:rsidR="00A271EC" w:rsidRDefault="00A271EC" w:rsidP="00A271EC">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أهدي هذا العمل</w:t>
      </w:r>
      <w:r>
        <w:rPr>
          <w:rFonts w:ascii="Times New Roman" w:hAnsi="Times New Roman"/>
          <w:sz w:val="24"/>
          <w:szCs w:val="24"/>
          <w:rtl/>
          <w:lang w:val="ar-SA"/>
        </w:rPr>
        <w:t>.</w:t>
      </w:r>
    </w:p>
    <w:p w14:paraId="2C097492" w14:textId="77777777" w:rsidR="00454428" w:rsidRDefault="00C464EC"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إلى من علّمني أن العلم رسالة، وأن الصبر مفتاح كل نجاح</w:t>
      </w:r>
      <w:r>
        <w:rPr>
          <w:rFonts w:ascii="Times New Roman" w:hAnsi="Times New Roman"/>
          <w:sz w:val="24"/>
          <w:szCs w:val="24"/>
          <w:rtl/>
          <w:lang w:val="ar-SA"/>
        </w:rPr>
        <w:t>…</w:t>
      </w:r>
    </w:p>
    <w:p w14:paraId="01C9D4B1"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36F14100" w14:textId="77777777" w:rsidR="00454428" w:rsidRDefault="00C464EC"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إلى والديّ الكريمين،</w:t>
      </w:r>
    </w:p>
    <w:p w14:paraId="1426D96D" w14:textId="472689FF" w:rsidR="00454428"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عرفانًا بفضلهما، وتقديرًا لعطائهما، ودعائهما الذي كان سندًا لي في كل مرحلة من مراحل هذا العمل</w:t>
      </w:r>
      <w:r>
        <w:rPr>
          <w:rFonts w:ascii="Times New Roman" w:hAnsi="Times New Roman"/>
          <w:sz w:val="24"/>
          <w:szCs w:val="24"/>
          <w:rtl/>
          <w:lang w:val="ar-SA"/>
        </w:rPr>
        <w:t>.</w:t>
      </w:r>
    </w:p>
    <w:p w14:paraId="316FD981" w14:textId="77777777" w:rsidR="00454428" w:rsidRDefault="00C464EC"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زوجتي الغالية،</w:t>
      </w:r>
    </w:p>
    <w:p w14:paraId="0603B577" w14:textId="2C88E091" w:rsidR="00454428"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التي منحتني الدعم والتشجيع، وشاركتني مشقة الطريق، فكان حضورها دافعًا للاستمرار والعطاء</w:t>
      </w:r>
      <w:r>
        <w:rPr>
          <w:rFonts w:ascii="Times New Roman" w:hAnsi="Times New Roman"/>
          <w:sz w:val="24"/>
          <w:szCs w:val="24"/>
          <w:rtl/>
          <w:lang w:val="ar-SA"/>
        </w:rPr>
        <w:t>.</w:t>
      </w:r>
    </w:p>
    <w:p w14:paraId="57554D9A" w14:textId="77777777" w:rsidR="00454428" w:rsidRDefault="00C464EC"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أبنائي وبناتي وقرة عيوني،</w:t>
      </w:r>
    </w:p>
    <w:p w14:paraId="4C8E8F4D" w14:textId="1A1BE7DB" w:rsidR="00454428"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الذين أجبروني أن أكون لهم القدوة في هذه الحياة الشاقة، فكانوا دوما سباقين للوصول للأعالي</w:t>
      </w:r>
      <w:r>
        <w:rPr>
          <w:rFonts w:ascii="Times New Roman" w:hAnsi="Times New Roman"/>
          <w:sz w:val="24"/>
          <w:szCs w:val="24"/>
          <w:rtl/>
          <w:lang w:val="ar-SA"/>
        </w:rPr>
        <w:t>.</w:t>
      </w:r>
    </w:p>
    <w:p w14:paraId="1F6BED87" w14:textId="3B9A737B" w:rsidR="00454428" w:rsidRPr="00113335"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وإلى أخي وشقيقي</w:t>
      </w:r>
      <w:r>
        <w:rPr>
          <w:rFonts w:ascii="Arial Unicode MS" w:hAnsi="Arial Unicode MS" w:cs="Times New Roman" w:hint="cs"/>
          <w:sz w:val="24"/>
          <w:szCs w:val="24"/>
          <w:rtl/>
          <w:lang w:val="ar-SA"/>
        </w:rPr>
        <w:t xml:space="preserve"> وسندي في هذه الحياة، دمت فخرا وعزا</w:t>
      </w:r>
      <w:r>
        <w:rPr>
          <w:rFonts w:ascii="Times New Roman" w:hAnsi="Times New Roman"/>
          <w:sz w:val="24"/>
          <w:szCs w:val="24"/>
          <w:rtl/>
          <w:lang w:val="ar-SA"/>
        </w:rPr>
        <w:t>.</w:t>
      </w:r>
    </w:p>
    <w:p w14:paraId="0996A329" w14:textId="2F4D14FE" w:rsidR="00454428"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وإلى كل من آمن بقيمة العلم، وجعل من المعرفة سبيلًا للرقي والارتقاء</w:t>
      </w:r>
      <w:r>
        <w:rPr>
          <w:rFonts w:ascii="Times New Roman" w:hAnsi="Times New Roman"/>
          <w:sz w:val="24"/>
          <w:szCs w:val="24"/>
          <w:rtl/>
          <w:lang w:val="ar-SA"/>
        </w:rPr>
        <w:t>…</w:t>
      </w:r>
    </w:p>
    <w:p w14:paraId="02D9DD1B" w14:textId="77777777" w:rsidR="00113335" w:rsidRPr="00113335" w:rsidRDefault="00113335" w:rsidP="00113335">
      <w:pPr>
        <w:pStyle w:val="Body"/>
        <w:spacing w:after="100" w:line="360" w:lineRule="auto"/>
        <w:jc w:val="both"/>
        <w:rPr>
          <w:rFonts w:ascii="Times New Roman" w:eastAsia="Times New Roman" w:hAnsi="Times New Roman" w:cs="Times New Roman"/>
          <w:sz w:val="24"/>
          <w:szCs w:val="24"/>
        </w:rPr>
      </w:pPr>
    </w:p>
    <w:p w14:paraId="1710C7A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79C812ED"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rtl/>
          <w:lang w:val="ar-SA"/>
        </w:rPr>
      </w:pPr>
    </w:p>
    <w:p w14:paraId="0B8B1652"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rtl/>
          <w:lang w:val="ar-SA"/>
        </w:rPr>
      </w:pPr>
    </w:p>
    <w:p w14:paraId="71E403CE"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rtl/>
          <w:lang w:val="ar-SA"/>
        </w:rPr>
      </w:pPr>
    </w:p>
    <w:p w14:paraId="10D2435E" w14:textId="77777777" w:rsidR="00454428" w:rsidRDefault="00454428" w:rsidP="00C72BA8">
      <w:pPr>
        <w:pStyle w:val="Body"/>
        <w:spacing w:before="240" w:line="360" w:lineRule="auto"/>
        <w:rPr>
          <w:rFonts w:ascii="Times New Roman" w:eastAsia="Times New Roman" w:hAnsi="Times New Roman" w:cs="Times New Roman"/>
          <w:b/>
          <w:bCs/>
          <w:sz w:val="32"/>
          <w:szCs w:val="32"/>
        </w:rPr>
      </w:pPr>
    </w:p>
    <w:p w14:paraId="671A4F09" w14:textId="77777777" w:rsidR="00113335" w:rsidRPr="00113335" w:rsidRDefault="00113335" w:rsidP="00C72BA8">
      <w:pPr>
        <w:pStyle w:val="Body"/>
        <w:spacing w:before="240" w:line="360" w:lineRule="auto"/>
        <w:rPr>
          <w:rFonts w:ascii="Times New Roman" w:eastAsia="Times New Roman" w:hAnsi="Times New Roman" w:cs="Times New Roman"/>
          <w:b/>
          <w:bCs/>
          <w:sz w:val="32"/>
          <w:szCs w:val="32"/>
        </w:rPr>
      </w:pPr>
    </w:p>
    <w:p w14:paraId="7F062431" w14:textId="77777777" w:rsidR="00113335" w:rsidRDefault="00113335" w:rsidP="00C72BA8">
      <w:pPr>
        <w:pStyle w:val="a"/>
        <w:spacing w:after="160"/>
        <w:rPr>
          <w:rFonts w:ascii="Arial Unicode MS" w:eastAsia="Arial Unicode MS" w:hAnsi="Arial Unicode MS"/>
        </w:rPr>
      </w:pPr>
    </w:p>
    <w:p w14:paraId="15D06095" w14:textId="77777777" w:rsidR="00113335" w:rsidRDefault="00113335" w:rsidP="00C72BA8">
      <w:pPr>
        <w:pStyle w:val="a"/>
        <w:spacing w:after="160"/>
        <w:rPr>
          <w:rFonts w:ascii="Arial Unicode MS" w:eastAsia="Arial Unicode MS" w:hAnsi="Arial Unicode MS"/>
        </w:rPr>
      </w:pPr>
    </w:p>
    <w:p w14:paraId="21190367" w14:textId="77777777" w:rsidR="00A271EC" w:rsidRDefault="00A271EC" w:rsidP="00C72BA8">
      <w:pPr>
        <w:pStyle w:val="a"/>
        <w:spacing w:after="160"/>
        <w:rPr>
          <w:rFonts w:ascii="Arial Unicode MS" w:eastAsia="Arial Unicode MS" w:hAnsi="Arial Unicode MS"/>
        </w:rPr>
      </w:pPr>
      <w:bookmarkStart w:id="5" w:name="_Toc227251053"/>
      <w:bookmarkStart w:id="6" w:name="_Toc232260608"/>
    </w:p>
    <w:p w14:paraId="6D6F311B" w14:textId="5FA391B0" w:rsidR="00454428" w:rsidRDefault="00C464EC" w:rsidP="00C72BA8">
      <w:pPr>
        <w:pStyle w:val="a"/>
        <w:spacing w:after="160"/>
        <w:rPr>
          <w:rtl/>
          <w:lang w:val="ar-SA"/>
        </w:rPr>
      </w:pPr>
      <w:r>
        <w:rPr>
          <w:rFonts w:ascii="Arial Unicode MS" w:eastAsia="Arial Unicode MS" w:hAnsi="Arial Unicode MS" w:hint="cs"/>
          <w:rtl/>
          <w:lang w:val="ar-SA"/>
        </w:rPr>
        <w:t>الشكر والتقدير</w:t>
      </w:r>
      <w:bookmarkEnd w:id="5"/>
      <w:bookmarkEnd w:id="6"/>
    </w:p>
    <w:p w14:paraId="5DBBCF58" w14:textId="77777777" w:rsidR="00454428" w:rsidRDefault="00454428" w:rsidP="00C72BA8">
      <w:pPr>
        <w:pStyle w:val="Body"/>
        <w:bidi w:val="0"/>
        <w:spacing w:after="100" w:line="360" w:lineRule="auto"/>
        <w:jc w:val="both"/>
        <w:rPr>
          <w:rFonts w:ascii="Times New Roman" w:eastAsia="Times New Roman" w:hAnsi="Times New Roman" w:cs="Times New Roman"/>
          <w:b/>
          <w:bCs/>
          <w:sz w:val="24"/>
          <w:szCs w:val="24"/>
        </w:rPr>
      </w:pPr>
    </w:p>
    <w:p w14:paraId="090E4A73"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rPr>
      </w:pPr>
    </w:p>
    <w:p w14:paraId="5F2459D9" w14:textId="739083B1" w:rsidR="00454428"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الحمد لله رب العالمين، والصلاة والسلام على أشرف الأنبياء والمرسلين</w:t>
      </w:r>
      <w:r>
        <w:rPr>
          <w:rFonts w:ascii="Times New Roman" w:hAnsi="Times New Roman"/>
          <w:sz w:val="24"/>
          <w:szCs w:val="24"/>
          <w:rtl/>
          <w:lang w:val="ar-SA"/>
        </w:rPr>
        <w:t>.</w:t>
      </w:r>
    </w:p>
    <w:p w14:paraId="2BEAC493" w14:textId="0A19175D" w:rsidR="00454428" w:rsidRPr="00113335"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 أتقدّم بالشكر والتقدير إلى أصحاب السعادة أعضاء لجنة المناقشة الكرام، لما بذلوه من جهد علمي، وما سيقدّمونه من ملاحظات بنّاءة تسهم في تطوير هذا العمل</w:t>
      </w:r>
      <w:r>
        <w:rPr>
          <w:rFonts w:ascii="Times New Roman" w:hAnsi="Times New Roman"/>
          <w:sz w:val="24"/>
          <w:szCs w:val="24"/>
          <w:rtl/>
          <w:lang w:val="ar-SA"/>
        </w:rPr>
        <w:t>.</w:t>
      </w:r>
    </w:p>
    <w:p w14:paraId="2A5009D0" w14:textId="7FA1FA36" w:rsidR="00454428" w:rsidRPr="00113335" w:rsidRDefault="00C464EC"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ولا يفوتني أن أتقدّم بالشكر لكل من أسهم، بصورة مباشرة أو غير مباشرة، في إنجاز هذه الرسالة، من أساتذة وزملاء وباحثين</w:t>
      </w:r>
      <w:r>
        <w:rPr>
          <w:rFonts w:ascii="Times New Roman" w:hAnsi="Times New Roman"/>
          <w:sz w:val="24"/>
          <w:szCs w:val="24"/>
          <w:rtl/>
          <w:lang w:val="ar-SA"/>
        </w:rPr>
        <w:t>.</w:t>
      </w:r>
    </w:p>
    <w:p w14:paraId="5B954C46" w14:textId="77777777" w:rsidR="00454428" w:rsidRDefault="00C464EC"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الختام، أسأل الله تعالى أن يجعل هذا العمل خالصًا لوجهه الكريم، وأن ينفع به، وأن يجعله إضافة علمية نافعة في مجال الدراسات القانونية</w:t>
      </w:r>
      <w:r>
        <w:rPr>
          <w:rFonts w:ascii="Times New Roman" w:hAnsi="Times New Roman"/>
          <w:sz w:val="24"/>
          <w:szCs w:val="24"/>
          <w:rtl/>
          <w:lang w:val="ar-SA"/>
        </w:rPr>
        <w:t>.</w:t>
      </w:r>
    </w:p>
    <w:p w14:paraId="099BFFDC" w14:textId="77777777" w:rsidR="00454428"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40B35A03" w14:textId="77777777" w:rsidR="00454428"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3B90FCAE" w14:textId="77777777" w:rsidR="00454428"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443A8603" w14:textId="77777777" w:rsidR="00454428"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14340306" w14:textId="77777777" w:rsidR="00454428"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2A64C02B"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4DF5062"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CD46A79"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7A9C473"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026BB7B"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2947420F" w14:textId="77777777" w:rsidR="00454428" w:rsidRPr="00113335" w:rsidRDefault="00454428" w:rsidP="00113335">
      <w:pPr>
        <w:pStyle w:val="Body"/>
        <w:bidi w:val="0"/>
        <w:spacing w:after="100" w:line="360" w:lineRule="auto"/>
        <w:jc w:val="both"/>
        <w:rPr>
          <w:rFonts w:ascii="Times New Roman" w:eastAsia="Times New Roman" w:hAnsi="Times New Roman" w:cs="Times New Roman"/>
          <w:sz w:val="24"/>
          <w:szCs w:val="24"/>
        </w:rPr>
      </w:pPr>
    </w:p>
    <w:p w14:paraId="69468A88" w14:textId="77777777" w:rsidR="00A663DE" w:rsidRDefault="00A663DE" w:rsidP="00C72BA8">
      <w:pPr>
        <w:pStyle w:val="a"/>
        <w:spacing w:after="160"/>
        <w:rPr>
          <w:rFonts w:ascii="Arial Unicode MS" w:eastAsia="Arial Unicode MS" w:hAnsi="Arial Unicode MS"/>
          <w:rtl/>
          <w:lang w:val="ar-SA"/>
        </w:rPr>
      </w:pPr>
    </w:p>
    <w:p w14:paraId="2DBE0CD9" w14:textId="61FE256E" w:rsidR="00454428" w:rsidRDefault="00C464EC" w:rsidP="00C72BA8">
      <w:pPr>
        <w:pStyle w:val="a"/>
        <w:spacing w:after="160"/>
        <w:rPr>
          <w:rtl/>
          <w:lang w:val="ar-SA"/>
        </w:rPr>
      </w:pPr>
      <w:bookmarkStart w:id="7" w:name="_Toc227251054"/>
      <w:bookmarkStart w:id="8" w:name="_Toc232260609"/>
      <w:r>
        <w:rPr>
          <w:rFonts w:ascii="Arial Unicode MS" w:eastAsia="Arial Unicode MS" w:hAnsi="Arial Unicode MS" w:hint="cs"/>
          <w:rtl/>
          <w:lang w:val="ar-SA"/>
        </w:rPr>
        <w:t>المستخـلص</w:t>
      </w:r>
      <w:bookmarkEnd w:id="7"/>
      <w:bookmarkEnd w:id="8"/>
    </w:p>
    <w:p w14:paraId="367F5A40" w14:textId="29739C54" w:rsidR="00454428" w:rsidRDefault="00C464EC"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تهدف هذه الدراسة إلى تحليل الإطار القانوني المنظم لحماية حقوق الملكية الفكرية في البيئة الرقمية، وبيان مدى كفاية القواعد القانونية الحالية في مواجهة التحديات الناشئة عن التطور التكنولوجي، لاسيما فيما يتعلق بالمصنفات الرقمية ومسؤولية المنصات الإلكترونية</w:t>
      </w:r>
    </w:p>
    <w:p w14:paraId="3AD4CD64" w14:textId="534112EA" w:rsidR="00454428" w:rsidRDefault="00C464EC"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وتعتمد الدراسة على المنهج التحليلي المقارن، من خلال دراسة النظام السعودي ومقارنته ببعض التشريعات الأجنبية، بهدف الوقوف على أوجه القصور واقتراح الحلول المناسبة</w:t>
      </w:r>
      <w:r>
        <w:rPr>
          <w:rFonts w:ascii="Times New Roman" w:hAnsi="Times New Roman"/>
          <w:sz w:val="24"/>
          <w:szCs w:val="24"/>
          <w:rtl/>
        </w:rPr>
        <w:t>.</w:t>
      </w:r>
    </w:p>
    <w:p w14:paraId="56C66641" w14:textId="027F7108" w:rsidR="00454428" w:rsidRDefault="00C464EC"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lastRenderedPageBreak/>
        <w:t>وقد توصلت الدراسة إلى أن القواعد القانونية التقليدية لم تعد كافية لمواجهة الاعتداءات في البيئة الرقمية، كما كشفت عن وجود قصور في تنظيم مسؤولية المنصات الرقمية، وصعوبات في تحديد الاختصاص القضائي، إضافة إلى قصور وسائل الإثبات التقليدية في التعامل مع الأدلة الرقمية</w:t>
      </w:r>
      <w:r>
        <w:rPr>
          <w:rFonts w:ascii="Times New Roman" w:hAnsi="Times New Roman"/>
          <w:sz w:val="24"/>
          <w:szCs w:val="24"/>
          <w:rtl/>
        </w:rPr>
        <w:t>.</w:t>
      </w:r>
    </w:p>
    <w:p w14:paraId="05A83896" w14:textId="6E1FE119" w:rsidR="00454428" w:rsidRDefault="00C464EC" w:rsidP="00087562">
      <w:pPr>
        <w:pStyle w:val="Body"/>
        <w:spacing w:after="100" w:line="360" w:lineRule="auto"/>
        <w:jc w:val="both"/>
        <w:rPr>
          <w:rFonts w:ascii="Times New Roman" w:eastAsia="Times New Roman" w:hAnsi="Times New Roman" w:cs="Times New Roman"/>
          <w:sz w:val="24"/>
          <w:szCs w:val="24"/>
        </w:rPr>
      </w:pPr>
      <w:commentRangeStart w:id="9"/>
      <w:r w:rsidRPr="006066DA">
        <w:rPr>
          <w:rFonts w:ascii="Arial Unicode MS" w:hAnsi="Arial Unicode MS" w:cs="Times New Roman" w:hint="cs"/>
          <w:sz w:val="24"/>
          <w:szCs w:val="24"/>
          <w:highlight w:val="yellow"/>
          <w:rtl/>
          <w:lang w:val="ar-SA"/>
        </w:rPr>
        <w:t>كما</w:t>
      </w:r>
      <w:commentRangeEnd w:id="9"/>
      <w:r w:rsidR="006066DA">
        <w:rPr>
          <w:rStyle w:val="CommentReference"/>
          <w:rFonts w:ascii="Times New Roman" w:hAnsi="Times New Roman" w:cs="Times New Roman"/>
          <w:color w:val="auto"/>
          <w:rtl/>
          <w14:textOutline w14:w="0" w14:cap="rnd" w14:cmpd="sng" w14:algn="ctr">
            <w14:noFill/>
            <w14:prstDash w14:val="solid"/>
            <w14:bevel/>
          </w14:textOutline>
        </w:rPr>
        <w:commentReference w:id="9"/>
      </w:r>
      <w:r w:rsidRPr="006066DA">
        <w:rPr>
          <w:rFonts w:ascii="Arial Unicode MS" w:hAnsi="Arial Unicode MS" w:cs="Times New Roman" w:hint="cs"/>
          <w:sz w:val="24"/>
          <w:szCs w:val="24"/>
          <w:highlight w:val="yellow"/>
          <w:rtl/>
          <w:lang w:val="ar-SA"/>
        </w:rPr>
        <w:t xml:space="preserve"> أظهرت الدراسة إمكانية الاستفادة من التقنيات الحديثة، مثل تقنية البلوكشين، في توثيق المصنفات الرقمية، مع الحاجة إلى تنظيم قانوني يحدد حجيتها</w:t>
      </w:r>
      <w:r w:rsidRPr="006066DA">
        <w:rPr>
          <w:rFonts w:ascii="Times New Roman" w:hAnsi="Times New Roman"/>
          <w:sz w:val="24"/>
          <w:szCs w:val="24"/>
          <w:highlight w:val="yellow"/>
          <w:rtl/>
        </w:rPr>
        <w:t>.</w:t>
      </w:r>
    </w:p>
    <w:p w14:paraId="218F8F90" w14:textId="77777777" w:rsidR="00454428" w:rsidRDefault="00C464EC"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ضوء ذلك، توصي الدراسة بضرورة تطوير التشريعات الوطنية، واستحداث تنظيم قانوني لمسؤولية المنصات الرقمية، وتنظيم الأدلة الرقمية، إلى جانب تعزيز كفاءة القضاء في التعامل مع المنازعات الرقمية</w:t>
      </w:r>
      <w:r>
        <w:rPr>
          <w:rFonts w:ascii="Times New Roman" w:hAnsi="Times New Roman"/>
          <w:sz w:val="24"/>
          <w:szCs w:val="24"/>
          <w:rtl/>
        </w:rPr>
        <w:t>.</w:t>
      </w:r>
    </w:p>
    <w:p w14:paraId="1B833C37" w14:textId="76C1A9FA" w:rsidR="00454428" w:rsidRDefault="000F31CE" w:rsidP="00C72BA8">
      <w:pPr>
        <w:pStyle w:val="Body"/>
        <w:spacing w:after="100" w:line="360" w:lineRule="auto"/>
        <w:jc w:val="both"/>
        <w:rPr>
          <w:rFonts w:ascii="Times New Roman" w:eastAsia="Times New Roman" w:hAnsi="Times New Roman" w:cs="Times New Roman"/>
          <w:sz w:val="24"/>
          <w:szCs w:val="24"/>
        </w:rPr>
      </w:pPr>
      <w:r w:rsidRPr="000F31CE">
        <w:rPr>
          <w:rFonts w:ascii="Times New Roman" w:eastAsia="Times New Roman" w:hAnsi="Times New Roman" w:cs="Times New Roman" w:hint="cs"/>
          <w:b/>
          <w:bCs/>
          <w:sz w:val="24"/>
          <w:szCs w:val="24"/>
          <w:rtl/>
        </w:rPr>
        <w:t>الكلمات المفتاحية:</w:t>
      </w:r>
      <w:r>
        <w:rPr>
          <w:rFonts w:ascii="Times New Roman" w:eastAsia="Times New Roman" w:hAnsi="Times New Roman" w:cs="Times New Roman" w:hint="cs"/>
          <w:sz w:val="24"/>
          <w:szCs w:val="24"/>
          <w:rtl/>
        </w:rPr>
        <w:t xml:space="preserve"> </w:t>
      </w:r>
      <w:r w:rsidRPr="000F31CE">
        <w:rPr>
          <w:rFonts w:ascii="Times New Roman" w:eastAsia="Times New Roman" w:hAnsi="Times New Roman" w:cs="Times New Roman"/>
          <w:sz w:val="24"/>
          <w:szCs w:val="24"/>
          <w:rtl/>
        </w:rPr>
        <w:t>الملكية الفكرية، البيئة الرقمية، الحماية القانونية، المصنفات الرقمية، المنصات الرقمية، الأدلة الرقمية، القرصنة الإلكترونية</w:t>
      </w:r>
      <w:r>
        <w:rPr>
          <w:rFonts w:ascii="Times New Roman" w:eastAsia="Times New Roman" w:hAnsi="Times New Roman" w:cs="Times New Roman" w:hint="cs"/>
          <w:sz w:val="24"/>
          <w:szCs w:val="24"/>
          <w:rtl/>
        </w:rPr>
        <w:t>.</w:t>
      </w:r>
    </w:p>
    <w:p w14:paraId="14A9C69A"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034B366"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0D3256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F4E8F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3E8B13C"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0E428E9"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C022B83"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A4C3B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AC2D792"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489B2893" w14:textId="77777777" w:rsidR="00087562" w:rsidRDefault="00087562">
      <w:pPr>
        <w:rPr>
          <w:rFonts w:ascii="Calibri" w:hAnsi="Calibri" w:cs="Arial Unicode MS"/>
          <w:b/>
          <w:bCs/>
          <w:color w:val="000000"/>
          <w:sz w:val="32"/>
          <w:szCs w:val="32"/>
          <w:u w:color="000000"/>
          <w:lang w:val="de-DE"/>
          <w14:textOutline w14:w="0" w14:cap="flat" w14:cmpd="sng" w14:algn="ctr">
            <w14:noFill/>
            <w14:prstDash w14:val="solid"/>
            <w14:bevel/>
          </w14:textOutline>
        </w:rPr>
      </w:pPr>
      <w:r>
        <w:rPr>
          <w:b/>
          <w:bCs/>
          <w:sz w:val="32"/>
          <w:szCs w:val="32"/>
          <w:lang w:val="de-DE"/>
        </w:rPr>
        <w:br w:type="page"/>
      </w:r>
    </w:p>
    <w:p w14:paraId="6FD4B369" w14:textId="580B67D5" w:rsidR="00454428" w:rsidRPr="00A271EC" w:rsidRDefault="00C464EC" w:rsidP="00D35848">
      <w:pPr>
        <w:pStyle w:val="a"/>
        <w:bidi w:val="0"/>
        <w:spacing w:after="160"/>
        <w:rPr>
          <w:rFonts w:eastAsia="Arial Unicode MS"/>
          <w:sz w:val="28"/>
          <w:szCs w:val="28"/>
        </w:rPr>
      </w:pPr>
      <w:bookmarkStart w:id="10" w:name="_Toc232260610"/>
      <w:r w:rsidRPr="00A271EC">
        <w:rPr>
          <w:rFonts w:eastAsia="Arial Unicode MS"/>
          <w:sz w:val="28"/>
          <w:szCs w:val="28"/>
        </w:rPr>
        <w:lastRenderedPageBreak/>
        <w:t>ABSTRACT</w:t>
      </w:r>
      <w:bookmarkEnd w:id="10"/>
    </w:p>
    <w:p w14:paraId="33C013B9" w14:textId="77777777" w:rsidR="00454428" w:rsidRPr="00087562" w:rsidRDefault="00C464EC" w:rsidP="00AF6571">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This study aims to analyze the legal framework governing the protection of intellectual property rights in the digital environment, and to assess the adequacy of current legal rules in addressing challenges arising from technological developments, particularly with regard to digital works and the liability of online platforms.</w:t>
      </w:r>
    </w:p>
    <w:p w14:paraId="1AA4F958" w14:textId="77777777" w:rsidR="00454428" w:rsidRPr="00087562" w:rsidRDefault="00C464EC"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The study adopts an analytical and comparative approach by examining the Saudi legal system and comparing it with selected foreign legislations, with the aim of identifying legal gaps and proposing appropriate solutions.</w:t>
      </w:r>
    </w:p>
    <w:p w14:paraId="4DBB6F3C" w14:textId="77777777" w:rsidR="00454428" w:rsidRPr="00087562" w:rsidRDefault="00C464EC"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The study finds that traditional legal rules are no longer sufficient to address infringements in the digital environment. It also reveals deficiencies in regulating platform liability, difficulties in determining jurisdiction, and limitations of traditional evidentiary rules in dealing with digital evidence.</w:t>
      </w:r>
    </w:p>
    <w:p w14:paraId="6B7FF0D9" w14:textId="77777777" w:rsidR="00454428" w:rsidRPr="00087562" w:rsidRDefault="00C464EC"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Furthermore, the study highlights the potential of modern technologies, such as blockchain, in documenting digital works, while emphasizing the need for a clear legal framework governing their evidentiary value.</w:t>
      </w:r>
    </w:p>
    <w:p w14:paraId="26104201" w14:textId="77777777" w:rsidR="00454428" w:rsidRPr="00087562" w:rsidRDefault="00C464EC"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Based on these findings, the study recommends developing national legislation, establishing a legal framework for platform liability and digital evidence, and enhancing judicial capacity to handle digital disputes.</w:t>
      </w:r>
    </w:p>
    <w:p w14:paraId="26634A74" w14:textId="44919B92" w:rsidR="00454428" w:rsidRPr="000F31CE" w:rsidRDefault="000F31CE" w:rsidP="000F31CE">
      <w:pPr>
        <w:pStyle w:val="Body"/>
        <w:bidi w:val="0"/>
        <w:spacing w:before="120" w:line="360" w:lineRule="auto"/>
        <w:jc w:val="both"/>
        <w:rPr>
          <w:rFonts w:ascii="Times New Roman" w:eastAsia="Times New Roman" w:hAnsi="Times New Roman" w:cs="Times New Roman"/>
          <w:sz w:val="24"/>
          <w:szCs w:val="24"/>
        </w:rPr>
      </w:pPr>
      <w:r w:rsidRPr="000F31CE">
        <w:rPr>
          <w:rFonts w:ascii="Times New Roman" w:eastAsia="Times New Roman" w:hAnsi="Times New Roman" w:cs="Times New Roman"/>
          <w:b/>
          <w:bCs/>
          <w:sz w:val="24"/>
          <w:szCs w:val="24"/>
        </w:rPr>
        <w:t>Keywords</w:t>
      </w:r>
      <w:r w:rsidRPr="000F31CE">
        <w:rPr>
          <w:rFonts w:ascii="Times New Roman" w:eastAsia="Times New Roman" w:hAnsi="Times New Roman" w:cs="Times New Roman"/>
          <w:b/>
          <w:bCs/>
          <w:sz w:val="24"/>
          <w:szCs w:val="24"/>
          <w:rtl/>
        </w:rPr>
        <w:t>:</w:t>
      </w:r>
      <w:r w:rsidRPr="000F31CE">
        <w:t xml:space="preserve"> </w:t>
      </w:r>
      <w:r w:rsidRPr="000F31CE">
        <w:rPr>
          <w:rFonts w:ascii="Times New Roman" w:eastAsia="Times New Roman" w:hAnsi="Times New Roman" w:cs="Times New Roman"/>
          <w:sz w:val="24"/>
          <w:szCs w:val="24"/>
        </w:rPr>
        <w:t>Intellectual Property, Digital Environment, Legal Protection, Digital Works, Digital Platforms, Digital Evidence, Cyber Piracy.</w:t>
      </w:r>
    </w:p>
    <w:p w14:paraId="0BE0823C" w14:textId="77777777" w:rsidR="002633B7" w:rsidRDefault="002633B7">
      <w:pPr>
        <w:rPr>
          <w:rFonts w:ascii="Arial Unicode MS" w:hAnsi="Arial Unicode MS"/>
          <w:b/>
          <w:bCs/>
          <w:color w:val="000000"/>
          <w:sz w:val="32"/>
          <w:szCs w:val="32"/>
          <w:u w:color="000000"/>
          <w:rtl/>
          <w:lang w:val="ar-SA"/>
          <w14:textOutline w14:w="0" w14:cap="flat" w14:cmpd="sng" w14:algn="ctr">
            <w14:noFill/>
            <w14:prstDash w14:val="solid"/>
            <w14:bevel/>
          </w14:textOutline>
        </w:rPr>
      </w:pPr>
      <w:r>
        <w:rPr>
          <w:rFonts w:ascii="Arial Unicode MS" w:hAnsi="Arial Unicode MS"/>
          <w:b/>
          <w:bCs/>
          <w:sz w:val="32"/>
          <w:szCs w:val="32"/>
          <w:rtl/>
          <w:lang w:val="ar-SA"/>
        </w:rPr>
        <w:br w:type="page"/>
      </w:r>
    </w:p>
    <w:p w14:paraId="4A2C0EEB" w14:textId="284F78F8" w:rsidR="00454428" w:rsidRPr="00D35848" w:rsidRDefault="00C464EC" w:rsidP="00D35848">
      <w:pPr>
        <w:pStyle w:val="a"/>
        <w:spacing w:after="160"/>
        <w:rPr>
          <w:rFonts w:ascii="Arial Unicode MS" w:eastAsia="Arial Unicode MS" w:hAnsi="Arial Unicode MS"/>
          <w:rtl/>
          <w:lang w:val="ar-SA"/>
        </w:rPr>
      </w:pPr>
      <w:bookmarkStart w:id="11" w:name="_Toc232260611"/>
      <w:r w:rsidRPr="00D35848">
        <w:rPr>
          <w:rFonts w:ascii="Arial Unicode MS" w:eastAsia="Arial Unicode MS" w:hAnsi="Arial Unicode MS" w:hint="cs"/>
          <w:rtl/>
          <w:lang w:val="ar-SA"/>
        </w:rPr>
        <w:lastRenderedPageBreak/>
        <w:t>قائمــة المحتــويات</w:t>
      </w:r>
      <w:bookmarkEnd w:id="11"/>
    </w:p>
    <w:p w14:paraId="752206CA" w14:textId="6485CAB6" w:rsidR="00D35848" w:rsidRPr="00D35848" w:rsidRDefault="00E9455F">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r w:rsidRPr="00D35848">
        <w:rPr>
          <w:rFonts w:ascii="Times New Roman" w:eastAsia="Times New Roman" w:hAnsi="Times New Roman" w:cs="Times New Roman"/>
          <w:b/>
          <w:bCs/>
          <w:sz w:val="24"/>
          <w:szCs w:val="24"/>
          <w:rtl/>
          <w:lang w:val="ar-SA"/>
        </w:rPr>
        <w:fldChar w:fldCharType="begin"/>
      </w:r>
      <w:r w:rsidRPr="00D35848">
        <w:rPr>
          <w:rFonts w:ascii="Times New Roman" w:eastAsia="Times New Roman" w:hAnsi="Times New Roman" w:cs="Times New Roman"/>
          <w:b/>
          <w:bCs/>
          <w:sz w:val="24"/>
          <w:szCs w:val="24"/>
          <w:rtl/>
          <w:lang w:val="ar-SA"/>
        </w:rPr>
        <w:instrText xml:space="preserve"> TOC \o "1-7" \h \z \u </w:instrText>
      </w:r>
      <w:r w:rsidRPr="00D35848">
        <w:rPr>
          <w:rFonts w:ascii="Times New Roman" w:eastAsia="Times New Roman" w:hAnsi="Times New Roman" w:cs="Times New Roman"/>
          <w:b/>
          <w:bCs/>
          <w:sz w:val="24"/>
          <w:szCs w:val="24"/>
          <w:rtl/>
          <w:lang w:val="ar-SA"/>
        </w:rPr>
        <w:fldChar w:fldCharType="separate"/>
      </w:r>
      <w:hyperlink w:anchor="_Toc232260607" w:history="1">
        <w:r w:rsidR="00D35848" w:rsidRPr="00D35848">
          <w:rPr>
            <w:rStyle w:val="Hyperlink"/>
            <w:rFonts w:ascii="Times New Roman" w:eastAsia="Arial Unicode MS" w:hAnsi="Times New Roman" w:cs="Times New Roman"/>
            <w:b/>
            <w:bCs/>
            <w:noProof/>
            <w:sz w:val="24"/>
            <w:szCs w:val="24"/>
            <w:u w:val="none"/>
            <w:rtl/>
            <w:lang w:val="ar-SA"/>
          </w:rPr>
          <w:t>الإهداء</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Toc232260607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‌ه</w:t>
        </w:r>
        <w:r w:rsidR="00D35848" w:rsidRPr="00D35848">
          <w:rPr>
            <w:rFonts w:ascii="Times New Roman" w:hAnsi="Times New Roman" w:cs="Times New Roman"/>
            <w:b/>
            <w:bCs/>
            <w:noProof/>
            <w:webHidden/>
            <w:sz w:val="24"/>
            <w:szCs w:val="24"/>
            <w:rtl/>
          </w:rPr>
          <w:fldChar w:fldCharType="end"/>
        </w:r>
      </w:hyperlink>
    </w:p>
    <w:p w14:paraId="356B7AC7" w14:textId="58BFCC54" w:rsidR="00D35848" w:rsidRPr="00D35848" w:rsidRDefault="001552B0">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08" w:history="1">
        <w:r w:rsidR="00D35848" w:rsidRPr="00D35848">
          <w:rPr>
            <w:rStyle w:val="Hyperlink"/>
            <w:rFonts w:ascii="Times New Roman" w:eastAsia="Arial Unicode MS" w:hAnsi="Times New Roman" w:cs="Times New Roman"/>
            <w:b/>
            <w:bCs/>
            <w:noProof/>
            <w:sz w:val="24"/>
            <w:szCs w:val="24"/>
            <w:u w:val="none"/>
            <w:rtl/>
            <w:lang w:val="ar-SA"/>
          </w:rPr>
          <w:t>الشكر والتقدير</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Toc232260608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‌و</w:t>
        </w:r>
        <w:r w:rsidR="00D35848" w:rsidRPr="00D35848">
          <w:rPr>
            <w:rFonts w:ascii="Times New Roman" w:hAnsi="Times New Roman" w:cs="Times New Roman"/>
            <w:b/>
            <w:bCs/>
            <w:noProof/>
            <w:webHidden/>
            <w:sz w:val="24"/>
            <w:szCs w:val="24"/>
            <w:rtl/>
          </w:rPr>
          <w:fldChar w:fldCharType="end"/>
        </w:r>
      </w:hyperlink>
    </w:p>
    <w:p w14:paraId="775206D2" w14:textId="35CF54DF" w:rsidR="00D35848" w:rsidRPr="00D35848" w:rsidRDefault="001552B0">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09" w:history="1">
        <w:r w:rsidR="00D35848" w:rsidRPr="00D35848">
          <w:rPr>
            <w:rStyle w:val="Hyperlink"/>
            <w:rFonts w:ascii="Times New Roman" w:eastAsia="Arial Unicode MS" w:hAnsi="Times New Roman" w:cs="Times New Roman"/>
            <w:b/>
            <w:bCs/>
            <w:noProof/>
            <w:sz w:val="24"/>
            <w:szCs w:val="24"/>
            <w:u w:val="none"/>
            <w:rtl/>
            <w:lang w:val="ar-SA"/>
          </w:rPr>
          <w:t>المستخـلص</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Toc232260609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‌ز</w:t>
        </w:r>
        <w:r w:rsidR="00D35848" w:rsidRPr="00D35848">
          <w:rPr>
            <w:rFonts w:ascii="Times New Roman" w:hAnsi="Times New Roman" w:cs="Times New Roman"/>
            <w:b/>
            <w:bCs/>
            <w:noProof/>
            <w:webHidden/>
            <w:sz w:val="24"/>
            <w:szCs w:val="24"/>
            <w:rtl/>
          </w:rPr>
          <w:fldChar w:fldCharType="end"/>
        </w:r>
      </w:hyperlink>
    </w:p>
    <w:p w14:paraId="20DCA106" w14:textId="52940AE3" w:rsidR="00D35848" w:rsidRPr="00D35848" w:rsidRDefault="001552B0">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0" w:history="1">
        <w:r w:rsidR="00D35848" w:rsidRPr="002329E9">
          <w:rPr>
            <w:rStyle w:val="Hyperlink"/>
            <w:rFonts w:ascii="Times New Roman" w:eastAsia="Arial Unicode MS" w:hAnsi="Times New Roman" w:cs="Times New Roman"/>
            <w:b/>
            <w:bCs/>
            <w:noProof/>
            <w:sz w:val="24"/>
            <w:szCs w:val="24"/>
            <w:highlight w:val="yellow"/>
            <w:u w:val="none"/>
            <w:rtl/>
            <w:lang w:val="ar-SA"/>
          </w:rPr>
          <w:t>ABSTRACT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Toc232260610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‌ح</w:t>
        </w:r>
        <w:r w:rsidR="00D35848" w:rsidRPr="00D35848">
          <w:rPr>
            <w:rFonts w:ascii="Times New Roman" w:hAnsi="Times New Roman" w:cs="Times New Roman"/>
            <w:b/>
            <w:bCs/>
            <w:noProof/>
            <w:webHidden/>
            <w:sz w:val="24"/>
            <w:szCs w:val="24"/>
            <w:rtl/>
          </w:rPr>
          <w:fldChar w:fldCharType="end"/>
        </w:r>
      </w:hyperlink>
    </w:p>
    <w:p w14:paraId="4B1A2B09" w14:textId="0AF85C40" w:rsidR="00D35848" w:rsidRPr="00D35848" w:rsidRDefault="001552B0">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1" w:history="1">
        <w:r w:rsidR="00D35848" w:rsidRPr="00D35848">
          <w:rPr>
            <w:rStyle w:val="Hyperlink"/>
            <w:rFonts w:ascii="Times New Roman" w:eastAsia="Arial Unicode MS" w:hAnsi="Times New Roman" w:cs="Times New Roman"/>
            <w:b/>
            <w:bCs/>
            <w:noProof/>
            <w:sz w:val="24"/>
            <w:szCs w:val="24"/>
            <w:u w:val="none"/>
            <w:rtl/>
            <w:lang w:val="ar-SA"/>
          </w:rPr>
          <w:t>قائمــة المحتــويات</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Toc232260611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‌ط</w:t>
        </w:r>
        <w:r w:rsidR="00D35848" w:rsidRPr="00D35848">
          <w:rPr>
            <w:rFonts w:ascii="Times New Roman" w:hAnsi="Times New Roman" w:cs="Times New Roman"/>
            <w:b/>
            <w:bCs/>
            <w:noProof/>
            <w:webHidden/>
            <w:sz w:val="24"/>
            <w:szCs w:val="24"/>
            <w:rtl/>
          </w:rPr>
          <w:fldChar w:fldCharType="end"/>
        </w:r>
      </w:hyperlink>
    </w:p>
    <w:p w14:paraId="45F1D987" w14:textId="5BFC2854" w:rsidR="00D35848" w:rsidRPr="00D35848" w:rsidRDefault="001552B0">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2" w:history="1">
        <w:r w:rsidR="00D35848" w:rsidRPr="00D35848">
          <w:rPr>
            <w:rStyle w:val="Hyperlink"/>
            <w:rFonts w:ascii="Times New Roman" w:eastAsia="Arial Unicode MS" w:hAnsi="Times New Roman" w:cs="Times New Roman"/>
            <w:b/>
            <w:bCs/>
            <w:noProof/>
            <w:sz w:val="24"/>
            <w:szCs w:val="24"/>
            <w:u w:val="none"/>
            <w:rtl/>
            <w:lang w:val="ar-SA"/>
          </w:rPr>
          <w:t>المقدمة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Toc232260612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w:t>
        </w:r>
        <w:r w:rsidR="00D35848" w:rsidRPr="00D35848">
          <w:rPr>
            <w:rFonts w:ascii="Times New Roman" w:hAnsi="Times New Roman" w:cs="Times New Roman"/>
            <w:b/>
            <w:bCs/>
            <w:noProof/>
            <w:webHidden/>
            <w:sz w:val="24"/>
            <w:szCs w:val="24"/>
            <w:rtl/>
          </w:rPr>
          <w:fldChar w:fldCharType="end"/>
        </w:r>
      </w:hyperlink>
    </w:p>
    <w:p w14:paraId="6A32E10A" w14:textId="793E55E5"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3" w:history="1">
        <w:r w:rsidR="00D35848" w:rsidRPr="00D35848">
          <w:rPr>
            <w:rStyle w:val="Hyperlink"/>
            <w:rFonts w:ascii="Times New Roman" w:eastAsia="Arial Unicode MS" w:hAnsi="Times New Roman" w:cs="Times New Roman"/>
            <w:b/>
            <w:bCs/>
            <w:noProof/>
            <w:sz w:val="24"/>
            <w:szCs w:val="24"/>
            <w:u w:val="none"/>
            <w:rtl/>
            <w:lang w:val="ar-SA"/>
          </w:rPr>
          <w:t>أولًا</w:t>
        </w:r>
        <w:r w:rsidR="00D35848" w:rsidRPr="00D35848">
          <w:rPr>
            <w:rStyle w:val="Hyperlink"/>
            <w:rFonts w:ascii="Times New Roman" w:hAnsi="Times New Roman" w:cs="Times New Roman"/>
            <w:b/>
            <w:bCs/>
            <w:noProof/>
            <w:sz w:val="24"/>
            <w:szCs w:val="24"/>
            <w:u w:val="none"/>
            <w:rtl/>
            <w:lang w:val="ar-SA"/>
          </w:rPr>
          <w:t xml:space="preserve">: </w:t>
        </w:r>
        <w:r w:rsidR="00D35848" w:rsidRPr="00D35848">
          <w:rPr>
            <w:rStyle w:val="Hyperlink"/>
            <w:rFonts w:ascii="Times New Roman" w:eastAsia="Arial Unicode MS" w:hAnsi="Times New Roman" w:cs="Times New Roman"/>
            <w:b/>
            <w:bCs/>
            <w:noProof/>
            <w:sz w:val="24"/>
            <w:szCs w:val="24"/>
            <w:u w:val="none"/>
            <w:rtl/>
            <w:lang w:val="ar-SA"/>
          </w:rPr>
          <w:t>أهمية الدراسة</w:t>
        </w:r>
        <w:r w:rsidR="00D35848" w:rsidRPr="00D35848">
          <w:rPr>
            <w:rStyle w:val="Hyperlink"/>
            <w:rFonts w:ascii="Times New Roman" w:hAnsi="Times New Roman" w:cs="Times New Roman"/>
            <w:b/>
            <w:bCs/>
            <w:noProof/>
            <w:sz w:val="24"/>
            <w:szCs w:val="24"/>
            <w:u w:val="none"/>
            <w:rtl/>
            <w:lang w:val="ar-SA"/>
          </w:rPr>
          <w: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Toc232260613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3</w:t>
        </w:r>
        <w:r w:rsidR="00D35848" w:rsidRPr="00D35848">
          <w:rPr>
            <w:rFonts w:ascii="Times New Roman" w:hAnsi="Times New Roman" w:cs="Times New Roman"/>
            <w:b/>
            <w:bCs/>
            <w:noProof/>
            <w:webHidden/>
            <w:sz w:val="24"/>
            <w:szCs w:val="24"/>
            <w:rtl/>
          </w:rPr>
          <w:fldChar w:fldCharType="end"/>
        </w:r>
      </w:hyperlink>
    </w:p>
    <w:p w14:paraId="3CF02409" w14:textId="1FD3C32B"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4" w:history="1">
        <w:r w:rsidR="00D35848" w:rsidRPr="00D35848">
          <w:rPr>
            <w:rStyle w:val="Hyperlink"/>
            <w:rFonts w:ascii="Times New Roman" w:eastAsia="Arial Unicode MS" w:hAnsi="Times New Roman" w:cs="Times New Roman"/>
            <w:b/>
            <w:bCs/>
            <w:noProof/>
            <w:sz w:val="24"/>
            <w:szCs w:val="24"/>
            <w:u w:val="none"/>
            <w:rtl/>
            <w:lang w:val="ar-SA"/>
          </w:rPr>
          <w:t>ثانيًا</w:t>
        </w:r>
        <w:r w:rsidR="00D35848" w:rsidRPr="00D35848">
          <w:rPr>
            <w:rStyle w:val="Hyperlink"/>
            <w:rFonts w:ascii="Times New Roman" w:hAnsi="Times New Roman" w:cs="Times New Roman"/>
            <w:b/>
            <w:bCs/>
            <w:noProof/>
            <w:sz w:val="24"/>
            <w:szCs w:val="24"/>
            <w:u w:val="none"/>
            <w:rtl/>
            <w:lang w:val="ar-SA"/>
          </w:rPr>
          <w:t xml:space="preserve">: </w:t>
        </w:r>
        <w:r w:rsidR="00D35848" w:rsidRPr="00D35848">
          <w:rPr>
            <w:rStyle w:val="Hyperlink"/>
            <w:rFonts w:ascii="Times New Roman" w:eastAsia="Arial Unicode MS" w:hAnsi="Times New Roman" w:cs="Times New Roman"/>
            <w:b/>
            <w:bCs/>
            <w:noProof/>
            <w:sz w:val="24"/>
            <w:szCs w:val="24"/>
            <w:u w:val="none"/>
            <w:rtl/>
            <w:lang w:val="ar-SA"/>
          </w:rPr>
          <w:t>أهداف الدراسة</w:t>
        </w:r>
        <w:r w:rsidR="00D35848" w:rsidRPr="00D35848">
          <w:rPr>
            <w:rStyle w:val="Hyperlink"/>
            <w:rFonts w:ascii="Times New Roman" w:hAnsi="Times New Roman" w:cs="Times New Roman"/>
            <w:b/>
            <w:bCs/>
            <w:noProof/>
            <w:sz w:val="24"/>
            <w:szCs w:val="24"/>
            <w:u w:val="none"/>
            <w:rtl/>
            <w:lang w:val="ar-SA"/>
          </w:rPr>
          <w: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Toc232260614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4</w:t>
        </w:r>
        <w:r w:rsidR="00D35848" w:rsidRPr="00D35848">
          <w:rPr>
            <w:rFonts w:ascii="Times New Roman" w:hAnsi="Times New Roman" w:cs="Times New Roman"/>
            <w:b/>
            <w:bCs/>
            <w:noProof/>
            <w:webHidden/>
            <w:sz w:val="24"/>
            <w:szCs w:val="24"/>
            <w:rtl/>
          </w:rPr>
          <w:fldChar w:fldCharType="end"/>
        </w:r>
      </w:hyperlink>
    </w:p>
    <w:p w14:paraId="63A33A38" w14:textId="1DA38FE1"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5" w:history="1">
        <w:r w:rsidR="00D35848" w:rsidRPr="00D35848">
          <w:rPr>
            <w:rStyle w:val="Hyperlink"/>
            <w:rFonts w:ascii="Times New Roman" w:eastAsia="Arial Unicode MS" w:hAnsi="Times New Roman" w:cs="Times New Roman"/>
            <w:b/>
            <w:bCs/>
            <w:noProof/>
            <w:sz w:val="24"/>
            <w:szCs w:val="24"/>
            <w:u w:val="none"/>
            <w:rtl/>
            <w:lang w:val="ar-SA"/>
          </w:rPr>
          <w:t>ثالثًا</w:t>
        </w:r>
        <w:r w:rsidR="00D35848" w:rsidRPr="00D35848">
          <w:rPr>
            <w:rStyle w:val="Hyperlink"/>
            <w:rFonts w:ascii="Times New Roman" w:hAnsi="Times New Roman" w:cs="Times New Roman"/>
            <w:b/>
            <w:bCs/>
            <w:noProof/>
            <w:sz w:val="24"/>
            <w:szCs w:val="24"/>
            <w:u w:val="none"/>
            <w:rtl/>
            <w:lang w:val="ar-SA"/>
          </w:rPr>
          <w:t xml:space="preserve">: </w:t>
        </w:r>
        <w:r w:rsidR="00D35848" w:rsidRPr="00D35848">
          <w:rPr>
            <w:rStyle w:val="Hyperlink"/>
            <w:rFonts w:ascii="Times New Roman" w:eastAsia="Arial Unicode MS" w:hAnsi="Times New Roman" w:cs="Times New Roman"/>
            <w:b/>
            <w:bCs/>
            <w:noProof/>
            <w:sz w:val="24"/>
            <w:szCs w:val="24"/>
            <w:u w:val="none"/>
            <w:rtl/>
            <w:lang w:val="ar-SA"/>
          </w:rPr>
          <w:t>مشكلة الدراسة</w:t>
        </w:r>
        <w:r w:rsidR="00D35848" w:rsidRPr="00D35848">
          <w:rPr>
            <w:rStyle w:val="Hyperlink"/>
            <w:rFonts w:ascii="Times New Roman" w:hAnsi="Times New Roman" w:cs="Times New Roman"/>
            <w:b/>
            <w:bCs/>
            <w:noProof/>
            <w:sz w:val="24"/>
            <w:szCs w:val="24"/>
            <w:u w:val="none"/>
            <w:rtl/>
            <w:lang w:val="ar-SA"/>
          </w:rPr>
          <w: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Toc232260615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4</w:t>
        </w:r>
        <w:r w:rsidR="00D35848" w:rsidRPr="00D35848">
          <w:rPr>
            <w:rFonts w:ascii="Times New Roman" w:hAnsi="Times New Roman" w:cs="Times New Roman"/>
            <w:b/>
            <w:bCs/>
            <w:noProof/>
            <w:webHidden/>
            <w:sz w:val="24"/>
            <w:szCs w:val="24"/>
            <w:rtl/>
          </w:rPr>
          <w:fldChar w:fldCharType="end"/>
        </w:r>
      </w:hyperlink>
    </w:p>
    <w:p w14:paraId="07FD6517" w14:textId="19EB6673"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6" w:history="1">
        <w:r w:rsidR="00D35848" w:rsidRPr="00D35848">
          <w:rPr>
            <w:rStyle w:val="Hyperlink"/>
            <w:rFonts w:ascii="Times New Roman" w:eastAsia="Arial Unicode MS" w:hAnsi="Times New Roman" w:cs="Times New Roman"/>
            <w:b/>
            <w:bCs/>
            <w:noProof/>
            <w:sz w:val="24"/>
            <w:szCs w:val="24"/>
            <w:u w:val="none"/>
            <w:rtl/>
            <w:lang w:val="ar-SA"/>
          </w:rPr>
          <w:t>رابعًا</w:t>
        </w:r>
        <w:r w:rsidR="00D35848" w:rsidRPr="00D35848">
          <w:rPr>
            <w:rStyle w:val="Hyperlink"/>
            <w:rFonts w:ascii="Times New Roman" w:hAnsi="Times New Roman" w:cs="Times New Roman"/>
            <w:b/>
            <w:bCs/>
            <w:noProof/>
            <w:sz w:val="24"/>
            <w:szCs w:val="24"/>
            <w:u w:val="none"/>
            <w:rtl/>
            <w:lang w:val="ar-SA"/>
          </w:rPr>
          <w:t xml:space="preserve">: </w:t>
        </w:r>
        <w:r w:rsidR="00D35848" w:rsidRPr="00D35848">
          <w:rPr>
            <w:rStyle w:val="Hyperlink"/>
            <w:rFonts w:ascii="Times New Roman" w:eastAsia="Arial Unicode MS" w:hAnsi="Times New Roman" w:cs="Times New Roman"/>
            <w:b/>
            <w:bCs/>
            <w:noProof/>
            <w:sz w:val="24"/>
            <w:szCs w:val="24"/>
            <w:u w:val="none"/>
            <w:rtl/>
            <w:lang w:val="ar-SA"/>
          </w:rPr>
          <w:t>تساؤلات الدراسة</w:t>
        </w:r>
        <w:r w:rsidR="00D35848" w:rsidRPr="00D35848">
          <w:rPr>
            <w:rStyle w:val="Hyperlink"/>
            <w:rFonts w:ascii="Times New Roman" w:hAnsi="Times New Roman" w:cs="Times New Roman"/>
            <w:b/>
            <w:bCs/>
            <w:noProof/>
            <w:sz w:val="24"/>
            <w:szCs w:val="24"/>
            <w:u w:val="none"/>
            <w:rtl/>
            <w:lang w:val="ar-SA"/>
          </w:rPr>
          <w: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Toc232260616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4</w:t>
        </w:r>
        <w:r w:rsidR="00D35848" w:rsidRPr="00D35848">
          <w:rPr>
            <w:rFonts w:ascii="Times New Roman" w:hAnsi="Times New Roman" w:cs="Times New Roman"/>
            <w:b/>
            <w:bCs/>
            <w:noProof/>
            <w:webHidden/>
            <w:sz w:val="24"/>
            <w:szCs w:val="24"/>
            <w:rtl/>
          </w:rPr>
          <w:fldChar w:fldCharType="end"/>
        </w:r>
      </w:hyperlink>
    </w:p>
    <w:p w14:paraId="4E974B94" w14:textId="2E9DCBD8"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4" w:history="1">
        <w:r w:rsidR="00D35848" w:rsidRPr="00D35848">
          <w:rPr>
            <w:rStyle w:val="Hyperlink"/>
            <w:rFonts w:ascii="Times New Roman" w:eastAsia="Arial Unicode MS" w:hAnsi="Times New Roman" w:cs="Times New Roman"/>
            <w:b/>
            <w:bCs/>
            <w:noProof/>
            <w:sz w:val="24"/>
            <w:szCs w:val="24"/>
            <w:u w:val="none"/>
            <w:rtl/>
            <w:lang w:val="ar-SA"/>
          </w:rPr>
          <w:t>خامسًا</w:t>
        </w:r>
        <w:r w:rsidR="00D35848" w:rsidRPr="00D35848">
          <w:rPr>
            <w:rStyle w:val="Hyperlink"/>
            <w:rFonts w:ascii="Times New Roman" w:hAnsi="Times New Roman" w:cs="Times New Roman"/>
            <w:b/>
            <w:bCs/>
            <w:noProof/>
            <w:sz w:val="24"/>
            <w:szCs w:val="24"/>
            <w:u w:val="none"/>
            <w:rtl/>
            <w:lang w:val="ar-SA"/>
          </w:rPr>
          <w:t xml:space="preserve">: </w:t>
        </w:r>
        <w:r w:rsidR="00D35848" w:rsidRPr="00D35848">
          <w:rPr>
            <w:rStyle w:val="Hyperlink"/>
            <w:rFonts w:ascii="Times New Roman" w:eastAsia="Arial Unicode MS" w:hAnsi="Times New Roman" w:cs="Times New Roman"/>
            <w:b/>
            <w:bCs/>
            <w:noProof/>
            <w:sz w:val="24"/>
            <w:szCs w:val="24"/>
            <w:u w:val="none"/>
            <w:rtl/>
            <w:lang w:val="ar-SA"/>
          </w:rPr>
          <w:t>منهجية الدراسة</w:t>
        </w:r>
        <w:r w:rsidR="00D35848" w:rsidRPr="00D35848">
          <w:rPr>
            <w:rStyle w:val="Hyperlink"/>
            <w:rFonts w:ascii="Times New Roman" w:hAnsi="Times New Roman" w:cs="Times New Roman"/>
            <w:b/>
            <w:bCs/>
            <w:noProof/>
            <w:sz w:val="24"/>
            <w:szCs w:val="24"/>
            <w:u w:val="none"/>
            <w:rtl/>
            <w:lang w:val="ar-SA"/>
          </w:rPr>
          <w: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Toc232260624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5</w:t>
        </w:r>
        <w:r w:rsidR="00D35848" w:rsidRPr="00D35848">
          <w:rPr>
            <w:rFonts w:ascii="Times New Roman" w:hAnsi="Times New Roman" w:cs="Times New Roman"/>
            <w:b/>
            <w:bCs/>
            <w:noProof/>
            <w:webHidden/>
            <w:sz w:val="24"/>
            <w:szCs w:val="24"/>
            <w:rtl/>
          </w:rPr>
          <w:fldChar w:fldCharType="end"/>
        </w:r>
      </w:hyperlink>
    </w:p>
    <w:p w14:paraId="1D3B3C44" w14:textId="3D6E70D2"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5" w:history="1">
        <w:r w:rsidR="00D35848" w:rsidRPr="00D35848">
          <w:rPr>
            <w:rStyle w:val="Hyperlink"/>
            <w:rFonts w:ascii="Times New Roman" w:eastAsia="Arial Unicode MS" w:hAnsi="Times New Roman" w:cs="Times New Roman"/>
            <w:b/>
            <w:bCs/>
            <w:noProof/>
            <w:sz w:val="24"/>
            <w:szCs w:val="24"/>
            <w:u w:val="none"/>
            <w:rtl/>
            <w:lang w:val="ar-SA"/>
          </w:rPr>
          <w:t>سادسًا</w:t>
        </w:r>
        <w:r w:rsidR="00D35848" w:rsidRPr="00D35848">
          <w:rPr>
            <w:rStyle w:val="Hyperlink"/>
            <w:rFonts w:ascii="Times New Roman" w:hAnsi="Times New Roman" w:cs="Times New Roman"/>
            <w:b/>
            <w:bCs/>
            <w:noProof/>
            <w:sz w:val="24"/>
            <w:szCs w:val="24"/>
            <w:u w:val="none"/>
            <w:rtl/>
            <w:lang w:val="ar-SA"/>
          </w:rPr>
          <w:t xml:space="preserve">: </w:t>
        </w:r>
        <w:r w:rsidR="00D35848" w:rsidRPr="00D35848">
          <w:rPr>
            <w:rStyle w:val="Hyperlink"/>
            <w:rFonts w:ascii="Times New Roman" w:eastAsia="Arial Unicode MS" w:hAnsi="Times New Roman" w:cs="Times New Roman"/>
            <w:b/>
            <w:bCs/>
            <w:noProof/>
            <w:sz w:val="24"/>
            <w:szCs w:val="24"/>
            <w:u w:val="none"/>
            <w:rtl/>
            <w:lang w:val="ar-SA"/>
          </w:rPr>
          <w:t>الدراسات السابقة</w:t>
        </w:r>
        <w:r w:rsidR="00D35848" w:rsidRPr="00D35848">
          <w:rPr>
            <w:rStyle w:val="Hyperlink"/>
            <w:rFonts w:ascii="Times New Roman" w:hAnsi="Times New Roman" w:cs="Times New Roman"/>
            <w:b/>
            <w:bCs/>
            <w:noProof/>
            <w:sz w:val="24"/>
            <w:szCs w:val="24"/>
            <w:u w:val="none"/>
            <w:rtl/>
            <w:lang w:val="ar-SA"/>
          </w:rPr>
          <w: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Toc232260625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5</w:t>
        </w:r>
        <w:r w:rsidR="00D35848" w:rsidRPr="00D35848">
          <w:rPr>
            <w:rFonts w:ascii="Times New Roman" w:hAnsi="Times New Roman" w:cs="Times New Roman"/>
            <w:b/>
            <w:bCs/>
            <w:noProof/>
            <w:webHidden/>
            <w:sz w:val="24"/>
            <w:szCs w:val="24"/>
            <w:rtl/>
          </w:rPr>
          <w:fldChar w:fldCharType="end"/>
        </w:r>
      </w:hyperlink>
    </w:p>
    <w:p w14:paraId="0483CBD5" w14:textId="63AEF2CB"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6" w:history="1">
        <w:r w:rsidR="00D35848" w:rsidRPr="00D35848">
          <w:rPr>
            <w:rStyle w:val="Hyperlink"/>
            <w:rFonts w:ascii="Times New Roman" w:eastAsia="Arial Unicode MS" w:hAnsi="Times New Roman" w:cs="Times New Roman"/>
            <w:b/>
            <w:bCs/>
            <w:noProof/>
            <w:sz w:val="24"/>
            <w:szCs w:val="24"/>
            <w:u w:val="none"/>
            <w:rtl/>
            <w:lang w:val="ar-SA"/>
          </w:rPr>
          <w:t>سابعًا</w:t>
        </w:r>
        <w:r w:rsidR="00D35848" w:rsidRPr="00D35848">
          <w:rPr>
            <w:rStyle w:val="Hyperlink"/>
            <w:rFonts w:ascii="Times New Roman" w:hAnsi="Times New Roman" w:cs="Times New Roman"/>
            <w:b/>
            <w:bCs/>
            <w:noProof/>
            <w:sz w:val="24"/>
            <w:szCs w:val="24"/>
            <w:u w:val="none"/>
            <w:rtl/>
            <w:lang w:val="ar-SA"/>
          </w:rPr>
          <w:t xml:space="preserve">: </w:t>
        </w:r>
        <w:r w:rsidR="00D35848" w:rsidRPr="00D35848">
          <w:rPr>
            <w:rStyle w:val="Hyperlink"/>
            <w:rFonts w:ascii="Times New Roman" w:eastAsia="Arial Unicode MS" w:hAnsi="Times New Roman" w:cs="Times New Roman"/>
            <w:b/>
            <w:bCs/>
            <w:noProof/>
            <w:sz w:val="24"/>
            <w:szCs w:val="24"/>
            <w:u w:val="none"/>
            <w:rtl/>
            <w:lang w:val="ar-SA"/>
          </w:rPr>
          <w:t>مخطط البحث</w:t>
        </w:r>
        <w:r w:rsidR="00D35848" w:rsidRPr="00D35848">
          <w:rPr>
            <w:rStyle w:val="Hyperlink"/>
            <w:rFonts w:ascii="Times New Roman" w:hAnsi="Times New Roman" w:cs="Times New Roman"/>
            <w:b/>
            <w:bCs/>
            <w:noProof/>
            <w:sz w:val="24"/>
            <w:szCs w:val="24"/>
            <w:u w:val="none"/>
            <w:rtl/>
            <w:lang w:val="ar-SA"/>
          </w:rPr>
          <w:t>:</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Toc232260626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7</w:t>
        </w:r>
        <w:r w:rsidR="00D35848" w:rsidRPr="00D35848">
          <w:rPr>
            <w:rFonts w:ascii="Times New Roman" w:hAnsi="Times New Roman" w:cs="Times New Roman"/>
            <w:b/>
            <w:bCs/>
            <w:noProof/>
            <w:webHidden/>
            <w:sz w:val="24"/>
            <w:szCs w:val="24"/>
            <w:rtl/>
          </w:rPr>
          <w:fldChar w:fldCharType="end"/>
        </w:r>
      </w:hyperlink>
    </w:p>
    <w:p w14:paraId="661C78A5" w14:textId="1909EBFF"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7" w:history="1">
        <w:r w:rsidR="00D35848" w:rsidRPr="00D35848">
          <w:rPr>
            <w:rStyle w:val="Hyperlink"/>
            <w:rFonts w:ascii="Times New Roman" w:eastAsia="Arial Unicode MS" w:hAnsi="Times New Roman" w:cs="Times New Roman"/>
            <w:b/>
            <w:bCs/>
            <w:noProof/>
            <w:sz w:val="24"/>
            <w:szCs w:val="24"/>
            <w:u w:val="none"/>
            <w:rtl/>
            <w:lang w:val="ar-SA"/>
          </w:rPr>
          <w:t>الفصــل التمهيدي</w:t>
        </w:r>
        <w:r w:rsidR="00D35848" w:rsidRPr="00D35848">
          <w:rPr>
            <w:rFonts w:ascii="Times New Roman" w:hAnsi="Times New Roman" w:cs="Times New Roman"/>
            <w:b/>
            <w:bCs/>
            <w:noProof/>
            <w:webHidden/>
            <w:sz w:val="24"/>
            <w:szCs w:val="24"/>
            <w:rtl/>
          </w:rPr>
          <w:t xml:space="preserve"> </w:t>
        </w:r>
      </w:hyperlink>
      <w:hyperlink w:anchor="_Toc232260628" w:history="1">
        <w:r w:rsidR="00D35848" w:rsidRPr="00D35848">
          <w:rPr>
            <w:rStyle w:val="Hyperlink"/>
            <w:rFonts w:ascii="Times New Roman" w:eastAsia="Arial Unicode MS" w:hAnsi="Times New Roman" w:cs="Times New Roman"/>
            <w:b/>
            <w:bCs/>
            <w:noProof/>
            <w:sz w:val="24"/>
            <w:szCs w:val="24"/>
            <w:u w:val="none"/>
            <w:rtl/>
            <w:lang w:val="ar-SA"/>
          </w:rPr>
          <w:t>الإطار العام لأساسيات حماية حقوق الملكية الفكرية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Toc232260628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9</w:t>
        </w:r>
        <w:r w:rsidR="00D35848" w:rsidRPr="00D35848">
          <w:rPr>
            <w:rFonts w:ascii="Times New Roman" w:hAnsi="Times New Roman" w:cs="Times New Roman"/>
            <w:b/>
            <w:bCs/>
            <w:noProof/>
            <w:webHidden/>
            <w:sz w:val="24"/>
            <w:szCs w:val="24"/>
            <w:rtl/>
          </w:rPr>
          <w:fldChar w:fldCharType="end"/>
        </w:r>
      </w:hyperlink>
    </w:p>
    <w:p w14:paraId="46501569" w14:textId="7CB9FB60"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9" w:history="1">
        <w:r w:rsidR="00D35848" w:rsidRPr="00D35848">
          <w:rPr>
            <w:rStyle w:val="Hyperlink"/>
            <w:rFonts w:ascii="Times New Roman" w:eastAsia="Arial Unicode MS" w:hAnsi="Times New Roman" w:cs="Times New Roman"/>
            <w:b/>
            <w:bCs/>
            <w:noProof/>
            <w:sz w:val="24"/>
            <w:szCs w:val="24"/>
            <w:u w:val="none"/>
            <w:rtl/>
            <w:lang w:val="ar-SA"/>
          </w:rPr>
          <w:t>المبحث الأول</w:t>
        </w:r>
        <w:r w:rsidR="00D35848" w:rsidRPr="00D35848">
          <w:rPr>
            <w:rFonts w:ascii="Times New Roman" w:hAnsi="Times New Roman" w:cs="Times New Roman"/>
            <w:b/>
            <w:bCs/>
            <w:noProof/>
            <w:webHidden/>
            <w:sz w:val="24"/>
            <w:szCs w:val="24"/>
            <w:rtl/>
          </w:rPr>
          <w:t xml:space="preserve"> </w:t>
        </w:r>
      </w:hyperlink>
      <w:hyperlink w:anchor="_Toc232260630" w:history="1">
        <w:r w:rsidR="00D35848" w:rsidRPr="00D35848">
          <w:rPr>
            <w:rStyle w:val="Hyperlink"/>
            <w:rFonts w:ascii="Times New Roman" w:eastAsia="Arial Unicode MS" w:hAnsi="Times New Roman" w:cs="Times New Roman"/>
            <w:b/>
            <w:bCs/>
            <w:noProof/>
            <w:sz w:val="24"/>
            <w:szCs w:val="24"/>
            <w:u w:val="none"/>
            <w:rtl/>
            <w:lang w:val="ar-SA"/>
          </w:rPr>
          <w:t>ماهية حقوق الملكية الفكرية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Toc232260630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10</w:t>
        </w:r>
        <w:r w:rsidR="00D35848" w:rsidRPr="00D35848">
          <w:rPr>
            <w:rFonts w:ascii="Times New Roman" w:hAnsi="Times New Roman" w:cs="Times New Roman"/>
            <w:b/>
            <w:bCs/>
            <w:noProof/>
            <w:webHidden/>
            <w:sz w:val="24"/>
            <w:szCs w:val="24"/>
            <w:rtl/>
          </w:rPr>
          <w:fldChar w:fldCharType="end"/>
        </w:r>
      </w:hyperlink>
    </w:p>
    <w:p w14:paraId="34A395BC" w14:textId="0E10C389" w:rsidR="00D35848" w:rsidRPr="00D35848" w:rsidRDefault="001552B0" w:rsidP="00D35848">
      <w:pPr>
        <w:pStyle w:val="TOC2"/>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1"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Fonts w:ascii="Times New Roman" w:hAnsi="Times New Roman" w:cs="Times New Roman"/>
            <w:noProof/>
            <w:webHidden/>
            <w:sz w:val="24"/>
            <w:szCs w:val="24"/>
            <w:rtl/>
          </w:rPr>
          <w:t xml:space="preserve"> </w:t>
        </w:r>
      </w:hyperlink>
      <w:hyperlink w:anchor="_Toc232260632" w:history="1">
        <w:r w:rsidR="00D35848" w:rsidRPr="00D35848">
          <w:rPr>
            <w:rStyle w:val="Hyperlink"/>
            <w:rFonts w:ascii="Times New Roman" w:eastAsia="Arial Unicode MS" w:hAnsi="Times New Roman" w:cs="Times New Roman"/>
            <w:noProof/>
            <w:sz w:val="24"/>
            <w:szCs w:val="24"/>
            <w:u w:val="none"/>
            <w:rtl/>
            <w:lang w:val="ar-SA"/>
          </w:rPr>
          <w:t>تعريف حقوق</w:t>
        </w:r>
        <w:r w:rsidR="00D35848" w:rsidRPr="00D35848">
          <w:rPr>
            <w:rStyle w:val="Hyperlink"/>
            <w:rFonts w:ascii="Times New Roman" w:hAnsi="Times New Roman" w:cs="Times New Roman"/>
            <w:noProof/>
            <w:sz w:val="24"/>
            <w:szCs w:val="24"/>
            <w:u w:val="none"/>
            <w:rtl/>
            <w:lang w:val="ar-SA"/>
          </w:rPr>
          <w:t xml:space="preserve"> </w:t>
        </w:r>
        <w:r w:rsidR="00D35848" w:rsidRPr="00D35848">
          <w:rPr>
            <w:rStyle w:val="Hyperlink"/>
            <w:rFonts w:ascii="Times New Roman" w:eastAsia="Arial Unicode MS" w:hAnsi="Times New Roman" w:cs="Times New Roman"/>
            <w:noProof/>
            <w:sz w:val="24"/>
            <w:szCs w:val="24"/>
            <w:u w:val="none"/>
            <w:rtl/>
            <w:lang w:val="ar-SA"/>
          </w:rPr>
          <w:t>الملكية الفكرية</w:t>
        </w:r>
        <w:r w:rsidR="00D35848" w:rsidRPr="00D35848">
          <w:rPr>
            <w:rFonts w:ascii="Times New Roman" w:hAnsi="Times New Roman" w:cs="Times New Roman"/>
            <w:noProof/>
            <w:webHidden/>
            <w:sz w:val="24"/>
            <w:szCs w:val="24"/>
            <w:rtl/>
          </w:rPr>
          <w:tab/>
        </w:r>
        <w:r w:rsidR="00D35848" w:rsidRPr="00D35848">
          <w:rPr>
            <w:rFonts w:ascii="Times New Roman" w:hAnsi="Times New Roman" w:cs="Times New Roman"/>
            <w:noProof/>
            <w:webHidden/>
            <w:sz w:val="24"/>
            <w:szCs w:val="24"/>
            <w:rtl/>
          </w:rPr>
          <w:fldChar w:fldCharType="begin"/>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Pr>
          <w:instrText>PAGEREF</w:instrText>
        </w:r>
        <w:r w:rsidR="00D35848" w:rsidRPr="00D35848">
          <w:rPr>
            <w:rFonts w:ascii="Times New Roman" w:hAnsi="Times New Roman" w:cs="Times New Roman"/>
            <w:noProof/>
            <w:webHidden/>
            <w:sz w:val="24"/>
            <w:szCs w:val="24"/>
            <w:rtl/>
          </w:rPr>
          <w:instrText xml:space="preserve"> _</w:instrText>
        </w:r>
        <w:r w:rsidR="00D35848" w:rsidRPr="00D35848">
          <w:rPr>
            <w:rFonts w:ascii="Times New Roman" w:hAnsi="Times New Roman" w:cs="Times New Roman"/>
            <w:noProof/>
            <w:webHidden/>
            <w:sz w:val="24"/>
            <w:szCs w:val="24"/>
          </w:rPr>
          <w:instrText>Toc232260632 \h</w:instrText>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tl/>
          </w:rPr>
        </w:r>
        <w:r w:rsidR="00D35848" w:rsidRPr="00D35848">
          <w:rPr>
            <w:rFonts w:ascii="Times New Roman" w:hAnsi="Times New Roman" w:cs="Times New Roman"/>
            <w:noProof/>
            <w:webHidden/>
            <w:sz w:val="24"/>
            <w:szCs w:val="24"/>
            <w:rtl/>
          </w:rPr>
          <w:fldChar w:fldCharType="separate"/>
        </w:r>
        <w:r w:rsidR="00D35848" w:rsidRPr="00D35848">
          <w:rPr>
            <w:rFonts w:ascii="Times New Roman" w:hAnsi="Times New Roman" w:cs="Times New Roman"/>
            <w:noProof/>
            <w:webHidden/>
            <w:sz w:val="24"/>
            <w:szCs w:val="24"/>
            <w:rtl/>
          </w:rPr>
          <w:t>11</w:t>
        </w:r>
        <w:r w:rsidR="00D35848" w:rsidRPr="00D35848">
          <w:rPr>
            <w:rFonts w:ascii="Times New Roman" w:hAnsi="Times New Roman" w:cs="Times New Roman"/>
            <w:noProof/>
            <w:webHidden/>
            <w:sz w:val="24"/>
            <w:szCs w:val="24"/>
            <w:rtl/>
          </w:rPr>
          <w:fldChar w:fldCharType="end"/>
        </w:r>
      </w:hyperlink>
    </w:p>
    <w:p w14:paraId="51689CC1" w14:textId="52405849" w:rsidR="00D35848" w:rsidRPr="00D35848" w:rsidRDefault="001552B0" w:rsidP="00D35848">
      <w:pPr>
        <w:pStyle w:val="TOC2"/>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3" w:history="1">
        <w:r w:rsidR="00D35848" w:rsidRPr="00D35848">
          <w:rPr>
            <w:rStyle w:val="Hyperlink"/>
            <w:rFonts w:ascii="Times New Roman" w:eastAsia="Arial Unicode MS" w:hAnsi="Times New Roman" w:cs="Times New Roman"/>
            <w:noProof/>
            <w:sz w:val="24"/>
            <w:szCs w:val="24"/>
            <w:u w:val="none"/>
            <w:rtl/>
            <w:lang w:val="ar-SA"/>
          </w:rPr>
          <w:t>الفرع الأول</w:t>
        </w:r>
        <w:r w:rsidR="00D35848" w:rsidRPr="00D35848">
          <w:rPr>
            <w:rFonts w:ascii="Times New Roman" w:hAnsi="Times New Roman" w:cs="Times New Roman"/>
            <w:noProof/>
            <w:webHidden/>
            <w:sz w:val="24"/>
            <w:szCs w:val="24"/>
            <w:rtl/>
          </w:rPr>
          <w:t xml:space="preserve"> </w:t>
        </w:r>
      </w:hyperlink>
      <w:hyperlink w:anchor="_Toc232260634" w:history="1">
        <w:r w:rsidR="00D35848" w:rsidRPr="00D35848">
          <w:rPr>
            <w:rStyle w:val="Hyperlink"/>
            <w:rFonts w:ascii="Times New Roman" w:eastAsia="Arial Unicode MS" w:hAnsi="Times New Roman" w:cs="Times New Roman"/>
            <w:noProof/>
            <w:sz w:val="24"/>
            <w:szCs w:val="24"/>
            <w:u w:val="none"/>
            <w:rtl/>
            <w:lang w:val="ar-SA"/>
          </w:rPr>
          <w:t>المفهوم التقليدي للملكية الفكرية</w:t>
        </w:r>
        <w:r w:rsidR="00D35848" w:rsidRPr="00D35848">
          <w:rPr>
            <w:rFonts w:ascii="Times New Roman" w:hAnsi="Times New Roman" w:cs="Times New Roman"/>
            <w:noProof/>
            <w:webHidden/>
            <w:sz w:val="24"/>
            <w:szCs w:val="24"/>
            <w:rtl/>
          </w:rPr>
          <w:tab/>
        </w:r>
        <w:r w:rsidR="00D35848" w:rsidRPr="00D35848">
          <w:rPr>
            <w:rFonts w:ascii="Times New Roman" w:hAnsi="Times New Roman" w:cs="Times New Roman"/>
            <w:noProof/>
            <w:webHidden/>
            <w:sz w:val="24"/>
            <w:szCs w:val="24"/>
            <w:rtl/>
          </w:rPr>
          <w:fldChar w:fldCharType="begin"/>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Pr>
          <w:instrText>PAGEREF</w:instrText>
        </w:r>
        <w:r w:rsidR="00D35848" w:rsidRPr="00D35848">
          <w:rPr>
            <w:rFonts w:ascii="Times New Roman" w:hAnsi="Times New Roman" w:cs="Times New Roman"/>
            <w:noProof/>
            <w:webHidden/>
            <w:sz w:val="24"/>
            <w:szCs w:val="24"/>
            <w:rtl/>
          </w:rPr>
          <w:instrText xml:space="preserve"> _</w:instrText>
        </w:r>
        <w:r w:rsidR="00D35848" w:rsidRPr="00D35848">
          <w:rPr>
            <w:rFonts w:ascii="Times New Roman" w:hAnsi="Times New Roman" w:cs="Times New Roman"/>
            <w:noProof/>
            <w:webHidden/>
            <w:sz w:val="24"/>
            <w:szCs w:val="24"/>
          </w:rPr>
          <w:instrText>Toc232260634 \h</w:instrText>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tl/>
          </w:rPr>
        </w:r>
        <w:r w:rsidR="00D35848" w:rsidRPr="00D35848">
          <w:rPr>
            <w:rFonts w:ascii="Times New Roman" w:hAnsi="Times New Roman" w:cs="Times New Roman"/>
            <w:noProof/>
            <w:webHidden/>
            <w:sz w:val="24"/>
            <w:szCs w:val="24"/>
            <w:rtl/>
          </w:rPr>
          <w:fldChar w:fldCharType="separate"/>
        </w:r>
        <w:r w:rsidR="00D35848" w:rsidRPr="00D35848">
          <w:rPr>
            <w:rFonts w:ascii="Times New Roman" w:hAnsi="Times New Roman" w:cs="Times New Roman"/>
            <w:noProof/>
            <w:webHidden/>
            <w:sz w:val="24"/>
            <w:szCs w:val="24"/>
            <w:rtl/>
          </w:rPr>
          <w:t>12</w:t>
        </w:r>
        <w:r w:rsidR="00D35848" w:rsidRPr="00D35848">
          <w:rPr>
            <w:rFonts w:ascii="Times New Roman" w:hAnsi="Times New Roman" w:cs="Times New Roman"/>
            <w:noProof/>
            <w:webHidden/>
            <w:sz w:val="24"/>
            <w:szCs w:val="24"/>
            <w:rtl/>
          </w:rPr>
          <w:fldChar w:fldCharType="end"/>
        </w:r>
      </w:hyperlink>
    </w:p>
    <w:p w14:paraId="353599F9" w14:textId="3AFBE90F" w:rsidR="00D35848" w:rsidRPr="00D35848" w:rsidRDefault="001552B0" w:rsidP="00D35848">
      <w:pPr>
        <w:pStyle w:val="TOC2"/>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5" w:history="1">
        <w:r w:rsidR="00D35848" w:rsidRPr="00D35848">
          <w:rPr>
            <w:rStyle w:val="Hyperlink"/>
            <w:rFonts w:ascii="Times New Roman" w:eastAsia="Arial Unicode MS" w:hAnsi="Times New Roman" w:cs="Times New Roman"/>
            <w:noProof/>
            <w:sz w:val="24"/>
            <w:szCs w:val="24"/>
            <w:u w:val="none"/>
            <w:rtl/>
            <w:lang w:val="ar-SA"/>
          </w:rPr>
          <w:t>الفرع الثاني</w:t>
        </w:r>
        <w:r w:rsidR="00D35848" w:rsidRPr="00D35848">
          <w:rPr>
            <w:rFonts w:ascii="Times New Roman" w:hAnsi="Times New Roman" w:cs="Times New Roman"/>
            <w:noProof/>
            <w:webHidden/>
            <w:sz w:val="24"/>
            <w:szCs w:val="24"/>
            <w:rtl/>
          </w:rPr>
          <w:t xml:space="preserve"> </w:t>
        </w:r>
      </w:hyperlink>
      <w:hyperlink w:anchor="_Toc232260636" w:history="1">
        <w:r w:rsidR="00D35848" w:rsidRPr="00D35848">
          <w:rPr>
            <w:rStyle w:val="Hyperlink"/>
            <w:rFonts w:ascii="Times New Roman" w:eastAsia="Arial Unicode MS" w:hAnsi="Times New Roman" w:cs="Times New Roman"/>
            <w:noProof/>
            <w:sz w:val="24"/>
            <w:szCs w:val="24"/>
            <w:u w:val="none"/>
            <w:rtl/>
            <w:lang w:val="ar-SA"/>
          </w:rPr>
          <w:t>مفهوم الملكية الفكرية الإلكترونية</w:t>
        </w:r>
        <w:r w:rsidR="00D35848" w:rsidRPr="00D35848">
          <w:rPr>
            <w:rFonts w:ascii="Times New Roman" w:hAnsi="Times New Roman" w:cs="Times New Roman"/>
            <w:noProof/>
            <w:webHidden/>
            <w:sz w:val="24"/>
            <w:szCs w:val="24"/>
            <w:rtl/>
          </w:rPr>
          <w:tab/>
        </w:r>
        <w:r w:rsidR="00D35848" w:rsidRPr="00D35848">
          <w:rPr>
            <w:rFonts w:ascii="Times New Roman" w:hAnsi="Times New Roman" w:cs="Times New Roman"/>
            <w:noProof/>
            <w:webHidden/>
            <w:sz w:val="24"/>
            <w:szCs w:val="24"/>
            <w:rtl/>
          </w:rPr>
          <w:fldChar w:fldCharType="begin"/>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Pr>
          <w:instrText>PAGEREF</w:instrText>
        </w:r>
        <w:r w:rsidR="00D35848" w:rsidRPr="00D35848">
          <w:rPr>
            <w:rFonts w:ascii="Times New Roman" w:hAnsi="Times New Roman" w:cs="Times New Roman"/>
            <w:noProof/>
            <w:webHidden/>
            <w:sz w:val="24"/>
            <w:szCs w:val="24"/>
            <w:rtl/>
          </w:rPr>
          <w:instrText xml:space="preserve"> _</w:instrText>
        </w:r>
        <w:r w:rsidR="00D35848" w:rsidRPr="00D35848">
          <w:rPr>
            <w:rFonts w:ascii="Times New Roman" w:hAnsi="Times New Roman" w:cs="Times New Roman"/>
            <w:noProof/>
            <w:webHidden/>
            <w:sz w:val="24"/>
            <w:szCs w:val="24"/>
          </w:rPr>
          <w:instrText>Toc232260636 \h</w:instrText>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tl/>
          </w:rPr>
        </w:r>
        <w:r w:rsidR="00D35848" w:rsidRPr="00D35848">
          <w:rPr>
            <w:rFonts w:ascii="Times New Roman" w:hAnsi="Times New Roman" w:cs="Times New Roman"/>
            <w:noProof/>
            <w:webHidden/>
            <w:sz w:val="24"/>
            <w:szCs w:val="24"/>
            <w:rtl/>
          </w:rPr>
          <w:fldChar w:fldCharType="separate"/>
        </w:r>
        <w:r w:rsidR="00D35848" w:rsidRPr="00D35848">
          <w:rPr>
            <w:rFonts w:ascii="Times New Roman" w:hAnsi="Times New Roman" w:cs="Times New Roman"/>
            <w:noProof/>
            <w:webHidden/>
            <w:sz w:val="24"/>
            <w:szCs w:val="24"/>
            <w:rtl/>
          </w:rPr>
          <w:t>15</w:t>
        </w:r>
        <w:r w:rsidR="00D35848" w:rsidRPr="00D35848">
          <w:rPr>
            <w:rFonts w:ascii="Times New Roman" w:hAnsi="Times New Roman" w:cs="Times New Roman"/>
            <w:noProof/>
            <w:webHidden/>
            <w:sz w:val="24"/>
            <w:szCs w:val="24"/>
            <w:rtl/>
          </w:rPr>
          <w:fldChar w:fldCharType="end"/>
        </w:r>
      </w:hyperlink>
    </w:p>
    <w:p w14:paraId="6F0D72FA" w14:textId="1D37A431" w:rsidR="00D35848" w:rsidRPr="00D35848" w:rsidRDefault="001552B0" w:rsidP="00D35848">
      <w:pPr>
        <w:pStyle w:val="TOC2"/>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7"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Fonts w:ascii="Times New Roman" w:hAnsi="Times New Roman" w:cs="Times New Roman"/>
            <w:noProof/>
            <w:webHidden/>
            <w:sz w:val="24"/>
            <w:szCs w:val="24"/>
            <w:rtl/>
          </w:rPr>
          <w:t xml:space="preserve"> </w:t>
        </w:r>
      </w:hyperlink>
      <w:hyperlink w:anchor="_Toc232260638" w:history="1">
        <w:r w:rsidR="00D35848" w:rsidRPr="00D35848">
          <w:rPr>
            <w:rStyle w:val="Hyperlink"/>
            <w:rFonts w:ascii="Times New Roman" w:eastAsia="Arial Unicode MS" w:hAnsi="Times New Roman" w:cs="Times New Roman"/>
            <w:noProof/>
            <w:sz w:val="24"/>
            <w:szCs w:val="24"/>
            <w:u w:val="none"/>
            <w:rtl/>
            <w:lang w:val="ar-SA"/>
          </w:rPr>
          <w:t>أهمية أهداف وحقوق وأنواع الملكية الفكرية</w:t>
        </w:r>
        <w:r w:rsidR="00D35848" w:rsidRPr="00D35848">
          <w:rPr>
            <w:rFonts w:ascii="Times New Roman" w:hAnsi="Times New Roman" w:cs="Times New Roman"/>
            <w:noProof/>
            <w:webHidden/>
            <w:sz w:val="24"/>
            <w:szCs w:val="24"/>
            <w:rtl/>
          </w:rPr>
          <w:tab/>
        </w:r>
        <w:r w:rsidR="00D35848" w:rsidRPr="00D35848">
          <w:rPr>
            <w:rFonts w:ascii="Times New Roman" w:hAnsi="Times New Roman" w:cs="Times New Roman"/>
            <w:noProof/>
            <w:webHidden/>
            <w:sz w:val="24"/>
            <w:szCs w:val="24"/>
            <w:rtl/>
          </w:rPr>
          <w:fldChar w:fldCharType="begin"/>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Pr>
          <w:instrText>PAGEREF</w:instrText>
        </w:r>
        <w:r w:rsidR="00D35848" w:rsidRPr="00D35848">
          <w:rPr>
            <w:rFonts w:ascii="Times New Roman" w:hAnsi="Times New Roman" w:cs="Times New Roman"/>
            <w:noProof/>
            <w:webHidden/>
            <w:sz w:val="24"/>
            <w:szCs w:val="24"/>
            <w:rtl/>
          </w:rPr>
          <w:instrText xml:space="preserve"> _</w:instrText>
        </w:r>
        <w:r w:rsidR="00D35848" w:rsidRPr="00D35848">
          <w:rPr>
            <w:rFonts w:ascii="Times New Roman" w:hAnsi="Times New Roman" w:cs="Times New Roman"/>
            <w:noProof/>
            <w:webHidden/>
            <w:sz w:val="24"/>
            <w:szCs w:val="24"/>
          </w:rPr>
          <w:instrText>Toc232260638 \h</w:instrText>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tl/>
          </w:rPr>
        </w:r>
        <w:r w:rsidR="00D35848" w:rsidRPr="00D35848">
          <w:rPr>
            <w:rFonts w:ascii="Times New Roman" w:hAnsi="Times New Roman" w:cs="Times New Roman"/>
            <w:noProof/>
            <w:webHidden/>
            <w:sz w:val="24"/>
            <w:szCs w:val="24"/>
            <w:rtl/>
          </w:rPr>
          <w:fldChar w:fldCharType="separate"/>
        </w:r>
        <w:r w:rsidR="00D35848" w:rsidRPr="00D35848">
          <w:rPr>
            <w:rFonts w:ascii="Times New Roman" w:hAnsi="Times New Roman" w:cs="Times New Roman"/>
            <w:noProof/>
            <w:webHidden/>
            <w:sz w:val="24"/>
            <w:szCs w:val="24"/>
            <w:rtl/>
          </w:rPr>
          <w:t>19</w:t>
        </w:r>
        <w:r w:rsidR="00D35848" w:rsidRPr="00D35848">
          <w:rPr>
            <w:rFonts w:ascii="Times New Roman" w:hAnsi="Times New Roman" w:cs="Times New Roman"/>
            <w:noProof/>
            <w:webHidden/>
            <w:sz w:val="24"/>
            <w:szCs w:val="24"/>
            <w:rtl/>
          </w:rPr>
          <w:fldChar w:fldCharType="end"/>
        </w:r>
      </w:hyperlink>
    </w:p>
    <w:p w14:paraId="2461308D" w14:textId="1A3F2778" w:rsidR="00D35848" w:rsidRPr="00D35848" w:rsidRDefault="001552B0" w:rsidP="00D35848">
      <w:pPr>
        <w:pStyle w:val="TOC2"/>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9" w:history="1">
        <w:r w:rsidR="00D35848" w:rsidRPr="00D35848">
          <w:rPr>
            <w:rStyle w:val="Hyperlink"/>
            <w:rFonts w:ascii="Times New Roman" w:eastAsia="Arial Unicode MS" w:hAnsi="Times New Roman" w:cs="Times New Roman"/>
            <w:noProof/>
            <w:sz w:val="24"/>
            <w:szCs w:val="24"/>
            <w:u w:val="none"/>
            <w:rtl/>
            <w:lang w:val="ar-SA"/>
          </w:rPr>
          <w:t>الفرع الأول</w:t>
        </w:r>
        <w:r w:rsidR="00D35848" w:rsidRPr="00D35848">
          <w:rPr>
            <w:rFonts w:ascii="Times New Roman" w:hAnsi="Times New Roman" w:cs="Times New Roman"/>
            <w:noProof/>
            <w:webHidden/>
            <w:sz w:val="24"/>
            <w:szCs w:val="24"/>
            <w:rtl/>
          </w:rPr>
          <w:t xml:space="preserve"> </w:t>
        </w:r>
      </w:hyperlink>
      <w:hyperlink w:anchor="_Toc232260640" w:history="1">
        <w:r w:rsidR="00D35848" w:rsidRPr="00D35848">
          <w:rPr>
            <w:rStyle w:val="Hyperlink"/>
            <w:rFonts w:ascii="Times New Roman" w:eastAsia="Arial Unicode MS" w:hAnsi="Times New Roman" w:cs="Times New Roman"/>
            <w:noProof/>
            <w:sz w:val="24"/>
            <w:szCs w:val="24"/>
            <w:u w:val="none"/>
            <w:rtl/>
            <w:lang w:val="ar-SA"/>
          </w:rPr>
          <w:t>أهمية وأهداف حقوق الملكية الفكرية</w:t>
        </w:r>
        <w:r w:rsidR="00D35848" w:rsidRPr="00D35848">
          <w:rPr>
            <w:rFonts w:ascii="Times New Roman" w:hAnsi="Times New Roman" w:cs="Times New Roman"/>
            <w:noProof/>
            <w:webHidden/>
            <w:sz w:val="24"/>
            <w:szCs w:val="24"/>
            <w:rtl/>
          </w:rPr>
          <w:tab/>
        </w:r>
        <w:r w:rsidR="00D35848" w:rsidRPr="00D35848">
          <w:rPr>
            <w:rFonts w:ascii="Times New Roman" w:hAnsi="Times New Roman" w:cs="Times New Roman"/>
            <w:noProof/>
            <w:webHidden/>
            <w:sz w:val="24"/>
            <w:szCs w:val="24"/>
            <w:rtl/>
          </w:rPr>
          <w:fldChar w:fldCharType="begin"/>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Pr>
          <w:instrText>PAGEREF</w:instrText>
        </w:r>
        <w:r w:rsidR="00D35848" w:rsidRPr="00D35848">
          <w:rPr>
            <w:rFonts w:ascii="Times New Roman" w:hAnsi="Times New Roman" w:cs="Times New Roman"/>
            <w:noProof/>
            <w:webHidden/>
            <w:sz w:val="24"/>
            <w:szCs w:val="24"/>
            <w:rtl/>
          </w:rPr>
          <w:instrText xml:space="preserve"> _</w:instrText>
        </w:r>
        <w:r w:rsidR="00D35848" w:rsidRPr="00D35848">
          <w:rPr>
            <w:rFonts w:ascii="Times New Roman" w:hAnsi="Times New Roman" w:cs="Times New Roman"/>
            <w:noProof/>
            <w:webHidden/>
            <w:sz w:val="24"/>
            <w:szCs w:val="24"/>
          </w:rPr>
          <w:instrText>Toc232260640 \h</w:instrText>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tl/>
          </w:rPr>
        </w:r>
        <w:r w:rsidR="00D35848" w:rsidRPr="00D35848">
          <w:rPr>
            <w:rFonts w:ascii="Times New Roman" w:hAnsi="Times New Roman" w:cs="Times New Roman"/>
            <w:noProof/>
            <w:webHidden/>
            <w:sz w:val="24"/>
            <w:szCs w:val="24"/>
            <w:rtl/>
          </w:rPr>
          <w:fldChar w:fldCharType="separate"/>
        </w:r>
        <w:r w:rsidR="00D35848" w:rsidRPr="00D35848">
          <w:rPr>
            <w:rFonts w:ascii="Times New Roman" w:hAnsi="Times New Roman" w:cs="Times New Roman"/>
            <w:noProof/>
            <w:webHidden/>
            <w:sz w:val="24"/>
            <w:szCs w:val="24"/>
            <w:rtl/>
          </w:rPr>
          <w:t>20</w:t>
        </w:r>
        <w:r w:rsidR="00D35848" w:rsidRPr="00D35848">
          <w:rPr>
            <w:rFonts w:ascii="Times New Roman" w:hAnsi="Times New Roman" w:cs="Times New Roman"/>
            <w:noProof/>
            <w:webHidden/>
            <w:sz w:val="24"/>
            <w:szCs w:val="24"/>
            <w:rtl/>
          </w:rPr>
          <w:fldChar w:fldCharType="end"/>
        </w:r>
      </w:hyperlink>
    </w:p>
    <w:p w14:paraId="1E01492F" w14:textId="08E392DC" w:rsidR="00D35848" w:rsidRPr="00D35848" w:rsidRDefault="001552B0" w:rsidP="00D35848">
      <w:pPr>
        <w:pStyle w:val="TOC2"/>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41" w:history="1">
        <w:r w:rsidR="00D35848" w:rsidRPr="00D35848">
          <w:rPr>
            <w:rStyle w:val="Hyperlink"/>
            <w:rFonts w:ascii="Times New Roman" w:eastAsia="Arial Unicode MS" w:hAnsi="Times New Roman" w:cs="Times New Roman"/>
            <w:noProof/>
            <w:sz w:val="24"/>
            <w:szCs w:val="24"/>
            <w:u w:val="none"/>
            <w:rtl/>
            <w:lang w:val="ar-SA"/>
          </w:rPr>
          <w:t>الفرع الثاني</w:t>
        </w:r>
        <w:r w:rsidR="00D35848" w:rsidRPr="00D35848">
          <w:rPr>
            <w:rFonts w:ascii="Times New Roman" w:hAnsi="Times New Roman" w:cs="Times New Roman"/>
            <w:noProof/>
            <w:webHidden/>
            <w:sz w:val="24"/>
            <w:szCs w:val="24"/>
            <w:rtl/>
          </w:rPr>
          <w:t xml:space="preserve"> </w:t>
        </w:r>
      </w:hyperlink>
      <w:hyperlink w:anchor="_Toc232260642" w:history="1">
        <w:r w:rsidR="00D35848" w:rsidRPr="00D35848">
          <w:rPr>
            <w:rStyle w:val="Hyperlink"/>
            <w:rFonts w:ascii="Times New Roman" w:eastAsia="Arial Unicode MS" w:hAnsi="Times New Roman" w:cs="Times New Roman"/>
            <w:noProof/>
            <w:sz w:val="24"/>
            <w:szCs w:val="24"/>
            <w:u w:val="none"/>
            <w:rtl/>
            <w:lang w:val="ar-SA"/>
          </w:rPr>
          <w:t>أنواع حقوق الملكية الفكرية</w:t>
        </w:r>
        <w:r w:rsidR="00D35848" w:rsidRPr="00D35848">
          <w:rPr>
            <w:rFonts w:ascii="Times New Roman" w:hAnsi="Times New Roman" w:cs="Times New Roman"/>
            <w:noProof/>
            <w:webHidden/>
            <w:sz w:val="24"/>
            <w:szCs w:val="24"/>
            <w:rtl/>
          </w:rPr>
          <w:tab/>
        </w:r>
        <w:r w:rsidR="00D35848" w:rsidRPr="00D35848">
          <w:rPr>
            <w:rFonts w:ascii="Times New Roman" w:hAnsi="Times New Roman" w:cs="Times New Roman"/>
            <w:noProof/>
            <w:webHidden/>
            <w:sz w:val="24"/>
            <w:szCs w:val="24"/>
            <w:rtl/>
          </w:rPr>
          <w:fldChar w:fldCharType="begin"/>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Pr>
          <w:instrText>PAGEREF</w:instrText>
        </w:r>
        <w:r w:rsidR="00D35848" w:rsidRPr="00D35848">
          <w:rPr>
            <w:rFonts w:ascii="Times New Roman" w:hAnsi="Times New Roman" w:cs="Times New Roman"/>
            <w:noProof/>
            <w:webHidden/>
            <w:sz w:val="24"/>
            <w:szCs w:val="24"/>
            <w:rtl/>
          </w:rPr>
          <w:instrText xml:space="preserve"> _</w:instrText>
        </w:r>
        <w:r w:rsidR="00D35848" w:rsidRPr="00D35848">
          <w:rPr>
            <w:rFonts w:ascii="Times New Roman" w:hAnsi="Times New Roman" w:cs="Times New Roman"/>
            <w:noProof/>
            <w:webHidden/>
            <w:sz w:val="24"/>
            <w:szCs w:val="24"/>
          </w:rPr>
          <w:instrText>Toc232260642 \h</w:instrText>
        </w:r>
        <w:r w:rsidR="00D35848" w:rsidRPr="00D35848">
          <w:rPr>
            <w:rFonts w:ascii="Times New Roman" w:hAnsi="Times New Roman" w:cs="Times New Roman"/>
            <w:noProof/>
            <w:webHidden/>
            <w:sz w:val="24"/>
            <w:szCs w:val="24"/>
            <w:rtl/>
          </w:rPr>
          <w:instrText xml:space="preserve"> </w:instrText>
        </w:r>
        <w:r w:rsidR="00D35848" w:rsidRPr="00D35848">
          <w:rPr>
            <w:rFonts w:ascii="Times New Roman" w:hAnsi="Times New Roman" w:cs="Times New Roman"/>
            <w:noProof/>
            <w:webHidden/>
            <w:sz w:val="24"/>
            <w:szCs w:val="24"/>
            <w:rtl/>
          </w:rPr>
        </w:r>
        <w:r w:rsidR="00D35848" w:rsidRPr="00D35848">
          <w:rPr>
            <w:rFonts w:ascii="Times New Roman" w:hAnsi="Times New Roman" w:cs="Times New Roman"/>
            <w:noProof/>
            <w:webHidden/>
            <w:sz w:val="24"/>
            <w:szCs w:val="24"/>
            <w:rtl/>
          </w:rPr>
          <w:fldChar w:fldCharType="separate"/>
        </w:r>
        <w:r w:rsidR="00D35848" w:rsidRPr="00D35848">
          <w:rPr>
            <w:rFonts w:ascii="Times New Roman" w:hAnsi="Times New Roman" w:cs="Times New Roman"/>
            <w:noProof/>
            <w:webHidden/>
            <w:sz w:val="24"/>
            <w:szCs w:val="24"/>
            <w:rtl/>
          </w:rPr>
          <w:t>24</w:t>
        </w:r>
        <w:r w:rsidR="00D35848" w:rsidRPr="00D35848">
          <w:rPr>
            <w:rFonts w:ascii="Times New Roman" w:hAnsi="Times New Roman" w:cs="Times New Roman"/>
            <w:noProof/>
            <w:webHidden/>
            <w:sz w:val="24"/>
            <w:szCs w:val="24"/>
            <w:rtl/>
          </w:rPr>
          <w:fldChar w:fldCharType="end"/>
        </w:r>
      </w:hyperlink>
    </w:p>
    <w:p w14:paraId="58F9036D" w14:textId="2D3F8EE4"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43" w:history="1">
        <w:r w:rsidR="00D35848" w:rsidRPr="00D35848">
          <w:rPr>
            <w:rStyle w:val="Hyperlink"/>
            <w:rFonts w:ascii="Times New Roman" w:eastAsia="Arial Unicode MS" w:hAnsi="Times New Roman" w:cs="Times New Roman"/>
            <w:b/>
            <w:bCs/>
            <w:noProof/>
            <w:sz w:val="24"/>
            <w:szCs w:val="24"/>
            <w:u w:val="none"/>
            <w:rtl/>
            <w:lang w:val="ar-SA"/>
          </w:rPr>
          <w:t>المبحث الثاني</w:t>
        </w:r>
        <w:r w:rsidR="00D35848" w:rsidRPr="00D35848">
          <w:rPr>
            <w:rFonts w:ascii="Times New Roman" w:hAnsi="Times New Roman" w:cs="Times New Roman"/>
            <w:b/>
            <w:bCs/>
            <w:noProof/>
            <w:webHidden/>
            <w:sz w:val="24"/>
            <w:szCs w:val="24"/>
            <w:rtl/>
          </w:rPr>
          <w:t xml:space="preserve"> </w:t>
        </w:r>
      </w:hyperlink>
      <w:hyperlink w:anchor="_Toc232260644" w:history="1">
        <w:r w:rsidR="00D35848" w:rsidRPr="00D35848">
          <w:rPr>
            <w:rStyle w:val="Hyperlink"/>
            <w:rFonts w:ascii="Times New Roman" w:eastAsia="Arial Unicode MS" w:hAnsi="Times New Roman" w:cs="Times New Roman"/>
            <w:b/>
            <w:bCs/>
            <w:noProof/>
            <w:sz w:val="24"/>
            <w:szCs w:val="24"/>
            <w:u w:val="none"/>
            <w:rtl/>
            <w:lang w:val="ar-SA"/>
          </w:rPr>
          <w:t>نُبذة تاريخية عن نشأة حقوق الملكية الفكرية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Toc232260644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29</w:t>
        </w:r>
        <w:r w:rsidR="00D35848" w:rsidRPr="00D35848">
          <w:rPr>
            <w:rFonts w:ascii="Times New Roman" w:hAnsi="Times New Roman" w:cs="Times New Roman"/>
            <w:b/>
            <w:bCs/>
            <w:noProof/>
            <w:webHidden/>
            <w:sz w:val="24"/>
            <w:szCs w:val="24"/>
            <w:rtl/>
          </w:rPr>
          <w:fldChar w:fldCharType="end"/>
        </w:r>
      </w:hyperlink>
    </w:p>
    <w:p w14:paraId="3CF85F7E" w14:textId="6D8EDDB1" w:rsidR="00D35848" w:rsidRPr="00D35848" w:rsidRDefault="001552B0" w:rsidP="00D35848">
      <w:pPr>
        <w:pStyle w:val="TOC2"/>
        <w:ind w:left="284"/>
        <w:rPr>
          <w:rStyle w:val="Hyperlink"/>
          <w:rFonts w:eastAsia="Arial Unicode MS"/>
          <w:u w:val="none"/>
          <w:rtl/>
          <w:lang w:val="ar-SA"/>
        </w:rPr>
      </w:pPr>
      <w:hyperlink w:anchor="_Toc232260645"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646" w:history="1">
        <w:r w:rsidR="00D35848" w:rsidRPr="00D35848">
          <w:rPr>
            <w:rStyle w:val="Hyperlink"/>
            <w:rFonts w:ascii="Times New Roman" w:eastAsia="Arial Unicode MS" w:hAnsi="Times New Roman" w:cs="Times New Roman"/>
            <w:noProof/>
            <w:sz w:val="24"/>
            <w:szCs w:val="24"/>
            <w:u w:val="none"/>
            <w:rtl/>
            <w:lang w:val="ar-SA"/>
          </w:rPr>
          <w:t>نُبذة تاريخية عن نشأة حقوق الملكية الفكرية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_Toc232260646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30</w:t>
        </w:r>
        <w:r w:rsidR="00D35848" w:rsidRPr="00D35848">
          <w:rPr>
            <w:rStyle w:val="Hyperlink"/>
            <w:rFonts w:eastAsia="Arial Unicode MS"/>
            <w:webHidden/>
            <w:u w:val="none"/>
            <w:rtl/>
            <w:lang w:val="ar-SA"/>
          </w:rPr>
          <w:fldChar w:fldCharType="end"/>
        </w:r>
      </w:hyperlink>
    </w:p>
    <w:p w14:paraId="49D21BDD" w14:textId="45D5B555" w:rsidR="00D35848" w:rsidRPr="00D35848" w:rsidRDefault="001552B0" w:rsidP="00D35848">
      <w:pPr>
        <w:pStyle w:val="TOC2"/>
        <w:ind w:left="284"/>
        <w:rPr>
          <w:rStyle w:val="Hyperlink"/>
          <w:rFonts w:eastAsia="Arial Unicode MS"/>
          <w:u w:val="none"/>
          <w:rtl/>
          <w:lang w:val="ar-SA"/>
        </w:rPr>
      </w:pPr>
      <w:hyperlink w:anchor="_Toc232260647" w:history="1">
        <w:r w:rsidR="00D35848" w:rsidRPr="00D35848">
          <w:rPr>
            <w:rStyle w:val="Hyperlink"/>
            <w:rFonts w:ascii="Times New Roman" w:eastAsia="Arial Unicode MS" w:hAnsi="Times New Roman" w:cs="Times New Roman"/>
            <w:noProof/>
            <w:sz w:val="24"/>
            <w:szCs w:val="24"/>
            <w:u w:val="none"/>
            <w:rtl/>
            <w:lang w:val="ar-SA"/>
          </w:rPr>
          <w:t>الفرع الأول</w:t>
        </w:r>
        <w:r w:rsidR="00D35848" w:rsidRPr="00D35848">
          <w:rPr>
            <w:rStyle w:val="Hyperlink"/>
            <w:rFonts w:eastAsia="Arial Unicode MS"/>
            <w:webHidden/>
            <w:u w:val="none"/>
            <w:rtl/>
            <w:lang w:val="ar-SA"/>
          </w:rPr>
          <w:t xml:space="preserve"> </w:t>
        </w:r>
      </w:hyperlink>
      <w:hyperlink w:anchor="_Toc232260648" w:history="1">
        <w:r w:rsidR="00D35848" w:rsidRPr="00D35848">
          <w:rPr>
            <w:rStyle w:val="Hyperlink"/>
            <w:rFonts w:ascii="Times New Roman" w:eastAsia="Arial Unicode MS" w:hAnsi="Times New Roman" w:cs="Times New Roman"/>
            <w:noProof/>
            <w:sz w:val="24"/>
            <w:szCs w:val="24"/>
            <w:u w:val="none"/>
            <w:rtl/>
            <w:lang w:val="ar-SA"/>
          </w:rPr>
          <w:t>تاريخ تطوُّر الملكية الفكرية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_Toc232260648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31</w:t>
        </w:r>
        <w:r w:rsidR="00D35848" w:rsidRPr="00D35848">
          <w:rPr>
            <w:rStyle w:val="Hyperlink"/>
            <w:rFonts w:eastAsia="Arial Unicode MS"/>
            <w:webHidden/>
            <w:u w:val="none"/>
            <w:rtl/>
            <w:lang w:val="ar-SA"/>
          </w:rPr>
          <w:fldChar w:fldCharType="end"/>
        </w:r>
      </w:hyperlink>
    </w:p>
    <w:p w14:paraId="04530122" w14:textId="3BDED84C" w:rsidR="00D35848" w:rsidRPr="00D35848" w:rsidRDefault="001552B0" w:rsidP="00D35848">
      <w:pPr>
        <w:pStyle w:val="TOC2"/>
        <w:ind w:left="284"/>
        <w:rPr>
          <w:rStyle w:val="Hyperlink"/>
          <w:rFonts w:eastAsia="Arial Unicode MS"/>
          <w:u w:val="none"/>
          <w:rtl/>
          <w:lang w:val="ar-SA"/>
        </w:rPr>
      </w:pPr>
      <w:hyperlink w:anchor="_Toc232260649" w:history="1">
        <w:r w:rsidR="00D35848" w:rsidRPr="00D35848">
          <w:rPr>
            <w:rStyle w:val="Hyperlink"/>
            <w:rFonts w:ascii="Times New Roman" w:eastAsia="Arial Unicode MS" w:hAnsi="Times New Roman" w:cs="Times New Roman"/>
            <w:noProof/>
            <w:sz w:val="24"/>
            <w:szCs w:val="24"/>
            <w:u w:val="none"/>
            <w:rtl/>
            <w:lang w:val="ar-SA"/>
          </w:rPr>
          <w:t>الفرع الثاني</w:t>
        </w:r>
        <w:r w:rsidR="00D35848" w:rsidRPr="00D35848">
          <w:rPr>
            <w:rStyle w:val="Hyperlink"/>
            <w:rFonts w:eastAsia="Arial Unicode MS"/>
            <w:webHidden/>
            <w:u w:val="none"/>
            <w:rtl/>
            <w:lang w:val="ar-SA"/>
          </w:rPr>
          <w:t xml:space="preserve"> </w:t>
        </w:r>
      </w:hyperlink>
      <w:hyperlink w:anchor="_Toc232260650" w:history="1">
        <w:r w:rsidR="00D35848" w:rsidRPr="00D35848">
          <w:rPr>
            <w:rStyle w:val="Hyperlink"/>
            <w:rFonts w:ascii="Times New Roman" w:eastAsia="Arial Unicode MS" w:hAnsi="Times New Roman" w:cs="Times New Roman"/>
            <w:noProof/>
            <w:sz w:val="24"/>
            <w:szCs w:val="24"/>
            <w:u w:val="none"/>
            <w:rtl/>
            <w:lang w:val="ar-SA"/>
          </w:rPr>
          <w:t>نشأة حقوق المؤلف في الدول العربية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_Toc232260650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35</w:t>
        </w:r>
        <w:r w:rsidR="00D35848" w:rsidRPr="00D35848">
          <w:rPr>
            <w:rStyle w:val="Hyperlink"/>
            <w:rFonts w:eastAsia="Arial Unicode MS"/>
            <w:webHidden/>
            <w:u w:val="none"/>
            <w:rtl/>
            <w:lang w:val="ar-SA"/>
          </w:rPr>
          <w:fldChar w:fldCharType="end"/>
        </w:r>
      </w:hyperlink>
    </w:p>
    <w:p w14:paraId="7E74F84A" w14:textId="29CE844B" w:rsidR="00D35848" w:rsidRPr="00D35848" w:rsidRDefault="001552B0" w:rsidP="00D35848">
      <w:pPr>
        <w:pStyle w:val="TOC2"/>
        <w:ind w:left="284"/>
        <w:rPr>
          <w:rStyle w:val="Hyperlink"/>
          <w:rFonts w:eastAsia="Arial Unicode MS"/>
          <w:u w:val="none"/>
          <w:rtl/>
          <w:lang w:val="ar-SA"/>
        </w:rPr>
      </w:pPr>
      <w:hyperlink w:anchor="_Toc232260651"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652" w:history="1">
        <w:r w:rsidR="00D35848" w:rsidRPr="00D35848">
          <w:rPr>
            <w:rStyle w:val="Hyperlink"/>
            <w:rFonts w:ascii="Times New Roman" w:eastAsia="Arial Unicode MS" w:hAnsi="Times New Roman" w:cs="Times New Roman"/>
            <w:noProof/>
            <w:sz w:val="24"/>
            <w:szCs w:val="24"/>
            <w:u w:val="none"/>
            <w:rtl/>
            <w:lang w:val="ar-SA"/>
          </w:rPr>
          <w:t>تطوُّر الأطر القانونية والمؤسسية لحماية حقوق الملكية الفكرية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_Toc232260652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38</w:t>
        </w:r>
        <w:r w:rsidR="00D35848" w:rsidRPr="00D35848">
          <w:rPr>
            <w:rStyle w:val="Hyperlink"/>
            <w:rFonts w:eastAsia="Arial Unicode MS"/>
            <w:webHidden/>
            <w:u w:val="none"/>
            <w:rtl/>
            <w:lang w:val="ar-SA"/>
          </w:rPr>
          <w:fldChar w:fldCharType="end"/>
        </w:r>
      </w:hyperlink>
    </w:p>
    <w:p w14:paraId="34A49FAB" w14:textId="21C67DC3" w:rsidR="00D35848" w:rsidRPr="00D35848" w:rsidRDefault="001552B0" w:rsidP="00D35848">
      <w:pPr>
        <w:pStyle w:val="TOC2"/>
        <w:ind w:left="284"/>
        <w:rPr>
          <w:rStyle w:val="Hyperlink"/>
          <w:rFonts w:eastAsia="Arial Unicode MS"/>
          <w:u w:val="none"/>
          <w:rtl/>
          <w:lang w:val="ar-SA"/>
        </w:rPr>
      </w:pPr>
      <w:hyperlink w:anchor="_Toc232260653" w:history="1">
        <w:r w:rsidR="00D35848" w:rsidRPr="00D35848">
          <w:rPr>
            <w:rStyle w:val="Hyperlink"/>
            <w:rFonts w:ascii="Times New Roman" w:eastAsia="Arial Unicode MS" w:hAnsi="Times New Roman" w:cs="Times New Roman"/>
            <w:noProof/>
            <w:sz w:val="24"/>
            <w:szCs w:val="24"/>
            <w:u w:val="none"/>
            <w:rtl/>
            <w:lang w:val="ar-SA"/>
          </w:rPr>
          <w:t>الفرع الأول</w:t>
        </w:r>
        <w:r w:rsidR="00D35848" w:rsidRPr="00D35848">
          <w:rPr>
            <w:rStyle w:val="Hyperlink"/>
            <w:rFonts w:eastAsia="Arial Unicode MS"/>
            <w:webHidden/>
            <w:u w:val="none"/>
            <w:rtl/>
            <w:lang w:val="ar-SA"/>
          </w:rPr>
          <w:t xml:space="preserve"> </w:t>
        </w:r>
      </w:hyperlink>
      <w:hyperlink w:anchor="_Toc232260654" w:history="1">
        <w:r w:rsidR="00D35848" w:rsidRPr="00D35848">
          <w:rPr>
            <w:rStyle w:val="Hyperlink"/>
            <w:rFonts w:ascii="Times New Roman" w:eastAsia="Arial Unicode MS" w:hAnsi="Times New Roman" w:cs="Times New Roman"/>
            <w:noProof/>
            <w:sz w:val="24"/>
            <w:szCs w:val="24"/>
            <w:u w:val="none"/>
            <w:rtl/>
            <w:lang w:val="ar-SA"/>
          </w:rPr>
          <w:t>تطوُّر الأطر التشريعية لحماية حقوق الملكية الفكرية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_Toc232260654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39</w:t>
        </w:r>
        <w:r w:rsidR="00D35848" w:rsidRPr="00D35848">
          <w:rPr>
            <w:rStyle w:val="Hyperlink"/>
            <w:rFonts w:eastAsia="Arial Unicode MS"/>
            <w:webHidden/>
            <w:u w:val="none"/>
            <w:rtl/>
            <w:lang w:val="ar-SA"/>
          </w:rPr>
          <w:fldChar w:fldCharType="end"/>
        </w:r>
      </w:hyperlink>
    </w:p>
    <w:p w14:paraId="2DB71BB0" w14:textId="61B35035" w:rsidR="00D35848" w:rsidRPr="00D35848" w:rsidRDefault="001552B0" w:rsidP="00D35848">
      <w:pPr>
        <w:pStyle w:val="TOC2"/>
        <w:ind w:left="284"/>
        <w:rPr>
          <w:rStyle w:val="Hyperlink"/>
          <w:rFonts w:eastAsia="Arial Unicode MS"/>
          <w:u w:val="none"/>
          <w:rtl/>
          <w:lang w:val="ar-SA"/>
        </w:rPr>
      </w:pPr>
      <w:hyperlink w:anchor="_Toc232260655" w:history="1">
        <w:r w:rsidR="00D35848" w:rsidRPr="00D35848">
          <w:rPr>
            <w:rStyle w:val="Hyperlink"/>
            <w:rFonts w:ascii="Times New Roman" w:eastAsia="Arial Unicode MS" w:hAnsi="Times New Roman" w:cs="Times New Roman"/>
            <w:noProof/>
            <w:sz w:val="24"/>
            <w:szCs w:val="24"/>
            <w:u w:val="none"/>
            <w:rtl/>
            <w:lang w:val="ar-SA"/>
          </w:rPr>
          <w:t>الفرع الثاني</w:t>
        </w:r>
        <w:r w:rsidR="00D35848" w:rsidRPr="00D35848">
          <w:rPr>
            <w:rStyle w:val="Hyperlink"/>
            <w:rFonts w:eastAsia="Arial Unicode MS"/>
            <w:webHidden/>
            <w:u w:val="none"/>
            <w:rtl/>
            <w:lang w:val="ar-SA"/>
          </w:rPr>
          <w:t xml:space="preserve"> </w:t>
        </w:r>
      </w:hyperlink>
      <w:hyperlink w:anchor="_Toc232260656" w:history="1">
        <w:r w:rsidR="00D35848" w:rsidRPr="00D35848">
          <w:rPr>
            <w:rStyle w:val="Hyperlink"/>
            <w:rFonts w:ascii="Times New Roman" w:eastAsia="Arial Unicode MS" w:hAnsi="Times New Roman" w:cs="Times New Roman"/>
            <w:noProof/>
            <w:sz w:val="24"/>
            <w:szCs w:val="24"/>
            <w:u w:val="none"/>
            <w:rtl/>
            <w:lang w:val="ar-SA"/>
          </w:rPr>
          <w:t>دور المؤسسات الوطنية والدولية في دعم الحماية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_Toc232260656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45</w:t>
        </w:r>
        <w:r w:rsidR="00D35848" w:rsidRPr="00D35848">
          <w:rPr>
            <w:rStyle w:val="Hyperlink"/>
            <w:rFonts w:eastAsia="Arial Unicode MS"/>
            <w:webHidden/>
            <w:u w:val="none"/>
            <w:rtl/>
            <w:lang w:val="ar-SA"/>
          </w:rPr>
          <w:fldChar w:fldCharType="end"/>
        </w:r>
      </w:hyperlink>
    </w:p>
    <w:p w14:paraId="00D90B65" w14:textId="40B6ED48"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57" w:history="1">
        <w:r w:rsidR="00D35848" w:rsidRPr="00D35848">
          <w:rPr>
            <w:rStyle w:val="Hyperlink"/>
            <w:rFonts w:ascii="Times New Roman" w:eastAsia="Arial Unicode MS" w:hAnsi="Times New Roman" w:cs="Times New Roman"/>
            <w:b/>
            <w:bCs/>
            <w:noProof/>
            <w:sz w:val="24"/>
            <w:szCs w:val="24"/>
            <w:u w:val="none"/>
            <w:rtl/>
            <w:lang w:val="ar-SA"/>
          </w:rPr>
          <w:t>الفصل الأول</w:t>
        </w:r>
        <w:r w:rsidR="00D35848" w:rsidRPr="00D35848">
          <w:rPr>
            <w:rFonts w:ascii="Times New Roman" w:hAnsi="Times New Roman" w:cs="Times New Roman"/>
            <w:b/>
            <w:bCs/>
            <w:noProof/>
            <w:webHidden/>
            <w:sz w:val="24"/>
            <w:szCs w:val="24"/>
            <w:rtl/>
          </w:rPr>
          <w:t xml:space="preserve"> </w:t>
        </w:r>
      </w:hyperlink>
      <w:hyperlink w:anchor="_Toc232260658" w:history="1">
        <w:r w:rsidR="00D35848" w:rsidRPr="00D35848">
          <w:rPr>
            <w:rStyle w:val="Hyperlink"/>
            <w:rFonts w:ascii="Times New Roman" w:eastAsia="Arial Unicode MS" w:hAnsi="Times New Roman" w:cs="Times New Roman"/>
            <w:b/>
            <w:bCs/>
            <w:noProof/>
            <w:sz w:val="24"/>
            <w:szCs w:val="24"/>
            <w:u w:val="none"/>
            <w:rtl/>
            <w:lang w:val="ar-SA"/>
          </w:rPr>
          <w:t>التعريف بالبيئة الرقمية وخصائصها</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Toc232260658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48</w:t>
        </w:r>
        <w:r w:rsidR="00D35848" w:rsidRPr="00D35848">
          <w:rPr>
            <w:rFonts w:ascii="Times New Roman" w:hAnsi="Times New Roman" w:cs="Times New Roman"/>
            <w:b/>
            <w:bCs/>
            <w:noProof/>
            <w:webHidden/>
            <w:sz w:val="24"/>
            <w:szCs w:val="24"/>
            <w:rtl/>
          </w:rPr>
          <w:fldChar w:fldCharType="end"/>
        </w:r>
      </w:hyperlink>
    </w:p>
    <w:p w14:paraId="3303BE38" w14:textId="3EFFC83B"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59" w:history="1">
        <w:r w:rsidR="00D35848" w:rsidRPr="00D35848">
          <w:rPr>
            <w:rStyle w:val="Hyperlink"/>
            <w:rFonts w:ascii="Times New Roman" w:eastAsia="Arial Unicode MS" w:hAnsi="Times New Roman" w:cs="Times New Roman"/>
            <w:b/>
            <w:bCs/>
            <w:noProof/>
            <w:sz w:val="24"/>
            <w:szCs w:val="24"/>
            <w:u w:val="none"/>
            <w:rtl/>
            <w:lang w:val="ar-SA"/>
          </w:rPr>
          <w:t>المبحث الأول</w:t>
        </w:r>
        <w:r w:rsidR="00D35848" w:rsidRPr="00D35848">
          <w:rPr>
            <w:rFonts w:ascii="Times New Roman" w:hAnsi="Times New Roman" w:cs="Times New Roman"/>
            <w:b/>
            <w:bCs/>
            <w:noProof/>
            <w:webHidden/>
            <w:sz w:val="24"/>
            <w:szCs w:val="24"/>
            <w:rtl/>
          </w:rPr>
          <w:t xml:space="preserve"> </w:t>
        </w:r>
      </w:hyperlink>
      <w:hyperlink w:anchor="_Toc232260660" w:history="1">
        <w:r w:rsidR="00D35848" w:rsidRPr="00D35848">
          <w:rPr>
            <w:rStyle w:val="Hyperlink"/>
            <w:rFonts w:ascii="Times New Roman" w:eastAsia="Arial Unicode MS" w:hAnsi="Times New Roman" w:cs="Times New Roman"/>
            <w:b/>
            <w:bCs/>
            <w:noProof/>
            <w:sz w:val="24"/>
            <w:szCs w:val="24"/>
            <w:u w:val="none"/>
            <w:rtl/>
            <w:lang w:val="ar-SA"/>
          </w:rPr>
          <w:t>البيئة الرقمية ومكوناتها</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Toc232260660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49</w:t>
        </w:r>
        <w:r w:rsidR="00D35848" w:rsidRPr="00D35848">
          <w:rPr>
            <w:rFonts w:ascii="Times New Roman" w:hAnsi="Times New Roman" w:cs="Times New Roman"/>
            <w:b/>
            <w:bCs/>
            <w:noProof/>
            <w:webHidden/>
            <w:sz w:val="24"/>
            <w:szCs w:val="24"/>
            <w:rtl/>
          </w:rPr>
          <w:fldChar w:fldCharType="end"/>
        </w:r>
      </w:hyperlink>
    </w:p>
    <w:p w14:paraId="27D5F31F" w14:textId="6C1987F0" w:rsidR="00D35848" w:rsidRPr="00D35848" w:rsidRDefault="001552B0" w:rsidP="00D35848">
      <w:pPr>
        <w:pStyle w:val="TOC2"/>
        <w:ind w:left="284"/>
        <w:rPr>
          <w:rStyle w:val="Hyperlink"/>
          <w:rFonts w:eastAsia="Arial Unicode MS"/>
          <w:u w:val="none"/>
          <w:rtl/>
          <w:lang w:val="ar-SA"/>
        </w:rPr>
      </w:pPr>
      <w:hyperlink w:anchor="_Toc232260661"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662" w:history="1">
        <w:r w:rsidR="00D35848" w:rsidRPr="00D35848">
          <w:rPr>
            <w:rStyle w:val="Hyperlink"/>
            <w:rFonts w:ascii="Times New Roman" w:eastAsia="Arial Unicode MS" w:hAnsi="Times New Roman" w:cs="Times New Roman"/>
            <w:noProof/>
            <w:sz w:val="24"/>
            <w:szCs w:val="24"/>
            <w:u w:val="none"/>
            <w:rtl/>
            <w:lang w:val="ar-SA"/>
          </w:rPr>
          <w:t>مفهوم البيئة الرقمية وأبرز خصائصها</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_Toc232260662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50</w:t>
        </w:r>
        <w:r w:rsidR="00D35848" w:rsidRPr="00D35848">
          <w:rPr>
            <w:rStyle w:val="Hyperlink"/>
            <w:rFonts w:eastAsia="Arial Unicode MS"/>
            <w:webHidden/>
            <w:u w:val="none"/>
            <w:rtl/>
            <w:lang w:val="ar-SA"/>
          </w:rPr>
          <w:fldChar w:fldCharType="end"/>
        </w:r>
      </w:hyperlink>
    </w:p>
    <w:p w14:paraId="0DCD418B" w14:textId="14B2C2D0" w:rsidR="00D35848" w:rsidRPr="00D35848" w:rsidRDefault="001552B0" w:rsidP="00D35848">
      <w:pPr>
        <w:pStyle w:val="TOC2"/>
        <w:ind w:left="284"/>
        <w:rPr>
          <w:rStyle w:val="Hyperlink"/>
          <w:rFonts w:eastAsia="Arial Unicode MS"/>
          <w:u w:val="none"/>
          <w:rtl/>
          <w:lang w:val="ar-SA"/>
        </w:rPr>
      </w:pPr>
      <w:hyperlink w:anchor="_Toc232260663"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664" w:history="1">
        <w:r w:rsidR="00D35848" w:rsidRPr="00D35848">
          <w:rPr>
            <w:rStyle w:val="Hyperlink"/>
            <w:rFonts w:ascii="Times New Roman" w:eastAsia="Arial Unicode MS" w:hAnsi="Times New Roman" w:cs="Times New Roman"/>
            <w:noProof/>
            <w:sz w:val="24"/>
            <w:szCs w:val="24"/>
            <w:u w:val="none"/>
            <w:rtl/>
            <w:lang w:val="ar-SA"/>
          </w:rPr>
          <w:t>أثر البيئة الرقمية على تطوُّر الملكية الفكرية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_Toc232260664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61</w:t>
        </w:r>
        <w:r w:rsidR="00D35848" w:rsidRPr="00D35848">
          <w:rPr>
            <w:rStyle w:val="Hyperlink"/>
            <w:rFonts w:eastAsia="Arial Unicode MS"/>
            <w:webHidden/>
            <w:u w:val="none"/>
            <w:rtl/>
            <w:lang w:val="ar-SA"/>
          </w:rPr>
          <w:fldChar w:fldCharType="end"/>
        </w:r>
      </w:hyperlink>
    </w:p>
    <w:p w14:paraId="50CB3C64" w14:textId="67419F73"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65" w:history="1">
        <w:r w:rsidR="00D35848" w:rsidRPr="00D35848">
          <w:rPr>
            <w:rStyle w:val="Hyperlink"/>
            <w:rFonts w:ascii="Times New Roman" w:eastAsia="Arial Unicode MS" w:hAnsi="Times New Roman" w:cs="Times New Roman"/>
            <w:b/>
            <w:bCs/>
            <w:noProof/>
            <w:sz w:val="24"/>
            <w:szCs w:val="24"/>
            <w:u w:val="none"/>
            <w:rtl/>
            <w:lang w:val="ar-SA"/>
          </w:rPr>
          <w:t>المبحث الثاني</w:t>
        </w:r>
        <w:r w:rsidR="00D35848" w:rsidRPr="00D35848">
          <w:rPr>
            <w:rFonts w:ascii="Times New Roman" w:hAnsi="Times New Roman" w:cs="Times New Roman"/>
            <w:b/>
            <w:bCs/>
            <w:noProof/>
            <w:webHidden/>
            <w:sz w:val="24"/>
            <w:szCs w:val="24"/>
            <w:rtl/>
          </w:rPr>
          <w:t xml:space="preserve"> </w:t>
        </w:r>
      </w:hyperlink>
      <w:hyperlink w:anchor="_Toc232260666" w:history="1">
        <w:r w:rsidR="00D35848" w:rsidRPr="00D35848">
          <w:rPr>
            <w:rStyle w:val="Hyperlink"/>
            <w:rFonts w:ascii="Times New Roman" w:eastAsia="Arial Unicode MS" w:hAnsi="Times New Roman" w:cs="Times New Roman"/>
            <w:b/>
            <w:bCs/>
            <w:noProof/>
            <w:sz w:val="24"/>
            <w:szCs w:val="24"/>
            <w:u w:val="none"/>
            <w:rtl/>
            <w:lang w:val="ar-SA"/>
          </w:rPr>
          <w:t>إشكاليات حماية حقوق الملكية الفكرية في البيئة الرقمية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Toc232260666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71</w:t>
        </w:r>
        <w:r w:rsidR="00D35848" w:rsidRPr="00D35848">
          <w:rPr>
            <w:rFonts w:ascii="Times New Roman" w:hAnsi="Times New Roman" w:cs="Times New Roman"/>
            <w:b/>
            <w:bCs/>
            <w:noProof/>
            <w:webHidden/>
            <w:sz w:val="24"/>
            <w:szCs w:val="24"/>
            <w:rtl/>
          </w:rPr>
          <w:fldChar w:fldCharType="end"/>
        </w:r>
      </w:hyperlink>
    </w:p>
    <w:p w14:paraId="5855D4D0" w14:textId="60D221D6" w:rsidR="00D35848" w:rsidRPr="00D35848" w:rsidRDefault="001552B0" w:rsidP="00D35848">
      <w:pPr>
        <w:pStyle w:val="TOC2"/>
        <w:ind w:left="284"/>
        <w:rPr>
          <w:rStyle w:val="Hyperlink"/>
          <w:rFonts w:eastAsia="Arial Unicode MS"/>
          <w:u w:val="none"/>
          <w:rtl/>
          <w:lang w:val="ar-SA"/>
        </w:rPr>
      </w:pPr>
      <w:hyperlink w:anchor="_Toc232260667"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668" w:history="1">
        <w:r w:rsidR="00D35848" w:rsidRPr="00D35848">
          <w:rPr>
            <w:rStyle w:val="Hyperlink"/>
            <w:rFonts w:ascii="Times New Roman" w:eastAsia="Arial Unicode MS" w:hAnsi="Times New Roman" w:cs="Times New Roman"/>
            <w:noProof/>
            <w:sz w:val="24"/>
            <w:szCs w:val="24"/>
            <w:u w:val="none"/>
            <w:rtl/>
            <w:lang w:val="ar-SA"/>
          </w:rPr>
          <w:t>أدوات تداول الإنتاج الفكري الرقمي وتحدياتها التقنية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_Toc232260668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72</w:t>
        </w:r>
        <w:r w:rsidR="00D35848" w:rsidRPr="00D35848">
          <w:rPr>
            <w:rStyle w:val="Hyperlink"/>
            <w:rFonts w:eastAsia="Arial Unicode MS"/>
            <w:webHidden/>
            <w:u w:val="none"/>
            <w:rtl/>
            <w:lang w:val="ar-SA"/>
          </w:rPr>
          <w:fldChar w:fldCharType="end"/>
        </w:r>
      </w:hyperlink>
    </w:p>
    <w:p w14:paraId="69D90DE7" w14:textId="2EE1BB16" w:rsidR="00D35848" w:rsidRPr="00D35848" w:rsidRDefault="001552B0" w:rsidP="00D35848">
      <w:pPr>
        <w:pStyle w:val="TOC2"/>
        <w:ind w:left="284"/>
        <w:rPr>
          <w:rStyle w:val="Hyperlink"/>
          <w:rFonts w:eastAsia="Arial Unicode MS"/>
          <w:u w:val="none"/>
          <w:rtl/>
          <w:lang w:val="ar-SA"/>
        </w:rPr>
      </w:pPr>
      <w:hyperlink w:anchor="_Toc232260669"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670" w:history="1">
        <w:r w:rsidR="00D35848" w:rsidRPr="00D35848">
          <w:rPr>
            <w:rStyle w:val="Hyperlink"/>
            <w:rFonts w:ascii="Times New Roman" w:eastAsia="Arial Unicode MS" w:hAnsi="Times New Roman" w:cs="Times New Roman"/>
            <w:noProof/>
            <w:sz w:val="24"/>
            <w:szCs w:val="24"/>
            <w:u w:val="none"/>
            <w:rtl/>
            <w:lang w:val="ar-SA"/>
          </w:rPr>
          <w:t>خصائص الإنتاج الفكري الرقمي وحدود الحماية القانونية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_Toc232260670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85</w:t>
        </w:r>
        <w:r w:rsidR="00D35848" w:rsidRPr="00D35848">
          <w:rPr>
            <w:rStyle w:val="Hyperlink"/>
            <w:rFonts w:eastAsia="Arial Unicode MS"/>
            <w:webHidden/>
            <w:u w:val="none"/>
            <w:rtl/>
            <w:lang w:val="ar-SA"/>
          </w:rPr>
          <w:fldChar w:fldCharType="end"/>
        </w:r>
      </w:hyperlink>
    </w:p>
    <w:p w14:paraId="19465867" w14:textId="3C274EEA"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1" w:history="1">
        <w:r w:rsidR="00D35848" w:rsidRPr="00D35848">
          <w:rPr>
            <w:rStyle w:val="Hyperlink"/>
            <w:rFonts w:ascii="Times New Roman" w:eastAsia="Arial Unicode MS" w:hAnsi="Times New Roman" w:cs="Times New Roman"/>
            <w:b/>
            <w:bCs/>
            <w:noProof/>
            <w:sz w:val="24"/>
            <w:szCs w:val="24"/>
            <w:u w:val="none"/>
            <w:rtl/>
            <w:lang w:val="ar-SA"/>
          </w:rPr>
          <w:t>الفصل الثاني</w:t>
        </w:r>
        <w:r w:rsidR="00D35848" w:rsidRPr="00D35848">
          <w:rPr>
            <w:rFonts w:ascii="Times New Roman" w:hAnsi="Times New Roman" w:cs="Times New Roman"/>
            <w:b/>
            <w:bCs/>
            <w:noProof/>
            <w:webHidden/>
            <w:sz w:val="24"/>
            <w:szCs w:val="24"/>
            <w:rtl/>
          </w:rPr>
          <w:t xml:space="preserve"> </w:t>
        </w:r>
      </w:hyperlink>
      <w:hyperlink w:anchor="_Toc232260672" w:history="1">
        <w:r w:rsidR="00D35848" w:rsidRPr="00D35848">
          <w:rPr>
            <w:rStyle w:val="Hyperlink"/>
            <w:rFonts w:ascii="Times New Roman" w:eastAsia="Arial Unicode MS" w:hAnsi="Times New Roman" w:cs="Times New Roman"/>
            <w:b/>
            <w:bCs/>
            <w:noProof/>
            <w:sz w:val="24"/>
            <w:szCs w:val="24"/>
            <w:u w:val="none"/>
            <w:rtl/>
            <w:lang w:val="ar-SA"/>
          </w:rPr>
          <w:t>الإطار القانوني لحماية الملكية الفكرية في الاتفاقيات الدولية والقوانين الوطنية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Toc232260672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91</w:t>
        </w:r>
        <w:r w:rsidR="00D35848" w:rsidRPr="00D35848">
          <w:rPr>
            <w:rFonts w:ascii="Times New Roman" w:hAnsi="Times New Roman" w:cs="Times New Roman"/>
            <w:b/>
            <w:bCs/>
            <w:noProof/>
            <w:webHidden/>
            <w:sz w:val="24"/>
            <w:szCs w:val="24"/>
            <w:rtl/>
          </w:rPr>
          <w:fldChar w:fldCharType="end"/>
        </w:r>
      </w:hyperlink>
    </w:p>
    <w:p w14:paraId="12B77D12" w14:textId="69F99C05"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3" w:history="1">
        <w:r w:rsidR="00D35848" w:rsidRPr="00D35848">
          <w:rPr>
            <w:rStyle w:val="Hyperlink"/>
            <w:rFonts w:ascii="Times New Roman" w:eastAsia="Arial Unicode MS" w:hAnsi="Times New Roman" w:cs="Times New Roman"/>
            <w:b/>
            <w:bCs/>
            <w:noProof/>
            <w:sz w:val="24"/>
            <w:szCs w:val="24"/>
            <w:u w:val="none"/>
            <w:rtl/>
            <w:lang w:val="ar-SA"/>
          </w:rPr>
          <w:t>المبحث الأول</w:t>
        </w:r>
        <w:r w:rsidR="00D35848" w:rsidRPr="00D35848">
          <w:rPr>
            <w:rFonts w:ascii="Times New Roman" w:hAnsi="Times New Roman" w:cs="Times New Roman"/>
            <w:b/>
            <w:bCs/>
            <w:noProof/>
            <w:webHidden/>
            <w:sz w:val="24"/>
            <w:szCs w:val="24"/>
            <w:rtl/>
          </w:rPr>
          <w:t xml:space="preserve"> </w:t>
        </w:r>
      </w:hyperlink>
      <w:hyperlink w:anchor="_Toc232260674" w:history="1">
        <w:r w:rsidR="00D35848" w:rsidRPr="00D35848">
          <w:rPr>
            <w:rStyle w:val="Hyperlink"/>
            <w:rFonts w:ascii="Times New Roman" w:eastAsia="Arial Unicode MS" w:hAnsi="Times New Roman" w:cs="Times New Roman"/>
            <w:b/>
            <w:bCs/>
            <w:noProof/>
            <w:sz w:val="24"/>
            <w:szCs w:val="24"/>
            <w:u w:val="none"/>
            <w:rtl/>
            <w:lang w:val="ar-SA"/>
          </w:rPr>
          <w:t>الحماية الدولية والتعاون العابر للحدود</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Toc232260674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92</w:t>
        </w:r>
        <w:r w:rsidR="00D35848" w:rsidRPr="00D35848">
          <w:rPr>
            <w:rFonts w:ascii="Times New Roman" w:hAnsi="Times New Roman" w:cs="Times New Roman"/>
            <w:b/>
            <w:bCs/>
            <w:noProof/>
            <w:webHidden/>
            <w:sz w:val="24"/>
            <w:szCs w:val="24"/>
            <w:rtl/>
          </w:rPr>
          <w:fldChar w:fldCharType="end"/>
        </w:r>
      </w:hyperlink>
    </w:p>
    <w:p w14:paraId="266B4F62" w14:textId="294F31E5" w:rsidR="00D35848" w:rsidRPr="00D35848" w:rsidRDefault="001552B0" w:rsidP="00D35848">
      <w:pPr>
        <w:pStyle w:val="TOC2"/>
        <w:ind w:left="284"/>
        <w:rPr>
          <w:rStyle w:val="Hyperlink"/>
          <w:rFonts w:eastAsia="Arial Unicode MS"/>
          <w:u w:val="none"/>
          <w:rtl/>
          <w:lang w:val="ar-SA"/>
        </w:rPr>
      </w:pPr>
      <w:hyperlink w:anchor="_Toc232260675"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676" w:history="1">
        <w:r w:rsidR="00D35848" w:rsidRPr="00D35848">
          <w:rPr>
            <w:rStyle w:val="Hyperlink"/>
            <w:rFonts w:ascii="Times New Roman" w:eastAsia="Arial Unicode MS" w:hAnsi="Times New Roman" w:cs="Times New Roman"/>
            <w:noProof/>
            <w:sz w:val="24"/>
            <w:szCs w:val="24"/>
            <w:u w:val="none"/>
            <w:rtl/>
            <w:lang w:val="ar-SA"/>
          </w:rPr>
          <w:t>اتفاقية بيرن وتريبس والاتفاقيات الأخرى</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_Toc232260676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93</w:t>
        </w:r>
        <w:r w:rsidR="00D35848" w:rsidRPr="00D35848">
          <w:rPr>
            <w:rStyle w:val="Hyperlink"/>
            <w:rFonts w:eastAsia="Arial Unicode MS"/>
            <w:webHidden/>
            <w:u w:val="none"/>
            <w:rtl/>
            <w:lang w:val="ar-SA"/>
          </w:rPr>
          <w:fldChar w:fldCharType="end"/>
        </w:r>
      </w:hyperlink>
    </w:p>
    <w:p w14:paraId="5D8D1DCB" w14:textId="06B99967" w:rsidR="00D35848" w:rsidRPr="00D35848" w:rsidRDefault="001552B0" w:rsidP="00D35848">
      <w:pPr>
        <w:pStyle w:val="TOC2"/>
        <w:ind w:left="284"/>
        <w:rPr>
          <w:rStyle w:val="Hyperlink"/>
          <w:rFonts w:eastAsia="Arial Unicode MS"/>
          <w:u w:val="none"/>
          <w:rtl/>
          <w:lang w:val="ar-SA"/>
        </w:rPr>
      </w:pPr>
      <w:hyperlink w:anchor="_Toc232260677"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678" w:history="1">
        <w:r w:rsidR="00D35848" w:rsidRPr="00D35848">
          <w:rPr>
            <w:rStyle w:val="Hyperlink"/>
            <w:rFonts w:ascii="Times New Roman" w:eastAsia="Arial Unicode MS" w:hAnsi="Times New Roman" w:cs="Times New Roman"/>
            <w:noProof/>
            <w:sz w:val="24"/>
            <w:szCs w:val="24"/>
            <w:u w:val="none"/>
            <w:rtl/>
            <w:lang w:val="ar-SA"/>
          </w:rPr>
          <w:t>التحديات الدولية في تنفيذ الحماية الرقمية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_Toc232260678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105</w:t>
        </w:r>
        <w:r w:rsidR="00D35848" w:rsidRPr="00D35848">
          <w:rPr>
            <w:rStyle w:val="Hyperlink"/>
            <w:rFonts w:eastAsia="Arial Unicode MS"/>
            <w:webHidden/>
            <w:u w:val="none"/>
            <w:rtl/>
            <w:lang w:val="ar-SA"/>
          </w:rPr>
          <w:fldChar w:fldCharType="end"/>
        </w:r>
      </w:hyperlink>
    </w:p>
    <w:p w14:paraId="2C4B16C9" w14:textId="058D91BB"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9" w:history="1">
        <w:r w:rsidR="00D35848" w:rsidRPr="00D35848">
          <w:rPr>
            <w:rStyle w:val="Hyperlink"/>
            <w:rFonts w:ascii="Times New Roman" w:eastAsia="Arial Unicode MS" w:hAnsi="Times New Roman" w:cs="Times New Roman"/>
            <w:b/>
            <w:bCs/>
            <w:noProof/>
            <w:sz w:val="24"/>
            <w:szCs w:val="24"/>
            <w:u w:val="none"/>
            <w:rtl/>
            <w:lang w:val="ar-SA"/>
          </w:rPr>
          <w:t>المبحث الثاني</w:t>
        </w:r>
        <w:r w:rsidR="00D35848" w:rsidRPr="00D35848">
          <w:rPr>
            <w:rFonts w:ascii="Times New Roman" w:hAnsi="Times New Roman" w:cs="Times New Roman"/>
            <w:b/>
            <w:bCs/>
            <w:noProof/>
            <w:webHidden/>
            <w:sz w:val="24"/>
            <w:szCs w:val="24"/>
            <w:rtl/>
          </w:rPr>
          <w:t xml:space="preserve"> </w:t>
        </w:r>
      </w:hyperlink>
      <w:hyperlink w:anchor="_Toc232260680" w:history="1">
        <w:r w:rsidR="00D35848" w:rsidRPr="00D35848">
          <w:rPr>
            <w:rStyle w:val="Hyperlink"/>
            <w:rFonts w:ascii="Times New Roman" w:eastAsia="Arial Unicode MS" w:hAnsi="Times New Roman" w:cs="Times New Roman"/>
            <w:b/>
            <w:bCs/>
            <w:noProof/>
            <w:sz w:val="24"/>
            <w:szCs w:val="24"/>
            <w:u w:val="none"/>
            <w:rtl/>
            <w:lang w:val="ar-SA"/>
          </w:rPr>
          <w:t>النظام القانونية للمصنف الرقمي</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Toc232260680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109</w:t>
        </w:r>
        <w:r w:rsidR="00D35848" w:rsidRPr="00D35848">
          <w:rPr>
            <w:rFonts w:ascii="Times New Roman" w:hAnsi="Times New Roman" w:cs="Times New Roman"/>
            <w:b/>
            <w:bCs/>
            <w:noProof/>
            <w:webHidden/>
            <w:sz w:val="24"/>
            <w:szCs w:val="24"/>
            <w:rtl/>
          </w:rPr>
          <w:fldChar w:fldCharType="end"/>
        </w:r>
      </w:hyperlink>
    </w:p>
    <w:p w14:paraId="7820065F" w14:textId="3FAD7ECE" w:rsidR="00D35848" w:rsidRPr="00D35848" w:rsidRDefault="001552B0" w:rsidP="00D35848">
      <w:pPr>
        <w:pStyle w:val="TOC2"/>
        <w:ind w:left="284"/>
        <w:rPr>
          <w:rStyle w:val="Hyperlink"/>
          <w:rFonts w:eastAsia="Arial Unicode MS"/>
          <w:u w:val="none"/>
          <w:rtl/>
          <w:lang w:val="ar-SA"/>
        </w:rPr>
      </w:pPr>
      <w:hyperlink w:anchor="_Toc232260681"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682" w:history="1">
        <w:r w:rsidR="00D35848" w:rsidRPr="00D35848">
          <w:rPr>
            <w:rStyle w:val="Hyperlink"/>
            <w:rFonts w:ascii="Times New Roman" w:eastAsia="Arial Unicode MS" w:hAnsi="Times New Roman" w:cs="Times New Roman"/>
            <w:noProof/>
            <w:sz w:val="24"/>
            <w:szCs w:val="24"/>
            <w:u w:val="none"/>
            <w:rtl/>
            <w:lang w:val="ar-SA"/>
          </w:rPr>
          <w:t>نطاق الحماية القانونية في النظام السعودي</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_Toc232260682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110</w:t>
        </w:r>
        <w:r w:rsidR="00D35848" w:rsidRPr="00D35848">
          <w:rPr>
            <w:rStyle w:val="Hyperlink"/>
            <w:rFonts w:eastAsia="Arial Unicode MS"/>
            <w:webHidden/>
            <w:u w:val="none"/>
            <w:rtl/>
            <w:lang w:val="ar-SA"/>
          </w:rPr>
          <w:fldChar w:fldCharType="end"/>
        </w:r>
      </w:hyperlink>
    </w:p>
    <w:p w14:paraId="6BF85DB6" w14:textId="24C001AA" w:rsidR="00D35848" w:rsidRPr="00D35848" w:rsidRDefault="001552B0" w:rsidP="00D35848">
      <w:pPr>
        <w:pStyle w:val="TOC2"/>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3"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684" w:history="1">
        <w:r w:rsidR="00D35848" w:rsidRPr="00D35848">
          <w:rPr>
            <w:rStyle w:val="Hyperlink"/>
            <w:rFonts w:ascii="Times New Roman" w:eastAsia="Arial Unicode MS" w:hAnsi="Times New Roman" w:cs="Times New Roman"/>
            <w:noProof/>
            <w:sz w:val="24"/>
            <w:szCs w:val="24"/>
            <w:u w:val="none"/>
            <w:rtl/>
            <w:lang w:val="ar-SA"/>
          </w:rPr>
          <w:t>نطاق حماية الملكية الفكرية في التشريعيْنِ الفَرنسي والأمريكي</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_Toc232260684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118</w:t>
        </w:r>
        <w:r w:rsidR="00D35848" w:rsidRPr="00D35848">
          <w:rPr>
            <w:rStyle w:val="Hyperlink"/>
            <w:rFonts w:eastAsia="Arial Unicode MS"/>
            <w:webHidden/>
            <w:u w:val="none"/>
            <w:rtl/>
            <w:lang w:val="ar-SA"/>
          </w:rPr>
          <w:fldChar w:fldCharType="end"/>
        </w:r>
      </w:hyperlink>
    </w:p>
    <w:p w14:paraId="76DA24C7" w14:textId="2ED116B3"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5" w:history="1">
        <w:r w:rsidR="00D35848" w:rsidRPr="00D35848">
          <w:rPr>
            <w:rStyle w:val="Hyperlink"/>
            <w:rFonts w:ascii="Times New Roman" w:eastAsia="Arial Unicode MS" w:hAnsi="Times New Roman" w:cs="Times New Roman"/>
            <w:b/>
            <w:bCs/>
            <w:noProof/>
            <w:sz w:val="24"/>
            <w:szCs w:val="24"/>
            <w:u w:val="none"/>
            <w:rtl/>
            <w:lang w:val="ar-SA"/>
          </w:rPr>
          <w:t>الفصل الثالث</w:t>
        </w:r>
        <w:r w:rsidR="00D35848" w:rsidRPr="00D35848">
          <w:rPr>
            <w:rFonts w:ascii="Times New Roman" w:hAnsi="Times New Roman" w:cs="Times New Roman"/>
            <w:b/>
            <w:bCs/>
            <w:noProof/>
            <w:webHidden/>
            <w:sz w:val="24"/>
            <w:szCs w:val="24"/>
            <w:rtl/>
          </w:rPr>
          <w:t xml:space="preserve"> </w:t>
        </w:r>
      </w:hyperlink>
      <w:hyperlink w:anchor="_Toc232260686" w:history="1">
        <w:r w:rsidR="00D35848" w:rsidRPr="00D35848">
          <w:rPr>
            <w:rStyle w:val="Hyperlink"/>
            <w:rFonts w:ascii="Times New Roman" w:eastAsia="Arial Unicode MS" w:hAnsi="Times New Roman" w:cs="Times New Roman"/>
            <w:b/>
            <w:bCs/>
            <w:noProof/>
            <w:sz w:val="24"/>
            <w:szCs w:val="24"/>
            <w:u w:val="none"/>
            <w:rtl/>
            <w:lang w:val="ar-SA"/>
          </w:rPr>
          <w:t>صور الحماية القانونية للملكية الفكرية في البيئة الرقمية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Toc232260686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129</w:t>
        </w:r>
        <w:r w:rsidR="00D35848" w:rsidRPr="00D35848">
          <w:rPr>
            <w:rFonts w:ascii="Times New Roman" w:hAnsi="Times New Roman" w:cs="Times New Roman"/>
            <w:b/>
            <w:bCs/>
            <w:noProof/>
            <w:webHidden/>
            <w:sz w:val="24"/>
            <w:szCs w:val="24"/>
            <w:rtl/>
          </w:rPr>
          <w:fldChar w:fldCharType="end"/>
        </w:r>
      </w:hyperlink>
    </w:p>
    <w:p w14:paraId="0CAC1F5F" w14:textId="5E806A6F"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7" w:history="1">
        <w:r w:rsidR="00D35848" w:rsidRPr="00D35848">
          <w:rPr>
            <w:rStyle w:val="Hyperlink"/>
            <w:rFonts w:ascii="Times New Roman" w:eastAsia="Arial Unicode MS" w:hAnsi="Times New Roman" w:cs="Times New Roman"/>
            <w:b/>
            <w:bCs/>
            <w:noProof/>
            <w:sz w:val="24"/>
            <w:szCs w:val="24"/>
            <w:u w:val="none"/>
            <w:rtl/>
            <w:lang w:val="ar-SA"/>
          </w:rPr>
          <w:t>المبحث الأول</w:t>
        </w:r>
        <w:r w:rsidR="00D35848" w:rsidRPr="00D35848">
          <w:rPr>
            <w:rFonts w:ascii="Times New Roman" w:hAnsi="Times New Roman" w:cs="Times New Roman"/>
            <w:b/>
            <w:bCs/>
            <w:noProof/>
            <w:webHidden/>
            <w:sz w:val="24"/>
            <w:szCs w:val="24"/>
            <w:rtl/>
          </w:rPr>
          <w:t xml:space="preserve"> </w:t>
        </w:r>
      </w:hyperlink>
      <w:hyperlink w:anchor="_Toc232260688" w:history="1">
        <w:r w:rsidR="00D35848" w:rsidRPr="00D35848">
          <w:rPr>
            <w:rStyle w:val="Hyperlink"/>
            <w:rFonts w:ascii="Times New Roman" w:eastAsia="Arial Unicode MS" w:hAnsi="Times New Roman" w:cs="Times New Roman"/>
            <w:b/>
            <w:bCs/>
            <w:noProof/>
            <w:sz w:val="24"/>
            <w:szCs w:val="24"/>
            <w:u w:val="none"/>
            <w:rtl/>
            <w:lang w:val="ar-SA"/>
          </w:rPr>
          <w:t>الحماية المدنية للمصنفات الرقمية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Toc232260688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130</w:t>
        </w:r>
        <w:r w:rsidR="00D35848" w:rsidRPr="00D35848">
          <w:rPr>
            <w:rFonts w:ascii="Times New Roman" w:hAnsi="Times New Roman" w:cs="Times New Roman"/>
            <w:b/>
            <w:bCs/>
            <w:noProof/>
            <w:webHidden/>
            <w:sz w:val="24"/>
            <w:szCs w:val="24"/>
            <w:rtl/>
          </w:rPr>
          <w:fldChar w:fldCharType="end"/>
        </w:r>
      </w:hyperlink>
    </w:p>
    <w:p w14:paraId="194F132A" w14:textId="78579568" w:rsidR="00D35848" w:rsidRPr="00D35848" w:rsidRDefault="001552B0" w:rsidP="00D35848">
      <w:pPr>
        <w:pStyle w:val="TOC2"/>
        <w:ind w:left="284"/>
        <w:rPr>
          <w:rStyle w:val="Hyperlink"/>
          <w:rFonts w:eastAsia="Arial Unicode MS"/>
          <w:u w:val="none"/>
          <w:rtl/>
          <w:lang w:val="ar-SA"/>
        </w:rPr>
      </w:pPr>
      <w:hyperlink w:anchor="_Toc232260689"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690" w:history="1">
        <w:r w:rsidR="00D35848" w:rsidRPr="00D35848">
          <w:rPr>
            <w:rStyle w:val="Hyperlink"/>
            <w:rFonts w:ascii="Times New Roman" w:eastAsia="Arial Unicode MS" w:hAnsi="Times New Roman" w:cs="Times New Roman"/>
            <w:noProof/>
            <w:sz w:val="24"/>
            <w:szCs w:val="24"/>
            <w:u w:val="none"/>
            <w:rtl/>
            <w:lang w:val="ar-SA"/>
          </w:rPr>
          <w:t>التعويض عن الاعتداء على حقوق الملكية الفكرية في البيئة الرقمية في النظام السعودي</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_Toc232260690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131</w:t>
        </w:r>
        <w:r w:rsidR="00D35848" w:rsidRPr="00D35848">
          <w:rPr>
            <w:rStyle w:val="Hyperlink"/>
            <w:rFonts w:eastAsia="Arial Unicode MS"/>
            <w:webHidden/>
            <w:u w:val="none"/>
            <w:rtl/>
            <w:lang w:val="ar-SA"/>
          </w:rPr>
          <w:fldChar w:fldCharType="end"/>
        </w:r>
      </w:hyperlink>
    </w:p>
    <w:p w14:paraId="3169FD41" w14:textId="52D1391F" w:rsidR="00D35848" w:rsidRPr="00D35848" w:rsidRDefault="001552B0" w:rsidP="00D35848">
      <w:pPr>
        <w:pStyle w:val="TOC2"/>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1"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692" w:history="1">
        <w:r w:rsidR="00D35848" w:rsidRPr="00D35848">
          <w:rPr>
            <w:rStyle w:val="Hyperlink"/>
            <w:rFonts w:ascii="Times New Roman" w:eastAsia="Arial Unicode MS" w:hAnsi="Times New Roman" w:cs="Times New Roman"/>
            <w:noProof/>
            <w:sz w:val="24"/>
            <w:szCs w:val="24"/>
            <w:u w:val="none"/>
            <w:rtl/>
            <w:lang w:val="ar-SA"/>
          </w:rPr>
          <w:t>التعويض عن الاعتداء على حقوق الملكية الفكرية في البيئة الرقمية في القانون الأمريكي والفَرنسي</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_Toc232260692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142</w:t>
        </w:r>
        <w:r w:rsidR="00D35848" w:rsidRPr="00D35848">
          <w:rPr>
            <w:rStyle w:val="Hyperlink"/>
            <w:rFonts w:eastAsia="Arial Unicode MS"/>
            <w:webHidden/>
            <w:u w:val="none"/>
            <w:rtl/>
            <w:lang w:val="ar-SA"/>
          </w:rPr>
          <w:fldChar w:fldCharType="end"/>
        </w:r>
      </w:hyperlink>
    </w:p>
    <w:p w14:paraId="178D840E" w14:textId="1C9EF232" w:rsidR="00D35848" w:rsidRPr="00D35848" w:rsidRDefault="001552B0" w:rsidP="00D35848">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3" w:history="1">
        <w:r w:rsidR="00D35848" w:rsidRPr="00D35848">
          <w:rPr>
            <w:rStyle w:val="Hyperlink"/>
            <w:rFonts w:ascii="Times New Roman" w:eastAsia="Arial Unicode MS" w:hAnsi="Times New Roman" w:cs="Times New Roman"/>
            <w:b/>
            <w:bCs/>
            <w:noProof/>
            <w:sz w:val="24"/>
            <w:szCs w:val="24"/>
            <w:u w:val="none"/>
            <w:rtl/>
            <w:lang w:val="ar-SA"/>
          </w:rPr>
          <w:t>المبحث الثاني</w:t>
        </w:r>
        <w:r w:rsidR="00D35848" w:rsidRPr="00D35848">
          <w:rPr>
            <w:rFonts w:ascii="Times New Roman" w:hAnsi="Times New Roman" w:cs="Times New Roman"/>
            <w:b/>
            <w:bCs/>
            <w:noProof/>
            <w:webHidden/>
            <w:sz w:val="24"/>
            <w:szCs w:val="24"/>
            <w:rtl/>
          </w:rPr>
          <w:t xml:space="preserve"> </w:t>
        </w:r>
      </w:hyperlink>
      <w:hyperlink w:anchor="_Toc232260694" w:history="1">
        <w:r w:rsidR="00D35848" w:rsidRPr="00D35848">
          <w:rPr>
            <w:rStyle w:val="Hyperlink"/>
            <w:rFonts w:ascii="Times New Roman" w:eastAsia="Arial Unicode MS" w:hAnsi="Times New Roman" w:cs="Times New Roman"/>
            <w:b/>
            <w:bCs/>
            <w:noProof/>
            <w:sz w:val="24"/>
            <w:szCs w:val="24"/>
            <w:u w:val="none"/>
            <w:rtl/>
            <w:lang w:val="ar-SA"/>
          </w:rPr>
          <w:t>الحماية الجنائية والتجريم الرقمي</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Toc232260694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154</w:t>
        </w:r>
        <w:r w:rsidR="00D35848" w:rsidRPr="00D35848">
          <w:rPr>
            <w:rFonts w:ascii="Times New Roman" w:hAnsi="Times New Roman" w:cs="Times New Roman"/>
            <w:b/>
            <w:bCs/>
            <w:noProof/>
            <w:webHidden/>
            <w:sz w:val="24"/>
            <w:szCs w:val="24"/>
            <w:rtl/>
          </w:rPr>
          <w:fldChar w:fldCharType="end"/>
        </w:r>
      </w:hyperlink>
    </w:p>
    <w:p w14:paraId="16AE823D" w14:textId="0A65518C" w:rsidR="00D35848" w:rsidRPr="00D35848" w:rsidRDefault="001552B0" w:rsidP="00D35848">
      <w:pPr>
        <w:pStyle w:val="TOC2"/>
        <w:ind w:left="284"/>
        <w:rPr>
          <w:rStyle w:val="Hyperlink"/>
          <w:rFonts w:eastAsia="Arial Unicode MS"/>
          <w:u w:val="none"/>
          <w:rtl/>
          <w:lang w:val="ar-SA"/>
        </w:rPr>
      </w:pPr>
      <w:hyperlink w:anchor="_Toc232260695"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696" w:history="1">
        <w:r w:rsidR="00D35848" w:rsidRPr="00D35848">
          <w:rPr>
            <w:rStyle w:val="Hyperlink"/>
            <w:rFonts w:ascii="Times New Roman" w:eastAsia="Arial Unicode MS" w:hAnsi="Times New Roman" w:cs="Times New Roman"/>
            <w:noProof/>
            <w:sz w:val="24"/>
            <w:szCs w:val="24"/>
            <w:u w:val="none"/>
            <w:rtl/>
            <w:lang w:val="ar-SA"/>
          </w:rPr>
          <w:t>الحماية الجنائية للملكية الفكرية في البيئة الرقمية في النظام السعودي</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_Toc232260696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155</w:t>
        </w:r>
        <w:r w:rsidR="00D35848" w:rsidRPr="00D35848">
          <w:rPr>
            <w:rStyle w:val="Hyperlink"/>
            <w:rFonts w:eastAsia="Arial Unicode MS"/>
            <w:webHidden/>
            <w:u w:val="none"/>
            <w:rtl/>
            <w:lang w:val="ar-SA"/>
          </w:rPr>
          <w:fldChar w:fldCharType="end"/>
        </w:r>
      </w:hyperlink>
    </w:p>
    <w:p w14:paraId="5241944B" w14:textId="73927BA6" w:rsidR="00D35848" w:rsidRPr="00D35848" w:rsidRDefault="001552B0" w:rsidP="00D35848">
      <w:pPr>
        <w:pStyle w:val="TOC2"/>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7"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hint="cs"/>
            <w:webHidden/>
            <w:u w:val="none"/>
            <w:rtl/>
            <w:lang w:val="ar-SA"/>
          </w:rPr>
          <w:t xml:space="preserve"> </w:t>
        </w:r>
      </w:hyperlink>
      <w:hyperlink w:anchor="_Toc232260698" w:history="1">
        <w:r w:rsidR="00D35848" w:rsidRPr="00D35848">
          <w:rPr>
            <w:rStyle w:val="Hyperlink"/>
            <w:rFonts w:ascii="Times New Roman" w:eastAsia="Arial Unicode MS" w:hAnsi="Times New Roman" w:cs="Times New Roman"/>
            <w:noProof/>
            <w:sz w:val="24"/>
            <w:szCs w:val="24"/>
            <w:u w:val="none"/>
            <w:rtl/>
            <w:lang w:val="ar-SA"/>
          </w:rPr>
          <w:t>الحماية الجنائية للملكية الفكرية في البيئة الرقمية في النظامين الفَرنسي والأمريكي</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_Toc232260698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163</w:t>
        </w:r>
        <w:r w:rsidR="00D35848" w:rsidRPr="00D35848">
          <w:rPr>
            <w:rStyle w:val="Hyperlink"/>
            <w:rFonts w:eastAsia="Arial Unicode MS"/>
            <w:webHidden/>
            <w:u w:val="none"/>
            <w:rtl/>
            <w:lang w:val="ar-SA"/>
          </w:rPr>
          <w:fldChar w:fldCharType="end"/>
        </w:r>
      </w:hyperlink>
    </w:p>
    <w:p w14:paraId="71D08E9A" w14:textId="79C9BE57" w:rsidR="00D35848" w:rsidRPr="00D35848" w:rsidRDefault="001552B0" w:rsidP="00D35848">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9" w:history="1">
        <w:r w:rsidR="00D35848" w:rsidRPr="00D35848">
          <w:rPr>
            <w:rStyle w:val="Hyperlink"/>
            <w:rFonts w:ascii="Times New Roman" w:hAnsi="Times New Roman" w:cs="Times New Roman"/>
            <w:b/>
            <w:bCs/>
            <w:noProof/>
            <w:sz w:val="24"/>
            <w:szCs w:val="24"/>
            <w:u w:val="none"/>
            <w:rtl/>
            <w:lang w:val="ar-SA"/>
          </w:rPr>
          <w:t>الفصل الرابع</w:t>
        </w:r>
        <w:r w:rsidR="00D35848" w:rsidRPr="00D35848">
          <w:rPr>
            <w:rFonts w:ascii="Times New Roman" w:hAnsi="Times New Roman" w:cs="Times New Roman"/>
            <w:b/>
            <w:bCs/>
            <w:noProof/>
            <w:webHidden/>
            <w:sz w:val="24"/>
            <w:szCs w:val="24"/>
            <w:rtl/>
          </w:rPr>
          <w:t xml:space="preserve"> </w:t>
        </w:r>
      </w:hyperlink>
      <w:hyperlink w:anchor="_Toc232260700" w:history="1">
        <w:r w:rsidR="00D35848" w:rsidRPr="00D35848">
          <w:rPr>
            <w:rStyle w:val="Hyperlink"/>
            <w:rFonts w:ascii="Times New Roman" w:hAnsi="Times New Roman" w:cs="Times New Roman"/>
            <w:b/>
            <w:bCs/>
            <w:noProof/>
            <w:sz w:val="24"/>
            <w:szCs w:val="24"/>
            <w:u w:val="none"/>
            <w:rtl/>
            <w:lang w:val="ar-SA"/>
          </w:rPr>
          <w:t>الحماية الإجرائية للملكية الفكرية في البيئة الرقمية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Toc232260700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173</w:t>
        </w:r>
        <w:r w:rsidR="00D35848" w:rsidRPr="00D35848">
          <w:rPr>
            <w:rFonts w:ascii="Times New Roman" w:hAnsi="Times New Roman" w:cs="Times New Roman"/>
            <w:b/>
            <w:bCs/>
            <w:noProof/>
            <w:webHidden/>
            <w:sz w:val="24"/>
            <w:szCs w:val="24"/>
            <w:rtl/>
          </w:rPr>
          <w:fldChar w:fldCharType="end"/>
        </w:r>
      </w:hyperlink>
    </w:p>
    <w:p w14:paraId="176E0024" w14:textId="2A9EEA32" w:rsidR="00D35848" w:rsidRPr="00D35848" w:rsidRDefault="001552B0" w:rsidP="00D35848">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01" w:history="1">
        <w:r w:rsidR="00D35848" w:rsidRPr="00D35848">
          <w:rPr>
            <w:rStyle w:val="Hyperlink"/>
            <w:rFonts w:ascii="Times New Roman" w:hAnsi="Times New Roman" w:cs="Times New Roman"/>
            <w:b/>
            <w:bCs/>
            <w:noProof/>
            <w:sz w:val="24"/>
            <w:szCs w:val="24"/>
            <w:u w:val="none"/>
            <w:rtl/>
            <w:lang w:val="ar-SA"/>
          </w:rPr>
          <w:t>المبحث الأول</w:t>
        </w:r>
        <w:r w:rsidR="00D35848" w:rsidRPr="00D35848">
          <w:rPr>
            <w:rFonts w:ascii="Times New Roman" w:hAnsi="Times New Roman" w:cs="Times New Roman"/>
            <w:b/>
            <w:bCs/>
            <w:noProof/>
            <w:webHidden/>
            <w:sz w:val="24"/>
            <w:szCs w:val="24"/>
            <w:rtl/>
          </w:rPr>
          <w:t xml:space="preserve"> </w:t>
        </w:r>
      </w:hyperlink>
      <w:hyperlink w:anchor="_Toc232260702" w:history="1">
        <w:r w:rsidR="00D35848" w:rsidRPr="00D35848">
          <w:rPr>
            <w:rStyle w:val="Hyperlink"/>
            <w:rFonts w:ascii="Times New Roman" w:hAnsi="Times New Roman" w:cs="Times New Roman"/>
            <w:b/>
            <w:bCs/>
            <w:noProof/>
            <w:sz w:val="24"/>
            <w:szCs w:val="24"/>
            <w:u w:val="none"/>
            <w:rtl/>
            <w:lang w:val="ar-SA"/>
          </w:rPr>
          <w:t>الإجراءات القانونية لحماية الملكية الفكرية في البيئة الرقمية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Toc232260702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174</w:t>
        </w:r>
        <w:r w:rsidR="00D35848" w:rsidRPr="00D35848">
          <w:rPr>
            <w:rFonts w:ascii="Times New Roman" w:hAnsi="Times New Roman" w:cs="Times New Roman"/>
            <w:b/>
            <w:bCs/>
            <w:noProof/>
            <w:webHidden/>
            <w:sz w:val="24"/>
            <w:szCs w:val="24"/>
            <w:rtl/>
          </w:rPr>
          <w:fldChar w:fldCharType="end"/>
        </w:r>
      </w:hyperlink>
    </w:p>
    <w:p w14:paraId="3DC7D88F" w14:textId="505DAD53" w:rsidR="00D35848" w:rsidRPr="00D35848" w:rsidRDefault="001552B0" w:rsidP="00D35848">
      <w:pPr>
        <w:pStyle w:val="TOC2"/>
        <w:ind w:left="284"/>
        <w:rPr>
          <w:rStyle w:val="Hyperlink"/>
          <w:rFonts w:eastAsia="Arial Unicode MS"/>
          <w:u w:val="none"/>
          <w:rtl/>
          <w:lang w:val="ar-SA"/>
        </w:rPr>
      </w:pPr>
      <w:hyperlink w:anchor="_Toc232260703"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704" w:history="1">
        <w:r w:rsidR="00D35848" w:rsidRPr="00D35848">
          <w:rPr>
            <w:rStyle w:val="Hyperlink"/>
            <w:rFonts w:ascii="Times New Roman" w:eastAsia="Arial Unicode MS" w:hAnsi="Times New Roman" w:cs="Times New Roman"/>
            <w:noProof/>
            <w:sz w:val="24"/>
            <w:szCs w:val="24"/>
            <w:u w:val="none"/>
            <w:rtl/>
            <w:lang w:val="ar-SA"/>
          </w:rPr>
          <w:t>الترخيص الإجباري</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_Toc232260704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175</w:t>
        </w:r>
        <w:r w:rsidR="00D35848" w:rsidRPr="00D35848">
          <w:rPr>
            <w:rStyle w:val="Hyperlink"/>
            <w:rFonts w:eastAsia="Arial Unicode MS"/>
            <w:webHidden/>
            <w:u w:val="none"/>
            <w:rtl/>
            <w:lang w:val="ar-SA"/>
          </w:rPr>
          <w:fldChar w:fldCharType="end"/>
        </w:r>
      </w:hyperlink>
    </w:p>
    <w:p w14:paraId="3E815CF9" w14:textId="64F88990" w:rsidR="00D35848" w:rsidRPr="00D35848" w:rsidRDefault="001552B0" w:rsidP="00D35848">
      <w:pPr>
        <w:pStyle w:val="TOC2"/>
        <w:ind w:left="284"/>
        <w:rPr>
          <w:rStyle w:val="Hyperlink"/>
          <w:rFonts w:eastAsia="Arial Unicode MS"/>
          <w:u w:val="none"/>
          <w:rtl/>
          <w:lang w:val="ar-SA"/>
        </w:rPr>
      </w:pPr>
      <w:hyperlink w:anchor="_Toc232260705"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706" w:history="1">
        <w:r w:rsidR="00D35848" w:rsidRPr="00D35848">
          <w:rPr>
            <w:rStyle w:val="Hyperlink"/>
            <w:rFonts w:ascii="Times New Roman" w:eastAsia="Arial Unicode MS" w:hAnsi="Times New Roman" w:cs="Times New Roman"/>
            <w:noProof/>
            <w:sz w:val="24"/>
            <w:szCs w:val="24"/>
            <w:u w:val="none"/>
            <w:rtl/>
            <w:lang w:val="ar-SA"/>
          </w:rPr>
          <w:t>الإثبات والتحقيق والضبط الفني في البيئة الرقمية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_Toc232260706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188</w:t>
        </w:r>
        <w:r w:rsidR="00D35848" w:rsidRPr="00D35848">
          <w:rPr>
            <w:rStyle w:val="Hyperlink"/>
            <w:rFonts w:eastAsia="Arial Unicode MS"/>
            <w:webHidden/>
            <w:u w:val="none"/>
            <w:rtl/>
            <w:lang w:val="ar-SA"/>
          </w:rPr>
          <w:fldChar w:fldCharType="end"/>
        </w:r>
      </w:hyperlink>
    </w:p>
    <w:p w14:paraId="26FF33CD" w14:textId="7A426A8C" w:rsidR="00D35848" w:rsidRPr="00D35848" w:rsidRDefault="001552B0" w:rsidP="00D35848">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07" w:history="1">
        <w:r w:rsidR="00D35848" w:rsidRPr="00D35848">
          <w:rPr>
            <w:rStyle w:val="Hyperlink"/>
            <w:rFonts w:ascii="Times New Roman" w:hAnsi="Times New Roman" w:cs="Times New Roman"/>
            <w:b/>
            <w:bCs/>
            <w:noProof/>
            <w:sz w:val="24"/>
            <w:szCs w:val="24"/>
            <w:u w:val="none"/>
            <w:rtl/>
            <w:lang w:val="ar-SA"/>
          </w:rPr>
          <w:t>المبحث الثاني</w:t>
        </w:r>
        <w:r w:rsidR="00D35848" w:rsidRPr="00D35848">
          <w:rPr>
            <w:rFonts w:ascii="Times New Roman" w:hAnsi="Times New Roman" w:cs="Times New Roman"/>
            <w:b/>
            <w:bCs/>
            <w:noProof/>
            <w:webHidden/>
            <w:sz w:val="24"/>
            <w:szCs w:val="24"/>
            <w:rtl/>
          </w:rPr>
          <w:t xml:space="preserve"> </w:t>
        </w:r>
      </w:hyperlink>
      <w:hyperlink w:anchor="_Toc232260708" w:history="1">
        <w:r w:rsidR="00D35848" w:rsidRPr="00D35848">
          <w:rPr>
            <w:rStyle w:val="Hyperlink"/>
            <w:rFonts w:ascii="Times New Roman" w:hAnsi="Times New Roman" w:cs="Times New Roman"/>
            <w:b/>
            <w:bCs/>
            <w:noProof/>
            <w:sz w:val="24"/>
            <w:szCs w:val="24"/>
            <w:u w:val="none"/>
            <w:rtl/>
            <w:lang w:val="ar-SA"/>
          </w:rPr>
          <w:t>الإجراءات التقنية لحماية الملكية الفكرية في البيئة الرقمية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Toc232260708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199</w:t>
        </w:r>
        <w:r w:rsidR="00D35848" w:rsidRPr="00D35848">
          <w:rPr>
            <w:rFonts w:ascii="Times New Roman" w:hAnsi="Times New Roman" w:cs="Times New Roman"/>
            <w:b/>
            <w:bCs/>
            <w:noProof/>
            <w:webHidden/>
            <w:sz w:val="24"/>
            <w:szCs w:val="24"/>
            <w:rtl/>
          </w:rPr>
          <w:fldChar w:fldCharType="end"/>
        </w:r>
      </w:hyperlink>
    </w:p>
    <w:p w14:paraId="02464A47" w14:textId="5DC2476E" w:rsidR="00D35848" w:rsidRPr="00D35848" w:rsidRDefault="001552B0" w:rsidP="00D35848">
      <w:pPr>
        <w:pStyle w:val="TOC2"/>
        <w:ind w:left="284"/>
        <w:rPr>
          <w:rStyle w:val="Hyperlink"/>
          <w:rFonts w:eastAsia="Arial Unicode MS"/>
          <w:u w:val="none"/>
          <w:rtl/>
          <w:lang w:val="ar-SA"/>
        </w:rPr>
      </w:pPr>
      <w:hyperlink w:anchor="_Toc232260709" w:history="1">
        <w:r w:rsidR="00D35848" w:rsidRPr="00D35848">
          <w:rPr>
            <w:rStyle w:val="Hyperlink"/>
            <w:rFonts w:ascii="Times New Roman" w:eastAsia="Arial Unicode MS" w:hAnsi="Times New Roman" w:cs="Times New Roman"/>
            <w:noProof/>
            <w:sz w:val="24"/>
            <w:szCs w:val="24"/>
            <w:u w:val="none"/>
            <w:rtl/>
            <w:lang w:val="ar-SA"/>
          </w:rPr>
          <w:t>المطلب الأول</w:t>
        </w:r>
        <w:r w:rsidR="00D35848" w:rsidRPr="00D35848">
          <w:rPr>
            <w:rStyle w:val="Hyperlink"/>
            <w:rFonts w:eastAsia="Arial Unicode MS"/>
            <w:webHidden/>
            <w:u w:val="none"/>
            <w:rtl/>
            <w:lang w:val="ar-SA"/>
          </w:rPr>
          <w:t xml:space="preserve"> </w:t>
        </w:r>
      </w:hyperlink>
      <w:hyperlink w:anchor="_Toc232260710" w:history="1">
        <w:r w:rsidR="00D35848" w:rsidRPr="00D35848">
          <w:rPr>
            <w:rStyle w:val="Hyperlink"/>
            <w:rFonts w:ascii="Times New Roman" w:eastAsia="Arial Unicode MS" w:hAnsi="Times New Roman" w:cs="Times New Roman"/>
            <w:noProof/>
            <w:sz w:val="24"/>
            <w:szCs w:val="24"/>
            <w:u w:val="none"/>
            <w:rtl/>
            <w:lang w:val="ar-SA"/>
          </w:rPr>
          <w:t>الرقابة على المواقع الإلكترونية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_Toc232260710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200</w:t>
        </w:r>
        <w:r w:rsidR="00D35848" w:rsidRPr="00D35848">
          <w:rPr>
            <w:rStyle w:val="Hyperlink"/>
            <w:rFonts w:eastAsia="Arial Unicode MS"/>
            <w:webHidden/>
            <w:u w:val="none"/>
            <w:rtl/>
            <w:lang w:val="ar-SA"/>
          </w:rPr>
          <w:fldChar w:fldCharType="end"/>
        </w:r>
      </w:hyperlink>
    </w:p>
    <w:p w14:paraId="4D4DDDBD" w14:textId="2CB6000C" w:rsidR="00D35848" w:rsidRPr="00D35848" w:rsidRDefault="001552B0" w:rsidP="00D35848">
      <w:pPr>
        <w:pStyle w:val="TOC2"/>
        <w:ind w:left="284"/>
        <w:rPr>
          <w:rStyle w:val="Hyperlink"/>
          <w:rFonts w:eastAsia="Arial Unicode MS"/>
          <w:u w:val="none"/>
          <w:rtl/>
          <w:lang w:val="ar-SA"/>
        </w:rPr>
      </w:pPr>
      <w:hyperlink w:anchor="_Toc232260711" w:history="1">
        <w:r w:rsidR="00D35848" w:rsidRPr="00D35848">
          <w:rPr>
            <w:rStyle w:val="Hyperlink"/>
            <w:rFonts w:ascii="Times New Roman" w:eastAsia="Arial Unicode MS" w:hAnsi="Times New Roman" w:cs="Times New Roman"/>
            <w:noProof/>
            <w:sz w:val="24"/>
            <w:szCs w:val="24"/>
            <w:u w:val="none"/>
            <w:rtl/>
            <w:lang w:val="ar-SA"/>
          </w:rPr>
          <w:t>المطلب الثاني</w:t>
        </w:r>
        <w:r w:rsidR="00D35848" w:rsidRPr="00D35848">
          <w:rPr>
            <w:rStyle w:val="Hyperlink"/>
            <w:rFonts w:eastAsia="Arial Unicode MS"/>
            <w:webHidden/>
            <w:u w:val="none"/>
            <w:rtl/>
            <w:lang w:val="ar-SA"/>
          </w:rPr>
          <w:t xml:space="preserve"> </w:t>
        </w:r>
      </w:hyperlink>
      <w:hyperlink w:anchor="_Toc232260712" w:history="1">
        <w:r w:rsidR="00D35848" w:rsidRPr="00D35848">
          <w:rPr>
            <w:rStyle w:val="Hyperlink"/>
            <w:rFonts w:ascii="Times New Roman" w:eastAsia="Arial Unicode MS" w:hAnsi="Times New Roman" w:cs="Times New Roman"/>
            <w:noProof/>
            <w:sz w:val="24"/>
            <w:szCs w:val="24"/>
            <w:u w:val="none"/>
            <w:rtl/>
            <w:lang w:val="ar-SA"/>
          </w:rPr>
          <w:t>الحماية التكنولوجية للمنتجات الفكرية في البيئة الرقمية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_Toc232260712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210</w:t>
        </w:r>
        <w:r w:rsidR="00D35848" w:rsidRPr="00D35848">
          <w:rPr>
            <w:rStyle w:val="Hyperlink"/>
            <w:rFonts w:eastAsia="Arial Unicode MS"/>
            <w:webHidden/>
            <w:u w:val="none"/>
            <w:rtl/>
            <w:lang w:val="ar-SA"/>
          </w:rPr>
          <w:fldChar w:fldCharType="end"/>
        </w:r>
      </w:hyperlink>
    </w:p>
    <w:p w14:paraId="3F408C0E" w14:textId="5BE77050"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3" w:history="1">
        <w:r w:rsidR="00D35848" w:rsidRPr="00D35848">
          <w:rPr>
            <w:rStyle w:val="Hyperlink"/>
            <w:rFonts w:ascii="Times New Roman" w:hAnsi="Times New Roman" w:cs="Times New Roman"/>
            <w:b/>
            <w:bCs/>
            <w:noProof/>
            <w:sz w:val="24"/>
            <w:szCs w:val="24"/>
            <w:u w:val="none"/>
            <w:rtl/>
            <w:lang w:val="ar-SA"/>
          </w:rPr>
          <w:t>الخاتمة</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Toc232260713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218</w:t>
        </w:r>
        <w:r w:rsidR="00D35848" w:rsidRPr="00D35848">
          <w:rPr>
            <w:rFonts w:ascii="Times New Roman" w:hAnsi="Times New Roman" w:cs="Times New Roman"/>
            <w:b/>
            <w:bCs/>
            <w:noProof/>
            <w:webHidden/>
            <w:sz w:val="24"/>
            <w:szCs w:val="24"/>
            <w:rtl/>
          </w:rPr>
          <w:fldChar w:fldCharType="end"/>
        </w:r>
      </w:hyperlink>
    </w:p>
    <w:p w14:paraId="2A49BA3F" w14:textId="3B1DA98C"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4" w:history="1">
        <w:r w:rsidR="00D35848" w:rsidRPr="00D35848">
          <w:rPr>
            <w:rStyle w:val="Hyperlink"/>
            <w:rFonts w:ascii="Times New Roman" w:hAnsi="Times New Roman" w:cs="Times New Roman"/>
            <w:b/>
            <w:bCs/>
            <w:noProof/>
            <w:sz w:val="24"/>
            <w:szCs w:val="24"/>
            <w:u w:val="none"/>
            <w:rtl/>
            <w:lang w:val="ar-SA"/>
          </w:rPr>
          <w:t>النتائج والتوصيات</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Toc232260714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218</w:t>
        </w:r>
        <w:r w:rsidR="00D35848" w:rsidRPr="00D35848">
          <w:rPr>
            <w:rFonts w:ascii="Times New Roman" w:hAnsi="Times New Roman" w:cs="Times New Roman"/>
            <w:b/>
            <w:bCs/>
            <w:noProof/>
            <w:webHidden/>
            <w:sz w:val="24"/>
            <w:szCs w:val="24"/>
            <w:rtl/>
          </w:rPr>
          <w:fldChar w:fldCharType="end"/>
        </w:r>
      </w:hyperlink>
    </w:p>
    <w:p w14:paraId="697ACF76" w14:textId="5F29E58A"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5" w:history="1">
        <w:r w:rsidR="00D35848" w:rsidRPr="00D35848">
          <w:rPr>
            <w:rStyle w:val="Hyperlink"/>
            <w:rFonts w:ascii="Times New Roman" w:hAnsi="Times New Roman" w:cs="Times New Roman"/>
            <w:b/>
            <w:bCs/>
            <w:noProof/>
            <w:sz w:val="24"/>
            <w:szCs w:val="24"/>
            <w:u w:val="none"/>
            <w:rtl/>
            <w:lang w:val="ar-SA"/>
          </w:rPr>
          <w:t>أولًا: النتائج</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Toc232260715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218</w:t>
        </w:r>
        <w:r w:rsidR="00D35848" w:rsidRPr="00D35848">
          <w:rPr>
            <w:rFonts w:ascii="Times New Roman" w:hAnsi="Times New Roman" w:cs="Times New Roman"/>
            <w:b/>
            <w:bCs/>
            <w:noProof/>
            <w:webHidden/>
            <w:sz w:val="24"/>
            <w:szCs w:val="24"/>
            <w:rtl/>
          </w:rPr>
          <w:fldChar w:fldCharType="end"/>
        </w:r>
      </w:hyperlink>
    </w:p>
    <w:p w14:paraId="2775D422" w14:textId="73B5DF3A" w:rsidR="00D35848" w:rsidRPr="00D35848" w:rsidRDefault="001552B0">
      <w:pPr>
        <w:pStyle w:val="TOC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6" w:history="1">
        <w:r w:rsidR="00D35848" w:rsidRPr="00D35848">
          <w:rPr>
            <w:rStyle w:val="Hyperlink"/>
            <w:rFonts w:ascii="Times New Roman" w:hAnsi="Times New Roman" w:cs="Times New Roman"/>
            <w:b/>
            <w:bCs/>
            <w:noProof/>
            <w:sz w:val="24"/>
            <w:szCs w:val="24"/>
            <w:u w:val="none"/>
            <w:rtl/>
            <w:lang w:val="ar-SA"/>
          </w:rPr>
          <w:t>ثانيًا: التوصيات</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Toc232260716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219</w:t>
        </w:r>
        <w:r w:rsidR="00D35848" w:rsidRPr="00D35848">
          <w:rPr>
            <w:rFonts w:ascii="Times New Roman" w:hAnsi="Times New Roman" w:cs="Times New Roman"/>
            <w:b/>
            <w:bCs/>
            <w:noProof/>
            <w:webHidden/>
            <w:sz w:val="24"/>
            <w:szCs w:val="24"/>
            <w:rtl/>
          </w:rPr>
          <w:fldChar w:fldCharType="end"/>
        </w:r>
      </w:hyperlink>
    </w:p>
    <w:p w14:paraId="6E57F643" w14:textId="28A28AB7" w:rsidR="00D35848" w:rsidRPr="00D35848" w:rsidRDefault="001552B0">
      <w:pPr>
        <w:pStyle w:val="TOC2"/>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7" w:history="1">
        <w:r w:rsidR="00D35848" w:rsidRPr="00D35848">
          <w:rPr>
            <w:rStyle w:val="Hyperlink"/>
            <w:rFonts w:ascii="Times New Roman" w:eastAsia="Arial Unicode MS" w:hAnsi="Times New Roman" w:cs="Times New Roman"/>
            <w:b/>
            <w:bCs/>
            <w:noProof/>
            <w:sz w:val="24"/>
            <w:szCs w:val="24"/>
            <w:u w:val="none"/>
            <w:rtl/>
            <w:lang w:val="ar-SA"/>
          </w:rPr>
          <w:t>قائمة المراجع</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Toc232260717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222</w:t>
        </w:r>
        <w:r w:rsidR="00D35848" w:rsidRPr="00D35848">
          <w:rPr>
            <w:rFonts w:ascii="Times New Roman" w:hAnsi="Times New Roman" w:cs="Times New Roman"/>
            <w:b/>
            <w:bCs/>
            <w:noProof/>
            <w:webHidden/>
            <w:sz w:val="24"/>
            <w:szCs w:val="24"/>
            <w:rtl/>
          </w:rPr>
          <w:fldChar w:fldCharType="end"/>
        </w:r>
      </w:hyperlink>
    </w:p>
    <w:p w14:paraId="3F8F6758" w14:textId="4F03D5F4" w:rsidR="00D35848" w:rsidRPr="00D35848" w:rsidRDefault="001552B0" w:rsidP="00D35848">
      <w:pPr>
        <w:pStyle w:val="TOC2"/>
        <w:ind w:left="284"/>
        <w:rPr>
          <w:rStyle w:val="Hyperlink"/>
          <w:rFonts w:eastAsia="Arial Unicode MS"/>
          <w:u w:val="none"/>
          <w:rtl/>
          <w:lang w:val="ar-SA"/>
        </w:rPr>
      </w:pPr>
      <w:hyperlink w:anchor="_Toc232260718" w:history="1">
        <w:r w:rsidR="00D35848" w:rsidRPr="00D35848">
          <w:rPr>
            <w:rStyle w:val="Hyperlink"/>
            <w:rFonts w:ascii="Times New Roman" w:eastAsia="Arial Unicode MS" w:hAnsi="Times New Roman" w:cs="Times New Roman"/>
            <w:noProof/>
            <w:sz w:val="24"/>
            <w:szCs w:val="24"/>
            <w:u w:val="none"/>
            <w:rtl/>
            <w:lang w:val="ar-SA"/>
          </w:rPr>
          <w:t>أولًا: المراجع العربية.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_Toc232260718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222</w:t>
        </w:r>
        <w:r w:rsidR="00D35848" w:rsidRPr="00D35848">
          <w:rPr>
            <w:rStyle w:val="Hyperlink"/>
            <w:rFonts w:eastAsia="Arial Unicode MS"/>
            <w:webHidden/>
            <w:u w:val="none"/>
            <w:rtl/>
            <w:lang w:val="ar-SA"/>
          </w:rPr>
          <w:fldChar w:fldCharType="end"/>
        </w:r>
      </w:hyperlink>
    </w:p>
    <w:p w14:paraId="7B7C704F" w14:textId="1D176814" w:rsidR="00D35848" w:rsidRPr="00D35848" w:rsidRDefault="001552B0" w:rsidP="00D35848">
      <w:pPr>
        <w:pStyle w:val="TOC2"/>
        <w:ind w:left="284"/>
        <w:rPr>
          <w:rStyle w:val="Hyperlink"/>
          <w:rFonts w:eastAsia="Arial Unicode MS"/>
          <w:u w:val="none"/>
          <w:rtl/>
          <w:lang w:val="ar-SA"/>
        </w:rPr>
      </w:pPr>
      <w:hyperlink w:anchor="_Toc232260719" w:history="1">
        <w:r w:rsidR="00D35848" w:rsidRPr="00D35848">
          <w:rPr>
            <w:rStyle w:val="Hyperlink"/>
            <w:rFonts w:ascii="Times New Roman" w:eastAsia="Arial Unicode MS" w:hAnsi="Times New Roman" w:cs="Times New Roman"/>
            <w:noProof/>
            <w:sz w:val="24"/>
            <w:szCs w:val="24"/>
            <w:u w:val="none"/>
            <w:rtl/>
            <w:lang w:val="ar-SA"/>
          </w:rPr>
          <w:t>ثانيًا: المراجع الأجنبية.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_Toc232260719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237</w:t>
        </w:r>
        <w:r w:rsidR="00D35848" w:rsidRPr="00D35848">
          <w:rPr>
            <w:rStyle w:val="Hyperlink"/>
            <w:rFonts w:eastAsia="Arial Unicode MS"/>
            <w:webHidden/>
            <w:u w:val="none"/>
            <w:rtl/>
            <w:lang w:val="ar-SA"/>
          </w:rPr>
          <w:fldChar w:fldCharType="end"/>
        </w:r>
      </w:hyperlink>
    </w:p>
    <w:p w14:paraId="6FED82A1" w14:textId="7F31B17F" w:rsidR="00D35848" w:rsidRPr="00D35848" w:rsidRDefault="001552B0" w:rsidP="00D35848">
      <w:pPr>
        <w:pStyle w:val="TOC2"/>
        <w:ind w:left="284"/>
        <w:rPr>
          <w:rStyle w:val="Hyperlink"/>
          <w:rFonts w:eastAsia="Arial Unicode MS"/>
          <w:u w:val="none"/>
          <w:rtl/>
          <w:lang w:val="ar-SA"/>
        </w:rPr>
      </w:pPr>
      <w:hyperlink w:anchor="_Toc232260720" w:history="1">
        <w:r w:rsidR="00D35848" w:rsidRPr="00D35848">
          <w:rPr>
            <w:rStyle w:val="Hyperlink"/>
            <w:rFonts w:ascii="Times New Roman" w:eastAsia="Arial Unicode MS" w:hAnsi="Times New Roman" w:cs="Times New Roman"/>
            <w:noProof/>
            <w:sz w:val="24"/>
            <w:szCs w:val="24"/>
            <w:u w:val="none"/>
            <w:rtl/>
            <w:lang w:val="ar-SA"/>
          </w:rPr>
          <w:t>ثالثًا: القوانين.</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_Toc232260720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248</w:t>
        </w:r>
        <w:r w:rsidR="00D35848" w:rsidRPr="00D35848">
          <w:rPr>
            <w:rStyle w:val="Hyperlink"/>
            <w:rFonts w:eastAsia="Arial Unicode MS"/>
            <w:webHidden/>
            <w:u w:val="none"/>
            <w:rtl/>
            <w:lang w:val="ar-SA"/>
          </w:rPr>
          <w:fldChar w:fldCharType="end"/>
        </w:r>
      </w:hyperlink>
    </w:p>
    <w:p w14:paraId="05B9451D" w14:textId="543EB51C" w:rsidR="00D35848" w:rsidRPr="00D35848" w:rsidRDefault="001552B0" w:rsidP="00D35848">
      <w:pPr>
        <w:pStyle w:val="TOC2"/>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21" w:history="1">
        <w:r w:rsidR="00D35848" w:rsidRPr="00D35848">
          <w:rPr>
            <w:rStyle w:val="Hyperlink"/>
            <w:rFonts w:ascii="Times New Roman" w:eastAsia="Arial Unicode MS" w:hAnsi="Times New Roman" w:cs="Times New Roman"/>
            <w:noProof/>
            <w:sz w:val="24"/>
            <w:szCs w:val="24"/>
            <w:u w:val="none"/>
            <w:rtl/>
            <w:lang w:val="ar-SA"/>
          </w:rPr>
          <w:t>رابعًا: المواقع الإلكترونية.</w:t>
        </w:r>
        <w:r w:rsidR="00D35848" w:rsidRPr="00D35848">
          <w:rPr>
            <w:rStyle w:val="Hyperlink"/>
            <w:rFonts w:eastAsia="Arial Unicode MS"/>
            <w:webHidden/>
            <w:u w:val="none"/>
            <w:rtl/>
            <w:lang w:val="ar-SA"/>
          </w:rPr>
          <w:tab/>
        </w:r>
        <w:r w:rsidR="00D35848" w:rsidRPr="00D35848">
          <w:rPr>
            <w:rStyle w:val="Hyperlink"/>
            <w:rFonts w:eastAsia="Arial Unicode MS"/>
            <w:webHidden/>
            <w:u w:val="none"/>
            <w:rtl/>
            <w:lang w:val="ar-SA"/>
          </w:rPr>
          <w:fldChar w:fldCharType="begin"/>
        </w:r>
        <w:r w:rsidR="00D35848" w:rsidRPr="00D35848">
          <w:rPr>
            <w:rStyle w:val="Hyperlink"/>
            <w:rFonts w:eastAsia="Arial Unicode MS"/>
            <w:webHidden/>
            <w:u w:val="none"/>
            <w:rtl/>
            <w:lang w:val="ar-SA"/>
          </w:rPr>
          <w:instrText xml:space="preserve"> PAGEREF _Toc232260721 \h </w:instrText>
        </w:r>
        <w:r w:rsidR="00D35848" w:rsidRPr="00D35848">
          <w:rPr>
            <w:rStyle w:val="Hyperlink"/>
            <w:rFonts w:eastAsia="Arial Unicode MS"/>
            <w:webHidden/>
            <w:u w:val="none"/>
            <w:rtl/>
            <w:lang w:val="ar-SA"/>
          </w:rPr>
        </w:r>
        <w:r w:rsidR="00D35848" w:rsidRPr="00D35848">
          <w:rPr>
            <w:rStyle w:val="Hyperlink"/>
            <w:rFonts w:eastAsia="Arial Unicode MS"/>
            <w:webHidden/>
            <w:u w:val="none"/>
            <w:rtl/>
            <w:lang w:val="ar-SA"/>
          </w:rPr>
          <w:fldChar w:fldCharType="separate"/>
        </w:r>
        <w:r w:rsidR="00D35848" w:rsidRPr="00D35848">
          <w:rPr>
            <w:rStyle w:val="Hyperlink"/>
            <w:rFonts w:eastAsia="Arial Unicode MS"/>
            <w:webHidden/>
            <w:u w:val="none"/>
            <w:rtl/>
            <w:lang w:val="ar-SA"/>
          </w:rPr>
          <w:t>249</w:t>
        </w:r>
        <w:r w:rsidR="00D35848" w:rsidRPr="00D35848">
          <w:rPr>
            <w:rStyle w:val="Hyperlink"/>
            <w:rFonts w:eastAsia="Arial Unicode MS"/>
            <w:webHidden/>
            <w:u w:val="none"/>
            <w:rtl/>
            <w:lang w:val="ar-SA"/>
          </w:rPr>
          <w:fldChar w:fldCharType="end"/>
        </w:r>
      </w:hyperlink>
    </w:p>
    <w:p w14:paraId="45914101" w14:textId="2F9D2F4B" w:rsidR="00E9455F" w:rsidRDefault="00E9455F" w:rsidP="007E301C">
      <w:pPr>
        <w:pStyle w:val="Body"/>
        <w:spacing w:after="0" w:line="240" w:lineRule="auto"/>
        <w:jc w:val="center"/>
        <w:rPr>
          <w:rFonts w:ascii="Times New Roman" w:eastAsia="Times New Roman" w:hAnsi="Times New Roman" w:cs="Times New Roman"/>
          <w:b/>
          <w:bCs/>
          <w:sz w:val="32"/>
          <w:szCs w:val="32"/>
          <w:rtl/>
          <w:lang w:val="ar-SA"/>
        </w:rPr>
      </w:pPr>
      <w:r w:rsidRPr="00D35848">
        <w:rPr>
          <w:rFonts w:ascii="Times New Roman" w:eastAsia="Times New Roman" w:hAnsi="Times New Roman" w:cs="Times New Roman"/>
          <w:b/>
          <w:bCs/>
          <w:sz w:val="24"/>
          <w:szCs w:val="24"/>
          <w:rtl/>
          <w:lang w:val="ar-SA"/>
        </w:rPr>
        <w:fldChar w:fldCharType="end"/>
      </w:r>
    </w:p>
    <w:p w14:paraId="0443192B" w14:textId="77777777" w:rsidR="00454428" w:rsidRDefault="00454428" w:rsidP="00C72BA8">
      <w:pPr>
        <w:pStyle w:val="Body"/>
        <w:spacing w:before="120" w:line="360" w:lineRule="auto"/>
        <w:sectPr w:rsidR="00454428" w:rsidSect="00906FAF">
          <w:footerReference w:type="default" r:id="rId12"/>
          <w:footnotePr>
            <w:numRestart w:val="eachPage"/>
          </w:footnotePr>
          <w:pgSz w:w="11900" w:h="16840"/>
          <w:pgMar w:top="1418" w:right="1985" w:bottom="1418" w:left="1418" w:header="709" w:footer="709" w:gutter="0"/>
          <w:pgNumType w:fmt="arabicAbjad"/>
          <w:cols w:space="720"/>
          <w:titlePg/>
          <w:bidi/>
          <w:docGrid w:linePitch="326"/>
        </w:sectPr>
      </w:pPr>
    </w:p>
    <w:p w14:paraId="1D292C9D" w14:textId="77777777" w:rsidR="00454428" w:rsidRDefault="00C464EC" w:rsidP="00C72BA8">
      <w:pPr>
        <w:pStyle w:val="a"/>
        <w:rPr>
          <w:rtl/>
          <w:lang w:val="ar-SA"/>
        </w:rPr>
      </w:pPr>
      <w:bookmarkStart w:id="12" w:name="_Toc227251055"/>
      <w:bookmarkStart w:id="13" w:name="_Toc232260612"/>
      <w:r>
        <w:rPr>
          <w:rFonts w:ascii="Arial Unicode MS" w:eastAsia="Arial Unicode MS" w:hAnsi="Arial Unicode MS" w:hint="cs"/>
          <w:rtl/>
          <w:lang w:val="ar-SA"/>
        </w:rPr>
        <w:lastRenderedPageBreak/>
        <w:t>المقدمة</w:t>
      </w:r>
      <w:bookmarkEnd w:id="12"/>
      <w:bookmarkEnd w:id="13"/>
    </w:p>
    <w:p w14:paraId="4FA13A08"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يعيش العالم ثورةً في عالم التكنولوجيا والاتصالات وهي مستمرة بشكل دائم ومتطوِّرة، وأهم ما أفرزته هذه الثورة هو الكمبيوتر وشبكة الإنترنت، وما لهما من تأثيرات شملت معظم مجالات الحياة،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فرضت نفسها على حقوق الملكية الفكرية، ولا شك أنَّ معظم ما تتضمنه هذه الشبكة من خلال المواقع الإلكترونية هو عبارة عن ملكية فكرية، سواء كانت براءةَ اختراعٍ، أو علاماتٍ تجاريةً، أو حقوقَ المؤلفين والحقوق المجاورة لها؛ حيث إنَّ ما ينشر في البيئة الرقمية أو الفضاء الإلكتروني هي حقوق لصاحبها ولا يجوز استغلالها بأي شكل من الأشكال إلا بإذن وموافقة مالكها</w:t>
      </w:r>
      <w:r>
        <w:rPr>
          <w:rFonts w:ascii="Times New Roman" w:hAnsi="Times New Roman"/>
          <w:sz w:val="24"/>
          <w:szCs w:val="24"/>
          <w:rtl/>
          <w:lang w:val="ar-SA"/>
        </w:rPr>
        <w:t>.</w:t>
      </w:r>
    </w:p>
    <w:p w14:paraId="773C2B2E"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تُعَدُّ الحماية القانونية للملكية الفكرية ضروريةً؛ لحماية حقوق المبتكرين والمبدعين في مجالات متنوعة،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الأدب، والفنون، والإعلام، والاختراعات، والعلوم، تهدف هذه الحماية إلى تعزيز الابتكار والإبداع، من خلال منح حقوق قانونية محددة لأصحاب الأعمال الفكرية، تشمل هذه الحقوق الحق في الاستخدام الحصري للعمل الفكري، بالإضافة إلى القدرة على منع الآخرين من نسخ أو استخدام العمل دون الحصول على إذن</w:t>
      </w:r>
      <w:r>
        <w:rPr>
          <w:rFonts w:ascii="Times New Roman" w:hAnsi="Times New Roman"/>
          <w:sz w:val="24"/>
          <w:szCs w:val="24"/>
          <w:rtl/>
          <w:lang w:val="ar-SA"/>
        </w:rPr>
        <w:t>.</w:t>
      </w:r>
    </w:p>
    <w:p w14:paraId="5A518197"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تختلف آليات الحماية من دولة لأخرى بِناءً على نوع الملكية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النشر وبراءات الاختراع، تُعتبر البراءات حقوقًا حصريةً تمنح مقابل اختراع معين؛ حيث تتيح لصاحب البراءة التحكم في كيفية استخدام الآخرين للاختراع، وفي المقابل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يُلزَم مالك البراءة بتوفير المعلومات التقنية المتعلقة بالاختراع في وثيقة البراءة المنشورة، أما العلامات التجارية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فهي تشير إلى تمييز منتجات أو خدمات شركة معينة عن تلك الخاصة بشركات أخرى</w:t>
      </w:r>
      <w:r>
        <w:rPr>
          <w:rFonts w:ascii="Times New Roman" w:hAnsi="Times New Roman"/>
          <w:sz w:val="24"/>
          <w:szCs w:val="24"/>
          <w:rtl/>
          <w:lang w:val="ar-SA"/>
        </w:rPr>
        <w:t xml:space="preserve">. </w:t>
      </w:r>
    </w:p>
    <w:p w14:paraId="03E55DB1"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بالإضافة إلى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تشمل حقوق المؤلف مجموعةً واسعةً من الأعمال، بَدءًا من النشر الإعلامي والكتب والموسيقى، وصولًا إلى اللوحات الزيتية، والمنحوتات، والأفلام، وكذلك البرامج الحاسوبية، وقواعد البيانات، والإعلانات، والخرائط، والرسوم التقنية</w:t>
      </w:r>
      <w:r>
        <w:rPr>
          <w:rFonts w:ascii="Times New Roman" w:hAnsi="Times New Roman"/>
          <w:sz w:val="24"/>
          <w:szCs w:val="24"/>
          <w:rtl/>
          <w:lang w:val="ar-SA"/>
        </w:rPr>
        <w:t>.</w:t>
      </w:r>
    </w:p>
    <w:p w14:paraId="11480EFE"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يعمل القانون على حماية الملكية الفكرية التجارية والمالية لأصحاب الأعمال في المملكة، وفي القوانين المقارنة؛ ممَّا يسهم في تعزيز الاستثمار في مجالات البحث والابتكار، كما أنَّ حقوق الملكية الفكرية تعزّز المنافسة العادلة، وتقلل من الانتهاكات والقرصنة الفكرية</w:t>
      </w:r>
      <w:r>
        <w:rPr>
          <w:rFonts w:ascii="Times New Roman" w:hAnsi="Times New Roman"/>
          <w:sz w:val="24"/>
          <w:szCs w:val="24"/>
          <w:rtl/>
          <w:lang w:val="ar-SA"/>
        </w:rPr>
        <w:t>.</w:t>
      </w:r>
    </w:p>
    <w:p w14:paraId="1473E8E3"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ونتيجة للتطور التكنولوجي تغيرت النظرة إلى مفهوم الملكية الفكرية حيث اتسع المفهوم ليشمل العديد من أشكال الملكية الفكرية وهي الأعمال الإبداعية التي يتم إنتاجها في البيئة الرقمية</w:t>
      </w:r>
      <w:r>
        <w:rPr>
          <w:rFonts w:ascii="Times New Roman" w:hAnsi="Times New Roman"/>
          <w:sz w:val="24"/>
          <w:szCs w:val="24"/>
          <w:rtl/>
          <w:lang w:val="ar-SA"/>
        </w:rPr>
        <w:t xml:space="preserve">. </w:t>
      </w:r>
    </w:p>
    <w:p w14:paraId="44CFB8F3" w14:textId="77777777" w:rsidR="007407C2" w:rsidRDefault="00C464EC" w:rsidP="007407C2">
      <w:pPr>
        <w:pStyle w:val="Body"/>
        <w:spacing w:before="120" w:after="120" w:line="360" w:lineRule="auto"/>
        <w:ind w:firstLine="720"/>
        <w:jc w:val="both"/>
        <w:rPr>
          <w:rFonts w:ascii="Times New Roman" w:hAnsi="Times New Roman"/>
          <w:sz w:val="24"/>
          <w:szCs w:val="24"/>
          <w:vertAlign w:val="superscript"/>
          <w:rtl/>
          <w:lang w:val="ar-SA"/>
        </w:rPr>
      </w:pPr>
      <w:r>
        <w:rPr>
          <w:rFonts w:ascii="Arial Unicode MS" w:hAnsi="Arial Unicode MS" w:cs="Times New Roman" w:hint="cs"/>
          <w:sz w:val="24"/>
          <w:szCs w:val="24"/>
          <w:rtl/>
          <w:lang w:val="ar-SA"/>
        </w:rPr>
        <w:t>فقد ساهمت الثورة الصناعية من خلال التقدم التقني وانتشار الحاسبات الآلية لبزوغ الثورة الجديدة في مجال الاتصالات ونقل المعلومات عبر وسائل متعددة مبتدئة بالتلغراف فالهاتف فالأقمار الصناعية والانترنت وغيرها، وأحدثها شبكة الانترنت وهذا ما ساعد على تسهيل طرق نشر حقوق الملكية الفكرية بجميع أنواعها شبكات الاتصالات أو عبر أجهزة الحاسب الآلي وغيرها من الوسائل الأخرى للنشر الإلكتروني</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
      </w:r>
      <w:r>
        <w:rPr>
          <w:rFonts w:ascii="Times New Roman" w:hAnsi="Times New Roman"/>
          <w:sz w:val="24"/>
          <w:szCs w:val="24"/>
          <w:vertAlign w:val="superscript"/>
          <w:rtl/>
          <w:lang w:val="ar-SA"/>
        </w:rPr>
        <w:t>)</w:t>
      </w:r>
    </w:p>
    <w:p w14:paraId="265CD28A" w14:textId="6FF71346" w:rsidR="00454428" w:rsidRDefault="00C464EC" w:rsidP="007407C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فلا شك أن التطور التكنولوجي في مختلف جوانب الحياة ساهم بشكل كبير في ظهور حقوق جديدة لم تكن مألوفة في الماضي، وتشمل هذه الحقوق</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حق المخترع، وحق المكتشف، وحق المصمم، وحق الرسام، وحق المؤلف، وذلك في </w:t>
      </w:r>
      <w:r>
        <w:rPr>
          <w:rFonts w:ascii="Arial Unicode MS" w:hAnsi="Arial Unicode MS" w:cs="Times New Roman" w:hint="cs"/>
          <w:sz w:val="24"/>
          <w:szCs w:val="24"/>
          <w:rtl/>
          <w:lang w:val="ar-SA"/>
        </w:rPr>
        <w:lastRenderedPageBreak/>
        <w:t xml:space="preserve">حقول المعارف المتعددة من علوم أو آداب أو فنون سواء تم التعبير عن هذه المصنفات في مظهر الكتابة أو الصوت أو الرسم أو الحركة أو الشكل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5205C54F"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يتضح من ذلك أن التطور التكنولوجي أثر في فكرة حقوق الملكية من زاويتين الزاوية الأولى ظهور حقوق جديدة تتعلق بالبيئة الرقمية أما الزاوية الأخرى فهي المتطلبات القانونية اللازمة لحماية حقوق الملكية الفكرية في البيئة الرقمية</w:t>
      </w:r>
      <w:r>
        <w:rPr>
          <w:rFonts w:ascii="Times New Roman" w:hAnsi="Times New Roman"/>
          <w:sz w:val="24"/>
          <w:szCs w:val="24"/>
          <w:rtl/>
          <w:lang w:val="ar-SA"/>
        </w:rPr>
        <w:t xml:space="preserve">. </w:t>
      </w:r>
    </w:p>
    <w:p w14:paraId="426F44FC"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تعتبر حماية الحقوق القانونية للملكية الفكرية في الفضاء الرقمي من أبرز التحديات التي تواجه المجتمعات المعاصرة، وذلك في ظل التطوُّر التكنولوجي السريع وانتشار البيئة الرقمية، وتهدف حقوق الملكية الفكرية إلى حماية الابتكارات والإبداعات الفكرية، وتشجيع الابتكار والإبداع، وذلك من خلال توفير الحماية القانونية للمخترعين، والمؤلفين، والمبدعين، أما كلمة ملكية فإنَّها تنطبق على الأشياء المادية من عقارات ومنقولات، وإذا كانت ملكية الأشياء تبدو طبيعيةً ومألوفةً؛ فإنَّ التساؤل يثور حول حيازة الإنتاج الفكري</w:t>
      </w:r>
      <w:r>
        <w:rPr>
          <w:rFonts w:ascii="Times New Roman" w:hAnsi="Times New Roman"/>
          <w:sz w:val="24"/>
          <w:szCs w:val="24"/>
          <w:rtl/>
          <w:lang w:val="ar-SA"/>
        </w:rPr>
        <w:t>.</w:t>
      </w:r>
      <w:bookmarkStart w:id="14" w:name="_Hlk175666718"/>
      <w:r>
        <w:rPr>
          <w:rFonts w:ascii="Times New Roman" w:hAnsi="Times New Roman"/>
          <w:sz w:val="24"/>
          <w:szCs w:val="24"/>
          <w:rtl/>
          <w:lang w:val="ar-SA"/>
        </w:rPr>
        <w:t xml:space="preserve"> </w:t>
      </w:r>
      <w:bookmarkEnd w:id="14"/>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
      </w:r>
      <w:r>
        <w:rPr>
          <w:rFonts w:ascii="Times New Roman" w:hAnsi="Times New Roman"/>
          <w:sz w:val="24"/>
          <w:szCs w:val="24"/>
          <w:vertAlign w:val="superscript"/>
          <w:rtl/>
          <w:lang w:val="ar-SA"/>
        </w:rPr>
        <w:t>)</w:t>
      </w:r>
    </w:p>
    <w:p w14:paraId="41B656DB"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حيث تكمن الصعوبة في مدى اعتبار حقوق الملكية الفكرية بشكل عام، وحقوق المؤلفين، والحقوق المجاورة لها بمنأى عن الاعتداءات التي قد تتعرض لها، في حقيقة الأمر</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فإنَّ السهولة المفرطة في النسخ والتوزيع وقلة تكاليفها وتزايد عدد المستخدمين يجعل هذه البيئة غير آمنة،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ظهرت مشاكل كبيرة في هذا المجال، ومن هنا كان لا بُدَّ من البحث في حماية حقوق المؤلف والحقوق المرتبطة بها في الفضاء الرقمي، وكذلك النشر الإلكتروني</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
      </w:r>
      <w:r>
        <w:rPr>
          <w:rFonts w:ascii="Times New Roman" w:hAnsi="Times New Roman"/>
          <w:sz w:val="24"/>
          <w:szCs w:val="24"/>
          <w:vertAlign w:val="superscript"/>
          <w:rtl/>
          <w:lang w:val="ar-SA"/>
        </w:rPr>
        <w:t>)</w:t>
      </w:r>
    </w:p>
    <w:p w14:paraId="0B2EEB33" w14:textId="0D85EDE6"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نتيجةً لذلك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تسارعت الجهود الدولية ومنظمات العالم لتوحيد المساعي نحو إيجاد أساليب متطوِّرة تهدف إلى توفير حماية أفضل للحقوق الفكرية في البيئة الرقمية، وقد كانت من أبرز هذه الجهود على المستوى التجاري الدولي إنشاء منظمة التجارة العالمية </w:t>
      </w:r>
      <w:r>
        <w:rPr>
          <w:rFonts w:ascii="Times New Roman" w:hAnsi="Times New Roman"/>
          <w:sz w:val="24"/>
          <w:szCs w:val="24"/>
          <w:rtl/>
          <w:lang w:val="ar-SA"/>
        </w:rPr>
        <w:t>(</w:t>
      </w:r>
      <w:r>
        <w:rPr>
          <w:rFonts w:ascii="Times New Roman" w:hAnsi="Times New Roman"/>
          <w:sz w:val="24"/>
          <w:szCs w:val="24"/>
          <w:lang w:val="de-DE"/>
        </w:rPr>
        <w:t>W.T.O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w:t>
      </w:r>
      <w:r>
        <w:rPr>
          <w:rFonts w:ascii="Times New Roman" w:hAnsi="Times New Roman"/>
          <w:sz w:val="24"/>
          <w:szCs w:val="24"/>
          <w:rtl/>
          <w:lang w:val="ar-SA"/>
        </w:rPr>
        <w:t xml:space="preserve">15 </w:t>
      </w:r>
      <w:r>
        <w:rPr>
          <w:rFonts w:ascii="Arial Unicode MS" w:hAnsi="Arial Unicode MS" w:cs="Times New Roman" w:hint="cs"/>
          <w:sz w:val="24"/>
          <w:szCs w:val="24"/>
          <w:rtl/>
          <w:lang w:val="ar-SA"/>
        </w:rPr>
        <w:t xml:space="preserve">أبريل </w:t>
      </w:r>
      <w:r>
        <w:rPr>
          <w:rFonts w:ascii="Times New Roman" w:hAnsi="Times New Roman"/>
          <w:sz w:val="24"/>
          <w:szCs w:val="24"/>
          <w:rtl/>
          <w:lang w:val="ar-SA"/>
        </w:rPr>
        <w:t>1994</w:t>
      </w:r>
      <w:r>
        <w:rPr>
          <w:rFonts w:ascii="Arial Unicode MS" w:hAnsi="Arial Unicode MS" w:cs="Times New Roman" w:hint="cs"/>
          <w:sz w:val="24"/>
          <w:szCs w:val="24"/>
          <w:rtl/>
          <w:lang w:val="ar-SA"/>
        </w:rPr>
        <w:t>؛ حيث أسفرت جهودها عن إبرام اتفاقية تريبس التي تعمل تحت مظلة المنظمة، أما على صعيد الحقوق الأدبية والفنية الدولية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فقد أُسست المنظمة العالمية للملكية الفكرية </w:t>
      </w:r>
      <w:r>
        <w:rPr>
          <w:rFonts w:ascii="Times New Roman" w:hAnsi="Times New Roman"/>
          <w:sz w:val="24"/>
          <w:szCs w:val="24"/>
          <w:rtl/>
          <w:lang w:val="ar-SA"/>
        </w:rPr>
        <w:t>(</w:t>
      </w:r>
      <w:r>
        <w:rPr>
          <w:rFonts w:ascii="Times New Roman" w:hAnsi="Times New Roman"/>
          <w:sz w:val="24"/>
          <w:szCs w:val="24"/>
        </w:rPr>
        <w:t>WIPO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عام </w:t>
      </w:r>
      <w:r>
        <w:rPr>
          <w:rFonts w:ascii="Times New Roman" w:hAnsi="Times New Roman"/>
          <w:sz w:val="24"/>
          <w:szCs w:val="24"/>
          <w:rtl/>
          <w:lang w:val="ar-SA"/>
        </w:rPr>
        <w:t>1974</w:t>
      </w:r>
      <w:r>
        <w:rPr>
          <w:rFonts w:ascii="Arial Unicode MS" w:hAnsi="Arial Unicode MS" w:cs="Times New Roman" w:hint="cs"/>
          <w:sz w:val="24"/>
          <w:szCs w:val="24"/>
          <w:rtl/>
          <w:lang w:val="ar-SA"/>
        </w:rPr>
        <w:t xml:space="preserve">، ونجحت في إبرام العديد من الاتفاقيات، من أبرزها اتفاقية </w:t>
      </w:r>
      <w:r>
        <w:rPr>
          <w:rFonts w:ascii="Times New Roman" w:hAnsi="Times New Roman"/>
          <w:sz w:val="24"/>
          <w:szCs w:val="24"/>
        </w:rPr>
        <w:t>WIPO</w:t>
      </w:r>
      <w:r>
        <w:rPr>
          <w:rFonts w:ascii="Arial Unicode MS" w:hAnsi="Arial Unicode MS" w:cs="Times New Roman" w:hint="cs"/>
          <w:sz w:val="24"/>
          <w:szCs w:val="24"/>
          <w:rtl/>
          <w:lang w:val="ar-SA"/>
        </w:rPr>
        <w:t xml:space="preserve"> لحماية حقوق التأليف في عام </w:t>
      </w:r>
      <w:r>
        <w:rPr>
          <w:rFonts w:ascii="Times New Roman" w:hAnsi="Times New Roman"/>
          <w:sz w:val="24"/>
          <w:szCs w:val="24"/>
          <w:rtl/>
          <w:lang w:val="ar-SA"/>
        </w:rPr>
        <w:t>1996</w:t>
      </w:r>
      <w:r>
        <w:rPr>
          <w:rFonts w:ascii="Arial Unicode MS" w:hAnsi="Arial Unicode MS" w:cs="Times New Roman" w:hint="cs"/>
          <w:sz w:val="24"/>
          <w:szCs w:val="24"/>
          <w:rtl/>
          <w:lang w:val="ar-SA"/>
        </w:rPr>
        <w:t xml:space="preserve">، واتفاقية </w:t>
      </w:r>
      <w:r>
        <w:rPr>
          <w:rFonts w:ascii="Times New Roman" w:hAnsi="Times New Roman"/>
          <w:sz w:val="24"/>
          <w:szCs w:val="24"/>
        </w:rPr>
        <w:t>WIPO</w:t>
      </w:r>
      <w:r>
        <w:rPr>
          <w:rFonts w:ascii="Arial Unicode MS" w:hAnsi="Arial Unicode MS" w:cs="Times New Roman" w:hint="cs"/>
          <w:sz w:val="24"/>
          <w:szCs w:val="24"/>
          <w:rtl/>
          <w:lang w:val="ar-SA"/>
        </w:rPr>
        <w:t xml:space="preserve"> لحماية حقوق المؤدين ومنتجي التسجيلات الصوتية في نفس العام</w:t>
      </w:r>
      <w:r>
        <w:rPr>
          <w:rFonts w:ascii="Times New Roman" w:hAnsi="Times New Roman"/>
          <w:sz w:val="24"/>
          <w:szCs w:val="24"/>
          <w:rtl/>
          <w:lang w:val="ar-SA"/>
        </w:rPr>
        <w:t>.</w:t>
      </w:r>
    </w:p>
    <w:p w14:paraId="2201BCA0" w14:textId="660442AE" w:rsidR="00454428" w:rsidRDefault="00A2265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noProof/>
          <w:sz w:val="24"/>
          <w:szCs w:val="24"/>
          <w:rtl/>
          <w14:textOutline w14:w="0" w14:cap="rnd" w14:cmpd="sng" w14:algn="ctr">
            <w14:noFill/>
            <w14:prstDash w14:val="solid"/>
            <w14:bevel/>
          </w14:textOutline>
        </w:rPr>
        <mc:AlternateContent>
          <mc:Choice Requires="wps">
            <w:drawing>
              <wp:anchor distT="0" distB="0" distL="114300" distR="114300" simplePos="0" relativeHeight="251660288" behindDoc="0" locked="0" layoutInCell="1" allowOverlap="1" wp14:anchorId="119FD42F" wp14:editId="1CED04BA">
                <wp:simplePos x="0" y="0"/>
                <wp:positionH relativeFrom="column">
                  <wp:posOffset>5668620</wp:posOffset>
                </wp:positionH>
                <wp:positionV relativeFrom="paragraph">
                  <wp:posOffset>431673</wp:posOffset>
                </wp:positionV>
                <wp:extent cx="843148" cy="702310"/>
                <wp:effectExtent l="0" t="0" r="14605" b="21590"/>
                <wp:wrapNone/>
                <wp:docPr id="2" name="Text Box 2"/>
                <wp:cNvGraphicFramePr/>
                <a:graphic xmlns:a="http://schemas.openxmlformats.org/drawingml/2006/main">
                  <a:graphicData uri="http://schemas.microsoft.com/office/word/2010/wordprocessingShape">
                    <wps:wsp>
                      <wps:cNvSpPr txBox="1"/>
                      <wps:spPr>
                        <a:xfrm>
                          <a:off x="0" y="0"/>
                          <a:ext cx="843148" cy="702310"/>
                        </a:xfrm>
                        <a:prstGeom prst="rect">
                          <a:avLst/>
                        </a:prstGeom>
                        <a:noFill/>
                        <a:ln w="6350">
                          <a:solidFill>
                            <a:prstClr val="black"/>
                          </a:solidFill>
                        </a:ln>
                        <a:effectLst/>
                        <a:sp3d/>
                      </wps:spPr>
                      <wps:style>
                        <a:lnRef idx="0">
                          <a:scrgbClr r="0" g="0" b="0"/>
                        </a:lnRef>
                        <a:fillRef idx="0">
                          <a:scrgbClr r="0" g="0" b="0"/>
                        </a:fillRef>
                        <a:effectRef idx="0">
                          <a:scrgbClr r="0" g="0" b="0"/>
                        </a:effectRef>
                        <a:fontRef idx="none"/>
                      </wps:style>
                      <wps:txbx>
                        <w:txbxContent>
                          <w:p w14:paraId="0978F228" w14:textId="2C943A93" w:rsidR="000B6E77" w:rsidRDefault="000B6E77" w:rsidP="00A2265C">
                            <w:pPr>
                              <w:shd w:val="clear" w:color="auto" w:fill="FFFF00"/>
                              <w:jc w:val="right"/>
                            </w:pPr>
                            <w:r>
                              <w:rPr>
                                <w:rFonts w:hint="cs"/>
                                <w:rtl/>
                              </w:rPr>
                              <w:t>حداثة المراجع</w:t>
                            </w:r>
                          </w:p>
                        </w:txbxContent>
                      </wps:txbx>
                      <wps:bodyPr rot="0" spcFirstLastPara="1" vertOverflow="overflow" horzOverflow="overflow" vert="horz" wrap="square" lIns="45719" tIns="45719" rIns="45719" bIns="45719"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9FD42F" id="_x0000_t202" coordsize="21600,21600" o:spt="202" path="m,l,21600r21600,l21600,xe">
                <v:stroke joinstyle="miter"/>
                <v:path gradientshapeok="t" o:connecttype="rect"/>
              </v:shapetype>
              <v:shape id="Text Box 2" o:spid="_x0000_s1026" type="#_x0000_t202" style="position:absolute;left:0;text-align:left;margin-left:446.35pt;margin-top:34pt;width:66.4pt;height:5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" filled="f" strokeweight=".5pt">
                <v:textbox inset="1.27mm,1.27mm,1.27mm,1.27mm">
                  <w:txbxContent>
                    <w:p w14:paraId="0978F228" w14:textId="2C943A93" w:rsidR="000B6E77" w:rsidRDefault="000B6E77" w:rsidP="00A2265C">
                      <w:pPr>
                        <w:shd w:val="clear" w:color="auto" w:fill="FFFF00"/>
                        <w:jc w:val="right"/>
                      </w:pPr>
                      <w:r>
                        <w:rPr>
                          <w:rFonts w:hint="cs"/>
                          <w:rtl/>
                        </w:rPr>
                        <w:t>حداثة المراجع</w:t>
                      </w:r>
                    </w:p>
                  </w:txbxContent>
                </v:textbox>
              </v:shape>
            </w:pict>
          </mc:Fallback>
        </mc:AlternateContent>
      </w:r>
      <w:r w:rsidR="00C464EC">
        <w:rPr>
          <w:rFonts w:ascii="Arial Unicode MS" w:hAnsi="Arial Unicode MS" w:cs="Times New Roman" w:hint="cs"/>
          <w:sz w:val="24"/>
          <w:szCs w:val="24"/>
          <w:rtl/>
          <w:lang w:val="ar-SA"/>
        </w:rPr>
        <w:t>نظرًا للأهمية الكبيرة التي تتمتع بها الحقوق الفكرية ودورها الحيوي في تعزيز البحث العلمي والإبداع والابتكار؛ ممَّا يساهم بشكل إيجابي في التقدم الصناعي والتكنولوجي، كان من الطبيعي أنْ تسعى التشريعات والمنظمات الدولية إلى توفير الحماية اللازمة والمناسبة لهذه الحقوق، وخاصةً الحقوق الرقمية، فالمجهود الفكري يرتبط بشكل وثيق بشخص صاحبه، أكثر من ارتباطه بالجهد البدني الذي تحميه جميع القوانين</w:t>
      </w:r>
      <w:r w:rsidR="00C464EC">
        <w:rPr>
          <w:rFonts w:ascii="Times New Roman" w:hAnsi="Times New Roman"/>
          <w:sz w:val="24"/>
          <w:szCs w:val="24"/>
          <w:rtl/>
          <w:lang w:val="ar-SA"/>
        </w:rPr>
        <w:t xml:space="preserve">. </w:t>
      </w:r>
    </w:p>
    <w:p w14:paraId="37AE0956"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وبسبب تعدد أنواع الحقوق الفكرية؛ تختلف وسائل حمايتها أيضًا، عمومًا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يمكن تقسيم وسائل حماية الحقوق الفكرية الرقمية إلى قسمين</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قانونية وتقنية، تشير الوسائل التقنية إلى مجموعة من الأدوات التي تهدف إلى ضمان أمن وموثوقية البيانات والمعلومات المتداولة عبر الإنترنت أو في بيئة الحاسوب، بالإضافة إلى مشروعية الاستخدام والتداول في الفضاء الرقمي، ومن الأمثلة على هذه الوسائل التشفير، والخصوصية، والجدران النارية</w:t>
      </w:r>
      <w:r>
        <w:rPr>
          <w:rFonts w:ascii="Times New Roman" w:hAnsi="Times New Roman"/>
          <w:sz w:val="24"/>
          <w:szCs w:val="24"/>
          <w:rtl/>
          <w:lang w:val="ar-SA"/>
        </w:rPr>
        <w:t xml:space="preserve">. </w:t>
      </w:r>
    </w:p>
    <w:p w14:paraId="2AA8FF76"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lastRenderedPageBreak/>
        <w:t>ومع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ستركز دراستنا على الحماية القانونية، والتي تتولَّى مسئوليتها التشريعات الوطنية والاتفاقيات الدولية المتعلقة بحماية الحقوق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قانون حماية حق المؤلف، وقانون براءات الاختراع، وقانون حماية العلامات التجارية، بالإضافة إلى القواعد العامة،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القانون المدني</w:t>
      </w:r>
      <w:r>
        <w:rPr>
          <w:rFonts w:ascii="Times New Roman" w:hAnsi="Times New Roman"/>
          <w:sz w:val="24"/>
          <w:szCs w:val="24"/>
          <w:rtl/>
          <w:lang w:val="ar-SA"/>
        </w:rPr>
        <w:t>.</w:t>
      </w:r>
    </w:p>
    <w:p w14:paraId="305D15D4"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تهدف هذه </w:t>
      </w:r>
      <w:bookmarkStart w:id="15" w:name="_Hlk183281366"/>
      <w:r>
        <w:rPr>
          <w:rFonts w:ascii="Arial Unicode MS" w:hAnsi="Arial Unicode MS" w:cs="Times New Roman" w:hint="cs"/>
          <w:sz w:val="24"/>
          <w:szCs w:val="24"/>
          <w:rtl/>
          <w:lang w:val="ar-SA"/>
        </w:rPr>
        <w:t xml:space="preserve">الدراسة </w:t>
      </w:r>
      <w:bookmarkEnd w:id="15"/>
      <w:r>
        <w:rPr>
          <w:rFonts w:ascii="Arial Unicode MS" w:hAnsi="Arial Unicode MS" w:cs="Times New Roman" w:hint="cs"/>
          <w:sz w:val="24"/>
          <w:szCs w:val="24"/>
          <w:rtl/>
          <w:lang w:val="ar-SA"/>
        </w:rPr>
        <w:t>إلى تقديم دراسة شاملة ومقارنة حول الحماية القانونية لحقوق الملكية الفكرية في البيئة الرقمية، مع التركيز على التحديات والفرص التي تتيحها التطوُّرات التكنولوجية الحديثة، من خلال استعراض القوانين والتشريعات الوطنية والدولية، تسعى الرسالة إلى تقديم توصيات فعَّالة؛ لتعزيز حماية حقوق الملكية الفكرية في العصر الرقمي، بما يسهم في دعم الابتكار، والإبداع، وتحقيق التنمية المستدامة</w:t>
      </w:r>
      <w:r>
        <w:rPr>
          <w:rFonts w:ascii="Times New Roman" w:hAnsi="Times New Roman"/>
          <w:sz w:val="24"/>
          <w:szCs w:val="24"/>
          <w:rtl/>
          <w:lang w:val="ar-SA"/>
        </w:rPr>
        <w:t>.</w:t>
      </w:r>
    </w:p>
    <w:p w14:paraId="7E1B362F" w14:textId="77777777" w:rsidR="00454428" w:rsidRDefault="00C464EC" w:rsidP="00C72BA8">
      <w:pPr>
        <w:pStyle w:val="a0"/>
        <w:rPr>
          <w:rtl/>
          <w:lang w:val="ar-SA"/>
        </w:rPr>
      </w:pPr>
      <w:bookmarkStart w:id="16" w:name="_Toc227251056"/>
      <w:bookmarkStart w:id="17" w:name="_Toc232260613"/>
      <w:commentRangeStart w:id="18"/>
      <w:r>
        <w:rPr>
          <w:rFonts w:ascii="Arial Unicode MS" w:eastAsia="Arial Unicode MS" w:hAnsi="Arial Unicode MS" w:hint="cs"/>
          <w:rtl/>
          <w:lang w:val="ar-SA"/>
        </w:rPr>
        <w:t>أولًا</w:t>
      </w:r>
      <w:commentRangeEnd w:id="18"/>
      <w:r w:rsidR="00F24E0A">
        <w:rPr>
          <w:rStyle w:val="CommentReference"/>
          <w:rFonts w:eastAsia="Arial Unicode MS"/>
          <w:b w:val="0"/>
          <w:bCs w:val="0"/>
          <w:color w:val="auto"/>
          <w:rtl/>
        </w:rPr>
        <w:commentReference w:id="18"/>
      </w:r>
      <w:r>
        <w:rPr>
          <w:rtl/>
          <w:lang w:val="ar-SA"/>
        </w:rPr>
        <w:t xml:space="preserve">: </w:t>
      </w:r>
      <w:r>
        <w:rPr>
          <w:rFonts w:ascii="Arial Unicode MS" w:eastAsia="Arial Unicode MS" w:hAnsi="Arial Unicode MS" w:hint="cs"/>
          <w:rtl/>
          <w:lang w:val="ar-SA"/>
        </w:rPr>
        <w:t>أهمية الدراسة</w:t>
      </w:r>
      <w:r>
        <w:rPr>
          <w:rtl/>
          <w:lang w:val="ar-SA"/>
        </w:rPr>
        <w:t>:</w:t>
      </w:r>
      <w:bookmarkEnd w:id="16"/>
      <w:bookmarkEnd w:id="17"/>
    </w:p>
    <w:p w14:paraId="74FAB6E9" w14:textId="77777777" w:rsidR="00454428" w:rsidRDefault="00C464EC">
      <w:pPr>
        <w:pStyle w:val="ListParagraph"/>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يعتبر كل ما ينتج عن الفكر والعقل البشري من ابتكارات وإبداعات من الأمور التي تستحق الحماية والمحافظة عليها؛ حيث تعتبر هذه الحقوق مرتبطةً ارتباطًا وثيقًا بالفرد، فهي نتاج جهوده الفكرية، ويُعَدُّ الابتكار والإبداع من أبرز سماته، وغالبًا ما ترتبط هذه الإبداعات بالجوانب الإنتاجية والاقتصادية؛ ممَّا يعود بالنفع على صاحبها والمجتمع بشكل عام</w:t>
      </w:r>
      <w:r>
        <w:rPr>
          <w:rFonts w:ascii="Times New Roman" w:hAnsi="Times New Roman"/>
          <w:sz w:val="24"/>
          <w:szCs w:val="24"/>
          <w:rtl/>
          <w:lang w:val="ar-SA"/>
        </w:rPr>
        <w:t>.</w:t>
      </w:r>
    </w:p>
    <w:p w14:paraId="51480300" w14:textId="77777777" w:rsidR="00454428" w:rsidRDefault="00C464EC">
      <w:pPr>
        <w:pStyle w:val="ListParagraph"/>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تتجلَّى أهمية الملكية الفكرية من خلال ضرورة حمايتها، خاصةً مع ظهور الإبداعات والاختراعات، واستمرار الثورة الصناعية؛ ممَّا أدى إلى نتائج خطيرة على الأصعدة الاقتصادية، والاجتماعية، والصحية، وقد أثر ذلك بشكل إيجابي على عملية الإنتاج وزيادة حركة التبادل الدولي؛ ممَّا استدعى تنظيم العلاقات التجارية ضمن إطار النظام التجاري الدولي</w:t>
      </w:r>
      <w:r>
        <w:rPr>
          <w:rFonts w:ascii="Times New Roman" w:hAnsi="Times New Roman"/>
          <w:sz w:val="24"/>
          <w:szCs w:val="24"/>
          <w:rtl/>
          <w:lang w:val="ar-SA"/>
        </w:rPr>
        <w:t>.</w:t>
      </w:r>
    </w:p>
    <w:p w14:paraId="52A808AA" w14:textId="77777777" w:rsidR="00454428" w:rsidRDefault="00C464EC">
      <w:pPr>
        <w:pStyle w:val="ListParagraph"/>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تشكل الحماية القانونية لحقوق الملكية الفكرية في البيئة الرقمية مسألةً ذاتَ أهميةٍ بالغةٍ، تُعَدُّ هذه الحقوق أساسيةً لتعزيز الابتكار والإبداع، وتشجيع الاستثمار في الأبحاث والتطوير بفضل التقدم التكنولوجي، أصبح بإمكان الأفراد والمؤسسات نسخ وتوزيع المحتوى الرقمي بسرعة وسهولة عبر منصات متعددة؛ ممَّا يضاعف التحديات المتعلقة بحقوق الملكية الفكرية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6"/>
      </w:r>
      <w:r>
        <w:rPr>
          <w:rFonts w:ascii="Times New Roman" w:hAnsi="Times New Roman"/>
          <w:sz w:val="24"/>
          <w:szCs w:val="24"/>
          <w:vertAlign w:val="superscript"/>
          <w:rtl/>
          <w:lang w:val="ar-SA"/>
        </w:rPr>
        <w:t>)</w:t>
      </w:r>
    </w:p>
    <w:p w14:paraId="3EB79094" w14:textId="3062A5E8" w:rsidR="00066A55" w:rsidRPr="007407C2" w:rsidRDefault="00C464EC" w:rsidP="007407C2">
      <w:pPr>
        <w:pStyle w:val="ListParagraph"/>
        <w:numPr>
          <w:ilvl w:val="0"/>
          <w:numId w:val="2"/>
        </w:numPr>
        <w:spacing w:before="120" w:after="120" w:line="360" w:lineRule="auto"/>
        <w:jc w:val="both"/>
        <w:rPr>
          <w:rFonts w:cs="Arial Unicode MS" w:hint="default"/>
          <w:sz w:val="24"/>
          <w:szCs w:val="24"/>
          <w:rtl/>
          <w:lang w:val="ar-SA"/>
        </w:rPr>
      </w:pPr>
      <w:r>
        <w:rPr>
          <w:rFonts w:cs="Times New Roman"/>
          <w:sz w:val="24"/>
          <w:szCs w:val="24"/>
          <w:rtl/>
          <w:lang w:val="ar-SA"/>
        </w:rPr>
        <w:t>تساهم حماية حقوق الملكية الفكرية في توفير بيئةٍ آمنةٍ للاستثمار في التكنولوجيا والمحتوى الرقمي؛ ممَّا يعزّز من نمو الاقتصاد الرقمي</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commentRangeStart w:id="19"/>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7"/>
      </w:r>
      <w:commentRangeEnd w:id="19"/>
      <w:r w:rsidR="00D11FCC">
        <w:rPr>
          <w:rStyle w:val="CommentReference"/>
          <w:rFonts w:ascii="Times New Roman" w:hAnsi="Times New Roman" w:cs="Times New Roman" w:hint="default"/>
          <w:color w:val="auto"/>
          <w:rtl/>
        </w:rPr>
        <w:commentReference w:id="19"/>
      </w:r>
      <w:r>
        <w:rPr>
          <w:rFonts w:ascii="Times New Roman" w:hAnsi="Times New Roman"/>
          <w:sz w:val="24"/>
          <w:szCs w:val="24"/>
          <w:vertAlign w:val="superscript"/>
          <w:rtl/>
          <w:lang w:val="ar-SA"/>
        </w:rPr>
        <w:t>)</w:t>
      </w:r>
    </w:p>
    <w:p w14:paraId="1781F692" w14:textId="048615A9" w:rsidR="00454428" w:rsidRDefault="00C464EC" w:rsidP="00C72BA8">
      <w:pPr>
        <w:pStyle w:val="a0"/>
        <w:rPr>
          <w:rtl/>
          <w:lang w:val="ar-SA"/>
        </w:rPr>
      </w:pPr>
      <w:bookmarkStart w:id="20" w:name="_Toc227251057"/>
      <w:bookmarkStart w:id="21" w:name="_Toc232260614"/>
      <w:r>
        <w:rPr>
          <w:rFonts w:ascii="Arial Unicode MS" w:eastAsia="Arial Unicode MS" w:hAnsi="Arial Unicode MS" w:hint="cs"/>
          <w:rtl/>
          <w:lang w:val="ar-SA"/>
        </w:rPr>
        <w:t>ثانيًا</w:t>
      </w:r>
      <w:r>
        <w:rPr>
          <w:rtl/>
          <w:lang w:val="ar-SA"/>
        </w:rPr>
        <w:t xml:space="preserve">: </w:t>
      </w:r>
      <w:r>
        <w:rPr>
          <w:rFonts w:ascii="Arial Unicode MS" w:eastAsia="Arial Unicode MS" w:hAnsi="Arial Unicode MS" w:hint="cs"/>
          <w:rtl/>
          <w:lang w:val="ar-SA"/>
        </w:rPr>
        <w:t>أهداف الدراسة</w:t>
      </w:r>
      <w:r>
        <w:rPr>
          <w:rtl/>
          <w:lang w:val="ar-SA"/>
        </w:rPr>
        <w:t>:</w:t>
      </w:r>
      <w:bookmarkEnd w:id="20"/>
      <w:bookmarkEnd w:id="21"/>
    </w:p>
    <w:p w14:paraId="6FDCEC4B" w14:textId="77777777" w:rsidR="00454428" w:rsidRPr="00AC366B" w:rsidRDefault="00C464EC">
      <w:pPr>
        <w:pStyle w:val="ListParagraph"/>
        <w:numPr>
          <w:ilvl w:val="0"/>
          <w:numId w:val="2"/>
        </w:numPr>
        <w:spacing w:before="120" w:after="120" w:line="360" w:lineRule="auto"/>
        <w:jc w:val="both"/>
        <w:rPr>
          <w:rFonts w:cs="Times New Roman" w:hint="default"/>
          <w:sz w:val="24"/>
          <w:szCs w:val="24"/>
          <w:highlight w:val="yellow"/>
          <w:rtl/>
          <w:lang w:val="ar-SA"/>
        </w:rPr>
      </w:pPr>
      <w:commentRangeStart w:id="22"/>
      <w:r w:rsidRPr="00AC366B">
        <w:rPr>
          <w:rFonts w:cs="Times New Roman"/>
          <w:sz w:val="24"/>
          <w:szCs w:val="24"/>
          <w:highlight w:val="yellow"/>
          <w:rtl/>
          <w:lang w:val="ar-SA"/>
        </w:rPr>
        <w:t>تهدف</w:t>
      </w:r>
      <w:commentRangeEnd w:id="22"/>
      <w:r w:rsidR="005C3094">
        <w:rPr>
          <w:rStyle w:val="CommentReference"/>
          <w:rFonts w:ascii="Times New Roman" w:hAnsi="Times New Roman" w:cs="Times New Roman" w:hint="default"/>
          <w:color w:val="auto"/>
          <w:rtl/>
        </w:rPr>
        <w:commentReference w:id="22"/>
      </w:r>
      <w:r w:rsidRPr="00AC366B">
        <w:rPr>
          <w:rFonts w:cs="Times New Roman"/>
          <w:sz w:val="24"/>
          <w:szCs w:val="24"/>
          <w:highlight w:val="yellow"/>
          <w:rtl/>
          <w:lang w:val="ar-SA"/>
        </w:rPr>
        <w:t xml:space="preserve"> الدراسة إلى تحديد أنواع حقوق الملكية الفكرية</w:t>
      </w:r>
      <w:r w:rsidRPr="00AC366B">
        <w:rPr>
          <w:rFonts w:ascii="Times New Roman" w:hAnsi="Times New Roman"/>
          <w:sz w:val="24"/>
          <w:szCs w:val="24"/>
          <w:highlight w:val="yellow"/>
          <w:rtl/>
          <w:lang w:val="ar-SA"/>
        </w:rPr>
        <w:t>.</w:t>
      </w:r>
    </w:p>
    <w:p w14:paraId="0961EE5D" w14:textId="77777777" w:rsidR="00454428" w:rsidRDefault="00C464EC">
      <w:pPr>
        <w:pStyle w:val="ListParagraph"/>
        <w:numPr>
          <w:ilvl w:val="0"/>
          <w:numId w:val="2"/>
        </w:numPr>
        <w:spacing w:before="120" w:after="120" w:line="360" w:lineRule="auto"/>
        <w:jc w:val="both"/>
        <w:rPr>
          <w:rFonts w:ascii="Times New Roman" w:eastAsia="Times New Roman" w:hAnsi="Times New Roman" w:cs="Times New Roman" w:hint="default"/>
          <w:sz w:val="24"/>
          <w:szCs w:val="24"/>
          <w:rtl/>
          <w:lang w:val="ar-SA"/>
        </w:rPr>
      </w:pPr>
      <w:bookmarkStart w:id="23" w:name="_Hlk184236920"/>
      <w:r>
        <w:rPr>
          <w:rFonts w:cs="Times New Roman"/>
          <w:sz w:val="24"/>
          <w:szCs w:val="24"/>
          <w:rtl/>
          <w:lang w:val="ar-SA"/>
        </w:rPr>
        <w:t xml:space="preserve">تهدف الدراسة إلى </w:t>
      </w:r>
      <w:bookmarkEnd w:id="23"/>
      <w:r>
        <w:rPr>
          <w:rFonts w:cs="Times New Roman"/>
          <w:sz w:val="24"/>
          <w:szCs w:val="24"/>
          <w:rtl/>
          <w:lang w:val="ar-SA"/>
        </w:rPr>
        <w:t xml:space="preserve">توضيح التحديات التقنية والقانونية، وتحليل الفروق الثقافية والتشريعية في حماية حقوق </w:t>
      </w:r>
      <w:commentRangeStart w:id="24"/>
      <w:r>
        <w:rPr>
          <w:rFonts w:cs="Times New Roman"/>
          <w:sz w:val="24"/>
          <w:szCs w:val="24"/>
          <w:rtl/>
          <w:lang w:val="ar-SA"/>
        </w:rPr>
        <w:t>الملكية</w:t>
      </w:r>
      <w:commentRangeEnd w:id="24"/>
      <w:r w:rsidR="005B763C">
        <w:rPr>
          <w:rStyle w:val="CommentReference"/>
          <w:rFonts w:ascii="Times New Roman" w:hAnsi="Times New Roman" w:cs="Times New Roman" w:hint="default"/>
          <w:color w:val="auto"/>
          <w:rtl/>
        </w:rPr>
        <w:commentReference w:id="24"/>
      </w:r>
      <w:r>
        <w:rPr>
          <w:rFonts w:cs="Times New Roman"/>
          <w:sz w:val="24"/>
          <w:szCs w:val="24"/>
          <w:rtl/>
          <w:lang w:val="ar-SA"/>
        </w:rPr>
        <w:t xml:space="preserve"> الفكرية في البيئة الرقمية؛ بسبب التأثيرات المتنوعة</w:t>
      </w:r>
      <w:bookmarkStart w:id="25" w:name="_Hlk175674867"/>
      <w:r>
        <w:rPr>
          <w:rFonts w:ascii="Times New Roman" w:hAnsi="Times New Roman"/>
          <w:sz w:val="24"/>
          <w:szCs w:val="24"/>
          <w:rtl/>
          <w:lang w:val="ar-SA"/>
        </w:rPr>
        <w:t xml:space="preserve"> </w:t>
      </w:r>
      <w:bookmarkStart w:id="26" w:name="_Hlk180453620"/>
      <w:bookmarkEnd w:id="25"/>
      <w:r>
        <w:rPr>
          <w:rFonts w:cs="Times New Roman"/>
          <w:sz w:val="24"/>
          <w:szCs w:val="24"/>
          <w:rtl/>
          <w:lang w:val="ar-SA"/>
        </w:rPr>
        <w:t>في البيئة الرقمية</w:t>
      </w:r>
      <w:r>
        <w:rPr>
          <w:rFonts w:ascii="Times New Roman" w:hAnsi="Times New Roman"/>
          <w:sz w:val="24"/>
          <w:szCs w:val="24"/>
          <w:rtl/>
          <w:lang w:val="ar-SA"/>
        </w:rPr>
        <w:t>.</w:t>
      </w:r>
    </w:p>
    <w:p w14:paraId="0D0215AB" w14:textId="77777777" w:rsidR="00454428" w:rsidRDefault="00C464EC">
      <w:pPr>
        <w:pStyle w:val="ListParagraph"/>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تهدف الدراسة إلى التعرُّف على الحماية التكنولوجية والقانونية للملكية الفكرية في البيئة الرقمية</w:t>
      </w:r>
      <w:r>
        <w:rPr>
          <w:rFonts w:ascii="Times New Roman" w:hAnsi="Times New Roman"/>
          <w:sz w:val="24"/>
          <w:szCs w:val="24"/>
          <w:rtl/>
          <w:lang w:val="ar-SA"/>
        </w:rPr>
        <w:t>.</w:t>
      </w:r>
    </w:p>
    <w:p w14:paraId="2405F739" w14:textId="77777777" w:rsidR="00454428" w:rsidRDefault="00C464EC">
      <w:pPr>
        <w:pStyle w:val="ListParagraph"/>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lastRenderedPageBreak/>
        <w:t>تسعى الدراسة إلى تقديم رؤية شاملة للقضايا المرتبطة بالابتكار، والإبداع، والملكية الفكرية في العصر الرقمي؛ ممَّا يساعد في صياغة سياسات وإجراءات تشريعية أكثر فاعليةً وملاءمةً لمواجهة التحديات الحالية والمستقبلية</w:t>
      </w:r>
      <w:bookmarkEnd w:id="26"/>
      <w:r>
        <w:rPr>
          <w:rFonts w:ascii="Times New Roman" w:hAnsi="Times New Roman"/>
          <w:sz w:val="24"/>
          <w:szCs w:val="24"/>
          <w:rtl/>
          <w:lang w:val="ar-SA"/>
        </w:rPr>
        <w:t>.</w:t>
      </w:r>
    </w:p>
    <w:p w14:paraId="13E9FEBB" w14:textId="77777777" w:rsidR="00454428" w:rsidRDefault="00C464EC">
      <w:pPr>
        <w:pStyle w:val="ListParagraph"/>
        <w:numPr>
          <w:ilvl w:val="0"/>
          <w:numId w:val="3"/>
        </w:numPr>
        <w:spacing w:before="120" w:after="120" w:line="360" w:lineRule="auto"/>
        <w:jc w:val="both"/>
        <w:rPr>
          <w:rFonts w:cs="Times New Roman" w:hint="default"/>
          <w:sz w:val="24"/>
          <w:szCs w:val="24"/>
          <w:rtl/>
          <w:lang w:val="ar-SA"/>
        </w:rPr>
      </w:pPr>
      <w:r>
        <w:rPr>
          <w:rFonts w:cs="Times New Roman"/>
          <w:sz w:val="24"/>
          <w:szCs w:val="24"/>
          <w:rtl/>
          <w:lang w:val="ar-SA"/>
        </w:rPr>
        <w:t>تسعى الدراسة إلى تقديم توصياتٍ عملية ومبنية على أدلة؛ لتعزيز الحماية، وتحسين التشريعات المعنية، وبيان طبيعة التحديات التقنية والقانونية، وتحليل الفروق الثقافية والتشريعية بين الدول المختلفة</w:t>
      </w:r>
      <w:r>
        <w:rPr>
          <w:rFonts w:ascii="Times New Roman" w:hAnsi="Times New Roman"/>
          <w:sz w:val="24"/>
          <w:szCs w:val="24"/>
          <w:rtl/>
          <w:lang w:val="ar-SA"/>
        </w:rPr>
        <w:t>.</w:t>
      </w:r>
    </w:p>
    <w:p w14:paraId="12DE082E" w14:textId="77777777" w:rsidR="00454428" w:rsidRDefault="00C464EC" w:rsidP="00C72BA8">
      <w:pPr>
        <w:pStyle w:val="a0"/>
        <w:rPr>
          <w:rtl/>
          <w:lang w:val="ar-SA"/>
        </w:rPr>
      </w:pPr>
      <w:bookmarkStart w:id="27" w:name="_Toc227251058"/>
      <w:bookmarkStart w:id="28" w:name="_Toc232260615"/>
      <w:r>
        <w:rPr>
          <w:rFonts w:ascii="Arial Unicode MS" w:eastAsia="Arial Unicode MS" w:hAnsi="Arial Unicode MS" w:hint="cs"/>
          <w:rtl/>
          <w:lang w:val="ar-SA"/>
        </w:rPr>
        <w:t>ثالثًا</w:t>
      </w:r>
      <w:r>
        <w:rPr>
          <w:rtl/>
          <w:lang w:val="ar-SA"/>
        </w:rPr>
        <w:t xml:space="preserve">: </w:t>
      </w:r>
      <w:r>
        <w:rPr>
          <w:rFonts w:ascii="Arial Unicode MS" w:eastAsia="Arial Unicode MS" w:hAnsi="Arial Unicode MS" w:hint="cs"/>
          <w:rtl/>
          <w:lang w:val="ar-SA"/>
        </w:rPr>
        <w:t xml:space="preserve">مشكلة </w:t>
      </w:r>
      <w:bookmarkStart w:id="29" w:name="_Hlk183281579"/>
      <w:r>
        <w:rPr>
          <w:rFonts w:ascii="Arial Unicode MS" w:eastAsia="Arial Unicode MS" w:hAnsi="Arial Unicode MS" w:hint="cs"/>
          <w:rtl/>
          <w:lang w:val="ar-SA"/>
        </w:rPr>
        <w:t>الدراسة</w:t>
      </w:r>
      <w:bookmarkEnd w:id="29"/>
      <w:r>
        <w:rPr>
          <w:rtl/>
          <w:lang w:val="ar-SA"/>
        </w:rPr>
        <w:t>:</w:t>
      </w:r>
      <w:bookmarkEnd w:id="27"/>
      <w:bookmarkEnd w:id="28"/>
    </w:p>
    <w:p w14:paraId="6AEC81AF" w14:textId="77777777" w:rsidR="00454428"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يظهر من خلال الواقع العملي أن القواعد القانونية التقليدية لم تعد كافية لمواجهة الانتهاكات التي تقع على المصنفات الرقمية، في ظل التحول المتسارع نحو البيئة الرقمية، والتي تتسم بسهولة نسخ المحتوى وإعادة نشره، فضلاً عن الطابع العابر للحدود لهذه الانتهاكات</w:t>
      </w:r>
      <w:r>
        <w:rPr>
          <w:rFonts w:ascii="Times New Roman" w:hAnsi="Times New Roman"/>
          <w:sz w:val="24"/>
          <w:szCs w:val="24"/>
          <w:rtl/>
          <w:lang w:val="ar-SA"/>
        </w:rPr>
        <w:t>.</w:t>
      </w:r>
    </w:p>
    <w:p w14:paraId="0E380087" w14:textId="77777777" w:rsidR="00454428"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كما يتضح أن الإشكالية لا تقتصر على طبيعة المصنف الرقمي فحسب، بل تمتد لتشمل غياب تنظيم قانوني واضح لمسؤولية الأطراف الوسيطة، وعلى وجه الخصوص مزودي خدمات الإنترنت والمنصات الرقمية، عن المحتوى المخالف الذي يتم تداوله عبرها، إضافة إلى عدم وضوح الآليات القانونية المتعلقة بإزالة هذا المحتوى</w:t>
      </w:r>
      <w:r>
        <w:rPr>
          <w:rFonts w:ascii="Times New Roman" w:hAnsi="Times New Roman"/>
          <w:sz w:val="24"/>
          <w:szCs w:val="24"/>
          <w:rtl/>
          <w:lang w:val="ar-SA"/>
        </w:rPr>
        <w:t>.</w:t>
      </w:r>
    </w:p>
    <w:p w14:paraId="1578E861" w14:textId="77777777" w:rsidR="00454428"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ويزداد الأمر تعقيداً بالنظر إلى الطبيعة الدولية للبيئة الرقمية، حيث يثور التساؤل حول الجهة القضائية المختصة والقانون الواجب التطبيق في حال تعدد أطراف العلاقة وتوزعهم جغرافياً</w:t>
      </w:r>
      <w:r>
        <w:rPr>
          <w:rFonts w:ascii="Times New Roman" w:hAnsi="Times New Roman"/>
          <w:sz w:val="24"/>
          <w:szCs w:val="24"/>
          <w:rtl/>
          <w:lang w:val="ar-SA"/>
        </w:rPr>
        <w:t>.</w:t>
      </w:r>
    </w:p>
    <w:p w14:paraId="5A778097" w14:textId="77777777" w:rsidR="00454428"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commentRangeStart w:id="30"/>
      <w:r w:rsidRPr="00860084">
        <w:rPr>
          <w:rFonts w:ascii="Arial Unicode MS" w:hAnsi="Arial Unicode MS" w:cs="Times New Roman" w:hint="cs"/>
          <w:sz w:val="24"/>
          <w:szCs w:val="24"/>
          <w:highlight w:val="yellow"/>
          <w:rtl/>
          <w:lang w:val="ar-SA"/>
        </w:rPr>
        <w:t>ومن</w:t>
      </w:r>
      <w:commentRangeEnd w:id="30"/>
      <w:r w:rsidR="00F24E0A">
        <w:rPr>
          <w:rStyle w:val="CommentReference"/>
          <w:rFonts w:ascii="Times New Roman" w:hAnsi="Times New Roman" w:cs="Times New Roman"/>
          <w:color w:val="auto"/>
          <w:rtl/>
          <w14:textOutline w14:w="0" w14:cap="rnd" w14:cmpd="sng" w14:algn="ctr">
            <w14:noFill/>
            <w14:prstDash w14:val="solid"/>
            <w14:bevel/>
          </w14:textOutline>
        </w:rPr>
        <w:commentReference w:id="30"/>
      </w:r>
      <w:r w:rsidRPr="00860084">
        <w:rPr>
          <w:rFonts w:ascii="Arial Unicode MS" w:hAnsi="Arial Unicode MS" w:cs="Times New Roman" w:hint="cs"/>
          <w:sz w:val="24"/>
          <w:szCs w:val="24"/>
          <w:highlight w:val="yellow"/>
          <w:rtl/>
          <w:lang w:val="ar-SA"/>
        </w:rPr>
        <w:t xml:space="preserve"> ناحية أخرى، أفرزت التطورات التقنية الحديثة، وعلى رأسها تقنيات الذكاء الاصطناعي، إشكالات قانونية جديدة تتعلق بتحديد صفة المؤلف، ومدى خضوع المصنفات الناتجة عنها للحماية القانونية</w:t>
      </w:r>
      <w:r w:rsidRPr="00860084">
        <w:rPr>
          <w:rFonts w:ascii="Times New Roman" w:hAnsi="Times New Roman"/>
          <w:sz w:val="24"/>
          <w:szCs w:val="24"/>
          <w:highlight w:val="yellow"/>
          <w:rtl/>
          <w:lang w:val="ar-SA"/>
        </w:rPr>
        <w:t>.</w:t>
      </w:r>
    </w:p>
    <w:p w14:paraId="358D1944" w14:textId="77777777" w:rsidR="00454428" w:rsidRDefault="00C464EC" w:rsidP="00942492">
      <w:pPr>
        <w:pStyle w:val="Body"/>
        <w:spacing w:before="120" w:after="120" w:line="360" w:lineRule="auto"/>
        <w:ind w:firstLine="720"/>
        <w:jc w:val="both"/>
        <w:rPr>
          <w:rFonts w:ascii="Times New Roman" w:eastAsia="Times New Roman" w:hAnsi="Times New Roman" w:cs="Times New Roman"/>
          <w:sz w:val="24"/>
          <w:szCs w:val="24"/>
          <w:shd w:val="clear" w:color="auto" w:fill="FFFF00"/>
        </w:rPr>
      </w:pPr>
      <w:r>
        <w:rPr>
          <w:rFonts w:ascii="Arial Unicode MS" w:hAnsi="Arial Unicode MS" w:cs="Times New Roman" w:hint="cs"/>
          <w:sz w:val="24"/>
          <w:szCs w:val="24"/>
          <w:rtl/>
          <w:lang w:val="ar-SA"/>
        </w:rPr>
        <w:t>وبناءً على ما سبق، تتمحور هذه الدراسة حول تقييم مدى كفاية الإطار القانوني القائم في توفير حماية فعالة لحقوق الملكية الفكرية في البيئة الرقمية، وبيان أوجه القصور فيه، واقتراح الحلول المناسبة لمعالجته</w:t>
      </w:r>
      <w:r>
        <w:rPr>
          <w:rFonts w:ascii="Times New Roman" w:hAnsi="Times New Roman"/>
          <w:sz w:val="24"/>
          <w:szCs w:val="24"/>
          <w:rtl/>
          <w:lang w:val="ar-SA"/>
        </w:rPr>
        <w:t>.</w:t>
      </w:r>
      <w:r>
        <w:rPr>
          <w:rFonts w:ascii="Times New Roman" w:hAnsi="Times New Roman"/>
          <w:sz w:val="24"/>
          <w:szCs w:val="24"/>
          <w:shd w:val="clear" w:color="auto" w:fill="FFFF00"/>
          <w:rtl/>
          <w:lang w:val="ar-SA"/>
        </w:rPr>
        <w:t xml:space="preserve"> </w:t>
      </w:r>
    </w:p>
    <w:p w14:paraId="74A931D5" w14:textId="145CE945" w:rsidR="00454428" w:rsidRPr="00C72BA8"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وبناء على ما سبق تتضح إشكالية الدراسة في السؤال الرئيسي 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إلى أي مدى يمكن للقواعد القانونية الحالية، سواء على المستوى الوطني أو الدولي، أن توفر حماية فعالة لحقوق الملكية الفكرية في البيئة الرقمية، لاسيما فيما يتعلق بمسؤولية المنصات الرقمية، وتنازع الاختصاص القضائي، والتحديات الناشئة عن التقنيات الحديثة؟</w:t>
      </w:r>
    </w:p>
    <w:p w14:paraId="19E9ABEC" w14:textId="77777777" w:rsidR="00454428" w:rsidRDefault="00C464EC" w:rsidP="00942492">
      <w:pPr>
        <w:pStyle w:val="a0"/>
        <w:rPr>
          <w:rtl/>
          <w:lang w:val="ar-SA"/>
        </w:rPr>
      </w:pPr>
      <w:bookmarkStart w:id="31" w:name="_Toc227251059"/>
      <w:bookmarkStart w:id="32" w:name="_Toc232260616"/>
      <w:r>
        <w:rPr>
          <w:rFonts w:ascii="Arial Unicode MS" w:eastAsia="Arial Unicode MS" w:hAnsi="Arial Unicode MS" w:hint="cs"/>
          <w:rtl/>
          <w:lang w:val="ar-SA"/>
        </w:rPr>
        <w:t>رابعًا</w:t>
      </w:r>
      <w:r>
        <w:rPr>
          <w:rtl/>
          <w:lang w:val="ar-SA"/>
        </w:rPr>
        <w:t xml:space="preserve">: </w:t>
      </w:r>
      <w:r>
        <w:rPr>
          <w:rFonts w:ascii="Arial Unicode MS" w:eastAsia="Arial Unicode MS" w:hAnsi="Arial Unicode MS" w:hint="cs"/>
          <w:rtl/>
          <w:lang w:val="ar-SA"/>
        </w:rPr>
        <w:t xml:space="preserve">تساؤلات </w:t>
      </w:r>
      <w:bookmarkStart w:id="33" w:name="_Hlk179307107"/>
      <w:r>
        <w:rPr>
          <w:rFonts w:ascii="Arial Unicode MS" w:eastAsia="Arial Unicode MS" w:hAnsi="Arial Unicode MS" w:hint="cs"/>
          <w:rtl/>
          <w:lang w:val="ar-SA"/>
        </w:rPr>
        <w:t>الدراسة</w:t>
      </w:r>
      <w:r>
        <w:rPr>
          <w:rtl/>
          <w:lang w:val="ar-SA"/>
        </w:rPr>
        <w:t>:</w:t>
      </w:r>
      <w:bookmarkEnd w:id="31"/>
      <w:bookmarkEnd w:id="32"/>
      <w:bookmarkEnd w:id="33"/>
    </w:p>
    <w:p w14:paraId="34753F32" w14:textId="77777777" w:rsidR="00454428" w:rsidRDefault="00C464EC">
      <w:pPr>
        <w:pStyle w:val="a0"/>
        <w:numPr>
          <w:ilvl w:val="0"/>
          <w:numId w:val="5"/>
        </w:numPr>
        <w:rPr>
          <w:b w:val="0"/>
          <w:bCs w:val="0"/>
          <w:sz w:val="24"/>
          <w:szCs w:val="24"/>
          <w:rtl/>
          <w:lang w:val="ar-SA"/>
        </w:rPr>
      </w:pPr>
      <w:bookmarkStart w:id="34" w:name="_Toc227251060"/>
      <w:bookmarkStart w:id="35" w:name="_Toc227251370"/>
      <w:bookmarkStart w:id="36" w:name="_Toc232260617"/>
      <w:r>
        <w:rPr>
          <w:rFonts w:ascii="Arial Unicode MS" w:eastAsia="Arial Unicode MS" w:hAnsi="Arial Unicode MS" w:hint="cs"/>
          <w:b w:val="0"/>
          <w:bCs w:val="0"/>
          <w:sz w:val="24"/>
          <w:szCs w:val="24"/>
          <w:rtl/>
          <w:lang w:val="ar-SA"/>
        </w:rPr>
        <w:t>ما الخصائص القانونية التي تميز المصنفات الرقمية عن المصنفات التقليدية؟</w:t>
      </w:r>
      <w:bookmarkEnd w:id="34"/>
      <w:bookmarkEnd w:id="35"/>
      <w:bookmarkEnd w:id="36"/>
    </w:p>
    <w:p w14:paraId="11063F6D" w14:textId="77777777" w:rsidR="00454428" w:rsidRDefault="00C464EC">
      <w:pPr>
        <w:pStyle w:val="a0"/>
        <w:numPr>
          <w:ilvl w:val="0"/>
          <w:numId w:val="5"/>
        </w:numPr>
        <w:rPr>
          <w:b w:val="0"/>
          <w:bCs w:val="0"/>
          <w:sz w:val="24"/>
          <w:szCs w:val="24"/>
          <w:rtl/>
          <w:lang w:val="ar-SA"/>
        </w:rPr>
      </w:pPr>
      <w:bookmarkStart w:id="37" w:name="_Toc227251061"/>
      <w:bookmarkStart w:id="38" w:name="_Toc227251371"/>
      <w:bookmarkStart w:id="39" w:name="_Toc232260618"/>
      <w:r>
        <w:rPr>
          <w:rFonts w:ascii="Arial Unicode MS" w:eastAsia="Arial Unicode MS" w:hAnsi="Arial Unicode MS" w:hint="cs"/>
          <w:b w:val="0"/>
          <w:bCs w:val="0"/>
          <w:sz w:val="24"/>
          <w:szCs w:val="24"/>
          <w:rtl/>
          <w:lang w:val="ar-SA"/>
        </w:rPr>
        <w:t>إلى أي مدى توفر الاتفاقيات الدولية حماية كافية لحقوق الملكية الفكرية في البيئة الرقمية؟</w:t>
      </w:r>
      <w:bookmarkEnd w:id="37"/>
      <w:bookmarkEnd w:id="38"/>
      <w:bookmarkEnd w:id="39"/>
    </w:p>
    <w:p w14:paraId="37BBFF68" w14:textId="77777777" w:rsidR="00454428" w:rsidRDefault="00C464EC">
      <w:pPr>
        <w:pStyle w:val="a0"/>
        <w:numPr>
          <w:ilvl w:val="0"/>
          <w:numId w:val="5"/>
        </w:numPr>
        <w:rPr>
          <w:b w:val="0"/>
          <w:bCs w:val="0"/>
          <w:sz w:val="24"/>
          <w:szCs w:val="24"/>
          <w:rtl/>
          <w:lang w:val="ar-SA"/>
        </w:rPr>
      </w:pPr>
      <w:bookmarkStart w:id="40" w:name="_Toc227251062"/>
      <w:bookmarkStart w:id="41" w:name="_Toc227251372"/>
      <w:bookmarkStart w:id="42" w:name="_Toc232260619"/>
      <w:r>
        <w:rPr>
          <w:rFonts w:ascii="Arial Unicode MS" w:eastAsia="Arial Unicode MS" w:hAnsi="Arial Unicode MS" w:hint="cs"/>
          <w:b w:val="0"/>
          <w:bCs w:val="0"/>
          <w:sz w:val="24"/>
          <w:szCs w:val="24"/>
          <w:rtl/>
          <w:lang w:val="ar-SA"/>
        </w:rPr>
        <w:t>ما نطاق المسؤولية القانونية لمزودي خدمات الإنترنت والمنصات الرقمية عن الانتهاكات التي تقع عبرها؟</w:t>
      </w:r>
      <w:bookmarkEnd w:id="40"/>
      <w:bookmarkEnd w:id="41"/>
      <w:bookmarkEnd w:id="42"/>
    </w:p>
    <w:p w14:paraId="42420535" w14:textId="77777777" w:rsidR="00454428" w:rsidRDefault="00C464EC">
      <w:pPr>
        <w:pStyle w:val="a0"/>
        <w:numPr>
          <w:ilvl w:val="0"/>
          <w:numId w:val="5"/>
        </w:numPr>
        <w:rPr>
          <w:b w:val="0"/>
          <w:bCs w:val="0"/>
          <w:sz w:val="24"/>
          <w:szCs w:val="24"/>
          <w:rtl/>
          <w:lang w:val="ar-SA"/>
        </w:rPr>
      </w:pPr>
      <w:bookmarkStart w:id="43" w:name="_Toc227251063"/>
      <w:bookmarkStart w:id="44" w:name="_Toc227251373"/>
      <w:bookmarkStart w:id="45" w:name="_Toc232260620"/>
      <w:r>
        <w:rPr>
          <w:rFonts w:ascii="Arial Unicode MS" w:eastAsia="Arial Unicode MS" w:hAnsi="Arial Unicode MS" w:hint="cs"/>
          <w:b w:val="0"/>
          <w:bCs w:val="0"/>
          <w:sz w:val="24"/>
          <w:szCs w:val="24"/>
          <w:rtl/>
          <w:lang w:val="ar-SA"/>
        </w:rPr>
        <w:t>إلى أي مدى يواكب النظام السعودي التطورات المرتبطة بالملكية الفكرية الرقمية مقارنة بالتشريعات الأجنبية؟</w:t>
      </w:r>
      <w:bookmarkEnd w:id="43"/>
      <w:bookmarkEnd w:id="44"/>
      <w:bookmarkEnd w:id="45"/>
    </w:p>
    <w:p w14:paraId="79CEA694" w14:textId="77777777" w:rsidR="00454428" w:rsidRDefault="00C464EC">
      <w:pPr>
        <w:pStyle w:val="a0"/>
        <w:numPr>
          <w:ilvl w:val="0"/>
          <w:numId w:val="5"/>
        </w:numPr>
        <w:rPr>
          <w:b w:val="0"/>
          <w:bCs w:val="0"/>
          <w:sz w:val="24"/>
          <w:szCs w:val="24"/>
          <w:rtl/>
          <w:lang w:val="ar-SA"/>
        </w:rPr>
      </w:pPr>
      <w:bookmarkStart w:id="46" w:name="_Toc227251064"/>
      <w:bookmarkStart w:id="47" w:name="_Toc227251374"/>
      <w:bookmarkStart w:id="48" w:name="_Toc232260621"/>
      <w:r>
        <w:rPr>
          <w:rFonts w:ascii="Arial Unicode MS" w:eastAsia="Arial Unicode MS" w:hAnsi="Arial Unicode MS" w:hint="cs"/>
          <w:b w:val="0"/>
          <w:bCs w:val="0"/>
          <w:sz w:val="24"/>
          <w:szCs w:val="24"/>
          <w:rtl/>
          <w:lang w:val="ar-SA"/>
        </w:rPr>
        <w:t>ما أبرز الإشكالات المتعلقة بتحديد الاختصاص القضائي والقانون الواجب التطبيق في النزاعات الرقمية؟</w:t>
      </w:r>
      <w:bookmarkEnd w:id="46"/>
      <w:bookmarkEnd w:id="47"/>
      <w:bookmarkEnd w:id="48"/>
    </w:p>
    <w:p w14:paraId="07D9844A" w14:textId="77777777" w:rsidR="00454428" w:rsidRDefault="00C464EC">
      <w:pPr>
        <w:pStyle w:val="a0"/>
        <w:numPr>
          <w:ilvl w:val="0"/>
          <w:numId w:val="5"/>
        </w:numPr>
        <w:rPr>
          <w:b w:val="0"/>
          <w:bCs w:val="0"/>
          <w:sz w:val="24"/>
          <w:szCs w:val="24"/>
          <w:rtl/>
          <w:lang w:val="ar-SA"/>
        </w:rPr>
      </w:pPr>
      <w:bookmarkStart w:id="49" w:name="_Toc227251065"/>
      <w:bookmarkStart w:id="50" w:name="_Toc227251375"/>
      <w:bookmarkStart w:id="51" w:name="_Toc232260622"/>
      <w:r>
        <w:rPr>
          <w:rFonts w:ascii="Arial Unicode MS" w:eastAsia="Arial Unicode MS" w:hAnsi="Arial Unicode MS" w:hint="cs"/>
          <w:b w:val="0"/>
          <w:bCs w:val="0"/>
          <w:sz w:val="24"/>
          <w:szCs w:val="24"/>
          <w:rtl/>
          <w:lang w:val="ar-SA"/>
        </w:rPr>
        <w:t>ما الوضع القانوني للمصنفات الناتجة عن تقنيات الذكاء الاصطناعي؟</w:t>
      </w:r>
      <w:bookmarkEnd w:id="49"/>
      <w:bookmarkEnd w:id="50"/>
      <w:bookmarkEnd w:id="51"/>
    </w:p>
    <w:p w14:paraId="36ACE475" w14:textId="2789D097" w:rsidR="00454428" w:rsidRPr="00C72BA8" w:rsidRDefault="00C464EC">
      <w:pPr>
        <w:pStyle w:val="a0"/>
        <w:numPr>
          <w:ilvl w:val="0"/>
          <w:numId w:val="5"/>
        </w:numPr>
        <w:rPr>
          <w:b w:val="0"/>
          <w:bCs w:val="0"/>
          <w:sz w:val="24"/>
          <w:szCs w:val="24"/>
          <w:rtl/>
          <w:lang w:val="ar-SA"/>
        </w:rPr>
      </w:pPr>
      <w:bookmarkStart w:id="52" w:name="_Toc227251066"/>
      <w:bookmarkStart w:id="53" w:name="_Toc227251376"/>
      <w:bookmarkStart w:id="54" w:name="_Toc232260623"/>
      <w:r>
        <w:rPr>
          <w:rFonts w:ascii="Arial Unicode MS" w:eastAsia="Arial Unicode MS" w:hAnsi="Arial Unicode MS" w:hint="cs"/>
          <w:b w:val="0"/>
          <w:bCs w:val="0"/>
          <w:sz w:val="24"/>
          <w:szCs w:val="24"/>
          <w:rtl/>
          <w:lang w:val="ar-SA"/>
        </w:rPr>
        <w:t>ما مدى فعالية آليات إزالة المحتوى المخالف في البيئة الرقمية؟</w:t>
      </w:r>
      <w:bookmarkEnd w:id="52"/>
      <w:bookmarkEnd w:id="53"/>
      <w:bookmarkEnd w:id="54"/>
    </w:p>
    <w:p w14:paraId="21C52DF4" w14:textId="77777777" w:rsidR="00454428" w:rsidRDefault="00C464EC" w:rsidP="00942492">
      <w:pPr>
        <w:pStyle w:val="a0"/>
        <w:rPr>
          <w:rtl/>
          <w:lang w:val="ar-SA"/>
        </w:rPr>
      </w:pPr>
      <w:bookmarkStart w:id="55" w:name="_Toc227251067"/>
      <w:bookmarkStart w:id="56" w:name="_Toc232260624"/>
      <w:r>
        <w:rPr>
          <w:rFonts w:ascii="Arial Unicode MS" w:eastAsia="Arial Unicode MS" w:hAnsi="Arial Unicode MS" w:hint="cs"/>
          <w:rtl/>
          <w:lang w:val="ar-SA"/>
        </w:rPr>
        <w:t>خامسًا</w:t>
      </w:r>
      <w:r>
        <w:rPr>
          <w:rtl/>
          <w:lang w:val="ar-SA"/>
        </w:rPr>
        <w:t xml:space="preserve">: </w:t>
      </w:r>
      <w:r>
        <w:rPr>
          <w:rFonts w:ascii="Arial Unicode MS" w:eastAsia="Arial Unicode MS" w:hAnsi="Arial Unicode MS" w:hint="cs"/>
          <w:rtl/>
          <w:lang w:val="ar-SA"/>
        </w:rPr>
        <w:t>منهجية الدراسة</w:t>
      </w:r>
      <w:r>
        <w:rPr>
          <w:rtl/>
          <w:lang w:val="ar-SA"/>
        </w:rPr>
        <w:t>:</w:t>
      </w:r>
      <w:bookmarkEnd w:id="55"/>
      <w:bookmarkEnd w:id="56"/>
    </w:p>
    <w:p w14:paraId="2480AE21" w14:textId="77777777" w:rsidR="00454428"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lastRenderedPageBreak/>
        <w:t>سوف اعتمد على المنهج التحليلي لدراسة الظاهرة من جوانبها المختلفة، وتفسير الظروف والأوضاع، وتحليلها، وعرضها بشكل نقدي منهجي، بالإضافة إلى المنهج المقارن، الذي يعتمد بشكل أساسي على المقارنة في دراسة الظاهرة؛ إذْ يبرز أوجه الشبه والاختلاف فيما بين ظاهرتين أو أكثر، بالإضافة إلى المنهج الوصفي لدراسة الظواهر أو المشكلات العلمية، من خلال القيام بالوصف بطريقة علمية، ومِنْ ثَمَّ الوصول إلى تفسيرات منطقية لها دلائل وبراهين لوضع أطر محددة للمشكلة؛ ممَّا يمكنني من اقتراح حلول قانونية أكثر فاعليةً</w:t>
      </w:r>
      <w:r>
        <w:rPr>
          <w:rFonts w:ascii="Times New Roman" w:hAnsi="Times New Roman"/>
          <w:sz w:val="24"/>
          <w:szCs w:val="24"/>
          <w:rtl/>
          <w:lang w:val="ar-SA"/>
        </w:rPr>
        <w:t>.</w:t>
      </w:r>
    </w:p>
    <w:p w14:paraId="77A4DC36" w14:textId="77777777" w:rsidR="00454428" w:rsidRDefault="00C464EC" w:rsidP="00C72BA8">
      <w:pPr>
        <w:pStyle w:val="a0"/>
        <w:rPr>
          <w:rtl/>
          <w:lang w:val="ar-SA"/>
        </w:rPr>
      </w:pPr>
      <w:bookmarkStart w:id="57" w:name="_Toc227251068"/>
      <w:bookmarkStart w:id="58" w:name="_Toc232260625"/>
      <w:r>
        <w:rPr>
          <w:rFonts w:ascii="Arial Unicode MS" w:eastAsia="Arial Unicode MS" w:hAnsi="Arial Unicode MS" w:hint="cs"/>
          <w:rtl/>
          <w:lang w:val="ar-SA"/>
        </w:rPr>
        <w:t>سادسًا</w:t>
      </w:r>
      <w:r>
        <w:rPr>
          <w:rtl/>
          <w:lang w:val="ar-SA"/>
        </w:rPr>
        <w:t xml:space="preserve">: </w:t>
      </w:r>
      <w:r>
        <w:rPr>
          <w:rFonts w:ascii="Arial Unicode MS" w:eastAsia="Arial Unicode MS" w:hAnsi="Arial Unicode MS" w:hint="cs"/>
          <w:rtl/>
          <w:lang w:val="ar-SA"/>
        </w:rPr>
        <w:t>الدراسات السابقة</w:t>
      </w:r>
      <w:r>
        <w:rPr>
          <w:rtl/>
          <w:lang w:val="ar-SA"/>
        </w:rPr>
        <w:t>:</w:t>
      </w:r>
      <w:bookmarkEnd w:id="57"/>
      <w:bookmarkEnd w:id="58"/>
    </w:p>
    <w:p w14:paraId="0AA0F49D" w14:textId="77777777" w:rsidR="00454428" w:rsidRDefault="00C464EC">
      <w:pPr>
        <w:pStyle w:val="ListParagraph"/>
        <w:numPr>
          <w:ilvl w:val="0"/>
          <w:numId w:val="7"/>
        </w:numPr>
        <w:spacing w:before="120" w:after="120" w:line="360" w:lineRule="auto"/>
        <w:jc w:val="both"/>
        <w:rPr>
          <w:rFonts w:cs="Times New Roman" w:hint="default"/>
          <w:b/>
          <w:bCs/>
          <w:sz w:val="24"/>
          <w:szCs w:val="24"/>
          <w:rtl/>
          <w:lang w:val="ar-SA"/>
        </w:rPr>
      </w:pPr>
      <w:r>
        <w:rPr>
          <w:rFonts w:cs="Times New Roman"/>
          <w:b/>
          <w:bCs/>
          <w:sz w:val="24"/>
          <w:szCs w:val="24"/>
          <w:rtl/>
          <w:lang w:val="ar-SA"/>
        </w:rPr>
        <w:t>دراسة</w:t>
      </w:r>
      <w:r>
        <w:rPr>
          <w:rFonts w:ascii="Times New Roman" w:hAnsi="Times New Roman"/>
          <w:b/>
          <w:bCs/>
          <w:sz w:val="24"/>
          <w:szCs w:val="24"/>
          <w:rtl/>
          <w:lang w:val="ar-SA"/>
        </w:rPr>
        <w:t xml:space="preserve">: </w:t>
      </w:r>
      <w:bookmarkStart w:id="59" w:name="_Hlk179313632"/>
      <w:r>
        <w:rPr>
          <w:rFonts w:cs="Times New Roman"/>
          <w:b/>
          <w:bCs/>
          <w:sz w:val="24"/>
          <w:szCs w:val="24"/>
          <w:rtl/>
          <w:lang w:val="ar-SA"/>
        </w:rPr>
        <w:t>د</w:t>
      </w:r>
      <w:r>
        <w:rPr>
          <w:rFonts w:ascii="Times New Roman" w:hAnsi="Times New Roman"/>
          <w:b/>
          <w:bCs/>
          <w:sz w:val="24"/>
          <w:szCs w:val="24"/>
          <w:rtl/>
          <w:lang w:val="ar-SA"/>
        </w:rPr>
        <w:t xml:space="preserve">. </w:t>
      </w:r>
      <w:r>
        <w:rPr>
          <w:rFonts w:cs="Times New Roman"/>
          <w:b/>
          <w:bCs/>
          <w:sz w:val="24"/>
          <w:szCs w:val="24"/>
          <w:rtl/>
          <w:lang w:val="ar-SA"/>
        </w:rPr>
        <w:t xml:space="preserve">حمزة، عادل إسماعيل، عبد الله عوض الكريم حاج أحمد، مظفر أنور عبد الرحيم، </w:t>
      </w:r>
      <w:r>
        <w:rPr>
          <w:rFonts w:ascii="Times New Roman" w:hAnsi="Times New Roman"/>
          <w:b/>
          <w:bCs/>
          <w:sz w:val="24"/>
          <w:szCs w:val="24"/>
          <w:rtl/>
          <w:lang w:val="ar-SA"/>
        </w:rPr>
        <w:t>"</w:t>
      </w:r>
      <w:r>
        <w:rPr>
          <w:rFonts w:cs="Times New Roman"/>
          <w:b/>
          <w:bCs/>
          <w:sz w:val="24"/>
          <w:szCs w:val="24"/>
          <w:rtl/>
          <w:lang w:val="ar-SA"/>
        </w:rPr>
        <w:t>واقع</w:t>
      </w:r>
      <w:bookmarkEnd w:id="59"/>
      <w:r>
        <w:rPr>
          <w:rFonts w:ascii="Times New Roman" w:hAnsi="Times New Roman"/>
          <w:b/>
          <w:bCs/>
          <w:sz w:val="24"/>
          <w:szCs w:val="24"/>
          <w:rtl/>
          <w:lang w:val="ar-SA"/>
        </w:rPr>
        <w:t xml:space="preserve"> </w:t>
      </w:r>
      <w:bookmarkStart w:id="60" w:name="_Hlk179315874"/>
      <w:r>
        <w:rPr>
          <w:rFonts w:cs="Times New Roman"/>
          <w:b/>
          <w:bCs/>
          <w:sz w:val="24"/>
          <w:szCs w:val="24"/>
          <w:rtl/>
          <w:lang w:val="ar-SA"/>
        </w:rPr>
        <w:t>حماية الملكية الفكرية في المستودعات الرقمية للجامعات السعودية</w:t>
      </w:r>
      <w:bookmarkEnd w:id="60"/>
      <w:r>
        <w:rPr>
          <w:rFonts w:cs="Times New Roman"/>
          <w:b/>
          <w:bCs/>
          <w:sz w:val="24"/>
          <w:szCs w:val="24"/>
          <w:rtl/>
          <w:lang w:val="ar-SA"/>
        </w:rPr>
        <w:t>،</w:t>
      </w:r>
      <w:r>
        <w:rPr>
          <w:rFonts w:ascii="Times New Roman" w:hAnsi="Times New Roman"/>
          <w:sz w:val="24"/>
          <w:szCs w:val="24"/>
          <w:rtl/>
          <w:lang w:val="ar-SA"/>
        </w:rPr>
        <w:t xml:space="preserve"> </w:t>
      </w:r>
      <w:r>
        <w:rPr>
          <w:rFonts w:cs="Times New Roman"/>
          <w:b/>
          <w:bCs/>
          <w:sz w:val="24"/>
          <w:szCs w:val="24"/>
          <w:rtl/>
          <w:lang w:val="ar-SA"/>
        </w:rPr>
        <w:t xml:space="preserve">جامعة الإمام عبد الرحمن بن فيصل، </w:t>
      </w:r>
      <w:r>
        <w:rPr>
          <w:rFonts w:ascii="Times New Roman" w:hAnsi="Times New Roman"/>
          <w:b/>
          <w:bCs/>
          <w:sz w:val="24"/>
          <w:szCs w:val="24"/>
          <w:rtl/>
          <w:lang w:val="ar-SA"/>
        </w:rPr>
        <w:t>2020"</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8"/>
      </w:r>
      <w:r>
        <w:rPr>
          <w:rFonts w:ascii="Times New Roman" w:hAnsi="Times New Roman"/>
          <w:sz w:val="24"/>
          <w:szCs w:val="24"/>
          <w:vertAlign w:val="superscript"/>
          <w:rtl/>
          <w:lang w:val="ar-SA"/>
        </w:rPr>
        <w:t>)</w:t>
      </w:r>
    </w:p>
    <w:p w14:paraId="5BD4DB36"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توضيح مفهوم الملكية الفكرية وآليات حمايتها في الفضاء الرقمي، مع التركيز على المستودعات الرقمية في الجامعات السعودية، وأوصت باستخدام برمجيات، مثل</w:t>
      </w:r>
      <w:r>
        <w:rPr>
          <w:rFonts w:ascii="Times New Roman" w:hAnsi="Times New Roman"/>
          <w:sz w:val="24"/>
          <w:szCs w:val="24"/>
          <w:rtl/>
          <w:lang w:val="ar-SA"/>
        </w:rPr>
        <w:t xml:space="preserve">: </w:t>
      </w:r>
      <w:r>
        <w:rPr>
          <w:rFonts w:ascii="Times New Roman" w:hAnsi="Times New Roman"/>
          <w:sz w:val="24"/>
          <w:szCs w:val="24"/>
        </w:rPr>
        <w:t>D-space</w:t>
      </w:r>
      <w:r>
        <w:rPr>
          <w:rFonts w:ascii="Arial Unicode MS" w:hAnsi="Arial Unicode MS" w:cs="Times New Roman" w:hint="cs"/>
          <w:sz w:val="24"/>
          <w:szCs w:val="24"/>
          <w:rtl/>
          <w:lang w:val="ar-SA"/>
        </w:rPr>
        <w:t>، وتراخيص المشاعات الإبداعية؛ لتعزيز حماية الحقوق</w:t>
      </w:r>
      <w:r>
        <w:rPr>
          <w:rFonts w:ascii="Times New Roman" w:hAnsi="Times New Roman"/>
          <w:sz w:val="24"/>
          <w:szCs w:val="24"/>
          <w:rtl/>
          <w:lang w:val="ar-SA"/>
        </w:rPr>
        <w:t>.</w:t>
      </w:r>
    </w:p>
    <w:p w14:paraId="6807233C" w14:textId="6D13EC32" w:rsidR="00454428" w:rsidRPr="00C72BA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فيما يتعلق بموقف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اعتمد الباحثون في الدراسة السابقة على المنهج التاريخي والوصفي بجانب التحليلي، بينما تستخدم دراستنا المنهج المقارن، كما أنَّ الدراسة السابقة اقتصرت على بحث حماية الملكية الفكرية في المستودعات الرقمية للجامعات السعودية، </w:t>
      </w:r>
      <w:r>
        <w:rPr>
          <w:rFonts w:ascii="Arial Unicode MS" w:hAnsi="Arial Unicode MS" w:cs="Times New Roman" w:hint="cs"/>
          <w:b/>
          <w:bCs/>
          <w:sz w:val="24"/>
          <w:szCs w:val="24"/>
          <w:rtl/>
          <w:lang w:val="ar-SA"/>
        </w:rPr>
        <w:t>بينما ما يميز دراستنا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هو مقارنة التشريعات والقوانين المختلفة؛ لتسليط الضوء على الموضوع، واستنتاج النتائج والتوصيات الحديثة في مجال الدراسات القانونية</w:t>
      </w:r>
      <w:r>
        <w:rPr>
          <w:rFonts w:ascii="Times New Roman" w:hAnsi="Times New Roman"/>
          <w:sz w:val="24"/>
          <w:szCs w:val="24"/>
          <w:rtl/>
          <w:lang w:val="ar-SA"/>
        </w:rPr>
        <w:t>.</w:t>
      </w:r>
    </w:p>
    <w:p w14:paraId="7B5DE007" w14:textId="77777777" w:rsidR="00942492" w:rsidRDefault="00942492">
      <w:pPr>
        <w:rPr>
          <w:rFonts w:ascii="Arial Unicode MS" w:hAnsi="Arial Unicode MS"/>
          <w:b/>
          <w:bCs/>
          <w:color w:val="000000"/>
          <w:u w:color="000000"/>
          <w:rtl/>
          <w:lang w:val="ar-SA"/>
        </w:rPr>
      </w:pPr>
      <w:r>
        <w:rPr>
          <w:b/>
          <w:bCs/>
          <w:rtl/>
          <w:lang w:val="ar-SA"/>
        </w:rPr>
        <w:br w:type="page"/>
      </w:r>
    </w:p>
    <w:p w14:paraId="74DFA869" w14:textId="27EE4871" w:rsidR="00454428" w:rsidRDefault="00C464EC">
      <w:pPr>
        <w:pStyle w:val="ListParagraph"/>
        <w:numPr>
          <w:ilvl w:val="0"/>
          <w:numId w:val="7"/>
        </w:numPr>
        <w:spacing w:before="120" w:after="120" w:line="360" w:lineRule="auto"/>
        <w:jc w:val="both"/>
        <w:rPr>
          <w:rFonts w:cs="Times New Roman" w:hint="default"/>
          <w:sz w:val="24"/>
          <w:szCs w:val="24"/>
          <w:rtl/>
          <w:lang w:val="ar-SA"/>
        </w:rPr>
      </w:pPr>
      <w:r>
        <w:rPr>
          <w:rFonts w:cs="Times New Roman"/>
          <w:b/>
          <w:bCs/>
          <w:sz w:val="24"/>
          <w:szCs w:val="24"/>
          <w:rtl/>
          <w:lang w:val="ar-SA"/>
        </w:rPr>
        <w:lastRenderedPageBreak/>
        <w:t>دراسة</w:t>
      </w:r>
      <w:r>
        <w:rPr>
          <w:rFonts w:ascii="Times New Roman" w:hAnsi="Times New Roman"/>
          <w:b/>
          <w:bCs/>
          <w:sz w:val="24"/>
          <w:szCs w:val="24"/>
          <w:rtl/>
          <w:lang w:val="ar-SA"/>
        </w:rPr>
        <w:t xml:space="preserve">: </w:t>
      </w:r>
      <w:bookmarkStart w:id="61" w:name="_Hlk179318307"/>
      <w:r>
        <w:rPr>
          <w:rFonts w:cs="Times New Roman"/>
          <w:b/>
          <w:bCs/>
          <w:sz w:val="24"/>
          <w:szCs w:val="24"/>
          <w:rtl/>
          <w:lang w:val="ar-SA"/>
        </w:rPr>
        <w:t xml:space="preserve">نور الدين، وابن عيشة، وابن بتيش خليل </w:t>
      </w:r>
      <w:r>
        <w:rPr>
          <w:rFonts w:ascii="Times New Roman" w:hAnsi="Times New Roman"/>
          <w:b/>
          <w:bCs/>
          <w:sz w:val="24"/>
          <w:szCs w:val="24"/>
          <w:rtl/>
          <w:lang w:val="ar-SA"/>
        </w:rPr>
        <w:t>"</w:t>
      </w:r>
      <w:r>
        <w:rPr>
          <w:rFonts w:cs="Times New Roman"/>
          <w:b/>
          <w:bCs/>
          <w:sz w:val="24"/>
          <w:szCs w:val="24"/>
          <w:rtl/>
          <w:lang w:val="ar-SA"/>
        </w:rPr>
        <w:t>حماية الملكية الفكرية في الفضاء الإلكتروني</w:t>
      </w:r>
      <w:r>
        <w:rPr>
          <w:rFonts w:ascii="Times New Roman" w:hAnsi="Times New Roman"/>
          <w:b/>
          <w:bCs/>
          <w:sz w:val="24"/>
          <w:szCs w:val="24"/>
          <w:rtl/>
          <w:lang w:val="ar-SA"/>
        </w:rPr>
        <w:t>"</w:t>
      </w:r>
      <w:r>
        <w:rPr>
          <w:rFonts w:cs="Times New Roman"/>
          <w:b/>
          <w:bCs/>
          <w:sz w:val="24"/>
          <w:szCs w:val="24"/>
          <w:rtl/>
          <w:lang w:val="ar-SA"/>
        </w:rPr>
        <w:t>، مذكرة ماستر مهني في الحقوق، كلية الحقوق والعلوم السياسية جامعة محمد البشير السنة الجامعية</w:t>
      </w:r>
      <w:r>
        <w:rPr>
          <w:rFonts w:ascii="Times New Roman" w:hAnsi="Times New Roman"/>
          <w:b/>
          <w:bCs/>
          <w:sz w:val="24"/>
          <w:szCs w:val="24"/>
          <w:rtl/>
          <w:lang w:val="ar-SA"/>
        </w:rPr>
        <w:t>: 2022/</w:t>
      </w:r>
      <w:r>
        <w:rPr>
          <w:rFonts w:ascii="Times New Roman" w:hAnsi="Times New Roman"/>
          <w:sz w:val="24"/>
          <w:szCs w:val="24"/>
          <w:rtl/>
          <w:lang w:val="ar-SA"/>
        </w:rPr>
        <w:t xml:space="preserve"> </w:t>
      </w:r>
      <w:r>
        <w:rPr>
          <w:rFonts w:ascii="Times New Roman" w:hAnsi="Times New Roman"/>
          <w:b/>
          <w:bCs/>
          <w:sz w:val="24"/>
          <w:szCs w:val="24"/>
          <w:rtl/>
          <w:lang w:val="ar-SA"/>
        </w:rPr>
        <w:t>2023.</w:t>
      </w:r>
      <w:bookmarkEnd w:id="61"/>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9"/>
      </w:r>
      <w:r>
        <w:rPr>
          <w:rFonts w:ascii="Times New Roman" w:hAnsi="Times New Roman"/>
          <w:sz w:val="24"/>
          <w:szCs w:val="24"/>
          <w:vertAlign w:val="superscript"/>
          <w:rtl/>
          <w:lang w:val="ar-SA"/>
        </w:rPr>
        <w:t>)</w:t>
      </w:r>
    </w:p>
    <w:p w14:paraId="434CA866"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تسليط الضوء على حماية الملكية الفكرية في الفضاء السيبراني، مع التركيز على حقوق المؤلف والحقوق المجاورة، وتطوير أنظمة،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التشفير الرقمي، والتوقيع الإلكتروني</w:t>
      </w:r>
      <w:r>
        <w:rPr>
          <w:rFonts w:ascii="Times New Roman" w:hAnsi="Times New Roman"/>
          <w:sz w:val="24"/>
          <w:szCs w:val="24"/>
          <w:rtl/>
          <w:lang w:val="ar-SA"/>
        </w:rPr>
        <w:t>.</w:t>
      </w:r>
    </w:p>
    <w:p w14:paraId="6EE52C3D"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bookmarkStart w:id="62" w:name="_Hlk179717963"/>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62"/>
      <w:r>
        <w:rPr>
          <w:rFonts w:ascii="Arial Unicode MS" w:hAnsi="Arial Unicode MS" w:cs="Times New Roman" w:hint="cs"/>
          <w:sz w:val="24"/>
          <w:szCs w:val="24"/>
          <w:rtl/>
          <w:lang w:val="ar-SA"/>
        </w:rPr>
        <w:t xml:space="preserve">استخدم الباحثون في الدراسة السابقة المنهج الوصفي والتحليلي؛ لوصف الحالة وتحليلها، بينما سوف أستخدمُ المنهجَ المقارن بين التشريعات المختلفة، وأيضا اقتصر الباحثون إلى التطرُّق للتشريع الجزائري وبعض المواثيق الدولية، أما </w:t>
      </w:r>
      <w:r>
        <w:rPr>
          <w:rFonts w:ascii="Arial Unicode MS" w:hAnsi="Arial Unicode MS" w:cs="Times New Roman" w:hint="cs"/>
          <w:b/>
          <w:bCs/>
          <w:sz w:val="24"/>
          <w:szCs w:val="24"/>
          <w:rtl/>
          <w:lang w:val="ar-SA"/>
        </w:rPr>
        <w:t>ما يميز دراستنا الحالية</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فهو</w:t>
      </w:r>
      <w:r>
        <w:rPr>
          <w:rFonts w:ascii="Arial Unicode MS" w:hAnsi="Arial Unicode MS" w:cs="Times New Roman" w:hint="cs"/>
          <w:sz w:val="24"/>
          <w:szCs w:val="24"/>
          <w:rtl/>
          <w:lang w:val="ar-SA"/>
        </w:rPr>
        <w:t xml:space="preserve"> التطرق لباقي التشريعات العربية، والمقارنة، والتشريع السعودي، والتشريعات الدولية الأخرى التي سوف نلقي الضوء عليها، واستخدام الأسلوب المقارن</w:t>
      </w:r>
      <w:r>
        <w:rPr>
          <w:rFonts w:ascii="Times New Roman" w:hAnsi="Times New Roman"/>
          <w:sz w:val="24"/>
          <w:szCs w:val="24"/>
          <w:rtl/>
          <w:lang w:val="ar-SA"/>
        </w:rPr>
        <w:t>.</w:t>
      </w:r>
    </w:p>
    <w:p w14:paraId="68DF2289" w14:textId="77777777" w:rsidR="00454428" w:rsidRDefault="00C464EC">
      <w:pPr>
        <w:pStyle w:val="ListParagraph"/>
        <w:numPr>
          <w:ilvl w:val="0"/>
          <w:numId w:val="7"/>
        </w:numPr>
        <w:spacing w:before="120" w:after="120" w:line="360" w:lineRule="auto"/>
        <w:jc w:val="both"/>
        <w:rPr>
          <w:rFonts w:cs="Times New Roman" w:hint="default"/>
          <w:sz w:val="24"/>
          <w:szCs w:val="24"/>
          <w:rtl/>
          <w:lang w:val="ar-SA"/>
        </w:rPr>
      </w:pPr>
      <w:r>
        <w:rPr>
          <w:rFonts w:cs="Times New Roman"/>
          <w:b/>
          <w:bCs/>
          <w:sz w:val="24"/>
          <w:szCs w:val="24"/>
          <w:rtl/>
          <w:lang w:val="ar-SA"/>
        </w:rPr>
        <w:t>دراسة مروة زين العابدين</w:t>
      </w:r>
      <w:r>
        <w:rPr>
          <w:rFonts w:ascii="Times New Roman" w:hAnsi="Times New Roman"/>
          <w:sz w:val="24"/>
          <w:szCs w:val="24"/>
          <w:rtl/>
          <w:lang w:val="ar-SA"/>
        </w:rPr>
        <w:t xml:space="preserve"> </w:t>
      </w:r>
      <w:r>
        <w:rPr>
          <w:rFonts w:cs="Times New Roman"/>
          <w:b/>
          <w:bCs/>
          <w:sz w:val="24"/>
          <w:szCs w:val="24"/>
          <w:rtl/>
          <w:lang w:val="ar-SA"/>
        </w:rPr>
        <w:t xml:space="preserve">سعد </w:t>
      </w:r>
      <w:r>
        <w:rPr>
          <w:rFonts w:ascii="Times New Roman" w:hAnsi="Times New Roman"/>
          <w:b/>
          <w:bCs/>
          <w:sz w:val="24"/>
          <w:szCs w:val="24"/>
          <w:rtl/>
          <w:lang w:val="ar-SA"/>
        </w:rPr>
        <w:t>"</w:t>
      </w:r>
      <w:r>
        <w:rPr>
          <w:rFonts w:cs="Times New Roman"/>
          <w:b/>
          <w:bCs/>
          <w:sz w:val="24"/>
          <w:szCs w:val="24"/>
          <w:rtl/>
          <w:lang w:val="ar-SA"/>
        </w:rPr>
        <w:t>التحكيم في منازعات الملكية الفكرية ما بين النظام العام ومبدأ سلطان الإرادة</w:t>
      </w:r>
      <w:r>
        <w:rPr>
          <w:rFonts w:ascii="Times New Roman" w:hAnsi="Times New Roman"/>
          <w:b/>
          <w:bCs/>
          <w:sz w:val="24"/>
          <w:szCs w:val="24"/>
          <w:rtl/>
          <w:lang w:val="ar-SA"/>
        </w:rPr>
        <w:t>"</w:t>
      </w:r>
      <w:r>
        <w:rPr>
          <w:rFonts w:cs="Times New Roman"/>
          <w:b/>
          <w:bCs/>
          <w:sz w:val="24"/>
          <w:szCs w:val="24"/>
          <w:rtl/>
          <w:lang w:val="ar-SA"/>
        </w:rPr>
        <w:t xml:space="preserve">، كلية الحقوق جامعة عين شمس، </w:t>
      </w:r>
      <w:r>
        <w:rPr>
          <w:rFonts w:ascii="Times New Roman" w:hAnsi="Times New Roman"/>
          <w:b/>
          <w:bCs/>
          <w:sz w:val="24"/>
          <w:szCs w:val="24"/>
          <w:rtl/>
          <w:lang w:val="ar-SA"/>
        </w:rPr>
        <w:t>2024</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0"/>
      </w:r>
      <w:r>
        <w:rPr>
          <w:rFonts w:ascii="Times New Roman" w:hAnsi="Times New Roman"/>
          <w:sz w:val="24"/>
          <w:szCs w:val="24"/>
          <w:vertAlign w:val="superscript"/>
          <w:rtl/>
          <w:lang w:val="ar-SA"/>
        </w:rPr>
        <w:t>)</w:t>
      </w:r>
    </w:p>
    <w:p w14:paraId="533CBDB5"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bookmarkStart w:id="63" w:name="_Hlk183282722"/>
      <w:r>
        <w:rPr>
          <w:rFonts w:ascii="Arial Unicode MS" w:hAnsi="Arial Unicode MS" w:cs="Times New Roman" w:hint="cs"/>
          <w:b/>
          <w:bCs/>
          <w:sz w:val="24"/>
          <w:szCs w:val="24"/>
          <w:rtl/>
          <w:lang w:val="ar-SA"/>
        </w:rPr>
        <w:t>ملخص الدراسة</w:t>
      </w:r>
      <w:r>
        <w:rPr>
          <w:rFonts w:ascii="Times New Roman" w:hAnsi="Times New Roman"/>
          <w:b/>
          <w:bCs/>
          <w:sz w:val="24"/>
          <w:szCs w:val="24"/>
          <w:rtl/>
          <w:lang w:val="ar-SA"/>
        </w:rPr>
        <w:t>:</w:t>
      </w:r>
      <w:r>
        <w:rPr>
          <w:rFonts w:ascii="Times New Roman" w:hAnsi="Times New Roman"/>
          <w:sz w:val="24"/>
          <w:szCs w:val="24"/>
          <w:rtl/>
          <w:lang w:val="ar-SA"/>
        </w:rPr>
        <w:t xml:space="preserve"> </w:t>
      </w:r>
      <w:bookmarkEnd w:id="63"/>
      <w:r>
        <w:rPr>
          <w:rFonts w:ascii="Arial Unicode MS" w:hAnsi="Arial Unicode MS" w:cs="Times New Roman" w:hint="cs"/>
          <w:sz w:val="24"/>
          <w:szCs w:val="24"/>
          <w:rtl/>
          <w:lang w:val="ar-SA"/>
        </w:rPr>
        <w:t>نظرًا لأهمية حقوق الملكية الفكرية وتأثيرها الاقتصادي، أصبحت النزاعات شائعةً؛ ممَّا دفع الأطراف نحو التحكيم كوسيلة بديلة، وأوصى الباحثون بتحديث التشريعات؛ لمواكبة التطوُّرات التكنولوجية، وتعزيز الأنظمة القانونية</w:t>
      </w:r>
      <w:r>
        <w:rPr>
          <w:rFonts w:ascii="Times New Roman" w:hAnsi="Times New Roman"/>
          <w:sz w:val="24"/>
          <w:szCs w:val="24"/>
          <w:rtl/>
          <w:lang w:val="ar-SA"/>
        </w:rPr>
        <w:t>.</w:t>
      </w:r>
      <w:bookmarkStart w:id="64" w:name="_Hlk182080183"/>
    </w:p>
    <w:p w14:paraId="5C469DB9"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64"/>
      <w:r>
        <w:rPr>
          <w:rFonts w:ascii="Arial Unicode MS" w:hAnsi="Arial Unicode MS" w:cs="Times New Roman" w:hint="cs"/>
          <w:sz w:val="24"/>
          <w:szCs w:val="24"/>
          <w:rtl/>
          <w:lang w:val="ar-SA"/>
        </w:rPr>
        <w:t xml:space="preserve">اعتمد الباحث في الدراسة السابقة على المنهج التحليلي، على عكس الدراسة الحالية المعتمدة على المنهج المقارن، وأيضًا اختلفت في تناول التشريعات؛ حيث اقتصرت على القانون المصري بشكل عام، واقتصر التركيز على عقود الاستغلال والتراخيص وموقفها التشريعي من التقاضي في </w:t>
      </w:r>
      <w:r>
        <w:rPr>
          <w:rFonts w:ascii="Arial Unicode MS" w:hAnsi="Arial Unicode MS" w:cs="Times New Roman" w:hint="cs"/>
          <w:b/>
          <w:bCs/>
          <w:sz w:val="24"/>
          <w:szCs w:val="24"/>
          <w:rtl/>
          <w:lang w:val="ar-SA"/>
        </w:rPr>
        <w:t>حين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بالتطرق إلى كل جوانب</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الملكية الفكرية واستخدام الأسلوب المقارن بين التشريعات المختلفة</w:t>
      </w:r>
      <w:r>
        <w:rPr>
          <w:rFonts w:ascii="Times New Roman" w:hAnsi="Times New Roman"/>
          <w:sz w:val="24"/>
          <w:szCs w:val="24"/>
          <w:rtl/>
          <w:lang w:val="ar-SA"/>
        </w:rPr>
        <w:t>.</w:t>
      </w:r>
    </w:p>
    <w:p w14:paraId="1C1D9B4D" w14:textId="209337FD" w:rsidR="00454428" w:rsidRDefault="00C464EC">
      <w:pPr>
        <w:pStyle w:val="ListParagraph"/>
        <w:numPr>
          <w:ilvl w:val="0"/>
          <w:numId w:val="8"/>
        </w:numPr>
        <w:bidi w:val="0"/>
        <w:spacing w:before="120" w:after="120" w:line="360" w:lineRule="auto"/>
        <w:ind w:right="720"/>
        <w:jc w:val="both"/>
        <w:rPr>
          <w:rFonts w:ascii="Times New Roman" w:eastAsia="Times New Roman" w:hAnsi="Times New Roman" w:cs="Times New Roman" w:hint="default"/>
          <w:b/>
          <w:bCs/>
          <w:sz w:val="24"/>
          <w:szCs w:val="24"/>
        </w:rPr>
      </w:pPr>
      <w:bookmarkStart w:id="65" w:name="_Hlk179329941"/>
      <w:r>
        <w:rPr>
          <w:rFonts w:ascii="Times New Roman" w:hAnsi="Times New Roman"/>
          <w:b/>
          <w:bCs/>
          <w:sz w:val="24"/>
          <w:szCs w:val="24"/>
        </w:rPr>
        <w:t>Jeremy de Beer, Edward Richard Gold, International Trade, Intellectual Property, and Innovation Policy: Lessons from a Pandemic, January 2020</w:t>
      </w:r>
      <w:bookmarkEnd w:id="65"/>
      <w:r w:rsidR="007E301C">
        <w:rPr>
          <w:rFonts w:ascii="Times New Roman" w:hAnsi="Times New Roman" w:hint="default"/>
          <w:b/>
          <w:bCs/>
          <w:sz w:val="24"/>
          <w:szCs w:val="24"/>
        </w:rPr>
        <w:t xml:space="preserve">. </w:t>
      </w:r>
      <w:r w:rsidR="007E301C" w:rsidRPr="007E301C">
        <w:rPr>
          <w:rFonts w:ascii="Times New Roman" w:hAnsi="Times New Roman"/>
          <w:b/>
          <w:bCs/>
          <w:vertAlign w:val="superscript"/>
          <w:rtl/>
        </w:rPr>
        <w:t>)</w:t>
      </w:r>
      <w:r w:rsidRPr="007E301C">
        <w:rPr>
          <w:rFonts w:ascii="Times New Roman" w:hAnsi="Times New Roman"/>
          <w:b/>
          <w:bCs/>
          <w:vertAlign w:val="superscript"/>
        </w:rPr>
        <w:t xml:space="preserve"> </w:t>
      </w:r>
      <w:r w:rsidR="007E301C" w:rsidRPr="007E301C">
        <w:rPr>
          <w:rFonts w:ascii="Times New Roman" w:hAnsi="Times New Roman"/>
          <w:b/>
          <w:bCs/>
          <w:vertAlign w:val="superscript"/>
          <w:rtl/>
        </w:rPr>
        <w:t>(</w:t>
      </w:r>
      <w:r w:rsidRPr="007E301C">
        <w:rPr>
          <w:rFonts w:ascii="Times New Roman" w:eastAsia="Times New Roman" w:hAnsi="Times New Roman" w:cs="Times New Roman"/>
          <w:vertAlign w:val="superscript"/>
          <w:rtl/>
          <w:lang w:val="ar-SA"/>
        </w:rPr>
        <w:footnoteReference w:id="11"/>
      </w:r>
    </w:p>
    <w:p w14:paraId="36DB8B53"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تناولت الدراسة تأثير المشاكل البنيوية في نظام الابتكار في كندا على استعدادها للأوبئة، وأوصت بمواءمة التدابير السياسية لتعزيز مساهمات كندا من خلال العلم المفتوح، مستعرضةً الدروس المستفادة من الوباء على سياسات الابتكار الوطنية</w:t>
      </w:r>
      <w:r>
        <w:rPr>
          <w:rFonts w:ascii="Times New Roman" w:hAnsi="Times New Roman"/>
          <w:sz w:val="24"/>
          <w:szCs w:val="24"/>
          <w:rtl/>
          <w:lang w:val="ar-SA"/>
        </w:rPr>
        <w:t>.</w:t>
      </w:r>
    </w:p>
    <w:p w14:paraId="1F7CCB64" w14:textId="77777777" w:rsidR="00454428" w:rsidRDefault="00454428" w:rsidP="00C72BA8">
      <w:pPr>
        <w:pStyle w:val="Body"/>
        <w:spacing w:before="120" w:after="120" w:line="360" w:lineRule="auto"/>
        <w:ind w:firstLine="720"/>
        <w:jc w:val="both"/>
        <w:rPr>
          <w:rFonts w:ascii="Times New Roman" w:eastAsia="Times New Roman" w:hAnsi="Times New Roman" w:cs="Times New Roman"/>
          <w:b/>
          <w:bCs/>
          <w:sz w:val="24"/>
          <w:szCs w:val="24"/>
        </w:rPr>
      </w:pPr>
    </w:p>
    <w:p w14:paraId="119385CF" w14:textId="77777777" w:rsidR="00454428"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lastRenderedPageBreak/>
        <w:t>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الدراسة السابقة تركز على العلاقة بين قانون التجارة الدولية، وحقوق الملكية الفكرية، وسياسات الابتكار في سياق الأوبئة، الدراسة السابقة تبحث في تأثير المشاكل البنيوية في نظام الابتكار الكندي على الاستعداد للأوبئة، وتقترح مواءمة التدابير السياسية المحلية والدولية؛ لتسريع مساهمات كندا من خلال العلم المفتوح، </w:t>
      </w:r>
      <w:r>
        <w:rPr>
          <w:rFonts w:ascii="Arial Unicode MS" w:hAnsi="Arial Unicode MS" w:cs="Times New Roman" w:hint="cs"/>
          <w:b/>
          <w:bCs/>
          <w:sz w:val="24"/>
          <w:szCs w:val="24"/>
          <w:rtl/>
          <w:lang w:val="ar-SA"/>
        </w:rPr>
        <w:t>بينما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بالتركيز على الحلول التقنية لحماية الملكية الفكرية</w:t>
      </w:r>
      <w:r>
        <w:rPr>
          <w:rFonts w:ascii="Times New Roman" w:hAnsi="Times New Roman"/>
          <w:sz w:val="24"/>
          <w:szCs w:val="24"/>
          <w:rtl/>
          <w:lang w:val="ar-SA"/>
        </w:rPr>
        <w:t>.</w:t>
      </w:r>
    </w:p>
    <w:p w14:paraId="6EC42494" w14:textId="77777777" w:rsidR="007407C2" w:rsidRDefault="007407C2">
      <w:pPr>
        <w:rPr>
          <w:rFonts w:ascii="Arial Unicode MS" w:hAnsi="Arial Unicode MS"/>
          <w:b/>
          <w:bCs/>
          <w:color w:val="000000"/>
          <w:u w:color="000000"/>
          <w:rtl/>
          <w:lang w:val="ar-SA"/>
        </w:rPr>
      </w:pPr>
      <w:bookmarkStart w:id="66" w:name="_Toc227251069"/>
      <w:bookmarkStart w:id="67" w:name="_Toc232260626"/>
      <w:r>
        <w:rPr>
          <w:rFonts w:ascii="Arial Unicode MS" w:hAnsi="Arial Unicode MS"/>
          <w:rtl/>
          <w:lang w:val="ar-SA"/>
        </w:rPr>
        <w:br w:type="page"/>
      </w:r>
    </w:p>
    <w:p w14:paraId="63811ECE" w14:textId="4F258DF7" w:rsidR="00454428" w:rsidRDefault="00C464EC" w:rsidP="00C72BA8">
      <w:pPr>
        <w:pStyle w:val="a0"/>
        <w:rPr>
          <w:rtl/>
          <w:lang w:val="ar-SA"/>
        </w:rPr>
      </w:pPr>
      <w:r>
        <w:rPr>
          <w:rFonts w:ascii="Arial Unicode MS" w:eastAsia="Arial Unicode MS" w:hAnsi="Arial Unicode MS" w:hint="cs"/>
          <w:rtl/>
          <w:lang w:val="ar-SA"/>
        </w:rPr>
        <w:lastRenderedPageBreak/>
        <w:t>سابعًا</w:t>
      </w:r>
      <w:r>
        <w:rPr>
          <w:rtl/>
          <w:lang w:val="ar-SA"/>
        </w:rPr>
        <w:t xml:space="preserve">: </w:t>
      </w:r>
      <w:r>
        <w:rPr>
          <w:rFonts w:ascii="Arial Unicode MS" w:eastAsia="Arial Unicode MS" w:hAnsi="Arial Unicode MS" w:hint="cs"/>
          <w:rtl/>
          <w:lang w:val="ar-SA"/>
        </w:rPr>
        <w:t>مخطط البحث</w:t>
      </w:r>
      <w:r>
        <w:rPr>
          <w:rtl/>
          <w:lang w:val="ar-SA"/>
        </w:rPr>
        <w:t>:</w:t>
      </w:r>
      <w:bookmarkEnd w:id="66"/>
      <w:bookmarkEnd w:id="67"/>
    </w:p>
    <w:p w14:paraId="6B879F0C"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bookmarkStart w:id="68" w:name="_Hlk225612313"/>
      <w:r>
        <w:rPr>
          <w:rFonts w:ascii="Arial Unicode MS" w:hAnsi="Arial Unicode MS" w:cs="Times New Roman" w:hint="cs"/>
          <w:b/>
          <w:bCs/>
          <w:sz w:val="24"/>
          <w:szCs w:val="24"/>
          <w:rtl/>
          <w:lang w:val="ar-SA"/>
        </w:rPr>
        <w:t>الفصـــــل التمهيدي</w:t>
      </w:r>
    </w:p>
    <w:p w14:paraId="4CED83DF"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 xml:space="preserve"> الإطار العام لأساسيات حماية حقوق الملكية الفكرية</w:t>
      </w:r>
    </w:p>
    <w:p w14:paraId="4EE8ED3C" w14:textId="77777777" w:rsidR="00454428" w:rsidRDefault="00C464EC" w:rsidP="00C72BA8">
      <w:pPr>
        <w:pStyle w:val="BodyA"/>
        <w:spacing w:before="120" w:after="120" w:line="360" w:lineRule="auto"/>
        <w:jc w:val="both"/>
        <w:rPr>
          <w:rFonts w:ascii="Times New Roman" w:eastAsia="Times New Roman" w:hAnsi="Times New Roman" w:cs="Times New Roman" w:hint="default"/>
          <w:b/>
          <w:bCs/>
          <w:sz w:val="24"/>
          <w:szCs w:val="24"/>
          <w:rtl/>
          <w:lang w:val="ar-SA"/>
        </w:rPr>
      </w:pPr>
      <w:r>
        <w:rPr>
          <w:rFonts w:cs="Times New Roman"/>
          <w:b/>
          <w:bCs/>
          <w:sz w:val="24"/>
          <w:szCs w:val="24"/>
          <w:rtl/>
          <w:lang w:val="ar-SA"/>
        </w:rPr>
        <w:t>المبحث الأول</w:t>
      </w:r>
      <w:r>
        <w:rPr>
          <w:rFonts w:ascii="Times New Roman" w:hAnsi="Times New Roman"/>
          <w:b/>
          <w:bCs/>
          <w:sz w:val="24"/>
          <w:szCs w:val="24"/>
          <w:rtl/>
          <w:lang w:val="ar-SA"/>
        </w:rPr>
        <w:t xml:space="preserve">: </w:t>
      </w:r>
      <w:r>
        <w:rPr>
          <w:rFonts w:cs="Times New Roman"/>
          <w:b/>
          <w:bCs/>
          <w:sz w:val="24"/>
          <w:szCs w:val="24"/>
          <w:rtl/>
          <w:lang w:val="ar-SA"/>
        </w:rPr>
        <w:t>ماهية حقوق الملكية الفكرية</w:t>
      </w:r>
      <w:r>
        <w:rPr>
          <w:rFonts w:ascii="Times New Roman" w:hAnsi="Times New Roman"/>
          <w:b/>
          <w:bCs/>
          <w:sz w:val="24"/>
          <w:szCs w:val="24"/>
          <w:rtl/>
          <w:lang w:val="ar-SA"/>
        </w:rPr>
        <w:t>.</w:t>
      </w:r>
    </w:p>
    <w:p w14:paraId="58E1EDDD" w14:textId="77777777" w:rsidR="00454428" w:rsidRDefault="00C464EC">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6E6F13AB" w14:textId="77777777" w:rsidR="00454428" w:rsidRDefault="00C464EC">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p>
    <w:p w14:paraId="365285E7" w14:textId="77777777" w:rsidR="00454428" w:rsidRDefault="00C464EC" w:rsidP="00C72BA8">
      <w:pPr>
        <w:pStyle w:val="BodyA"/>
        <w:spacing w:before="120" w:after="120" w:line="360" w:lineRule="auto"/>
        <w:jc w:val="both"/>
        <w:rPr>
          <w:rFonts w:ascii="Times New Roman" w:eastAsia="Times New Roman" w:hAnsi="Times New Roman" w:cs="Times New Roman" w:hint="default"/>
          <w:sz w:val="24"/>
          <w:szCs w:val="24"/>
          <w:rtl/>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r>
        <w:rPr>
          <w:rFonts w:ascii="Times New Roman" w:hAnsi="Times New Roman"/>
          <w:sz w:val="24"/>
          <w:szCs w:val="24"/>
          <w:rtl/>
          <w:lang w:val="ar-SA"/>
        </w:rPr>
        <w:t>.</w:t>
      </w:r>
    </w:p>
    <w:p w14:paraId="16E7AF49" w14:textId="77777777" w:rsidR="00454428" w:rsidRDefault="00C464EC">
      <w:pPr>
        <w:pStyle w:val="BodyA"/>
        <w:numPr>
          <w:ilvl w:val="0"/>
          <w:numId w:val="12"/>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نُبذة تاريخية عن نشأة حقوق الملكية الفكرية</w:t>
      </w:r>
      <w:r>
        <w:rPr>
          <w:rFonts w:ascii="Times New Roman" w:hAnsi="Times New Roman"/>
          <w:sz w:val="24"/>
          <w:szCs w:val="24"/>
          <w:rtl/>
          <w:lang w:val="ar-SA"/>
        </w:rPr>
        <w:t>.</w:t>
      </w:r>
    </w:p>
    <w:p w14:paraId="513C381E" w14:textId="77777777" w:rsidR="00454428" w:rsidRDefault="00C464EC">
      <w:pPr>
        <w:pStyle w:val="BodyA"/>
        <w:numPr>
          <w:ilvl w:val="0"/>
          <w:numId w:val="12"/>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تطوُّر الأطر القانونية والمؤسسية لحماية حقوق الملكية الفكرية</w:t>
      </w:r>
      <w:r>
        <w:rPr>
          <w:rFonts w:ascii="Times New Roman" w:hAnsi="Times New Roman"/>
          <w:sz w:val="24"/>
          <w:szCs w:val="24"/>
          <w:rtl/>
          <w:lang w:val="ar-SA"/>
        </w:rPr>
        <w:t>.</w:t>
      </w:r>
    </w:p>
    <w:p w14:paraId="0E41C45F"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الأول</w:t>
      </w:r>
    </w:p>
    <w:p w14:paraId="0C173274"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التعريف بالبيئة الرقمية وخصائصها</w:t>
      </w:r>
    </w:p>
    <w:p w14:paraId="70F7399F"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البيئة الرقمية ومكوناتها</w:t>
      </w:r>
      <w:r>
        <w:rPr>
          <w:rFonts w:ascii="Times New Roman" w:hAnsi="Times New Roman"/>
          <w:b/>
          <w:bCs/>
          <w:sz w:val="24"/>
          <w:szCs w:val="24"/>
          <w:rtl/>
          <w:lang w:val="ar-SA"/>
        </w:rPr>
        <w:t>.</w:t>
      </w:r>
    </w:p>
    <w:p w14:paraId="576A6C6A" w14:textId="77777777" w:rsidR="00454428" w:rsidRDefault="00C464EC">
      <w:pPr>
        <w:pStyle w:val="ListParagraph"/>
        <w:numPr>
          <w:ilvl w:val="0"/>
          <w:numId w:val="14"/>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مفهوم البيئة الرقمية وأبرز خصائصها</w:t>
      </w:r>
      <w:r>
        <w:rPr>
          <w:rFonts w:ascii="Times New Roman" w:hAnsi="Times New Roman"/>
          <w:sz w:val="24"/>
          <w:szCs w:val="24"/>
          <w:rtl/>
          <w:lang w:val="ar-SA"/>
        </w:rPr>
        <w:t>.</w:t>
      </w:r>
    </w:p>
    <w:p w14:paraId="28CE0EAD" w14:textId="77777777" w:rsidR="00454428" w:rsidRDefault="00C464EC">
      <w:pPr>
        <w:pStyle w:val="ListParagraph"/>
        <w:numPr>
          <w:ilvl w:val="0"/>
          <w:numId w:val="14"/>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أثر البيئة الرقمية على تطوُّر الملكية الفكرية</w:t>
      </w:r>
      <w:r>
        <w:rPr>
          <w:rFonts w:ascii="Times New Roman" w:hAnsi="Times New Roman"/>
          <w:sz w:val="24"/>
          <w:szCs w:val="24"/>
          <w:rtl/>
          <w:lang w:val="ar-SA"/>
        </w:rPr>
        <w:t xml:space="preserve">. </w:t>
      </w:r>
    </w:p>
    <w:p w14:paraId="0415D978"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إشكاليات حماية حقوق الملكية الفكرية في البيئة الرقمية</w:t>
      </w:r>
      <w:r>
        <w:rPr>
          <w:rFonts w:ascii="Times New Roman" w:hAnsi="Times New Roman"/>
          <w:b/>
          <w:bCs/>
          <w:sz w:val="24"/>
          <w:szCs w:val="24"/>
          <w:rtl/>
          <w:lang w:val="ar-SA"/>
        </w:rPr>
        <w:t>.</w:t>
      </w:r>
    </w:p>
    <w:p w14:paraId="5544832B" w14:textId="77777777" w:rsidR="00454428" w:rsidRDefault="00C464EC">
      <w:pPr>
        <w:pStyle w:val="ListParagraph"/>
        <w:numPr>
          <w:ilvl w:val="0"/>
          <w:numId w:val="16"/>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أدوات تداول الإنتاج الفكري الرقمي وتحدياتها التقنية</w:t>
      </w:r>
      <w:r>
        <w:rPr>
          <w:rFonts w:ascii="Times New Roman" w:hAnsi="Times New Roman"/>
          <w:sz w:val="24"/>
          <w:szCs w:val="24"/>
          <w:rtl/>
          <w:lang w:val="ar-SA"/>
        </w:rPr>
        <w:t xml:space="preserve">. </w:t>
      </w:r>
    </w:p>
    <w:p w14:paraId="4068F9C3" w14:textId="77777777" w:rsidR="00454428" w:rsidRDefault="00C464EC">
      <w:pPr>
        <w:pStyle w:val="ListParagraph"/>
        <w:numPr>
          <w:ilvl w:val="0"/>
          <w:numId w:val="16"/>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خصائص الإنتاج الفكري الرقمي وحدود الحماية القانونية</w:t>
      </w:r>
      <w:r>
        <w:rPr>
          <w:rFonts w:ascii="Times New Roman" w:hAnsi="Times New Roman"/>
          <w:sz w:val="24"/>
          <w:szCs w:val="24"/>
          <w:rtl/>
          <w:lang w:val="ar-SA"/>
        </w:rPr>
        <w:t xml:space="preserve">. </w:t>
      </w:r>
    </w:p>
    <w:p w14:paraId="16429252"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الثاني</w:t>
      </w:r>
    </w:p>
    <w:p w14:paraId="12F41D86"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الإطار القانوني لحماية الملكية الفكرية في الاتفاقيات الدولية والقوانين الوطنية</w:t>
      </w:r>
    </w:p>
    <w:p w14:paraId="3A1D46F7"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الدولية والتعاون العابر للحدود</w:t>
      </w:r>
      <w:r>
        <w:rPr>
          <w:rFonts w:ascii="Times New Roman" w:hAnsi="Times New Roman"/>
          <w:b/>
          <w:bCs/>
          <w:sz w:val="24"/>
          <w:szCs w:val="24"/>
          <w:rtl/>
          <w:lang w:val="ar-SA"/>
        </w:rPr>
        <w:t>.</w:t>
      </w:r>
    </w:p>
    <w:p w14:paraId="10384ECB" w14:textId="77777777" w:rsidR="00454428" w:rsidRDefault="00C464EC">
      <w:pPr>
        <w:pStyle w:val="ListParagraph"/>
        <w:numPr>
          <w:ilvl w:val="0"/>
          <w:numId w:val="18"/>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اتفاقية بيرن وتريبس والاتفاقيات الأخرى</w:t>
      </w:r>
      <w:r>
        <w:rPr>
          <w:rFonts w:ascii="Times New Roman" w:hAnsi="Times New Roman"/>
          <w:sz w:val="24"/>
          <w:szCs w:val="24"/>
          <w:rtl/>
          <w:lang w:val="ar-SA"/>
        </w:rPr>
        <w:t>.</w:t>
      </w:r>
    </w:p>
    <w:p w14:paraId="5B338C26" w14:textId="77777777" w:rsidR="00454428" w:rsidRDefault="00C464EC">
      <w:pPr>
        <w:pStyle w:val="ListParagraph"/>
        <w:numPr>
          <w:ilvl w:val="0"/>
          <w:numId w:val="18"/>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التحديات الدولية في تنفيذ الحماية الرقمية</w:t>
      </w:r>
      <w:r>
        <w:rPr>
          <w:rFonts w:ascii="Times New Roman" w:hAnsi="Times New Roman"/>
          <w:sz w:val="24"/>
          <w:szCs w:val="24"/>
          <w:rtl/>
          <w:lang w:val="ar-SA"/>
        </w:rPr>
        <w:t>.</w:t>
      </w:r>
    </w:p>
    <w:p w14:paraId="639475CE"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النظام القانونية للمصنف الرقمي</w:t>
      </w:r>
      <w:r>
        <w:rPr>
          <w:rFonts w:ascii="Times New Roman" w:hAnsi="Times New Roman"/>
          <w:b/>
          <w:bCs/>
          <w:sz w:val="24"/>
          <w:szCs w:val="24"/>
          <w:rtl/>
          <w:lang w:val="ar-SA"/>
        </w:rPr>
        <w:t>.</w:t>
      </w:r>
    </w:p>
    <w:p w14:paraId="51783E2B" w14:textId="77777777" w:rsidR="00454428" w:rsidRDefault="00C464EC">
      <w:pPr>
        <w:pStyle w:val="ListParagraph"/>
        <w:numPr>
          <w:ilvl w:val="0"/>
          <w:numId w:val="20"/>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نطاق الحماية القانونية في النظام السعودي</w:t>
      </w:r>
      <w:r>
        <w:rPr>
          <w:rFonts w:ascii="Times New Roman" w:hAnsi="Times New Roman"/>
          <w:sz w:val="24"/>
          <w:szCs w:val="24"/>
          <w:rtl/>
          <w:lang w:val="ar-SA"/>
        </w:rPr>
        <w:t>.</w:t>
      </w:r>
    </w:p>
    <w:p w14:paraId="0CF5EBC3" w14:textId="77777777" w:rsidR="00454428" w:rsidRDefault="00C464EC">
      <w:pPr>
        <w:pStyle w:val="ListParagraph"/>
        <w:numPr>
          <w:ilvl w:val="0"/>
          <w:numId w:val="2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نطاق الحماية في التشريعين الفرنسي والأمريكي</w:t>
      </w:r>
      <w:r>
        <w:rPr>
          <w:rFonts w:ascii="Times New Roman" w:hAnsi="Times New Roman"/>
          <w:sz w:val="24"/>
          <w:szCs w:val="24"/>
          <w:rtl/>
          <w:lang w:val="ar-SA"/>
        </w:rPr>
        <w:t>.</w:t>
      </w:r>
    </w:p>
    <w:p w14:paraId="51626025"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الثالث</w:t>
      </w:r>
    </w:p>
    <w:p w14:paraId="460F5025"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صور الحماية القانونية للملكية الفكرية في البيئة الرقمية</w:t>
      </w:r>
    </w:p>
    <w:p w14:paraId="54827A13"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lastRenderedPageBreak/>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المدنية للمصنفات الرقمية</w:t>
      </w:r>
      <w:r>
        <w:rPr>
          <w:rFonts w:ascii="Times New Roman" w:hAnsi="Times New Roman"/>
          <w:b/>
          <w:bCs/>
          <w:sz w:val="24"/>
          <w:szCs w:val="24"/>
          <w:rtl/>
          <w:lang w:val="ar-SA"/>
        </w:rPr>
        <w:t>.</w:t>
      </w:r>
    </w:p>
    <w:p w14:paraId="2C92148E" w14:textId="77777777" w:rsidR="00454428" w:rsidRDefault="00C464EC">
      <w:pPr>
        <w:pStyle w:val="ListParagraph"/>
        <w:numPr>
          <w:ilvl w:val="0"/>
          <w:numId w:val="22"/>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النظام السعودي</w:t>
      </w:r>
      <w:r>
        <w:rPr>
          <w:rFonts w:ascii="Times New Roman" w:hAnsi="Times New Roman"/>
          <w:sz w:val="24"/>
          <w:szCs w:val="24"/>
          <w:rtl/>
          <w:lang w:val="ar-SA"/>
        </w:rPr>
        <w:t>.</w:t>
      </w:r>
    </w:p>
    <w:p w14:paraId="7B2B4367" w14:textId="77777777" w:rsidR="00454428" w:rsidRDefault="00C464EC">
      <w:pPr>
        <w:pStyle w:val="ListParagraph"/>
        <w:numPr>
          <w:ilvl w:val="0"/>
          <w:numId w:val="22"/>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القانون الأمريكي والفَرنسي</w:t>
      </w:r>
      <w:r>
        <w:rPr>
          <w:rFonts w:ascii="Times New Roman" w:hAnsi="Times New Roman"/>
          <w:sz w:val="24"/>
          <w:szCs w:val="24"/>
          <w:rtl/>
          <w:lang w:val="ar-SA"/>
        </w:rPr>
        <w:t xml:space="preserve">. </w:t>
      </w:r>
    </w:p>
    <w:p w14:paraId="45C5D2FC"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الجنائية والتجريم الرقمي</w:t>
      </w:r>
      <w:r>
        <w:rPr>
          <w:rFonts w:ascii="Times New Roman" w:hAnsi="Times New Roman"/>
          <w:b/>
          <w:bCs/>
          <w:sz w:val="24"/>
          <w:szCs w:val="24"/>
          <w:rtl/>
          <w:lang w:val="ar-SA"/>
        </w:rPr>
        <w:t>.</w:t>
      </w:r>
    </w:p>
    <w:p w14:paraId="513BDE18" w14:textId="77777777" w:rsidR="00454428" w:rsidRDefault="00C464EC">
      <w:pPr>
        <w:pStyle w:val="ListParagraph"/>
        <w:numPr>
          <w:ilvl w:val="0"/>
          <w:numId w:val="24"/>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 السعودي</w:t>
      </w:r>
      <w:r>
        <w:rPr>
          <w:rFonts w:ascii="Times New Roman" w:hAnsi="Times New Roman"/>
          <w:sz w:val="24"/>
          <w:szCs w:val="24"/>
          <w:rtl/>
          <w:lang w:val="ar-SA"/>
        </w:rPr>
        <w:t xml:space="preserve">. </w:t>
      </w:r>
    </w:p>
    <w:p w14:paraId="00C422AD" w14:textId="77777777" w:rsidR="00454428" w:rsidRDefault="00C464EC">
      <w:pPr>
        <w:pStyle w:val="ListParagraph"/>
        <w:numPr>
          <w:ilvl w:val="0"/>
          <w:numId w:val="24"/>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النظامين الفرنسي والأمريكي</w:t>
      </w:r>
      <w:r>
        <w:rPr>
          <w:rFonts w:ascii="Times New Roman" w:hAnsi="Times New Roman"/>
          <w:sz w:val="24"/>
          <w:szCs w:val="24"/>
          <w:rtl/>
          <w:lang w:val="ar-SA"/>
        </w:rPr>
        <w:t>.</w:t>
      </w:r>
    </w:p>
    <w:p w14:paraId="7F730629"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الرابع</w:t>
      </w:r>
    </w:p>
    <w:p w14:paraId="7AC03F63" w14:textId="77777777" w:rsidR="00454428" w:rsidRDefault="00C464EC"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الحماية الإجرائية للملكية الفكرية في البيئة الرقمية</w:t>
      </w:r>
    </w:p>
    <w:p w14:paraId="3C4CC54E"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القانونية لحماية الملكية الفكرية في البيئة الرقمية</w:t>
      </w:r>
      <w:r>
        <w:rPr>
          <w:rFonts w:ascii="Times New Roman" w:hAnsi="Times New Roman"/>
          <w:b/>
          <w:bCs/>
          <w:sz w:val="24"/>
          <w:szCs w:val="24"/>
          <w:rtl/>
          <w:lang w:val="ar-SA"/>
        </w:rPr>
        <w:t>.</w:t>
      </w:r>
    </w:p>
    <w:p w14:paraId="683A236A" w14:textId="77777777" w:rsidR="00454428" w:rsidRDefault="00C464EC">
      <w:pPr>
        <w:pStyle w:val="ListParagraph"/>
        <w:numPr>
          <w:ilvl w:val="0"/>
          <w:numId w:val="26"/>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الترخيص الإجباري</w:t>
      </w:r>
      <w:r>
        <w:rPr>
          <w:rFonts w:ascii="Times New Roman" w:hAnsi="Times New Roman"/>
          <w:sz w:val="24"/>
          <w:szCs w:val="24"/>
          <w:rtl/>
          <w:lang w:val="ar-SA"/>
        </w:rPr>
        <w:t>.</w:t>
      </w:r>
    </w:p>
    <w:p w14:paraId="1B589C2E" w14:textId="11D572AD" w:rsidR="00454428" w:rsidRPr="00942492" w:rsidRDefault="00C464EC">
      <w:pPr>
        <w:pStyle w:val="ListParagraph"/>
        <w:numPr>
          <w:ilvl w:val="0"/>
          <w:numId w:val="26"/>
        </w:numPr>
        <w:spacing w:before="120" w:after="120" w:line="360" w:lineRule="auto"/>
        <w:rPr>
          <w:rFonts w:cs="Arial Unicode MS"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الإثبات والتحقيق والضبط الفني في البيئة الرقمية</w:t>
      </w:r>
      <w:r>
        <w:rPr>
          <w:rFonts w:ascii="Times New Roman" w:hAnsi="Times New Roman"/>
          <w:sz w:val="24"/>
          <w:szCs w:val="24"/>
          <w:rtl/>
          <w:lang w:val="ar-SA"/>
        </w:rPr>
        <w:t>.</w:t>
      </w:r>
    </w:p>
    <w:p w14:paraId="316C61C9" w14:textId="77777777" w:rsidR="00454428" w:rsidRDefault="00C464EC"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التقنية لحماية الملكية الفكرية في البيئة الرقمية</w:t>
      </w:r>
      <w:r>
        <w:rPr>
          <w:rFonts w:ascii="Times New Roman" w:hAnsi="Times New Roman"/>
          <w:b/>
          <w:bCs/>
          <w:sz w:val="24"/>
          <w:szCs w:val="24"/>
          <w:rtl/>
          <w:lang w:val="ar-SA"/>
        </w:rPr>
        <w:t>.</w:t>
      </w:r>
    </w:p>
    <w:p w14:paraId="25F02407" w14:textId="77777777" w:rsidR="00454428" w:rsidRDefault="00C464EC">
      <w:pPr>
        <w:pStyle w:val="ListParagraph"/>
        <w:numPr>
          <w:ilvl w:val="0"/>
          <w:numId w:val="28"/>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الرقابة على المواقع الإلكترونية</w:t>
      </w:r>
      <w:r>
        <w:rPr>
          <w:rFonts w:ascii="Times New Roman" w:hAnsi="Times New Roman"/>
          <w:sz w:val="24"/>
          <w:szCs w:val="24"/>
          <w:rtl/>
          <w:lang w:val="ar-SA"/>
        </w:rPr>
        <w:t>.</w:t>
      </w:r>
    </w:p>
    <w:p w14:paraId="01CEAABB" w14:textId="7516F522" w:rsidR="00C72BA8" w:rsidRPr="00D61DE9" w:rsidRDefault="00C464EC">
      <w:pPr>
        <w:pStyle w:val="ListParagraph"/>
        <w:numPr>
          <w:ilvl w:val="0"/>
          <w:numId w:val="28"/>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التكنولوجية للمنتجات الفكرية في البيئة الرقمية</w:t>
      </w:r>
      <w:r>
        <w:rPr>
          <w:rFonts w:ascii="Times New Roman" w:hAnsi="Times New Roman"/>
          <w:sz w:val="24"/>
          <w:szCs w:val="24"/>
          <w:rtl/>
          <w:lang w:val="ar-SA"/>
        </w:rPr>
        <w:t>.</w:t>
      </w:r>
      <w:bookmarkEnd w:id="68"/>
    </w:p>
    <w:p w14:paraId="04B17D8E" w14:textId="449D248C" w:rsidR="00454428" w:rsidRDefault="00C464EC" w:rsidP="00C72BA8">
      <w:pPr>
        <w:pStyle w:val="a"/>
        <w:rPr>
          <w:rtl/>
          <w:lang w:val="ar-SA"/>
        </w:rPr>
      </w:pPr>
      <w:bookmarkStart w:id="69" w:name="_Toc227251070"/>
      <w:bookmarkStart w:id="70" w:name="_Toc232260627"/>
      <w:r>
        <w:rPr>
          <w:rFonts w:ascii="Arial Unicode MS" w:eastAsia="Arial Unicode MS" w:hAnsi="Arial Unicode MS" w:hint="cs"/>
          <w:rtl/>
          <w:lang w:val="ar-SA"/>
        </w:rPr>
        <w:t>الفصــل التمهيدي</w:t>
      </w:r>
      <w:bookmarkEnd w:id="69"/>
      <w:bookmarkEnd w:id="70"/>
    </w:p>
    <w:p w14:paraId="282A7512" w14:textId="77777777" w:rsidR="00454428" w:rsidRDefault="00C464EC" w:rsidP="00C72BA8">
      <w:pPr>
        <w:pStyle w:val="a"/>
        <w:rPr>
          <w:rtl/>
          <w:lang w:val="ar-SA"/>
        </w:rPr>
      </w:pPr>
      <w:r>
        <w:rPr>
          <w:rFonts w:ascii="Arial Unicode MS" w:eastAsia="Arial Unicode MS" w:hAnsi="Arial Unicode MS" w:hint="cs"/>
          <w:rtl/>
          <w:lang w:val="ar-SA"/>
        </w:rPr>
        <w:t xml:space="preserve"> </w:t>
      </w:r>
      <w:bookmarkStart w:id="71" w:name="_Toc227251071"/>
      <w:bookmarkStart w:id="72" w:name="_Toc232260628"/>
      <w:r>
        <w:rPr>
          <w:rFonts w:ascii="Arial Unicode MS" w:eastAsia="Arial Unicode MS" w:hAnsi="Arial Unicode MS" w:hint="cs"/>
          <w:rtl/>
          <w:lang w:val="ar-SA"/>
        </w:rPr>
        <w:t>الإطار العام لأساسيات حماية حقوق الملكية الفكرية</w:t>
      </w:r>
      <w:bookmarkEnd w:id="71"/>
      <w:bookmarkEnd w:id="72"/>
    </w:p>
    <w:p w14:paraId="7FDA0E20" w14:textId="77777777" w:rsidR="00454428"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6B5CD29D" w14:textId="77777777" w:rsidR="00454428" w:rsidRDefault="00C464EC" w:rsidP="00D61DE9">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تشكل حقوق الملكية الفكرية أحد أبرز دعائم النظام القانوني المعاصر؛ حيث جاءت كاستجابة طبيعية للتطوُّرات العلمية، والتقنية، والثقافية التي شهدها العالم، والتي جعلت من الإبداع والابتكار ركيزتين أساسيتين للتنمية والنهضة في شتى المجتمعات، وتنبع أهمية حماية حقوق الملكية الفكرية من دورها في تعزيز الابتكار والإبداع، وحثّ الأفراد والمؤسسات على الاستثمار في مجالات البحث والتطوير، وضمان استفادة صاحب الحق من ثمار جهوده الفكرية، وتتعدد أشكال هذه الحقوق لتشمل الحقوق الأدبية والفنية</w:t>
      </w:r>
      <w:r>
        <w:rPr>
          <w:rFonts w:ascii="Times New Roman" w:hAnsi="Times New Roman"/>
          <w:sz w:val="24"/>
          <w:szCs w:val="24"/>
          <w:rtl/>
          <w:lang w:val="ar-SA"/>
        </w:rPr>
        <w:t>: (</w:t>
      </w:r>
      <w:r>
        <w:rPr>
          <w:rFonts w:cs="Times New Roman"/>
          <w:sz w:val="24"/>
          <w:szCs w:val="24"/>
          <w:rtl/>
          <w:lang w:val="ar-SA"/>
        </w:rPr>
        <w:t>كحقوق المؤلف</w:t>
      </w:r>
      <w:r>
        <w:rPr>
          <w:rFonts w:ascii="Times New Roman" w:hAnsi="Times New Roman"/>
          <w:sz w:val="24"/>
          <w:szCs w:val="24"/>
          <w:rtl/>
          <w:lang w:val="ar-SA"/>
        </w:rPr>
        <w:t>)</w:t>
      </w:r>
      <w:r>
        <w:rPr>
          <w:rFonts w:cs="Times New Roman"/>
          <w:sz w:val="24"/>
          <w:szCs w:val="24"/>
          <w:rtl/>
          <w:lang w:val="ar-SA"/>
        </w:rPr>
        <w:t xml:space="preserve">، والحقوق الصناعية، </w:t>
      </w:r>
      <w:r>
        <w:rPr>
          <w:rFonts w:ascii="Times New Roman" w:hAnsi="Times New Roman"/>
          <w:sz w:val="24"/>
          <w:szCs w:val="24"/>
          <w:rtl/>
          <w:lang w:val="ar-SA"/>
        </w:rPr>
        <w:t>(</w:t>
      </w:r>
      <w:r>
        <w:rPr>
          <w:rFonts w:cs="Times New Roman"/>
          <w:sz w:val="24"/>
          <w:szCs w:val="24"/>
          <w:rtl/>
          <w:lang w:val="ar-SA"/>
        </w:rPr>
        <w:t>كبراءات الاختراع، والعلامات التجارية، والنماذج الصناعية</w:t>
      </w:r>
      <w:r>
        <w:rPr>
          <w:rFonts w:ascii="Times New Roman" w:hAnsi="Times New Roman"/>
          <w:sz w:val="24"/>
          <w:szCs w:val="24"/>
          <w:rtl/>
          <w:lang w:val="ar-SA"/>
        </w:rPr>
        <w:t>)</w:t>
      </w:r>
      <w:r>
        <w:rPr>
          <w:rFonts w:cs="Times New Roman"/>
          <w:sz w:val="24"/>
          <w:szCs w:val="24"/>
          <w:rtl/>
          <w:lang w:val="ar-SA"/>
        </w:rPr>
        <w:t>؛ لتغطي بذلك مختلف مناحي النشاط الإبداعي والاقتصادي</w:t>
      </w:r>
      <w:r>
        <w:rPr>
          <w:rFonts w:ascii="Times New Roman" w:hAnsi="Times New Roman"/>
          <w:sz w:val="24"/>
          <w:szCs w:val="24"/>
          <w:rtl/>
          <w:lang w:val="ar-SA"/>
        </w:rPr>
        <w:t>.</w:t>
      </w:r>
    </w:p>
    <w:p w14:paraId="6308CDF0" w14:textId="77777777" w:rsidR="00454428" w:rsidRPr="00D61DE9" w:rsidRDefault="00C464EC" w:rsidP="00D61DE9">
      <w:pPr>
        <w:pStyle w:val="BodyA"/>
        <w:spacing w:before="120" w:after="120" w:line="360" w:lineRule="auto"/>
        <w:jc w:val="both"/>
        <w:rPr>
          <w:rFonts w:ascii="Times New Roman" w:eastAsia="Times New Roman" w:hAnsi="Times New Roman" w:cs="Times New Roman" w:hint="default"/>
          <w:b/>
          <w:bCs/>
          <w:sz w:val="24"/>
          <w:szCs w:val="24"/>
          <w:rtl/>
          <w:lang w:val="ar-SA"/>
        </w:rPr>
      </w:pPr>
      <w:r w:rsidRPr="00D61DE9">
        <w:rPr>
          <w:rFonts w:cs="Times New Roman"/>
          <w:b/>
          <w:bCs/>
          <w:sz w:val="24"/>
          <w:szCs w:val="24"/>
          <w:rtl/>
          <w:lang w:val="ar-SA"/>
        </w:rPr>
        <w:t>من هذا المنظور</w:t>
      </w:r>
      <w:r w:rsidRPr="00D61DE9">
        <w:rPr>
          <w:rFonts w:ascii="Times New Roman" w:hAnsi="Times New Roman"/>
          <w:b/>
          <w:bCs/>
          <w:sz w:val="24"/>
          <w:szCs w:val="24"/>
          <w:rtl/>
          <w:lang w:val="ar-SA"/>
        </w:rPr>
        <w:t>:</w:t>
      </w:r>
    </w:p>
    <w:p w14:paraId="63D16898" w14:textId="77777777" w:rsidR="00454428" w:rsidRDefault="00C464EC" w:rsidP="00D61DE9">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يقتصر هذا الفصل على عرض المفاهيم الأساسية المرتبطة بحقوق الملكية الفكرية في إطارها الحديث، مع التركيز على ما يتصل بالبيئة الرقمية وخصائصها، دون التوسع في الجوانب التاريخية أو التعريفات التقليدية التي لا ترتبط بشكل مباشر بموضوع الدراسة، وذلك بهدف توجيه التحليل نحو الإشكالات القانونية المعاصرة</w:t>
      </w:r>
      <w:r>
        <w:rPr>
          <w:rFonts w:ascii="Times New Roman" w:hAnsi="Times New Roman"/>
          <w:sz w:val="24"/>
          <w:szCs w:val="24"/>
          <w:rtl/>
          <w:lang w:val="ar-SA"/>
        </w:rPr>
        <w:t xml:space="preserve">. </w:t>
      </w:r>
      <w:r>
        <w:rPr>
          <w:rFonts w:cs="Times New Roman"/>
          <w:sz w:val="24"/>
          <w:szCs w:val="24"/>
          <w:rtl/>
          <w:lang w:val="ar-SA"/>
        </w:rPr>
        <w:t xml:space="preserve">ومن ناحية أخرى، </w:t>
      </w:r>
      <w:r>
        <w:rPr>
          <w:rFonts w:cs="Times New Roman"/>
          <w:sz w:val="24"/>
          <w:szCs w:val="24"/>
          <w:rtl/>
          <w:lang w:val="ar-SA"/>
        </w:rPr>
        <w:lastRenderedPageBreak/>
        <w:t>أفرزت التطورات التقنية الحديثة عدداً من الإشكالات القانونية المستجدة، من أبرزها ما يتعلق بالمصنفات الناتجة عن تقنيات الذكاء الاصطناعي، والتي تثير تساؤلات حول صفة المؤلف، ومدى استحقاق هذه المصنفات للحماية القانونية</w:t>
      </w:r>
      <w:r>
        <w:rPr>
          <w:rFonts w:ascii="Times New Roman" w:hAnsi="Times New Roman"/>
          <w:sz w:val="24"/>
          <w:szCs w:val="24"/>
          <w:rtl/>
          <w:lang w:val="ar-SA"/>
        </w:rPr>
        <w:t xml:space="preserve">. </w:t>
      </w:r>
      <w:r>
        <w:rPr>
          <w:rFonts w:cs="Times New Roman"/>
          <w:sz w:val="24"/>
          <w:szCs w:val="24"/>
          <w:rtl/>
          <w:lang w:val="ar-SA"/>
        </w:rPr>
        <w:t>كما برزت المنصات الرقمية ومزودو خدمات الإنترنت كوسطاء رئيسيين في تداول المحتوى، وهو ما يثير إشكالية قانونية تتعلق بمدى مسؤوليتهم عن الانتهاكات التي تقع عبر هذه الوسائط، خاصة في ظل غياب تنظيم قانوني واضح في بعض التشريعات</w:t>
      </w:r>
      <w:r>
        <w:rPr>
          <w:rFonts w:ascii="Times New Roman" w:hAnsi="Times New Roman"/>
          <w:sz w:val="24"/>
          <w:szCs w:val="24"/>
          <w:rtl/>
          <w:lang w:val="ar-SA"/>
        </w:rPr>
        <w:t xml:space="preserve">. </w:t>
      </w:r>
      <w:r>
        <w:rPr>
          <w:rFonts w:cs="Times New Roman"/>
          <w:sz w:val="24"/>
          <w:szCs w:val="24"/>
          <w:rtl/>
          <w:lang w:val="ar-SA"/>
        </w:rPr>
        <w:t>وتتجلَّى أهمية إلقاء الضوء على المبادئ الأساسية لحقوق الملكية الفكرية، واستيعاب طبيعتها، وأهدافها، وتصنيفاتها، مع استعراض مسيرتها التاريخية، والآليات التي تطوَّرت بها أدوات الحماية القانونية لمواكبة التحوُّلات التكنولوجية، بما يحقق التوازن بين صون حقوق المبدعين وضمان مصلحة الجمهور في الانتفاع بالمعرفة والإبداع؛ حيث يتناول ما يلي</w:t>
      </w:r>
      <w:r>
        <w:rPr>
          <w:rFonts w:ascii="Times New Roman" w:hAnsi="Times New Roman"/>
          <w:sz w:val="24"/>
          <w:szCs w:val="24"/>
          <w:rtl/>
          <w:lang w:val="ar-SA"/>
        </w:rPr>
        <w:t>:</w:t>
      </w:r>
    </w:p>
    <w:p w14:paraId="73A68B72" w14:textId="77777777" w:rsidR="00454428" w:rsidRDefault="00C464EC">
      <w:pPr>
        <w:pStyle w:val="BodyA"/>
        <w:numPr>
          <w:ilvl w:val="0"/>
          <w:numId w:val="30"/>
        </w:numPr>
        <w:spacing w:before="120" w:after="120" w:line="360" w:lineRule="auto"/>
        <w:jc w:val="both"/>
        <w:rPr>
          <w:rFonts w:ascii="Times New Roman" w:eastAsia="Times New Roman" w:hAnsi="Times New Roman" w:cs="Times New Roman" w:hint="default"/>
          <w:sz w:val="24"/>
          <w:szCs w:val="24"/>
          <w:rtl/>
          <w:lang w:val="ar-SA"/>
        </w:rPr>
      </w:pPr>
      <w:bookmarkStart w:id="73" w:name="_Hlk195996279"/>
      <w:r>
        <w:rPr>
          <w:rFonts w:cs="Times New Roman"/>
          <w:b/>
          <w:bCs/>
          <w:sz w:val="24"/>
          <w:szCs w:val="24"/>
          <w:rtl/>
          <w:lang w:val="ar-SA"/>
        </w:rPr>
        <w:t>ا</w:t>
      </w:r>
      <w:bookmarkStart w:id="74" w:name="_Hlk202175013"/>
      <w:bookmarkEnd w:id="73"/>
      <w:r>
        <w:rPr>
          <w:rFonts w:cs="Times New Roman"/>
          <w:b/>
          <w:bCs/>
          <w:sz w:val="24"/>
          <w:szCs w:val="24"/>
          <w:rtl/>
          <w:lang w:val="ar-SA"/>
        </w:rPr>
        <w:t>لمبحث الأول</w:t>
      </w:r>
      <w:r>
        <w:rPr>
          <w:rFonts w:ascii="Times New Roman" w:hAnsi="Times New Roman"/>
          <w:b/>
          <w:bCs/>
          <w:sz w:val="24"/>
          <w:szCs w:val="24"/>
          <w:rtl/>
          <w:lang w:val="ar-SA"/>
        </w:rPr>
        <w:t xml:space="preserve">: </w:t>
      </w:r>
      <w:r>
        <w:rPr>
          <w:rFonts w:cs="Times New Roman"/>
          <w:sz w:val="24"/>
          <w:szCs w:val="24"/>
          <w:rtl/>
          <w:lang w:val="ar-SA"/>
        </w:rPr>
        <w:t>ماهية حقوق الملكية الفكرية</w:t>
      </w:r>
      <w:r>
        <w:rPr>
          <w:rFonts w:ascii="Times New Roman" w:hAnsi="Times New Roman"/>
          <w:sz w:val="24"/>
          <w:szCs w:val="24"/>
          <w:rtl/>
          <w:lang w:val="ar-SA"/>
        </w:rPr>
        <w:t>.</w:t>
      </w:r>
    </w:p>
    <w:p w14:paraId="57409AC2" w14:textId="77777777" w:rsidR="00454428" w:rsidRDefault="00C464EC">
      <w:pPr>
        <w:pStyle w:val="BodyA"/>
        <w:numPr>
          <w:ilvl w:val="0"/>
          <w:numId w:val="30"/>
        </w:numPr>
        <w:spacing w:before="120" w:after="120" w:line="360" w:lineRule="auto"/>
        <w:jc w:val="both"/>
        <w:rPr>
          <w:rFonts w:cs="Times New Roman" w:hint="default"/>
          <w:sz w:val="24"/>
          <w:szCs w:val="24"/>
          <w:rtl/>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bookmarkEnd w:id="74"/>
      <w:r>
        <w:rPr>
          <w:rFonts w:ascii="Times New Roman" w:hAnsi="Times New Roman"/>
          <w:sz w:val="24"/>
          <w:szCs w:val="24"/>
          <w:rtl/>
          <w:lang w:val="ar-SA"/>
        </w:rPr>
        <w:t>.</w:t>
      </w:r>
    </w:p>
    <w:p w14:paraId="781C23F0" w14:textId="259591EB" w:rsidR="00454428" w:rsidRDefault="00C464EC" w:rsidP="00FA299D">
      <w:pPr>
        <w:pStyle w:val="a"/>
        <w:rPr>
          <w:rtl/>
          <w:lang w:val="ar-SA"/>
        </w:rPr>
      </w:pPr>
      <w:bookmarkStart w:id="75" w:name="_Toc227251072"/>
      <w:bookmarkStart w:id="76" w:name="_Toc232260629"/>
      <w:r>
        <w:rPr>
          <w:rFonts w:ascii="Arial Unicode MS" w:eastAsia="Arial Unicode MS" w:hAnsi="Arial Unicode MS" w:hint="cs"/>
          <w:rtl/>
          <w:lang w:val="ar-SA"/>
        </w:rPr>
        <w:t>المبحث الأول</w:t>
      </w:r>
      <w:bookmarkEnd w:id="75"/>
      <w:bookmarkEnd w:id="76"/>
    </w:p>
    <w:p w14:paraId="6A9BA10D" w14:textId="77777777" w:rsidR="00454428" w:rsidRDefault="00C464EC" w:rsidP="00C72BA8">
      <w:pPr>
        <w:pStyle w:val="a"/>
        <w:rPr>
          <w:rtl/>
          <w:lang w:val="ar-SA"/>
        </w:rPr>
      </w:pPr>
      <w:bookmarkStart w:id="77" w:name="_Toc227251073"/>
      <w:bookmarkStart w:id="78" w:name="_Toc232260630"/>
      <w:r>
        <w:rPr>
          <w:rFonts w:ascii="Arial Unicode MS" w:eastAsia="Arial Unicode MS" w:hAnsi="Arial Unicode MS" w:hint="cs"/>
          <w:rtl/>
          <w:lang w:val="ar-SA"/>
        </w:rPr>
        <w:t>ماهية حقوق الملكية الفكرية</w:t>
      </w:r>
      <w:bookmarkEnd w:id="77"/>
      <w:bookmarkEnd w:id="78"/>
    </w:p>
    <w:p w14:paraId="6F7E5B18" w14:textId="77777777" w:rsidR="00454428"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5D798CB8"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أصبحت الملكية الفكرية تُعَدُّ من أبرز الأصول غير المادية التي تُعنى بحماية نتاج الفكر البشري، وتتضمن هذه الحقوق مجموعةً من الامتيازات القانونية التي تُمنح للأفراد الطبيعيين أو الكيانات الاعتبارية؛ بهدف صون إبداعاتهم الفكرية، سواء كانت أدبيةً، أو فنية، أو صناعية، أو تجارية، ويتمثل جوهر هذه الحقوق في كونها أداةً قانونيةً لتنظيم العلاقة بين المبدع والمجتمع، بما يكفل تحقيق التوازن بين المصلحة العامة وحقوق الأفراد في الانتفاع بثمار إبداعاتهم</w:t>
      </w:r>
      <w:r>
        <w:rPr>
          <w:rFonts w:ascii="Times New Roman" w:hAnsi="Times New Roman"/>
          <w:sz w:val="24"/>
          <w:szCs w:val="24"/>
          <w:rtl/>
          <w:lang w:val="ar-SA"/>
        </w:rPr>
        <w:t>.</w:t>
      </w:r>
    </w:p>
    <w:p w14:paraId="1B18695B"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تبرز أهمية حقوق الملكية الفكرية في الدور الجوهري الذي تضطلع به في تعزيز التنمية الاقتصادية، والاجتماعية، والثقافية؛ حيث تحفِّز الاستثمار في المجالات العلمية والإبداعية، وتفتح آفاقًا جديدةً للعمل والنمو، من خلال تحويل الأفكار إلى مشروعات ملموسة، كما تساهم في تعزيز القدرة التنافسية بين الدول والمؤسسات، وفي ذات الوقت تكفل نقل التكنولوجيا والمعرفة بأسلوب منظم وعادل، بِناءً على ذلك</w:t>
      </w:r>
      <w:r>
        <w:rPr>
          <w:rFonts w:ascii="Times New Roman" w:hAnsi="Times New Roman"/>
          <w:sz w:val="24"/>
          <w:szCs w:val="24"/>
          <w:rtl/>
          <w:lang w:val="ar-SA"/>
        </w:rPr>
        <w:t xml:space="preserve">: </w:t>
      </w:r>
      <w:r>
        <w:rPr>
          <w:rFonts w:cs="Times New Roman"/>
          <w:sz w:val="24"/>
          <w:szCs w:val="24"/>
          <w:rtl/>
          <w:lang w:val="ar-SA"/>
        </w:rPr>
        <w:t>سنستعرض في هذا المبحث ما يلي</w:t>
      </w:r>
      <w:r>
        <w:rPr>
          <w:rFonts w:ascii="Times New Roman" w:hAnsi="Times New Roman"/>
          <w:sz w:val="24"/>
          <w:szCs w:val="24"/>
          <w:rtl/>
          <w:lang w:val="ar-SA"/>
        </w:rPr>
        <w:t>:</w:t>
      </w:r>
    </w:p>
    <w:p w14:paraId="128E7ADD" w14:textId="77777777" w:rsidR="00454428" w:rsidRDefault="00C464EC">
      <w:pPr>
        <w:pStyle w:val="BodyA"/>
        <w:numPr>
          <w:ilvl w:val="0"/>
          <w:numId w:val="10"/>
        </w:numPr>
        <w:spacing w:before="120" w:after="120" w:line="360" w:lineRule="auto"/>
        <w:rPr>
          <w:rFonts w:ascii="Times New Roman" w:eastAsia="Times New Roman" w:hAnsi="Times New Roman" w:cs="Times New Roman" w:hint="default"/>
          <w:sz w:val="24"/>
          <w:szCs w:val="24"/>
          <w:rtl/>
          <w:lang w:val="ar-SA"/>
        </w:rPr>
      </w:pPr>
      <w:bookmarkStart w:id="79" w:name="_Hlk202175027"/>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7F0C299A" w14:textId="77777777" w:rsidR="00454428" w:rsidRDefault="00C464EC">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bookmarkEnd w:id="79"/>
    </w:p>
    <w:p w14:paraId="10A4F76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3B4DB7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C53B63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28294A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68EA74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9B5623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1DE0D5F" w14:textId="2F17D456" w:rsidR="00454428" w:rsidRDefault="00C464EC" w:rsidP="00C72BA8">
      <w:pPr>
        <w:pStyle w:val="a"/>
        <w:rPr>
          <w:rtl/>
          <w:lang w:val="ar-SA"/>
        </w:rPr>
      </w:pPr>
      <w:bookmarkStart w:id="80" w:name="_Toc227251074"/>
      <w:bookmarkStart w:id="81" w:name="_Toc232260631"/>
      <w:r>
        <w:rPr>
          <w:rFonts w:ascii="Arial Unicode MS" w:eastAsia="Arial Unicode MS" w:hAnsi="Arial Unicode MS" w:hint="cs"/>
          <w:rtl/>
          <w:lang w:val="ar-SA"/>
        </w:rPr>
        <w:lastRenderedPageBreak/>
        <w:t>المطلب الأول</w:t>
      </w:r>
      <w:bookmarkStart w:id="82" w:name="_Hlk184218954"/>
      <w:bookmarkEnd w:id="80"/>
      <w:bookmarkEnd w:id="81"/>
    </w:p>
    <w:p w14:paraId="7EB3C60E" w14:textId="77777777" w:rsidR="00454428" w:rsidRDefault="00C464EC" w:rsidP="00C72BA8">
      <w:pPr>
        <w:pStyle w:val="a"/>
        <w:rPr>
          <w:rtl/>
          <w:lang w:val="ar-SA"/>
        </w:rPr>
      </w:pPr>
      <w:bookmarkStart w:id="83" w:name="_Toc227251075"/>
      <w:bookmarkStart w:id="84" w:name="_Toc232260632"/>
      <w:r>
        <w:rPr>
          <w:rFonts w:ascii="Arial Unicode MS" w:eastAsia="Arial Unicode MS" w:hAnsi="Arial Unicode MS" w:hint="cs"/>
          <w:rtl/>
          <w:lang w:val="ar-SA"/>
        </w:rPr>
        <w:t>تعريف حقوق</w:t>
      </w:r>
      <w:r>
        <w:rPr>
          <w:rtl/>
          <w:lang w:val="ar-SA"/>
        </w:rPr>
        <w:t xml:space="preserve"> </w:t>
      </w:r>
      <w:bookmarkStart w:id="85" w:name="_Hlk193407459"/>
      <w:r>
        <w:rPr>
          <w:rFonts w:ascii="Arial Unicode MS" w:eastAsia="Arial Unicode MS" w:hAnsi="Arial Unicode MS" w:hint="cs"/>
          <w:rtl/>
          <w:lang w:val="ar-SA"/>
        </w:rPr>
        <w:t>الملكية الفكرية</w:t>
      </w:r>
      <w:bookmarkEnd w:id="83"/>
      <w:bookmarkEnd w:id="84"/>
      <w:bookmarkEnd w:id="85"/>
    </w:p>
    <w:bookmarkEnd w:id="82"/>
    <w:p w14:paraId="51C21167" w14:textId="77777777" w:rsidR="00454428"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1D228219"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 xml:space="preserve">يُعَدُّ الإنتاج الفكري عمليةً عقليةً تأخذ الكثير من الوقت والجهد والتركيب بين الاجتهادات، والأفكار، والافتراضات، والقوانين؛ حتى يصل ذلك الإنتاج إلى الواقع، ويتضمن الإنتاج الفكري فيما ينتجه الفرد من أعمال أدبية، وتجارية، وصناعية؛ ومِنْ ثَمَّ يكون هذا الإنتاج جديرًا بالحماية من أية اختراقات أو انتهاكات فكرية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2"/>
      </w:r>
      <w:r>
        <w:rPr>
          <w:rFonts w:ascii="Times New Roman" w:hAnsi="Times New Roman"/>
          <w:sz w:val="24"/>
          <w:szCs w:val="24"/>
          <w:vertAlign w:val="superscript"/>
          <w:rtl/>
          <w:lang w:val="ar-SA"/>
        </w:rPr>
        <w:t>)</w:t>
      </w:r>
      <w:r>
        <w:rPr>
          <w:rFonts w:cs="Times New Roman"/>
          <w:sz w:val="24"/>
          <w:szCs w:val="24"/>
          <w:rtl/>
          <w:lang w:val="ar-SA"/>
        </w:rPr>
        <w:t>؛ فتُعَدُّ الملكية الفكرية نوعًا من أنواع الملكية التي ظهرت في العصور المتأخرة؛ نتيجةً للتطوُّر العلمي وظهور الطباعة والتقدم الصناعي والتجاري الذي يشهده العالم</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3"/>
      </w:r>
      <w:r>
        <w:rPr>
          <w:rFonts w:ascii="Times New Roman" w:hAnsi="Times New Roman"/>
          <w:sz w:val="24"/>
          <w:szCs w:val="24"/>
          <w:vertAlign w:val="superscript"/>
          <w:rtl/>
          <w:lang w:val="ar-SA"/>
        </w:rPr>
        <w:t>)</w:t>
      </w:r>
    </w:p>
    <w:p w14:paraId="4FE5BF37"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سنتناول في هذا المطلب مفهوم الملكية الفكرية فيما يلي</w:t>
      </w:r>
      <w:r>
        <w:rPr>
          <w:rFonts w:ascii="Times New Roman" w:hAnsi="Times New Roman"/>
          <w:sz w:val="24"/>
          <w:szCs w:val="24"/>
          <w:rtl/>
          <w:lang w:val="ar-SA"/>
        </w:rPr>
        <w:t>:</w:t>
      </w:r>
    </w:p>
    <w:p w14:paraId="3BE57B6B" w14:textId="77777777" w:rsidR="00454428" w:rsidRDefault="00C464EC">
      <w:pPr>
        <w:pStyle w:val="BodyA"/>
        <w:numPr>
          <w:ilvl w:val="0"/>
          <w:numId w:val="32"/>
        </w:numPr>
        <w:spacing w:before="120" w:after="120" w:line="360" w:lineRule="auto"/>
        <w:rPr>
          <w:rFonts w:ascii="Times New Roman" w:eastAsia="Times New Roman" w:hAnsi="Times New Roman" w:cs="Times New Roman" w:hint="default"/>
          <w:sz w:val="24"/>
          <w:szCs w:val="24"/>
          <w:rtl/>
          <w:lang w:val="ar-SA"/>
        </w:rPr>
      </w:pPr>
      <w:bookmarkStart w:id="86" w:name="_Hlk195996459"/>
      <w:r>
        <w:rPr>
          <w:rFonts w:cs="Times New Roman"/>
          <w:b/>
          <w:bCs/>
          <w:sz w:val="24"/>
          <w:szCs w:val="24"/>
          <w:rtl/>
          <w:lang w:val="ar-SA"/>
        </w:rPr>
        <w:t xml:space="preserve">الفرع </w:t>
      </w:r>
      <w:bookmarkEnd w:id="86"/>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87" w:name="_Hlk193407760"/>
      <w:r>
        <w:rPr>
          <w:rFonts w:cs="Times New Roman"/>
          <w:sz w:val="24"/>
          <w:szCs w:val="24"/>
          <w:rtl/>
          <w:lang w:val="ar-SA"/>
        </w:rPr>
        <w:t>المفهوم التقليدي للملكية الفكرية</w:t>
      </w:r>
      <w:bookmarkEnd w:id="87"/>
      <w:r>
        <w:rPr>
          <w:rFonts w:ascii="Times New Roman" w:hAnsi="Times New Roman"/>
          <w:sz w:val="24"/>
          <w:szCs w:val="24"/>
          <w:rtl/>
          <w:lang w:val="ar-SA"/>
        </w:rPr>
        <w:t>.</w:t>
      </w:r>
    </w:p>
    <w:p w14:paraId="6DBC9AED" w14:textId="77777777" w:rsidR="00454428" w:rsidRDefault="00C464EC">
      <w:pPr>
        <w:pStyle w:val="BodyA"/>
        <w:numPr>
          <w:ilvl w:val="0"/>
          <w:numId w:val="32"/>
        </w:numPr>
        <w:spacing w:before="120" w:after="120" w:line="360" w:lineRule="auto"/>
        <w:jc w:val="both"/>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مفهوم الملكية الفكرية الإلكترونية</w:t>
      </w:r>
      <w:r>
        <w:rPr>
          <w:rFonts w:ascii="Times New Roman" w:hAnsi="Times New Roman"/>
          <w:sz w:val="24"/>
          <w:szCs w:val="24"/>
          <w:rtl/>
          <w:lang w:val="ar-SA"/>
        </w:rPr>
        <w:t>.</w:t>
      </w:r>
    </w:p>
    <w:p w14:paraId="779054E1" w14:textId="77777777" w:rsidR="00454428" w:rsidRDefault="00C464EC" w:rsidP="00C72BA8">
      <w:pPr>
        <w:pStyle w:val="Body"/>
        <w:spacing w:before="120" w:after="120" w:line="360" w:lineRule="auto"/>
      </w:pPr>
      <w:r>
        <w:rPr>
          <w:rFonts w:ascii="Arial Unicode MS" w:hAnsi="Arial Unicode MS"/>
          <w:sz w:val="28"/>
          <w:szCs w:val="28"/>
          <w:rtl/>
          <w:lang w:val="ar-SA"/>
        </w:rPr>
        <w:br w:type="page"/>
      </w:r>
    </w:p>
    <w:p w14:paraId="77153365" w14:textId="77777777" w:rsidR="00454428" w:rsidRDefault="00C464EC" w:rsidP="00C72BA8">
      <w:pPr>
        <w:pStyle w:val="a"/>
        <w:rPr>
          <w:rtl/>
          <w:lang w:val="ar-SA"/>
        </w:rPr>
      </w:pPr>
      <w:bookmarkStart w:id="88" w:name="_Toc227251076"/>
      <w:bookmarkStart w:id="89" w:name="_Toc232260633"/>
      <w:r>
        <w:rPr>
          <w:rFonts w:ascii="Arial Unicode MS" w:eastAsia="Arial Unicode MS" w:hAnsi="Arial Unicode MS" w:hint="cs"/>
          <w:rtl/>
          <w:lang w:val="ar-SA"/>
        </w:rPr>
        <w:lastRenderedPageBreak/>
        <w:t>الفرع الأول</w:t>
      </w:r>
      <w:bookmarkEnd w:id="88"/>
      <w:bookmarkEnd w:id="89"/>
    </w:p>
    <w:p w14:paraId="0361AD0B" w14:textId="77777777" w:rsidR="00454428" w:rsidRDefault="00C464EC" w:rsidP="00C72BA8">
      <w:pPr>
        <w:pStyle w:val="a"/>
        <w:rPr>
          <w:rtl/>
          <w:lang w:val="ar-SA"/>
        </w:rPr>
      </w:pPr>
      <w:bookmarkStart w:id="90" w:name="_Toc227251077"/>
      <w:bookmarkStart w:id="91" w:name="_Toc232260634"/>
      <w:r>
        <w:rPr>
          <w:rFonts w:ascii="Arial Unicode MS" w:eastAsia="Arial Unicode MS" w:hAnsi="Arial Unicode MS" w:hint="cs"/>
          <w:rtl/>
          <w:lang w:val="ar-SA"/>
        </w:rPr>
        <w:t>المفهوم التقليدي للملكية الفكرية</w:t>
      </w:r>
      <w:bookmarkEnd w:id="90"/>
      <w:bookmarkEnd w:id="91"/>
    </w:p>
    <w:p w14:paraId="55384281"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يشير مصطلح الملكية الفكرية إلى عملية نسبة حق الأفكار إلى صاحبها، وأنْ يكون له الحق في إطلاع الغير عليها، بالإضافة إلى التعديل أو الإضافة على أفكاره، كما أنَّ له الحق في منع نسخها وتصويرها والتصرف بها، فإنَّ حقوق الملكية الفكرية تعطي صاحبها الحق في استغلال إبداعاته بصورة مادية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4"/>
      </w:r>
      <w:r>
        <w:rPr>
          <w:rFonts w:ascii="Times New Roman" w:hAnsi="Times New Roman"/>
          <w:sz w:val="24"/>
          <w:szCs w:val="24"/>
          <w:vertAlign w:val="superscript"/>
          <w:rtl/>
          <w:lang w:val="ar-SA"/>
        </w:rPr>
        <w:t>)</w:t>
      </w:r>
    </w:p>
    <w:p w14:paraId="6A5C41F3"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يعرف الفكر في اللغة</w:t>
      </w:r>
      <w:r>
        <w:rPr>
          <w:rFonts w:ascii="Times New Roman" w:hAnsi="Times New Roman"/>
          <w:sz w:val="24"/>
          <w:szCs w:val="24"/>
          <w:rtl/>
          <w:lang w:val="ar-SA"/>
        </w:rPr>
        <w:t xml:space="preserve">: </w:t>
      </w:r>
      <w:r>
        <w:rPr>
          <w:rFonts w:cs="Times New Roman"/>
          <w:sz w:val="24"/>
          <w:szCs w:val="24"/>
          <w:rtl/>
          <w:lang w:val="ar-SA"/>
        </w:rPr>
        <w:t xml:space="preserve">هو استخدام العقل أو التأمل في شيء ما، ويشير المعجم الوسيط إلى أنَّ </w:t>
      </w:r>
      <w:r>
        <w:rPr>
          <w:rFonts w:ascii="Times New Roman" w:hAnsi="Times New Roman"/>
          <w:sz w:val="24"/>
          <w:szCs w:val="24"/>
          <w:rtl/>
          <w:lang w:val="ar-SA"/>
        </w:rPr>
        <w:t>"</w:t>
      </w:r>
      <w:r>
        <w:rPr>
          <w:rFonts w:cs="Times New Roman"/>
          <w:sz w:val="24"/>
          <w:szCs w:val="24"/>
          <w:rtl/>
          <w:lang w:val="ar-SA"/>
        </w:rPr>
        <w:t>الفكر</w:t>
      </w:r>
      <w:r>
        <w:rPr>
          <w:rFonts w:ascii="Times New Roman" w:hAnsi="Times New Roman"/>
          <w:sz w:val="24"/>
          <w:szCs w:val="24"/>
          <w:rtl/>
          <w:lang w:val="ar-SA"/>
        </w:rPr>
        <w:t xml:space="preserve">" </w:t>
      </w:r>
      <w:r>
        <w:rPr>
          <w:rFonts w:cs="Times New Roman"/>
          <w:sz w:val="24"/>
          <w:szCs w:val="24"/>
          <w:rtl/>
          <w:lang w:val="ar-SA"/>
        </w:rPr>
        <w:t>يعني توظيف العقل في موضوع معين وتنظيم بعض المعلومات للوصول إلى ما هو غير معروف</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5"/>
      </w:r>
      <w:r>
        <w:rPr>
          <w:rFonts w:ascii="Times New Roman" w:hAnsi="Times New Roman"/>
          <w:sz w:val="20"/>
          <w:szCs w:val="20"/>
          <w:rtl/>
          <w:lang w:val="ar-SA"/>
        </w:rPr>
        <w:t>)</w:t>
      </w:r>
      <w:r>
        <w:rPr>
          <w:rFonts w:cs="Times New Roman"/>
          <w:sz w:val="24"/>
          <w:szCs w:val="24"/>
          <w:rtl/>
          <w:lang w:val="ar-SA"/>
        </w:rPr>
        <w:t>، والفكر</w:t>
      </w:r>
      <w:r>
        <w:rPr>
          <w:rFonts w:ascii="Times New Roman" w:hAnsi="Times New Roman"/>
          <w:sz w:val="24"/>
          <w:szCs w:val="24"/>
          <w:rtl/>
          <w:lang w:val="ar-SA"/>
        </w:rPr>
        <w:t xml:space="preserve">: </w:t>
      </w:r>
      <w:r>
        <w:rPr>
          <w:rFonts w:cs="Times New Roman"/>
          <w:sz w:val="24"/>
          <w:szCs w:val="24"/>
          <w:rtl/>
          <w:lang w:val="ar-SA"/>
        </w:rPr>
        <w:t>إعمال العقل في المعلوم للوصول إلى معرفة مجهول</w:t>
      </w:r>
      <w:r>
        <w:rPr>
          <w:rFonts w:ascii="Times New Roman" w:hAnsi="Times New Roman"/>
          <w:sz w:val="24"/>
          <w:szCs w:val="24"/>
          <w:rtl/>
          <w:lang w:val="ar-SA"/>
        </w:rPr>
        <w:t>.</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6"/>
      </w:r>
      <w:r>
        <w:rPr>
          <w:rFonts w:ascii="Times New Roman" w:hAnsi="Times New Roman"/>
          <w:sz w:val="20"/>
          <w:szCs w:val="20"/>
          <w:rtl/>
          <w:lang w:val="ar-SA"/>
        </w:rPr>
        <w:t>)</w:t>
      </w:r>
    </w:p>
    <w:p w14:paraId="705B077A"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فإنَّ عبارة الملكية تعني نوعًا خاصًا من الملكية؛ إذ إنَّ من أهم خصائص الملكية أنَّه يجوز للمالك أنْ يستعمل ما يملكه كيفما يشاء، وأنَّه لا يمكن لغيره قانونًا أنْ يستعمل دون تصريح منه</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7"/>
      </w:r>
      <w:r>
        <w:rPr>
          <w:rFonts w:ascii="Times New Roman" w:hAnsi="Times New Roman"/>
          <w:sz w:val="24"/>
          <w:szCs w:val="24"/>
          <w:vertAlign w:val="superscript"/>
          <w:rtl/>
          <w:lang w:val="ar-SA"/>
        </w:rPr>
        <w:t>)</w:t>
      </w:r>
    </w:p>
    <w:p w14:paraId="6F3ACB5A"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فمصطلح الملكية الفكرية يشير إلى نوع من أنواع الملكية بمفهومها الواسع والشامل، والتي حظيت بحماية جميع التشريعات السماوية والوضعية عبر العصور، تعتبر الملكية الفكرية أحد الأركان الأساسية التي يقوم عليها النظام الاجتماعي، والاقتصادي، والحضاري للدول والمجتمعات، يتعين على الدولة الالتزام بحماية ملكية الأفراد، كما يفترض بالأفراد حماية ملكية الدولة، إنَّ حماية الملكية بجميع أشكالها وأنواعها تُعَدُّ الضمانة الأساسية لاستقرار الدول، وتحفيز الأفراد على العمل؛ ممَّا يسهم في دفع عجلة النمو الاقتصادي، والاجتماعي، والحضاري</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8"/>
      </w:r>
      <w:r>
        <w:rPr>
          <w:rFonts w:ascii="Times New Roman" w:hAnsi="Times New Roman"/>
          <w:sz w:val="20"/>
          <w:szCs w:val="20"/>
          <w:rtl/>
          <w:lang w:val="ar-SA"/>
        </w:rPr>
        <w:t>)</w:t>
      </w:r>
    </w:p>
    <w:p w14:paraId="3D983B73" w14:textId="2A8E90CF"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إنَّ مفهوم الملكية الفكرية ليس وليد اليوم، فقد يُعتقد أنَّ جذور نظام الملكية الفكرية تعود إلى شمال إيطاليا في عصر النهضة، ففي عام ١٤٧٤ أصدرت مدينة البندقية تشريعًا ينظم حماية الابتكارات، ويمنح المخترعين حقوقًا حصرية، أما نظام حقوق المؤلف</w:t>
      </w:r>
      <w:r>
        <w:rPr>
          <w:rFonts w:ascii="Times New Roman" w:hAnsi="Times New Roman"/>
          <w:sz w:val="24"/>
          <w:szCs w:val="24"/>
          <w:rtl/>
          <w:lang w:val="ar-SA"/>
        </w:rPr>
        <w:t xml:space="preserve">: </w:t>
      </w:r>
      <w:r>
        <w:rPr>
          <w:rFonts w:cs="Times New Roman"/>
          <w:sz w:val="24"/>
          <w:szCs w:val="24"/>
          <w:rtl/>
          <w:lang w:val="ar-SA"/>
        </w:rPr>
        <w:t>فقد نشأ نتيجة اختراع الحروف المطبعية وآلة الطباعة على يد يوهانس غوتنبرغ عام ١٤٤٠، وبحلول نهاية القرن التاسع عشر أدركت العديد من الدول ضرورة سنّ قوانين لتنظيم الملكية الفكرية، ويُعَدُّ حق الملكية من أبرز الحقوق العينية التي تكفلها القوانين والتشريعات لكل فرد في المجتمع، ويتعين على السلطة الرسمية في الدولة حماية هذا الحق وتفعيله وفقًا للأنظمة القانونية المعمول بها</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9"/>
      </w:r>
      <w:r>
        <w:rPr>
          <w:rFonts w:ascii="Times New Roman" w:hAnsi="Times New Roman"/>
          <w:sz w:val="20"/>
          <w:szCs w:val="20"/>
          <w:rtl/>
          <w:lang w:val="ar-SA"/>
        </w:rPr>
        <w:t>)</w:t>
      </w:r>
    </w:p>
    <w:p w14:paraId="142D7915"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lastRenderedPageBreak/>
        <w:t>يقصد بالملكية الفكرية مجموعة من القوانين التي تنظم حقوق المؤلف المتعلقة بالأعمال الأدبية والفنية وما يشابهها، بالإضافة إلى حقوق الملكية الفكرية الصناعية التي تشمل براءات الاختراع والعلامات التجارية، تهدف هذه القوانين إلى ضمان احتفاظ صاحب الحق أو الإبداع بجميع الحقوق المتعلقة باستغلال الآخرين لهذا الإبداع</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0"/>
      </w:r>
      <w:r>
        <w:rPr>
          <w:rFonts w:ascii="Times New Roman" w:hAnsi="Times New Roman"/>
          <w:sz w:val="20"/>
          <w:szCs w:val="20"/>
          <w:rtl/>
          <w:lang w:val="ar-SA"/>
        </w:rPr>
        <w:t>)</w:t>
      </w:r>
    </w:p>
    <w:p w14:paraId="2F8AC6FD"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يتمثل الفرق بين الملكية الفكرية وملكية الأموال المادية في طبيعة الحق؛ حيث إنَّ الملكية الفكرية لا تتعلق بأموال مادية، سواء كانت عقاريةً أو منقولة، بل تتعلق بشيء غير ملموس، وهو مال معنوي يحمل قيمةً ماليةً، كما أنَّ حقوق الملكية الفكرية تختلف عن الحقوق الشخصية؛ حيث تمثل الحقوق الشخصية علاقةً قانونيةً بين دائن ومدين، وهذه العلاقة غير موجودة في مختلف أشكال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1"/>
      </w:r>
      <w:r>
        <w:rPr>
          <w:rFonts w:ascii="Times New Roman" w:hAnsi="Times New Roman"/>
          <w:sz w:val="20"/>
          <w:szCs w:val="20"/>
          <w:rtl/>
          <w:lang w:val="ar-SA"/>
        </w:rPr>
        <w:t>)</w:t>
      </w:r>
    </w:p>
    <w:p w14:paraId="7A009FC3"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ومن خلال ما تقدم</w:t>
      </w:r>
      <w:r>
        <w:rPr>
          <w:rFonts w:ascii="Times New Roman" w:hAnsi="Times New Roman"/>
          <w:sz w:val="24"/>
          <w:szCs w:val="24"/>
          <w:rtl/>
          <w:lang w:val="ar-SA"/>
        </w:rPr>
        <w:t xml:space="preserve">: </w:t>
      </w:r>
      <w:r>
        <w:rPr>
          <w:rFonts w:cs="Times New Roman"/>
          <w:sz w:val="24"/>
          <w:szCs w:val="24"/>
          <w:rtl/>
          <w:lang w:val="ar-SA"/>
        </w:rPr>
        <w:t>يمكنني تقديم تعريف للملكية الفكرية بأنَّها</w:t>
      </w:r>
      <w:r>
        <w:rPr>
          <w:rFonts w:ascii="Times New Roman" w:hAnsi="Times New Roman"/>
          <w:sz w:val="24"/>
          <w:szCs w:val="24"/>
          <w:rtl/>
          <w:lang w:val="ar-SA"/>
        </w:rPr>
        <w:t>: "</w:t>
      </w:r>
      <w:r>
        <w:rPr>
          <w:rFonts w:cs="Times New Roman"/>
          <w:sz w:val="24"/>
          <w:szCs w:val="24"/>
          <w:rtl/>
          <w:lang w:val="ar-SA"/>
        </w:rPr>
        <w:t>مجموعة من الحقوق القانونية التي تمنح للأفراد أو المؤسسات لحماية إبداعاتهم الفكرية والابتكارات التقنية، وتشمل هذه الحقوق الأعمال الأدبية والفنية، والاختراعات، والعلامات التجارية، والتصاميم الصناعية</w:t>
      </w:r>
      <w:r>
        <w:rPr>
          <w:rFonts w:ascii="Times New Roman" w:hAnsi="Times New Roman"/>
          <w:sz w:val="24"/>
          <w:szCs w:val="24"/>
          <w:rtl/>
          <w:lang w:val="ar-SA"/>
        </w:rPr>
        <w:t>".</w:t>
      </w:r>
    </w:p>
    <w:p w14:paraId="04FE0377"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تنقسم حقوق الملكية إلى قسمين رئيسيين</w:t>
      </w:r>
      <w:r>
        <w:rPr>
          <w:rFonts w:ascii="Times New Roman" w:hAnsi="Times New Roman"/>
          <w:sz w:val="24"/>
          <w:szCs w:val="24"/>
          <w:rtl/>
          <w:lang w:val="ar-SA"/>
        </w:rPr>
        <w:t xml:space="preserve">: </w:t>
      </w:r>
      <w:r>
        <w:rPr>
          <w:rFonts w:cs="Times New Roman"/>
          <w:sz w:val="24"/>
          <w:szCs w:val="24"/>
          <w:rtl/>
          <w:lang w:val="ar-SA"/>
        </w:rPr>
        <w:t>الأول</w:t>
      </w:r>
      <w:r>
        <w:rPr>
          <w:rFonts w:ascii="Times New Roman" w:hAnsi="Times New Roman"/>
          <w:sz w:val="24"/>
          <w:szCs w:val="24"/>
          <w:rtl/>
          <w:lang w:val="ar-SA"/>
        </w:rPr>
        <w:t xml:space="preserve">: </w:t>
      </w:r>
      <w:r>
        <w:rPr>
          <w:rFonts w:cs="Times New Roman"/>
          <w:sz w:val="24"/>
          <w:szCs w:val="24"/>
          <w:rtl/>
          <w:lang w:val="ar-SA"/>
        </w:rPr>
        <w:t>هو الحقوق العينية، وهي السلطة المباشرة التي يكفلها القانون لشخص معين على شيء محدد، سواء كان عقارًا أو منقولًا؛ بحيث يمكنه التصرف فيه أو الانتفاع به دون واسطة، والثاني</w:t>
      </w:r>
      <w:r>
        <w:rPr>
          <w:rFonts w:ascii="Times New Roman" w:hAnsi="Times New Roman"/>
          <w:sz w:val="24"/>
          <w:szCs w:val="24"/>
          <w:rtl/>
          <w:lang w:val="ar-SA"/>
        </w:rPr>
        <w:t xml:space="preserve">: </w:t>
      </w:r>
      <w:r>
        <w:rPr>
          <w:rFonts w:cs="Times New Roman"/>
          <w:sz w:val="24"/>
          <w:szCs w:val="24"/>
          <w:rtl/>
          <w:lang w:val="ar-SA"/>
        </w:rPr>
        <w:t xml:space="preserve">هو الحقوق الشخصية، وهي العلاقة القانونية التي تربط بين الدائن والمدين، والتي يترتب عليها التزام المدين تجاه الدائن بأداء عمل معين، أو الامتناع عن فعل، أو نقل حق عيني إليه وفي الغالب تتعلق هذه الحقوق بأشياء مادية ملموسة، غير أنَّ هناك حقوقًا أخرى تتعلق بأمور معنوية، ترتبط ارتباطًا وثيقًا بما ينتجه العقل البشري من إبداعات، وتُعرف هذه الحقوق بـ </w:t>
      </w:r>
      <w:r>
        <w:rPr>
          <w:rFonts w:ascii="Times New Roman" w:hAnsi="Times New Roman"/>
          <w:sz w:val="24"/>
          <w:szCs w:val="24"/>
          <w:rtl/>
          <w:lang w:val="ar-SA"/>
        </w:rPr>
        <w:t>"</w:t>
      </w:r>
      <w:r>
        <w:rPr>
          <w:rFonts w:cs="Times New Roman"/>
          <w:sz w:val="24"/>
          <w:szCs w:val="24"/>
          <w:rtl/>
          <w:lang w:val="ar-SA"/>
        </w:rPr>
        <w:t>حقوق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2"/>
      </w:r>
      <w:r>
        <w:rPr>
          <w:rFonts w:ascii="Times New Roman" w:hAnsi="Times New Roman"/>
          <w:sz w:val="20"/>
          <w:szCs w:val="20"/>
          <w:rtl/>
          <w:lang w:val="ar-SA"/>
        </w:rPr>
        <w:t>)</w:t>
      </w:r>
    </w:p>
    <w:p w14:paraId="1FD796DE"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تعتبر الملكية الفكرية ثمرةَ الإبداع البشري ونتاج العقل الإنساني، وقد ازداد الاهتمام بصونها؛ نتيجةَ تزايد الوعي بأهميتها كعنصر أساسي في تعزيز التنمية والتقدم، ويتم تحقيق ذلك من خلال تحويل المعارف والمعلومات إلى ابتكارات، ثم توظيف هذه الابتكارات لتتحول إلى منتجات قابلة للإنتاج والتطوير؛ ممَّا يعزّز من قيمتها الاقتصادية، ويرسخ مكانتها ضمن المجتمع، وتشمل حقوق الملكية الفكرية جميع أشكال الإنتاج الفكري الإبداعي، بما في ذلك</w:t>
      </w:r>
      <w:r>
        <w:rPr>
          <w:rFonts w:ascii="Times New Roman" w:hAnsi="Times New Roman"/>
          <w:sz w:val="24"/>
          <w:szCs w:val="24"/>
          <w:rtl/>
          <w:lang w:val="ar-SA"/>
        </w:rPr>
        <w:t xml:space="preserve">: </w:t>
      </w:r>
      <w:r>
        <w:rPr>
          <w:rFonts w:cs="Times New Roman"/>
          <w:sz w:val="24"/>
          <w:szCs w:val="24"/>
          <w:rtl/>
          <w:lang w:val="ar-SA"/>
        </w:rPr>
        <w:t>الاختراعات، والرسوم، والنماذج الصناعية، والرموز، والعلامات المميزة، إلى جانب المصنفات الأدبية والفنية</w:t>
      </w:r>
      <w:r>
        <w:rPr>
          <w:rFonts w:ascii="Times New Roman" w:hAnsi="Times New Roman"/>
          <w:sz w:val="24"/>
          <w:szCs w:val="24"/>
          <w:rtl/>
          <w:lang w:val="ar-SA"/>
        </w:rPr>
        <w:t xml:space="preserve">: </w:t>
      </w:r>
      <w:r>
        <w:rPr>
          <w:rFonts w:cs="Times New Roman"/>
          <w:sz w:val="24"/>
          <w:szCs w:val="24"/>
          <w:rtl/>
          <w:lang w:val="ar-SA"/>
        </w:rPr>
        <w:t>كالقصائد، واللوحات، والروايات، والتماثيل، وغيرها من الأعمال التي تبرز عبقرية الإنسان وإبداعه</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3"/>
      </w:r>
      <w:r>
        <w:rPr>
          <w:rFonts w:ascii="Times New Roman" w:hAnsi="Times New Roman"/>
          <w:sz w:val="20"/>
          <w:szCs w:val="20"/>
          <w:rtl/>
          <w:lang w:val="ar-SA"/>
        </w:rPr>
        <w:t>)</w:t>
      </w:r>
    </w:p>
    <w:p w14:paraId="2CC383B0"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يوجد اختلاف طفيف بين حق الملكية على الأشياء المادية سواء المنقولة أو العقارية، وحق الملكية على الأشياء المعنوية، ومع ذلك</w:t>
      </w:r>
      <w:r>
        <w:rPr>
          <w:rFonts w:ascii="Times New Roman" w:hAnsi="Times New Roman"/>
          <w:sz w:val="24"/>
          <w:szCs w:val="24"/>
          <w:rtl/>
          <w:lang w:val="ar-SA"/>
        </w:rPr>
        <w:t xml:space="preserve">: </w:t>
      </w:r>
      <w:r>
        <w:rPr>
          <w:rFonts w:cs="Times New Roman"/>
          <w:sz w:val="24"/>
          <w:szCs w:val="24"/>
          <w:rtl/>
          <w:lang w:val="ar-SA"/>
        </w:rPr>
        <w:t xml:space="preserve">فإنَّ هذا الاختلاف ليست له أهمية كبيرة؛ حيث إنَّ الآثار المترتبة على حق الملكية تنطبق في كلتا الحالتين، تعتبر الملكية الفكرية جزءًا من الملكية المعنوية؛ لأنَّها تتعلق دائمًا بإنتاج العقل والإبداع، ولا شك في أهمية </w:t>
      </w:r>
      <w:r>
        <w:rPr>
          <w:rFonts w:cs="Times New Roman"/>
          <w:sz w:val="24"/>
          <w:szCs w:val="24"/>
          <w:rtl/>
          <w:lang w:val="ar-SA"/>
        </w:rPr>
        <w:lastRenderedPageBreak/>
        <w:t>حماية ما ينتجه الفكر البشري، لا يمكن أنْ تكون هناك حماية للملكية المادية دون أنْ تشمل الملكية المعنوية، التي قد تتجاوز قيمتها في بعض الأحيان قيمة الذهب، والمجوهرات، والعقارات، وغيرها من الممتلكات المادية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4"/>
      </w:r>
      <w:r>
        <w:rPr>
          <w:rFonts w:ascii="Times New Roman" w:hAnsi="Times New Roman"/>
          <w:sz w:val="20"/>
          <w:szCs w:val="20"/>
          <w:rtl/>
          <w:lang w:val="ar-SA"/>
        </w:rPr>
        <w:t>)</w:t>
      </w:r>
    </w:p>
    <w:p w14:paraId="639FC3E3"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تعود أصول الملكية الفكرية إلى عصور موغلة في القدم؛ حيث نشأت مع وجود الإنسان نفسه، ومع ذلك لم يتضح مفهومها ومصطلحها بشكل جلي في تلك الحقب، بل تطوَّرت تدريجيًا عبر السياقات التاريخية المختلفة، حتى تفرعت إلى عدة فروع تعتمد عليها المجتمعات المتحضرة في إطار من التعاون المشترك، واحترام حقوق الأفراد والجماعات على حد سواء، وتكتسب هذه الحقوق أهميةً بالغةً؛ إذْ تُعَدُّ بمثابة وسيلة أساسية تمكن الأفراد من العيش وممارسة أنشطتهم المتنوعة، فضلًا عن كونها أداةً قانونيةً محوريةً لتنظيم العلاقات داخل المجتمع، وتنقسم هذه الحقوق إلى قسمين رئيسيين</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5"/>
      </w:r>
      <w:r>
        <w:rPr>
          <w:rFonts w:ascii="Times New Roman" w:hAnsi="Times New Roman"/>
          <w:sz w:val="20"/>
          <w:szCs w:val="20"/>
          <w:rtl/>
          <w:lang w:val="ar-SA"/>
        </w:rPr>
        <w:t>)</w:t>
      </w:r>
    </w:p>
    <w:p w14:paraId="032ACA37" w14:textId="77777777" w:rsidR="00454428" w:rsidRDefault="00C464EC">
      <w:pPr>
        <w:pStyle w:val="ListParagraph"/>
        <w:numPr>
          <w:ilvl w:val="0"/>
          <w:numId w:val="34"/>
        </w:numPr>
        <w:spacing w:before="120" w:after="120" w:line="360" w:lineRule="auto"/>
        <w:jc w:val="both"/>
        <w:rPr>
          <w:rFonts w:cs="Times New Roman" w:hint="default"/>
          <w:sz w:val="24"/>
          <w:szCs w:val="24"/>
          <w:rtl/>
          <w:lang w:val="ar-SA"/>
        </w:rPr>
      </w:pPr>
      <w:r>
        <w:rPr>
          <w:rFonts w:cs="Times New Roman"/>
          <w:b/>
          <w:bCs/>
          <w:sz w:val="24"/>
          <w:szCs w:val="24"/>
          <w:rtl/>
          <w:lang w:val="ar-SA"/>
        </w:rPr>
        <w:t>حقوق عامة</w:t>
      </w:r>
      <w:r>
        <w:rPr>
          <w:rFonts w:ascii="Times New Roman" w:hAnsi="Times New Roman"/>
          <w:b/>
          <w:bCs/>
          <w:sz w:val="24"/>
          <w:szCs w:val="24"/>
          <w:rtl/>
          <w:lang w:val="ar-SA"/>
        </w:rPr>
        <w:t>:</w:t>
      </w:r>
      <w:r>
        <w:rPr>
          <w:rFonts w:cs="Times New Roman"/>
          <w:sz w:val="24"/>
          <w:szCs w:val="24"/>
          <w:rtl/>
          <w:lang w:val="ar-SA"/>
        </w:rPr>
        <w:t xml:space="preserve"> تشمل جميع أفراد المجتمع، مثل</w:t>
      </w:r>
      <w:r>
        <w:rPr>
          <w:rFonts w:ascii="Times New Roman" w:hAnsi="Times New Roman"/>
          <w:sz w:val="24"/>
          <w:szCs w:val="24"/>
          <w:rtl/>
          <w:lang w:val="ar-SA"/>
        </w:rPr>
        <w:t xml:space="preserve">: </w:t>
      </w:r>
      <w:r>
        <w:rPr>
          <w:rFonts w:cs="Times New Roman"/>
          <w:sz w:val="24"/>
          <w:szCs w:val="24"/>
          <w:rtl/>
          <w:lang w:val="ar-SA"/>
        </w:rPr>
        <w:t>الحقوق السياسية، والاجتماعية</w:t>
      </w:r>
      <w:r>
        <w:rPr>
          <w:rFonts w:ascii="Times New Roman" w:hAnsi="Times New Roman"/>
          <w:sz w:val="24"/>
          <w:szCs w:val="24"/>
          <w:rtl/>
          <w:lang w:val="ar-SA"/>
        </w:rPr>
        <w:t xml:space="preserve">. </w:t>
      </w:r>
    </w:p>
    <w:p w14:paraId="1B9C3EEE" w14:textId="77777777" w:rsidR="00454428" w:rsidRDefault="00C464EC">
      <w:pPr>
        <w:pStyle w:val="ListParagraph"/>
        <w:numPr>
          <w:ilvl w:val="0"/>
          <w:numId w:val="34"/>
        </w:numPr>
        <w:spacing w:before="120" w:after="120" w:line="360" w:lineRule="auto"/>
        <w:jc w:val="both"/>
        <w:rPr>
          <w:rFonts w:cs="Times New Roman" w:hint="default"/>
          <w:sz w:val="24"/>
          <w:szCs w:val="24"/>
          <w:rtl/>
          <w:lang w:val="ar-SA"/>
        </w:rPr>
      </w:pPr>
      <w:r>
        <w:rPr>
          <w:rFonts w:cs="Times New Roman"/>
          <w:b/>
          <w:bCs/>
          <w:sz w:val="24"/>
          <w:szCs w:val="24"/>
          <w:rtl/>
          <w:lang w:val="ar-SA"/>
        </w:rPr>
        <w:t>حقوق خاصة</w:t>
      </w:r>
      <w:r>
        <w:rPr>
          <w:rFonts w:ascii="Times New Roman" w:hAnsi="Times New Roman"/>
          <w:b/>
          <w:bCs/>
          <w:sz w:val="24"/>
          <w:szCs w:val="24"/>
          <w:rtl/>
          <w:lang w:val="ar-SA"/>
        </w:rPr>
        <w:t>:</w:t>
      </w:r>
      <w:r>
        <w:rPr>
          <w:rFonts w:cs="Times New Roman"/>
          <w:sz w:val="24"/>
          <w:szCs w:val="24"/>
          <w:rtl/>
          <w:lang w:val="ar-SA"/>
        </w:rPr>
        <w:t xml:space="preserve"> تكتسب من قبل أفراد محددين، مثل</w:t>
      </w:r>
      <w:r>
        <w:rPr>
          <w:rFonts w:ascii="Times New Roman" w:hAnsi="Times New Roman"/>
          <w:sz w:val="24"/>
          <w:szCs w:val="24"/>
          <w:rtl/>
          <w:lang w:val="ar-SA"/>
        </w:rPr>
        <w:t xml:space="preserve">: </w:t>
      </w:r>
      <w:r>
        <w:rPr>
          <w:rFonts w:cs="Times New Roman"/>
          <w:sz w:val="24"/>
          <w:szCs w:val="24"/>
          <w:rtl/>
          <w:lang w:val="ar-SA"/>
        </w:rPr>
        <w:t>حقوق الأسرة والحقوق المالية، التي تنقسم بدورها إلى ثلاث فئاتٍ، تشمل هذه الفئات الحقوق المعنوية، أو الذهنية، أو الأدبية، وهي سلطات يمتلكها الشخص على شيء غير مادي، يمثل ثمرة أفكاره، أو خياله، أو جهوده، من أمثلة ذلك حق المؤلف في مؤلفاته العلمية، وحق الفنان في إبداعاته الفنية، وحق المخترع في ابتكاراته الصناعية، وحق التاجر في اسمه التجاري وعلامته التجارية وثقة العملاء</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26"/>
      </w:r>
      <w:r>
        <w:rPr>
          <w:rFonts w:ascii="Times New Roman" w:hAnsi="Times New Roman"/>
          <w:sz w:val="24"/>
          <w:szCs w:val="24"/>
          <w:vertAlign w:val="superscript"/>
          <w:rtl/>
          <w:lang w:val="ar-SA"/>
        </w:rPr>
        <w:t>)</w:t>
      </w:r>
    </w:p>
    <w:p w14:paraId="5426E49D"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بعد أنْ استعرضنا الأسس التاريخية والمفاهيم التقليدية للملكية الفكرية، نتوجه الآن لاستكشاف التحوُّلات التي فرضها العصر الرقمي على هذا المفهوم؛ ليكشف الفرع الثاني مفهوم الملكية الفكرية الإلكترونية عن رؤى متجددة تعيد صياغة معايير الحماية والإبداع</w:t>
      </w:r>
      <w:r>
        <w:rPr>
          <w:rFonts w:ascii="Times New Roman" w:hAnsi="Times New Roman"/>
          <w:sz w:val="24"/>
          <w:szCs w:val="24"/>
          <w:rtl/>
          <w:lang w:val="ar-SA"/>
        </w:rPr>
        <w:t>.</w:t>
      </w:r>
    </w:p>
    <w:p w14:paraId="731D35B2"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42A1E5A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7F2FD9F"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FF89614"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EA24486"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22B988D"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6D884B3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00F8A53C"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39169B1" w14:textId="77777777" w:rsidR="00FA299D" w:rsidRDefault="00FA299D">
      <w:pPr>
        <w:rPr>
          <w:rFonts w:ascii="Arial Unicode MS" w:hAnsi="Arial Unicode MS"/>
          <w:b/>
          <w:bCs/>
          <w:color w:val="000000"/>
          <w:sz w:val="32"/>
          <w:szCs w:val="32"/>
          <w:u w:color="000000"/>
          <w:rtl/>
          <w:lang w:val="ar-SA"/>
        </w:rPr>
      </w:pPr>
      <w:bookmarkStart w:id="92" w:name="_Toc227251078"/>
      <w:bookmarkStart w:id="93" w:name="_Toc232260635"/>
      <w:r>
        <w:rPr>
          <w:rFonts w:ascii="Arial Unicode MS" w:hAnsi="Arial Unicode MS"/>
          <w:rtl/>
          <w:lang w:val="ar-SA"/>
        </w:rPr>
        <w:br w:type="page"/>
      </w:r>
    </w:p>
    <w:p w14:paraId="5DE79C34" w14:textId="02A874B1" w:rsidR="00454428" w:rsidRDefault="00C464EC" w:rsidP="00C72BA8">
      <w:pPr>
        <w:pStyle w:val="a"/>
        <w:rPr>
          <w:rtl/>
          <w:lang w:val="ar-SA"/>
        </w:rPr>
      </w:pPr>
      <w:r>
        <w:rPr>
          <w:rFonts w:ascii="Arial Unicode MS" w:eastAsia="Arial Unicode MS" w:hAnsi="Arial Unicode MS" w:hint="cs"/>
          <w:rtl/>
          <w:lang w:val="ar-SA"/>
        </w:rPr>
        <w:lastRenderedPageBreak/>
        <w:t>الفرع الثاني</w:t>
      </w:r>
      <w:bookmarkStart w:id="94" w:name="_Hlk193407937"/>
      <w:bookmarkEnd w:id="92"/>
      <w:bookmarkEnd w:id="93"/>
    </w:p>
    <w:p w14:paraId="19605395" w14:textId="77777777" w:rsidR="00454428" w:rsidRDefault="00C464EC" w:rsidP="00C72BA8">
      <w:pPr>
        <w:pStyle w:val="a"/>
        <w:rPr>
          <w:rtl/>
          <w:lang w:val="ar-SA"/>
        </w:rPr>
      </w:pPr>
      <w:bookmarkStart w:id="95" w:name="_Toc227251079"/>
      <w:bookmarkStart w:id="96" w:name="_Toc232260636"/>
      <w:commentRangeStart w:id="97"/>
      <w:r>
        <w:rPr>
          <w:rFonts w:ascii="Arial Unicode MS" w:eastAsia="Arial Unicode MS" w:hAnsi="Arial Unicode MS" w:hint="cs"/>
          <w:rtl/>
          <w:lang w:val="ar-SA"/>
        </w:rPr>
        <w:t>مفهوم</w:t>
      </w:r>
      <w:commentRangeEnd w:id="97"/>
      <w:r w:rsidR="008423E0">
        <w:rPr>
          <w:rStyle w:val="CommentReference"/>
          <w:rFonts w:eastAsia="Arial Unicode MS"/>
          <w:b w:val="0"/>
          <w:bCs w:val="0"/>
          <w:color w:val="auto"/>
          <w:rtl/>
        </w:rPr>
        <w:commentReference w:id="97"/>
      </w:r>
      <w:r>
        <w:rPr>
          <w:rFonts w:ascii="Arial Unicode MS" w:eastAsia="Arial Unicode MS" w:hAnsi="Arial Unicode MS" w:hint="cs"/>
          <w:rtl/>
          <w:lang w:val="ar-SA"/>
        </w:rPr>
        <w:t xml:space="preserve"> الملكية الفكرية الإلكترونية</w:t>
      </w:r>
      <w:bookmarkEnd w:id="95"/>
      <w:bookmarkEnd w:id="96"/>
    </w:p>
    <w:bookmarkEnd w:id="94"/>
    <w:p w14:paraId="1F732E28" w14:textId="77408719"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8423E0">
        <w:rPr>
          <w:rFonts w:cs="Times New Roman"/>
          <w:sz w:val="24"/>
          <w:szCs w:val="24"/>
          <w:highlight w:val="yellow"/>
          <w:rtl/>
          <w:lang w:val="ar-SA"/>
        </w:rPr>
        <w:t>يعتبر اختراع الحاسوب وتحويله إلى منتج تجاري خطوةً جوهريةً في تاريخ التكنولوجيا القانونية والإدارية؛ لما أتاحه من قدرات فائقة في جمع المعطيات القانونية، وتخزينها بصورة منهجية، ومعالجتها، وتحليلها بسرعة استثنائية، مقارنةً بالأساليب التقليدية، وقد أدى انتشار الحاسوب في الأسواق إلى إحداث نقلة نوعية في التعامل مع الكم المعلوماتي الهائل، خصوصًا في مجالات الأحوال الشخصية، والتسجيل العقاري، والوثائق الرسمية؛ حيث باتت الأنظمة الرقمية تدعم مبدأ الأمن القانوني، وتسهيل الوصول إلى المصادر مع الحفاظ على سريتها، كما أسهمت الابتكارات المصاحبة لهذه الثورة، مثل</w:t>
      </w:r>
      <w:r w:rsidRPr="008423E0">
        <w:rPr>
          <w:rFonts w:ascii="Times New Roman" w:hAnsi="Times New Roman"/>
          <w:sz w:val="24"/>
          <w:szCs w:val="24"/>
          <w:highlight w:val="yellow"/>
          <w:rtl/>
          <w:lang w:val="ar-SA"/>
        </w:rPr>
        <w:t xml:space="preserve">: </w:t>
      </w:r>
      <w:r w:rsidRPr="008423E0">
        <w:rPr>
          <w:rFonts w:cs="Times New Roman"/>
          <w:sz w:val="24"/>
          <w:szCs w:val="24"/>
          <w:highlight w:val="yellow"/>
          <w:rtl/>
          <w:lang w:val="ar-SA"/>
        </w:rPr>
        <w:t>الأجهزة اللوحية، والهواتف الذكية، وأنظمة التخزين الخارجي، والحوسبة السحابية في رسم معالم الوسائط المتعددة، التي دمجت الصوت، والنص، والصورة، والرسوم البيانية داخل إطار واحد؛ ممَّا فتح آفاقًا لاعتمادها في العروض القضائية الإلكترونية والتعليم القانوني عن بُعد</w:t>
      </w:r>
      <w:r w:rsidRPr="008423E0">
        <w:rPr>
          <w:rFonts w:ascii="Times New Roman" w:hAnsi="Times New Roman"/>
          <w:sz w:val="24"/>
          <w:szCs w:val="24"/>
          <w:highlight w:val="yellow"/>
          <w:rtl/>
          <w:lang w:val="ar-SA"/>
        </w:rPr>
        <w:t xml:space="preserve">. </w:t>
      </w:r>
      <w:r w:rsidR="005B098D" w:rsidRPr="008423E0">
        <w:rPr>
          <w:rFonts w:ascii="Times New Roman" w:hAnsi="Times New Roman" w:hint="default"/>
          <w:sz w:val="24"/>
          <w:szCs w:val="24"/>
          <w:highlight w:val="yellow"/>
          <w:vertAlign w:val="superscript"/>
        </w:rPr>
        <w:t>)</w:t>
      </w:r>
      <w:r w:rsidR="005B098D" w:rsidRPr="008423E0">
        <w:rPr>
          <w:rStyle w:val="FootnoteReference"/>
          <w:rFonts w:ascii="Times New Roman" w:hAnsi="Times New Roman" w:hint="default"/>
          <w:sz w:val="24"/>
          <w:szCs w:val="24"/>
          <w:highlight w:val="yellow"/>
          <w:rtl/>
          <w:lang w:val="ar-SA"/>
        </w:rPr>
        <w:footnoteReference w:id="27"/>
      </w:r>
      <w:r w:rsidR="005B098D" w:rsidRPr="008423E0">
        <w:rPr>
          <w:rFonts w:ascii="Times New Roman" w:hAnsi="Times New Roman" w:hint="default"/>
          <w:sz w:val="24"/>
          <w:szCs w:val="24"/>
          <w:highlight w:val="yellow"/>
          <w:vertAlign w:val="superscript"/>
        </w:rPr>
        <w:t>(</w:t>
      </w:r>
    </w:p>
    <w:p w14:paraId="20BE82C2"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تحولت هذه الاختراعات إلى قاعدة اقتصادية منتجة للاقتصاد المعرفي؛ حيث شكلت صناعة البرمجيات والمنصات الرقمية قطاعًا حيويًا؛ لجذب الاستثمارات العالمية، واستقطاب الكفاءات المهنية المتخصصة في مجال الاستشارات القانونية التقنية، ثم برز الإنترنت أو شبكة المعلومات العالمية باعتباره الطريق السريع الدولي لنقل البيانات بعدما جمع بين الحواسيب، والهواتف الذكية، والأقمار الصناعية، وكابلات الألياف الضوئية ضمن بنية تحتية متكاملة؛ لتبادل البيانات عبر بروتوكولات موحدة مكنت الحكومات، والمؤسسات، والشركات القانونية من تبادل المستندات الرسمية والأبحاث القضائية بصورة إلكترونية فورية، وتوفر هذه الشبكة طيفًا واسعًا من الخدمات الإلكترونية التي تشمل بوابات المحاكم الرقمية، ومنصات التوقيع الإلكتروني، والمحاكم الافتراضية، ومحركات البحث المتخصصة في الاجتهادات القضائية والقوانين المقارنة؛ ممَّا يتيح للقضاة، والمحامين، والباحثين الاطلاع على الآراء الفقهية والمعايير التشريعية عالميًا</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8"/>
      </w:r>
      <w:r>
        <w:rPr>
          <w:rFonts w:ascii="Times New Roman" w:hAnsi="Times New Roman"/>
          <w:sz w:val="24"/>
          <w:szCs w:val="24"/>
          <w:vertAlign w:val="superscript"/>
          <w:rtl/>
          <w:lang w:val="ar-SA"/>
        </w:rPr>
        <w:t>)</w:t>
      </w:r>
    </w:p>
    <w:p w14:paraId="47AB183B"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 xml:space="preserve">لا شك أنَّ التطوُّر التكنولوجي في وسائل الاتصالات وتقنيات الإرسال وانفتاح الحدود الدولية ساهم بصورة كبيرة في سهولة بث، ونقل، ونسخ المعلومات للأشخاص؛ حيث إنَّ الأفكار كلما زادت قيمتها التجارية أصبحت عرضةً لعمليات القرصنة والسرقة الأدبية؛ لذا يلزم على كافة التشريعات الوطنية والدولية حمايتها من أي اعتداءات، أو انتهاكات، أو تعديات على الملكية الفكرية، كما يشكل البث عبر الإنترنت خطورةً على حق المؤلف من ناحية إمكانية تحوير العمل وتحويله كما يمكن نسخة بسهولة، وقد حاول أصحاب الحقوق حماية حقوقهم المبثوثة عبر الإنترنت </w:t>
      </w:r>
      <w:r w:rsidRPr="001F2D43">
        <w:rPr>
          <w:rFonts w:cs="Times New Roman"/>
          <w:sz w:val="24"/>
          <w:szCs w:val="24"/>
          <w:highlight w:val="yellow"/>
          <w:rtl/>
          <w:lang w:val="ar-SA"/>
        </w:rPr>
        <w:t xml:space="preserve">عن طريق تشفير </w:t>
      </w:r>
      <w:commentRangeStart w:id="98"/>
      <w:r w:rsidRPr="001F2D43">
        <w:rPr>
          <w:rFonts w:cs="Times New Roman"/>
          <w:sz w:val="24"/>
          <w:szCs w:val="24"/>
          <w:highlight w:val="yellow"/>
          <w:rtl/>
          <w:lang w:val="ar-SA"/>
        </w:rPr>
        <w:t>الأوامر</w:t>
      </w:r>
      <w:commentRangeEnd w:id="98"/>
      <w:r w:rsidR="00B91FC7">
        <w:rPr>
          <w:rStyle w:val="CommentReference"/>
          <w:rFonts w:ascii="Times New Roman" w:hAnsi="Times New Roman" w:cs="Times New Roman" w:hint="default"/>
          <w:color w:val="auto"/>
          <w14:textOutline w14:w="0" w14:cap="rnd" w14:cmpd="sng" w14:algn="ctr">
            <w14:noFill/>
            <w14:prstDash w14:val="solid"/>
            <w14:bevel/>
          </w14:textOutline>
        </w:rPr>
        <w:commentReference w:id="98"/>
      </w:r>
      <w:r w:rsidRPr="001F2D43">
        <w:rPr>
          <w:rFonts w:cs="Times New Roman"/>
          <w:sz w:val="24"/>
          <w:szCs w:val="24"/>
          <w:highlight w:val="yellow"/>
          <w:rtl/>
          <w:lang w:val="ar-SA"/>
        </w:rPr>
        <w:t xml:space="preserve"> داخل البرنامج المحدد حتى لا يمكن نسخة،</w:t>
      </w:r>
      <w:r>
        <w:rPr>
          <w:rFonts w:cs="Times New Roman"/>
          <w:sz w:val="24"/>
          <w:szCs w:val="24"/>
          <w:rtl/>
          <w:lang w:val="ar-SA"/>
        </w:rPr>
        <w:t xml:space="preserve"> إلا أنَّ هذه الوسائل لم تؤدِّ إلى الحماية الكاملة، خاصةً أنَّ أعمال القرصنة أوجدت لها سوقًا لفك الشفرات إزاء هذه الاعتداءات المتكررة، كما ثارت العديد من النزاعات في مجال حق المؤلف</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29"/>
      </w:r>
      <w:r>
        <w:rPr>
          <w:rFonts w:ascii="Times New Roman" w:hAnsi="Times New Roman"/>
          <w:sz w:val="20"/>
          <w:szCs w:val="20"/>
          <w:vertAlign w:val="superscript"/>
          <w:rtl/>
          <w:lang w:val="ar-SA"/>
        </w:rPr>
        <w:t>)</w:t>
      </w:r>
    </w:p>
    <w:p w14:paraId="09CD5B6A" w14:textId="77777777" w:rsidR="00454428" w:rsidRDefault="00C464EC" w:rsidP="000E6247">
      <w:pPr>
        <w:pStyle w:val="BodyA"/>
        <w:spacing w:after="0" w:line="348" w:lineRule="auto"/>
        <w:ind w:firstLine="720"/>
        <w:jc w:val="both"/>
        <w:rPr>
          <w:rFonts w:ascii="Times New Roman" w:eastAsia="Times New Roman" w:hAnsi="Times New Roman" w:cs="Times New Roman" w:hint="default"/>
          <w:sz w:val="20"/>
          <w:szCs w:val="20"/>
          <w:vertAlign w:val="superscript"/>
          <w:rtl/>
          <w:lang w:val="ar-SA"/>
        </w:rPr>
      </w:pPr>
      <w:r>
        <w:rPr>
          <w:rFonts w:cs="Times New Roman"/>
          <w:sz w:val="24"/>
          <w:szCs w:val="24"/>
          <w:rtl/>
          <w:lang w:val="ar-SA"/>
        </w:rPr>
        <w:lastRenderedPageBreak/>
        <w:t>رغم التنوع الواسع للخدمات الإلكترونية التي توفرها شبكة المعلومات العالمية ومحتواها المتجدد باستمرار يتعرض هذا المجال إلى مشكلات قانونية جوهرية تتعلق بضمان سرية المعلومات وحمايتها من الاختراق والتلاعب، وتجلت أهمية معالجة هذه التحديات في سعي الدول المتقدمة إلى استحداث إطار تشريعي منظم يعزّز من حماية المحتوى الرقمي، ويكفل حفظ الحقوق الفكرية للمبدعين والمؤلفين، وقد عبّرت قوانين الملكية الفكرية الدولية والإقليمية عن هذا التوجه عبر وضع تعريفات دقيقة للحقوق، والمحظورات، واشتراطات الترخيص، كما تهدف هذه الاجراءات إلى ردع الاعتداءات على المصنفات الرقمية، مثل</w:t>
      </w:r>
      <w:r>
        <w:rPr>
          <w:rFonts w:ascii="Times New Roman" w:hAnsi="Times New Roman"/>
          <w:sz w:val="24"/>
          <w:szCs w:val="24"/>
          <w:rtl/>
          <w:lang w:val="ar-SA"/>
        </w:rPr>
        <w:t xml:space="preserve">: </w:t>
      </w:r>
      <w:r>
        <w:rPr>
          <w:rFonts w:cs="Times New Roman"/>
          <w:sz w:val="24"/>
          <w:szCs w:val="24"/>
          <w:rtl/>
          <w:lang w:val="ar-SA"/>
        </w:rPr>
        <w:t>القرصنة، والاقتباس غير المشروع، والتقليد غير المصرّح به، ويأخذ إطار الحماية في الاعتبار جملةً من الانتهاكات المحتملة التي قد تمس المصالح المعنوية والمادية للأصحاب الأصليين للأعمال، ولتحقيق ذلك ظهرت مواد متخصصة تتناول الجزاءات المدنية والجنائية، والعقوبات الزجرية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0"/>
      </w:r>
      <w:r>
        <w:rPr>
          <w:rFonts w:ascii="Times New Roman" w:hAnsi="Times New Roman"/>
          <w:sz w:val="24"/>
          <w:szCs w:val="24"/>
          <w:vertAlign w:val="superscript"/>
          <w:rtl/>
          <w:lang w:val="ar-SA"/>
        </w:rPr>
        <w:t>)</w:t>
      </w:r>
    </w:p>
    <w:p w14:paraId="2638AC07" w14:textId="77777777" w:rsidR="00454428" w:rsidRDefault="00C464EC" w:rsidP="000E6247">
      <w:pPr>
        <w:pStyle w:val="BodyA"/>
        <w:spacing w:after="0" w:line="348" w:lineRule="auto"/>
        <w:ind w:firstLine="720"/>
        <w:jc w:val="both"/>
        <w:rPr>
          <w:rFonts w:ascii="Times New Roman" w:eastAsia="Times New Roman" w:hAnsi="Times New Roman" w:cs="Times New Roman" w:hint="default"/>
          <w:sz w:val="20"/>
          <w:szCs w:val="20"/>
          <w:vertAlign w:val="superscript"/>
          <w:rtl/>
          <w:lang w:val="ar-SA"/>
        </w:rPr>
      </w:pPr>
      <w:r>
        <w:rPr>
          <w:rFonts w:cs="Times New Roman"/>
          <w:sz w:val="24"/>
          <w:szCs w:val="24"/>
          <w:rtl/>
          <w:lang w:val="ar-SA"/>
        </w:rPr>
        <w:t xml:space="preserve"> ومن الناحية التنظيمية</w:t>
      </w:r>
      <w:r>
        <w:rPr>
          <w:rFonts w:ascii="Times New Roman" w:hAnsi="Times New Roman"/>
          <w:sz w:val="24"/>
          <w:szCs w:val="24"/>
          <w:rtl/>
          <w:lang w:val="ar-SA"/>
        </w:rPr>
        <w:t xml:space="preserve">: </w:t>
      </w:r>
      <w:r>
        <w:rPr>
          <w:rFonts w:cs="Times New Roman"/>
          <w:sz w:val="24"/>
          <w:szCs w:val="24"/>
          <w:rtl/>
          <w:lang w:val="ar-SA"/>
        </w:rPr>
        <w:t>أدى هذا التحول إلى رفع مستوى الشفافية، وتسهيل الاطلاع على المعلومات التشريعية والقضائية، وتقليص الإجراءات البيروقراطية في المحاكم وسجلات الأحوال؛ ممَّا ساهم في تحسين كفاءة الإدارة القضائية، وتعزيز ثقة الأفراد في المنظومة القانونية الرقمية، وقد استوجبت هذه البيئة المعلوماتية رسم استراتيجيات وطنية للأمن السيبراني، تتضمن تطوير أطرًا قانونيةً لمحاربة الجرائم الإلكترونية، والتحقيق في الجرائم المالية عبر الشبكات الرقمية، واعتماد معاهد وطنية للخبرة القانونية التقنية، وأخيرًا يستمر هذا التطوُّر في تحفيز التنسيق الدولي لتوحيد المعايير التقنية والقانونية وضمان حق الدول في إدارة مواردها الرقمية، وحماية بيانات مواطنيها، ضمن مبدأ التعاون والتكامل؛ لتأسيس نظام رقمي عالمي يستند إلى قواعد القانون الدولي والسيادة الرقمية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31"/>
      </w:r>
      <w:r>
        <w:rPr>
          <w:rFonts w:ascii="Times New Roman" w:hAnsi="Times New Roman"/>
          <w:sz w:val="24"/>
          <w:szCs w:val="24"/>
          <w:vertAlign w:val="superscript"/>
          <w:rtl/>
          <w:lang w:val="ar-SA"/>
        </w:rPr>
        <w:t>)</w:t>
      </w:r>
    </w:p>
    <w:p w14:paraId="57E6C795" w14:textId="11B2979F" w:rsidR="00454428" w:rsidRPr="00B57F5C" w:rsidRDefault="00C464EC" w:rsidP="000E6247">
      <w:pPr>
        <w:pStyle w:val="BodyA"/>
        <w:widowControl w:val="0"/>
        <w:spacing w:after="0" w:line="348" w:lineRule="auto"/>
        <w:ind w:firstLine="720"/>
        <w:jc w:val="both"/>
        <w:rPr>
          <w:rFonts w:ascii="Times New Roman" w:eastAsia="Times New Roman" w:hAnsi="Times New Roman" w:cs="Times New Roman" w:hint="default"/>
          <w:sz w:val="20"/>
          <w:szCs w:val="20"/>
          <w:vertAlign w:val="superscript"/>
          <w:rtl/>
          <w:lang w:val="ar-SA"/>
        </w:rPr>
      </w:pPr>
      <w:r>
        <w:rPr>
          <w:rFonts w:cs="Times New Roman"/>
          <w:sz w:val="24"/>
          <w:szCs w:val="24"/>
          <w:rtl/>
          <w:lang w:val="ar-SA"/>
        </w:rPr>
        <w:t>علاوةً على تنظيم اختصاصات الجهات الرقابية والمحاكم الإلكترونية لتسوية المنازعات بكفاءة واقتدار، ومع توسع شبكة الإنترنت؛ بات من الممكن إصدار التراخيص الإلكترونية، واستغلال المنتجات الفكرية عبر المنصات الرقمية بتكاليف مخفضة، ونطاق جغرافي واسع يشمل معظم مناطق العالم، وتساهم هذه الإمكانية في تنمية اقتصاد المعرفة، ودعم الصناعات الإبداعية من خلال تسويق الكتب، والمقالات، والبرمجيات، والأعمال الفنية عبر قنوات رقمية مهيكلة، غير أنَّ ذلك يضع المسئولية على عاتق المشرع بمواصلة تطوير الآليات القانونية لمكافحة الانتهاكات الإلكترونية، وضبط عمليات التحميل والنسخ غير المشروع، وبينما توفّر بروتوكولات الحماية الرقمية إجراءات تقنية لمنع التلاعب؛ تبرز الحاجة أيضًا إلى معاهدات دولية توحّد المعايير، وتشدد إجراءات النفاذ عبر الحدود، وتجدر الإشارة إلى دور الجمعيات والمؤسسات الدولية في نشر الوعي بحقوق الملكية الفكرية، وتنظيم ورش العمل، والتدريب على الإجراءات القانونية والتقنية، وأخيرًا يبقى التحدي الماثل أمام المشرعات الوطنية والإقليمية هو تحقيق التوازن بين تشجيع الإبداع ونشر المعرفة وبين حماية حقوق المبدعين؛ لضمان استدامة المنظومة الرقمية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2"/>
      </w:r>
      <w:r>
        <w:rPr>
          <w:rFonts w:ascii="Times New Roman" w:hAnsi="Times New Roman"/>
          <w:sz w:val="24"/>
          <w:szCs w:val="24"/>
          <w:vertAlign w:val="superscript"/>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يمكن تعريف الملكية الفكرية الإلكترونية بأنَّها</w:t>
      </w:r>
      <w:r>
        <w:rPr>
          <w:rFonts w:ascii="Times New Roman" w:hAnsi="Times New Roman"/>
          <w:sz w:val="24"/>
          <w:szCs w:val="24"/>
          <w:rtl/>
          <w:lang w:val="ar-SA"/>
        </w:rPr>
        <w:t>: "</w:t>
      </w:r>
      <w:r>
        <w:rPr>
          <w:rFonts w:cs="Times New Roman"/>
          <w:sz w:val="24"/>
          <w:szCs w:val="24"/>
          <w:rtl/>
          <w:lang w:val="ar-SA"/>
        </w:rPr>
        <w:t>مجموعة الحقوق المادية والمعنوية المنشأة للإبداع الأدبي، أو الفني، أو العلمي، والإبداع الفكري مدمجة بشكل في فضاء مادي أو إلكتروني، باستخدام وسائل إلكترونية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3"/>
      </w:r>
      <w:r>
        <w:rPr>
          <w:rFonts w:ascii="Times New Roman" w:hAnsi="Times New Roman"/>
          <w:sz w:val="20"/>
          <w:szCs w:val="20"/>
          <w:vertAlign w:val="superscript"/>
          <w:rtl/>
          <w:lang w:val="ar-SA"/>
        </w:rPr>
        <w:t>)</w:t>
      </w:r>
      <w:r>
        <w:rPr>
          <w:rFonts w:ascii="Times New Roman" w:hAnsi="Times New Roman"/>
          <w:sz w:val="24"/>
          <w:szCs w:val="24"/>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كما يمكن تعريف الملكية الفكرية الإلكترونية على أنَّها</w:t>
      </w:r>
      <w:r>
        <w:rPr>
          <w:rFonts w:ascii="Times New Roman" w:hAnsi="Times New Roman"/>
          <w:sz w:val="24"/>
          <w:szCs w:val="24"/>
          <w:rtl/>
          <w:lang w:val="ar-SA"/>
        </w:rPr>
        <w:t>: "</w:t>
      </w:r>
      <w:r>
        <w:rPr>
          <w:rFonts w:cs="Times New Roman"/>
          <w:sz w:val="24"/>
          <w:szCs w:val="24"/>
          <w:rtl/>
          <w:lang w:val="ar-SA"/>
        </w:rPr>
        <w:t>مجموعة الحقوق المادية والمعنوية الممنوحة للابتكار والإبداع الذهني في المجالات الأدبية، أو الفنية، أو العلمية، والتي تتجسد في أشكال رقمية تستخدم الوسائل الإلكترونية في الإنتاج والنشر</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4"/>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4B83791E"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lastRenderedPageBreak/>
        <w:t>ولا شك أنَّ حماية الملكية الفكرية الإلكترونية تتطلب تقسيم الملكية بين مادية خبرتها متمثلة في الإنسان، وبين الملكية المستخدمة في الواقع الرقمي، ويتطلب التطوُّر التكنولوجي في مجال الحوسبة الرقمية الكشف عن أهمية نظم الملكية الفكرية عامة، والبحث في إمكانية تطبيق التشريعات القائمة على الملكية الفكرية الإلكترونية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5"/>
      </w:r>
      <w:r>
        <w:rPr>
          <w:rFonts w:ascii="Times New Roman" w:hAnsi="Times New Roman"/>
          <w:sz w:val="20"/>
          <w:szCs w:val="20"/>
          <w:vertAlign w:val="superscript"/>
          <w:rtl/>
          <w:lang w:val="ar-SA"/>
        </w:rPr>
        <w:t>)</w:t>
      </w:r>
    </w:p>
    <w:p w14:paraId="0DCA5383"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والفرق الجوهري بين الملكية الفكرية التقليدية، والملكية الفكرية الإلكترونية، من حيث وسيط العرض وأسلوب الحماية، فبينما كانت الأولى ترتكز على أشكال مادية</w:t>
      </w:r>
      <w:r>
        <w:rPr>
          <w:rFonts w:ascii="Times New Roman" w:hAnsi="Times New Roman"/>
          <w:sz w:val="24"/>
          <w:szCs w:val="24"/>
          <w:rtl/>
          <w:lang w:val="ar-SA"/>
        </w:rPr>
        <w:t xml:space="preserve">: </w:t>
      </w:r>
      <w:r>
        <w:rPr>
          <w:rFonts w:cs="Times New Roman"/>
          <w:sz w:val="24"/>
          <w:szCs w:val="24"/>
          <w:rtl/>
          <w:lang w:val="ar-SA"/>
        </w:rPr>
        <w:t>كالكتب، والأشرطة، والرسوم؛ فإنَّ الثانية تضم البرمجيات، وقواعد البيانات والتصاميم الرقمية، والمحتوى السمعي والبصري الموزع على الشبكات الرقمية، ويتيح هذا التوسع الرقمي ظهور حقوق جديدة تفرض ضوابط تتعلق بعمليات النسخ، والتوزيع، والاطلاع الإلكتروني، وقد استوجب ذلك تطوير نظم تراخيص إلكترونية مرنة تحدد شروط الاستخدام، وإعادة الإنتاج في بيئات الحوسبة السحابية والمنصات الرقمية، كما يتطلب إعلان الإصدار الرقمي، والتوثيق الإلكتروني؛ لضمان إثبات الأولوية، والحيازة، وتقليص أخطار التزوير، ويستقل إطار الحماية الإلكترونية عن التصنيف التقليدي بفروعه الخمسة؛ ليواكب خصوصية المحتوى الرقمي ومتطلبات تشفيره، وإخفائه، وإعادة عرضه، ويستلزم هذا التوجه استحداث نصوص قانونية متخصصة تعالج تجاوزات القرصنة الرقمية والاختراق غير المشروع والتلاعب بالبيانات، ويسهم التنسيق الدولي في تبني معايير مشتركة لحماية الحقوق الإلكترونية عبر الحدود، وعلاوةً على ذلك</w:t>
      </w:r>
      <w:r>
        <w:rPr>
          <w:rFonts w:ascii="Times New Roman" w:hAnsi="Times New Roman"/>
          <w:sz w:val="24"/>
          <w:szCs w:val="24"/>
          <w:rtl/>
          <w:lang w:val="ar-SA"/>
        </w:rPr>
        <w:t xml:space="preserve">: </w:t>
      </w:r>
      <w:r>
        <w:rPr>
          <w:rFonts w:cs="Times New Roman"/>
          <w:sz w:val="24"/>
          <w:szCs w:val="24"/>
          <w:rtl/>
          <w:lang w:val="ar-SA"/>
        </w:rPr>
        <w:t>يوفر ترخيص المحتوى الإلكتروني فرصًا تجاريةً واسعةً بأقل التكاليف، وأقصى انتشار جغرافي ممَّا يعزّز اقتصاد المعرفة ويحفز الابتكار في العصر الرقمي، وبذلك يعكس مفهوم الملكية الفكرية الإلكترونية تطوُّر التشريع لتلبية تحديات الوسائط الحديثة وضمان توازن بين تشجيع الإبداع وحماية حقوق المبدعين</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6"/>
      </w:r>
      <w:r>
        <w:rPr>
          <w:rFonts w:ascii="Times New Roman" w:hAnsi="Times New Roman"/>
          <w:sz w:val="24"/>
          <w:szCs w:val="24"/>
          <w:vertAlign w:val="superscript"/>
          <w:rtl/>
          <w:lang w:val="ar-SA"/>
        </w:rPr>
        <w:t>)</w:t>
      </w:r>
    </w:p>
    <w:p w14:paraId="25F27360" w14:textId="77777777" w:rsidR="00454428" w:rsidRDefault="00C464EC"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 xml:space="preserve">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w:t>
      </w:r>
      <w:r>
        <w:rPr>
          <w:rFonts w:ascii="Times New Roman" w:hAnsi="Times New Roman"/>
          <w:sz w:val="24"/>
          <w:szCs w:val="24"/>
          <w:rtl/>
          <w:lang w:val="ar-SA"/>
        </w:rPr>
        <w:t>(</w:t>
      </w:r>
      <w:r>
        <w:rPr>
          <w:rFonts w:cs="Times New Roman"/>
          <w:sz w:val="24"/>
          <w:szCs w:val="24"/>
          <w:rtl/>
          <w:lang w:val="ar-SA"/>
        </w:rPr>
        <w:t>المحتوى</w:t>
      </w:r>
      <w:r>
        <w:rPr>
          <w:rFonts w:ascii="Times New Roman" w:hAnsi="Times New Roman"/>
          <w:sz w:val="24"/>
          <w:szCs w:val="24"/>
          <w:rtl/>
          <w:lang w:val="ar-SA"/>
        </w:rPr>
        <w:t>)</w:t>
      </w:r>
      <w:r>
        <w:rPr>
          <w:rFonts w:cs="Times New Roman"/>
          <w:sz w:val="24"/>
          <w:szCs w:val="24"/>
          <w:rtl/>
          <w:lang w:val="ar-SA"/>
        </w:rPr>
        <w:t>،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7"/>
      </w:r>
      <w:r>
        <w:rPr>
          <w:rFonts w:ascii="Times New Roman" w:hAnsi="Times New Roman"/>
          <w:sz w:val="20"/>
          <w:szCs w:val="20"/>
          <w:vertAlign w:val="superscript"/>
          <w:rtl/>
          <w:lang w:val="ar-SA"/>
        </w:rPr>
        <w:t>)</w:t>
      </w:r>
    </w:p>
    <w:p w14:paraId="149787E8" w14:textId="514E6797" w:rsidR="00454428" w:rsidRPr="00B57F5C" w:rsidRDefault="00C464EC" w:rsidP="00B57F5C">
      <w:pPr>
        <w:pStyle w:val="BodyA"/>
        <w:widowControl w:val="0"/>
        <w:spacing w:before="120" w:after="120" w:line="360" w:lineRule="auto"/>
        <w:ind w:firstLine="720"/>
        <w:jc w:val="both"/>
        <w:rPr>
          <w:rFonts w:ascii="Times New Roman" w:eastAsia="Times New Roman" w:hAnsi="Times New Roman" w:cs="Times New Roman" w:hint="default"/>
          <w:sz w:val="20"/>
          <w:szCs w:val="20"/>
          <w:vertAlign w:val="superscript"/>
        </w:rPr>
      </w:pPr>
      <w:r>
        <w:rPr>
          <w:rFonts w:cs="Times New Roman"/>
          <w:sz w:val="24"/>
          <w:szCs w:val="24"/>
          <w:rtl/>
          <w:lang w:val="ar-SA"/>
        </w:rPr>
        <w:t>وتُعَدُّ حماية الملكية الفكرية في العصر الإلكتروني من الأمور بالغة الأهمية؛ حيث سهل العصر الإلكتروني عمليات نسخ الكتب باستخدام آلات نسخ ضوئية سريعة الاستخدام، والجدير بالذكر</w:t>
      </w:r>
      <w:r>
        <w:rPr>
          <w:rFonts w:ascii="Times New Roman" w:hAnsi="Times New Roman"/>
          <w:sz w:val="24"/>
          <w:szCs w:val="24"/>
          <w:rtl/>
          <w:lang w:val="ar-SA"/>
        </w:rPr>
        <w:t xml:space="preserve">: </w:t>
      </w:r>
      <w:r>
        <w:rPr>
          <w:rFonts w:cs="Times New Roman"/>
          <w:sz w:val="24"/>
          <w:szCs w:val="24"/>
          <w:rtl/>
          <w:lang w:val="ar-SA"/>
        </w:rPr>
        <w:t>أنَّ الناس عادة ما يفضلون شراء الكتب، في حين أنَّ نسخ برامج الكمبيوتر على قرص مرن يمكن أنْ يتم في ثوان معدودة، ويهدد التحول إلى استخدام الأجهزة البرمجية أو الإلكترونية بتعقيد المشكلة، وعلى سبيل المثال</w:t>
      </w:r>
      <w:r>
        <w:rPr>
          <w:rFonts w:ascii="Times New Roman" w:hAnsi="Times New Roman"/>
          <w:sz w:val="24"/>
          <w:szCs w:val="24"/>
        </w:rPr>
        <w:t>:</w:t>
      </w:r>
      <w:r>
        <w:rPr>
          <w:rFonts w:cs="Times New Roman"/>
          <w:sz w:val="24"/>
          <w:szCs w:val="24"/>
          <w:rtl/>
          <w:lang w:val="ar-SA"/>
        </w:rPr>
        <w:t xml:space="preserve"> فإنَّ القوانين الحالية لحق النشر والتأليف في معظم البلدان لا تحمي حق النشر والتأليف للمادة الموجودة على خدمة الكمبيوتر مباشر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8"/>
      </w:r>
      <w:r>
        <w:rPr>
          <w:rFonts w:ascii="Times New Roman" w:hAnsi="Times New Roman"/>
          <w:sz w:val="20"/>
          <w:szCs w:val="20"/>
          <w:vertAlign w:val="superscript"/>
          <w:rtl/>
          <w:lang w:val="ar-SA"/>
        </w:rPr>
        <w:t>)</w:t>
      </w:r>
      <w:r>
        <w:rPr>
          <w:rFonts w:ascii="Times New Roman" w:hAnsi="Times New Roman"/>
          <w:sz w:val="24"/>
          <w:szCs w:val="24"/>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 xml:space="preserve">لذلك من الضروري الوقوف على حقوق المؤلف لمعرفة ما تحويه من دلالات ومفاهيم، وأثر التكنولوجيا الحديثة على تلك الحقوق؛ حيث تنوع المصادر وطرق الوصول للمعلومات، كذلك تنوع وسائل النشر المختلفة فلم تقتصر على المواد المطبوعة بالطرق التقليدية </w:t>
      </w:r>
      <w:r>
        <w:rPr>
          <w:rFonts w:ascii="Times New Roman" w:hAnsi="Times New Roman"/>
          <w:sz w:val="24"/>
          <w:szCs w:val="24"/>
          <w:rtl/>
          <w:lang w:val="ar-SA"/>
        </w:rPr>
        <w:lastRenderedPageBreak/>
        <w:t>(</w:t>
      </w:r>
      <w:r>
        <w:rPr>
          <w:rFonts w:cs="Times New Roman"/>
          <w:sz w:val="24"/>
          <w:szCs w:val="24"/>
          <w:rtl/>
          <w:lang w:val="ar-SA"/>
        </w:rPr>
        <w:t>الورقية</w:t>
      </w:r>
      <w:r>
        <w:rPr>
          <w:rFonts w:ascii="Times New Roman" w:hAnsi="Times New Roman"/>
          <w:sz w:val="24"/>
          <w:szCs w:val="24"/>
          <w:rtl/>
          <w:lang w:val="ar-SA"/>
        </w:rPr>
        <w:t>)</w:t>
      </w:r>
      <w:r>
        <w:rPr>
          <w:rFonts w:cs="Times New Roman"/>
          <w:sz w:val="24"/>
          <w:szCs w:val="24"/>
          <w:rtl/>
          <w:lang w:val="ar-SA"/>
        </w:rPr>
        <w:t xml:space="preserve">، بل تخطى هذا وأصبح هناك ما يعرف بالنشر الإلكتروني حتى وصلت إلى النشر على الإنترنت في العصر الحالي، أو ما يعرف بالملكية الفكرية الرقمية، أو الملكية الفكرية للمصنفات الرقمية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9"/>
      </w:r>
      <w:r>
        <w:rPr>
          <w:rFonts w:ascii="Times New Roman" w:hAnsi="Times New Roman"/>
          <w:sz w:val="20"/>
          <w:szCs w:val="20"/>
          <w:vertAlign w:val="superscript"/>
          <w:rtl/>
          <w:lang w:val="ar-SA"/>
        </w:rPr>
        <w:t>)</w:t>
      </w:r>
      <w:r>
        <w:rPr>
          <w:rFonts w:ascii="Times New Roman" w:hAnsi="Times New Roman"/>
          <w:sz w:val="24"/>
          <w:szCs w:val="24"/>
          <w:rtl/>
          <w:lang w:val="ar-SA"/>
        </w:rPr>
        <w:t>.</w:t>
      </w:r>
    </w:p>
    <w:p w14:paraId="1445986A"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commentRangeStart w:id="99"/>
      <w:r w:rsidRPr="002167C2">
        <w:rPr>
          <w:rFonts w:cs="Times New Roman"/>
          <w:sz w:val="24"/>
          <w:szCs w:val="24"/>
          <w:highlight w:val="yellow"/>
          <w:rtl/>
          <w:lang w:val="ar-SA"/>
        </w:rPr>
        <w:t>توضح</w:t>
      </w:r>
      <w:commentRangeEnd w:id="99"/>
      <w:r w:rsidR="00FA299D">
        <w:rPr>
          <w:rStyle w:val="CommentReference"/>
          <w:rFonts w:ascii="Times New Roman" w:hAnsi="Times New Roman" w:cs="Times New Roman" w:hint="default"/>
          <w:color w:val="auto"/>
          <w:rtl/>
          <w14:textOutline w14:w="0" w14:cap="rnd" w14:cmpd="sng" w14:algn="ctr">
            <w14:noFill/>
            <w14:prstDash w14:val="solid"/>
            <w14:bevel/>
          </w14:textOutline>
        </w:rPr>
        <w:commentReference w:id="99"/>
      </w:r>
      <w:r w:rsidRPr="002167C2">
        <w:rPr>
          <w:rFonts w:cs="Times New Roman"/>
          <w:sz w:val="24"/>
          <w:szCs w:val="24"/>
          <w:highlight w:val="yellow"/>
          <w:rtl/>
          <w:lang w:val="ar-SA"/>
        </w:rPr>
        <w:t xml:space="preserve"> الاجتهادات القانونية أنَّ الحقوق الفكرية تندرج ضمن الحقوق العينية التي تنشأ عن الإبداع الفكري والابتكار، ولا تشمل الحقوق الشخصية المتصلة باسم الفرد أو بسلامته الجسدية أو بحريته في التعبير؛ إذ يخطئ بعض الفقه في تصنيف الحقوق الفكرية ضمن الحقوق الشخصية، ويؤكد القانون أنَّ الحقوق الشخصية لا تُعَدُّ حقوقًا ذات طابع مالي، ومِنْ ثَمَّ فهي غير قابلة للتداول، أو التنازل، أو الحجز، أو الانتقال بالوراثة، بينما تتسم الحقوق الفكرية بإمكانية التنازل عنها، أو منح تراخيص استغلالها لأطراف ثالثة بمقابل مادي أو غير مادي، وتتمتع هذه الحقوق بقابلية الانتقال بالوراثة وفق الشروط المقررة في التشريعات الوطنية والدولية، ويستقل إطار الحماية الفكرية عن التصنيف التقليدي بفروعه الخمسة؛ ليعكس خصوصية المصنفات الرقمية والتكنولوجية ومتطلبات تشفيرها وإدارتها، وتفرض القوانين الدولية والإقليمية تعريفاتٍ دقيقةً للحقوق والمحظورات واشتراطات التسجيل أو الإعلان الإلكتروني للمصنف؛ لضمان إثبات الأولوية والحيازة، كما تضمّن التشريع ردع الاعتداءات على المصنفات الفكرية، مثل</w:t>
      </w:r>
      <w:r w:rsidRPr="002167C2">
        <w:rPr>
          <w:rFonts w:ascii="Times New Roman" w:hAnsi="Times New Roman"/>
          <w:sz w:val="24"/>
          <w:szCs w:val="24"/>
          <w:highlight w:val="yellow"/>
          <w:rtl/>
          <w:lang w:val="ar-SA"/>
        </w:rPr>
        <w:t xml:space="preserve">: </w:t>
      </w:r>
      <w:r w:rsidRPr="002167C2">
        <w:rPr>
          <w:rFonts w:cs="Times New Roman"/>
          <w:sz w:val="24"/>
          <w:szCs w:val="24"/>
          <w:highlight w:val="yellow"/>
          <w:rtl/>
          <w:lang w:val="ar-SA"/>
        </w:rPr>
        <w:t>القرصنة، والتقليد غير المصرّح به، ويسهم الفصل بين الحقوق الشخصية والفكرية في توفير حماية مزدوجة تراعى كرامة الفرد واستقلالية الملكية الفكرية، ويعتمد تفعيل هذه الحماية على تنسيق الجهود بين الجهات الرقابية ومزوِّدي خدمات الإنترنت والمحاكم المتخصصة في المنازعات الرقمية، واستحداث نظم تراخيص إلكترونية مرنة وآليات مراقبة الانتهاكات عبر الحدود الرقمية، ويؤكد القضاء المختص على أهمية وضوح التعريفات والمفاهيم لكل فئة من الحقوق؛ لضمان تحقيق التوازن بين حماية الحقوق الإنسانية وتشجيع الابتكار في الفضاء الرقمي، وتظل المتابعة التشريعية مستمرةً لمواكبة التطوُّرات التقنية وتطوير الأطر القانونية المتخصصة في الملكية الفكرية الإلكترونية، وبذلك يعكس النظام القانوني التكاملي تطوُّر الفكر التشريعي؛ لتلبية تحديات العصر الرقمي وضمان استدامة المنظومة الفكرية والإبداعية</w:t>
      </w:r>
      <w:r w:rsidRPr="002167C2">
        <w:rPr>
          <w:rFonts w:ascii="Times New Roman" w:hAnsi="Times New Roman"/>
          <w:sz w:val="24"/>
          <w:szCs w:val="24"/>
          <w:highlight w:val="yellow"/>
          <w:rtl/>
          <w:lang w:val="ar-SA"/>
        </w:rPr>
        <w:t>.</w:t>
      </w:r>
      <w:r w:rsidRPr="002167C2">
        <w:rPr>
          <w:rFonts w:ascii="Times New Roman" w:hAnsi="Times New Roman"/>
          <w:sz w:val="24"/>
          <w:szCs w:val="24"/>
          <w:highlight w:val="yellow"/>
          <w:vertAlign w:val="superscript"/>
          <w:rtl/>
          <w:lang w:val="ar-SA"/>
        </w:rPr>
        <w:t xml:space="preserve"> (</w:t>
      </w:r>
      <w:r w:rsidRPr="002167C2">
        <w:rPr>
          <w:rFonts w:ascii="Times New Roman" w:eastAsia="Times New Roman" w:hAnsi="Times New Roman" w:cs="Times New Roman"/>
          <w:sz w:val="24"/>
          <w:szCs w:val="24"/>
          <w:highlight w:val="yellow"/>
          <w:vertAlign w:val="superscript"/>
          <w:lang w:val="ar-SA"/>
        </w:rPr>
        <w:footnoteReference w:id="40"/>
      </w:r>
      <w:r w:rsidRPr="002167C2">
        <w:rPr>
          <w:rFonts w:ascii="Times New Roman" w:hAnsi="Times New Roman"/>
          <w:sz w:val="24"/>
          <w:szCs w:val="24"/>
          <w:highlight w:val="yellow"/>
          <w:vertAlign w:val="superscript"/>
          <w:rtl/>
          <w:lang w:val="ar-SA"/>
        </w:rPr>
        <w:t>)</w:t>
      </w:r>
    </w:p>
    <w:p w14:paraId="682CFB98" w14:textId="054AEF31" w:rsidR="00454428" w:rsidRDefault="00C464EC"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تهدف الملكية الفكرية إلى تشجيع الابتكار والإبداع من خلال توفير حماية قانونية للمبدعين؛ ممَّا يتيح لهم الاستفادة من أعمالهم واختراعاتهم بشكل حصري لفترة زمنية محددة، وبالتالي</w:t>
      </w:r>
      <w:r>
        <w:rPr>
          <w:rFonts w:ascii="Times New Roman" w:hAnsi="Times New Roman"/>
          <w:sz w:val="24"/>
          <w:szCs w:val="24"/>
          <w:rtl/>
          <w:lang w:val="ar-SA"/>
        </w:rPr>
        <w:t xml:space="preserve">: </w:t>
      </w:r>
      <w:r>
        <w:rPr>
          <w:rFonts w:cs="Times New Roman"/>
          <w:sz w:val="24"/>
          <w:szCs w:val="24"/>
          <w:rtl/>
          <w:lang w:val="ar-SA"/>
        </w:rPr>
        <w:t>تحفيز المزيد من التطوُّر والتقدم في مختلف المجالات</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1"/>
      </w:r>
      <w:r>
        <w:rPr>
          <w:rFonts w:ascii="Times New Roman" w:hAnsi="Times New Roman"/>
          <w:sz w:val="24"/>
          <w:szCs w:val="24"/>
          <w:vertAlign w:val="superscript"/>
          <w:rtl/>
          <w:lang w:val="ar-SA"/>
        </w:rPr>
        <w:t>)</w:t>
      </w:r>
      <w:r w:rsidR="00FD2A46">
        <w:rPr>
          <w:rFonts w:ascii="Times New Roman" w:hAnsi="Times New Roman" w:hint="default"/>
          <w:sz w:val="24"/>
          <w:szCs w:val="24"/>
          <w:vertAlign w:val="superscript"/>
        </w:rPr>
        <w:t xml:space="preserve"> </w:t>
      </w:r>
      <w:r>
        <w:rPr>
          <w:rFonts w:cs="Times New Roman"/>
          <w:sz w:val="24"/>
          <w:szCs w:val="24"/>
          <w:rtl/>
          <w:lang w:val="ar-SA"/>
        </w:rPr>
        <w:t>بعدما استعرضنا مفهوم الملكية الفكرية الإلكترونية وما يستتبعها من تحولات وتوجهات رقمية متجددة، نتوجه لاستقصاء أهمية، وأنواع، وأهداف الملكية الفكرية في المطلب الثاني في ظل تحديات العصر الحديث، على سبيل المثال، وسوف نوضح ذلك من خلال بيان أنواع حقوق المؤلف</w:t>
      </w:r>
      <w:r>
        <w:rPr>
          <w:rFonts w:ascii="Times New Roman" w:hAnsi="Times New Roman"/>
          <w:sz w:val="24"/>
          <w:szCs w:val="24"/>
          <w:rtl/>
          <w:lang w:val="ar-SA"/>
        </w:rPr>
        <w:t>:</w:t>
      </w:r>
    </w:p>
    <w:p w14:paraId="20BCE3FE" w14:textId="77777777" w:rsidR="00454428" w:rsidRDefault="00C464EC">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Pr>
          <w:rFonts w:cs="Times New Roman"/>
          <w:sz w:val="24"/>
          <w:szCs w:val="24"/>
          <w:rtl/>
          <w:lang w:val="ar-SA"/>
        </w:rPr>
        <w:t>الحق المالي والحق الأدبي للمؤلف</w:t>
      </w:r>
      <w:r>
        <w:rPr>
          <w:rFonts w:ascii="Times New Roman" w:hAnsi="Times New Roman"/>
          <w:sz w:val="24"/>
          <w:szCs w:val="24"/>
          <w:rtl/>
          <w:lang w:val="ar-SA"/>
        </w:rPr>
        <w:t>.</w:t>
      </w:r>
    </w:p>
    <w:p w14:paraId="09833EB9" w14:textId="77777777" w:rsidR="00454428" w:rsidRDefault="00C464EC">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Pr>
          <w:rFonts w:cs="Times New Roman"/>
          <w:sz w:val="24"/>
          <w:szCs w:val="24"/>
          <w:rtl/>
          <w:lang w:val="ar-SA"/>
        </w:rPr>
        <w:t>الحقوق المعنوية للمؤلف</w:t>
      </w:r>
      <w:r>
        <w:rPr>
          <w:rFonts w:ascii="Times New Roman" w:hAnsi="Times New Roman"/>
          <w:sz w:val="24"/>
          <w:szCs w:val="24"/>
          <w:rtl/>
          <w:lang w:val="ar-SA"/>
        </w:rPr>
        <w:t>.</w:t>
      </w:r>
    </w:p>
    <w:p w14:paraId="69623731" w14:textId="77777777" w:rsidR="000E6247" w:rsidRDefault="000E6247" w:rsidP="00C72BA8">
      <w:pPr>
        <w:pStyle w:val="a"/>
        <w:rPr>
          <w:rFonts w:ascii="Arial Unicode MS" w:eastAsia="Arial Unicode MS" w:hAnsi="Arial Unicode MS"/>
          <w:rtl/>
          <w:lang w:val="ar-SA"/>
        </w:rPr>
      </w:pPr>
      <w:bookmarkStart w:id="100" w:name="_Toc227251080"/>
    </w:p>
    <w:p w14:paraId="3B177A23" w14:textId="77777777" w:rsidR="000E6247" w:rsidRDefault="000E6247" w:rsidP="00C72BA8">
      <w:pPr>
        <w:pStyle w:val="a"/>
        <w:rPr>
          <w:rFonts w:ascii="Arial Unicode MS" w:eastAsia="Arial Unicode MS" w:hAnsi="Arial Unicode MS"/>
          <w:rtl/>
          <w:lang w:val="ar-SA"/>
        </w:rPr>
      </w:pPr>
    </w:p>
    <w:p w14:paraId="5D67F4BD" w14:textId="77777777" w:rsidR="00FA299D" w:rsidRDefault="00FA299D">
      <w:pPr>
        <w:rPr>
          <w:rFonts w:ascii="Arial Unicode MS" w:hAnsi="Arial Unicode MS"/>
          <w:b/>
          <w:bCs/>
          <w:color w:val="000000"/>
          <w:sz w:val="32"/>
          <w:szCs w:val="32"/>
          <w:u w:color="000000"/>
          <w:rtl/>
          <w:lang w:val="ar-SA"/>
        </w:rPr>
      </w:pPr>
      <w:bookmarkStart w:id="101" w:name="_Toc232260637"/>
      <w:r>
        <w:rPr>
          <w:rFonts w:ascii="Arial Unicode MS" w:hAnsi="Arial Unicode MS"/>
          <w:rtl/>
          <w:lang w:val="ar-SA"/>
        </w:rPr>
        <w:br w:type="page"/>
      </w:r>
    </w:p>
    <w:p w14:paraId="1686DBAC" w14:textId="4C907867" w:rsidR="00454428" w:rsidRDefault="00C464EC" w:rsidP="00C72BA8">
      <w:pPr>
        <w:pStyle w:val="a"/>
        <w:rPr>
          <w:b w:val="0"/>
          <w:bCs w:val="0"/>
          <w:rtl/>
          <w:lang w:val="ar-SA"/>
        </w:rPr>
      </w:pPr>
      <w:r>
        <w:rPr>
          <w:rFonts w:ascii="Arial Unicode MS" w:eastAsia="Arial Unicode MS" w:hAnsi="Arial Unicode MS" w:hint="cs"/>
          <w:rtl/>
          <w:lang w:val="ar-SA"/>
        </w:rPr>
        <w:lastRenderedPageBreak/>
        <w:t>المطلب الثاني</w:t>
      </w:r>
      <w:bookmarkStart w:id="102" w:name="_Hlk179396102"/>
      <w:bookmarkEnd w:id="100"/>
      <w:bookmarkEnd w:id="101"/>
    </w:p>
    <w:p w14:paraId="4EA60211" w14:textId="77777777" w:rsidR="00454428" w:rsidRDefault="00C464EC" w:rsidP="00C72BA8">
      <w:pPr>
        <w:pStyle w:val="a"/>
        <w:rPr>
          <w:b w:val="0"/>
          <w:bCs w:val="0"/>
          <w:rtl/>
          <w:lang w:val="ar-SA"/>
        </w:rPr>
      </w:pPr>
      <w:bookmarkStart w:id="103" w:name="_Toc227251081"/>
      <w:bookmarkStart w:id="104" w:name="_Toc232260638"/>
      <w:r>
        <w:rPr>
          <w:rFonts w:ascii="Arial Unicode MS" w:eastAsia="Arial Unicode MS" w:hAnsi="Arial Unicode MS" w:hint="cs"/>
          <w:rtl/>
          <w:lang w:val="ar-SA"/>
        </w:rPr>
        <w:t>أ</w:t>
      </w:r>
      <w:bookmarkStart w:id="105" w:name="_Hlk193408756"/>
      <w:r>
        <w:rPr>
          <w:rFonts w:ascii="Arial Unicode MS" w:eastAsia="Arial Unicode MS" w:hAnsi="Arial Unicode MS" w:hint="cs"/>
          <w:rtl/>
          <w:lang w:val="ar-SA"/>
        </w:rPr>
        <w:t xml:space="preserve">همية </w:t>
      </w:r>
      <w:bookmarkEnd w:id="105"/>
      <w:r>
        <w:rPr>
          <w:rFonts w:ascii="Arial Unicode MS" w:eastAsia="Arial Unicode MS" w:hAnsi="Arial Unicode MS" w:hint="cs"/>
          <w:rtl/>
          <w:lang w:val="ar-SA"/>
        </w:rPr>
        <w:t xml:space="preserve">أهداف وحقوق وأنواع </w:t>
      </w:r>
      <w:bookmarkStart w:id="106" w:name="_Hlk179396111"/>
      <w:r>
        <w:rPr>
          <w:rFonts w:ascii="Arial Unicode MS" w:eastAsia="Arial Unicode MS" w:hAnsi="Arial Unicode MS" w:hint="cs"/>
          <w:rtl/>
          <w:lang w:val="ar-SA"/>
        </w:rPr>
        <w:t>الملكية الفكرية</w:t>
      </w:r>
      <w:bookmarkEnd w:id="103"/>
      <w:bookmarkEnd w:id="104"/>
      <w:bookmarkEnd w:id="106"/>
    </w:p>
    <w:bookmarkEnd w:id="102"/>
    <w:p w14:paraId="51AA22F0" w14:textId="77777777" w:rsidR="00454428"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070B2616"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تُعَدُّ الملكية الفكرية من الركائز القانونية المهمة، التي تهدف إلى حماية الحقوق الناتجة عن الابتكار والإبداع، فهي تمنح أصحاب الحقوق أدوات قانونية لضمان الاستفادة الحصرية من نتاجهم الفكري، وتوفّر إطارًا ينظّم استخدام هذه الحقوق بما يحقق التوازن بين المصلحة الفردية والمصلحة العامة، ويستعرض هذا الفصل الأهداف القانونية للملكية الفكرية، وأنواع الحقوق التي تنشأ عنها، إضافةً إلى تصنيفها القانوني وفقًا للأنظمة المعتمدة</w:t>
      </w:r>
      <w:r>
        <w:rPr>
          <w:rFonts w:ascii="Times New Roman" w:hAnsi="Times New Roman"/>
          <w:sz w:val="24"/>
          <w:szCs w:val="24"/>
          <w:rtl/>
          <w:lang w:val="ar-SA"/>
        </w:rPr>
        <w:t>.</w:t>
      </w:r>
    </w:p>
    <w:p w14:paraId="51C0C5C0" w14:textId="77777777" w:rsidR="00454428" w:rsidRDefault="00C464EC" w:rsidP="00B57F5C">
      <w:pPr>
        <w:pStyle w:val="BodyA"/>
        <w:spacing w:before="120" w:after="120" w:line="360" w:lineRule="auto"/>
        <w:jc w:val="both"/>
        <w:rPr>
          <w:rFonts w:ascii="Times New Roman" w:eastAsia="Times New Roman" w:hAnsi="Times New Roman" w:cs="Times New Roman" w:hint="default"/>
          <w:sz w:val="24"/>
          <w:szCs w:val="24"/>
          <w:rtl/>
          <w:lang w:val="ar-SA"/>
        </w:rPr>
      </w:pPr>
      <w:r>
        <w:rPr>
          <w:rFonts w:cs="Times New Roman"/>
          <w:sz w:val="24"/>
          <w:szCs w:val="24"/>
          <w:rtl/>
          <w:lang w:val="ar-SA"/>
        </w:rPr>
        <w:t>سنتناول في هذا المطلب ما يلي</w:t>
      </w:r>
      <w:r>
        <w:rPr>
          <w:rFonts w:ascii="Times New Roman" w:hAnsi="Times New Roman"/>
          <w:sz w:val="24"/>
          <w:szCs w:val="24"/>
          <w:rtl/>
          <w:lang w:val="ar-SA"/>
        </w:rPr>
        <w:t>:</w:t>
      </w:r>
    </w:p>
    <w:p w14:paraId="6B6F3395" w14:textId="77777777" w:rsidR="00454428" w:rsidRDefault="00C464EC">
      <w:pPr>
        <w:pStyle w:val="BodyA"/>
        <w:numPr>
          <w:ilvl w:val="0"/>
          <w:numId w:val="37"/>
        </w:numPr>
        <w:spacing w:before="120" w:after="120" w:line="360" w:lineRule="auto"/>
        <w:rPr>
          <w:rFonts w:ascii="Times New Roman" w:eastAsia="Times New Roman" w:hAnsi="Times New Roman" w:cs="Times New Roman" w:hint="default"/>
          <w:sz w:val="24"/>
          <w:szCs w:val="24"/>
          <w:rtl/>
          <w:lang w:val="ar-SA"/>
        </w:rPr>
      </w:pPr>
      <w:bookmarkStart w:id="107" w:name="_Hlk195996544"/>
      <w:r>
        <w:rPr>
          <w:rFonts w:cs="Times New Roman"/>
          <w:b/>
          <w:bCs/>
          <w:sz w:val="24"/>
          <w:szCs w:val="24"/>
          <w:rtl/>
          <w:lang w:val="ar-SA"/>
        </w:rPr>
        <w:t xml:space="preserve">الفرع </w:t>
      </w:r>
      <w:bookmarkEnd w:id="107"/>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108" w:name="_Hlk193569938"/>
      <w:r>
        <w:rPr>
          <w:rFonts w:cs="Times New Roman"/>
          <w:sz w:val="24"/>
          <w:szCs w:val="24"/>
          <w:rtl/>
          <w:lang w:val="ar-SA"/>
        </w:rPr>
        <w:t>أهمية وأهداف حقوق الملكية الفكرية</w:t>
      </w:r>
      <w:bookmarkEnd w:id="108"/>
      <w:r>
        <w:rPr>
          <w:rFonts w:ascii="Times New Roman" w:hAnsi="Times New Roman"/>
          <w:sz w:val="24"/>
          <w:szCs w:val="24"/>
          <w:rtl/>
          <w:lang w:val="ar-SA"/>
        </w:rPr>
        <w:t>.</w:t>
      </w:r>
    </w:p>
    <w:p w14:paraId="241ADD5B" w14:textId="77777777" w:rsidR="00454428" w:rsidRDefault="00C464EC">
      <w:pPr>
        <w:pStyle w:val="BodyA"/>
        <w:numPr>
          <w:ilvl w:val="0"/>
          <w:numId w:val="37"/>
        </w:numPr>
        <w:spacing w:before="120" w:after="120" w:line="360" w:lineRule="auto"/>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أنواع حقوق الملكية الفكرية</w:t>
      </w:r>
      <w:r>
        <w:rPr>
          <w:rFonts w:ascii="Times New Roman" w:hAnsi="Times New Roman"/>
          <w:sz w:val="24"/>
          <w:szCs w:val="24"/>
          <w:rtl/>
          <w:lang w:val="ar-SA"/>
        </w:rPr>
        <w:t>.</w:t>
      </w:r>
    </w:p>
    <w:p w14:paraId="35AABA0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71B0AEA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22961B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8974922"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EDD5D0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1D47319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F46F381"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FF880C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B71B8E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4D01305"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7D76861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7045543"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0C47CAE0"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393EBD8E"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36FAC3A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D31D4E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3773AF44" w14:textId="77777777" w:rsidR="00FA299D" w:rsidRDefault="00FA299D">
      <w:pPr>
        <w:rPr>
          <w:rFonts w:ascii="Arial Unicode MS" w:hAnsi="Arial Unicode MS"/>
          <w:b/>
          <w:bCs/>
          <w:color w:val="000000"/>
          <w:sz w:val="32"/>
          <w:szCs w:val="32"/>
          <w:u w:color="000000"/>
          <w:rtl/>
          <w:lang w:val="ar-SA"/>
        </w:rPr>
      </w:pPr>
      <w:bookmarkStart w:id="109" w:name="_Toc227251082"/>
      <w:bookmarkStart w:id="110" w:name="_Toc232260639"/>
      <w:bookmarkStart w:id="111" w:name="_Hlk185710277"/>
      <w:r>
        <w:rPr>
          <w:rFonts w:ascii="Arial Unicode MS" w:hAnsi="Arial Unicode MS"/>
          <w:rtl/>
          <w:lang w:val="ar-SA"/>
        </w:rPr>
        <w:br w:type="page"/>
      </w:r>
    </w:p>
    <w:p w14:paraId="0BC1BB4D" w14:textId="7824D105" w:rsidR="00454428" w:rsidRDefault="00C464EC" w:rsidP="00C72BA8">
      <w:pPr>
        <w:pStyle w:val="a"/>
        <w:rPr>
          <w:b w:val="0"/>
          <w:bCs w:val="0"/>
          <w:rtl/>
          <w:lang w:val="ar-SA"/>
        </w:rPr>
      </w:pPr>
      <w:r>
        <w:rPr>
          <w:rFonts w:ascii="Arial Unicode MS" w:eastAsia="Arial Unicode MS" w:hAnsi="Arial Unicode MS" w:hint="cs"/>
          <w:rtl/>
          <w:lang w:val="ar-SA"/>
        </w:rPr>
        <w:lastRenderedPageBreak/>
        <w:t>الفرع الأول</w:t>
      </w:r>
      <w:bookmarkEnd w:id="109"/>
      <w:bookmarkEnd w:id="110"/>
    </w:p>
    <w:p w14:paraId="223B257B" w14:textId="77777777" w:rsidR="00454428" w:rsidRDefault="00C464EC" w:rsidP="00C72BA8">
      <w:pPr>
        <w:pStyle w:val="a"/>
        <w:rPr>
          <w:b w:val="0"/>
          <w:bCs w:val="0"/>
          <w:rtl/>
          <w:lang w:val="ar-SA"/>
        </w:rPr>
      </w:pPr>
      <w:bookmarkStart w:id="112" w:name="_Toc227251083"/>
      <w:bookmarkStart w:id="113" w:name="_Toc232260640"/>
      <w:r>
        <w:rPr>
          <w:rFonts w:ascii="Arial Unicode MS" w:eastAsia="Arial Unicode MS" w:hAnsi="Arial Unicode MS" w:hint="cs"/>
          <w:rtl/>
          <w:lang w:val="ar-SA"/>
        </w:rPr>
        <w:t>أهمية وأهداف حقوق الملكية الفكرية</w:t>
      </w:r>
      <w:bookmarkEnd w:id="112"/>
      <w:bookmarkEnd w:id="113"/>
    </w:p>
    <w:p w14:paraId="5219B57A"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تعتبر حماية الملكية الفكرية ذات أهمية قصوى؛ لأنَّها تشجع على المنافسة المشروعية، وأيضًا تعمل على منع الصور المختلفة من الغش وتحارب التزوير والتقليد؛ لأنَّها تشجع على الابتكار الفردي، وبوجود حماية الملكية الفكرية تتمكن الدول من الوصول إلى التقنيات المختلفة للتكنولوجيا، والتي من خلالها تستطيع التقدم واللحاق بركب الدول المتقدمة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2"/>
      </w:r>
      <w:r>
        <w:rPr>
          <w:rFonts w:ascii="Times New Roman" w:hAnsi="Times New Roman"/>
          <w:sz w:val="20"/>
          <w:szCs w:val="20"/>
          <w:vertAlign w:val="superscript"/>
          <w:rtl/>
          <w:lang w:val="ar-SA"/>
        </w:rPr>
        <w:t>)</w:t>
      </w:r>
    </w:p>
    <w:p w14:paraId="3F53E256"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إنَّ حماية الملكية الفكرية لها دورٌ مهمٌ في تشجيع الابتكار والإبداع، كما يتم ضمان حقوق الملكية الفكرية للأفراد؛ لأنَّهم يشعرون بالثقة في استثمار وقتهم وجهودهم في البحث والتطوير؛ لإنتاج منتجات وخدمات جديدة ومبتكرة، ويعمل هذا التطوير على النمو الاقتصادي في البلاد، كما توجد تشريعات تحمي الملكية الفكرية في القوانين والاتفاقيات الدولية</w:t>
      </w:r>
      <w:r>
        <w:rPr>
          <w:rFonts w:ascii="Times New Roman" w:hAnsi="Times New Roman"/>
          <w:sz w:val="24"/>
          <w:szCs w:val="24"/>
          <w:rtl/>
          <w:lang w:val="ar-SA"/>
        </w:rPr>
        <w:t xml:space="preserve">. </w:t>
      </w:r>
    </w:p>
    <w:p w14:paraId="101ECEFE" w14:textId="77777777" w:rsidR="00454428" w:rsidRDefault="00C464EC" w:rsidP="00C72BA8">
      <w:pPr>
        <w:pStyle w:val="BodyA"/>
        <w:spacing w:before="120" w:after="120" w:line="360" w:lineRule="auto"/>
        <w:jc w:val="both"/>
        <w:rPr>
          <w:rFonts w:ascii="Times New Roman" w:eastAsia="Times New Roman" w:hAnsi="Times New Roman" w:cs="Times New Roman" w:hint="default"/>
          <w:sz w:val="28"/>
          <w:szCs w:val="28"/>
          <w:rtl/>
          <w:lang w:val="ar-SA"/>
        </w:rPr>
      </w:pPr>
      <w:r>
        <w:rPr>
          <w:rFonts w:cs="Times New Roman"/>
          <w:b/>
          <w:bCs/>
          <w:sz w:val="28"/>
          <w:szCs w:val="28"/>
          <w:rtl/>
          <w:lang w:val="ar-SA"/>
        </w:rPr>
        <w:t>أولًا</w:t>
      </w:r>
      <w:r>
        <w:rPr>
          <w:rFonts w:ascii="Times New Roman" w:hAnsi="Times New Roman"/>
          <w:b/>
          <w:bCs/>
          <w:sz w:val="28"/>
          <w:szCs w:val="28"/>
          <w:rtl/>
          <w:lang w:val="ar-SA"/>
        </w:rPr>
        <w:t xml:space="preserve">: </w:t>
      </w:r>
      <w:r>
        <w:rPr>
          <w:rFonts w:cs="Times New Roman"/>
          <w:b/>
          <w:bCs/>
          <w:sz w:val="28"/>
          <w:szCs w:val="28"/>
          <w:rtl/>
          <w:lang w:val="ar-SA"/>
        </w:rPr>
        <w:t>أهمية</w:t>
      </w:r>
      <w:r>
        <w:rPr>
          <w:rFonts w:ascii="Times New Roman" w:hAnsi="Times New Roman"/>
          <w:sz w:val="28"/>
          <w:szCs w:val="28"/>
          <w:rtl/>
          <w:lang w:val="ar-SA"/>
        </w:rPr>
        <w:t xml:space="preserve"> </w:t>
      </w:r>
      <w:r>
        <w:rPr>
          <w:rFonts w:cs="Times New Roman"/>
          <w:b/>
          <w:bCs/>
          <w:sz w:val="28"/>
          <w:szCs w:val="28"/>
          <w:rtl/>
          <w:lang w:val="ar-SA"/>
        </w:rPr>
        <w:t>حقوق الملكية الفكرية</w:t>
      </w:r>
      <w:bookmarkEnd w:id="111"/>
      <w:r>
        <w:rPr>
          <w:rFonts w:ascii="Times New Roman" w:hAnsi="Times New Roman"/>
          <w:b/>
          <w:bCs/>
          <w:sz w:val="28"/>
          <w:szCs w:val="28"/>
          <w:rtl/>
          <w:lang w:val="ar-SA"/>
        </w:rPr>
        <w:t>:</w:t>
      </w:r>
    </w:p>
    <w:p w14:paraId="08F7A046"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شهدت قوانين الملكية الفكرية في الآونة الأخيرة تزايدًا في الأهمية، وتعمل العديد من الاتفاقيات الدولية على توسيع نطاق تطبيق هذه القوانين، ويرجع ذلك إلى الأهداف الجوهرية التي تسعى الملكية الفكرية لتحقيقها من عدة جوانب</w:t>
      </w:r>
      <w:r>
        <w:rPr>
          <w:rFonts w:ascii="Times New Roman" w:hAnsi="Times New Roman"/>
          <w:sz w:val="24"/>
          <w:szCs w:val="24"/>
          <w:rtl/>
          <w:lang w:val="ar-SA"/>
        </w:rPr>
        <w:t>:</w:t>
      </w:r>
    </w:p>
    <w:p w14:paraId="1ECC412C" w14:textId="77777777" w:rsidR="00454428" w:rsidRDefault="00C464EC">
      <w:pPr>
        <w:pStyle w:val="ListParagraph"/>
        <w:numPr>
          <w:ilvl w:val="0"/>
          <w:numId w:val="39"/>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العلمي والاقتصادي</w:t>
      </w:r>
      <w:r>
        <w:rPr>
          <w:rFonts w:ascii="Times New Roman" w:hAnsi="Times New Roman"/>
          <w:b/>
          <w:bCs/>
          <w:sz w:val="24"/>
          <w:szCs w:val="24"/>
          <w:rtl/>
          <w:lang w:val="ar-SA"/>
        </w:rPr>
        <w:t xml:space="preserve">: </w:t>
      </w:r>
    </w:p>
    <w:p w14:paraId="1CED011D"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vertAlign w:val="superscript"/>
          <w:rtl/>
          <w:lang w:val="ar-SA"/>
        </w:rPr>
      </w:pPr>
      <w:r>
        <w:rPr>
          <w:rFonts w:cs="Times New Roman"/>
          <w:sz w:val="24"/>
          <w:szCs w:val="24"/>
          <w:rtl/>
          <w:lang w:val="ar-SA"/>
        </w:rPr>
        <w:t>تعزّز التشريعات في مجال الملكية الفكرية ولادة الابتكارات لدى الأفراد، وتحفّز استمرارية البحث العلمي، بما يدعم التقدم الحضاري للدول، ويُعَدُّ التطوُّر العلمي مقياسًا رئيسًا للتقدم الاجتماعي، وقد أحدثت ثورة المعلومات نموًّا هائلًا في القطاعات الصناعية، والثقافية، والعلمية، وتقنيات الحوسبة؛ حيث أتاحت هذه الثورة الرقمية آلياتٍ فوريةً للوصول إلى المعارف وتبادل البيانات؛ ممَّا أفاد المسار البحثي، وسرع وتيرة الابتكار، كما ساهم ذلك في تعزيز اقتصاد المعرفة وجذب الاستثمارات التقنية وتنشيط التعاون الدولي، وتوفير بيئة محفزة للاستثمار في المشاريع التكنولوجية والصناعات الإبداعية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3"/>
      </w:r>
      <w:r>
        <w:rPr>
          <w:rFonts w:ascii="Times New Roman" w:hAnsi="Times New Roman"/>
          <w:sz w:val="24"/>
          <w:szCs w:val="24"/>
          <w:vertAlign w:val="superscript"/>
          <w:rtl/>
          <w:lang w:val="ar-SA"/>
        </w:rPr>
        <w:t>)</w:t>
      </w:r>
    </w:p>
    <w:p w14:paraId="4B507DFE" w14:textId="77777777" w:rsidR="00454428" w:rsidRDefault="00C464EC"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لما كانت حقوق الملكية الفكرية تشكل الدراية العلمية بالإنتاج، والتوزيع، والتسويق، فهي إذن تشكل بحثَ عنصرٍ مهمٍّ في عملية التطوُّر الاقتصادي؛ كونها تقود عجلة التطوُّر، والتقدم، والتغيير، والتحديث المستمر في المجتمعات، وبالتالي</w:t>
      </w:r>
      <w:r>
        <w:rPr>
          <w:rFonts w:ascii="Times New Roman" w:hAnsi="Times New Roman"/>
          <w:sz w:val="24"/>
          <w:szCs w:val="24"/>
          <w:rtl/>
          <w:lang w:val="ar-SA"/>
        </w:rPr>
        <w:t xml:space="preserve">: </w:t>
      </w:r>
      <w:r>
        <w:rPr>
          <w:rFonts w:cs="Times New Roman"/>
          <w:sz w:val="24"/>
          <w:szCs w:val="24"/>
          <w:rtl/>
          <w:lang w:val="ar-SA"/>
        </w:rPr>
        <w:t>استطاع الإنسان بفضلها أنْ يختصر المسافات، ويسلك أقصر الطرق إلى غاياته، واتباع أفضل الوسائل إلى تحقيق رفاهيته وراحته</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4"/>
      </w:r>
      <w:r>
        <w:rPr>
          <w:rFonts w:ascii="Times New Roman" w:hAnsi="Times New Roman"/>
          <w:sz w:val="20"/>
          <w:szCs w:val="20"/>
          <w:vertAlign w:val="superscript"/>
          <w:rtl/>
          <w:lang w:val="ar-SA"/>
        </w:rPr>
        <w:t>)</w:t>
      </w:r>
    </w:p>
    <w:p w14:paraId="5ABF089D" w14:textId="44CBF21C" w:rsidR="00454428" w:rsidRDefault="00C464EC" w:rsidP="006F4C04">
      <w:pPr>
        <w:pStyle w:val="BodyA"/>
        <w:widowControl w:val="0"/>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كلما كانت الدولة متقدمة في مجال حماية الملكية الفكرية، فإنَّ ذلك سيشجع الاستثمار في تلك الدولة، وستكون قبلةً للمثقفين، والمخترعين، والمنتجين؛ وذلك لوجود ضمانة حقيقية لهم بحماية ابتكاراتهم وإنتاجهم من السرقة، والتعدي، والتزوير</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5"/>
      </w:r>
      <w:r>
        <w:rPr>
          <w:rFonts w:ascii="Times New Roman" w:hAnsi="Times New Roman"/>
          <w:sz w:val="20"/>
          <w:szCs w:val="20"/>
          <w:vertAlign w:val="superscript"/>
          <w:rtl/>
          <w:lang w:val="ar-SA"/>
        </w:rPr>
        <w:t>)</w:t>
      </w:r>
      <w:r w:rsidR="006F4C04">
        <w:rPr>
          <w:rFonts w:ascii="Times New Roman" w:eastAsia="Times New Roman" w:hAnsi="Times New Roman" w:cs="Times New Roman" w:hint="default"/>
          <w:sz w:val="24"/>
          <w:szCs w:val="24"/>
        </w:rPr>
        <w:t xml:space="preserve"> </w:t>
      </w:r>
      <w:r>
        <w:rPr>
          <w:rFonts w:cs="Times New Roman"/>
          <w:sz w:val="24"/>
          <w:szCs w:val="24"/>
          <w:rtl/>
          <w:lang w:val="ar-SA"/>
        </w:rPr>
        <w:t xml:space="preserve">تتمثل الأهمية الاقتصادية في حماية الملكية الفكرية في تعزيز الابتكار والاستثمار، وفي البحث والتطوير </w:t>
      </w:r>
      <w:r>
        <w:rPr>
          <w:rFonts w:cs="Times New Roman"/>
          <w:sz w:val="24"/>
          <w:szCs w:val="24"/>
          <w:rtl/>
          <w:lang w:val="ar-SA"/>
        </w:rPr>
        <w:lastRenderedPageBreak/>
        <w:t>والإبداع، كما تعمل على تعزيز النمو الاقتصادي في خلق فرص العمل، وتوفير دخل للأفراد، وزيادة الإنتاجية، من خلال الاستثمارات والتطويرات الصناعية</w:t>
      </w:r>
      <w:r>
        <w:rPr>
          <w:rFonts w:ascii="Times New Roman" w:hAnsi="Times New Roman"/>
          <w:sz w:val="24"/>
          <w:szCs w:val="24"/>
          <w:rtl/>
          <w:lang w:val="ar-SA"/>
        </w:rPr>
        <w:t>.</w:t>
      </w:r>
    </w:p>
    <w:p w14:paraId="6DBA596E" w14:textId="77777777" w:rsidR="00454428" w:rsidRDefault="00C464EC">
      <w:pPr>
        <w:pStyle w:val="ListParagraph"/>
        <w:numPr>
          <w:ilvl w:val="0"/>
          <w:numId w:val="39"/>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الدولي</w:t>
      </w:r>
      <w:r>
        <w:rPr>
          <w:rFonts w:ascii="Times New Roman" w:hAnsi="Times New Roman"/>
          <w:b/>
          <w:bCs/>
          <w:sz w:val="24"/>
          <w:szCs w:val="24"/>
          <w:rtl/>
          <w:lang w:val="ar-SA"/>
        </w:rPr>
        <w:t xml:space="preserve">: </w:t>
      </w:r>
    </w:p>
    <w:p w14:paraId="2105CE78"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أدى ظهور الملكية الفكرية في المجال الدولي إلى زيادة الصراع والتنافس بين الدول، هذا الصراع أدى إلى انقسام الدول إلى مجموعات متفاوتة من حيث دول متقدمة ودول نامية، وتسعى الدول المتقدمة للاستحواذ على الاختراعات المبتكرة وتحتفظ بها، بينما تعاني الدول النامية من عدم الحصول على التكنولوجيا والابتكارات الحديثة هذا الانقسام يؤثر على السوق الاقتصادية، والثقافية، والسياسية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6"/>
      </w:r>
      <w:r>
        <w:rPr>
          <w:rFonts w:ascii="Times New Roman" w:hAnsi="Times New Roman"/>
          <w:sz w:val="20"/>
          <w:szCs w:val="20"/>
          <w:vertAlign w:val="superscript"/>
          <w:rtl/>
          <w:lang w:val="ar-SA"/>
        </w:rPr>
        <w:t>)</w:t>
      </w:r>
    </w:p>
    <w:p w14:paraId="76CE8EA8"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فمن أهم المنظمات التي تنظم الأحكام المختلفة للملكية الفكرية على الصعيد الدوي هي اتفاقية الويبو، وهي عبارة عن منظمة دولية حكومية لها دور فعَّال في تشجيع وحماية الملكية الفكرية؛ حيث تعمل على تطوير إطار قانوني دولي متوازن بشأن الملكية الفكرية؛ لتلبية احتياجات المجتمع المتنامية بتوفير خدمات في مجال الأعمال؛ لتمكين الحصول على حقوق الملكية الفكرية في بلدان متعددة، وخدمات لتسوية المنازعات</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7"/>
      </w:r>
      <w:r>
        <w:rPr>
          <w:rFonts w:ascii="Times New Roman" w:hAnsi="Times New Roman"/>
          <w:sz w:val="24"/>
          <w:szCs w:val="24"/>
          <w:vertAlign w:val="superscript"/>
          <w:rtl/>
          <w:lang w:val="ar-SA"/>
        </w:rPr>
        <w:t>)</w:t>
      </w:r>
    </w:p>
    <w:p w14:paraId="6D43C4A8" w14:textId="77777777" w:rsidR="00454428" w:rsidRDefault="00C464EC">
      <w:pPr>
        <w:pStyle w:val="ListParagraph"/>
        <w:numPr>
          <w:ilvl w:val="0"/>
          <w:numId w:val="40"/>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القانوني</w:t>
      </w:r>
      <w:r>
        <w:rPr>
          <w:rFonts w:ascii="Times New Roman" w:hAnsi="Times New Roman"/>
          <w:b/>
          <w:bCs/>
          <w:sz w:val="24"/>
          <w:szCs w:val="24"/>
          <w:rtl/>
          <w:lang w:val="ar-SA"/>
        </w:rPr>
        <w:t xml:space="preserve">: </w:t>
      </w:r>
    </w:p>
    <w:p w14:paraId="5BDC4403"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أدَّى تطوُّر الاستثمارات الرقمية الناتجة عن الابتكار الذهني إلى حاجة ملحة لدى الدول لتنظيم هذا القطاع المتسارع، وفرض ظهور العالم الافتراضي، وانتشار مصطلحات وجرائم مستحدثة تحديات قانونية جديدة، الأمر الذي استدعى استحداث حلول تشريعية لضبط البيئة الرقمية، وسعت الدول إلى تطوير أطر قانونية متخصصة لحماية حقوق الملكية الفكرية في الفضاء الإلكتروني، بما يضمن صيانة المصنفات الرقمية من الاعتداءات، ويحفظ الحقوق المالية والمعنوية للمبدعين ضمن نظام قانوني يتماشى مع التحوُّلات التكنولوجية المتلاحقة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8"/>
      </w:r>
      <w:r>
        <w:rPr>
          <w:rFonts w:ascii="Times New Roman" w:hAnsi="Times New Roman"/>
          <w:sz w:val="24"/>
          <w:szCs w:val="24"/>
          <w:vertAlign w:val="superscript"/>
          <w:rtl/>
          <w:lang w:val="ar-SA"/>
        </w:rPr>
        <w:t>)</w:t>
      </w:r>
    </w:p>
    <w:p w14:paraId="2C29FEFB"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لا شك أنَّ التطوُّرات الإلكترونية وإرهاصات التكنولوجيا العديدة جعلت العالم بأكمله، مثل</w:t>
      </w:r>
      <w:r>
        <w:rPr>
          <w:rFonts w:ascii="Times New Roman" w:hAnsi="Times New Roman"/>
          <w:sz w:val="24"/>
          <w:szCs w:val="24"/>
          <w:rtl/>
          <w:lang w:val="ar-SA"/>
        </w:rPr>
        <w:t xml:space="preserve">: </w:t>
      </w:r>
      <w:r>
        <w:rPr>
          <w:rFonts w:cs="Times New Roman"/>
          <w:sz w:val="24"/>
          <w:szCs w:val="24"/>
          <w:rtl/>
          <w:lang w:val="ar-SA"/>
        </w:rPr>
        <w:t>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Fonts w:ascii="Times New Roman" w:hAnsi="Times New Roman"/>
          <w:sz w:val="24"/>
          <w:szCs w:val="24"/>
          <w:rtl/>
          <w:lang w:val="ar-SA"/>
        </w:rPr>
        <w:t>.</w:t>
      </w:r>
    </w:p>
    <w:p w14:paraId="6227BF7E" w14:textId="77777777" w:rsidR="00454428"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Pr>
          <w:rFonts w:cs="Times New Roman"/>
          <w:sz w:val="24"/>
          <w:szCs w:val="24"/>
          <w:rtl/>
          <w:lang w:val="ar-SA"/>
        </w:rPr>
        <w:t>ويُعَدُّ إقرار حقوق حماية الملكية الفكرية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9"/>
      </w:r>
      <w:r>
        <w:rPr>
          <w:rFonts w:ascii="Times New Roman" w:hAnsi="Times New Roman"/>
          <w:sz w:val="20"/>
          <w:szCs w:val="20"/>
          <w:vertAlign w:val="superscript"/>
          <w:rtl/>
          <w:lang w:val="ar-SA"/>
        </w:rPr>
        <w:t>)</w:t>
      </w:r>
    </w:p>
    <w:p w14:paraId="29EA3C96" w14:textId="77777777" w:rsidR="00454428" w:rsidRPr="006F4C04" w:rsidRDefault="00C464EC" w:rsidP="006F4C04">
      <w:pPr>
        <w:pStyle w:val="BodyA"/>
        <w:spacing w:before="120" w:after="120" w:line="360" w:lineRule="auto"/>
        <w:jc w:val="both"/>
        <w:rPr>
          <w:rFonts w:cs="Arial Unicode MS" w:hint="default"/>
          <w:sz w:val="24"/>
          <w:szCs w:val="24"/>
          <w:rtl/>
          <w:lang w:val="ar-SA"/>
        </w:rPr>
      </w:pPr>
      <w:r w:rsidRPr="006F4C04">
        <w:rPr>
          <w:rFonts w:cs="Times New Roman"/>
          <w:sz w:val="24"/>
          <w:szCs w:val="24"/>
          <w:rtl/>
          <w:lang w:val="ar-SA"/>
        </w:rPr>
        <w:t>وذهب بعض الفقهاء إلى أنَّ أهمية الملكية الفكرية تتمثل أيضًا في الحقوق الناشئة عنها، والتي تشمل:</w:t>
      </w:r>
    </w:p>
    <w:p w14:paraId="1A230AFB" w14:textId="77777777" w:rsidR="00454428" w:rsidRDefault="00C464EC">
      <w:pPr>
        <w:pStyle w:val="ListParagraph"/>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t>الحقوق الاقتصادية</w:t>
      </w:r>
      <w:r>
        <w:rPr>
          <w:rFonts w:ascii="Times New Roman" w:hAnsi="Times New Roman"/>
          <w:sz w:val="24"/>
          <w:szCs w:val="24"/>
          <w:rtl/>
          <w:lang w:val="ar-SA"/>
        </w:rPr>
        <w:t xml:space="preserve">: </w:t>
      </w:r>
      <w:r>
        <w:rPr>
          <w:rFonts w:cs="Times New Roman"/>
          <w:sz w:val="24"/>
          <w:szCs w:val="24"/>
          <w:rtl/>
          <w:lang w:val="ar-SA"/>
        </w:rPr>
        <w:t>التي تمكن صاحبها من الحصول على مكافآت مالية؛ نتيجة استخدام الآخرين لعمله</w:t>
      </w:r>
      <w:r>
        <w:rPr>
          <w:rFonts w:ascii="Times New Roman" w:hAnsi="Times New Roman"/>
          <w:sz w:val="24"/>
          <w:szCs w:val="24"/>
          <w:rtl/>
          <w:lang w:val="ar-SA"/>
        </w:rPr>
        <w:t>.</w:t>
      </w:r>
    </w:p>
    <w:p w14:paraId="4D68F368" w14:textId="77777777" w:rsidR="00454428" w:rsidRDefault="00C464EC">
      <w:pPr>
        <w:pStyle w:val="ListParagraph"/>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lastRenderedPageBreak/>
        <w:t>الحقوق المعنوية</w:t>
      </w:r>
      <w:r>
        <w:rPr>
          <w:rFonts w:ascii="Times New Roman" w:hAnsi="Times New Roman"/>
          <w:sz w:val="24"/>
          <w:szCs w:val="24"/>
          <w:rtl/>
          <w:lang w:val="ar-SA"/>
        </w:rPr>
        <w:t xml:space="preserve">: </w:t>
      </w:r>
      <w:r>
        <w:rPr>
          <w:rFonts w:cs="Times New Roman"/>
          <w:sz w:val="24"/>
          <w:szCs w:val="24"/>
          <w:rtl/>
          <w:lang w:val="ar-SA"/>
        </w:rPr>
        <w:t>تحمي المصالح غير المالية للمؤلف</w:t>
      </w:r>
      <w:r>
        <w:rPr>
          <w:rFonts w:ascii="Times New Roman" w:hAnsi="Times New Roman"/>
          <w:sz w:val="24"/>
          <w:szCs w:val="24"/>
          <w:rtl/>
          <w:lang w:val="ar-SA"/>
        </w:rPr>
        <w:t>.</w:t>
      </w:r>
      <w:bookmarkStart w:id="114" w:name="_Hlk179416525"/>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0"/>
      </w:r>
      <w:r>
        <w:rPr>
          <w:rStyle w:val="None"/>
          <w:rFonts w:ascii="Times New Roman" w:hAnsi="Times New Roman"/>
          <w:sz w:val="24"/>
          <w:szCs w:val="24"/>
          <w:vertAlign w:val="superscript"/>
          <w:rtl/>
          <w:lang w:val="ar-SA"/>
        </w:rPr>
        <w:t>)</w:t>
      </w:r>
    </w:p>
    <w:p w14:paraId="4E4ECDC6" w14:textId="77777777" w:rsidR="00454428" w:rsidRDefault="00C464EC" w:rsidP="00C72BA8">
      <w:pPr>
        <w:pStyle w:val="BodyA"/>
        <w:spacing w:before="120" w:after="120" w:line="360" w:lineRule="auto"/>
        <w:jc w:val="both"/>
        <w:rPr>
          <w:rStyle w:val="None"/>
          <w:rFonts w:ascii="Times New Roman" w:eastAsia="Times New Roman" w:hAnsi="Times New Roman" w:cs="Times New Roman" w:hint="default"/>
          <w:b/>
          <w:bCs/>
          <w:sz w:val="28"/>
          <w:szCs w:val="28"/>
          <w:rtl/>
          <w:lang w:val="ar-SA"/>
        </w:rPr>
      </w:pPr>
      <w:r>
        <w:rPr>
          <w:rStyle w:val="None"/>
          <w:rFonts w:cs="Times New Roman"/>
          <w:b/>
          <w:bCs/>
          <w:sz w:val="28"/>
          <w:szCs w:val="28"/>
          <w:rtl/>
          <w:lang w:val="ar-SA"/>
        </w:rPr>
        <w:t>ثانيًا</w:t>
      </w:r>
      <w:r>
        <w:rPr>
          <w:rStyle w:val="None"/>
          <w:rFonts w:ascii="Times New Roman" w:hAnsi="Times New Roman"/>
          <w:b/>
          <w:bCs/>
          <w:sz w:val="28"/>
          <w:szCs w:val="28"/>
          <w:rtl/>
          <w:lang w:val="ar-SA"/>
        </w:rPr>
        <w:t>:</w:t>
      </w:r>
      <w:bookmarkEnd w:id="114"/>
      <w:r>
        <w:rPr>
          <w:rStyle w:val="None"/>
          <w:rFonts w:ascii="Times New Roman" w:hAnsi="Times New Roman"/>
          <w:b/>
          <w:bCs/>
          <w:sz w:val="28"/>
          <w:szCs w:val="28"/>
          <w:rtl/>
          <w:lang w:val="ar-SA"/>
        </w:rPr>
        <w:t xml:space="preserve"> </w:t>
      </w:r>
      <w:bookmarkStart w:id="115" w:name="_Hlk193408061"/>
      <w:r>
        <w:rPr>
          <w:rStyle w:val="None"/>
          <w:rFonts w:cs="Times New Roman"/>
          <w:b/>
          <w:bCs/>
          <w:sz w:val="28"/>
          <w:szCs w:val="28"/>
          <w:rtl/>
          <w:lang w:val="ar-SA"/>
        </w:rPr>
        <w:t>أهداف حماية الملكية الفكرية</w:t>
      </w:r>
      <w:bookmarkEnd w:id="115"/>
      <w:r>
        <w:rPr>
          <w:rStyle w:val="None"/>
          <w:rFonts w:ascii="Times New Roman" w:hAnsi="Times New Roman"/>
          <w:b/>
          <w:bCs/>
          <w:sz w:val="28"/>
          <w:szCs w:val="28"/>
          <w:rtl/>
          <w:lang w:val="ar-SA"/>
        </w:rPr>
        <w:t>:</w:t>
      </w:r>
    </w:p>
    <w:p w14:paraId="4038FB79"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تساهم الملكية الفكرية في تحقيق مجموعة من الأهداف الاقتصادية، والاجتماعية، والثقافية، وتتجلَّى هذه الأهداف في النقاط الآتية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1"/>
      </w:r>
      <w:r>
        <w:rPr>
          <w:rStyle w:val="None"/>
          <w:rFonts w:ascii="Times New Roman" w:hAnsi="Times New Roman"/>
          <w:sz w:val="24"/>
          <w:szCs w:val="24"/>
          <w:vertAlign w:val="superscript"/>
          <w:rtl/>
          <w:lang w:val="ar-SA"/>
        </w:rPr>
        <w:t>)</w:t>
      </w:r>
    </w:p>
    <w:p w14:paraId="651422ED" w14:textId="77777777" w:rsidR="00454428" w:rsidRDefault="00C464EC">
      <w:pPr>
        <w:pStyle w:val="ListParagraph"/>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تحفيز الابتكار والإبداع</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منح حقوق حصرية للمخترعين والمبدعين، تشجع الملكية الفكرية على تطوير أفكار جديدة، وتحسين المنتجات والخدمات، هذا التحفيز يؤدي إلى تقدم التكنولوجيا وزيادة التنوع الثقافي والفني</w:t>
      </w:r>
      <w:r>
        <w:rPr>
          <w:rStyle w:val="None"/>
          <w:rFonts w:ascii="Times New Roman" w:hAnsi="Times New Roman"/>
          <w:sz w:val="24"/>
          <w:szCs w:val="24"/>
          <w:rtl/>
          <w:lang w:val="ar-SA"/>
        </w:rPr>
        <w:t>.</w:t>
      </w:r>
    </w:p>
    <w:p w14:paraId="508CD35C" w14:textId="77777777" w:rsidR="00454428" w:rsidRDefault="00C464EC">
      <w:pPr>
        <w:pStyle w:val="ListParagraph"/>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حقوق المبدعين</w:t>
      </w:r>
      <w:r>
        <w:rPr>
          <w:rStyle w:val="None"/>
          <w:rFonts w:ascii="Times New Roman" w:hAnsi="Times New Roman"/>
          <w:b/>
          <w:bCs/>
          <w:sz w:val="24"/>
          <w:szCs w:val="24"/>
          <w:rtl/>
          <w:lang w:val="ar-SA"/>
        </w:rPr>
        <w:t>:</w:t>
      </w:r>
      <w:r>
        <w:rPr>
          <w:rStyle w:val="None"/>
          <w:rFonts w:cs="Times New Roman"/>
          <w:sz w:val="24"/>
          <w:szCs w:val="24"/>
          <w:rtl/>
          <w:lang w:val="ar-SA"/>
        </w:rPr>
        <w:t xml:space="preserve"> تضمن الملكية الفكرية أنْ يحصل المبدعون على الاعتراف والمكافأة المناسبة لجهودهم، هذا يشمل حماية حقوق المؤلفين، والفنانين، والمخترعين من الاستغلال غير القانوني لأعمالهم</w:t>
      </w:r>
      <w:r>
        <w:rPr>
          <w:rStyle w:val="None"/>
          <w:rFonts w:ascii="Times New Roman" w:hAnsi="Times New Roman"/>
          <w:sz w:val="24"/>
          <w:szCs w:val="24"/>
          <w:rtl/>
          <w:lang w:val="ar-SA"/>
        </w:rPr>
        <w:t>.</w:t>
      </w:r>
    </w:p>
    <w:p w14:paraId="45955487" w14:textId="77777777" w:rsidR="00454428" w:rsidRDefault="00C464EC">
      <w:pPr>
        <w:pStyle w:val="ListParagraph"/>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الاقتصاد</w:t>
      </w:r>
      <w:r>
        <w:rPr>
          <w:rStyle w:val="None"/>
          <w:rFonts w:ascii="Times New Roman" w:hAnsi="Times New Roman"/>
          <w:b/>
          <w:bCs/>
          <w:sz w:val="24"/>
          <w:szCs w:val="24"/>
          <w:rtl/>
          <w:lang w:val="ar-SA"/>
        </w:rPr>
        <w:t>:</w:t>
      </w:r>
      <w:r>
        <w:rPr>
          <w:rStyle w:val="None"/>
          <w:rFonts w:cs="Times New Roman"/>
          <w:sz w:val="24"/>
          <w:szCs w:val="24"/>
          <w:rtl/>
          <w:lang w:val="ar-SA"/>
        </w:rPr>
        <w:t xml:space="preserve"> تساهم الملكية الفكرية في تعزيز النمو الاقتصادي عبر تشجيع الاستثمار في البحث والتطوير، فالشركات التي تمتلك حقوق ملكية فكرية قوية تكون أكثر قدرةً على جذب الاستثمارات وتحقيق أرباح أعلى</w:t>
      </w:r>
      <w:r>
        <w:rPr>
          <w:rStyle w:val="None"/>
          <w:rFonts w:ascii="Times New Roman" w:hAnsi="Times New Roman"/>
          <w:sz w:val="24"/>
          <w:szCs w:val="24"/>
          <w:rtl/>
          <w:lang w:val="ar-SA"/>
        </w:rPr>
        <w:t>.</w:t>
      </w:r>
    </w:p>
    <w:p w14:paraId="0CD88C4C" w14:textId="77777777" w:rsidR="00454428" w:rsidRDefault="00C464EC">
      <w:pPr>
        <w:pStyle w:val="ListParagraph"/>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نقل التكنولوجيا</w:t>
      </w:r>
      <w:r>
        <w:rPr>
          <w:rStyle w:val="None"/>
          <w:rFonts w:ascii="Times New Roman" w:hAnsi="Times New Roman"/>
          <w:b/>
          <w:bCs/>
          <w:sz w:val="24"/>
          <w:szCs w:val="24"/>
          <w:rtl/>
          <w:lang w:val="ar-SA"/>
        </w:rPr>
        <w:t>:</w:t>
      </w:r>
      <w:r>
        <w:rPr>
          <w:rStyle w:val="None"/>
          <w:rFonts w:cs="Times New Roman"/>
          <w:sz w:val="24"/>
          <w:szCs w:val="24"/>
          <w:rtl/>
          <w:lang w:val="ar-SA"/>
        </w:rPr>
        <w:t xml:space="preserve"> تسهل الملكية الفكرية نقل التكنولوجيا والمعرفة بين الدول والشركات، من خلال تراخيص البراءات واتفاقيات التعاون، يمكن للدول النامية الاستفادة من الابتكارات الحديثة وتحسين قدراتها الإنتاجية</w:t>
      </w:r>
      <w:r>
        <w:rPr>
          <w:rStyle w:val="None"/>
          <w:rFonts w:ascii="Times New Roman" w:hAnsi="Times New Roman"/>
          <w:sz w:val="24"/>
          <w:szCs w:val="24"/>
          <w:rtl/>
          <w:lang w:val="ar-SA"/>
        </w:rPr>
        <w:t>.</w:t>
      </w:r>
    </w:p>
    <w:p w14:paraId="6A8AFD7F" w14:textId="77777777" w:rsidR="00454428" w:rsidRDefault="00C464EC">
      <w:pPr>
        <w:pStyle w:val="ListParagraph"/>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المستهلك</w:t>
      </w:r>
      <w:r>
        <w:rPr>
          <w:rStyle w:val="None"/>
          <w:rFonts w:ascii="Times New Roman" w:hAnsi="Times New Roman"/>
          <w:b/>
          <w:bCs/>
          <w:sz w:val="24"/>
          <w:szCs w:val="24"/>
          <w:rtl/>
          <w:lang w:val="ar-SA"/>
        </w:rPr>
        <w:t>:</w:t>
      </w:r>
      <w:r>
        <w:rPr>
          <w:rStyle w:val="None"/>
          <w:rFonts w:cs="Times New Roman"/>
          <w:sz w:val="24"/>
          <w:szCs w:val="24"/>
          <w:rtl/>
          <w:lang w:val="ar-SA"/>
        </w:rPr>
        <w:t xml:space="preserve"> تضمن حقوق الملكية الفكرية أنَّ المنتجات والخدمات التي يتم تقديمها في السوق هي أصلية وذات جودة عالية، هذا يساعد في حماية المستهلكين من المنتجات المقلدة أو ذات الجودة المنخفضة</w:t>
      </w:r>
      <w:r>
        <w:rPr>
          <w:rStyle w:val="None"/>
          <w:rFonts w:ascii="Times New Roman" w:hAnsi="Times New Roman"/>
          <w:sz w:val="24"/>
          <w:szCs w:val="24"/>
          <w:rtl/>
          <w:lang w:val="ar-SA"/>
        </w:rPr>
        <w:t>.</w:t>
      </w:r>
    </w:p>
    <w:p w14:paraId="712BF2AF" w14:textId="77777777" w:rsidR="00454428" w:rsidRDefault="00C464EC">
      <w:pPr>
        <w:pStyle w:val="ListParagraph"/>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الوصول إلى توازن بين المصلحة العامة والمصلحة الخاصة</w:t>
      </w:r>
      <w:r>
        <w:rPr>
          <w:rStyle w:val="None"/>
          <w:rFonts w:ascii="Times New Roman" w:hAnsi="Times New Roman"/>
          <w:b/>
          <w:bCs/>
          <w:sz w:val="24"/>
          <w:szCs w:val="24"/>
          <w:rtl/>
          <w:lang w:val="ar-SA"/>
        </w:rPr>
        <w:t>:</w:t>
      </w:r>
      <w:r>
        <w:rPr>
          <w:rStyle w:val="None"/>
          <w:rFonts w:cs="Times New Roman"/>
          <w:sz w:val="24"/>
          <w:szCs w:val="24"/>
          <w:rtl/>
          <w:lang w:val="ar-SA"/>
        </w:rPr>
        <w:t xml:space="preserve"> من الأهداف الأساسية للملكية الفكرية هو إيجاد توازن بين مصلحة المبدع في استثمار إبداعه ومصلحة المجتمع في الاستفادة من هذه الإبداعات من خلال منح حقوق حصرية لفترة معينة، تُتاح للمبدعين فرصة تحقيق الأرباح من أعمالهم، وفي الوقت نفسه يصبح بإمكان الجمهور الوصول إلى هذه الأعمال والاستفادة منها بشكل أوسع بعد انتهاء فترة الحماية</w:t>
      </w:r>
      <w:r>
        <w:rPr>
          <w:rStyle w:val="None"/>
          <w:rFonts w:ascii="Times New Roman" w:hAnsi="Times New Roman"/>
          <w:sz w:val="24"/>
          <w:szCs w:val="24"/>
          <w:rtl/>
          <w:lang w:val="ar-SA"/>
        </w:rPr>
        <w:t>.</w:t>
      </w:r>
    </w:p>
    <w:p w14:paraId="3E0A25F3" w14:textId="77777777" w:rsidR="00454428" w:rsidRDefault="00C464EC">
      <w:pPr>
        <w:pStyle w:val="ListParagraph"/>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التنافسية</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حماية الابتكارات، تساعد الملكية الفكرية الشركات على التميز في السوق وزيادة قدرتها التنافسية، يساهم ذلك في رفع جودة المنتجات والخدمات المتوفرة للمستهلكين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
      </w:r>
      <w:r>
        <w:rPr>
          <w:rStyle w:val="None"/>
          <w:rFonts w:ascii="Times New Roman" w:hAnsi="Times New Roman"/>
          <w:sz w:val="24"/>
          <w:szCs w:val="24"/>
          <w:vertAlign w:val="superscript"/>
          <w:rtl/>
          <w:lang w:val="ar-SA"/>
        </w:rPr>
        <w:t>)</w:t>
      </w:r>
    </w:p>
    <w:p w14:paraId="265EB737"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حيث تنص المادة الثالثة من اتفاقية إنشاء المنظمة العالمية للملكية الفكرية على</w:t>
      </w:r>
      <w:r>
        <w:rPr>
          <w:rStyle w:val="None"/>
          <w:rFonts w:ascii="Times New Roman" w:hAnsi="Times New Roman"/>
          <w:sz w:val="24"/>
          <w:szCs w:val="24"/>
          <w:rtl/>
          <w:lang w:val="ar-SA"/>
        </w:rPr>
        <w:t>:</w:t>
      </w:r>
    </w:p>
    <w:p w14:paraId="1AA78DF4" w14:textId="77777777" w:rsidR="00454428" w:rsidRDefault="00C464EC">
      <w:pPr>
        <w:pStyle w:val="BodyA"/>
        <w:numPr>
          <w:ilvl w:val="3"/>
          <w:numId w:val="44"/>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دعم حماية الملكية الفكرية في جميع العالم عن طريق التعاون بين الدول، وبالتعاون مع أي منظمة دولية أخرى حيثما كان ملائمًا</w:t>
      </w:r>
      <w:r>
        <w:rPr>
          <w:rStyle w:val="None"/>
          <w:rFonts w:ascii="Times New Roman" w:hAnsi="Times New Roman"/>
          <w:sz w:val="24"/>
          <w:szCs w:val="24"/>
          <w:rtl/>
          <w:lang w:val="ar-SA"/>
        </w:rPr>
        <w:t>.</w:t>
      </w:r>
    </w:p>
    <w:p w14:paraId="28FD7C5E" w14:textId="77777777" w:rsidR="00454428" w:rsidRDefault="00C464EC">
      <w:pPr>
        <w:pStyle w:val="BodyA"/>
        <w:numPr>
          <w:ilvl w:val="3"/>
          <w:numId w:val="44"/>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التعاون الإداري بين الاتحادات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
      </w:r>
      <w:r>
        <w:rPr>
          <w:rStyle w:val="None"/>
          <w:rFonts w:ascii="Times New Roman" w:hAnsi="Times New Roman"/>
          <w:sz w:val="24"/>
          <w:szCs w:val="24"/>
          <w:vertAlign w:val="superscript"/>
          <w:rtl/>
          <w:lang w:val="ar-SA"/>
        </w:rPr>
        <w:t>)</w:t>
      </w:r>
    </w:p>
    <w:p w14:paraId="1F98FADE"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بعدما استعرضنا أهداف حقوق الملكية الفكرية، نتجه الآن لاستقصاء أنواع حقوق الملكية الفكرية في الفرع التالي؛ حيث يكشف تنوُّعها عن أبعاد جديدة تجمع بين حماية الإبداع وتعزيز التطوُّر في هذا المجال</w:t>
      </w:r>
      <w:r>
        <w:rPr>
          <w:rStyle w:val="None"/>
          <w:rFonts w:ascii="Times New Roman" w:hAnsi="Times New Roman"/>
          <w:sz w:val="24"/>
          <w:szCs w:val="24"/>
          <w:rtl/>
          <w:lang w:val="ar-SA"/>
        </w:rPr>
        <w:t>.</w:t>
      </w:r>
    </w:p>
    <w:p w14:paraId="4ADCCC8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139EFB2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55161C8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4C5034B7"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3C031E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5EBAF1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44D4CA5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32623F9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7E2D9C1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36C9958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6E79B228"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4DB49421"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23A3898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56813F83" w14:textId="77777777" w:rsidR="00454428" w:rsidRPr="00CC3E5F" w:rsidRDefault="00454428" w:rsidP="00CC3E5F">
      <w:pPr>
        <w:pStyle w:val="BodyA"/>
        <w:spacing w:before="120" w:after="120" w:line="360" w:lineRule="auto"/>
        <w:jc w:val="both"/>
        <w:rPr>
          <w:rStyle w:val="None"/>
          <w:rFonts w:ascii="Times New Roman" w:eastAsia="Times New Roman" w:hAnsi="Times New Roman" w:cs="Times New Roman" w:hint="default"/>
          <w:sz w:val="24"/>
          <w:szCs w:val="24"/>
        </w:rPr>
      </w:pPr>
    </w:p>
    <w:p w14:paraId="376E59B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p>
    <w:p w14:paraId="66B27E4A" w14:textId="77777777" w:rsidR="006F4C04" w:rsidRDefault="006F4C0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1F745BC8" w14:textId="3A72F1C9" w:rsidR="00454428" w:rsidRDefault="00C464EC" w:rsidP="00C72BA8">
      <w:pPr>
        <w:pStyle w:val="a"/>
        <w:rPr>
          <w:rStyle w:val="None"/>
          <w:b w:val="0"/>
          <w:bCs w:val="0"/>
          <w:rtl/>
          <w:lang w:val="ar-SA"/>
        </w:rPr>
      </w:pPr>
      <w:bookmarkStart w:id="116" w:name="_Toc227251084"/>
      <w:bookmarkStart w:id="117" w:name="_Toc232260641"/>
      <w:r>
        <w:rPr>
          <w:rStyle w:val="None"/>
          <w:rFonts w:ascii="Arial Unicode MS" w:eastAsia="Arial Unicode MS" w:hAnsi="Arial Unicode MS" w:hint="cs"/>
          <w:rtl/>
          <w:lang w:val="ar-SA"/>
        </w:rPr>
        <w:lastRenderedPageBreak/>
        <w:t>الفرع الثاني</w:t>
      </w:r>
      <w:bookmarkEnd w:id="116"/>
      <w:bookmarkEnd w:id="117"/>
    </w:p>
    <w:p w14:paraId="4DF1D821" w14:textId="77777777" w:rsidR="00454428" w:rsidRDefault="00C464EC" w:rsidP="00C72BA8">
      <w:pPr>
        <w:pStyle w:val="a"/>
        <w:rPr>
          <w:rStyle w:val="NoneA"/>
          <w:rtl/>
          <w:lang w:val="ar-SA"/>
        </w:rPr>
      </w:pPr>
      <w:bookmarkStart w:id="118" w:name="_Toc227251085"/>
      <w:bookmarkStart w:id="119" w:name="_Toc232260642"/>
      <w:r>
        <w:rPr>
          <w:rStyle w:val="None"/>
          <w:rFonts w:ascii="Arial Unicode MS" w:eastAsia="Arial Unicode MS" w:hAnsi="Arial Unicode MS" w:hint="cs"/>
          <w:rtl/>
          <w:lang w:val="ar-SA"/>
        </w:rPr>
        <w:t>أنواع حقوق الملكية الفكرية</w:t>
      </w:r>
      <w:bookmarkEnd w:id="118"/>
      <w:bookmarkEnd w:id="119"/>
    </w:p>
    <w:p w14:paraId="51FD46F9"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حقوق الملكية الفكرية وإنْ كانت تستقى من مصدر واحد هو الشخصية الإنسانية إلا أنَّها ليست واحدة إنما متعددة ومتنوعة، بقدر تنوُّع الفكر الإنساني وإبداعه فطرة من الله، فهناك حقوق المؤلف أو الملكية الأدبية، وهناك الحقوق المترتبة على الرسوم والنماذج الصناعية وبراءات الاختراع أو الملكية الصناعية، وأيضًا هناك الحقوق التي ترد على ملكية العلامات الفارقة والرسوم التجارية، والاسم، والعنوان التجاري، أو ما يسمى بالملكية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
      </w:r>
      <w:r>
        <w:rPr>
          <w:rStyle w:val="None"/>
          <w:rFonts w:ascii="Times New Roman" w:hAnsi="Times New Roman"/>
          <w:sz w:val="24"/>
          <w:szCs w:val="24"/>
          <w:vertAlign w:val="superscript"/>
          <w:rtl/>
          <w:lang w:val="ar-SA"/>
        </w:rPr>
        <w:t>)</w:t>
      </w:r>
    </w:p>
    <w:p w14:paraId="7C98A841"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وتنقسم الملكية الفكرية إلى عنصرين رئيسيين، العنصر الأول حق المؤلف، والعنصر الثاني الملكية الصناعية، وفيما يلي سنتحدث بالتفصيل عن كل عنصر هذه العناصر</w:t>
      </w:r>
      <w:r>
        <w:rPr>
          <w:rStyle w:val="None"/>
          <w:rFonts w:ascii="Times New Roman" w:hAnsi="Times New Roman"/>
          <w:sz w:val="24"/>
          <w:szCs w:val="24"/>
          <w:rtl/>
          <w:lang w:val="ar-SA"/>
        </w:rPr>
        <w:t>:</w:t>
      </w:r>
    </w:p>
    <w:p w14:paraId="077BB1BD" w14:textId="77777777" w:rsidR="00454428" w:rsidRDefault="00C464EC" w:rsidP="00C72BA8">
      <w:pPr>
        <w:pStyle w:val="BodyA"/>
        <w:spacing w:before="120" w:after="120" w:line="360" w:lineRule="auto"/>
        <w:jc w:val="both"/>
        <w:rPr>
          <w:rStyle w:val="None"/>
          <w:rFonts w:ascii="Times New Roman" w:eastAsia="Times New Roman" w:hAnsi="Times New Roman" w:cs="Times New Roman" w:hint="default"/>
          <w:sz w:val="28"/>
          <w:szCs w:val="28"/>
          <w:rtl/>
          <w:lang w:val="ar-SA"/>
        </w:rPr>
      </w:pPr>
      <w:r>
        <w:rPr>
          <w:rStyle w:val="None"/>
          <w:rFonts w:cs="Times New Roman"/>
          <w:b/>
          <w:bCs/>
          <w:sz w:val="28"/>
          <w:szCs w:val="28"/>
          <w:rtl/>
          <w:lang w:val="ar-SA"/>
        </w:rPr>
        <w:t>أولًا</w:t>
      </w:r>
      <w:r>
        <w:rPr>
          <w:rStyle w:val="None"/>
          <w:rFonts w:ascii="Times New Roman" w:hAnsi="Times New Roman"/>
          <w:b/>
          <w:bCs/>
          <w:sz w:val="28"/>
          <w:szCs w:val="28"/>
          <w:rtl/>
          <w:lang w:val="ar-SA"/>
        </w:rPr>
        <w:t xml:space="preserve">: </w:t>
      </w:r>
      <w:r>
        <w:rPr>
          <w:rStyle w:val="None"/>
          <w:rFonts w:cs="Times New Roman"/>
          <w:b/>
          <w:bCs/>
          <w:sz w:val="28"/>
          <w:szCs w:val="28"/>
          <w:rtl/>
          <w:lang w:val="ar-SA"/>
        </w:rPr>
        <w:t>حقوق المؤلف</w:t>
      </w:r>
      <w:r>
        <w:rPr>
          <w:rStyle w:val="None"/>
          <w:rFonts w:ascii="Times New Roman" w:hAnsi="Times New Roman"/>
          <w:b/>
          <w:bCs/>
          <w:sz w:val="28"/>
          <w:szCs w:val="28"/>
          <w:rtl/>
          <w:lang w:val="ar-SA"/>
        </w:rPr>
        <w:t>:</w:t>
      </w:r>
    </w:p>
    <w:p w14:paraId="2F5E5755"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إنَّ من حقوق المؤلف له سلطة تقديرية في نشر مصنفة من عدمه، وذلك على أساس أنَّ المصنف يعبر عن جانب من جوانب شخصيته ألا وهو الجانب الذهني أو الجانب الفكري، فكان طبيعيًا أنْ يترك له أمر تقدير نشر هذا المصنف أو عدم نشره حسبما يتراءى؛ لأنَّه قد يقدر المؤلف أنَّ في نشر مصنفه مساسًا بسمعته الأدبية، أو الفنية، أو العلمية فيكون له سلطة الامتناع عن النشر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55"/>
      </w:r>
      <w:r>
        <w:rPr>
          <w:rStyle w:val="None"/>
          <w:rFonts w:ascii="Times New Roman" w:hAnsi="Times New Roman"/>
          <w:sz w:val="20"/>
          <w:szCs w:val="20"/>
          <w:vertAlign w:val="superscript"/>
          <w:rtl/>
          <w:lang w:val="ar-SA"/>
        </w:rPr>
        <w:t>)</w:t>
      </w:r>
      <w:r>
        <w:rPr>
          <w:rStyle w:val="None"/>
          <w:rFonts w:cs="Times New Roman"/>
          <w:sz w:val="24"/>
          <w:szCs w:val="24"/>
          <w:rtl/>
          <w:lang w:val="ar-SA"/>
        </w:rPr>
        <w:t>، وتتمثل حقوق المؤلف في الحق الأدبي، والحق المالي</w:t>
      </w:r>
      <w:r>
        <w:rPr>
          <w:rStyle w:val="None"/>
          <w:rFonts w:ascii="Times New Roman" w:hAnsi="Times New Roman"/>
          <w:sz w:val="24"/>
          <w:szCs w:val="24"/>
          <w:rtl/>
          <w:lang w:val="ar-SA"/>
        </w:rPr>
        <w:t>:</w:t>
      </w:r>
    </w:p>
    <w:p w14:paraId="51493025" w14:textId="77777777" w:rsidR="00454428" w:rsidRPr="00F44D82" w:rsidRDefault="00C464EC">
      <w:pPr>
        <w:pStyle w:val="ListParagraph"/>
        <w:numPr>
          <w:ilvl w:val="0"/>
          <w:numId w:val="46"/>
        </w:numPr>
        <w:spacing w:before="120" w:after="120" w:line="360" w:lineRule="auto"/>
        <w:jc w:val="both"/>
        <w:rPr>
          <w:rFonts w:cs="Times New Roman" w:hint="default"/>
          <w:sz w:val="24"/>
          <w:szCs w:val="24"/>
          <w:highlight w:val="yellow"/>
          <w:rtl/>
          <w:lang w:val="ar-SA"/>
        </w:rPr>
      </w:pPr>
      <w:r w:rsidRPr="00F44D82">
        <w:rPr>
          <w:rStyle w:val="None"/>
          <w:rFonts w:cs="Times New Roman"/>
          <w:b/>
          <w:bCs/>
          <w:sz w:val="24"/>
          <w:szCs w:val="24"/>
          <w:highlight w:val="yellow"/>
          <w:rtl/>
          <w:lang w:val="ar-SA"/>
        </w:rPr>
        <w:t>الحق المالي والحق الأدبي للمؤلف</w:t>
      </w:r>
      <w:r w:rsidRPr="00F44D82">
        <w:rPr>
          <w:rStyle w:val="None"/>
          <w:rFonts w:ascii="Times New Roman" w:hAnsi="Times New Roman"/>
          <w:sz w:val="24"/>
          <w:szCs w:val="24"/>
          <w:highlight w:val="yellow"/>
          <w:rtl/>
          <w:lang w:val="ar-SA"/>
        </w:rPr>
        <w:t>:</w:t>
      </w:r>
    </w:p>
    <w:p w14:paraId="7FC8D43A"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يتعلق حق المؤلف بجوانب أدبية بحتة؛ حيث يمنح المؤلف الحق الحصري في تحديد نشر مصنفه للجمهور ونسبته إليه، بالإضافة إلى حماية عمله من التداول غير المصرح به، يُلزم الآخرون باحترام مصنفه فلا يسمح لهم بإجراء أي تعديلات عليه سواء كانت إضافاتٍ، أو حذفًا، أو تغييرًا، حتى في حالة تنازله عن حقوقه في المصنف يعرف هذا الحق بالحق الأدبي، كما يتضمن حق المؤلف أيضًا جانبًا ماديًا؛ حيث إذا قرر المؤلف نشر عمله فإنَّ هذا الحق يصبح جزءًا من ذمته المالية، ويعرف بالحق المادي؛ لذا يرى البعض أنَّ للمؤلف حقين مستقلين ومنفصلين عن بعضهما وهو ما يعرف بنظرية الازدواج</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
      </w:r>
      <w:r>
        <w:rPr>
          <w:rStyle w:val="None"/>
          <w:rFonts w:ascii="Times New Roman" w:hAnsi="Times New Roman"/>
          <w:sz w:val="24"/>
          <w:szCs w:val="24"/>
          <w:vertAlign w:val="superscript"/>
          <w:rtl/>
          <w:lang w:val="ar-SA"/>
        </w:rPr>
        <w:t>)</w:t>
      </w:r>
    </w:p>
    <w:p w14:paraId="5682BEA3"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commentRangeStart w:id="120"/>
      <w:r w:rsidRPr="002F50E4">
        <w:rPr>
          <w:rStyle w:val="None"/>
          <w:rFonts w:cs="Times New Roman"/>
          <w:b/>
          <w:bCs/>
          <w:sz w:val="24"/>
          <w:szCs w:val="24"/>
          <w:highlight w:val="yellow"/>
          <w:rtl/>
          <w:lang w:val="ar-SA"/>
        </w:rPr>
        <w:t>فالحق</w:t>
      </w:r>
      <w:commentRangeEnd w:id="120"/>
      <w:r w:rsidR="002F50E4">
        <w:rPr>
          <w:rStyle w:val="CommentReference"/>
          <w:rFonts w:ascii="Times New Roman" w:hAnsi="Times New Roman" w:cs="Times New Roman" w:hint="default"/>
          <w:color w:val="auto"/>
          <w:rtl/>
          <w14:textOutline w14:w="0" w14:cap="rnd" w14:cmpd="sng" w14:algn="ctr">
            <w14:noFill/>
            <w14:prstDash w14:val="solid"/>
            <w14:bevel/>
          </w14:textOutline>
        </w:rPr>
        <w:commentReference w:id="120"/>
      </w:r>
      <w:r w:rsidRPr="002F50E4">
        <w:rPr>
          <w:rStyle w:val="None"/>
          <w:rFonts w:cs="Times New Roman"/>
          <w:b/>
          <w:bCs/>
          <w:sz w:val="24"/>
          <w:szCs w:val="24"/>
          <w:highlight w:val="yellow"/>
          <w:rtl/>
          <w:lang w:val="ar-SA"/>
        </w:rPr>
        <w:t xml:space="preserve"> الأدبي</w:t>
      </w:r>
      <w:r w:rsidRPr="002F50E4">
        <w:rPr>
          <w:rStyle w:val="None"/>
          <w:rFonts w:ascii="Times New Roman" w:hAnsi="Times New Roman"/>
          <w:b/>
          <w:bCs/>
          <w:sz w:val="24"/>
          <w:szCs w:val="24"/>
          <w:highlight w:val="yellow"/>
          <w:rtl/>
          <w:lang w:val="ar-SA"/>
        </w:rPr>
        <w:t>:</w:t>
      </w:r>
      <w:r w:rsidRPr="002F50E4">
        <w:rPr>
          <w:rStyle w:val="None"/>
          <w:rFonts w:cs="Times New Roman"/>
          <w:sz w:val="24"/>
          <w:szCs w:val="24"/>
          <w:highlight w:val="yellow"/>
          <w:rtl/>
          <w:lang w:val="ar-SA"/>
        </w:rPr>
        <w:t xml:space="preserve"> هو حق غير مالي يتصل بشخصية المؤلف، ويتكوّن من عناصر أساسية، هي</w:t>
      </w:r>
      <w:r w:rsidRPr="002F50E4">
        <w:rPr>
          <w:rStyle w:val="None"/>
          <w:rFonts w:ascii="Times New Roman" w:hAnsi="Times New Roman"/>
          <w:sz w:val="24"/>
          <w:szCs w:val="24"/>
          <w:highlight w:val="yellow"/>
          <w:rtl/>
          <w:lang w:val="ar-SA"/>
        </w:rPr>
        <w:t xml:space="preserve">: </w:t>
      </w:r>
      <w:r w:rsidRPr="002F50E4">
        <w:rPr>
          <w:rStyle w:val="None"/>
          <w:rFonts w:cs="Times New Roman"/>
          <w:sz w:val="24"/>
          <w:szCs w:val="24"/>
          <w:highlight w:val="yellow"/>
          <w:rtl/>
          <w:lang w:val="ar-SA"/>
        </w:rPr>
        <w:t>الحق في إشهار المصنف، والحق في نسبة العمل إلى المؤلف، والحق في احترام المؤلف، والحق في سحب المصنف، وأهم ما تتميز به هذه الحقوق، هو عدم قابليته للصرف وعدم قابلية للحجز، وكذلك أنَّ هذا الحق ينتقل إلى الورثة بعد وفاة المؤلف</w:t>
      </w:r>
      <w:r w:rsidRPr="002F50E4">
        <w:rPr>
          <w:rStyle w:val="None"/>
          <w:rFonts w:ascii="Times New Roman" w:hAnsi="Times New Roman"/>
          <w:sz w:val="20"/>
          <w:szCs w:val="20"/>
          <w:highlight w:val="yellow"/>
          <w:rtl/>
          <w:lang w:val="ar-SA"/>
        </w:rPr>
        <w:t>.</w:t>
      </w:r>
      <w:r w:rsidRPr="002F50E4">
        <w:rPr>
          <w:rStyle w:val="None"/>
          <w:rFonts w:ascii="Times New Roman" w:hAnsi="Times New Roman"/>
          <w:sz w:val="20"/>
          <w:szCs w:val="20"/>
          <w:highlight w:val="yellow"/>
          <w:vertAlign w:val="superscript"/>
          <w:rtl/>
          <w:lang w:val="ar-SA"/>
        </w:rPr>
        <w:t xml:space="preserve"> (</w:t>
      </w:r>
      <w:r w:rsidRPr="002F50E4">
        <w:rPr>
          <w:rStyle w:val="None"/>
          <w:rFonts w:ascii="Times New Roman" w:eastAsia="Times New Roman" w:hAnsi="Times New Roman" w:cs="Times New Roman"/>
          <w:sz w:val="20"/>
          <w:szCs w:val="20"/>
          <w:highlight w:val="yellow"/>
          <w:vertAlign w:val="superscript"/>
          <w:lang w:val="ar-SA"/>
        </w:rPr>
        <w:footnoteReference w:id="57"/>
      </w:r>
      <w:r w:rsidRPr="002F50E4">
        <w:rPr>
          <w:rStyle w:val="None"/>
          <w:rFonts w:ascii="Times New Roman" w:hAnsi="Times New Roman"/>
          <w:sz w:val="20"/>
          <w:szCs w:val="20"/>
          <w:highlight w:val="yellow"/>
          <w:vertAlign w:val="superscript"/>
          <w:rtl/>
          <w:lang w:val="ar-SA"/>
        </w:rPr>
        <w:t>)</w:t>
      </w:r>
    </w:p>
    <w:p w14:paraId="70D85FEF"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0"/>
          <w:szCs w:val="20"/>
          <w:vertAlign w:val="superscript"/>
          <w:rtl/>
          <w:lang w:val="ar-SA"/>
        </w:rPr>
      </w:pPr>
      <w:r>
        <w:rPr>
          <w:rStyle w:val="None"/>
          <w:rFonts w:cs="Times New Roman"/>
          <w:b/>
          <w:bCs/>
          <w:sz w:val="24"/>
          <w:szCs w:val="24"/>
          <w:rtl/>
          <w:lang w:val="ar-SA"/>
        </w:rPr>
        <w:t>والحق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هو حق من حقوق الذمة المالية، فإسناد الحق المالي للمؤلف يعني إعطائه الحق في الاستفادة ماديًا في مصنفه، وذلك بنشره بأية وسيلة من وسائل النشر، كما يجوز للمؤلف أنْ يتصرف في هذا المصنف عن طريق </w:t>
      </w:r>
      <w:r>
        <w:rPr>
          <w:rStyle w:val="None"/>
          <w:rFonts w:cs="Times New Roman"/>
          <w:sz w:val="24"/>
          <w:szCs w:val="24"/>
          <w:rtl/>
          <w:lang w:val="ar-SA"/>
        </w:rPr>
        <w:lastRenderedPageBreak/>
        <w:t>الحق بالبيع، أو الهبة، أو الإيجار، ولكن يشترط في ذلك الرسمية، وإلا وقع التصرف باطلًا،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على المؤلف أنْ يضمن عدم عرقلة الانتفاع بالمصنف على الطائفة والطريقة المتفق عليها</w:t>
      </w:r>
      <w:r>
        <w:rPr>
          <w:rStyle w:val="None"/>
          <w:rFonts w:ascii="Times New Roman" w:hAnsi="Times New Roman"/>
          <w:sz w:val="20"/>
          <w:szCs w:val="20"/>
          <w:rtl/>
          <w:lang w:val="ar-SA"/>
        </w:rPr>
        <w:t>.</w:t>
      </w:r>
      <w:r>
        <w:rPr>
          <w:rStyle w:val="None"/>
          <w:rFonts w:ascii="Times New Roman" w:hAnsi="Times New Roman"/>
          <w:sz w:val="20"/>
          <w:szCs w:val="20"/>
          <w:vertAlign w:val="superscript"/>
          <w:rtl/>
          <w:lang w:val="ar-SA"/>
        </w:rPr>
        <w:t xml:space="preserve"> (</w:t>
      </w:r>
      <w:r>
        <w:rPr>
          <w:rStyle w:val="None"/>
          <w:rFonts w:ascii="Times New Roman" w:eastAsia="Times New Roman" w:hAnsi="Times New Roman" w:cs="Times New Roman"/>
          <w:sz w:val="20"/>
          <w:szCs w:val="20"/>
          <w:vertAlign w:val="superscript"/>
          <w:lang w:val="ar-SA"/>
        </w:rPr>
        <w:footnoteReference w:id="58"/>
      </w:r>
      <w:r>
        <w:rPr>
          <w:rStyle w:val="None"/>
          <w:rFonts w:ascii="Times New Roman" w:hAnsi="Times New Roman"/>
          <w:sz w:val="20"/>
          <w:szCs w:val="20"/>
          <w:vertAlign w:val="superscript"/>
          <w:rtl/>
          <w:lang w:val="ar-SA"/>
        </w:rPr>
        <w:t>)</w:t>
      </w:r>
    </w:p>
    <w:p w14:paraId="37E5432B" w14:textId="77777777" w:rsidR="00454428" w:rsidRDefault="00C464EC">
      <w:pPr>
        <w:pStyle w:val="ListParagraph"/>
        <w:numPr>
          <w:ilvl w:val="0"/>
          <w:numId w:val="4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المالية للمؤلف</w:t>
      </w:r>
      <w:r>
        <w:rPr>
          <w:rStyle w:val="None"/>
          <w:rFonts w:ascii="Times New Roman" w:hAnsi="Times New Roman"/>
          <w:sz w:val="24"/>
          <w:szCs w:val="24"/>
          <w:rtl/>
          <w:lang w:val="ar-SA"/>
        </w:rPr>
        <w:t>:</w:t>
      </w:r>
    </w:p>
    <w:p w14:paraId="714E9F4F" w14:textId="77777777" w:rsidR="00454428" w:rsidRDefault="00C464EC">
      <w:pPr>
        <w:pStyle w:val="ListParagraph"/>
        <w:numPr>
          <w:ilvl w:val="0"/>
          <w:numId w:val="49"/>
        </w:numPr>
        <w:spacing w:before="120" w:after="120" w:line="360" w:lineRule="auto"/>
        <w:jc w:val="both"/>
        <w:rPr>
          <w:rFonts w:cs="Times New Roman" w:hint="default"/>
          <w:b/>
          <w:bCs/>
          <w:sz w:val="24"/>
          <w:szCs w:val="24"/>
          <w:rtl/>
          <w:lang w:val="ar-SA"/>
        </w:rPr>
      </w:pPr>
      <w:commentRangeStart w:id="121"/>
      <w:r w:rsidRPr="00F44D82">
        <w:rPr>
          <w:rStyle w:val="None"/>
          <w:rFonts w:cs="Times New Roman"/>
          <w:b/>
          <w:bCs/>
          <w:sz w:val="24"/>
          <w:szCs w:val="24"/>
          <w:highlight w:val="yellow"/>
          <w:rtl/>
          <w:lang w:val="ar-SA"/>
        </w:rPr>
        <w:t>حقوق</w:t>
      </w:r>
      <w:commentRangeEnd w:id="121"/>
      <w:r w:rsidR="00F44D82">
        <w:rPr>
          <w:rStyle w:val="CommentReference"/>
          <w:rFonts w:ascii="Times New Roman" w:hAnsi="Times New Roman" w:cs="Times New Roman" w:hint="default"/>
          <w:color w:val="auto"/>
          <w:rtl/>
        </w:rPr>
        <w:commentReference w:id="121"/>
      </w:r>
      <w:r w:rsidRPr="00F44D82">
        <w:rPr>
          <w:rStyle w:val="None"/>
          <w:rFonts w:cs="Times New Roman"/>
          <w:b/>
          <w:bCs/>
          <w:sz w:val="24"/>
          <w:szCs w:val="24"/>
          <w:highlight w:val="yellow"/>
          <w:rtl/>
          <w:lang w:val="ar-SA"/>
        </w:rPr>
        <w:t xml:space="preserve"> النسخ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بالإشارة إلى الأحكام الواردة في معاهدة الويبو بشأن حق المؤلف، ولا سيما الفقرة الرابعة من المادة الأولى، التي تنص على أنَّه يجب على الأطراف المتعاقدة أنْ تراعي </w:t>
      </w:r>
      <w:r>
        <w:rPr>
          <w:rStyle w:val="None"/>
          <w:rFonts w:ascii="Times New Roman" w:hAnsi="Times New Roman"/>
          <w:sz w:val="24"/>
          <w:szCs w:val="24"/>
          <w:rtl/>
          <w:lang w:val="ar-SA"/>
        </w:rPr>
        <w:t>-</w:t>
      </w:r>
      <w:r>
        <w:rPr>
          <w:rStyle w:val="None"/>
          <w:rFonts w:cs="Times New Roman"/>
          <w:sz w:val="24"/>
          <w:szCs w:val="24"/>
          <w:rtl/>
          <w:lang w:val="ar-SA"/>
        </w:rPr>
        <w:t>المواد من</w:t>
      </w:r>
      <w:bookmarkStart w:id="122" w:name="_Hlk179476650"/>
      <w:r>
        <w:rPr>
          <w:rStyle w:val="None"/>
          <w:rFonts w:ascii="Times New Roman" w:hAnsi="Times New Roman"/>
          <w:sz w:val="24"/>
          <w:szCs w:val="24"/>
          <w:rtl/>
          <w:lang w:val="ar-SA"/>
        </w:rPr>
        <w:t xml:space="preserve"> </w:t>
      </w:r>
      <w:bookmarkEnd w:id="122"/>
      <w:r>
        <w:rPr>
          <w:rStyle w:val="None"/>
          <w:rFonts w:ascii="Times New Roman" w:hAnsi="Times New Roman"/>
          <w:sz w:val="24"/>
          <w:szCs w:val="24"/>
          <w:rtl/>
          <w:lang w:val="ar-SA"/>
        </w:rPr>
        <w:t xml:space="preserve">1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21 </w:t>
      </w:r>
      <w:r>
        <w:rPr>
          <w:rStyle w:val="None"/>
          <w:rFonts w:cs="Times New Roman"/>
          <w:sz w:val="24"/>
          <w:szCs w:val="24"/>
          <w:rtl/>
          <w:lang w:val="ar-SA"/>
        </w:rPr>
        <w:t>وملحق اتفاقية برن</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إشارة هذه المواد إلى نص المادة التاسعة من اتفاقية برن، المتعلقة بحق المؤلف؛ حيث قام جدل واسع حول مدى إمكانية تطبيق حكم هذه المادة من اتفاقية برن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فمن الواضح أنَّ تخزين مصنف محمي بصيغة رقمية في وسيلة إلكترونية يعتبر نسخًا وفقًا لما تنص عليه المادة التاسعة المشار إليها، بند </w:t>
      </w:r>
      <w:r>
        <w:rPr>
          <w:rStyle w:val="None"/>
          <w:rFonts w:ascii="Times New Roman" w:hAnsi="Times New Roman"/>
          <w:sz w:val="24"/>
          <w:szCs w:val="24"/>
          <w:rtl/>
          <w:lang w:val="ar-SA"/>
        </w:rPr>
        <w:t>20.</w:t>
      </w:r>
    </w:p>
    <w:p w14:paraId="70429FF8" w14:textId="77777777" w:rsidR="00454428" w:rsidRDefault="00C464EC">
      <w:pPr>
        <w:pStyle w:val="ListParagraph"/>
        <w:numPr>
          <w:ilvl w:val="0"/>
          <w:numId w:val="4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الأداء العلني، وتقديم العمل للجمهور عبر وسائل سلكية أو لاسلكية</w:t>
      </w:r>
      <w:r>
        <w:rPr>
          <w:rStyle w:val="None"/>
          <w:rFonts w:ascii="Times New Roman" w:hAnsi="Times New Roman"/>
          <w:b/>
          <w:bCs/>
          <w:sz w:val="24"/>
          <w:szCs w:val="24"/>
          <w:rtl/>
          <w:lang w:val="ar-SA"/>
        </w:rPr>
        <w:t>:</w:t>
      </w:r>
      <w:r>
        <w:rPr>
          <w:rStyle w:val="None"/>
          <w:rFonts w:cs="Times New Roman"/>
          <w:sz w:val="24"/>
          <w:szCs w:val="24"/>
          <w:rtl/>
          <w:lang w:val="ar-SA"/>
        </w:rPr>
        <w:t xml:space="preserve"> يعرف أداء العمل بتقديمه في مكان يتواجد فيه جمهور حاضر، أو يمكن أنْ يكون موجودًا، ويعتبر الأداء علنيًا عندما يتم تقديم المصنف باستخدام آلات التسجيل، مثل</w:t>
      </w:r>
      <w:r>
        <w:rPr>
          <w:rStyle w:val="None"/>
          <w:rFonts w:ascii="Times New Roman" w:hAnsi="Times New Roman"/>
          <w:sz w:val="24"/>
          <w:szCs w:val="24"/>
          <w:rtl/>
          <w:lang w:val="ar-SA"/>
        </w:rPr>
        <w:t xml:space="preserve">: </w:t>
      </w:r>
      <w:r>
        <w:rPr>
          <w:rStyle w:val="None"/>
          <w:rFonts w:cs="Times New Roman"/>
          <w:sz w:val="24"/>
          <w:szCs w:val="24"/>
          <w:rtl/>
          <w:lang w:val="ar-SA"/>
        </w:rPr>
        <w:t>العروض في القاعات أو أماكن تجمع الجمهور، أما نقل العمل</w:t>
      </w:r>
      <w:r>
        <w:rPr>
          <w:rStyle w:val="None"/>
          <w:rFonts w:ascii="Times New Roman" w:hAnsi="Times New Roman"/>
          <w:sz w:val="24"/>
          <w:szCs w:val="24"/>
          <w:rtl/>
          <w:lang w:val="ar-SA"/>
        </w:rPr>
        <w:t xml:space="preserve">: </w:t>
      </w:r>
      <w:r>
        <w:rPr>
          <w:rStyle w:val="None"/>
          <w:rFonts w:cs="Times New Roman"/>
          <w:sz w:val="24"/>
          <w:szCs w:val="24"/>
          <w:rtl/>
          <w:lang w:val="ar-SA"/>
        </w:rPr>
        <w:t>فيتم بشكل غير مباشر عبر الأقمار الصناعية، أو الكوابل، أو البث اللاسلكي، سواء كان مشفرًا أو غير مشفر، بما في ذلك التلفاز والراديو، أو أي وسيلة أخرى لنقل الصوت والصورة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0"/>
      </w:r>
      <w:r>
        <w:rPr>
          <w:rStyle w:val="None"/>
          <w:rFonts w:ascii="Times New Roman" w:hAnsi="Times New Roman"/>
          <w:sz w:val="24"/>
          <w:szCs w:val="24"/>
          <w:vertAlign w:val="superscript"/>
          <w:rtl/>
          <w:lang w:val="ar-SA"/>
        </w:rPr>
        <w:t>)</w:t>
      </w:r>
    </w:p>
    <w:p w14:paraId="46FFDA1D" w14:textId="77777777" w:rsidR="00454428" w:rsidRDefault="00C464EC">
      <w:pPr>
        <w:pStyle w:val="ListParagraph"/>
        <w:numPr>
          <w:ilvl w:val="0"/>
          <w:numId w:val="4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في تحويل المصنف من نموذج إلى آخر</w:t>
      </w:r>
      <w:r>
        <w:rPr>
          <w:rStyle w:val="None"/>
          <w:rFonts w:ascii="Times New Roman" w:hAnsi="Times New Roman"/>
          <w:b/>
          <w:bCs/>
          <w:sz w:val="24"/>
          <w:szCs w:val="24"/>
          <w:rtl/>
          <w:lang w:val="ar-SA"/>
        </w:rPr>
        <w:t>:</w:t>
      </w:r>
      <w:r>
        <w:rPr>
          <w:rStyle w:val="None"/>
          <w:rFonts w:cs="Times New Roman"/>
          <w:sz w:val="24"/>
          <w:szCs w:val="24"/>
          <w:rtl/>
          <w:lang w:val="ar-SA"/>
        </w:rPr>
        <w:t xml:space="preserve"> هو تحويل نص قصة معينة من كتاب إلى شكل آخر، مثل</w:t>
      </w:r>
      <w:r>
        <w:rPr>
          <w:rStyle w:val="None"/>
          <w:rFonts w:ascii="Times New Roman" w:hAnsi="Times New Roman"/>
          <w:sz w:val="24"/>
          <w:szCs w:val="24"/>
          <w:rtl/>
          <w:lang w:val="ar-SA"/>
        </w:rPr>
        <w:t xml:space="preserve">: </w:t>
      </w:r>
      <w:r>
        <w:rPr>
          <w:rStyle w:val="None"/>
          <w:rFonts w:cs="Times New Roman"/>
          <w:sz w:val="24"/>
          <w:szCs w:val="24"/>
          <w:rtl/>
          <w:lang w:val="ar-SA"/>
        </w:rPr>
        <w:t>اقتباس نص مسرحي من قصة مكتوبة، أو تحويلها إلى فيلم، كما يحق للمؤلف أنْ يمنح الإذن لملحن، أو مُغَنٍّ بتلحين وإنشاد أحد أشعاره، وكذلك أنْ يسمح لناشر بنشره في كتاب بشكل منفصل، 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قصص الكاتب المعروف عباس العقاد ونجيب محفوظ التي بعد نشرها ككتب متداولة للجمهور تتسابق شركات الإنتاج للحصول على إذن المؤلف لتحويل النص إلى نص حواري، ثم تمثيله في شكل أفلام ومسلسلات تلفزيونية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1"/>
      </w:r>
      <w:r>
        <w:rPr>
          <w:rStyle w:val="None"/>
          <w:rFonts w:ascii="Times New Roman" w:hAnsi="Times New Roman"/>
          <w:sz w:val="24"/>
          <w:szCs w:val="24"/>
          <w:vertAlign w:val="superscript"/>
          <w:rtl/>
          <w:lang w:val="ar-SA"/>
        </w:rPr>
        <w:t>)</w:t>
      </w:r>
    </w:p>
    <w:p w14:paraId="605F6F76" w14:textId="77777777" w:rsidR="00454428" w:rsidRDefault="00C464EC">
      <w:pPr>
        <w:pStyle w:val="ListParagraph"/>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ترجمة المصنف من لغة إلى أخرى</w:t>
      </w:r>
      <w:r>
        <w:rPr>
          <w:rStyle w:val="None"/>
          <w:rFonts w:ascii="Times New Roman" w:hAnsi="Times New Roman"/>
          <w:b/>
          <w:bCs/>
          <w:sz w:val="24"/>
          <w:szCs w:val="24"/>
          <w:rtl/>
          <w:lang w:val="ar-SA"/>
        </w:rPr>
        <w:t>:</w:t>
      </w:r>
      <w:r>
        <w:rPr>
          <w:rStyle w:val="None"/>
          <w:rFonts w:cs="Times New Roman"/>
          <w:sz w:val="24"/>
          <w:szCs w:val="24"/>
          <w:rtl/>
          <w:lang w:val="ar-SA"/>
        </w:rPr>
        <w:t xml:space="preserve"> حق الترجمة باعتباره حق يمنحه المشرع للمؤلف، ويمنح المترجم في المقابل حقًا على ترجمته يدفعه إلى مرتبة المؤلفين، فهو من الحقوق الاستئثارية التي يتمتع بها المؤلف في ترجمة أو التصريح بترجمته لما يبذله المترجم من جهد في نقل المصنف من لغته الأصلية إلى لغة أخرى، الأمر الذي يكسبه حقًا أدبيًا وماليًا على ترجمته؛ لتوافر قدر من الابتكار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2"/>
      </w:r>
      <w:r>
        <w:rPr>
          <w:rStyle w:val="None"/>
          <w:rFonts w:ascii="Times New Roman" w:hAnsi="Times New Roman"/>
          <w:sz w:val="24"/>
          <w:szCs w:val="24"/>
          <w:vertAlign w:val="superscript"/>
          <w:rtl/>
          <w:lang w:val="ar-SA"/>
        </w:rPr>
        <w:t>)</w:t>
      </w:r>
    </w:p>
    <w:p w14:paraId="4843F568" w14:textId="77777777" w:rsidR="00454428" w:rsidRDefault="00C464EC">
      <w:pPr>
        <w:pStyle w:val="ListParagraph"/>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w:t>
      </w:r>
      <w:r>
        <w:rPr>
          <w:rStyle w:val="None"/>
          <w:rFonts w:ascii="Times New Roman" w:hAnsi="Times New Roman"/>
          <w:b/>
          <w:bCs/>
          <w:sz w:val="24"/>
          <w:szCs w:val="24"/>
          <w:rtl/>
          <w:lang w:val="ar-SA"/>
        </w:rPr>
        <w:t xml:space="preserve">: </w:t>
      </w:r>
      <w:r>
        <w:rPr>
          <w:rStyle w:val="None"/>
          <w:rFonts w:cs="Times New Roman"/>
          <w:sz w:val="24"/>
          <w:szCs w:val="24"/>
          <w:rtl/>
          <w:lang w:val="ar-SA"/>
        </w:rPr>
        <w:t>لكي تتمتع المصنفات بالحماية القانونية، يجب أنْ تتسم بالطابع الابتكاري، ومع ذلك</w:t>
      </w:r>
      <w:r>
        <w:rPr>
          <w:rStyle w:val="None"/>
          <w:rFonts w:ascii="Times New Roman" w:hAnsi="Times New Roman"/>
          <w:sz w:val="24"/>
          <w:szCs w:val="24"/>
          <w:rtl/>
          <w:lang w:val="ar-SA"/>
        </w:rPr>
        <w:t xml:space="preserve">: </w:t>
      </w:r>
      <w:r>
        <w:rPr>
          <w:rStyle w:val="None"/>
          <w:rFonts w:cs="Times New Roman"/>
          <w:sz w:val="24"/>
          <w:szCs w:val="24"/>
          <w:rtl/>
          <w:lang w:val="ar-SA"/>
        </w:rPr>
        <w:t>فإنَّ معظم عناوين المصنفات في العصور الحديثة تفتقر إلى هذا الطابع؛ إذْ غالبًا ما تكون مجرد ألفاظ شائعة تدل على موضوع المصنف؛ ممَّا يجعلها غير خاضعة للحماية، فعلى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ألف مؤلف مصنفًا عن التاريخ </w:t>
      </w:r>
      <w:r>
        <w:rPr>
          <w:rStyle w:val="None"/>
          <w:rFonts w:cs="Times New Roman"/>
          <w:sz w:val="24"/>
          <w:szCs w:val="24"/>
          <w:rtl/>
          <w:lang w:val="ar-SA"/>
        </w:rPr>
        <w:lastRenderedPageBreak/>
        <w:t xml:space="preserve">وأطلق عليه عنوان </w:t>
      </w:r>
      <w:r>
        <w:rPr>
          <w:rStyle w:val="None"/>
          <w:rFonts w:ascii="Times New Roman" w:hAnsi="Times New Roman"/>
          <w:sz w:val="24"/>
          <w:szCs w:val="24"/>
          <w:rtl/>
          <w:lang w:val="ar-SA"/>
        </w:rPr>
        <w:t>"</w:t>
      </w:r>
      <w:r>
        <w:rPr>
          <w:rStyle w:val="None"/>
          <w:rFonts w:cs="Times New Roman"/>
          <w:sz w:val="24"/>
          <w:szCs w:val="24"/>
          <w:rtl/>
          <w:lang w:val="ar-SA"/>
        </w:rPr>
        <w:t>تاريخ أوروبا في العصور الوسطى</w:t>
      </w:r>
      <w:r>
        <w:rPr>
          <w:rStyle w:val="None"/>
          <w:rFonts w:ascii="Times New Roman" w:hAnsi="Times New Roman"/>
          <w:sz w:val="24"/>
          <w:szCs w:val="24"/>
          <w:rtl/>
          <w:lang w:val="ar-SA"/>
        </w:rPr>
        <w:t>"</w:t>
      </w:r>
      <w:r>
        <w:rPr>
          <w:rStyle w:val="None"/>
          <w:rFonts w:cs="Times New Roman"/>
          <w:sz w:val="24"/>
          <w:szCs w:val="24"/>
          <w:rtl/>
          <w:lang w:val="ar-SA"/>
        </w:rPr>
        <w:t>؛ فإنَّ هذا العنوان لا يحمل طابعًا ابتكاريًا،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يحق لأي مؤلف آخر أنْ يستخدم العنوان ذاته لمعالجة الموضوع نفسه، وفي هذه الحالة يتم التمييز بين المصنف الجديد والسابق ليس من خلال العنوان، بل من خلال اسم المؤلف، وقد يضاف إلى ذلك اسم الناشر وتاريخ النشر، وأخيرًا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الطابع الابتكاري الذي يضفيه المؤلف في تناوله للموضوعات التي يعالجها المصنف، أما إذا اختار المؤلف عنوانًا مبتكرًا لمصنفه، كـ </w:t>
      </w:r>
      <w:r>
        <w:rPr>
          <w:rStyle w:val="None"/>
          <w:rFonts w:ascii="Times New Roman" w:hAnsi="Times New Roman"/>
          <w:sz w:val="24"/>
          <w:szCs w:val="24"/>
          <w:rtl/>
          <w:lang w:val="ar-SA"/>
        </w:rPr>
        <w:t>"</w:t>
      </w:r>
      <w:r>
        <w:rPr>
          <w:rStyle w:val="None"/>
          <w:rFonts w:cs="Times New Roman"/>
          <w:sz w:val="24"/>
          <w:szCs w:val="24"/>
          <w:rtl/>
          <w:lang w:val="ar-SA"/>
        </w:rPr>
        <w:t>مرشد الحيران</w:t>
      </w:r>
      <w:r>
        <w:rPr>
          <w:rStyle w:val="None"/>
          <w:rFonts w:ascii="Times New Roman" w:hAnsi="Times New Roman"/>
          <w:sz w:val="24"/>
          <w:szCs w:val="24"/>
          <w:rtl/>
          <w:lang w:val="ar-SA"/>
        </w:rPr>
        <w:t>"</w:t>
      </w:r>
      <w:r>
        <w:rPr>
          <w:rStyle w:val="None"/>
          <w:rFonts w:cs="Times New Roman"/>
          <w:sz w:val="24"/>
          <w:szCs w:val="24"/>
          <w:rtl/>
          <w:lang w:val="ar-SA"/>
        </w:rPr>
        <w:t>، أو إذا اختار صاحب مجلة عنوانًا، مثل</w:t>
      </w:r>
      <w:r>
        <w:rPr>
          <w:rStyle w:val="None"/>
          <w:rFonts w:ascii="Times New Roman" w:hAnsi="Times New Roman"/>
          <w:sz w:val="24"/>
          <w:szCs w:val="24"/>
          <w:rtl/>
          <w:lang w:val="ar-SA"/>
        </w:rPr>
        <w:t>: "</w:t>
      </w:r>
      <w:r>
        <w:rPr>
          <w:rStyle w:val="None"/>
          <w:rFonts w:cs="Times New Roman"/>
          <w:sz w:val="24"/>
          <w:szCs w:val="24"/>
          <w:rtl/>
          <w:lang w:val="ar-SA"/>
        </w:rPr>
        <w:t>مجلة القانون والاقتصاد</w:t>
      </w:r>
      <w:r>
        <w:rPr>
          <w:rStyle w:val="None"/>
          <w:rFonts w:ascii="Times New Roman" w:hAnsi="Times New Roman"/>
          <w:sz w:val="24"/>
          <w:szCs w:val="24"/>
          <w:rtl/>
          <w:lang w:val="ar-SA"/>
        </w:rPr>
        <w:t>"</w:t>
      </w:r>
      <w:r>
        <w:rPr>
          <w:rStyle w:val="None"/>
          <w:rFonts w:cs="Times New Roman"/>
          <w:sz w:val="24"/>
          <w:szCs w:val="24"/>
          <w:rtl/>
          <w:lang w:val="ar-SA"/>
        </w:rPr>
        <w:t>، أو إذا كانت أغنية تحمل عنوانًا متفردًا، مثل</w:t>
      </w:r>
      <w:r>
        <w:rPr>
          <w:rStyle w:val="None"/>
          <w:rFonts w:ascii="Times New Roman" w:hAnsi="Times New Roman"/>
          <w:sz w:val="24"/>
          <w:szCs w:val="24"/>
          <w:rtl/>
          <w:lang w:val="ar-SA"/>
        </w:rPr>
        <w:t>: "</w:t>
      </w:r>
      <w:r>
        <w:rPr>
          <w:rStyle w:val="None"/>
          <w:rFonts w:cs="Times New Roman"/>
          <w:sz w:val="24"/>
          <w:szCs w:val="24"/>
          <w:rtl/>
          <w:lang w:val="ar-SA"/>
        </w:rPr>
        <w:t>أنت عمري</w:t>
      </w:r>
      <w:r>
        <w:rPr>
          <w:rStyle w:val="None"/>
          <w:rFonts w:ascii="Times New Roman" w:hAnsi="Times New Roman"/>
          <w:sz w:val="24"/>
          <w:szCs w:val="24"/>
          <w:rtl/>
          <w:lang w:val="ar-SA"/>
        </w:rPr>
        <w:t>"</w:t>
      </w:r>
      <w:r>
        <w:rPr>
          <w:rStyle w:val="None"/>
          <w:rFonts w:cs="Times New Roman"/>
          <w:sz w:val="24"/>
          <w:szCs w:val="24"/>
          <w:rtl/>
          <w:lang w:val="ar-SA"/>
        </w:rPr>
        <w:t>، وحقق المصنف شهرةً واسعةً بهذا العنوان، فإنَّ العنوان المبتكر يصبح جزءًا لا يتجزأ من المصنف ذاته، ويخضع للحماية القانونية التي تشمل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3"/>
      </w:r>
      <w:r>
        <w:rPr>
          <w:rStyle w:val="None"/>
          <w:rFonts w:ascii="Times New Roman" w:hAnsi="Times New Roman"/>
          <w:sz w:val="24"/>
          <w:szCs w:val="24"/>
          <w:vertAlign w:val="superscript"/>
          <w:rtl/>
          <w:lang w:val="ar-SA"/>
        </w:rPr>
        <w:t>)</w:t>
      </w:r>
    </w:p>
    <w:p w14:paraId="722A7410" w14:textId="77777777" w:rsidR="00454428" w:rsidRDefault="00C464EC">
      <w:pPr>
        <w:pStyle w:val="ListParagraph"/>
        <w:numPr>
          <w:ilvl w:val="0"/>
          <w:numId w:val="5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الحقوق المعنوية للمؤلف</w:t>
      </w:r>
      <w:r>
        <w:rPr>
          <w:rStyle w:val="None"/>
          <w:rFonts w:ascii="Times New Roman" w:hAnsi="Times New Roman"/>
          <w:b/>
          <w:bCs/>
          <w:sz w:val="24"/>
          <w:szCs w:val="24"/>
          <w:rtl/>
          <w:lang w:val="ar-SA"/>
        </w:rPr>
        <w:t>:</w:t>
      </w:r>
    </w:p>
    <w:p w14:paraId="61B38F7C" w14:textId="77777777" w:rsidR="00454428" w:rsidRDefault="00C464EC">
      <w:pPr>
        <w:pStyle w:val="ListParagraph"/>
        <w:numPr>
          <w:ilvl w:val="0"/>
          <w:numId w:val="5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المؤلف في نسبة المصنف إليه</w:t>
      </w:r>
      <w:r>
        <w:rPr>
          <w:rStyle w:val="None"/>
          <w:rFonts w:ascii="Times New Roman" w:hAnsi="Times New Roman"/>
          <w:b/>
          <w:bCs/>
          <w:sz w:val="24"/>
          <w:szCs w:val="24"/>
          <w:rtl/>
          <w:lang w:val="ar-SA"/>
        </w:rPr>
        <w:t xml:space="preserve">: </w:t>
      </w:r>
      <w:r>
        <w:rPr>
          <w:rStyle w:val="None"/>
          <w:rFonts w:cs="Times New Roman"/>
          <w:sz w:val="24"/>
          <w:szCs w:val="24"/>
          <w:rtl/>
          <w:lang w:val="ar-SA"/>
        </w:rPr>
        <w:t>الحق المعنوي حق أدبي غير مالي يتصل بشخصية المؤلف، وإنْ كان يتميز عن الحقوق الشخصية البحثة في أنَّه يعتبر عنصرًا في حق المؤلف الذي يرد المصنف ذاته، ويترتب على ذلك أنْ يتحدد خصائصه على ضوء هذه الاعتبارين، فهو بذلك لا يجوز التصرف فيه والتخلي عنه، وهو يتكون من أربعة عناصرَ أساسيةٍ</w:t>
      </w:r>
      <w:r>
        <w:rPr>
          <w:rStyle w:val="None"/>
          <w:rFonts w:ascii="Times New Roman" w:hAnsi="Times New Roman"/>
          <w:sz w:val="24"/>
          <w:szCs w:val="24"/>
          <w:rtl/>
          <w:lang w:val="ar-SA"/>
        </w:rPr>
        <w:t xml:space="preserve">: </w:t>
      </w:r>
      <w:r>
        <w:rPr>
          <w:rStyle w:val="None"/>
          <w:rFonts w:cs="Times New Roman"/>
          <w:sz w:val="24"/>
          <w:szCs w:val="24"/>
          <w:rtl/>
          <w:lang w:val="ar-SA"/>
        </w:rPr>
        <w:t>الحق في شَهْر المصنف، والحق في نسبة العمل إلى المؤلف، والحق في احترام المؤلف، والحق في سحب المصنف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4"/>
      </w:r>
      <w:r>
        <w:rPr>
          <w:rStyle w:val="None"/>
          <w:rFonts w:ascii="Times New Roman" w:hAnsi="Times New Roman"/>
          <w:sz w:val="24"/>
          <w:szCs w:val="24"/>
          <w:vertAlign w:val="superscript"/>
          <w:rtl/>
          <w:lang w:val="ar-SA"/>
        </w:rPr>
        <w:t>)</w:t>
      </w:r>
    </w:p>
    <w:p w14:paraId="409463AF" w14:textId="77777777" w:rsidR="00454428" w:rsidRDefault="00C464EC">
      <w:pPr>
        <w:pStyle w:val="ListParagraph"/>
        <w:numPr>
          <w:ilvl w:val="0"/>
          <w:numId w:val="5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تقدير العمل</w:t>
      </w:r>
      <w:r>
        <w:rPr>
          <w:rStyle w:val="None"/>
          <w:rFonts w:ascii="Times New Roman" w:hAnsi="Times New Roman"/>
          <w:b/>
          <w:bCs/>
          <w:sz w:val="24"/>
          <w:szCs w:val="24"/>
          <w:rtl/>
          <w:lang w:val="ar-SA"/>
        </w:rPr>
        <w:t xml:space="preserve">: </w:t>
      </w:r>
      <w:r>
        <w:rPr>
          <w:rStyle w:val="None"/>
          <w:rFonts w:cs="Times New Roman"/>
          <w:sz w:val="24"/>
          <w:szCs w:val="24"/>
          <w:rtl/>
          <w:lang w:val="ar-SA"/>
        </w:rPr>
        <w:t>تعتبر وحدة الأفكار وترتيبها بشكل متسلسل من أبرز وسائل الإبداع، يمتد حق المؤلف لحماية المصنف من أي حذف قد يؤثر على العمل؛ ممَّا يؤدي إلى تشويهه أو المَسِّ بوحدته، وبالتالي</w:t>
      </w:r>
      <w:r>
        <w:rPr>
          <w:rStyle w:val="None"/>
          <w:rFonts w:ascii="Times New Roman" w:hAnsi="Times New Roman"/>
          <w:sz w:val="24"/>
          <w:szCs w:val="24"/>
          <w:rtl/>
          <w:lang w:val="ar-SA"/>
        </w:rPr>
        <w:t xml:space="preserve">: </w:t>
      </w:r>
      <w:r>
        <w:rPr>
          <w:rStyle w:val="None"/>
          <w:rFonts w:cs="Times New Roman"/>
          <w:sz w:val="24"/>
          <w:szCs w:val="24"/>
          <w:rtl/>
          <w:lang w:val="ar-SA"/>
        </w:rPr>
        <w:t>يؤثر على مضمون القصة ومعناها، كما أنَّ هناك حقًا في حماية المصنف من أي تشويه، أو تحوير قد يفقد العمل تميزه، أو يضر بسمعة المؤلف، بالإضافة إلى ذلك</w:t>
      </w:r>
      <w:r>
        <w:rPr>
          <w:rStyle w:val="None"/>
          <w:rFonts w:ascii="Times New Roman" w:hAnsi="Times New Roman"/>
          <w:sz w:val="24"/>
          <w:szCs w:val="24"/>
          <w:rtl/>
          <w:lang w:val="ar-SA"/>
        </w:rPr>
        <w:t xml:space="preserve">: </w:t>
      </w:r>
      <w:r>
        <w:rPr>
          <w:rStyle w:val="None"/>
          <w:rFonts w:cs="Times New Roman"/>
          <w:sz w:val="24"/>
          <w:szCs w:val="24"/>
          <w:rtl/>
          <w:lang w:val="ar-SA"/>
        </w:rPr>
        <w:t>يحق للمؤلف سحب مؤلفه من الأسواق إذا تغيرت الظروف المحيطة بالأفكار الواردة في المصنف، أو إذا اختلفت قناعاته بشأن الآراء التي طرحها في عمله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5"/>
      </w:r>
      <w:r>
        <w:rPr>
          <w:rStyle w:val="None"/>
          <w:rFonts w:ascii="Times New Roman" w:hAnsi="Times New Roman"/>
          <w:sz w:val="24"/>
          <w:szCs w:val="24"/>
          <w:vertAlign w:val="superscript"/>
          <w:rtl/>
          <w:lang w:val="ar-SA"/>
        </w:rPr>
        <w:t>)</w:t>
      </w:r>
    </w:p>
    <w:p w14:paraId="17C11009" w14:textId="77777777" w:rsidR="00454428" w:rsidRDefault="00C464EC" w:rsidP="00C72BA8">
      <w:pPr>
        <w:pStyle w:val="BodyA"/>
        <w:spacing w:before="120" w:after="120" w:line="360" w:lineRule="auto"/>
        <w:jc w:val="both"/>
        <w:rPr>
          <w:rStyle w:val="None"/>
          <w:rFonts w:ascii="Times New Roman" w:eastAsia="Times New Roman" w:hAnsi="Times New Roman" w:cs="Times New Roman" w:hint="default"/>
          <w:sz w:val="28"/>
          <w:szCs w:val="28"/>
          <w:rtl/>
          <w:lang w:val="ar-SA"/>
        </w:rPr>
      </w:pPr>
      <w:commentRangeStart w:id="123"/>
      <w:r w:rsidRPr="0034695F">
        <w:rPr>
          <w:rStyle w:val="None"/>
          <w:rFonts w:cs="Times New Roman"/>
          <w:b/>
          <w:bCs/>
          <w:sz w:val="28"/>
          <w:szCs w:val="28"/>
          <w:highlight w:val="yellow"/>
          <w:rtl/>
          <w:lang w:val="ar-SA"/>
        </w:rPr>
        <w:t>ثانيًا</w:t>
      </w:r>
      <w:commentRangeEnd w:id="123"/>
      <w:r w:rsidR="00126ABB">
        <w:rPr>
          <w:rStyle w:val="CommentReference"/>
          <w:rFonts w:ascii="Times New Roman" w:hAnsi="Times New Roman" w:cs="Times New Roman" w:hint="default"/>
          <w:color w:val="auto"/>
          <w:rtl/>
          <w14:textOutline w14:w="0" w14:cap="rnd" w14:cmpd="sng" w14:algn="ctr">
            <w14:noFill/>
            <w14:prstDash w14:val="solid"/>
            <w14:bevel/>
          </w14:textOutline>
        </w:rPr>
        <w:commentReference w:id="123"/>
      </w:r>
      <w:r w:rsidRPr="0034695F">
        <w:rPr>
          <w:rStyle w:val="None"/>
          <w:rFonts w:ascii="Times New Roman" w:hAnsi="Times New Roman"/>
          <w:b/>
          <w:bCs/>
          <w:sz w:val="28"/>
          <w:szCs w:val="28"/>
          <w:highlight w:val="yellow"/>
          <w:rtl/>
          <w:lang w:val="ar-SA"/>
        </w:rPr>
        <w:t xml:space="preserve">: </w:t>
      </w:r>
      <w:r w:rsidRPr="0034695F">
        <w:rPr>
          <w:rStyle w:val="None"/>
          <w:rFonts w:cs="Times New Roman"/>
          <w:b/>
          <w:bCs/>
          <w:sz w:val="28"/>
          <w:szCs w:val="28"/>
          <w:highlight w:val="yellow"/>
          <w:rtl/>
          <w:lang w:val="ar-SA"/>
        </w:rPr>
        <w:t>الملكية الصناعية</w:t>
      </w:r>
      <w:r w:rsidRPr="0034695F">
        <w:rPr>
          <w:rStyle w:val="None"/>
          <w:rFonts w:ascii="Times New Roman" w:hAnsi="Times New Roman"/>
          <w:b/>
          <w:bCs/>
          <w:sz w:val="28"/>
          <w:szCs w:val="28"/>
          <w:highlight w:val="yellow"/>
          <w:rtl/>
          <w:lang w:val="ar-SA"/>
        </w:rPr>
        <w:t>:</w:t>
      </w:r>
    </w:p>
    <w:p w14:paraId="6490EC7A"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برزت أهمية حماية حقوق الملكية الصناعية منذ بزوغ عهد الثورة الصناعية في أوربا منتصف القرن التاسع عشر، وما واكبها من اختراعات أدت إلى استغلالها لكافة الدوافع التي استندت عليها اتفاقية باريس لحماية حقوق الملكية الصناعية؛ بهدف تحفيز المبتكرين على مواصلة إنتاجهم واختراعاتهم؛ ممَّا يخدم تطوُّر الحركة التجارية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6"/>
      </w:r>
      <w:r>
        <w:rPr>
          <w:rStyle w:val="None"/>
          <w:rFonts w:ascii="Times New Roman" w:hAnsi="Times New Roman"/>
          <w:sz w:val="24"/>
          <w:szCs w:val="24"/>
          <w:vertAlign w:val="superscript"/>
          <w:rtl/>
          <w:lang w:val="ar-SA"/>
        </w:rPr>
        <w:t>)</w:t>
      </w:r>
    </w:p>
    <w:p w14:paraId="21CEBEE1" w14:textId="69C98D7A" w:rsidR="00454428" w:rsidRDefault="00C464EC" w:rsidP="007430A0">
      <w:pPr>
        <w:pStyle w:val="BodyA"/>
        <w:spacing w:after="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حيث بدأ العمل الدولي على تنظيم مجالاته المتنوعة من خلال اتفاقية باريس لحماية الملكية الصناعية، التي تم توقيعها في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مارس </w:t>
      </w:r>
      <w:r>
        <w:rPr>
          <w:rStyle w:val="None"/>
          <w:rFonts w:ascii="Times New Roman" w:hAnsi="Times New Roman"/>
          <w:sz w:val="24"/>
          <w:szCs w:val="24"/>
          <w:rtl/>
          <w:lang w:val="ar-SA"/>
        </w:rPr>
        <w:t>1883</w:t>
      </w:r>
      <w:r>
        <w:rPr>
          <w:rStyle w:val="None"/>
          <w:rFonts w:cs="Times New Roman"/>
          <w:sz w:val="24"/>
          <w:szCs w:val="24"/>
          <w:rtl/>
          <w:lang w:val="ar-SA"/>
        </w:rPr>
        <w:t xml:space="preserve">، وقد خضعت هذه الاتفاقية لعدة تعديلات وتنقيحات، بلغ عددها سبع تعديلات ومن أبرزها تعديل </w:t>
      </w:r>
      <w:r>
        <w:rPr>
          <w:rStyle w:val="None"/>
          <w:rFonts w:ascii="Times New Roman" w:hAnsi="Times New Roman"/>
          <w:sz w:val="24"/>
          <w:szCs w:val="24"/>
          <w:rtl/>
          <w:lang w:val="ar-SA"/>
        </w:rPr>
        <w:t>(</w:t>
      </w:r>
      <w:r>
        <w:rPr>
          <w:rStyle w:val="None"/>
          <w:rFonts w:cs="Times New Roman"/>
          <w:sz w:val="24"/>
          <w:szCs w:val="24"/>
          <w:rtl/>
          <w:lang w:val="ar-SA"/>
        </w:rPr>
        <w:t>ستوكهولم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الذي تم في </w:t>
      </w:r>
      <w:r>
        <w:rPr>
          <w:rStyle w:val="None"/>
          <w:rFonts w:ascii="Times New Roman" w:hAnsi="Times New Roman"/>
          <w:sz w:val="24"/>
          <w:szCs w:val="24"/>
          <w:rtl/>
          <w:lang w:val="ar-SA"/>
        </w:rPr>
        <w:t xml:space="preserve">14 </w:t>
      </w:r>
      <w:r>
        <w:rPr>
          <w:rStyle w:val="None"/>
          <w:rFonts w:cs="Times New Roman"/>
          <w:sz w:val="24"/>
          <w:szCs w:val="24"/>
          <w:rtl/>
          <w:lang w:val="ar-SA"/>
        </w:rPr>
        <w:t xml:space="preserve">يوليو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جاء في </w:t>
      </w:r>
      <w:bookmarkStart w:id="124" w:name="_Hlk179575099"/>
      <w:r>
        <w:rPr>
          <w:rStyle w:val="None"/>
          <w:rFonts w:cs="Times New Roman"/>
          <w:sz w:val="24"/>
          <w:szCs w:val="24"/>
          <w:rtl/>
          <w:lang w:val="ar-SA"/>
        </w:rPr>
        <w:t xml:space="preserve">المادة الأولى الفقرة الأولى من اتفاقية باريس </w:t>
      </w:r>
      <w:bookmarkEnd w:id="124"/>
      <w:r>
        <w:rPr>
          <w:rStyle w:val="None"/>
          <w:rFonts w:cs="Times New Roman"/>
          <w:sz w:val="24"/>
          <w:szCs w:val="24"/>
          <w:rtl/>
          <w:lang w:val="ar-SA"/>
        </w:rPr>
        <w:t xml:space="preserve">تفهم للملكية الصناعية بمعناها الواسع؛ حيث لا تقتصر تطبيقاتها على الصناعة والتجارة بالمعنى الحرفي فحسب، بل تشمل أيضًا </w:t>
      </w:r>
      <w:r>
        <w:rPr>
          <w:rStyle w:val="None"/>
          <w:rFonts w:cs="Times New Roman"/>
          <w:sz w:val="24"/>
          <w:szCs w:val="24"/>
          <w:rtl/>
          <w:lang w:val="ar-SA"/>
        </w:rPr>
        <w:lastRenderedPageBreak/>
        <w:t>الصناعات الزراعية والاستخراجية، بالإضافة إلى جميع المنتجات المصنعة أو الطبيعية، مثل</w:t>
      </w:r>
      <w:r>
        <w:rPr>
          <w:rStyle w:val="None"/>
          <w:rFonts w:ascii="Times New Roman" w:hAnsi="Times New Roman"/>
          <w:sz w:val="24"/>
          <w:szCs w:val="24"/>
          <w:rtl/>
          <w:lang w:val="ar-SA"/>
        </w:rPr>
        <w:t xml:space="preserve">: </w:t>
      </w:r>
      <w:r>
        <w:rPr>
          <w:rStyle w:val="None"/>
          <w:rFonts w:cs="Times New Roman"/>
          <w:sz w:val="24"/>
          <w:szCs w:val="24"/>
          <w:rtl/>
          <w:lang w:val="ar-SA"/>
        </w:rPr>
        <w:t>المشروبات، والحبوب، وأوراق التبغ، والفواكه، والمواشي، والمعادن، والمياه المعدنية، والزهور، والدقيق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7"/>
      </w:r>
      <w:r>
        <w:rPr>
          <w:rStyle w:val="None"/>
          <w:rFonts w:ascii="Times New Roman" w:hAnsi="Times New Roman"/>
          <w:sz w:val="24"/>
          <w:szCs w:val="24"/>
          <w:vertAlign w:val="superscript"/>
          <w:rtl/>
          <w:lang w:val="ar-SA"/>
        </w:rPr>
        <w:t>)</w:t>
      </w:r>
      <w:r w:rsidR="006F4C04">
        <w:rPr>
          <w:rStyle w:val="None"/>
          <w:rFonts w:ascii="Times New Roman" w:eastAsia="Times New Roman" w:hAnsi="Times New Roman" w:cs="Times New Roman" w:hint="default"/>
          <w:sz w:val="24"/>
          <w:szCs w:val="24"/>
        </w:rPr>
        <w:t xml:space="preserve"> </w:t>
      </w:r>
      <w:r>
        <w:rPr>
          <w:rStyle w:val="None"/>
          <w:rFonts w:cs="Times New Roman"/>
          <w:sz w:val="24"/>
          <w:szCs w:val="24"/>
          <w:rtl/>
          <w:lang w:val="ar-SA"/>
        </w:rPr>
        <w:t>تشمل حقوق الملكية الفكرية عدة جوانب مهمة، وهي</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تمنح المخترعين حقوقًا حصريةً لاستخدام وتسويق اختراعاتهم لفترة محددة؛ ممَّا يعزّز الابتكار والتطوير، العلامة التجارية تحمي هُوِيَّة السلع والخدمات عبر منع الاستخدام غير المصرح لعلامات مشابهة، الرسوم والنماذج الصناعية تحمي التصاميم الجمالية للمنتجات، التصاميم الشكلية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8"/>
      </w:r>
      <w:r>
        <w:rPr>
          <w:rStyle w:val="None"/>
          <w:rFonts w:ascii="Times New Roman" w:hAnsi="Times New Roman"/>
          <w:sz w:val="24"/>
          <w:szCs w:val="24"/>
          <w:vertAlign w:val="superscript"/>
          <w:rtl/>
          <w:lang w:val="ar-SA"/>
        </w:rPr>
        <w:t>)</w:t>
      </w:r>
      <w:r>
        <w:rPr>
          <w:rStyle w:val="None"/>
          <w:rFonts w:cs="Times New Roman"/>
          <w:sz w:val="24"/>
          <w:szCs w:val="24"/>
          <w:rtl/>
          <w:lang w:val="ar-SA"/>
        </w:rPr>
        <w:t>، وتعدد أشكال الملكية الصناعية، ومنها ما يلي</w:t>
      </w:r>
      <w:r>
        <w:rPr>
          <w:rStyle w:val="None"/>
          <w:rFonts w:ascii="Times New Roman" w:hAnsi="Times New Roman"/>
          <w:sz w:val="24"/>
          <w:szCs w:val="24"/>
          <w:rtl/>
          <w:lang w:val="ar-SA"/>
        </w:rPr>
        <w:t>:</w:t>
      </w:r>
    </w:p>
    <w:p w14:paraId="4649782E" w14:textId="5DE31794" w:rsidR="00454428" w:rsidRPr="0048398C" w:rsidRDefault="00C464EC" w:rsidP="007430A0">
      <w:pPr>
        <w:pStyle w:val="BodyA"/>
        <w:numPr>
          <w:ilvl w:val="6"/>
          <w:numId w:val="54"/>
        </w:numPr>
        <w:spacing w:after="0" w:line="360" w:lineRule="auto"/>
        <w:jc w:val="both"/>
        <w:rPr>
          <w:rFonts w:cs="Arial Unicode MS" w:hint="default"/>
          <w:b/>
          <w:bCs/>
          <w:sz w:val="24"/>
          <w:szCs w:val="24"/>
          <w:rtl/>
          <w:lang w:val="ar-SA"/>
        </w:rPr>
      </w:pPr>
      <w:r>
        <w:rPr>
          <w:rStyle w:val="None"/>
          <w:rFonts w:cs="Times New Roman"/>
          <w:b/>
          <w:bCs/>
          <w:sz w:val="24"/>
          <w:szCs w:val="24"/>
          <w:rtl/>
          <w:lang w:val="ar-SA"/>
        </w:rPr>
        <w:t>البراءات</w:t>
      </w:r>
      <w:r>
        <w:rPr>
          <w:rStyle w:val="None"/>
          <w:rFonts w:ascii="Times New Roman" w:hAnsi="Times New Roman"/>
          <w:b/>
          <w:bCs/>
          <w:sz w:val="24"/>
          <w:szCs w:val="24"/>
          <w:rtl/>
          <w:lang w:val="ar-SA"/>
        </w:rPr>
        <w:t xml:space="preserve">: </w:t>
      </w:r>
      <w:r>
        <w:rPr>
          <w:rStyle w:val="None"/>
          <w:rFonts w:cs="Times New Roman"/>
          <w:sz w:val="24"/>
          <w:szCs w:val="24"/>
          <w:rtl/>
          <w:lang w:val="ar-SA"/>
        </w:rPr>
        <w:t>تعمل البراءات على حماية الاختراعات الجديدة؛ حيث تمنح المخترعين حقوقًا حصرية لاستخدام وبيع ابتكاراتهم لفترة زمنية معينة، في السياق الرقمي تشمل البراءات تقنيات الحوسبة البرمجيات وغيرها من الابتكارات التكنولوجية، يتطلب الحفاظ على حماية البراءات في العصر الرقمي تحديثات دورية لمواكبة التطوُّرات السريعة في مجال التكنولوجيا</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9"/>
      </w:r>
      <w:r>
        <w:rPr>
          <w:rStyle w:val="None"/>
          <w:rFonts w:ascii="Times New Roman" w:hAnsi="Times New Roman"/>
          <w:sz w:val="24"/>
          <w:szCs w:val="24"/>
          <w:vertAlign w:val="superscript"/>
          <w:rtl/>
          <w:lang w:val="ar-SA"/>
        </w:rPr>
        <w:t>)</w:t>
      </w:r>
      <w:r>
        <w:rPr>
          <w:rStyle w:val="None"/>
          <w:rFonts w:cs="Times New Roman"/>
          <w:sz w:val="24"/>
          <w:szCs w:val="24"/>
          <w:rtl/>
          <w:lang w:val="ar-SA"/>
        </w:rPr>
        <w:t>، ولا تستحق جميع الاختراعات الحصول على براءة اختراع؛ حيث تتطلب القوانين في التشريعات السعودية والمقارنة أنْ يلتزم الاختراع بمجموعة من الشروط المعروفة بالمقتضيات أو شروط البراءة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0"/>
      </w:r>
      <w:r>
        <w:rPr>
          <w:rStyle w:val="None"/>
          <w:rFonts w:ascii="Times New Roman" w:hAnsi="Times New Roman"/>
          <w:sz w:val="24"/>
          <w:szCs w:val="24"/>
          <w:vertAlign w:val="superscript"/>
          <w:rtl/>
          <w:lang w:val="ar-SA"/>
        </w:rPr>
        <w:t>)</w:t>
      </w:r>
      <w:r w:rsidR="0048398C">
        <w:rPr>
          <w:rFonts w:cs="Times New Roman" w:hint="default"/>
          <w:b/>
          <w:bCs/>
          <w:sz w:val="24"/>
          <w:szCs w:val="24"/>
        </w:rPr>
        <w:t xml:space="preserve"> </w:t>
      </w:r>
      <w:r w:rsidRPr="0048398C">
        <w:rPr>
          <w:rStyle w:val="None"/>
          <w:rFonts w:cs="Times New Roman"/>
          <w:sz w:val="24"/>
          <w:szCs w:val="24"/>
          <w:rtl/>
          <w:lang w:val="ar-SA"/>
        </w:rPr>
        <w:t>تُعرَّف البراءات بأنَّها</w:t>
      </w:r>
      <w:r w:rsidRPr="0048398C">
        <w:rPr>
          <w:rStyle w:val="None"/>
          <w:rFonts w:ascii="Times New Roman" w:hAnsi="Times New Roman"/>
          <w:sz w:val="24"/>
          <w:szCs w:val="24"/>
          <w:rtl/>
          <w:lang w:val="ar-SA"/>
        </w:rPr>
        <w:t>: "</w:t>
      </w:r>
      <w:r w:rsidRPr="0048398C">
        <w:rPr>
          <w:rStyle w:val="None"/>
          <w:rFonts w:cs="Times New Roman"/>
          <w:sz w:val="24"/>
          <w:szCs w:val="24"/>
          <w:rtl/>
          <w:lang w:val="ar-SA"/>
        </w:rPr>
        <w:t>شهادة تمنحها الجهات المختصة في الدولة للمخترع عن اختراعه يكون له موجبها حق استثمار واستغلال اختراعه</w:t>
      </w:r>
      <w:r w:rsidRPr="0048398C">
        <w:rPr>
          <w:rStyle w:val="None"/>
          <w:rFonts w:ascii="Times New Roman" w:hAnsi="Times New Roman"/>
          <w:sz w:val="24"/>
          <w:szCs w:val="24"/>
          <w:rtl/>
          <w:lang w:val="ar-SA"/>
        </w:rPr>
        <w:t>"</w:t>
      </w:r>
      <w:r w:rsidRPr="0048398C">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1"/>
      </w:r>
      <w:r w:rsidRPr="0048398C">
        <w:rPr>
          <w:rStyle w:val="None"/>
          <w:rFonts w:ascii="Times New Roman" w:hAnsi="Times New Roman"/>
          <w:sz w:val="24"/>
          <w:szCs w:val="24"/>
          <w:vertAlign w:val="superscript"/>
          <w:rtl/>
          <w:lang w:val="ar-SA"/>
        </w:rPr>
        <w:t>)</w:t>
      </w:r>
      <w:r w:rsidRPr="0048398C">
        <w:rPr>
          <w:rStyle w:val="None"/>
          <w:rFonts w:ascii="Times New Roman" w:hAnsi="Times New Roman"/>
          <w:sz w:val="24"/>
          <w:szCs w:val="24"/>
          <w:rtl/>
          <w:lang w:val="ar-SA"/>
        </w:rPr>
        <w:t>.</w:t>
      </w:r>
      <w:r w:rsidR="006F4C04" w:rsidRPr="0048398C">
        <w:rPr>
          <w:rStyle w:val="None"/>
          <w:rFonts w:ascii="Times New Roman" w:eastAsia="Times New Roman" w:hAnsi="Times New Roman" w:cs="Times New Roman" w:hint="default"/>
          <w:sz w:val="24"/>
          <w:szCs w:val="24"/>
        </w:rPr>
        <w:t xml:space="preserve"> </w:t>
      </w:r>
      <w:r w:rsidRPr="0048398C">
        <w:rPr>
          <w:rFonts w:cs="Times New Roman"/>
          <w:sz w:val="24"/>
          <w:szCs w:val="24"/>
          <w:rtl/>
          <w:lang w:val="ar-SA"/>
        </w:rPr>
        <w:t>كما عُرِّف الاختراع في النظام السعودي بأنَّه:</w:t>
      </w:r>
      <w:r w:rsidRPr="0048398C">
        <w:rPr>
          <w:rFonts w:cs="Times New Roman" w:hint="default"/>
          <w:sz w:val="24"/>
          <w:szCs w:val="24"/>
          <w:rtl/>
          <w:lang w:val="ar-SA"/>
        </w:rPr>
        <w:t> </w:t>
      </w:r>
      <w:r w:rsidRPr="0048398C">
        <w:rPr>
          <w:rFonts w:cs="Times New Roman"/>
          <w:sz w:val="24"/>
          <w:szCs w:val="24"/>
          <w:rtl/>
          <w:lang w:val="ar-SA"/>
        </w:rPr>
        <w:t>"فكرة يتوصل إليها المخترع، وينتج عنها حل مشكلة معينة في مجال التقنية"</w:t>
      </w:r>
      <w:r w:rsidRPr="0048398C">
        <w:rPr>
          <w:rFonts w:cs="Times New Roman"/>
          <w:sz w:val="24"/>
          <w:szCs w:val="24"/>
          <w:vertAlign w:val="superscript"/>
          <w:rtl/>
          <w:lang w:val="ar-SA"/>
        </w:rPr>
        <w:t>(</w:t>
      </w:r>
      <w:r w:rsidRPr="006F4C04">
        <w:rPr>
          <w:rFonts w:cs="Times New Roman"/>
          <w:sz w:val="24"/>
          <w:szCs w:val="24"/>
          <w:vertAlign w:val="superscript"/>
          <w:lang w:val="ar-SA"/>
        </w:rPr>
        <w:footnoteReference w:id="72"/>
      </w:r>
      <w:r w:rsidRPr="0048398C">
        <w:rPr>
          <w:rFonts w:cs="Times New Roman"/>
          <w:sz w:val="24"/>
          <w:szCs w:val="24"/>
          <w:vertAlign w:val="superscript"/>
          <w:rtl/>
          <w:lang w:val="ar-SA"/>
        </w:rPr>
        <w:t>)</w:t>
      </w:r>
      <w:r w:rsidRPr="0048398C">
        <w:rPr>
          <w:rFonts w:cs="Times New Roman"/>
          <w:sz w:val="24"/>
          <w:szCs w:val="24"/>
          <w:rtl/>
          <w:lang w:val="ar-SA"/>
        </w:rPr>
        <w:t>.</w:t>
      </w:r>
    </w:p>
    <w:p w14:paraId="0B946756" w14:textId="77777777" w:rsidR="00454428" w:rsidRDefault="00C464EC" w:rsidP="007430A0">
      <w:pPr>
        <w:pStyle w:val="BodyA"/>
        <w:widowControl w:val="0"/>
        <w:numPr>
          <w:ilvl w:val="6"/>
          <w:numId w:val="55"/>
        </w:numPr>
        <w:spacing w:after="0" w:line="360" w:lineRule="auto"/>
        <w:jc w:val="both"/>
        <w:rPr>
          <w:rFonts w:cs="Times New Roman" w:hint="default"/>
          <w:sz w:val="24"/>
          <w:szCs w:val="24"/>
          <w:rtl/>
          <w:lang w:val="ar-SA"/>
        </w:rPr>
      </w:pPr>
      <w:r>
        <w:rPr>
          <w:rStyle w:val="None"/>
          <w:rFonts w:cs="Times New Roman"/>
          <w:b/>
          <w:bCs/>
          <w:sz w:val="24"/>
          <w:szCs w:val="24"/>
          <w:rtl/>
          <w:lang w:val="ar-SA"/>
        </w:rPr>
        <w:t>موضوع يستحق البراءة</w:t>
      </w:r>
      <w:r>
        <w:rPr>
          <w:rStyle w:val="None"/>
          <w:rFonts w:ascii="Times New Roman" w:hAnsi="Times New Roman"/>
          <w:b/>
          <w:bCs/>
          <w:sz w:val="24"/>
          <w:szCs w:val="24"/>
          <w:rtl/>
          <w:lang w:val="ar-SA"/>
        </w:rPr>
        <w:t>:</w:t>
      </w:r>
      <w:r>
        <w:rPr>
          <w:rStyle w:val="None"/>
          <w:rFonts w:cs="Times New Roman"/>
          <w:sz w:val="24"/>
          <w:szCs w:val="24"/>
          <w:rtl/>
          <w:lang w:val="ar-SA"/>
        </w:rPr>
        <w:t xml:space="preserve"> بمعنى أنَّه يجب أنْ يكون للاختراع </w:t>
      </w:r>
      <w:r>
        <w:rPr>
          <w:rStyle w:val="None"/>
          <w:rFonts w:ascii="Times New Roman" w:hAnsi="Times New Roman"/>
          <w:sz w:val="24"/>
          <w:szCs w:val="24"/>
          <w:rtl/>
          <w:lang w:val="ar-SA"/>
        </w:rPr>
        <w:t>-</w:t>
      </w:r>
      <w:r>
        <w:rPr>
          <w:rStyle w:val="None"/>
          <w:rFonts w:cs="Times New Roman"/>
          <w:sz w:val="24"/>
          <w:szCs w:val="24"/>
          <w:rtl/>
          <w:lang w:val="ar-SA"/>
        </w:rPr>
        <w:t>المقدم بشأنه الحصول على البراءة من قبل صاحبه</w:t>
      </w:r>
      <w:r>
        <w:rPr>
          <w:rStyle w:val="None"/>
          <w:rFonts w:ascii="Times New Roman" w:hAnsi="Times New Roman"/>
          <w:sz w:val="24"/>
          <w:szCs w:val="24"/>
          <w:rtl/>
          <w:lang w:val="ar-SA"/>
        </w:rPr>
        <w:t xml:space="preserve">- </w:t>
      </w:r>
      <w:r>
        <w:rPr>
          <w:rStyle w:val="None"/>
          <w:rFonts w:cs="Times New Roman"/>
          <w:sz w:val="24"/>
          <w:szCs w:val="24"/>
          <w:rtl/>
          <w:lang w:val="ar-SA"/>
        </w:rPr>
        <w:t>ذاتيته المستقلة التي تميزه عن غيره من الابتكارات أو الاختراعات الأخرى، وأنْ يكون هذا الاختراع قابلًا للتنفيذ أو التطبيق العلمي، وفي الوقع حتى يتوافر هذا الشرط يجب أنْ يكون الاختراع واردًا على أحد الوسائل التي يمكن بواسطتها تحقيق نتائج كان في الماضي يتعذر تحقيقها</w:t>
      </w:r>
      <w:r>
        <w:rPr>
          <w:rStyle w:val="None"/>
          <w:rFonts w:ascii="Times New Roman" w:hAnsi="Times New Roman"/>
          <w:sz w:val="24"/>
          <w:szCs w:val="24"/>
          <w:rtl/>
          <w:lang w:val="ar-SA"/>
        </w:rPr>
        <w:t xml:space="preserve">.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3"/>
      </w:r>
      <w:r>
        <w:rPr>
          <w:rStyle w:val="None"/>
          <w:rFonts w:ascii="Times New Roman" w:hAnsi="Times New Roman"/>
          <w:sz w:val="20"/>
          <w:szCs w:val="20"/>
          <w:vertAlign w:val="superscript"/>
          <w:rtl/>
          <w:lang w:val="ar-SA"/>
        </w:rPr>
        <w:t>)</w:t>
      </w:r>
    </w:p>
    <w:p w14:paraId="43024217" w14:textId="13CFB3CD" w:rsidR="00454428" w:rsidRPr="0048398C" w:rsidRDefault="00C464EC">
      <w:pPr>
        <w:pStyle w:val="ListParagraph"/>
        <w:widowControl w:val="0"/>
        <w:numPr>
          <w:ilvl w:val="6"/>
          <w:numId w:val="54"/>
        </w:numPr>
        <w:spacing w:before="120" w:after="120" w:line="360" w:lineRule="auto"/>
        <w:jc w:val="both"/>
        <w:rPr>
          <w:rFonts w:cs="Arial Unicode MS" w:hint="default"/>
          <w:b/>
          <w:bCs/>
          <w:sz w:val="24"/>
          <w:szCs w:val="24"/>
          <w:rtl/>
          <w:lang w:val="ar-SA"/>
        </w:rPr>
      </w:pPr>
      <w:r>
        <w:rPr>
          <w:rStyle w:val="None"/>
          <w:rFonts w:cs="Times New Roman"/>
          <w:b/>
          <w:bCs/>
          <w:sz w:val="24"/>
          <w:szCs w:val="24"/>
          <w:rtl/>
          <w:lang w:val="ar-SA"/>
        </w:rPr>
        <w:t>التصاميم الصناعية</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التصميمات الصناعية هي المظهر الزخرفي أو الجمالي لسلعة ما، وهي تطبق على طائفة </w:t>
      </w:r>
      <w:r>
        <w:rPr>
          <w:rStyle w:val="None"/>
          <w:rFonts w:cs="Times New Roman"/>
          <w:sz w:val="24"/>
          <w:szCs w:val="24"/>
          <w:rtl/>
          <w:lang w:val="ar-SA"/>
        </w:rPr>
        <w:lastRenderedPageBreak/>
        <w:t>واسعة من المنتجات الصناعية والحرفية،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تشكيلة الخطوط، والأنماط، والألوان، والأشكال المجسمة، التي تعطي المنتج الصناعي أو الحرفي مظهرًا مختلفًا عن غيره من السلع المشابهة، ولا يشترط أنْ تكون لها قيمة فنية؛ كي تتمتع بالحماية، فالحماية واجبة قانونًا سواء كانت لها قيمة فنية أو لم تكن لها أية قيمة فنية طالما توافرت فيها الشروط المطلوبة قانونًا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4"/>
      </w:r>
      <w:r>
        <w:rPr>
          <w:rStyle w:val="None"/>
          <w:rFonts w:ascii="Times New Roman" w:hAnsi="Times New Roman"/>
          <w:sz w:val="24"/>
          <w:szCs w:val="24"/>
          <w:vertAlign w:val="superscript"/>
          <w:rtl/>
          <w:lang w:val="ar-SA"/>
        </w:rPr>
        <w:t>)</w:t>
      </w:r>
      <w:r w:rsidR="0048398C">
        <w:rPr>
          <w:rStyle w:val="None"/>
          <w:rFonts w:ascii="Times New Roman" w:hAnsi="Times New Roman" w:hint="default"/>
          <w:sz w:val="24"/>
          <w:szCs w:val="24"/>
          <w:vertAlign w:val="superscript"/>
        </w:rPr>
        <w:t xml:space="preserve"> </w:t>
      </w:r>
      <w:r w:rsidRPr="0048398C">
        <w:rPr>
          <w:rFonts w:cs="Times New Roman"/>
          <w:sz w:val="24"/>
          <w:szCs w:val="24"/>
          <w:rtl/>
          <w:lang w:val="ar-SA"/>
        </w:rPr>
        <w:t xml:space="preserve">كما عُرِّف التصميم في النظام السعودي بأنَّه هو التصميم " الترتيب الثلاثي الأبعاد لعناصر دائرة متكاملة -على أنْ يكون أحد تلك العناصر على الأقل نشطًا- ولجميع الوصلات، أو بعضها، أو الترتيب الثلاثي الأبعاد المعد لدائرة متكاملة بغرض التصنيع" </w:t>
      </w:r>
      <w:r w:rsidRPr="0048398C">
        <w:rPr>
          <w:rFonts w:cs="Times New Roman"/>
          <w:sz w:val="20"/>
          <w:szCs w:val="20"/>
          <w:vertAlign w:val="superscript"/>
          <w:rtl/>
          <w:lang w:val="ar-SA"/>
        </w:rPr>
        <w:t>(</w:t>
      </w:r>
      <w:r w:rsidRPr="006F4C04">
        <w:rPr>
          <w:sz w:val="20"/>
          <w:szCs w:val="20"/>
          <w:vertAlign w:val="superscript"/>
          <w:lang w:val="ar-SA"/>
        </w:rPr>
        <w:footnoteReference w:id="75"/>
      </w:r>
      <w:r w:rsidRPr="0048398C">
        <w:rPr>
          <w:rFonts w:cs="Times New Roman"/>
          <w:sz w:val="20"/>
          <w:szCs w:val="20"/>
          <w:vertAlign w:val="superscript"/>
          <w:rtl/>
          <w:lang w:val="ar-SA"/>
        </w:rPr>
        <w:t>)</w:t>
      </w:r>
      <w:r w:rsidRPr="0048398C">
        <w:rPr>
          <w:rFonts w:cs="Times New Roman"/>
          <w:sz w:val="24"/>
          <w:szCs w:val="24"/>
          <w:rtl/>
          <w:lang w:val="ar-SA"/>
        </w:rPr>
        <w:t>.</w:t>
      </w:r>
    </w:p>
    <w:p w14:paraId="48AE41C6" w14:textId="77777777" w:rsidR="00454428" w:rsidRDefault="00C464EC">
      <w:pPr>
        <w:pStyle w:val="ListParagraph"/>
        <w:widowControl w:val="0"/>
        <w:numPr>
          <w:ilvl w:val="6"/>
          <w:numId w:val="5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 xml:space="preserve">: </w:t>
      </w:r>
      <w:r>
        <w:rPr>
          <w:rStyle w:val="None"/>
          <w:rFonts w:cs="Times New Roman"/>
          <w:sz w:val="24"/>
          <w:szCs w:val="24"/>
          <w:rtl/>
          <w:lang w:val="ar-SA"/>
        </w:rPr>
        <w:t>إنَّ العلامة التجارية جزءٌ مهمٌّ في المتجر، ويسعى جميع التجار إلى التمييز في اختيار علامتهم التجارية؛ لتمييز خدماتهم أو منتجاتهم عن باقي الخدمات أو المنتجات؛ لحماية حقوقهم ومصالحهم، ومن هنا كانت بداية الاهتمام الملحوظ بتنظيم موضوع العلامات التجارية من الناحية القانوني في الدول ذات الاقتصاد المتطوِّر، باعتبار أنَّ العلامة التجارية تمثل نوعًا من المنافسة المشروعة بين التجار، وتساعد على ازدهار الناحية الاقتصادية في الدولة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6"/>
      </w:r>
      <w:r>
        <w:rPr>
          <w:rStyle w:val="None"/>
          <w:rFonts w:ascii="Times New Roman" w:hAnsi="Times New Roman"/>
          <w:sz w:val="24"/>
          <w:szCs w:val="24"/>
          <w:vertAlign w:val="superscript"/>
          <w:rtl/>
          <w:lang w:val="ar-SA"/>
        </w:rPr>
        <w:t>)</w:t>
      </w:r>
    </w:p>
    <w:p w14:paraId="601E2577"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وتُعرَّف العلامات التجارية فهي </w:t>
      </w:r>
      <w:r>
        <w:rPr>
          <w:rStyle w:val="None"/>
          <w:rFonts w:ascii="Times New Roman" w:hAnsi="Times New Roman"/>
          <w:sz w:val="24"/>
          <w:szCs w:val="24"/>
          <w:rtl/>
          <w:lang w:val="ar-SA"/>
        </w:rPr>
        <w:t>"</w:t>
      </w:r>
      <w:r>
        <w:rPr>
          <w:rStyle w:val="None"/>
          <w:rFonts w:cs="Times New Roman"/>
          <w:sz w:val="24"/>
          <w:szCs w:val="24"/>
          <w:rtl/>
          <w:lang w:val="ar-SA"/>
        </w:rPr>
        <w:t>كل إشارة، أو رمز، أو دلالة ذي تكوين خاص بذات التجار، أو الصانع على منتجاته، أو الخدمات التي يقوم بصنعها لغرض بيعها، ويهدف إلى تيسير التعرُّف على مصدر تلك المنتجات أو الخدمات؛ بحيث يسهل تمييزها عن غيرها من السلع والخدمات المشابهة من قبل المستهلكين، أو المتعاملين بها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90B2E9D" w14:textId="7A8B558B" w:rsidR="00454428" w:rsidRDefault="00C464EC" w:rsidP="0048398C">
      <w:pPr>
        <w:pStyle w:val="BodyA"/>
        <w:widowControl w:val="0"/>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كما عُرِّفت العلامات التجارية في المادة الأولى من نظام العلامات التجارية السعودي بأنَّه</w:t>
      </w:r>
      <w:r>
        <w:rPr>
          <w:rStyle w:val="None"/>
          <w:rFonts w:ascii="Times New Roman" w:hAnsi="Times New Roman"/>
          <w:sz w:val="24"/>
          <w:szCs w:val="24"/>
          <w:rtl/>
          <w:lang w:val="ar-SA"/>
        </w:rPr>
        <w:t>: "</w:t>
      </w:r>
      <w:r>
        <w:rPr>
          <w:rStyle w:val="None"/>
          <w:rFonts w:cs="Times New Roman"/>
          <w:sz w:val="24"/>
          <w:szCs w:val="24"/>
          <w:rtl/>
          <w:lang w:val="ar-SA"/>
        </w:rPr>
        <w:t>تُعَدُّ علامةً تجاريةً 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8"/>
      </w:r>
      <w:r>
        <w:rPr>
          <w:rStyle w:val="None"/>
          <w:rFonts w:ascii="Times New Roman" w:hAnsi="Times New Roman"/>
          <w:sz w:val="20"/>
          <w:szCs w:val="20"/>
          <w:vertAlign w:val="superscript"/>
          <w:rtl/>
          <w:lang w:val="ar-SA"/>
        </w:rPr>
        <w:t>)</w:t>
      </w:r>
      <w:r>
        <w:rPr>
          <w:rStyle w:val="None"/>
          <w:rFonts w:ascii="Times New Roman" w:hAnsi="Times New Roman"/>
          <w:rtl/>
          <w:lang w:val="ar-SA"/>
        </w:rPr>
        <w:t>.</w:t>
      </w:r>
      <w:r w:rsidR="0048398C">
        <w:rPr>
          <w:rStyle w:val="None"/>
          <w:rFonts w:ascii="Times New Roman" w:eastAsia="Times New Roman" w:hAnsi="Times New Roman" w:cs="Times New Roman" w:hint="default"/>
          <w:sz w:val="24"/>
          <w:szCs w:val="24"/>
        </w:rPr>
        <w:t xml:space="preserve"> </w:t>
      </w:r>
      <w:r>
        <w:rPr>
          <w:rStyle w:val="None"/>
          <w:rFonts w:cs="Times New Roman"/>
          <w:sz w:val="24"/>
          <w:szCs w:val="24"/>
          <w:rtl/>
          <w:lang w:val="ar-SA"/>
        </w:rPr>
        <w:t>بعدما استعرضنا أنواع حقوق الملكية الفكرية وما يتجلَّى من معان وإسهامات معاصرة للحماية والابتكار، نتوجه نحو المبحث الثاني الذي يعرض نبذةً تاريخيةً عن نشأة حقوق الملكية الفكرية وتطوُّرها؛ ليكشف بذلك عن الأسس التاريخية التي أرست قواعد هذه المفاهيم في ظل التغيرات القانونية والاجتماعية</w:t>
      </w:r>
      <w:r>
        <w:rPr>
          <w:rStyle w:val="None"/>
          <w:rFonts w:ascii="Times New Roman" w:hAnsi="Times New Roman"/>
          <w:sz w:val="24"/>
          <w:szCs w:val="24"/>
          <w:rtl/>
          <w:lang w:val="ar-SA"/>
        </w:rPr>
        <w:t>.</w:t>
      </w:r>
    </w:p>
    <w:p w14:paraId="58C75FF2" w14:textId="77777777" w:rsidR="00454428" w:rsidRDefault="00C464EC" w:rsidP="00C72BA8">
      <w:pPr>
        <w:pStyle w:val="a"/>
        <w:rPr>
          <w:rStyle w:val="None"/>
          <w:b w:val="0"/>
          <w:bCs w:val="0"/>
          <w:rtl/>
          <w:lang w:val="ar-SA"/>
        </w:rPr>
      </w:pPr>
      <w:bookmarkStart w:id="125" w:name="_Toc227251086"/>
      <w:bookmarkStart w:id="126" w:name="_Toc232260643"/>
      <w:r>
        <w:rPr>
          <w:rStyle w:val="None"/>
          <w:rFonts w:ascii="Arial Unicode MS" w:eastAsia="Arial Unicode MS" w:hAnsi="Arial Unicode MS" w:hint="cs"/>
          <w:rtl/>
          <w:lang w:val="ar-SA"/>
        </w:rPr>
        <w:t>المبحث الثاني</w:t>
      </w:r>
      <w:bookmarkEnd w:id="125"/>
      <w:bookmarkEnd w:id="126"/>
    </w:p>
    <w:p w14:paraId="73B8B162" w14:textId="77777777" w:rsidR="00454428" w:rsidRDefault="00C464EC" w:rsidP="00C72BA8">
      <w:pPr>
        <w:pStyle w:val="a"/>
        <w:rPr>
          <w:rStyle w:val="NoneA"/>
          <w:rtl/>
          <w:lang w:val="ar-SA"/>
        </w:rPr>
      </w:pPr>
      <w:bookmarkStart w:id="127" w:name="_Toc227251087"/>
      <w:bookmarkStart w:id="128" w:name="_Toc232260644"/>
      <w:r>
        <w:rPr>
          <w:rStyle w:val="None"/>
          <w:rFonts w:ascii="Arial Unicode MS" w:eastAsia="Arial Unicode MS" w:hAnsi="Arial Unicode MS" w:hint="cs"/>
          <w:rtl/>
          <w:lang w:val="ar-SA"/>
        </w:rPr>
        <w:t>نُبذة تاريخية عن نشأة حقوق الملكية الفكرية</w:t>
      </w:r>
      <w:bookmarkEnd w:id="127"/>
      <w:bookmarkEnd w:id="128"/>
    </w:p>
    <w:p w14:paraId="0F7A0114" w14:textId="77777777" w:rsidR="00454428" w:rsidRDefault="00C464EC" w:rsidP="00C72BA8">
      <w:pPr>
        <w:pStyle w:val="BodyA"/>
        <w:spacing w:before="120" w:after="120" w:line="360" w:lineRule="auto"/>
        <w:jc w:val="both"/>
        <w:rPr>
          <w:rStyle w:val="None"/>
          <w:rFonts w:ascii="Times New Roman" w:eastAsia="Times New Roman" w:hAnsi="Times New Roman" w:cs="Times New Roman" w:hint="default"/>
          <w:b/>
          <w:bCs/>
          <w:sz w:val="28"/>
          <w:szCs w:val="28"/>
          <w:rtl/>
          <w:lang w:val="ar-SA"/>
        </w:rPr>
      </w:pPr>
      <w:bookmarkStart w:id="129" w:name="_Hlk184935422"/>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56881523"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lastRenderedPageBreak/>
        <w:t>نشأت حقوق الملكية الفكرية في أواخر القرن التاسع عشر لحماية إبداعات الأفراد والشركات، بدأت مع قوانين براءات الاختراع وحقوق التأليف والنشر، وتطوَّرت لتشمل العلامات التجارية والأسرار التجارية، تهدف هذه الحقوق إلى تشجيع الابتكار والإبداع من خلال منح المبدعين حقوقًا حصرية لاستخدام وتوزيع أعمالهم، تشمل أنواعها الرئيسية براءات الاختراع، حقوق التأليف والنشر، العلامات التجارية، والأسرار التجارية</w:t>
      </w:r>
      <w:r>
        <w:rPr>
          <w:rStyle w:val="None"/>
          <w:rFonts w:ascii="Times New Roman" w:hAnsi="Times New Roman"/>
          <w:sz w:val="24"/>
          <w:szCs w:val="24"/>
          <w:rtl/>
          <w:lang w:val="ar-SA"/>
        </w:rPr>
        <w:t>.</w:t>
      </w:r>
    </w:p>
    <w:p w14:paraId="3D9FB462"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سوف نتناول في هذا المبحث الآتي</w:t>
      </w:r>
      <w:r>
        <w:rPr>
          <w:rStyle w:val="None"/>
          <w:rFonts w:ascii="Times New Roman" w:hAnsi="Times New Roman"/>
          <w:sz w:val="24"/>
          <w:szCs w:val="24"/>
          <w:rtl/>
          <w:lang w:val="ar-SA"/>
        </w:rPr>
        <w:t>:</w:t>
      </w:r>
      <w:bookmarkEnd w:id="129"/>
    </w:p>
    <w:p w14:paraId="32D7F72F" w14:textId="77777777" w:rsidR="00454428" w:rsidRDefault="00C464EC">
      <w:pPr>
        <w:pStyle w:val="BodyA"/>
        <w:numPr>
          <w:ilvl w:val="0"/>
          <w:numId w:val="12"/>
        </w:numPr>
        <w:spacing w:before="120" w:after="120" w:line="360" w:lineRule="auto"/>
        <w:rPr>
          <w:rFonts w:ascii="Times New Roman" w:eastAsia="Times New Roman" w:hAnsi="Times New Roman" w:cs="Times New Roman" w:hint="default"/>
          <w:sz w:val="24"/>
          <w:szCs w:val="24"/>
          <w:rtl/>
          <w:lang w:val="ar-SA"/>
        </w:rPr>
      </w:pPr>
      <w:bookmarkStart w:id="130" w:name="_Hlk184225564"/>
      <w:r>
        <w:rPr>
          <w:rStyle w:val="None"/>
          <w:rFonts w:cs="Times New Roman"/>
          <w:b/>
          <w:bCs/>
          <w:sz w:val="24"/>
          <w:szCs w:val="24"/>
          <w:rtl/>
          <w:lang w:val="ar-SA"/>
        </w:rPr>
        <w:t>ا</w:t>
      </w:r>
      <w:bookmarkStart w:id="131" w:name="_Hlk202175058"/>
      <w:bookmarkEnd w:id="130"/>
      <w:r>
        <w:rPr>
          <w:rStyle w:val="None"/>
          <w:rFonts w:cs="Times New Roman"/>
          <w:b/>
          <w:bCs/>
          <w:sz w:val="24"/>
          <w:szCs w:val="24"/>
          <w:rtl/>
          <w:lang w:val="ar-SA"/>
        </w:rPr>
        <w:t>ل</w:t>
      </w:r>
      <w:bookmarkStart w:id="132" w:name="_Hlk184225902"/>
      <w:bookmarkEnd w:id="131"/>
      <w:r>
        <w:rPr>
          <w:rStyle w:val="None"/>
          <w:rFonts w:cs="Times New Roman"/>
          <w:b/>
          <w:bCs/>
          <w:sz w:val="24"/>
          <w:szCs w:val="24"/>
          <w:rtl/>
          <w:lang w:val="ar-SA"/>
        </w:rPr>
        <w:t>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نُبذة تاريخية عن نشأة حقوق الملكية الفكرية</w:t>
      </w:r>
      <w:r>
        <w:rPr>
          <w:rStyle w:val="None"/>
          <w:rFonts w:ascii="Times New Roman" w:hAnsi="Times New Roman"/>
          <w:sz w:val="24"/>
          <w:szCs w:val="24"/>
          <w:rtl/>
          <w:lang w:val="ar-SA"/>
        </w:rPr>
        <w:t>.</w:t>
      </w:r>
    </w:p>
    <w:p w14:paraId="223288EA" w14:textId="77777777" w:rsidR="00454428" w:rsidRDefault="00C464EC">
      <w:pPr>
        <w:pStyle w:val="BodyA"/>
        <w:numPr>
          <w:ilvl w:val="0"/>
          <w:numId w:val="12"/>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القانونية والمؤسسية لحماية حقوق الملكية الفكرية</w:t>
      </w:r>
      <w:r>
        <w:rPr>
          <w:rStyle w:val="None"/>
          <w:rFonts w:ascii="Times New Roman" w:hAnsi="Times New Roman"/>
          <w:sz w:val="24"/>
          <w:szCs w:val="24"/>
          <w:rtl/>
          <w:lang w:val="ar-SA"/>
        </w:rPr>
        <w:t>.</w:t>
      </w:r>
    </w:p>
    <w:p w14:paraId="07BB2D63"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32C8E12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5F72FCE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511F1BB0"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2CF3A5E7"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4D5535FA"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5489F745"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1222D48E"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9B20BF1"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53CA334"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3E17957"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66D34538" w14:textId="77777777" w:rsidR="00CC3E5F" w:rsidRP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6C5EDFE1"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79B55602"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332065E0"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7C04E64A" w14:textId="77777777" w:rsidR="0048398C" w:rsidRDefault="0048398C">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3175FD8A" w14:textId="4E5DB566" w:rsidR="00454428" w:rsidRDefault="00C464EC" w:rsidP="00C72BA8">
      <w:pPr>
        <w:pStyle w:val="a"/>
        <w:rPr>
          <w:rStyle w:val="None"/>
          <w:b w:val="0"/>
          <w:bCs w:val="0"/>
          <w:rtl/>
          <w:lang w:val="ar-SA"/>
        </w:rPr>
      </w:pPr>
      <w:bookmarkStart w:id="133" w:name="_Toc227251088"/>
      <w:bookmarkStart w:id="134" w:name="_Toc232260645"/>
      <w:r>
        <w:rPr>
          <w:rStyle w:val="None"/>
          <w:rFonts w:ascii="Arial Unicode MS" w:eastAsia="Arial Unicode MS" w:hAnsi="Arial Unicode MS" w:hint="cs"/>
          <w:rtl/>
          <w:lang w:val="ar-SA"/>
        </w:rPr>
        <w:lastRenderedPageBreak/>
        <w:t>المطلب الأول</w:t>
      </w:r>
      <w:bookmarkEnd w:id="133"/>
      <w:bookmarkEnd w:id="134"/>
    </w:p>
    <w:p w14:paraId="168C5F5E" w14:textId="77777777" w:rsidR="00454428" w:rsidRDefault="00C464EC" w:rsidP="00C72BA8">
      <w:pPr>
        <w:pStyle w:val="a"/>
        <w:rPr>
          <w:rStyle w:val="None"/>
          <w:b w:val="0"/>
          <w:bCs w:val="0"/>
          <w:rtl/>
          <w:lang w:val="ar-SA"/>
        </w:rPr>
      </w:pPr>
      <w:bookmarkStart w:id="135" w:name="_Toc227251089"/>
      <w:bookmarkStart w:id="136" w:name="_Toc232260646"/>
      <w:r>
        <w:rPr>
          <w:rStyle w:val="None"/>
          <w:rFonts w:ascii="Arial Unicode MS" w:eastAsia="Arial Unicode MS" w:hAnsi="Arial Unicode MS" w:hint="cs"/>
          <w:rtl/>
          <w:lang w:val="ar-SA"/>
        </w:rPr>
        <w:t>نُبذة تاريخية عن نشأة حقوق الملكية الفكرية</w:t>
      </w:r>
      <w:bookmarkEnd w:id="135"/>
      <w:bookmarkEnd w:id="136"/>
    </w:p>
    <w:bookmarkEnd w:id="132"/>
    <w:p w14:paraId="22335086" w14:textId="77777777" w:rsidR="00454428" w:rsidRDefault="00C464EC" w:rsidP="00C72BA8">
      <w:pPr>
        <w:pStyle w:val="BodyA"/>
        <w:spacing w:before="120" w:after="120" w:line="360" w:lineRule="auto"/>
        <w:jc w:val="both"/>
        <w:rPr>
          <w:rStyle w:val="None"/>
          <w:rFonts w:ascii="Times New Roman" w:eastAsia="Times New Roman" w:hAnsi="Times New Roman" w:cs="Times New Roman" w:hint="default"/>
          <w:b/>
          <w:bCs/>
          <w:sz w:val="28"/>
          <w:szCs w:val="28"/>
          <w:rtl/>
          <w:lang w:val="ar-SA"/>
        </w:rPr>
      </w:pPr>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25A4E113"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لقد ازداد اهتمام العالم بموضوع الملكية الفكرية التي أصبحت من مفردات هذا العصر، بيد أنَّ جذورها ضاربة في التاريخ، ولم تأتِ من العدم، بل جاءت نتيجة التطوُّرات التاريخية التي عَرِفها الإنسان في حياته منذ الأزل، فهي عصارة مجهوداته وإبداعاته الإنسانية التي تبني الحضارات وترقي الأمم، فيستحق المبدع من مخلفاته كل التقدير والتشجيع؛ لما يقدمه من إسهامات يستفيد منها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9"/>
      </w:r>
      <w:r>
        <w:rPr>
          <w:rStyle w:val="None"/>
          <w:rFonts w:ascii="Times New Roman" w:hAnsi="Times New Roman"/>
          <w:sz w:val="24"/>
          <w:szCs w:val="24"/>
          <w:vertAlign w:val="superscript"/>
          <w:rtl/>
          <w:lang w:val="ar-SA"/>
        </w:rPr>
        <w:t>)</w:t>
      </w:r>
    </w:p>
    <w:p w14:paraId="415B58D0" w14:textId="77777777" w:rsidR="00454428" w:rsidRDefault="00C464EC" w:rsidP="0048398C">
      <w:pPr>
        <w:pStyle w:val="BodyA"/>
        <w:spacing w:before="120" w:after="120" w:line="360" w:lineRule="auto"/>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لذلك سوف نتناول في هذا المطلب ما يلي</w:t>
      </w:r>
      <w:r>
        <w:rPr>
          <w:rStyle w:val="None"/>
          <w:rFonts w:ascii="Times New Roman" w:hAnsi="Times New Roman"/>
          <w:sz w:val="24"/>
          <w:szCs w:val="24"/>
          <w:rtl/>
          <w:lang w:val="ar-SA"/>
        </w:rPr>
        <w:t xml:space="preserve">: </w:t>
      </w:r>
    </w:p>
    <w:p w14:paraId="686B0544" w14:textId="77777777" w:rsidR="00454428" w:rsidRDefault="00C464EC">
      <w:pPr>
        <w:pStyle w:val="BodyA"/>
        <w:numPr>
          <w:ilvl w:val="0"/>
          <w:numId w:val="57"/>
        </w:numPr>
        <w:spacing w:before="120" w:after="120" w:line="360" w:lineRule="auto"/>
        <w:rPr>
          <w:rFonts w:ascii="Times New Roman" w:eastAsia="Times New Roman" w:hAnsi="Times New Roman" w:cs="Times New Roman" w:hint="default"/>
          <w:sz w:val="24"/>
          <w:szCs w:val="24"/>
          <w:rtl/>
          <w:lang w:val="ar-SA"/>
        </w:rPr>
      </w:pPr>
      <w:bookmarkStart w:id="137" w:name="_Hlk195996791"/>
      <w:r>
        <w:rPr>
          <w:rStyle w:val="None"/>
          <w:rFonts w:cs="Times New Roman"/>
          <w:b/>
          <w:bCs/>
          <w:sz w:val="24"/>
          <w:szCs w:val="24"/>
          <w:rtl/>
          <w:lang w:val="ar-SA"/>
        </w:rPr>
        <w:t xml:space="preserve">الفرع </w:t>
      </w:r>
      <w:bookmarkEnd w:id="137"/>
      <w:r>
        <w:rPr>
          <w:rStyle w:val="None"/>
          <w:rFonts w:cs="Times New Roman"/>
          <w:b/>
          <w:bCs/>
          <w:sz w:val="24"/>
          <w:szCs w:val="24"/>
          <w:rtl/>
          <w:lang w:val="ar-SA"/>
        </w:rPr>
        <w:t>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تاريخ تطوُّر الملكية الفكرية</w:t>
      </w:r>
      <w:r>
        <w:rPr>
          <w:rStyle w:val="None"/>
          <w:rFonts w:ascii="Times New Roman" w:hAnsi="Times New Roman"/>
          <w:sz w:val="24"/>
          <w:szCs w:val="24"/>
          <w:rtl/>
          <w:lang w:val="ar-SA"/>
        </w:rPr>
        <w:t>.</w:t>
      </w:r>
    </w:p>
    <w:p w14:paraId="6CB5FC82" w14:textId="77777777" w:rsidR="00454428" w:rsidRDefault="00C464EC">
      <w:pPr>
        <w:pStyle w:val="BodyA"/>
        <w:numPr>
          <w:ilvl w:val="0"/>
          <w:numId w:val="5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نشأة حقوق المؤلف في الدول العربية</w:t>
      </w:r>
      <w:r>
        <w:rPr>
          <w:rStyle w:val="None"/>
          <w:rFonts w:ascii="Times New Roman" w:hAnsi="Times New Roman"/>
          <w:sz w:val="24"/>
          <w:szCs w:val="24"/>
          <w:rtl/>
          <w:lang w:val="ar-SA"/>
        </w:rPr>
        <w:t>.</w:t>
      </w:r>
    </w:p>
    <w:p w14:paraId="66F0EB0F" w14:textId="77777777" w:rsidR="00454428" w:rsidRDefault="00C464EC" w:rsidP="00C72BA8">
      <w:pPr>
        <w:pStyle w:val="a"/>
        <w:rPr>
          <w:rStyle w:val="None"/>
          <w:b w:val="0"/>
          <w:bCs w:val="0"/>
          <w:rtl/>
          <w:lang w:val="ar-SA"/>
        </w:rPr>
      </w:pPr>
      <w:bookmarkStart w:id="138" w:name="_Toc227251090"/>
      <w:bookmarkStart w:id="139" w:name="_Toc232260647"/>
      <w:r>
        <w:rPr>
          <w:rStyle w:val="None"/>
          <w:rFonts w:ascii="Arial Unicode MS" w:eastAsia="Arial Unicode MS" w:hAnsi="Arial Unicode MS" w:hint="cs"/>
          <w:rtl/>
          <w:lang w:val="ar-SA"/>
        </w:rPr>
        <w:t>الفرع الأول</w:t>
      </w:r>
      <w:bookmarkEnd w:id="138"/>
      <w:bookmarkEnd w:id="139"/>
    </w:p>
    <w:p w14:paraId="437699C8" w14:textId="77777777" w:rsidR="00454428" w:rsidRDefault="00C464EC" w:rsidP="00C72BA8">
      <w:pPr>
        <w:pStyle w:val="a"/>
        <w:rPr>
          <w:rStyle w:val="None"/>
          <w:b w:val="0"/>
          <w:bCs w:val="0"/>
          <w:rtl/>
          <w:lang w:val="ar-SA"/>
        </w:rPr>
      </w:pPr>
      <w:bookmarkStart w:id="140" w:name="_Toc227251091"/>
      <w:bookmarkStart w:id="141" w:name="_Toc232260648"/>
      <w:r>
        <w:rPr>
          <w:rStyle w:val="None"/>
          <w:rFonts w:ascii="Arial Unicode MS" w:eastAsia="Arial Unicode MS" w:hAnsi="Arial Unicode MS" w:hint="cs"/>
          <w:rtl/>
          <w:lang w:val="ar-SA"/>
        </w:rPr>
        <w:t>تاريخ تطوُّر الملكية الفكرية</w:t>
      </w:r>
      <w:bookmarkEnd w:id="140"/>
      <w:bookmarkEnd w:id="141"/>
    </w:p>
    <w:p w14:paraId="37F666BF"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tl/>
          <w:lang w:val="ar-SA"/>
        </w:rPr>
      </w:pPr>
      <w:r>
        <w:rPr>
          <w:rStyle w:val="None"/>
          <w:rFonts w:cs="Times New Roman"/>
          <w:sz w:val="24"/>
          <w:szCs w:val="24"/>
          <w:rtl/>
          <w:lang w:val="ar-SA"/>
        </w:rPr>
        <w:t>مع تطوُّر الكتابة وتعدد وسائل التدوين، سعى الإغريق إلى صون حقوقهم الفكرية من خلال إيداع مؤلفاتهم في المكتبة الوطنية؛ حيث لم تكن هذه المؤلفات متاحةً إلا ضمن نطاق المكتبة؛ ممَّا يعكس إحدى صور الحماية المبكرة للمصنفات الفكرية، ويشابه هذا الإجراء ما يعرف في الوقت الراهن بنظام الإيداع القانوني الذي يهدف إلى حماية الملكية الفكرية، وفي روما القديمة اعتبر انتحال أعمال الآخرين فعلًا معيبًا يقتضي الإدانة الأخلاقية والاجتماعية، وهو ما يدل على وجود إدراك ضمني لقيمة الإبداع وضرورة نسبته إلى صاحبه، كما لم يكن العالم العربي بمنأى عن هذا التوجه؛ إذْ حظي الأدب والشعر بمكانة بارزة في الحضارة العربية، وكان الشعراء يحظون بالتقدير والتكريم، وقد أبدى المجتمع العربي رفضًا قاطعًا لكل أشكال السطو على الإنتاج الأدبي، سواء بسرقة بيت شعر، أو نسبة قصيدة إلى غير صاحبها؛ ممَّا يعكس وعيًا مبكرًا بأهمية حماية الإبداع واحترام الحقوق المعنوية للمؤلفين، ويشير هذا التراكم التاريخي إلى أنَّ مفاهيم حماية الملكية الفكرية لم تكن وليدة العصر الحديث، وإنما تعود جذورها إلى الحضارات القديمة التي سعت إلى صون الجهد الذهني والاعتراف بمكانة المبدعين داخل مجتمعاتها، وهو ما مهد الطريق لتبلور المفاهيم القانونية الحديثة في هذا المجال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0"/>
      </w:r>
      <w:r>
        <w:rPr>
          <w:rStyle w:val="None"/>
          <w:rFonts w:ascii="Times New Roman" w:hAnsi="Times New Roman"/>
          <w:sz w:val="24"/>
          <w:szCs w:val="24"/>
          <w:vertAlign w:val="superscript"/>
          <w:rtl/>
          <w:lang w:val="ar-SA"/>
        </w:rPr>
        <w:t>)</w:t>
      </w:r>
    </w:p>
    <w:p w14:paraId="02D0861B"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vertAlign w:val="superscript"/>
          <w:rtl/>
          <w:lang w:val="ar-SA"/>
        </w:rPr>
      </w:pPr>
      <w:r>
        <w:rPr>
          <w:rStyle w:val="None"/>
          <w:rFonts w:cs="Times New Roman"/>
          <w:sz w:val="24"/>
          <w:szCs w:val="24"/>
          <w:rtl/>
          <w:lang w:val="ar-SA"/>
        </w:rPr>
        <w:t>سبق الإسلام جميع الأنظمة القانونية في الاعتراف بالملكية الفكرية وتوفير وسائل لحمايتها؛ حيث دعا إلى نسبها لأصحابها فقد قال الله تعالى</w:t>
      </w:r>
      <w:r>
        <w:rPr>
          <w:rStyle w:val="None"/>
          <w:rFonts w:ascii="Times New Roman" w:hAnsi="Times New Roman"/>
          <w:sz w:val="24"/>
          <w:szCs w:val="24"/>
          <w:rtl/>
          <w:lang w:val="ar-SA"/>
        </w:rPr>
        <w:t>: "</w:t>
      </w:r>
      <w:r>
        <w:rPr>
          <w:rStyle w:val="None"/>
          <w:rFonts w:cs="Times New Roman"/>
          <w:sz w:val="24"/>
          <w:szCs w:val="24"/>
          <w:rtl/>
          <w:lang w:val="ar-SA"/>
        </w:rPr>
        <w:t>يا أَيُّهَا الَّذِينَ آمَنُوا لا تَأْكُلُوا أَمْوالَكُمْ بَيْنَكُمْ بِالْبَاطِلِ إِلَّا أَنْ تَكُونَ تِجارَةً عَنْ تَراضٍ مِنْكُمْ وَلا تَقْتُلُوا أَنْفُسَكُمْ إِنَّ اللهَ كَانَ بِكُمْ رَحِيما</w:t>
      </w:r>
      <w:r>
        <w:rPr>
          <w:rStyle w:val="None"/>
          <w:rFonts w:ascii="Times New Roman" w:hAnsi="Times New Roman"/>
          <w:sz w:val="24"/>
          <w:szCs w:val="24"/>
          <w:rtl/>
          <w:lang w:val="ar-SA"/>
        </w:rPr>
        <w:t>" [</w:t>
      </w:r>
      <w:r>
        <w:rPr>
          <w:rStyle w:val="None"/>
          <w:rFonts w:cs="Times New Roman"/>
          <w:sz w:val="24"/>
          <w:szCs w:val="24"/>
          <w:rtl/>
          <w:lang w:val="ar-SA"/>
        </w:rPr>
        <w:t>سورة النساء</w:t>
      </w:r>
      <w:r>
        <w:rPr>
          <w:rStyle w:val="None"/>
          <w:rFonts w:ascii="Times New Roman" w:hAnsi="Times New Roman"/>
          <w:sz w:val="24"/>
          <w:szCs w:val="24"/>
          <w:rtl/>
          <w:lang w:val="ar-SA"/>
        </w:rPr>
        <w:t xml:space="preserve">: </w:t>
      </w:r>
      <w:r>
        <w:rPr>
          <w:rStyle w:val="None"/>
          <w:rFonts w:cs="Times New Roman"/>
          <w:sz w:val="24"/>
          <w:szCs w:val="24"/>
          <w:rtl/>
          <w:lang w:val="ar-SA"/>
        </w:rPr>
        <w:t>الآية ٢٩</w:t>
      </w:r>
      <w:r>
        <w:rPr>
          <w:rStyle w:val="None"/>
          <w:rFonts w:ascii="Times New Roman" w:hAnsi="Times New Roman"/>
          <w:sz w:val="24"/>
          <w:szCs w:val="24"/>
          <w:rtl/>
          <w:lang w:val="ar-SA"/>
        </w:rPr>
        <w:t>]</w:t>
      </w:r>
      <w:r>
        <w:rPr>
          <w:rStyle w:val="None"/>
          <w:rFonts w:cs="Times New Roman"/>
          <w:sz w:val="24"/>
          <w:szCs w:val="24"/>
          <w:rtl/>
          <w:lang w:val="ar-SA"/>
        </w:rPr>
        <w:t xml:space="preserve">، وورد عن النبي محمد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xml:space="preserve">- </w:t>
      </w:r>
      <w:r>
        <w:rPr>
          <w:rStyle w:val="None"/>
          <w:rFonts w:cs="Times New Roman"/>
          <w:sz w:val="24"/>
          <w:szCs w:val="24"/>
          <w:rtl/>
          <w:lang w:val="ar-SA"/>
        </w:rPr>
        <w:t>قوله</w:t>
      </w:r>
      <w:r>
        <w:rPr>
          <w:rStyle w:val="None"/>
          <w:rFonts w:ascii="Times New Roman" w:hAnsi="Times New Roman"/>
          <w:sz w:val="24"/>
          <w:szCs w:val="24"/>
          <w:rtl/>
          <w:lang w:val="ar-SA"/>
        </w:rPr>
        <w:t>: "</w:t>
      </w:r>
      <w:r>
        <w:rPr>
          <w:rStyle w:val="None"/>
          <w:rFonts w:cs="Times New Roman"/>
          <w:sz w:val="24"/>
          <w:szCs w:val="24"/>
          <w:rtl/>
          <w:lang w:val="ar-SA"/>
        </w:rPr>
        <w:t xml:space="preserve">لا </w:t>
      </w:r>
      <w:r>
        <w:rPr>
          <w:rStyle w:val="None"/>
          <w:rFonts w:cs="Times New Roman"/>
          <w:sz w:val="24"/>
          <w:szCs w:val="24"/>
          <w:rtl/>
          <w:lang w:val="ar-SA"/>
        </w:rPr>
        <w:lastRenderedPageBreak/>
        <w:t>يحل مال امرئ مسلم إلا بطيب نفس منه</w:t>
      </w:r>
      <w:r>
        <w:rPr>
          <w:rStyle w:val="None"/>
          <w:rFonts w:ascii="Times New Roman" w:hAnsi="Times New Roman"/>
          <w:sz w:val="24"/>
          <w:szCs w:val="24"/>
          <w:rtl/>
          <w:lang w:val="ar-SA"/>
        </w:rPr>
        <w:t>" (</w:t>
      </w:r>
      <w:r>
        <w:rPr>
          <w:rStyle w:val="None"/>
          <w:rFonts w:cs="Times New Roman"/>
          <w:sz w:val="24"/>
          <w:szCs w:val="24"/>
          <w:rtl/>
          <w:lang w:val="ar-SA"/>
        </w:rPr>
        <w:t>ابن حنبل،</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21082)</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81"/>
      </w:r>
      <w:r>
        <w:rPr>
          <w:rStyle w:val="None"/>
          <w:rFonts w:ascii="Times New Roman" w:hAnsi="Times New Roman"/>
          <w:vertAlign w:val="superscript"/>
          <w:rtl/>
          <w:lang w:val="ar-SA"/>
        </w:rPr>
        <w:t>)</w:t>
      </w:r>
      <w:r>
        <w:rPr>
          <w:rStyle w:val="None"/>
          <w:rFonts w:cs="Times New Roman"/>
          <w:rtl/>
          <w:lang w:val="ar-SA"/>
        </w:rPr>
        <w:t xml:space="preserve">، </w:t>
      </w:r>
      <w:r>
        <w:rPr>
          <w:rStyle w:val="None"/>
          <w:rFonts w:cs="Times New Roman"/>
          <w:sz w:val="24"/>
          <w:szCs w:val="24"/>
          <w:rtl/>
          <w:lang w:val="ar-SA"/>
        </w:rPr>
        <w:t xml:space="preserve"> كما قال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من غشنا فليس منا</w:t>
      </w:r>
      <w:r>
        <w:rPr>
          <w:rStyle w:val="None"/>
          <w:rFonts w:ascii="Times New Roman" w:hAnsi="Times New Roman"/>
          <w:sz w:val="24"/>
          <w:szCs w:val="24"/>
          <w:rtl/>
          <w:lang w:val="ar-SA"/>
        </w:rPr>
        <w:t>" (</w:t>
      </w:r>
      <w:r>
        <w:rPr>
          <w:rStyle w:val="None"/>
          <w:rFonts w:cs="Times New Roman"/>
          <w:sz w:val="24"/>
          <w:szCs w:val="24"/>
          <w:rtl/>
          <w:lang w:val="ar-SA"/>
        </w:rPr>
        <w:t xml:space="preserve">مسلم، </w:t>
      </w:r>
      <w:r>
        <w:rPr>
          <w:rStyle w:val="None"/>
          <w:rFonts w:ascii="Times New Roman" w:hAnsi="Times New Roman"/>
          <w:sz w:val="24"/>
          <w:szCs w:val="24"/>
          <w:rtl/>
          <w:lang w:val="ar-SA"/>
        </w:rPr>
        <w:t>1955</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102)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6FAF"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rtl/>
          <w:lang w:val="ar-SA"/>
        </w:rPr>
      </w:pPr>
      <w:r>
        <w:rPr>
          <w:rStyle w:val="None"/>
          <w:rFonts w:cs="Times New Roman"/>
          <w:sz w:val="24"/>
          <w:szCs w:val="24"/>
          <w:rtl/>
          <w:lang w:val="ar-SA"/>
        </w:rPr>
        <w:t xml:space="preserve">فقد نصت الشريعة الإسلامية على القواعد الصحيحة لتحمل الأحاديث النبوية وأدائها، وحددت الشروط الواجب توافرها في الراوي؛ لضمان صحة النقل ودقته، كما حذرت من السرقة عمومًا والانتحال خصوصًا؛ باعتباره اعتداء على الحقوق الفكرية والمعنوية، وقد كان المسلمون من أوائل من أسس لنظام يشبه الإيداع أو التخليد؛ وذلك بهدف صون مؤلفات العلماء والرواة من التحريف أو التغيير سواء بالزيادة أو النقص، وكان ذلك انطلاقًا من مبدأ العدل ووجوب الأمانة في النقل؛ ممَّا يعكس وعيًا مبكرًا بأهمية حماية الإنتاج العلمي والفكري وصونه من العبث أو التزوير، وقد قال رسول الله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نضَّر الله امرأً سمع منا حديثًا، فبلغه كما سمعه؛ فرُبَّ مُبلَّغٍ أوعى له من سامع</w:t>
      </w:r>
      <w:r>
        <w:rPr>
          <w:rStyle w:val="None"/>
          <w:rFonts w:ascii="Times New Roman" w:hAnsi="Times New Roman"/>
          <w:sz w:val="24"/>
          <w:szCs w:val="24"/>
          <w:rtl/>
          <w:lang w:val="ar-SA"/>
        </w:rPr>
        <w:t>" (</w:t>
      </w:r>
      <w:r>
        <w:rPr>
          <w:rStyle w:val="None"/>
          <w:rFonts w:cs="Times New Roman"/>
          <w:sz w:val="24"/>
          <w:szCs w:val="24"/>
          <w:rtl/>
          <w:lang w:val="ar-SA"/>
        </w:rPr>
        <w:t xml:space="preserve">ابن حنبل، </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4157</w:t>
      </w:r>
      <w:r>
        <w:rPr>
          <w:rStyle w:val="None"/>
          <w:rFonts w:cs="Times New Roman"/>
          <w:sz w:val="24"/>
          <w:szCs w:val="24"/>
          <w:rtl/>
          <w:lang w:val="ar-SA"/>
        </w:rPr>
        <w:t xml:space="preserve">؛ الترمذي، </w:t>
      </w:r>
      <w:r>
        <w:rPr>
          <w:rStyle w:val="None"/>
          <w:rFonts w:ascii="Times New Roman" w:hAnsi="Times New Roman"/>
          <w:sz w:val="24"/>
          <w:szCs w:val="24"/>
          <w:rtl/>
          <w:lang w:val="ar-SA"/>
        </w:rPr>
        <w:t>1996</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2657)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83"/>
      </w:r>
      <w:r>
        <w:rPr>
          <w:rStyle w:val="None"/>
          <w:rFonts w:ascii="Times New Roman" w:hAnsi="Times New Roman"/>
          <w:sz w:val="20"/>
          <w:szCs w:val="20"/>
          <w:vertAlign w:val="superscript"/>
          <w:rtl/>
          <w:lang w:val="ar-SA"/>
        </w:rPr>
        <w:t>)</w:t>
      </w:r>
      <w:r>
        <w:rPr>
          <w:rStyle w:val="None"/>
          <w:rFonts w:ascii="Times New Roman" w:hAnsi="Times New Roman"/>
          <w:rtl/>
          <w:lang w:val="ar-SA"/>
        </w:rPr>
        <w:t>.</w:t>
      </w:r>
    </w:p>
    <w:p w14:paraId="0F8A570F"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لقد أولى العرب منذ القدم أهمية بالغة لحماية الإنتاج الفكري والأدبي، فكانوا ينسبون الأشعار إلى أصحابها ويقدسون حق الشاعر أو الأديب في نتاجه الأدبي، كما كانوا يذمُّون كل من يقوم بسرقة الشعر أو نقل الأفكار من دون نسبتها إلى مصدرها، ويظهر هذا جليًا في قول الشاعر طَرَفَة بن العبد حين قال</w:t>
      </w:r>
      <w:r>
        <w:rPr>
          <w:rStyle w:val="None"/>
          <w:rFonts w:ascii="Times New Roman" w:hAnsi="Times New Roman"/>
          <w:sz w:val="24"/>
          <w:szCs w:val="24"/>
          <w:rtl/>
          <w:lang w:val="ar-SA"/>
        </w:rPr>
        <w:t xml:space="preserve">: </w:t>
      </w:r>
    </w:p>
    <w:p w14:paraId="493A93B2" w14:textId="77777777" w:rsidR="00454428" w:rsidRDefault="00C464EC"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r>
        <w:rPr>
          <w:rStyle w:val="None"/>
          <w:rFonts w:cs="Times New Roman"/>
          <w:b/>
          <w:bCs/>
          <w:sz w:val="24"/>
          <w:szCs w:val="24"/>
          <w:rtl/>
          <w:lang w:val="ar-SA"/>
        </w:rPr>
        <w:t xml:space="preserve">ولا أُغِيرُ على الأشعارِ فأسرقُها </w:t>
      </w:r>
      <w:r>
        <w:rPr>
          <w:rStyle w:val="None"/>
          <w:rFonts w:ascii="Times New Roman" w:hAnsi="Times New Roman"/>
          <w:b/>
          <w:bCs/>
          <w:sz w:val="24"/>
          <w:szCs w:val="24"/>
          <w:rtl/>
          <w:lang w:val="ar-SA"/>
        </w:rPr>
        <w:t xml:space="preserve">*** </w:t>
      </w:r>
      <w:r>
        <w:rPr>
          <w:rStyle w:val="None"/>
          <w:rFonts w:cs="Times New Roman"/>
          <w:b/>
          <w:bCs/>
          <w:sz w:val="24"/>
          <w:szCs w:val="24"/>
          <w:rtl/>
          <w:lang w:val="ar-SA"/>
        </w:rPr>
        <w:t>عنها غَنِيتُ وشرُّ الناسِ مَن سرقَا</w:t>
      </w:r>
    </w:p>
    <w:p w14:paraId="6740E4CF"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وهو بيت يعبر عن امتعاضه من السطو على نتاج الآخرين الفكري، ويؤكد أنَّ هذا الفعل من أسوأ الأفعال، وقد انعكس هذا الوعي أيضًا في الفقه الإسلامي؛ حيث اعتنى العلماء بنسبة الأقوال، والفتاوى، والأعمال إلى أصحابها عبر ما يعرف بالإسناد، والذي لم يكن مقتصرًا على الأحاديث النبوية، بل شمل كل ما يُروى أو يُقال في مختلف العلوم والمجالات، ويُعَدُّ الإسناد تجسيدًا لمبادئ الشريعة في الصدق والأمانة ورد الحقوق إلى أصحابها، كما أنَّ قواعد الفقه الإسلامي في المعاملات</w:t>
      </w:r>
      <w:r>
        <w:rPr>
          <w:rStyle w:val="None"/>
          <w:rFonts w:ascii="Times New Roman" w:hAnsi="Times New Roman"/>
          <w:sz w:val="24"/>
          <w:szCs w:val="24"/>
          <w:rtl/>
          <w:lang w:val="ar-SA"/>
        </w:rPr>
        <w:t xml:space="preserve">: </w:t>
      </w:r>
      <w:r>
        <w:rPr>
          <w:rStyle w:val="None"/>
          <w:rFonts w:cs="Times New Roman"/>
          <w:sz w:val="24"/>
          <w:szCs w:val="24"/>
          <w:rtl/>
          <w:lang w:val="ar-SA"/>
        </w:rPr>
        <w:t>كالبيع، والإجارة، والشركة، والحقوق، والأموال، إضافةً إلى اعتبار العرف والمصالح المرسلة، تؤسس جميعها لحماية ملكية الأفراد، سواء كانت مادية أو معنوية، وبِناءً عليه</w:t>
      </w:r>
      <w:r>
        <w:rPr>
          <w:rStyle w:val="None"/>
          <w:rFonts w:ascii="Times New Roman" w:hAnsi="Times New Roman"/>
          <w:sz w:val="24"/>
          <w:szCs w:val="24"/>
          <w:rtl/>
          <w:lang w:val="ar-SA"/>
        </w:rPr>
        <w:t xml:space="preserve">: </w:t>
      </w:r>
      <w:r>
        <w:rPr>
          <w:rStyle w:val="None"/>
          <w:rFonts w:cs="Times New Roman"/>
          <w:sz w:val="24"/>
          <w:szCs w:val="24"/>
          <w:rtl/>
          <w:lang w:val="ar-SA"/>
        </w:rPr>
        <w:t>فإنَّ إعمال هذه القواعد يُعَدُّ أساسًا مهمًا يجب أنْ يُراعى عند صياغة أي تشريع ينظم حقوق الملكية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4"/>
      </w:r>
      <w:r>
        <w:rPr>
          <w:rStyle w:val="None"/>
          <w:rFonts w:ascii="Times New Roman" w:hAnsi="Times New Roman"/>
          <w:sz w:val="24"/>
          <w:szCs w:val="24"/>
          <w:vertAlign w:val="superscript"/>
          <w:rtl/>
          <w:lang w:val="ar-SA"/>
        </w:rPr>
        <w:t>)</w:t>
      </w:r>
    </w:p>
    <w:p w14:paraId="3F96CE8A"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ظلت الأفكار والإبداعات لفترات طويلة دون إطار قانوني يحميها من التعدي أو الاستغلال غير المشروع، إلى أنْ شهد القرن الثامن عشر تحوُّلًا جذريًا في النظرة إلى الفرد وحقوقه؛ حيث بدأ الاعتراف بحقوق الأفراد في نتاجهم الفكري والإبداعي، وقد ارتبط هذا التحوُّل ارتباطًا وثيقًا بتطوُّر تقنيات الطباعة وانتشارها؛ إذْ ساهمت الطباعة في تسهيل نشر الأفكار وتوسيع نطاق تداول الكتب؛ ممَّا أدى إلى زيادة الطلب على المصنفات المطبوعة، ونتج عن ذلك تصاعد الحاجة إلى تنظيم قانوني يحمي حقوق المؤلفين من عمليات النسخ غير المصرح بها، وهو ما دفع عددًا من الدول إلى سن تشريعات تهدف إلى صون هذه الحقوق، وكانت إنجلترا من أوائل الدول التي بادرت إلى ذلك؛ حيث أصدرت في عام </w:t>
      </w:r>
      <w:r>
        <w:rPr>
          <w:rStyle w:val="None"/>
          <w:rFonts w:ascii="Times New Roman" w:hAnsi="Times New Roman"/>
          <w:sz w:val="24"/>
          <w:szCs w:val="24"/>
          <w:rtl/>
          <w:lang w:val="ar-SA"/>
        </w:rPr>
        <w:lastRenderedPageBreak/>
        <w:t xml:space="preserve">1709 </w:t>
      </w:r>
      <w:r>
        <w:rPr>
          <w:rStyle w:val="None"/>
          <w:rFonts w:cs="Times New Roman"/>
          <w:sz w:val="24"/>
          <w:szCs w:val="24"/>
          <w:rtl/>
          <w:lang w:val="ar-SA"/>
        </w:rPr>
        <w:t xml:space="preserve">قانون </w:t>
      </w:r>
      <w:r>
        <w:rPr>
          <w:rStyle w:val="None"/>
          <w:rFonts w:ascii="Times New Roman" w:hAnsi="Times New Roman"/>
          <w:sz w:val="24"/>
          <w:szCs w:val="24"/>
          <w:rtl/>
          <w:lang w:val="ar-SA"/>
        </w:rPr>
        <w:t>"</w:t>
      </w:r>
      <w:r>
        <w:rPr>
          <w:rStyle w:val="None"/>
          <w:rFonts w:cs="Times New Roman"/>
          <w:sz w:val="24"/>
          <w:szCs w:val="24"/>
          <w:rtl/>
          <w:lang w:val="ar-SA"/>
        </w:rPr>
        <w:t>آن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5"/>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الذي شكل نقطةَ انطلاقٍ مهمة في تاريخ حماية حقوق المؤلف؛ إذْ منح هذا القانون المؤلفين أنفسهم حقوقًا حصرية في التأليف، بعد أنْ كانت هذه الحقوق تقتصر في السابق على الناشرين، واستمر التطوُّر التشريعي في هذا المجال، فصدر في عام </w:t>
      </w:r>
      <w:r>
        <w:rPr>
          <w:rStyle w:val="None"/>
          <w:rFonts w:ascii="Times New Roman" w:hAnsi="Times New Roman"/>
          <w:sz w:val="24"/>
          <w:szCs w:val="24"/>
          <w:rtl/>
          <w:lang w:val="ar-SA"/>
        </w:rPr>
        <w:t xml:space="preserve">1911 </w:t>
      </w:r>
      <w:r>
        <w:rPr>
          <w:rStyle w:val="None"/>
          <w:rFonts w:cs="Times New Roman"/>
          <w:sz w:val="24"/>
          <w:szCs w:val="24"/>
          <w:rtl/>
          <w:lang w:val="ar-SA"/>
        </w:rPr>
        <w:t>قانون حقوق المؤلف في إنجلترا، الذي توسع نطاق حمايته ليشمل المؤلفات الأدبية والفنية، وأعمال الرسم والنحت، بالإضافة إلى الصور الفوتوغرافية والهندسية؛ ممَّا عزّز الإطار القانوني لحماية الملكية الفكرية، وكرس مبدأ الاعتراف بالحقوق المعنوية والمادية لأصحاب المصنفات، وأسهم في توفير بيئة تشريعية داعمة للإبداع والابتكار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6"/>
      </w:r>
      <w:r>
        <w:rPr>
          <w:rStyle w:val="None"/>
          <w:rFonts w:ascii="Times New Roman" w:hAnsi="Times New Roman"/>
          <w:sz w:val="24"/>
          <w:szCs w:val="24"/>
          <w:vertAlign w:val="superscript"/>
          <w:rtl/>
          <w:lang w:val="ar-SA"/>
        </w:rPr>
        <w:t>)</w:t>
      </w:r>
    </w:p>
    <w:p w14:paraId="177E48D8"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تأخرت فرنسا عن إنجلترا في إصدار تشريعات تنظم حماية حقوق المؤلف بما يقارب ثمانين عامًا؛ إذْ صدر أول قانون فرنسي في هذا المجال عام </w:t>
      </w:r>
      <w:r>
        <w:rPr>
          <w:rStyle w:val="None"/>
          <w:rFonts w:ascii="Times New Roman" w:hAnsi="Times New Roman"/>
          <w:sz w:val="24"/>
          <w:szCs w:val="24"/>
          <w:rtl/>
          <w:lang w:val="ar-SA"/>
        </w:rPr>
        <w:t>1791</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7"/>
      </w:r>
      <w:r>
        <w:rPr>
          <w:rStyle w:val="None"/>
          <w:rFonts w:ascii="Times New Roman" w:hAnsi="Times New Roman"/>
          <w:sz w:val="24"/>
          <w:szCs w:val="24"/>
          <w:vertAlign w:val="superscript"/>
          <w:rtl/>
          <w:lang w:val="ar-SA"/>
        </w:rPr>
        <w:t>)</w:t>
      </w:r>
      <w:r>
        <w:rPr>
          <w:rStyle w:val="None"/>
          <w:rFonts w:cs="Times New Roman"/>
          <w:sz w:val="24"/>
          <w:szCs w:val="24"/>
          <w:rtl/>
          <w:lang w:val="ar-SA"/>
        </w:rPr>
        <w:t>، وكان مخصصًا لحماية حقوق مؤلفي المسرحيات؛ حيث منحهم الحق في نشر واستغلال أعمالهم طيلة حياتهم، ثم امتدت هذه الحماية إلى ورثتهم لمدة خمس سنوات بعد وفاة المؤلف، وقد شكل هذا القانون بداية الاعتراف الرسمي بالحقوق الفكرية في فرنسا، وفي مراحل لاحقة تم توسيع نطاق الحماية ليشمل مختلف أنواع المصنفات الأدبية والفنية، وهو ما يعكس تطوُّرًا تدريجيًا في وعي المشرع بأهمية حماية الإبداع الأدبي والفني،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لم تبادر الولايات المتحدة الأمريكية بإصدار قوانين لحماية حقوق المؤلف إلا في عام </w:t>
      </w:r>
      <w:r>
        <w:rPr>
          <w:rStyle w:val="None"/>
          <w:rFonts w:ascii="Times New Roman" w:hAnsi="Times New Roman"/>
          <w:sz w:val="24"/>
          <w:szCs w:val="24"/>
          <w:rtl/>
          <w:lang w:val="ar-SA"/>
        </w:rPr>
        <w:t xml:space="preserve">1836 </w:t>
      </w:r>
      <w:r>
        <w:rPr>
          <w:rStyle w:val="None"/>
          <w:rFonts w:cs="Times New Roman"/>
          <w:sz w:val="24"/>
          <w:szCs w:val="24"/>
          <w:rtl/>
          <w:lang w:val="ar-SA"/>
        </w:rPr>
        <w:t xml:space="preserve">من خلال قانون براءات الاختراع، إلا أنَّ هذا القانون كان مقتصرًا على حماية الاختراعات، ويشترط إجراءات إدارية معقدة؛ ممَّا قيد الوصول إلى الحماية القانونية، ولم يصدر قانون خاص بحقوق المؤلف إلا في عام </w:t>
      </w:r>
      <w:r>
        <w:rPr>
          <w:rStyle w:val="None"/>
          <w:rFonts w:ascii="Times New Roman" w:hAnsi="Times New Roman"/>
          <w:sz w:val="24"/>
          <w:szCs w:val="24"/>
          <w:rtl/>
          <w:lang w:val="ar-SA"/>
        </w:rPr>
        <w:t>1891</w:t>
      </w:r>
      <w:r>
        <w:rPr>
          <w:rStyle w:val="None"/>
          <w:rFonts w:cs="Times New Roman"/>
          <w:sz w:val="24"/>
          <w:szCs w:val="24"/>
          <w:rtl/>
          <w:lang w:val="ar-SA"/>
        </w:rPr>
        <w:t>، وقد قصر هذا القانون الحماية على المصنفات التي أنشأها مؤلفون أمريكيون، أو تلك التي تمت طباعتها داخل الولايات المتحدة، وهو ما عكس توجُّهًا وطنيًا في منح الحماية، أما ألمانيا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فقد واكبت هذا التطوُّر التشريعي؛ حيث صدر فيها قانون الاختراعات في عام </w:t>
      </w:r>
      <w:r>
        <w:rPr>
          <w:rStyle w:val="None"/>
          <w:rFonts w:ascii="Times New Roman" w:hAnsi="Times New Roman"/>
          <w:sz w:val="24"/>
          <w:szCs w:val="24"/>
          <w:rtl/>
          <w:lang w:val="ar-SA"/>
        </w:rPr>
        <w:t>1873</w:t>
      </w:r>
      <w:r>
        <w:rPr>
          <w:rStyle w:val="None"/>
          <w:rFonts w:cs="Times New Roman"/>
          <w:sz w:val="24"/>
          <w:szCs w:val="24"/>
          <w:rtl/>
          <w:lang w:val="ar-SA"/>
        </w:rPr>
        <w:t>؛ ليشكل إطارًا قانونيًا لحماية الابتكارات، ويعكس إدراكًا متزايدًا بأهمية تنظيم الحقوق الفكرية في ظل التحولات الصناعية والعلمية المتسارعة في أوروبا خلال تلك الفترة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8"/>
      </w:r>
      <w:r>
        <w:rPr>
          <w:rStyle w:val="None"/>
          <w:rFonts w:ascii="Times New Roman" w:hAnsi="Times New Roman"/>
          <w:sz w:val="24"/>
          <w:szCs w:val="24"/>
          <w:vertAlign w:val="superscript"/>
          <w:rtl/>
          <w:lang w:val="ar-SA"/>
        </w:rPr>
        <w:t>)</w:t>
      </w:r>
    </w:p>
    <w:p w14:paraId="62BD4F99"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في إطار تنظيم الحماية الدولية لحقوق المؤلف، شكلت اتفاقية بيرن لحماية المصنفات الأدبية والفنية التي تم توقيعها في مدينة بيرن السويسرية عام </w:t>
      </w:r>
      <w:r>
        <w:rPr>
          <w:rStyle w:val="None"/>
          <w:rFonts w:ascii="Times New Roman" w:hAnsi="Times New Roman"/>
          <w:sz w:val="24"/>
          <w:szCs w:val="24"/>
          <w:rtl/>
          <w:lang w:val="ar-SA"/>
        </w:rPr>
        <w:t xml:space="preserve">1886 </w:t>
      </w:r>
      <w:r>
        <w:rPr>
          <w:rStyle w:val="None"/>
          <w:rFonts w:cs="Times New Roman"/>
          <w:sz w:val="24"/>
          <w:szCs w:val="24"/>
          <w:rtl/>
          <w:lang w:val="ar-SA"/>
        </w:rPr>
        <w:t xml:space="preserve">نقطةَ الانطلاق نحو تأسيس نظام قانوني دولي يعنى بحماية المصنفات الإبداعية من الاعتداء أو الاستغلال غير المشروع، وقد اعتبرت هذه الاتفاقية آنذاك خطوةً رائدةً لتوحيد الجهود الدولية في حماية حقوق المؤلفين، وفي السادس من سبتمبر عام </w:t>
      </w:r>
      <w:r>
        <w:rPr>
          <w:rStyle w:val="None"/>
          <w:rFonts w:ascii="Times New Roman" w:hAnsi="Times New Roman"/>
          <w:sz w:val="24"/>
          <w:szCs w:val="24"/>
          <w:rtl/>
          <w:lang w:val="ar-SA"/>
        </w:rPr>
        <w:t>1952</w:t>
      </w:r>
      <w:r>
        <w:rPr>
          <w:rStyle w:val="None"/>
          <w:rFonts w:cs="Times New Roman"/>
          <w:sz w:val="24"/>
          <w:szCs w:val="24"/>
          <w:rtl/>
          <w:lang w:val="ar-SA"/>
        </w:rPr>
        <w:t xml:space="preserve">، تم إبرام اتفاقية دولية جديدة في مدينة جنيف، عرفت باتفاقية جنيف لحماية حقوق المؤلف، وجاءت هذه الاتفاقية مكملة للدور الذي اضطلعت به اتفاقية بيرن؛ حيث سعت إلى تعزيز مستوى الحماية الدولية للمصنفات الفكرية، وفي 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شهدت الملكية الفكرية تطوُّرًا مؤسسيًا نوعيًا بإنشاء المنظمة العالمية للملكية الفكرية، المعروفة اختصارًا باسم الويبو، وهي إحدى وكالات منظمة الأمم المتحدة المتخصصة، وتضم حاليًا </w:t>
      </w:r>
      <w:r>
        <w:rPr>
          <w:rStyle w:val="None"/>
          <w:rFonts w:ascii="Times New Roman" w:hAnsi="Times New Roman"/>
          <w:sz w:val="24"/>
          <w:szCs w:val="24"/>
          <w:rtl/>
          <w:lang w:val="ar-SA"/>
        </w:rPr>
        <w:t xml:space="preserve">193 </w:t>
      </w:r>
      <w:r>
        <w:rPr>
          <w:rStyle w:val="None"/>
          <w:rFonts w:cs="Times New Roman"/>
          <w:sz w:val="24"/>
          <w:szCs w:val="24"/>
          <w:rtl/>
          <w:lang w:val="ar-SA"/>
        </w:rPr>
        <w:t>دولةً عضوًا، وتتمثل مهمتها الأساسية في إقامة نظام عالمي متوازن وفعَّال للملكية الفكرية، يسهم في دعم الابتكار، وتشجيع الإبداع والمساهمة في تحقيق التنمية الاقتصادية والاجتماعية المستدامة، وقد تأسست هذه المنظمة بموجب اتفاقية دولية أبرمت في ذات العام؛ لتصبح المرجعية الدولية الأولى في ميدان حماية حقوق الملكية الفكرية ومتابعة تنفيذ الاتفاقيات ذات الصلة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9"/>
      </w:r>
      <w:r>
        <w:rPr>
          <w:rStyle w:val="None"/>
          <w:rFonts w:ascii="Times New Roman" w:hAnsi="Times New Roman"/>
          <w:sz w:val="24"/>
          <w:szCs w:val="24"/>
          <w:vertAlign w:val="superscript"/>
          <w:rtl/>
          <w:lang w:val="ar-SA"/>
        </w:rPr>
        <w:t>)</w:t>
      </w:r>
    </w:p>
    <w:p w14:paraId="13A38537"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lastRenderedPageBreak/>
        <w:t xml:space="preserve">تتابعت الاتفاقيات الدولية إلى أنْ تأسست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عام ١٩٧٤؛ لتصبح إحدى الوكالات المتخصصة التابعة للأمم المتحدة، تولت هذه المنظمة مسئولية إدارة الاتفاقيات الدولية الرئيسية المتعلقة بحماية الملكية الفكرية، تم إبرام اتفاقية دولية تعرف باسم </w:t>
      </w:r>
      <w:r>
        <w:rPr>
          <w:rStyle w:val="None"/>
          <w:rFonts w:ascii="Times New Roman" w:hAnsi="Times New Roman"/>
          <w:sz w:val="24"/>
          <w:szCs w:val="24"/>
          <w:rtl/>
          <w:lang w:val="ar-SA"/>
        </w:rPr>
        <w:t>(</w:t>
      </w:r>
      <w:r>
        <w:rPr>
          <w:rStyle w:val="None"/>
          <w:rFonts w:cs="Times New Roman"/>
          <w:sz w:val="24"/>
          <w:szCs w:val="24"/>
          <w:rtl/>
          <w:lang w:val="ar-SA"/>
        </w:rPr>
        <w:t>تريبس</w:t>
      </w:r>
      <w:r>
        <w:rPr>
          <w:rStyle w:val="None"/>
          <w:rFonts w:ascii="Times New Roman" w:hAnsi="Times New Roman"/>
          <w:sz w:val="24"/>
          <w:szCs w:val="24"/>
          <w:rtl/>
          <w:lang w:val="ar-SA"/>
        </w:rPr>
        <w:t xml:space="preserve">) </w:t>
      </w:r>
      <w:r>
        <w:rPr>
          <w:rStyle w:val="None"/>
          <w:rFonts w:cs="Times New Roman"/>
          <w:sz w:val="24"/>
          <w:szCs w:val="24"/>
          <w:rtl/>
          <w:lang w:val="ar-SA"/>
        </w:rPr>
        <w:t>لتنظيم حقوق الملكية الفكرية المرتبطة بالتجارة، اقترحتها كبريات الشركات لربطها باتفاقية منظمة التجارة العالمية، التي تأسست عام ١٩٩٤ وباشرت عملها مطلع عام ١٩٩٥، شكلت هذه الاتفاقية ضمانةً لأصحاب رؤوس الأموال عالميًا؛ لحماية مصالحهم الأدبية والفنية إلى جانب براءات الاختراع والعلامات التجارية، أُدرجت براءات اختراع الأدوية ضمن هذا الإطار، كما حظيت السلع بعلامات تجارية، وأصبحت منتجات التكنولوجيا وبرمجيات الحاسوب والإنترنت محميةً بموجب أحكام الملكية الفكرية، نتج عن ذلك ارتفاع ملحوظ في تسجيل براءات الاختراع عالميا؛ إذْ زادت بأكثر من سبعين ضعفًا بين عامي ١٩٧٨ و٢٠٠٢، سجلت اليابان زيادةً في براءات الاختراع بنسبة ٦٠٠</w:t>
      </w:r>
      <w:r>
        <w:rPr>
          <w:rStyle w:val="None"/>
          <w:rFonts w:ascii="Times New Roman" w:hAnsi="Times New Roman"/>
          <w:sz w:val="24"/>
          <w:szCs w:val="24"/>
          <w:rtl/>
          <w:lang w:val="ar-SA"/>
        </w:rPr>
        <w:t xml:space="preserve">% </w:t>
      </w:r>
      <w:r>
        <w:rPr>
          <w:rStyle w:val="None"/>
          <w:rFonts w:cs="Times New Roman"/>
          <w:sz w:val="24"/>
          <w:szCs w:val="24"/>
          <w:rtl/>
          <w:lang w:val="ar-SA"/>
        </w:rPr>
        <w:t xml:space="preserve">خلال الفترة من ١٩٨٨ إلى ٢٠٠٣ مقارنة بالفترة من ١٩٧٨ إلى ١٩٩٣، شهدت صادرات الخدمات القائمة على الملكية الفكرية </w:t>
      </w:r>
      <w:r>
        <w:rPr>
          <w:rStyle w:val="None"/>
          <w:rFonts w:ascii="Times New Roman" w:hAnsi="Times New Roman"/>
          <w:sz w:val="24"/>
          <w:szCs w:val="24"/>
          <w:rtl/>
          <w:lang w:val="ar-SA"/>
        </w:rPr>
        <w:t>-</w:t>
      </w:r>
      <w:r>
        <w:rPr>
          <w:rStyle w:val="None"/>
          <w:rFonts w:cs="Times New Roman"/>
          <w:sz w:val="24"/>
          <w:szCs w:val="24"/>
          <w:rtl/>
          <w:lang w:val="ar-SA"/>
        </w:rPr>
        <w:t>كالتعليم، والصحة، والإعلانات</w:t>
      </w:r>
      <w:r>
        <w:rPr>
          <w:rStyle w:val="None"/>
          <w:rFonts w:ascii="Times New Roman" w:hAnsi="Times New Roman"/>
          <w:sz w:val="24"/>
          <w:szCs w:val="24"/>
          <w:rtl/>
          <w:lang w:val="ar-SA"/>
        </w:rPr>
        <w:t xml:space="preserve">- </w:t>
      </w:r>
      <w:r>
        <w:rPr>
          <w:rStyle w:val="None"/>
          <w:rFonts w:cs="Times New Roman"/>
          <w:sz w:val="24"/>
          <w:szCs w:val="24"/>
          <w:rtl/>
          <w:lang w:val="ar-SA"/>
        </w:rPr>
        <w:t>نموًا عالميًا؛ لتشكل نحو ٢٥</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من إجمالي التجارة العالمية، تصدرت الدول المتقدمة اقتصاديًا </w:t>
      </w:r>
      <w:r>
        <w:rPr>
          <w:rStyle w:val="None"/>
          <w:rFonts w:ascii="Times New Roman" w:hAnsi="Times New Roman"/>
          <w:sz w:val="24"/>
          <w:szCs w:val="24"/>
          <w:rtl/>
          <w:lang w:val="ar-SA"/>
        </w:rPr>
        <w:t>-</w:t>
      </w:r>
      <w:r>
        <w:rPr>
          <w:rStyle w:val="None"/>
          <w:rFonts w:cs="Times New Roman"/>
          <w:sz w:val="24"/>
          <w:szCs w:val="24"/>
          <w:rtl/>
          <w:lang w:val="ar-SA"/>
        </w:rPr>
        <w:t>كأوروبا والولايات المتحدة</w:t>
      </w:r>
      <w:r>
        <w:rPr>
          <w:rStyle w:val="None"/>
          <w:rFonts w:ascii="Times New Roman" w:hAnsi="Times New Roman"/>
          <w:sz w:val="24"/>
          <w:szCs w:val="24"/>
          <w:rtl/>
          <w:lang w:val="ar-SA"/>
        </w:rPr>
        <w:t xml:space="preserve">- </w:t>
      </w:r>
      <w:r>
        <w:rPr>
          <w:rStyle w:val="None"/>
          <w:rFonts w:cs="Times New Roman"/>
          <w:sz w:val="24"/>
          <w:szCs w:val="24"/>
          <w:rtl/>
          <w:lang w:val="ar-SA"/>
        </w:rPr>
        <w:t>المشهد الاستثماري في مجال الملكية الفكرية؛ ممَّا عزّز مكانتها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0"/>
      </w:r>
      <w:r>
        <w:rPr>
          <w:rStyle w:val="None"/>
          <w:rFonts w:ascii="Times New Roman" w:hAnsi="Times New Roman"/>
          <w:sz w:val="24"/>
          <w:szCs w:val="24"/>
          <w:vertAlign w:val="superscript"/>
          <w:rtl/>
          <w:lang w:val="ar-SA"/>
        </w:rPr>
        <w:t>)</w:t>
      </w:r>
    </w:p>
    <w:p w14:paraId="033A404A"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تشكل الملكية الفكرية في العصر الراهن ركيزةً أساسيةً ضمن المفاهيم القانونية والاقتصادية؛ نظرًا لما تكتسبه من أهمية متصاعدة على المستويين الوطني والدولي يحتفي المجتمع الدولي باليوم العالمي للملكية الفكرية في السادس والعشرين من أبريل سنويًا، وهو التاريخ الذي بدأت فيه اتفاقية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بالنفاذ عام ٢٠٠٠، يرمي هذا الاحتفال إلى تعزيز الوعي العام بضرورة صون الإبداع، وتحفيز الابتكار عبر مختلف القطاعات، أدركت العديد من الدول العربية هذا البُعد الاستراتيجي، فسارعت إلى سن تشريعات وطنية متخصصة لحماية حقوق الملكية الفكرية، برزت في هذا السياق دول، مثل</w:t>
      </w:r>
      <w:r>
        <w:rPr>
          <w:rStyle w:val="None"/>
          <w:rFonts w:ascii="Times New Roman" w:hAnsi="Times New Roman"/>
          <w:sz w:val="24"/>
          <w:szCs w:val="24"/>
          <w:rtl/>
          <w:lang w:val="ar-SA"/>
        </w:rPr>
        <w:t xml:space="preserve">: </w:t>
      </w:r>
      <w:r>
        <w:rPr>
          <w:rStyle w:val="None"/>
          <w:rFonts w:cs="Times New Roman"/>
          <w:sz w:val="24"/>
          <w:szCs w:val="24"/>
          <w:rtl/>
          <w:lang w:val="ar-SA"/>
        </w:rPr>
        <w:t>جمهورية مصر العربية، ودولة الإمارات العربية المتحدة، والمملكة العربية السعودية؛ حيث عملت على تحديث أطرها القانونية؛ لتتماشى مع المعايير الدولية، شملت هذه الجهود تنظيم حقوق المؤلف والحقوق المجاورة، إلى جانب العلامات التجارية وبراءات الاختراع، وغيرها من أشكال الحقوق الفكرية، تعكس هذه التشريعات وعيًا متزايدًا بأهمية حماية المنتجات الفكرية للعقل البشري، بما يسهم في تعزيز الابتكار والتنمية المستدامة، تبرز هذه الجهود كجزء من التزام إقليمي ودولي بصون الإبداع؛ ممَّا يعزّز مكانة الدول العربية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1"/>
      </w:r>
      <w:r>
        <w:rPr>
          <w:rStyle w:val="None"/>
          <w:rFonts w:ascii="Times New Roman" w:hAnsi="Times New Roman"/>
          <w:sz w:val="24"/>
          <w:szCs w:val="24"/>
          <w:vertAlign w:val="superscript"/>
          <w:rtl/>
          <w:lang w:val="ar-SA"/>
        </w:rPr>
        <w:t>)</w:t>
      </w:r>
    </w:p>
    <w:p w14:paraId="6CC0F7EC"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bookmarkStart w:id="142" w:name="_Hlk193487046"/>
      <w:r>
        <w:rPr>
          <w:rStyle w:val="None"/>
          <w:rFonts w:cs="Times New Roman"/>
          <w:sz w:val="24"/>
          <w:szCs w:val="24"/>
          <w:rtl/>
          <w:lang w:val="ar-SA"/>
        </w:rPr>
        <w:t>بعدما استعرضنا تاريخ تطوُّر الملكية الفكرية، نتوجه لاستقصاء نشأة حقوق المؤلف في الدول العربية بالفرع التالي؛ حيث تنعكس المسارات التاريخية والقانونية في صياغة هذا المفهوم ضمن التجربة الثقافية العربية</w:t>
      </w:r>
      <w:r>
        <w:rPr>
          <w:rStyle w:val="None"/>
          <w:rFonts w:ascii="Times New Roman" w:hAnsi="Times New Roman"/>
          <w:sz w:val="24"/>
          <w:szCs w:val="24"/>
          <w:rtl/>
          <w:lang w:val="ar-SA"/>
        </w:rPr>
        <w:t>.</w:t>
      </w:r>
      <w:bookmarkEnd w:id="142"/>
    </w:p>
    <w:p w14:paraId="41F41CE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tl/>
          <w:lang w:val="ar-SA"/>
        </w:rPr>
      </w:pPr>
    </w:p>
    <w:p w14:paraId="4D05F0EF"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tl/>
          <w:lang w:val="ar-SA"/>
        </w:rPr>
      </w:pPr>
    </w:p>
    <w:p w14:paraId="77F8D5F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tl/>
          <w:lang w:val="ar-SA"/>
        </w:rPr>
      </w:pPr>
    </w:p>
    <w:p w14:paraId="20346594"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tl/>
          <w:lang w:val="ar-SA"/>
        </w:rPr>
      </w:pPr>
    </w:p>
    <w:p w14:paraId="1529AF5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tl/>
          <w:lang w:val="ar-SA"/>
        </w:rPr>
      </w:pPr>
    </w:p>
    <w:p w14:paraId="41DD3C06" w14:textId="2396448F" w:rsidR="00454428" w:rsidRDefault="002167C2" w:rsidP="00C72BA8">
      <w:pPr>
        <w:pStyle w:val="a"/>
        <w:rPr>
          <w:rStyle w:val="None"/>
          <w:b w:val="0"/>
          <w:bCs w:val="0"/>
          <w:rtl/>
          <w:lang w:val="ar-SA"/>
        </w:rPr>
      </w:pPr>
      <w:bookmarkStart w:id="143" w:name="_Toc227251092"/>
      <w:bookmarkStart w:id="144" w:name="_Toc232260649"/>
      <w:r>
        <w:rPr>
          <w:rStyle w:val="None"/>
          <w:rFonts w:ascii="Arial Unicode MS" w:eastAsia="Arial Unicode MS" w:hAnsi="Arial Unicode MS" w:hint="cs"/>
          <w:rtl/>
          <w:lang w:val="ar-SA"/>
        </w:rPr>
        <w:lastRenderedPageBreak/>
        <w:t>ا</w:t>
      </w:r>
      <w:r w:rsidR="00C464EC">
        <w:rPr>
          <w:rStyle w:val="None"/>
          <w:rFonts w:ascii="Arial Unicode MS" w:eastAsia="Arial Unicode MS" w:hAnsi="Arial Unicode MS" w:hint="cs"/>
          <w:rtl/>
          <w:lang w:val="ar-SA"/>
        </w:rPr>
        <w:t>لفرع الثاني</w:t>
      </w:r>
      <w:bookmarkStart w:id="145" w:name="_Hlk193487052"/>
      <w:bookmarkEnd w:id="143"/>
      <w:bookmarkEnd w:id="144"/>
    </w:p>
    <w:p w14:paraId="5F5499F4" w14:textId="77777777" w:rsidR="00454428" w:rsidRDefault="00C464EC" w:rsidP="00C72BA8">
      <w:pPr>
        <w:pStyle w:val="a"/>
        <w:rPr>
          <w:rStyle w:val="None"/>
          <w:b w:val="0"/>
          <w:bCs w:val="0"/>
          <w:rtl/>
          <w:lang w:val="ar-SA"/>
        </w:rPr>
      </w:pPr>
      <w:bookmarkStart w:id="146" w:name="_Toc227251093"/>
      <w:bookmarkStart w:id="147" w:name="_Toc232260650"/>
      <w:r>
        <w:rPr>
          <w:rStyle w:val="None"/>
          <w:rFonts w:ascii="Arial Unicode MS" w:eastAsia="Arial Unicode MS" w:hAnsi="Arial Unicode MS" w:hint="cs"/>
          <w:rtl/>
          <w:lang w:val="ar-SA"/>
        </w:rPr>
        <w:t>نشأة حقوق المؤلف في الدول العربية</w:t>
      </w:r>
      <w:bookmarkEnd w:id="146"/>
      <w:bookmarkEnd w:id="147"/>
    </w:p>
    <w:bookmarkEnd w:id="145"/>
    <w:p w14:paraId="4BA3156F"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commentRangeStart w:id="148"/>
      <w:r w:rsidRPr="002167C2">
        <w:rPr>
          <w:rStyle w:val="None"/>
          <w:rFonts w:cs="Times New Roman"/>
          <w:sz w:val="24"/>
          <w:szCs w:val="24"/>
          <w:highlight w:val="yellow"/>
          <w:rtl/>
          <w:lang w:val="ar-SA"/>
        </w:rPr>
        <w:t>يعتبر</w:t>
      </w:r>
      <w:commentRangeEnd w:id="148"/>
      <w:r w:rsidR="002167C2">
        <w:rPr>
          <w:rStyle w:val="CommentReference"/>
          <w:rFonts w:ascii="Times New Roman" w:hAnsi="Times New Roman" w:cs="Times New Roman" w:hint="default"/>
          <w:color w:val="auto"/>
          <w:rtl/>
          <w14:textOutline w14:w="0" w14:cap="rnd" w14:cmpd="sng" w14:algn="ctr">
            <w14:noFill/>
            <w14:prstDash w14:val="solid"/>
            <w14:bevel/>
          </w14:textOutline>
        </w:rPr>
        <w:commentReference w:id="148"/>
      </w:r>
      <w:r w:rsidRPr="002167C2">
        <w:rPr>
          <w:rStyle w:val="None"/>
          <w:rFonts w:cs="Times New Roman"/>
          <w:sz w:val="24"/>
          <w:szCs w:val="24"/>
          <w:highlight w:val="yellow"/>
          <w:rtl/>
          <w:lang w:val="ar-SA"/>
        </w:rPr>
        <w:t xml:space="preserve"> قانون حق التأليف العثماني الذي صدر عام </w:t>
      </w:r>
      <w:r w:rsidRPr="002167C2">
        <w:rPr>
          <w:rStyle w:val="None"/>
          <w:rFonts w:ascii="Times New Roman" w:hAnsi="Times New Roman"/>
          <w:sz w:val="24"/>
          <w:szCs w:val="24"/>
          <w:highlight w:val="yellow"/>
          <w:rtl/>
          <w:lang w:val="ar-SA"/>
        </w:rPr>
        <w:t>1910</w:t>
      </w:r>
      <w:r w:rsidRPr="002167C2">
        <w:rPr>
          <w:rStyle w:val="None"/>
          <w:rFonts w:cs="Times New Roman"/>
          <w:sz w:val="24"/>
          <w:szCs w:val="24"/>
          <w:highlight w:val="yellow"/>
          <w:rtl/>
          <w:lang w:val="ar-SA"/>
        </w:rPr>
        <w:t xml:space="preserve">م أول تشريع لحماية حقوق المؤلف في الدول العربية؛ حيث استمر العمل به في بعض الدول العربية حتى وقت قريب، خاصةً في العراق والأردن، وتُعَدُّ الأردن من أوائل الدول العربية التي وضعت نصوصًا قانونيةً محددةً لحماية حق المؤلف؛ حيث كانت تطبق إلى جانب قانون حق التأليف العثماني بعض الأحكام الخاصة بحماية حقوق المؤلف ضمن القوانين المدنية وقوانين العقوبات، أما القانون التونسي الذي صدر عام </w:t>
      </w:r>
      <w:r w:rsidRPr="002167C2">
        <w:rPr>
          <w:rStyle w:val="None"/>
          <w:rFonts w:ascii="Times New Roman" w:hAnsi="Times New Roman"/>
          <w:sz w:val="24"/>
          <w:szCs w:val="24"/>
          <w:highlight w:val="yellow"/>
          <w:rtl/>
          <w:lang w:val="ar-SA"/>
        </w:rPr>
        <w:t>1889</w:t>
      </w:r>
      <w:r w:rsidRPr="002167C2">
        <w:rPr>
          <w:rStyle w:val="None"/>
          <w:rFonts w:cs="Times New Roman"/>
          <w:sz w:val="24"/>
          <w:szCs w:val="24"/>
          <w:highlight w:val="yellow"/>
          <w:rtl/>
          <w:lang w:val="ar-SA"/>
        </w:rPr>
        <w:t>م</w:t>
      </w:r>
      <w:r w:rsidRPr="002167C2">
        <w:rPr>
          <w:rStyle w:val="None"/>
          <w:rFonts w:ascii="Times New Roman" w:hAnsi="Times New Roman"/>
          <w:sz w:val="24"/>
          <w:szCs w:val="24"/>
          <w:highlight w:val="yellow"/>
          <w:rtl/>
          <w:lang w:val="ar-SA"/>
        </w:rPr>
        <w:t xml:space="preserve">: </w:t>
      </w:r>
      <w:r w:rsidRPr="002167C2">
        <w:rPr>
          <w:rStyle w:val="None"/>
          <w:rFonts w:cs="Times New Roman"/>
          <w:sz w:val="24"/>
          <w:szCs w:val="24"/>
          <w:highlight w:val="yellow"/>
          <w:rtl/>
          <w:lang w:val="ar-SA"/>
        </w:rPr>
        <w:t xml:space="preserve">فيعتبر أول تشريع عربي لحماية حقوق المؤلف، تلاه القانون المغربي الذي صدر عام </w:t>
      </w:r>
      <w:r w:rsidRPr="002167C2">
        <w:rPr>
          <w:rStyle w:val="None"/>
          <w:rFonts w:ascii="Times New Roman" w:hAnsi="Times New Roman"/>
          <w:sz w:val="24"/>
          <w:szCs w:val="24"/>
          <w:highlight w:val="yellow"/>
          <w:rtl/>
          <w:lang w:val="ar-SA"/>
        </w:rPr>
        <w:t>1916</w:t>
      </w:r>
      <w:r w:rsidRPr="002167C2">
        <w:rPr>
          <w:rStyle w:val="None"/>
          <w:rFonts w:cs="Times New Roman"/>
          <w:sz w:val="24"/>
          <w:szCs w:val="24"/>
          <w:highlight w:val="yellow"/>
          <w:rtl/>
          <w:lang w:val="ar-SA"/>
        </w:rPr>
        <w:t xml:space="preserve">م لحماية المؤلفات الأدبية والفنية، ثم أصدر لبنان قانونًا لحماية حق المؤلف عام </w:t>
      </w:r>
      <w:r w:rsidRPr="002167C2">
        <w:rPr>
          <w:rStyle w:val="None"/>
          <w:rFonts w:ascii="Times New Roman" w:hAnsi="Times New Roman"/>
          <w:sz w:val="24"/>
          <w:szCs w:val="24"/>
          <w:highlight w:val="yellow"/>
          <w:rtl/>
          <w:lang w:val="ar-SA"/>
        </w:rPr>
        <w:t>1924</w:t>
      </w:r>
      <w:r w:rsidRPr="002167C2">
        <w:rPr>
          <w:rStyle w:val="None"/>
          <w:rFonts w:cs="Times New Roman"/>
          <w:sz w:val="24"/>
          <w:szCs w:val="24"/>
          <w:highlight w:val="yellow"/>
          <w:rtl/>
          <w:lang w:val="ar-SA"/>
        </w:rPr>
        <w:t>م، وباستثناء هذه القوانين لم يشهد النصف الأول من القرن التاسع عشر أي تطوُّرات تشريعية في مجال حقوق المؤلف</w:t>
      </w:r>
      <w:r w:rsidRPr="002167C2">
        <w:rPr>
          <w:rStyle w:val="None"/>
          <w:rFonts w:ascii="Times New Roman" w:hAnsi="Times New Roman"/>
          <w:sz w:val="24"/>
          <w:szCs w:val="24"/>
          <w:highlight w:val="yellow"/>
          <w:rtl/>
          <w:lang w:val="ar-SA"/>
        </w:rPr>
        <w:t>.</w:t>
      </w:r>
      <w:r w:rsidRPr="002167C2">
        <w:rPr>
          <w:rStyle w:val="None"/>
          <w:rFonts w:ascii="Times New Roman" w:hAnsi="Times New Roman"/>
          <w:sz w:val="24"/>
          <w:szCs w:val="24"/>
          <w:highlight w:val="yellow"/>
          <w:vertAlign w:val="superscript"/>
          <w:rtl/>
          <w:lang w:val="ar-SA"/>
        </w:rPr>
        <w:t xml:space="preserve"> (</w:t>
      </w:r>
      <w:r w:rsidRPr="002167C2">
        <w:rPr>
          <w:rStyle w:val="None"/>
          <w:rFonts w:ascii="Times New Roman" w:eastAsia="Times New Roman" w:hAnsi="Times New Roman" w:cs="Times New Roman"/>
          <w:sz w:val="24"/>
          <w:szCs w:val="24"/>
          <w:highlight w:val="yellow"/>
          <w:vertAlign w:val="superscript"/>
          <w:lang w:val="ar-SA"/>
        </w:rPr>
        <w:footnoteReference w:id="92"/>
      </w:r>
      <w:r w:rsidRPr="002167C2">
        <w:rPr>
          <w:rStyle w:val="None"/>
          <w:rFonts w:ascii="Times New Roman" w:hAnsi="Times New Roman"/>
          <w:sz w:val="24"/>
          <w:szCs w:val="24"/>
          <w:highlight w:val="yellow"/>
          <w:vertAlign w:val="superscript"/>
          <w:rtl/>
          <w:lang w:val="ar-SA"/>
        </w:rPr>
        <w:t>)</w:t>
      </w:r>
    </w:p>
    <w:p w14:paraId="4A7A1D76"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بدأ اهتمام الدول العربية بقضايا الملكية الفكرية منذ القرن التاسع عشر؛ حيث كانت العديد من هذه الدول من الأوائل التي انضمت إلى اتفاقيات الملكية الفكرية الدولية، تقريبًا جميع الدول العربية لديها قوانين تتعلق بحماية حقوق المؤلف والحقوق المجاورة</w:t>
      </w:r>
      <w:r>
        <w:rPr>
          <w:rStyle w:val="None"/>
          <w:rFonts w:ascii="Times New Roman" w:hAnsi="Times New Roman"/>
          <w:sz w:val="24"/>
          <w:szCs w:val="24"/>
          <w:rtl/>
          <w:lang w:val="ar-SA"/>
        </w:rPr>
        <w:t>.</w:t>
      </w:r>
    </w:p>
    <w:p w14:paraId="49C92569"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في إطار التطوُّر التشريعي الذي شهدته الدول العربية في بداية النصف الثاني من القرن الماضي، صدر قانون حماية حق المؤلف المصري رقم </w:t>
      </w:r>
      <w:r>
        <w:rPr>
          <w:rStyle w:val="None"/>
          <w:rFonts w:ascii="Times New Roman" w:hAnsi="Times New Roman"/>
          <w:sz w:val="24"/>
          <w:szCs w:val="24"/>
          <w:rtl/>
          <w:lang w:val="ar-SA"/>
        </w:rPr>
        <w:t xml:space="preserve">354 </w:t>
      </w:r>
      <w:r>
        <w:rPr>
          <w:rStyle w:val="None"/>
          <w:rFonts w:cs="Times New Roman"/>
          <w:sz w:val="24"/>
          <w:szCs w:val="24"/>
          <w:rtl/>
          <w:lang w:val="ar-SA"/>
        </w:rPr>
        <w:t xml:space="preserve">لسنة </w:t>
      </w:r>
      <w:r>
        <w:rPr>
          <w:rStyle w:val="None"/>
          <w:rFonts w:ascii="Times New Roman" w:hAnsi="Times New Roman"/>
          <w:sz w:val="24"/>
          <w:szCs w:val="24"/>
          <w:rtl/>
          <w:lang w:val="ar-SA"/>
        </w:rPr>
        <w:t>1954</w:t>
      </w:r>
      <w:r>
        <w:rPr>
          <w:rStyle w:val="None"/>
          <w:rFonts w:cs="Times New Roman"/>
          <w:sz w:val="24"/>
          <w:szCs w:val="24"/>
          <w:rtl/>
          <w:lang w:val="ar-SA"/>
        </w:rPr>
        <w:t>م؛ ممَّا جعل مصر تتصدر الدول العربية في هذا المجال من الناحية التشريعية، والفقهية، والقضائية، وقد قامت معظم الدول العربية بسن تشريعات لحماية حقوق المؤلف، إلا أنَّ هذه التشريعات كانت متشابهةً؛ نظرًا لاعتمادها على القانون المصري الذي استمد أحكامه من القانون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3"/>
      </w:r>
      <w:r>
        <w:rPr>
          <w:rStyle w:val="None"/>
          <w:rFonts w:ascii="Times New Roman" w:hAnsi="Times New Roman"/>
          <w:sz w:val="24"/>
          <w:szCs w:val="24"/>
          <w:vertAlign w:val="superscript"/>
          <w:rtl/>
          <w:lang w:val="ar-SA"/>
        </w:rPr>
        <w:t>)</w:t>
      </w:r>
    </w:p>
    <w:p w14:paraId="44AD1C6A"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أما في الجزائر فقد كانت الحماية المقررة لحقوق المؤلف قبل الاستقلال تعتمد على القوانين الفرنسية، وبعد الاستقلال في ٥ يوليو ١٩٦٢م، ظل حق المؤلف في الجزائر محددًا وفقًا للقوانين الفرنسية، وذلك بموجب الأمر رقم ٦٢</w:t>
      </w:r>
      <w:r>
        <w:rPr>
          <w:rStyle w:val="None"/>
          <w:rFonts w:ascii="Times New Roman" w:hAnsi="Times New Roman"/>
          <w:sz w:val="24"/>
          <w:szCs w:val="24"/>
          <w:rtl/>
          <w:lang w:val="ar-SA"/>
        </w:rPr>
        <w:t>/</w:t>
      </w:r>
      <w:r>
        <w:rPr>
          <w:rStyle w:val="None"/>
          <w:rFonts w:cs="Times New Roman"/>
          <w:sz w:val="24"/>
          <w:szCs w:val="24"/>
          <w:rtl/>
          <w:lang w:val="ar-SA"/>
        </w:rPr>
        <w:t>١٥٧ المؤرخ في ٣١ ديسمبر ١٩٦٢م، الذي أتاح تطبيق النصوص القانونية الفرنسية السارية حتى ٣ يوليو ١٩٦٢م، بشرط عدم المساس بالسيادة الوطنية، وبالرجوع إلى القانون الفرنسي فإنَّ القانون المعمول به آنذاك هو قانون حماية الملكية الأدبية والفنية الصادر في ١١ مارس ١٩٥٧م، والذي تم تطبيقه في الجزائر مباشرة بعد الاستقلال حتى عام ١٩٧٣م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4"/>
      </w:r>
      <w:r>
        <w:rPr>
          <w:rStyle w:val="None"/>
          <w:rFonts w:ascii="Times New Roman" w:hAnsi="Times New Roman"/>
          <w:sz w:val="24"/>
          <w:szCs w:val="24"/>
          <w:vertAlign w:val="superscript"/>
          <w:rtl/>
          <w:lang w:val="ar-SA"/>
        </w:rPr>
        <w:t>)</w:t>
      </w:r>
    </w:p>
    <w:p w14:paraId="4027DE3B"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خلال تلك الفترة صدر قانون العقوبات بتاريخ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يونيو </w:t>
      </w:r>
      <w:r>
        <w:rPr>
          <w:rStyle w:val="None"/>
          <w:rFonts w:ascii="Times New Roman" w:hAnsi="Times New Roman"/>
          <w:sz w:val="24"/>
          <w:szCs w:val="24"/>
          <w:rtl/>
          <w:lang w:val="ar-SA"/>
        </w:rPr>
        <w:t>1966</w:t>
      </w:r>
      <w:r>
        <w:rPr>
          <w:rStyle w:val="None"/>
          <w:rFonts w:cs="Times New Roman"/>
          <w:sz w:val="24"/>
          <w:szCs w:val="24"/>
          <w:rtl/>
          <w:lang w:val="ar-SA"/>
        </w:rPr>
        <w:t xml:space="preserve">م بموجب الأمر </w:t>
      </w:r>
      <w:r>
        <w:rPr>
          <w:rStyle w:val="None"/>
          <w:rFonts w:ascii="Times New Roman" w:hAnsi="Times New Roman"/>
          <w:sz w:val="24"/>
          <w:szCs w:val="24"/>
          <w:rtl/>
          <w:lang w:val="ar-SA"/>
        </w:rPr>
        <w:t>156/66</w:t>
      </w:r>
      <w:r>
        <w:rPr>
          <w:rStyle w:val="None"/>
          <w:rFonts w:cs="Times New Roman"/>
          <w:sz w:val="24"/>
          <w:szCs w:val="24"/>
          <w:rtl/>
          <w:lang w:val="ar-SA"/>
        </w:rPr>
        <w:t xml:space="preserve">، الذي نصت مواده من </w:t>
      </w:r>
      <w:r>
        <w:rPr>
          <w:rStyle w:val="None"/>
          <w:rFonts w:ascii="Times New Roman" w:hAnsi="Times New Roman"/>
          <w:sz w:val="24"/>
          <w:szCs w:val="24"/>
          <w:rtl/>
          <w:lang w:val="ar-SA"/>
        </w:rPr>
        <w:t xml:space="preserve">390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394 </w:t>
      </w:r>
      <w:r>
        <w:rPr>
          <w:rStyle w:val="None"/>
          <w:rFonts w:cs="Times New Roman"/>
          <w:sz w:val="24"/>
          <w:szCs w:val="24"/>
          <w:rtl/>
          <w:lang w:val="ar-SA"/>
        </w:rPr>
        <w:t xml:space="preserve">على أحكام وعقوبات ضد المعتدين على الملكية الأدبية والفنية، وفي أبريل </w:t>
      </w:r>
      <w:r>
        <w:rPr>
          <w:rStyle w:val="None"/>
          <w:rFonts w:ascii="Times New Roman" w:hAnsi="Times New Roman"/>
          <w:sz w:val="24"/>
          <w:szCs w:val="24"/>
          <w:rtl/>
          <w:lang w:val="ar-SA"/>
        </w:rPr>
        <w:t xml:space="preserve">1973 </w:t>
      </w:r>
      <w:r>
        <w:rPr>
          <w:rStyle w:val="None"/>
          <w:rFonts w:cs="Times New Roman"/>
          <w:sz w:val="24"/>
          <w:szCs w:val="24"/>
          <w:rtl/>
          <w:lang w:val="ar-SA"/>
        </w:rPr>
        <w:t xml:space="preserve">صدر الأمر </w:t>
      </w:r>
      <w:r>
        <w:rPr>
          <w:rStyle w:val="None"/>
          <w:rFonts w:ascii="Times New Roman" w:hAnsi="Times New Roman"/>
          <w:sz w:val="24"/>
          <w:szCs w:val="24"/>
          <w:rtl/>
          <w:lang w:val="ar-SA"/>
        </w:rPr>
        <w:t xml:space="preserve">73/14 </w:t>
      </w:r>
      <w:r>
        <w:rPr>
          <w:rStyle w:val="None"/>
          <w:rFonts w:cs="Times New Roman"/>
          <w:sz w:val="24"/>
          <w:szCs w:val="24"/>
          <w:rtl/>
          <w:lang w:val="ar-SA"/>
        </w:rPr>
        <w:t xml:space="preserve">المتعلق بحق المؤلف، وفي نفس السياق صدر الأمر </w:t>
      </w:r>
      <w:r>
        <w:rPr>
          <w:rStyle w:val="None"/>
          <w:rFonts w:ascii="Times New Roman" w:hAnsi="Times New Roman"/>
          <w:sz w:val="24"/>
          <w:szCs w:val="24"/>
          <w:rtl/>
          <w:lang w:val="ar-SA"/>
        </w:rPr>
        <w:t xml:space="preserve">4673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يوليو </w:t>
      </w:r>
      <w:r>
        <w:rPr>
          <w:rStyle w:val="None"/>
          <w:rFonts w:ascii="Times New Roman" w:hAnsi="Times New Roman"/>
          <w:sz w:val="24"/>
          <w:szCs w:val="24"/>
          <w:rtl/>
          <w:lang w:val="ar-SA"/>
        </w:rPr>
        <w:t>1973</w:t>
      </w:r>
      <w:r>
        <w:rPr>
          <w:rStyle w:val="None"/>
          <w:rFonts w:cs="Times New Roman"/>
          <w:sz w:val="24"/>
          <w:szCs w:val="24"/>
          <w:rtl/>
          <w:lang w:val="ar-SA"/>
        </w:rPr>
        <w:t xml:space="preserve">م الذي أنشأ الديوان الوطني لحق المؤلف، بعد ذلك صدر الأمر </w:t>
      </w:r>
      <w:r>
        <w:rPr>
          <w:rStyle w:val="None"/>
          <w:rFonts w:ascii="Times New Roman" w:hAnsi="Times New Roman"/>
          <w:sz w:val="24"/>
          <w:szCs w:val="24"/>
          <w:rtl/>
          <w:lang w:val="ar-SA"/>
        </w:rPr>
        <w:t xml:space="preserve">10/97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6 </w:t>
      </w:r>
      <w:r>
        <w:rPr>
          <w:rStyle w:val="None"/>
          <w:rFonts w:cs="Times New Roman"/>
          <w:sz w:val="24"/>
          <w:szCs w:val="24"/>
          <w:rtl/>
          <w:lang w:val="ar-SA"/>
        </w:rPr>
        <w:t xml:space="preserve">مارس </w:t>
      </w:r>
      <w:r>
        <w:rPr>
          <w:rStyle w:val="None"/>
          <w:rFonts w:ascii="Times New Roman" w:hAnsi="Times New Roman"/>
          <w:sz w:val="24"/>
          <w:szCs w:val="24"/>
          <w:rtl/>
          <w:lang w:val="ar-SA"/>
        </w:rPr>
        <w:t>1997</w:t>
      </w:r>
      <w:r>
        <w:rPr>
          <w:rStyle w:val="None"/>
          <w:rFonts w:cs="Times New Roman"/>
          <w:sz w:val="24"/>
          <w:szCs w:val="24"/>
          <w:rtl/>
          <w:lang w:val="ar-SA"/>
        </w:rPr>
        <w:t xml:space="preserve">م، المتعلق بحق المؤلف والحقوق المجاورة، الذي ألغى الأمر </w:t>
      </w:r>
      <w:r>
        <w:rPr>
          <w:rStyle w:val="None"/>
          <w:rFonts w:ascii="Times New Roman" w:hAnsi="Times New Roman"/>
          <w:sz w:val="24"/>
          <w:szCs w:val="24"/>
          <w:rtl/>
          <w:lang w:val="ar-SA"/>
        </w:rPr>
        <w:t>14/73</w:t>
      </w:r>
      <w:r>
        <w:rPr>
          <w:rStyle w:val="None"/>
          <w:rFonts w:cs="Times New Roman"/>
          <w:sz w:val="24"/>
          <w:szCs w:val="24"/>
          <w:rtl/>
          <w:lang w:val="ar-SA"/>
        </w:rPr>
        <w:t xml:space="preserve">، لكن تم إدراج محتواه مع بعض التعديلات في المواد من </w:t>
      </w:r>
      <w:r>
        <w:rPr>
          <w:rStyle w:val="None"/>
          <w:rFonts w:ascii="Times New Roman" w:hAnsi="Times New Roman"/>
          <w:sz w:val="24"/>
          <w:szCs w:val="24"/>
          <w:rtl/>
          <w:lang w:val="ar-SA"/>
        </w:rPr>
        <w:t xml:space="preserve">149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158 </w:t>
      </w:r>
      <w:r>
        <w:rPr>
          <w:rStyle w:val="None"/>
          <w:rFonts w:cs="Times New Roman"/>
          <w:sz w:val="24"/>
          <w:szCs w:val="24"/>
          <w:rtl/>
          <w:lang w:val="ar-SA"/>
        </w:rPr>
        <w:t>من هذا الأمر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5"/>
      </w:r>
      <w:r>
        <w:rPr>
          <w:rStyle w:val="None"/>
          <w:rFonts w:ascii="Times New Roman" w:hAnsi="Times New Roman"/>
          <w:sz w:val="24"/>
          <w:szCs w:val="24"/>
          <w:vertAlign w:val="superscript"/>
          <w:rtl/>
          <w:lang w:val="ar-SA"/>
        </w:rPr>
        <w:t>)</w:t>
      </w:r>
    </w:p>
    <w:p w14:paraId="54856176"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lastRenderedPageBreak/>
        <w:t xml:space="preserve">تدخل المشرع الجزائري مرة أخرى؛ حيث صدر الأمر </w:t>
      </w:r>
      <w:r>
        <w:rPr>
          <w:rStyle w:val="None"/>
          <w:rFonts w:ascii="Times New Roman" w:hAnsi="Times New Roman"/>
          <w:sz w:val="24"/>
          <w:szCs w:val="24"/>
          <w:rtl/>
          <w:lang w:val="ar-SA"/>
        </w:rPr>
        <w:t xml:space="preserve">5/3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يوليو المتعلق بحقوق المؤلف والحقوق المجاورة، ورغم عدم احتوائه على تعديلات جذرية، إلا أنَّه أشار </w:t>
      </w:r>
      <w:r>
        <w:rPr>
          <w:rStyle w:val="None"/>
          <w:rFonts w:ascii="Times New Roman" w:hAnsi="Times New Roman"/>
          <w:sz w:val="24"/>
          <w:szCs w:val="24"/>
          <w:rtl/>
          <w:lang w:val="ar-SA"/>
        </w:rPr>
        <w:t>-</w:t>
      </w:r>
      <w:r>
        <w:rPr>
          <w:rStyle w:val="None"/>
          <w:rFonts w:cs="Times New Roman"/>
          <w:sz w:val="24"/>
          <w:szCs w:val="24"/>
          <w:rtl/>
          <w:lang w:val="ar-SA"/>
        </w:rPr>
        <w:t>على عكس الأمر السابق</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إلى برامج الكمبيوتر وقواعد البيانات باعتبارها مصنفاتٍ أدبيةً؛ ممَّا يتماشى مع التعديلات الواردة في اتفاقية برن، وهذا يدل على بدء المشرع الجزائري في سن قوانين تهدف إلى حماية هذا النوع من المصنفات الرقمية التي ظهرت مع تطوُّر التقنيات الرقمية وانتشار الإنترنت، كما صدر في </w:t>
      </w:r>
      <w:r>
        <w:rPr>
          <w:rStyle w:val="None"/>
          <w:rFonts w:ascii="Times New Roman" w:hAnsi="Times New Roman"/>
          <w:sz w:val="24"/>
          <w:szCs w:val="24"/>
          <w:rtl/>
          <w:lang w:val="ar-SA"/>
        </w:rPr>
        <w:t xml:space="preserve">21 </w:t>
      </w:r>
      <w:r>
        <w:rPr>
          <w:rStyle w:val="None"/>
          <w:rFonts w:cs="Times New Roman"/>
          <w:sz w:val="24"/>
          <w:szCs w:val="24"/>
          <w:rtl/>
          <w:lang w:val="ar-SA"/>
        </w:rPr>
        <w:t xml:space="preserve">سبتمبر </w:t>
      </w:r>
      <w:r>
        <w:rPr>
          <w:rStyle w:val="None"/>
          <w:rFonts w:ascii="Times New Roman" w:hAnsi="Times New Roman"/>
          <w:sz w:val="24"/>
          <w:szCs w:val="24"/>
          <w:rtl/>
          <w:lang w:val="ar-SA"/>
        </w:rPr>
        <w:t>2005</w:t>
      </w:r>
      <w:r>
        <w:rPr>
          <w:rStyle w:val="None"/>
          <w:rFonts w:cs="Times New Roman"/>
          <w:sz w:val="24"/>
          <w:szCs w:val="24"/>
          <w:rtl/>
          <w:lang w:val="ar-SA"/>
        </w:rPr>
        <w:t xml:space="preserve">م المرسوم التنفيذي </w:t>
      </w:r>
      <w:r>
        <w:rPr>
          <w:rStyle w:val="None"/>
          <w:rFonts w:ascii="Times New Roman" w:hAnsi="Times New Roman"/>
          <w:sz w:val="24"/>
          <w:szCs w:val="24"/>
          <w:rtl/>
          <w:lang w:val="ar-SA"/>
        </w:rPr>
        <w:t xml:space="preserve">356/5 </w:t>
      </w:r>
      <w:r>
        <w:rPr>
          <w:rStyle w:val="None"/>
          <w:rFonts w:cs="Times New Roman"/>
          <w:sz w:val="24"/>
          <w:szCs w:val="24"/>
          <w:rtl/>
          <w:lang w:val="ar-SA"/>
        </w:rPr>
        <w:t>الذي يتضمن القانون الأساسي للديوان الوطني لحقوق المؤلف والحقوق المجاورة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6"/>
      </w:r>
      <w:r>
        <w:rPr>
          <w:rStyle w:val="None"/>
          <w:rFonts w:ascii="Times New Roman" w:hAnsi="Times New Roman"/>
          <w:sz w:val="24"/>
          <w:szCs w:val="24"/>
          <w:vertAlign w:val="superscript"/>
          <w:rtl/>
          <w:lang w:val="ar-SA"/>
        </w:rPr>
        <w:t>)</w:t>
      </w:r>
    </w:p>
    <w:p w14:paraId="1BF8D884"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في سوريا، تم إصدار قانون حماية الملكية التجارية والصناعية رقم </w:t>
      </w:r>
      <w:r>
        <w:rPr>
          <w:rStyle w:val="None"/>
          <w:rFonts w:ascii="Times New Roman" w:hAnsi="Times New Roman"/>
          <w:sz w:val="24"/>
          <w:szCs w:val="24"/>
          <w:rtl/>
          <w:lang w:val="ar-SA"/>
        </w:rPr>
        <w:t xml:space="preserve">47 </w:t>
      </w:r>
      <w:r>
        <w:rPr>
          <w:rStyle w:val="None"/>
          <w:rFonts w:cs="Times New Roman"/>
          <w:sz w:val="24"/>
          <w:szCs w:val="24"/>
          <w:rtl/>
          <w:lang w:val="ar-SA"/>
        </w:rPr>
        <w:t xml:space="preserve">لعام </w:t>
      </w:r>
      <w:r>
        <w:rPr>
          <w:rStyle w:val="None"/>
          <w:rFonts w:ascii="Times New Roman" w:hAnsi="Times New Roman"/>
          <w:sz w:val="24"/>
          <w:szCs w:val="24"/>
          <w:rtl/>
          <w:lang w:val="ar-SA"/>
        </w:rPr>
        <w:t>1946</w:t>
      </w:r>
      <w:r>
        <w:rPr>
          <w:rStyle w:val="None"/>
          <w:rFonts w:cs="Times New Roman"/>
          <w:sz w:val="24"/>
          <w:szCs w:val="24"/>
          <w:rtl/>
          <w:lang w:val="ar-SA"/>
        </w:rPr>
        <w:t xml:space="preserve">، والذي تم تعديله بالقانون رقم </w:t>
      </w:r>
      <w:r>
        <w:rPr>
          <w:rStyle w:val="None"/>
          <w:rFonts w:ascii="Times New Roman" w:hAnsi="Times New Roman"/>
          <w:sz w:val="24"/>
          <w:szCs w:val="24"/>
          <w:rtl/>
          <w:lang w:val="ar-SA"/>
        </w:rPr>
        <w:t xml:space="preserve">28 </w:t>
      </w:r>
      <w:r>
        <w:rPr>
          <w:rStyle w:val="None"/>
          <w:rFonts w:cs="Times New Roman"/>
          <w:sz w:val="24"/>
          <w:szCs w:val="24"/>
          <w:rtl/>
          <w:lang w:val="ar-SA"/>
        </w:rPr>
        <w:t xml:space="preserve">لعام </w:t>
      </w:r>
      <w:r>
        <w:rPr>
          <w:rStyle w:val="None"/>
          <w:rFonts w:ascii="Times New Roman" w:hAnsi="Times New Roman"/>
          <w:sz w:val="24"/>
          <w:szCs w:val="24"/>
          <w:rtl/>
          <w:lang w:val="ar-SA"/>
        </w:rPr>
        <w:t>1980</w:t>
      </w:r>
      <w:r>
        <w:rPr>
          <w:rStyle w:val="None"/>
          <w:rFonts w:cs="Times New Roman"/>
          <w:sz w:val="24"/>
          <w:szCs w:val="24"/>
          <w:rtl/>
          <w:lang w:val="ar-SA"/>
        </w:rPr>
        <w:t xml:space="preserve">م، كما نص القانون المدني السوري رقم </w:t>
      </w:r>
      <w:r>
        <w:rPr>
          <w:rStyle w:val="None"/>
          <w:rFonts w:ascii="Times New Roman" w:hAnsi="Times New Roman"/>
          <w:sz w:val="24"/>
          <w:szCs w:val="24"/>
          <w:rtl/>
          <w:lang w:val="ar-SA"/>
        </w:rPr>
        <w:t xml:space="preserve">84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1948 </w:t>
      </w:r>
      <w:r>
        <w:rPr>
          <w:rStyle w:val="None"/>
          <w:rFonts w:cs="Times New Roman"/>
          <w:sz w:val="24"/>
          <w:szCs w:val="24"/>
          <w:rtl/>
          <w:lang w:val="ar-SA"/>
        </w:rPr>
        <w:t xml:space="preserve">في المادة </w:t>
      </w:r>
      <w:r>
        <w:rPr>
          <w:rStyle w:val="None"/>
          <w:rFonts w:ascii="Times New Roman" w:hAnsi="Times New Roman"/>
          <w:sz w:val="24"/>
          <w:szCs w:val="24"/>
          <w:rtl/>
          <w:lang w:val="ar-SA"/>
        </w:rPr>
        <w:t xml:space="preserve">89 </w:t>
      </w:r>
      <w:r>
        <w:rPr>
          <w:rStyle w:val="None"/>
          <w:rFonts w:cs="Times New Roman"/>
          <w:sz w:val="24"/>
          <w:szCs w:val="24"/>
          <w:rtl/>
          <w:lang w:val="ar-SA"/>
        </w:rPr>
        <w:t xml:space="preserve">على أنَّ </w:t>
      </w:r>
      <w:r>
        <w:rPr>
          <w:rStyle w:val="None"/>
          <w:rFonts w:ascii="Times New Roman" w:hAnsi="Times New Roman"/>
          <w:sz w:val="24"/>
          <w:szCs w:val="24"/>
          <w:rtl/>
          <w:lang w:val="ar-SA"/>
        </w:rPr>
        <w:t>"</w:t>
      </w:r>
      <w:r>
        <w:rPr>
          <w:rStyle w:val="None"/>
          <w:rFonts w:cs="Times New Roman"/>
          <w:sz w:val="24"/>
          <w:szCs w:val="24"/>
          <w:rtl/>
          <w:lang w:val="ar-SA"/>
        </w:rPr>
        <w:t>الحقوق المتعلقة بالأشياء غير المادية تنظمها قوانين خاصة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9701F7"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أولت وزارة الاقتصاد والتجارة اهتمامًا خاصًا بالانضمام إلى المعاهدات الدولية والمنظمة العالمية للملكية الفكرية، وقد تم الانضمام إلى وثيقة استوكهولم لعام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المعدلة لاتفاقية باريس لحماية الملكية الصناعية في </w:t>
      </w:r>
      <w:r>
        <w:rPr>
          <w:rStyle w:val="None"/>
          <w:rFonts w:ascii="Times New Roman" w:hAnsi="Times New Roman"/>
          <w:sz w:val="24"/>
          <w:szCs w:val="24"/>
          <w:rtl/>
          <w:lang w:val="ar-SA"/>
        </w:rPr>
        <w:t xml:space="preserve">13 </w:t>
      </w:r>
      <w:r>
        <w:rPr>
          <w:rStyle w:val="None"/>
          <w:rFonts w:cs="Times New Roman"/>
          <w:sz w:val="24"/>
          <w:szCs w:val="24"/>
          <w:rtl/>
          <w:lang w:val="ar-SA"/>
        </w:rPr>
        <w:t xml:space="preserve">ديسمبر </w:t>
      </w:r>
      <w:r>
        <w:rPr>
          <w:rStyle w:val="None"/>
          <w:rFonts w:ascii="Times New Roman" w:hAnsi="Times New Roman"/>
          <w:sz w:val="24"/>
          <w:szCs w:val="24"/>
          <w:rtl/>
          <w:lang w:val="ar-SA"/>
        </w:rPr>
        <w:t>2002</w:t>
      </w:r>
      <w:r>
        <w:rPr>
          <w:rStyle w:val="None"/>
          <w:rFonts w:cs="Times New Roman"/>
          <w:sz w:val="24"/>
          <w:szCs w:val="24"/>
          <w:rtl/>
          <w:lang w:val="ar-SA"/>
        </w:rPr>
        <w:t>؛ ممَّا مهد الطريق للانضمام إلى بقية المعاهدات،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الوايبو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1967</w:t>
      </w:r>
      <w:r>
        <w:rPr>
          <w:rStyle w:val="None"/>
          <w:rFonts w:cs="Times New Roman"/>
          <w:sz w:val="24"/>
          <w:szCs w:val="24"/>
          <w:rtl/>
          <w:lang w:val="ar-SA"/>
        </w:rPr>
        <w:t xml:space="preserve">، التي تم الانضمام إليها في </w:t>
      </w:r>
      <w:r>
        <w:rPr>
          <w:rStyle w:val="None"/>
          <w:rFonts w:ascii="Times New Roman" w:hAnsi="Times New Roman"/>
          <w:sz w:val="24"/>
          <w:szCs w:val="24"/>
          <w:rtl/>
          <w:lang w:val="ar-SA"/>
        </w:rPr>
        <w:t xml:space="preserve">18 </w:t>
      </w:r>
      <w:r>
        <w:rPr>
          <w:rStyle w:val="None"/>
          <w:rFonts w:cs="Times New Roman"/>
          <w:sz w:val="24"/>
          <w:szCs w:val="24"/>
          <w:rtl/>
          <w:lang w:val="ar-SA"/>
        </w:rPr>
        <w:t xml:space="preserve">نوفمبر </w:t>
      </w:r>
      <w:r>
        <w:rPr>
          <w:rStyle w:val="None"/>
          <w:rFonts w:ascii="Times New Roman" w:hAnsi="Times New Roman"/>
          <w:sz w:val="24"/>
          <w:szCs w:val="24"/>
          <w:rtl/>
          <w:lang w:val="ar-SA"/>
        </w:rPr>
        <w:t>2004.</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8"/>
      </w:r>
      <w:r>
        <w:rPr>
          <w:rStyle w:val="None"/>
          <w:rFonts w:ascii="Times New Roman" w:hAnsi="Times New Roman"/>
          <w:sz w:val="24"/>
          <w:szCs w:val="24"/>
          <w:vertAlign w:val="superscript"/>
          <w:rtl/>
          <w:lang w:val="ar-SA"/>
        </w:rPr>
        <w:t>)</w:t>
      </w:r>
    </w:p>
    <w:p w14:paraId="20333B8C"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كما انضمت سوريا إلى المعاهدات الدولية المتعلقة بالتسجيل الدولي،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التعاون بشأن البراءات لعام </w:t>
      </w:r>
      <w:r>
        <w:rPr>
          <w:rStyle w:val="None"/>
          <w:rFonts w:ascii="Times New Roman" w:hAnsi="Times New Roman"/>
          <w:sz w:val="24"/>
          <w:szCs w:val="24"/>
          <w:rtl/>
          <w:lang w:val="ar-SA"/>
        </w:rPr>
        <w:t xml:space="preserve">1970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26 </w:t>
      </w:r>
      <w:r>
        <w:rPr>
          <w:rStyle w:val="None"/>
          <w:rFonts w:cs="Times New Roman"/>
          <w:sz w:val="24"/>
          <w:szCs w:val="24"/>
          <w:rtl/>
          <w:lang w:val="ar-SA"/>
        </w:rPr>
        <w:t xml:space="preserve">يونيو </w:t>
      </w:r>
      <w:r>
        <w:rPr>
          <w:rStyle w:val="None"/>
          <w:rFonts w:ascii="Times New Roman" w:hAnsi="Times New Roman"/>
          <w:sz w:val="24"/>
          <w:szCs w:val="24"/>
          <w:rtl/>
          <w:lang w:val="ar-SA"/>
        </w:rPr>
        <w:t>2003</w:t>
      </w:r>
      <w:r>
        <w:rPr>
          <w:rStyle w:val="None"/>
          <w:rFonts w:cs="Times New Roman"/>
          <w:sz w:val="24"/>
          <w:szCs w:val="24"/>
          <w:rtl/>
          <w:lang w:val="ar-SA"/>
        </w:rPr>
        <w:t xml:space="preserve">، تتيح هذه المعاهدة للمخترعين السوريين تسجيل طلباتهم عالميًا، مع تخفيضات كبيرة تصل إلى </w:t>
      </w:r>
      <w:r>
        <w:rPr>
          <w:rStyle w:val="None"/>
          <w:rFonts w:ascii="Times New Roman" w:hAnsi="Times New Roman"/>
          <w:sz w:val="24"/>
          <w:szCs w:val="24"/>
          <w:rtl/>
          <w:lang w:val="ar-SA"/>
        </w:rPr>
        <w:t xml:space="preserve">90% </w:t>
      </w:r>
      <w:r>
        <w:rPr>
          <w:rStyle w:val="None"/>
          <w:rFonts w:cs="Times New Roman"/>
          <w:sz w:val="24"/>
          <w:szCs w:val="24"/>
          <w:rtl/>
          <w:lang w:val="ar-SA"/>
        </w:rPr>
        <w:t xml:space="preserve">على الرسوم المعتمدة، وهو تخفيض ينطبق على جميع مواطني الدول النامية يسهم الانضمام إلى هذه المعاهدة في زيادة الطلبات الدولية الراغبة في حماية حقوقها في سوريا؛ ممَّا ينعكس إيجابيًا على المستوى المحلي، من خلال جذب المزيد من الاستثمارات الخارجية، انضمت سوريا إلى اتفاق مدريد بشأن التسجيل الدولي للعلامات لعام </w:t>
      </w:r>
      <w:r>
        <w:rPr>
          <w:rStyle w:val="None"/>
          <w:rFonts w:ascii="Times New Roman" w:hAnsi="Times New Roman"/>
          <w:sz w:val="24"/>
          <w:szCs w:val="24"/>
          <w:rtl/>
          <w:lang w:val="ar-SA"/>
        </w:rPr>
        <w:t xml:space="preserve">1891 </w:t>
      </w:r>
      <w:r>
        <w:rPr>
          <w:rStyle w:val="None"/>
          <w:rFonts w:cs="Times New Roman"/>
          <w:sz w:val="24"/>
          <w:szCs w:val="24"/>
          <w:rtl/>
          <w:lang w:val="ar-SA"/>
        </w:rPr>
        <w:t xml:space="preserve">واتفاق مدريد لعام </w:t>
      </w:r>
      <w:r>
        <w:rPr>
          <w:rStyle w:val="None"/>
          <w:rFonts w:ascii="Times New Roman" w:hAnsi="Times New Roman"/>
          <w:sz w:val="24"/>
          <w:szCs w:val="24"/>
          <w:rtl/>
          <w:lang w:val="ar-SA"/>
        </w:rPr>
        <w:t xml:space="preserve">1989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أغسطس </w:t>
      </w:r>
      <w:r>
        <w:rPr>
          <w:rStyle w:val="None"/>
          <w:rFonts w:ascii="Times New Roman" w:hAnsi="Times New Roman"/>
          <w:sz w:val="24"/>
          <w:szCs w:val="24"/>
          <w:rtl/>
          <w:lang w:val="ar-SA"/>
        </w:rPr>
        <w:t>2004</w:t>
      </w:r>
      <w:r>
        <w:rPr>
          <w:rStyle w:val="None"/>
          <w:rFonts w:cs="Times New Roman"/>
          <w:sz w:val="24"/>
          <w:szCs w:val="24"/>
          <w:rtl/>
          <w:lang w:val="ar-SA"/>
        </w:rPr>
        <w:t xml:space="preserve">، يتيح هذا الانضمام للمواطنين السوريين إمكانية تسجيل علاماتهم لدى الدول الأعضاء برسوم أقل، مقارنةً بتقديم طلبات متعددة لكل دولة؛ حيث يتطلب ذلك دفع رسوم فحص وتسجيل في كل بلد، كما يسهل الانضمام إلى الاتفاقية عملية تسجيل الطلبات الواردة من الخارج في سوريا عبر المكتب الدولي في منظمة الوايبو؛ ممَّا يحقق عائدات تسجيل للبلاد، ويعزّز فرص الاستثمارات الأجنبية وفي </w:t>
      </w:r>
      <w:r>
        <w:rPr>
          <w:rStyle w:val="None"/>
          <w:rFonts w:ascii="Times New Roman" w:hAnsi="Times New Roman"/>
          <w:sz w:val="24"/>
          <w:szCs w:val="24"/>
          <w:rtl/>
          <w:lang w:val="ar-SA"/>
        </w:rPr>
        <w:t xml:space="preserve">7 </w:t>
      </w:r>
      <w:r>
        <w:rPr>
          <w:rStyle w:val="None"/>
          <w:rFonts w:cs="Times New Roman"/>
          <w:sz w:val="24"/>
          <w:szCs w:val="24"/>
          <w:rtl/>
          <w:lang w:val="ar-SA"/>
        </w:rPr>
        <w:t xml:space="preserve">فبراير </w:t>
      </w:r>
      <w:r>
        <w:rPr>
          <w:rStyle w:val="None"/>
          <w:rFonts w:ascii="Times New Roman" w:hAnsi="Times New Roman"/>
          <w:sz w:val="24"/>
          <w:szCs w:val="24"/>
          <w:rtl/>
          <w:lang w:val="ar-SA"/>
        </w:rPr>
        <w:t xml:space="preserve">2008 </w:t>
      </w:r>
      <w:r>
        <w:rPr>
          <w:rStyle w:val="None"/>
          <w:rFonts w:cs="Times New Roman"/>
          <w:sz w:val="24"/>
          <w:szCs w:val="24"/>
          <w:rtl/>
          <w:lang w:val="ar-SA"/>
        </w:rPr>
        <w:t xml:space="preserve">انضمت سوريا أيضًا إلى اتفاق لاهاي </w:t>
      </w:r>
      <w:r>
        <w:rPr>
          <w:rStyle w:val="None"/>
          <w:rFonts w:ascii="Times New Roman" w:hAnsi="Times New Roman"/>
          <w:sz w:val="24"/>
          <w:szCs w:val="24"/>
          <w:rtl/>
          <w:lang w:val="ar-SA"/>
        </w:rPr>
        <w:t>(</w:t>
      </w:r>
      <w:r>
        <w:rPr>
          <w:rStyle w:val="None"/>
          <w:rFonts w:cs="Times New Roman"/>
          <w:sz w:val="24"/>
          <w:szCs w:val="24"/>
          <w:rtl/>
          <w:lang w:val="ar-SA"/>
        </w:rPr>
        <w:t>جنيف</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بشأن التسجيل الدولي للرسوم والنماذج الصناعية لعام </w:t>
      </w:r>
      <w:r>
        <w:rPr>
          <w:rStyle w:val="None"/>
          <w:rFonts w:ascii="Times New Roman" w:hAnsi="Times New Roman"/>
          <w:sz w:val="24"/>
          <w:szCs w:val="24"/>
          <w:rtl/>
          <w:lang w:val="ar-SA"/>
        </w:rPr>
        <w:t>1999</w:t>
      </w:r>
      <w:r>
        <w:rPr>
          <w:rStyle w:val="None"/>
          <w:rFonts w:cs="Times New Roman"/>
          <w:sz w:val="24"/>
          <w:szCs w:val="24"/>
          <w:rtl/>
          <w:lang w:val="ar-SA"/>
        </w:rPr>
        <w:t xml:space="preserve">، وقد صدر القانون رقم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2007 </w:t>
      </w:r>
      <w:r>
        <w:rPr>
          <w:rStyle w:val="None"/>
          <w:rFonts w:cs="Times New Roman"/>
          <w:sz w:val="24"/>
          <w:szCs w:val="24"/>
          <w:rtl/>
          <w:lang w:val="ar-SA"/>
        </w:rPr>
        <w:t>المتعلق بحماية العلامات الفارقة، والرسوم والنماذج الصناعية، والمؤشرات الجغرافية، والمنافسة غير المشروعة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9"/>
      </w:r>
      <w:r>
        <w:rPr>
          <w:rStyle w:val="None"/>
          <w:rFonts w:ascii="Times New Roman" w:hAnsi="Times New Roman"/>
          <w:sz w:val="24"/>
          <w:szCs w:val="24"/>
          <w:vertAlign w:val="superscript"/>
          <w:rtl/>
          <w:lang w:val="ar-SA"/>
        </w:rPr>
        <w:t>)</w:t>
      </w:r>
    </w:p>
    <w:p w14:paraId="68802307"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فقد صدر أول قانون لحماية حق المؤلف في سوريا بتاريخ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فبراير عام </w:t>
      </w:r>
      <w:r>
        <w:rPr>
          <w:rStyle w:val="None"/>
          <w:rFonts w:ascii="Times New Roman" w:hAnsi="Times New Roman"/>
          <w:sz w:val="24"/>
          <w:szCs w:val="24"/>
          <w:rtl/>
          <w:lang w:val="ar-SA"/>
        </w:rPr>
        <w:t xml:space="preserve">2001 </w:t>
      </w:r>
      <w:r>
        <w:rPr>
          <w:rStyle w:val="None"/>
          <w:rFonts w:cs="Times New Roman"/>
          <w:sz w:val="24"/>
          <w:szCs w:val="24"/>
          <w:rtl/>
          <w:lang w:val="ar-SA"/>
        </w:rPr>
        <w:t xml:space="preserve">رقم </w:t>
      </w:r>
      <w:r>
        <w:rPr>
          <w:rStyle w:val="None"/>
          <w:rFonts w:ascii="Times New Roman" w:hAnsi="Times New Roman"/>
          <w:sz w:val="24"/>
          <w:szCs w:val="24"/>
          <w:rtl/>
          <w:lang w:val="ar-SA"/>
        </w:rPr>
        <w:t>12</w:t>
      </w:r>
      <w:r>
        <w:rPr>
          <w:rStyle w:val="None"/>
          <w:rFonts w:cs="Times New Roman"/>
          <w:sz w:val="24"/>
          <w:szCs w:val="24"/>
          <w:rtl/>
          <w:lang w:val="ar-SA"/>
        </w:rPr>
        <w:t xml:space="preserve">، ولكن هذا القانون لم يواكب </w:t>
      </w:r>
      <w:r>
        <w:rPr>
          <w:rStyle w:val="None"/>
          <w:rFonts w:ascii="Times New Roman" w:hAnsi="Times New Roman"/>
          <w:sz w:val="24"/>
          <w:szCs w:val="24"/>
          <w:rtl/>
          <w:lang w:val="ar-SA"/>
        </w:rPr>
        <w:t>-</w:t>
      </w:r>
      <w:r>
        <w:rPr>
          <w:rStyle w:val="None"/>
          <w:rFonts w:cs="Times New Roman"/>
          <w:sz w:val="24"/>
          <w:szCs w:val="24"/>
          <w:rtl/>
          <w:lang w:val="ar-SA"/>
        </w:rPr>
        <w:t>إلى حدٍّ ما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الإبداعات والابتكارات المتطوِّرة وحاجة الإبداع الفكري المتجدد إلى قواعد متطوِّرة لحماية الإبداعات </w:t>
      </w:r>
      <w:r>
        <w:rPr>
          <w:rStyle w:val="None"/>
          <w:rFonts w:cs="Times New Roman"/>
          <w:sz w:val="24"/>
          <w:szCs w:val="24"/>
          <w:rtl/>
          <w:lang w:val="ar-SA"/>
        </w:rPr>
        <w:lastRenderedPageBreak/>
        <w:t xml:space="preserve">ومعاقبة مَن يتعدى عليها، الأمر الذي دفع المشرع السوري إلى تعديل القانون رقم </w:t>
      </w:r>
      <w:r>
        <w:rPr>
          <w:rStyle w:val="None"/>
          <w:rFonts w:ascii="Times New Roman" w:hAnsi="Times New Roman"/>
          <w:sz w:val="24"/>
          <w:szCs w:val="24"/>
          <w:rtl/>
          <w:lang w:val="ar-SA"/>
        </w:rPr>
        <w:t xml:space="preserve">12 </w:t>
      </w:r>
      <w:r>
        <w:rPr>
          <w:rStyle w:val="None"/>
          <w:rFonts w:cs="Times New Roman"/>
          <w:sz w:val="24"/>
          <w:szCs w:val="24"/>
          <w:rtl/>
          <w:lang w:val="ar-SA"/>
        </w:rPr>
        <w:t xml:space="preserve">بقانون جديد لحماية حقوق المؤلف والحقوق المجاورة، وتمثل ذلك بالمرسوم التشريعي رقم </w:t>
      </w:r>
      <w:r>
        <w:rPr>
          <w:rStyle w:val="None"/>
          <w:rFonts w:ascii="Times New Roman" w:hAnsi="Times New Roman"/>
          <w:sz w:val="24"/>
          <w:szCs w:val="24"/>
          <w:rtl/>
          <w:lang w:val="ar-SA"/>
        </w:rPr>
        <w:t xml:space="preserve">62 </w:t>
      </w:r>
      <w:r>
        <w:rPr>
          <w:rStyle w:val="None"/>
          <w:rFonts w:cs="Times New Roman"/>
          <w:sz w:val="24"/>
          <w:szCs w:val="24"/>
          <w:rtl/>
          <w:lang w:val="ar-SA"/>
        </w:rPr>
        <w:t xml:space="preserve">عام </w:t>
      </w:r>
      <w:r>
        <w:rPr>
          <w:rStyle w:val="None"/>
          <w:rFonts w:ascii="Times New Roman" w:hAnsi="Times New Roman"/>
          <w:sz w:val="24"/>
          <w:szCs w:val="24"/>
          <w:rtl/>
          <w:lang w:val="ar-SA"/>
        </w:rPr>
        <w:t xml:space="preserve">2013.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0"/>
      </w:r>
      <w:r>
        <w:rPr>
          <w:rStyle w:val="None"/>
          <w:rFonts w:ascii="Times New Roman" w:hAnsi="Times New Roman"/>
          <w:sz w:val="24"/>
          <w:szCs w:val="24"/>
          <w:vertAlign w:val="superscript"/>
          <w:rtl/>
          <w:lang w:val="ar-SA"/>
        </w:rPr>
        <w:t>)</w:t>
      </w:r>
    </w:p>
    <w:p w14:paraId="16CCB417"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 xml:space="preserve">1947 </w:t>
      </w:r>
      <w:r>
        <w:rPr>
          <w:rStyle w:val="None"/>
          <w:rFonts w:cs="Times New Roman"/>
          <w:sz w:val="24"/>
          <w:szCs w:val="24"/>
          <w:rtl/>
          <w:lang w:val="ar-SA"/>
        </w:rPr>
        <w:t xml:space="preserve">ناقشت اللجنة القانونية الدائمة التابعة لجامعة الدول العربية في اجتماعاتها توحيد القوانين المتعلقة بحماية حقوق المؤلف في الدول العربية، وقد وافق مجلس جامعة الدول العربية على مشروع قانون أعدته اللجنة لحماية حقوق المؤلف، وتم إصدار القرار في </w:t>
      </w:r>
      <w:r>
        <w:rPr>
          <w:rStyle w:val="None"/>
          <w:rFonts w:ascii="Times New Roman" w:hAnsi="Times New Roman"/>
          <w:sz w:val="24"/>
          <w:szCs w:val="24"/>
          <w:rtl/>
          <w:lang w:val="ar-SA"/>
        </w:rPr>
        <w:t xml:space="preserve">17 </w:t>
      </w:r>
      <w:r>
        <w:rPr>
          <w:rStyle w:val="None"/>
          <w:rFonts w:cs="Times New Roman"/>
          <w:sz w:val="24"/>
          <w:szCs w:val="24"/>
          <w:rtl/>
          <w:lang w:val="ar-SA"/>
        </w:rPr>
        <w:t xml:space="preserve">فبراير </w:t>
      </w:r>
      <w:r>
        <w:rPr>
          <w:rStyle w:val="None"/>
          <w:rFonts w:ascii="Times New Roman" w:hAnsi="Times New Roman"/>
          <w:sz w:val="24"/>
          <w:szCs w:val="24"/>
          <w:rtl/>
          <w:lang w:val="ar-SA"/>
        </w:rPr>
        <w:t>1948</w:t>
      </w:r>
      <w:r>
        <w:rPr>
          <w:rStyle w:val="None"/>
          <w:rFonts w:cs="Times New Roman"/>
          <w:sz w:val="24"/>
          <w:szCs w:val="24"/>
          <w:rtl/>
          <w:lang w:val="ar-SA"/>
        </w:rPr>
        <w:t xml:space="preserve">؛ حيث أوصى الدول العربية بإصدار تشريعات تتماشى مع هذا المشروع الذي يتضمن </w:t>
      </w:r>
      <w:r>
        <w:rPr>
          <w:rStyle w:val="None"/>
          <w:rFonts w:ascii="Times New Roman" w:hAnsi="Times New Roman"/>
          <w:sz w:val="24"/>
          <w:szCs w:val="24"/>
          <w:rtl/>
          <w:lang w:val="ar-SA"/>
        </w:rPr>
        <w:t xml:space="preserve">59 </w:t>
      </w:r>
      <w:r>
        <w:rPr>
          <w:rStyle w:val="None"/>
          <w:rFonts w:cs="Times New Roman"/>
          <w:sz w:val="24"/>
          <w:szCs w:val="24"/>
          <w:rtl/>
          <w:lang w:val="ar-SA"/>
        </w:rPr>
        <w:t xml:space="preserve">مادةً، وفقًا للمادة الأولى يتمتع بالحماية </w:t>
      </w:r>
      <w:r>
        <w:rPr>
          <w:rStyle w:val="None"/>
          <w:rFonts w:ascii="Times New Roman" w:hAnsi="Times New Roman"/>
          <w:sz w:val="24"/>
          <w:szCs w:val="24"/>
          <w:rtl/>
          <w:lang w:val="ar-SA"/>
        </w:rPr>
        <w:t>"</w:t>
      </w:r>
      <w:r>
        <w:rPr>
          <w:rStyle w:val="None"/>
          <w:rFonts w:cs="Times New Roman"/>
          <w:sz w:val="24"/>
          <w:szCs w:val="24"/>
          <w:rtl/>
          <w:lang w:val="ar-SA"/>
        </w:rPr>
        <w:t>مؤلفو المصنفات المبتكرة في الآداب والفنون والعلوم، بغض النظر عن نوع المصنف أو الغرض من تصنيفه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1"/>
      </w:r>
      <w:r>
        <w:rPr>
          <w:rStyle w:val="None"/>
          <w:rFonts w:ascii="Times New Roman" w:hAnsi="Times New Roman"/>
          <w:sz w:val="24"/>
          <w:szCs w:val="24"/>
          <w:vertAlign w:val="superscript"/>
          <w:rtl/>
          <w:lang w:val="ar-SA"/>
        </w:rPr>
        <w:t>)</w:t>
      </w:r>
    </w:p>
    <w:p w14:paraId="46258316"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 xml:space="preserve">عقد مؤتمر وزراء الثقافة العرب في بغداد من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أكتوبر إلى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نوفمبر </w:t>
      </w:r>
      <w:r>
        <w:rPr>
          <w:rStyle w:val="None"/>
          <w:rFonts w:ascii="Times New Roman" w:hAnsi="Times New Roman"/>
          <w:sz w:val="24"/>
          <w:szCs w:val="24"/>
          <w:rtl/>
          <w:lang w:val="ar-SA"/>
        </w:rPr>
        <w:t>1981</w:t>
      </w:r>
      <w:r>
        <w:rPr>
          <w:rStyle w:val="None"/>
          <w:rFonts w:cs="Times New Roman"/>
          <w:sz w:val="24"/>
          <w:szCs w:val="24"/>
          <w:rtl/>
          <w:lang w:val="ar-SA"/>
        </w:rPr>
        <w:t>؛ حيث تم توقيع اتفاقية لحماية حقوق المؤلف من قبل جميع الدول العربية باستثناء مصر ولبنان، إنَّ وضع تشريع يتعلق بحق المؤلف يُعَدُّ أمرًا بالغ الأهمية؛ حيث يرتبط بعدة اعتبارات قد تكون متعارضةً، ويتوجب على التشريع التوفيق بينها، وبما أنَّ التشريع يتأثر بالظروف السياسية، والاقتصادية، والاجتماعية لكل دولة، ومع الحاجة الملحة للمؤلفين إلى تشريعات وطنية لحماية حقوقهم، كان من الطبيعي أنْ تسعى الدول العربية إلى إصدار تشريعات في هذا المجال؛ ممَّا يسهم في خلق بيئة مناسبة لنشر المصنفات الأدبية والفنية والعلمية، ويتيح للمؤلفين الحصول على عائد عادل من أعمالهم؛ ممَّا يساعدهم على التركيز على الإبداع وتحقيق المكانة الأدبية التي يستحقونها، ومع ذلك لا تزال أكثر من ثلث الدول النامية في العالم تفتقر إلى تشريعات لحماية حقوق المؤلف</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2"/>
      </w:r>
      <w:r>
        <w:rPr>
          <w:rStyle w:val="None"/>
          <w:rFonts w:ascii="Times New Roman" w:hAnsi="Times New Roman"/>
          <w:sz w:val="24"/>
          <w:szCs w:val="24"/>
          <w:vertAlign w:val="superscript"/>
          <w:rtl/>
          <w:lang w:val="ar-SA"/>
        </w:rPr>
        <w:t>)</w:t>
      </w:r>
    </w:p>
    <w:p w14:paraId="2822CDB1"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Pr>
          <w:rStyle w:val="None"/>
          <w:rFonts w:cs="Times New Roman"/>
          <w:sz w:val="24"/>
          <w:szCs w:val="24"/>
          <w:rtl/>
          <w:lang w:val="ar-SA"/>
        </w:rPr>
        <w:t>في السياق ذاته</w:t>
      </w:r>
      <w:r>
        <w:rPr>
          <w:rStyle w:val="None"/>
          <w:rFonts w:ascii="Times New Roman" w:hAnsi="Times New Roman"/>
          <w:sz w:val="24"/>
          <w:szCs w:val="24"/>
          <w:rtl/>
          <w:lang w:val="ar-SA"/>
        </w:rPr>
        <w:t xml:space="preserve">: </w:t>
      </w:r>
      <w:r>
        <w:rPr>
          <w:rStyle w:val="None"/>
          <w:rFonts w:cs="Times New Roman"/>
          <w:sz w:val="24"/>
          <w:szCs w:val="24"/>
          <w:rtl/>
          <w:lang w:val="ar-SA"/>
        </w:rPr>
        <w:t>أبرمت الدول العربية المعاهدة الثقافية التي وافق عليها مجلس جامعة الدول العربية في ٢٧ نوفمبر ١٩٤٥؛ حيث تنص المادة الثامنة على التزام الدول بوضع تشريعات لحماية الملكية الأدبية والعلمية والفنية لما يُنشر في كل دولة من دول الجامعة، كما وافق المجلس في مايو ١٩٦٤ على دستور المنظمة العربية للتربية والثقافة والعلوم، وأقر ميثاق الوحدة الثقافية العربية الذي ينص في مادته ٢١ على ضرورة أنْ تعمل الدول الأعضاء على وضع تشريعات لحماية الملكية الأدبية والعلمية والفنية في كل دولة من دول الجامعة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3"/>
      </w:r>
      <w:r>
        <w:rPr>
          <w:rStyle w:val="None"/>
          <w:rFonts w:ascii="Times New Roman" w:hAnsi="Times New Roman"/>
          <w:sz w:val="24"/>
          <w:szCs w:val="24"/>
          <w:vertAlign w:val="superscript"/>
          <w:rtl/>
          <w:lang w:val="ar-SA"/>
        </w:rPr>
        <w:t>)</w:t>
      </w:r>
    </w:p>
    <w:p w14:paraId="5A39CBF3"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t xml:space="preserve">في المملكة العربية السعودية وتحديدًا في عام ١٩٣٩م صدر القانون الأول للعلامات التجارية، وهو خطوة مبكرة لضمان حقوق المبدعين وفي ١٩٨٢م، كما انضمت السعودية إلى </w:t>
      </w:r>
      <w:r>
        <w:rPr>
          <w:rStyle w:val="None"/>
          <w:rFonts w:ascii="Times New Roman" w:hAnsi="Times New Roman"/>
          <w:sz w:val="24"/>
          <w:szCs w:val="24"/>
        </w:rPr>
        <w:t>WIPO</w:t>
      </w:r>
      <w:r>
        <w:rPr>
          <w:rStyle w:val="None"/>
          <w:rFonts w:cs="Times New Roman"/>
          <w:sz w:val="24"/>
          <w:szCs w:val="24"/>
          <w:rtl/>
          <w:lang w:val="ar-SA"/>
        </w:rPr>
        <w:t>؛ ممَّا عزّز من مكانتها دوليًا وفي عام ٢٠١٨ أسست الهيئة السعودية للملكية الفكرية لتعزيز الحماية والتنظيم</w:t>
      </w:r>
      <w:r>
        <w:rPr>
          <w:rStyle w:val="None"/>
          <w:rFonts w:ascii="Times New Roman" w:hAnsi="Times New Roman"/>
          <w:sz w:val="24"/>
          <w:szCs w:val="24"/>
          <w:rtl/>
          <w:lang w:val="ar-SA"/>
        </w:rPr>
        <w:t>.</w:t>
      </w:r>
    </w:p>
    <w:p w14:paraId="2F2775B1" w14:textId="77777777" w:rsidR="00454428" w:rsidRPr="00CC3E5F"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17DAE005" w14:textId="77777777" w:rsidR="00454428" w:rsidRDefault="00C464EC" w:rsidP="00C72BA8">
      <w:pPr>
        <w:pStyle w:val="a"/>
        <w:rPr>
          <w:rStyle w:val="None"/>
          <w:b w:val="0"/>
          <w:bCs w:val="0"/>
          <w:rtl/>
          <w:lang w:val="ar-SA"/>
        </w:rPr>
      </w:pPr>
      <w:bookmarkStart w:id="149" w:name="_Toc227251094"/>
      <w:bookmarkStart w:id="150" w:name="_Toc232260651"/>
      <w:r>
        <w:rPr>
          <w:rStyle w:val="None"/>
          <w:rFonts w:ascii="Arial Unicode MS" w:eastAsia="Arial Unicode MS" w:hAnsi="Arial Unicode MS" w:hint="cs"/>
          <w:rtl/>
          <w:lang w:val="ar-SA"/>
        </w:rPr>
        <w:t>المطلب الثاني</w:t>
      </w:r>
      <w:bookmarkEnd w:id="149"/>
      <w:bookmarkEnd w:id="150"/>
    </w:p>
    <w:p w14:paraId="42D0D5B1" w14:textId="77777777" w:rsidR="00454428" w:rsidRDefault="00C464EC" w:rsidP="00C72BA8">
      <w:pPr>
        <w:pStyle w:val="a"/>
        <w:rPr>
          <w:rStyle w:val="None"/>
          <w:b w:val="0"/>
          <w:bCs w:val="0"/>
          <w:rtl/>
          <w:lang w:val="ar-SA"/>
        </w:rPr>
      </w:pPr>
      <w:bookmarkStart w:id="151" w:name="_Hlk201742915"/>
      <w:bookmarkStart w:id="152" w:name="_Toc227251095"/>
      <w:bookmarkStart w:id="153" w:name="_Toc232260652"/>
      <w:r>
        <w:rPr>
          <w:rStyle w:val="None"/>
          <w:rFonts w:ascii="Arial Unicode MS" w:eastAsia="Arial Unicode MS" w:hAnsi="Arial Unicode MS" w:hint="cs"/>
          <w:rtl/>
          <w:lang w:val="ar-SA"/>
        </w:rPr>
        <w:t>تطوُّر الأطر القانونية والمؤسسية لحماية حقوق الملكية الفكرية</w:t>
      </w:r>
      <w:bookmarkEnd w:id="151"/>
      <w:bookmarkEnd w:id="152"/>
      <w:bookmarkEnd w:id="153"/>
    </w:p>
    <w:p w14:paraId="60A2B1C7" w14:textId="77777777" w:rsidR="00454428"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lastRenderedPageBreak/>
        <w:t>أصبحت حقوق الملكية الفكرية من بين الركائز الأساسية التي تعتمد عليها الدول في بناء اقتصادات المعرفة</w:t>
      </w:r>
      <w:r>
        <w:rPr>
          <w:rStyle w:val="None"/>
          <w:rFonts w:ascii="Times New Roman" w:hAnsi="Times New Roman"/>
          <w:sz w:val="24"/>
          <w:szCs w:val="24"/>
        </w:rPr>
        <w:t xml:space="preserve"> </w:t>
      </w:r>
      <w:r>
        <w:rPr>
          <w:rStyle w:val="None"/>
          <w:rFonts w:cs="Times New Roman"/>
          <w:sz w:val="24"/>
          <w:szCs w:val="24"/>
          <w:rtl/>
          <w:lang w:val="ar-SA"/>
        </w:rPr>
        <w:t>والابتكار؛ حيث تُمثل حافزًا للمبدعين والمخترعين، وتشكل ضمانةً لحماية أعمالهم من الاستغلال غير المشروع، ومع هذا التحول العالمي، برزت الحاجة إلى تطوير أطر قانونية ومؤسسية متكاملة تواكب التغيرات التكنولوجية والتجارية، وتوفر بيئة حاضنة لحماية الحقوق الفكرية، ويتناول هذا المطلب تطوُّر هذه الأطر من خلال فرعين رئيسيين</w:t>
      </w:r>
      <w:r>
        <w:rPr>
          <w:rStyle w:val="None"/>
          <w:rFonts w:ascii="Times New Roman" w:hAnsi="Times New Roman"/>
          <w:sz w:val="24"/>
          <w:szCs w:val="24"/>
          <w:rtl/>
          <w:lang w:val="ar-SA"/>
        </w:rPr>
        <w:t>:</w:t>
      </w:r>
    </w:p>
    <w:p w14:paraId="5C8B0E43" w14:textId="77777777" w:rsidR="00454428" w:rsidRDefault="00C464EC">
      <w:pPr>
        <w:pStyle w:val="BodyA"/>
        <w:numPr>
          <w:ilvl w:val="0"/>
          <w:numId w:val="59"/>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التشريعية لحماية حقوق الملكية الفكرية</w:t>
      </w:r>
      <w:r>
        <w:rPr>
          <w:rStyle w:val="None"/>
          <w:rFonts w:ascii="Times New Roman" w:hAnsi="Times New Roman"/>
          <w:sz w:val="24"/>
          <w:szCs w:val="24"/>
          <w:rtl/>
          <w:lang w:val="ar-SA"/>
        </w:rPr>
        <w:t>.</w:t>
      </w:r>
    </w:p>
    <w:p w14:paraId="5DAEFA8D" w14:textId="77777777" w:rsidR="00454428" w:rsidRDefault="00C464EC">
      <w:pPr>
        <w:pStyle w:val="BodyA"/>
        <w:numPr>
          <w:ilvl w:val="0"/>
          <w:numId w:val="59"/>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دور المؤسسات الوطنية والدولية في دعم الحماية</w:t>
      </w:r>
      <w:r>
        <w:rPr>
          <w:rStyle w:val="None"/>
          <w:rFonts w:ascii="Times New Roman" w:hAnsi="Times New Roman"/>
          <w:sz w:val="24"/>
          <w:szCs w:val="24"/>
          <w:rtl/>
          <w:lang w:val="ar-SA"/>
        </w:rPr>
        <w:t>.</w:t>
      </w:r>
    </w:p>
    <w:p w14:paraId="1CCEE7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89D0272"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A739F83"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0BB451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3B56A820"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67C97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4CD45CB"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1FB685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4DECB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2324E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F037397"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29551CA" w14:textId="77777777" w:rsidR="00CC3E5F" w:rsidRDefault="00CC3E5F" w:rsidP="00C72BA8">
      <w:pPr>
        <w:pStyle w:val="Default"/>
        <w:spacing w:before="120" w:after="120" w:line="360" w:lineRule="auto"/>
        <w:rPr>
          <w:rStyle w:val="None"/>
          <w:rFonts w:ascii="Times New Roman" w:eastAsia="Times New Roman" w:hAnsi="Times New Roman" w:cs="Times New Roman"/>
        </w:rPr>
      </w:pPr>
    </w:p>
    <w:p w14:paraId="327633E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BB23321"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E606FBF"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4ABEED7" w14:textId="77777777" w:rsidR="00454428" w:rsidRDefault="00454428" w:rsidP="00C72BA8">
      <w:pPr>
        <w:pStyle w:val="Default"/>
        <w:spacing w:before="120" w:after="120" w:line="360" w:lineRule="auto"/>
        <w:rPr>
          <w:rStyle w:val="None"/>
          <w:rFonts w:ascii="Times New Roman" w:eastAsia="Times New Roman" w:hAnsi="Times New Roman" w:cs="Times New Roman"/>
          <w:rtl/>
          <w:lang w:val="ar-SA"/>
        </w:rPr>
      </w:pPr>
    </w:p>
    <w:p w14:paraId="22E2B04E"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B93C954" w14:textId="77777777" w:rsidR="0048398C" w:rsidRDefault="0048398C" w:rsidP="00C72BA8">
      <w:pPr>
        <w:pStyle w:val="a"/>
        <w:rPr>
          <w:rStyle w:val="None"/>
          <w:rFonts w:ascii="Arial Unicode MS" w:eastAsia="Arial Unicode MS" w:hAnsi="Arial Unicode MS"/>
        </w:rPr>
      </w:pPr>
      <w:bookmarkStart w:id="154" w:name="_Hlk201758121"/>
    </w:p>
    <w:p w14:paraId="6D925CBA" w14:textId="630395B9" w:rsidR="00454428" w:rsidRDefault="00C464EC" w:rsidP="00C72BA8">
      <w:pPr>
        <w:pStyle w:val="a"/>
        <w:rPr>
          <w:rStyle w:val="None"/>
          <w:b w:val="0"/>
          <w:bCs w:val="0"/>
          <w:rtl/>
          <w:lang w:val="ar-SA"/>
        </w:rPr>
      </w:pPr>
      <w:bookmarkStart w:id="155" w:name="_Toc227251096"/>
      <w:bookmarkStart w:id="156" w:name="_Toc232260653"/>
      <w:r>
        <w:rPr>
          <w:rStyle w:val="None"/>
          <w:rFonts w:ascii="Arial Unicode MS" w:eastAsia="Arial Unicode MS" w:hAnsi="Arial Unicode MS" w:hint="cs"/>
          <w:rtl/>
          <w:lang w:val="ar-SA"/>
        </w:rPr>
        <w:t>الفرع الأول</w:t>
      </w:r>
      <w:bookmarkEnd w:id="155"/>
      <w:bookmarkEnd w:id="156"/>
    </w:p>
    <w:p w14:paraId="22FC34D9" w14:textId="77777777" w:rsidR="00454428" w:rsidRDefault="00C464EC" w:rsidP="00C72BA8">
      <w:pPr>
        <w:pStyle w:val="a"/>
        <w:rPr>
          <w:rStyle w:val="None"/>
          <w:b w:val="0"/>
          <w:bCs w:val="0"/>
          <w:rtl/>
          <w:lang w:val="ar-SA"/>
        </w:rPr>
      </w:pPr>
      <w:bookmarkStart w:id="157" w:name="_Toc227251097"/>
      <w:bookmarkStart w:id="158" w:name="_Toc232260654"/>
      <w:r>
        <w:rPr>
          <w:rStyle w:val="None"/>
          <w:rFonts w:ascii="Arial Unicode MS" w:eastAsia="Arial Unicode MS" w:hAnsi="Arial Unicode MS" w:hint="cs"/>
          <w:rtl/>
          <w:lang w:val="ar-SA"/>
        </w:rPr>
        <w:t>تطوُّر الأطر التشريعية لحماية حقوق الملكية الفكرية</w:t>
      </w:r>
      <w:bookmarkEnd w:id="157"/>
      <w:bookmarkEnd w:id="158"/>
    </w:p>
    <w:p w14:paraId="40842440"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lastRenderedPageBreak/>
        <w:t>تُعَدُّ الأطر التشريعية الأساس القانوني لحماية حقوق الملكية الفكرية، وقد مرت هذه الأطر بمراحل متعددة، ففي بريطانيا</w:t>
      </w:r>
      <w:r>
        <w:rPr>
          <w:rStyle w:val="None"/>
          <w:rFonts w:ascii="Times New Roman" w:hAnsi="Times New Roman"/>
          <w:rtl/>
          <w:lang w:val="ar-SA"/>
        </w:rPr>
        <w:t xml:space="preserve">: </w:t>
      </w:r>
      <w:r>
        <w:rPr>
          <w:rStyle w:val="None"/>
          <w:rFonts w:cs="Times New Roman" w:hint="cs"/>
          <w:rtl/>
          <w:lang w:val="ar-SA"/>
        </w:rPr>
        <w:t xml:space="preserve">صدر أول قانون لحماية حقوق المؤلف عام ١٧١٠، والمعروف بـ </w:t>
      </w:r>
      <w:r>
        <w:rPr>
          <w:rStyle w:val="None"/>
          <w:rFonts w:ascii="Times New Roman" w:hAnsi="Times New Roman"/>
          <w:rtl/>
          <w:lang w:val="ar-SA"/>
        </w:rPr>
        <w:t>"</w:t>
      </w:r>
      <w:r>
        <w:rPr>
          <w:rStyle w:val="None"/>
          <w:rFonts w:cs="Times New Roman" w:hint="cs"/>
          <w:rtl/>
          <w:lang w:val="ar-SA"/>
        </w:rPr>
        <w:t>قانون آن</w:t>
      </w:r>
      <w:r>
        <w:rPr>
          <w:rStyle w:val="None"/>
          <w:rFonts w:ascii="Times New Roman" w:hAnsi="Times New Roman"/>
          <w:rtl/>
          <w:lang w:val="ar-SA"/>
        </w:rPr>
        <w:t>"</w:t>
      </w:r>
      <w:r>
        <w:rPr>
          <w:rStyle w:val="None"/>
          <w:rFonts w:cs="Times New Roman" w:hint="cs"/>
          <w:rtl/>
          <w:lang w:val="ar-SA"/>
        </w:rPr>
        <w:t>، وقد منح المؤلفين حقوق النشر الحصرية ومصنفاتهم لمدة محددة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4"/>
      </w:r>
      <w:r>
        <w:rPr>
          <w:rStyle w:val="None"/>
          <w:rFonts w:ascii="Times New Roman" w:hAnsi="Times New Roman"/>
          <w:vertAlign w:val="superscript"/>
          <w:rtl/>
          <w:lang w:val="ar-SA"/>
        </w:rPr>
        <w:t xml:space="preserve">) </w:t>
      </w:r>
    </w:p>
    <w:p w14:paraId="286F86AA"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وجاء في مقدمة التشريع أنَّه </w:t>
      </w:r>
      <w:r>
        <w:rPr>
          <w:rStyle w:val="None"/>
          <w:rFonts w:ascii="Times New Roman" w:hAnsi="Times New Roman"/>
          <w:rtl/>
          <w:lang w:val="ar-SA"/>
        </w:rPr>
        <w:t>"</w:t>
      </w:r>
      <w:r>
        <w:rPr>
          <w:rStyle w:val="None"/>
          <w:rFonts w:cs="Times New Roman" w:hint="cs"/>
          <w:rtl/>
          <w:lang w:val="ar-SA"/>
        </w:rPr>
        <w:t xml:space="preserve">لأنَّ الطابعين وبائعي الكتب انتهكوا مؤخرًا حرية طباعة الكتب وإعادة طبعها ونشرها، دون موافقة مؤلفيها أو مالكيها؛ ممَّا ألحق بهم ضررًا بالغًا، تم سنُّ هذا القانون الذي يمنع هذه الممارسات مستقبلًا، ويشجع العلماء على تأليف وكتابة كتب مفيدة، وحماية حقوق التأليف والملكية الخاصة بهم، كما تم إصدار قانون حقوق الطبع والنشر والتصاميم وبراءات الاختراع في المملكة المتحدة لعام </w:t>
      </w:r>
      <w:r>
        <w:rPr>
          <w:rStyle w:val="None"/>
          <w:rFonts w:ascii="Times New Roman" w:hAnsi="Times New Roman"/>
          <w:rtl/>
          <w:lang w:val="ar-SA"/>
        </w:rPr>
        <w:t>1988</w:t>
      </w:r>
      <w:r>
        <w:rPr>
          <w:rStyle w:val="None"/>
          <w:rFonts w:cs="Times New Roman" w:hint="cs"/>
          <w:rtl/>
          <w:lang w:val="ar-SA"/>
        </w:rPr>
        <w:t xml:space="preserve">، وهو التشريع الحالي الذي يحدد الإطار القانوني الذي يحكم حقوق الطبع والنشر والتصاميم وبراءات الاختراع في المملكة المتحدة وإنفاذها، علاوةً على قانون العلامات التجارية لعام </w:t>
      </w:r>
      <w:r>
        <w:rPr>
          <w:rStyle w:val="None"/>
          <w:rFonts w:ascii="Times New Roman" w:hAnsi="Times New Roman"/>
          <w:rtl/>
          <w:lang w:val="ar-SA"/>
        </w:rPr>
        <w:t>1994</w:t>
      </w:r>
      <w:r>
        <w:rPr>
          <w:rStyle w:val="None"/>
          <w:rFonts w:cs="Times New Roman" w:hint="cs"/>
          <w:rtl/>
          <w:lang w:val="ar-SA"/>
        </w:rPr>
        <w:t xml:space="preserve">، وهو القانون الحالي الذي يحكم العلامات التجارية داخل المملكة المتحدة، وهو ينفذ توجيه الاتحاد الأوروبي رقم </w:t>
      </w:r>
      <w:r>
        <w:rPr>
          <w:rStyle w:val="None"/>
          <w:rFonts w:ascii="Times New Roman" w:hAnsi="Times New Roman"/>
          <w:rtl/>
          <w:lang w:val="ar-SA"/>
        </w:rPr>
        <w:t>89/104/EEC (</w:t>
      </w:r>
      <w:r>
        <w:rPr>
          <w:rStyle w:val="None"/>
          <w:rFonts w:cs="Times New Roman" w:hint="cs"/>
          <w:rtl/>
          <w:lang w:val="ar-SA"/>
        </w:rPr>
        <w:t>توجيه العلامات التجارية</w:t>
      </w:r>
      <w:r>
        <w:rPr>
          <w:rStyle w:val="None"/>
          <w:rFonts w:ascii="Times New Roman" w:hAnsi="Times New Roman"/>
          <w:rtl/>
          <w:lang w:val="ar-SA"/>
        </w:rPr>
        <w:t>)</w:t>
      </w:r>
      <w:r>
        <w:rPr>
          <w:rStyle w:val="None"/>
          <w:rFonts w:cs="Times New Roman" w:hint="cs"/>
          <w:rtl/>
          <w:lang w:val="ar-SA"/>
        </w:rPr>
        <w:t>، الذي يشكل الإطار لقوانين العلامات التجارية لجميع الدول الأعضاء في الاتحاد الأوروبي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5"/>
      </w:r>
      <w:r>
        <w:rPr>
          <w:rStyle w:val="None"/>
          <w:rFonts w:ascii="Times New Roman" w:hAnsi="Times New Roman"/>
          <w:vertAlign w:val="superscript"/>
          <w:rtl/>
          <w:lang w:val="ar-SA"/>
        </w:rPr>
        <w:t>)</w:t>
      </w:r>
    </w:p>
    <w:p w14:paraId="598DF24F"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كما أقرت </w:t>
      </w:r>
      <w:r>
        <w:rPr>
          <w:rStyle w:val="None"/>
          <w:rFonts w:ascii="Times New Roman" w:hAnsi="Times New Roman"/>
          <w:rtl/>
          <w:lang w:val="ar-SA"/>
        </w:rPr>
        <w:t>"</w:t>
      </w:r>
      <w:r>
        <w:rPr>
          <w:rStyle w:val="None"/>
          <w:rFonts w:cs="Times New Roman" w:hint="cs"/>
          <w:rtl/>
          <w:lang w:val="ar-SA"/>
        </w:rPr>
        <w:t>قانونًا لتشجيع التعلم</w:t>
      </w:r>
      <w:r>
        <w:rPr>
          <w:rStyle w:val="None"/>
          <w:rFonts w:ascii="Times New Roman" w:hAnsi="Times New Roman"/>
          <w:rtl/>
          <w:lang w:val="ar-SA"/>
        </w:rPr>
        <w:t>"</w:t>
      </w:r>
      <w:r>
        <w:rPr>
          <w:rStyle w:val="None"/>
          <w:rFonts w:cs="Times New Roman" w:hint="cs"/>
          <w:rtl/>
          <w:lang w:val="ar-SA"/>
        </w:rPr>
        <w:t xml:space="preserve">، من خلال منح نسخ الكتب المطبوعة لمؤلفيها أو مُشتريها، والمعروف اليوم باسم قانون آن، ثم أُعيد النظر في قانون حقوق الطبع والنشر عام </w:t>
      </w:r>
      <w:r>
        <w:rPr>
          <w:rStyle w:val="None"/>
          <w:rFonts w:ascii="Times New Roman" w:hAnsi="Times New Roman"/>
          <w:rtl/>
          <w:lang w:val="ar-SA"/>
        </w:rPr>
        <w:t>1842</w:t>
      </w:r>
      <w:r>
        <w:rPr>
          <w:rStyle w:val="None"/>
          <w:rFonts w:cs="Times New Roman" w:hint="cs"/>
          <w:rtl/>
          <w:lang w:val="ar-SA"/>
        </w:rPr>
        <w:t xml:space="preserve">، عندما قدّم الرقيب توماس تالفورد </w:t>
      </w:r>
      <w:r>
        <w:rPr>
          <w:rStyle w:val="None"/>
          <w:rFonts w:ascii="Times New Roman" w:hAnsi="Times New Roman"/>
          <w:rtl/>
          <w:lang w:val="ar-SA"/>
        </w:rPr>
        <w:t>(</w:t>
      </w:r>
      <w:r>
        <w:rPr>
          <w:rStyle w:val="None"/>
          <w:rFonts w:cs="Times New Roman" w:hint="cs"/>
          <w:rtl/>
          <w:lang w:val="ar-SA"/>
        </w:rPr>
        <w:t>عضو البرلمان عن حزب اليمين عن ريدينغ</w:t>
      </w:r>
      <w:r>
        <w:rPr>
          <w:rStyle w:val="None"/>
          <w:rFonts w:ascii="Times New Roman" w:hAnsi="Times New Roman"/>
          <w:rtl/>
          <w:lang w:val="ar-SA"/>
        </w:rPr>
        <w:t xml:space="preserve">) </w:t>
      </w:r>
      <w:r>
        <w:rPr>
          <w:rStyle w:val="None"/>
          <w:rFonts w:cs="Times New Roman" w:hint="cs"/>
          <w:rtl/>
          <w:lang w:val="ar-SA"/>
        </w:rPr>
        <w:t>مشروع قانون جديد لحقوق الطبع والنشر، وقد صدر بالفعل القانون، كما مُددت حقوق الطبع والنشر لتشمل مجموعة أوسع من المواد، بما في ذلك</w:t>
      </w:r>
      <w:r>
        <w:rPr>
          <w:rStyle w:val="None"/>
          <w:rFonts w:ascii="Times New Roman" w:hAnsi="Times New Roman"/>
          <w:rtl/>
          <w:lang w:val="ar-SA"/>
        </w:rPr>
        <w:t xml:space="preserve">: </w:t>
      </w:r>
      <w:r>
        <w:rPr>
          <w:rStyle w:val="None"/>
          <w:rFonts w:cs="Times New Roman" w:hint="cs"/>
          <w:rtl/>
          <w:lang w:val="ar-SA"/>
        </w:rPr>
        <w:t>النوتات الموسيقية، والخرائط، والرسوم البيانية، والمخططات، وغيرها، وبحلول أوائل القرن العشرين، ظهرت تقنيات جديدة لم تستطع التشريعات القائمة التعامل معها؛ حيث قد أوجدت صناعات السينما والإذاعة والتلفزيون المزدهرة أشكالًا وأساليب جديدة للتعبير الإبداعي، وبالتالي</w:t>
      </w:r>
      <w:r>
        <w:rPr>
          <w:rStyle w:val="None"/>
          <w:rFonts w:ascii="Times New Roman" w:hAnsi="Times New Roman"/>
          <w:rtl/>
          <w:lang w:val="ar-SA"/>
        </w:rPr>
        <w:t xml:space="preserve">: </w:t>
      </w:r>
      <w:r>
        <w:rPr>
          <w:rStyle w:val="None"/>
          <w:rFonts w:cs="Times New Roman" w:hint="cs"/>
          <w:rtl/>
          <w:lang w:val="ar-SA"/>
        </w:rPr>
        <w:t xml:space="preserve">أصدرت المملكة المتحدة تشريعات في عامي </w:t>
      </w:r>
      <w:r>
        <w:rPr>
          <w:rStyle w:val="None"/>
          <w:rFonts w:ascii="Times New Roman" w:hAnsi="Times New Roman"/>
          <w:rtl/>
          <w:lang w:val="ar-SA"/>
        </w:rPr>
        <w:t xml:space="preserve">1911 </w:t>
      </w:r>
      <w:r>
        <w:rPr>
          <w:rStyle w:val="None"/>
          <w:rFonts w:cs="Times New Roman" w:hint="cs"/>
          <w:rtl/>
          <w:lang w:val="ar-SA"/>
        </w:rPr>
        <w:t>و</w:t>
      </w:r>
      <w:r>
        <w:rPr>
          <w:rStyle w:val="None"/>
          <w:rFonts w:ascii="Times New Roman" w:hAnsi="Times New Roman"/>
          <w:rtl/>
          <w:lang w:val="ar-SA"/>
        </w:rPr>
        <w:t xml:space="preserve">1956 </w:t>
      </w:r>
      <w:r>
        <w:rPr>
          <w:rStyle w:val="None"/>
          <w:rFonts w:cs="Times New Roman" w:hint="cs"/>
          <w:rtl/>
          <w:lang w:val="ar-SA"/>
        </w:rPr>
        <w:t xml:space="preserve">للتكيف مع احتياجات حقوق الطبع والنشر المتغيرة، ثم جاء الإصلاح الرئيسي التالي في عام </w:t>
      </w:r>
      <w:r>
        <w:rPr>
          <w:rStyle w:val="None"/>
          <w:rFonts w:ascii="Times New Roman" w:hAnsi="Times New Roman"/>
          <w:rtl/>
          <w:lang w:val="ar-SA"/>
        </w:rPr>
        <w:t>1988</w:t>
      </w:r>
      <w:r>
        <w:rPr>
          <w:rStyle w:val="None"/>
          <w:rFonts w:cs="Times New Roman" w:hint="cs"/>
          <w:rtl/>
          <w:lang w:val="ar-SA"/>
        </w:rPr>
        <w:t>، والذي لا يزال يُعمل به في الوقت الحالي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6"/>
      </w:r>
      <w:r>
        <w:rPr>
          <w:rStyle w:val="None"/>
          <w:rFonts w:ascii="Times New Roman" w:hAnsi="Times New Roman"/>
          <w:vertAlign w:val="superscript"/>
          <w:rtl/>
          <w:lang w:val="ar-SA"/>
        </w:rPr>
        <w:t>)</w:t>
      </w:r>
    </w:p>
    <w:p w14:paraId="3595B6A3"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أما في فرنسا</w:t>
      </w:r>
      <w:r>
        <w:rPr>
          <w:rStyle w:val="None"/>
          <w:rFonts w:ascii="Times New Roman" w:hAnsi="Times New Roman"/>
          <w:rtl/>
          <w:lang w:val="ar-SA"/>
        </w:rPr>
        <w:t xml:space="preserve">: </w:t>
      </w:r>
      <w:r>
        <w:rPr>
          <w:rStyle w:val="None"/>
          <w:rFonts w:cs="Times New Roman" w:hint="cs"/>
          <w:rtl/>
          <w:lang w:val="ar-SA"/>
        </w:rPr>
        <w:t>فقد وضعت قوانين خاصة، مثل</w:t>
      </w:r>
      <w:r>
        <w:rPr>
          <w:rStyle w:val="None"/>
          <w:rFonts w:ascii="Times New Roman" w:hAnsi="Times New Roman"/>
          <w:rtl/>
          <w:lang w:val="ar-SA"/>
        </w:rPr>
        <w:t>: "</w:t>
      </w:r>
      <w:r>
        <w:rPr>
          <w:rStyle w:val="None"/>
          <w:rFonts w:cs="Times New Roman" w:hint="cs"/>
          <w:rtl/>
          <w:lang w:val="ar-SA"/>
        </w:rPr>
        <w:t xml:space="preserve">القانون الفرنسي لعام </w:t>
      </w:r>
      <w:r>
        <w:rPr>
          <w:rStyle w:val="None"/>
          <w:rFonts w:ascii="Times New Roman" w:hAnsi="Times New Roman"/>
          <w:rtl/>
          <w:lang w:val="ar-SA"/>
        </w:rPr>
        <w:t>1791"</w:t>
      </w:r>
      <w:r>
        <w:rPr>
          <w:rStyle w:val="None"/>
          <w:rFonts w:cs="Times New Roman" w:hint="cs"/>
          <w:rtl/>
          <w:lang w:val="ar-SA"/>
        </w:rPr>
        <w:t xml:space="preserve">؛ لحماية فئات معينة تحت مسمى الملكية الفكرية، وينص قانون </w:t>
      </w:r>
      <w:r>
        <w:rPr>
          <w:rStyle w:val="None"/>
          <w:rFonts w:ascii="Times New Roman" w:hAnsi="Times New Roman"/>
          <w:rtl/>
          <w:lang w:val="ar-SA"/>
        </w:rPr>
        <w:t xml:space="preserve">11 </w:t>
      </w:r>
      <w:r>
        <w:rPr>
          <w:rStyle w:val="None"/>
          <w:rFonts w:cs="Times New Roman" w:hint="cs"/>
          <w:rtl/>
          <w:lang w:val="ar-SA"/>
        </w:rPr>
        <w:t xml:space="preserve">مارس </w:t>
      </w:r>
      <w:r>
        <w:rPr>
          <w:rStyle w:val="None"/>
          <w:rFonts w:ascii="Times New Roman" w:hAnsi="Times New Roman"/>
          <w:rtl/>
          <w:lang w:val="ar-SA"/>
        </w:rPr>
        <w:t xml:space="preserve">1957 </w:t>
      </w:r>
      <w:r>
        <w:rPr>
          <w:rStyle w:val="None"/>
          <w:rFonts w:cs="Times New Roman" w:hint="cs"/>
          <w:rtl/>
          <w:lang w:val="ar-SA"/>
        </w:rPr>
        <w:t xml:space="preserve">على أنَّ الملكية الفكرية تتمثل في </w:t>
      </w:r>
      <w:r>
        <w:rPr>
          <w:rStyle w:val="None"/>
          <w:rFonts w:ascii="Times New Roman" w:hAnsi="Times New Roman"/>
          <w:rtl/>
          <w:lang w:val="ar-SA"/>
        </w:rPr>
        <w:t>"</w:t>
      </w:r>
      <w:r>
        <w:rPr>
          <w:rStyle w:val="None"/>
          <w:rFonts w:cs="Times New Roman" w:hint="cs"/>
          <w:rtl/>
          <w:lang w:val="ar-SA"/>
        </w:rPr>
        <w:t>حق ممارسة احتكار، يُمنح على ابتكار جديد، أو اختراع، أو علامة ، بأية طريقة قانونية، مقابل حماية القانون</w:t>
      </w:r>
      <w:r>
        <w:rPr>
          <w:rStyle w:val="None"/>
          <w:rFonts w:ascii="Times New Roman" w:hAnsi="Times New Roman"/>
          <w:rtl/>
          <w:lang w:val="ar-SA"/>
        </w:rPr>
        <w:t>"</w:t>
      </w:r>
      <w:r>
        <w:rPr>
          <w:rStyle w:val="None"/>
          <w:rFonts w:cs="Times New Roman" w:hint="cs"/>
          <w:rtl/>
          <w:lang w:val="ar-SA"/>
        </w:rPr>
        <w:t xml:space="preserve">، والهدف من حقوق الملكية الفكرية هو حماية </w:t>
      </w:r>
      <w:r>
        <w:rPr>
          <w:rStyle w:val="None"/>
          <w:rFonts w:ascii="Times New Roman" w:hAnsi="Times New Roman"/>
          <w:rtl/>
          <w:lang w:val="ar-SA"/>
        </w:rPr>
        <w:t>"</w:t>
      </w:r>
      <w:r>
        <w:rPr>
          <w:rStyle w:val="None"/>
          <w:rFonts w:cs="Times New Roman" w:hint="cs"/>
          <w:rtl/>
          <w:lang w:val="ar-SA"/>
        </w:rPr>
        <w:t>الإبداع</w:t>
      </w:r>
      <w:r>
        <w:rPr>
          <w:rStyle w:val="None"/>
          <w:rFonts w:ascii="Times New Roman" w:hAnsi="Times New Roman"/>
          <w:rtl/>
          <w:lang w:val="ar-SA"/>
        </w:rPr>
        <w:t xml:space="preserve">" </w:t>
      </w:r>
      <w:r>
        <w:rPr>
          <w:rStyle w:val="None"/>
          <w:rFonts w:cs="Times New Roman" w:hint="cs"/>
          <w:rtl/>
          <w:lang w:val="ar-SA"/>
        </w:rPr>
        <w:t>الذي قد يتخذ أشكالًا مختلفةً، مثل</w:t>
      </w:r>
      <w:r>
        <w:rPr>
          <w:rStyle w:val="None"/>
          <w:rFonts w:ascii="Times New Roman" w:hAnsi="Times New Roman"/>
          <w:rtl/>
          <w:lang w:val="ar-SA"/>
        </w:rPr>
        <w:t xml:space="preserve">: </w:t>
      </w:r>
      <w:r>
        <w:rPr>
          <w:rStyle w:val="None"/>
          <w:rFonts w:cs="Times New Roman" w:hint="cs"/>
          <w:rtl/>
          <w:lang w:val="ar-SA"/>
        </w:rPr>
        <w:t>الأعمال الأدبية، والرسوم، والنقوش، والمصنوعات، والموسيقى، والنحت؛ واختراع الصناعة أو الحرف، كبراءات الاختراع، وقد تطوَّرت التشريعات التي تحكم الملكية الفكرية في القانون الفرنسي كما يلي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7"/>
      </w:r>
      <w:r>
        <w:rPr>
          <w:rStyle w:val="None"/>
          <w:rFonts w:ascii="Times New Roman" w:hAnsi="Times New Roman"/>
          <w:vertAlign w:val="superscript"/>
          <w:rtl/>
          <w:lang w:val="ar-SA"/>
        </w:rPr>
        <w:t>)</w:t>
      </w:r>
    </w:p>
    <w:p w14:paraId="4B8C614F"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بالملكية الأدبية والفنية عام </w:t>
      </w:r>
      <w:r>
        <w:rPr>
          <w:rStyle w:val="None"/>
          <w:rFonts w:ascii="Times New Roman" w:hAnsi="Times New Roman"/>
          <w:rtl/>
          <w:lang w:val="ar-SA"/>
        </w:rPr>
        <w:t>(1836).</w:t>
      </w:r>
    </w:p>
    <w:p w14:paraId="637DE239"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lastRenderedPageBreak/>
        <w:t xml:space="preserve">إصدار قانون إنشاء وتنظيم تدريب الموظفين القانونيين عام </w:t>
      </w:r>
      <w:r>
        <w:rPr>
          <w:rStyle w:val="None"/>
          <w:rFonts w:ascii="Times New Roman" w:hAnsi="Times New Roman"/>
          <w:rtl/>
          <w:lang w:val="ar-SA"/>
        </w:rPr>
        <w:t>1843.</w:t>
      </w:r>
    </w:p>
    <w:p w14:paraId="6F5C8C55"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قانون براءات الاختراع عام </w:t>
      </w:r>
      <w:r>
        <w:rPr>
          <w:rStyle w:val="None"/>
          <w:rFonts w:ascii="Times New Roman" w:hAnsi="Times New Roman"/>
          <w:rtl/>
          <w:lang w:val="ar-SA"/>
        </w:rPr>
        <w:t>(1844).</w:t>
      </w:r>
    </w:p>
    <w:p w14:paraId="4C807ABC"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إصدار مرسوم بشأن وضع مؤسسة الملكية في مملكة فرنسا وما يتبعها عام</w:t>
      </w:r>
      <w:r>
        <w:rPr>
          <w:rStyle w:val="None"/>
          <w:rFonts w:ascii="Times New Roman" w:hAnsi="Times New Roman"/>
          <w:rtl/>
          <w:lang w:val="ar-SA"/>
        </w:rPr>
        <w:t>1911.</w:t>
      </w:r>
    </w:p>
    <w:p w14:paraId="77F160AD"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التشريعات المتعلقة بحماية حق المؤلف عام </w:t>
      </w:r>
      <w:r>
        <w:rPr>
          <w:rStyle w:val="None"/>
          <w:rFonts w:ascii="Times New Roman" w:hAnsi="Times New Roman"/>
          <w:rtl/>
          <w:lang w:val="ar-SA"/>
        </w:rPr>
        <w:t>(1957)</w:t>
      </w:r>
      <w:r>
        <w:rPr>
          <w:rStyle w:val="None"/>
          <w:rFonts w:cs="Times New Roman" w:hint="cs"/>
          <w:rtl/>
          <w:lang w:val="ar-SA"/>
        </w:rPr>
        <w:t xml:space="preserve">، والمكمل بقانون صدر عام </w:t>
      </w:r>
      <w:r>
        <w:rPr>
          <w:rStyle w:val="None"/>
          <w:rFonts w:ascii="Times New Roman" w:hAnsi="Times New Roman"/>
          <w:rtl/>
          <w:lang w:val="ar-SA"/>
        </w:rPr>
        <w:t>(1985).</w:t>
      </w:r>
    </w:p>
    <w:p w14:paraId="0216B9A6"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وصدور قانون العلامات التجارية وعلامات الخدمة عام </w:t>
      </w:r>
      <w:r>
        <w:rPr>
          <w:rStyle w:val="None"/>
          <w:rFonts w:ascii="Times New Roman" w:hAnsi="Times New Roman"/>
          <w:rtl/>
          <w:lang w:val="ar-SA"/>
        </w:rPr>
        <w:t>(1971).</w:t>
      </w:r>
    </w:p>
    <w:p w14:paraId="3CDCBEE4"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والمرسوم المتعلق بالميداليات والجوائز وأشكال التكريم المختلفة كشكل من أشكال الملكية الفكرية عام </w:t>
      </w:r>
      <w:r>
        <w:rPr>
          <w:rStyle w:val="None"/>
          <w:rFonts w:ascii="Times New Roman" w:hAnsi="Times New Roman"/>
          <w:rtl/>
          <w:lang w:val="ar-SA"/>
        </w:rPr>
        <w:t>1981.</w:t>
      </w:r>
    </w:p>
    <w:p w14:paraId="7B940366"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وإصدار قانون حماية المؤلفين وأعمال التصميم المُطوّرة من برامج الكمبيوتر عام </w:t>
      </w:r>
      <w:r>
        <w:rPr>
          <w:rStyle w:val="None"/>
          <w:rFonts w:ascii="Times New Roman" w:hAnsi="Times New Roman"/>
          <w:rtl/>
          <w:lang w:val="ar-SA"/>
        </w:rPr>
        <w:t>1983.</w:t>
      </w:r>
    </w:p>
    <w:p w14:paraId="78535756"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وصدور قانون الاتصالات السمعية والبصرية عام </w:t>
      </w:r>
      <w:r>
        <w:rPr>
          <w:rStyle w:val="None"/>
          <w:rFonts w:ascii="Times New Roman" w:hAnsi="Times New Roman"/>
          <w:rtl/>
          <w:lang w:val="ar-SA"/>
        </w:rPr>
        <w:t>(1986).</w:t>
      </w:r>
    </w:p>
    <w:p w14:paraId="304A850A"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بمواقع الويب عام </w:t>
      </w:r>
      <w:r>
        <w:rPr>
          <w:rStyle w:val="None"/>
          <w:rFonts w:ascii="Times New Roman" w:hAnsi="Times New Roman"/>
          <w:rtl/>
          <w:lang w:val="ar-SA"/>
        </w:rPr>
        <w:t>(2004).</w:t>
      </w:r>
    </w:p>
    <w:p w14:paraId="35DEA1C8"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المرسوم المتعلق بالقانون المدني المتعلق بالملكية الأدبية والفنية وبعض الجوانب القانونية للحوسبة عام </w:t>
      </w:r>
      <w:r>
        <w:rPr>
          <w:rStyle w:val="None"/>
          <w:rFonts w:ascii="Times New Roman" w:hAnsi="Times New Roman"/>
          <w:rtl/>
          <w:lang w:val="ar-SA"/>
        </w:rPr>
        <w:t>(2006).</w:t>
      </w:r>
    </w:p>
    <w:p w14:paraId="38F144A2"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والمرسوم المتعلق بالاعتراف بالملكية الصناعية وحمايتها في مملكة فرنسا عام </w:t>
      </w:r>
      <w:r>
        <w:rPr>
          <w:rStyle w:val="None"/>
          <w:rFonts w:ascii="Times New Roman" w:hAnsi="Times New Roman"/>
          <w:rtl/>
          <w:lang w:val="ar-SA"/>
        </w:rPr>
        <w:t>(2007).</w:t>
      </w:r>
    </w:p>
    <w:p w14:paraId="1AE2BF90"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المواقع الإلكترونية عام </w:t>
      </w:r>
      <w:r>
        <w:rPr>
          <w:rStyle w:val="None"/>
          <w:rFonts w:ascii="Times New Roman" w:hAnsi="Times New Roman"/>
          <w:rtl/>
          <w:lang w:val="ar-SA"/>
        </w:rPr>
        <w:t>(2007).</w:t>
      </w:r>
    </w:p>
    <w:p w14:paraId="07DBC072"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حماية حق المؤلف عام </w:t>
      </w:r>
      <w:r>
        <w:rPr>
          <w:rStyle w:val="None"/>
          <w:rFonts w:ascii="Times New Roman" w:hAnsi="Times New Roman"/>
          <w:rtl/>
          <w:lang w:val="ar-SA"/>
        </w:rPr>
        <w:t>(2008).</w:t>
      </w:r>
    </w:p>
    <w:p w14:paraId="147293AF" w14:textId="77777777" w:rsidR="00454428" w:rsidRDefault="00C464EC">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المعلوماتية والتنظيم العام عام </w:t>
      </w:r>
      <w:r>
        <w:rPr>
          <w:rStyle w:val="None"/>
          <w:rFonts w:ascii="Times New Roman" w:hAnsi="Times New Roman"/>
          <w:rtl/>
          <w:lang w:val="ar-SA"/>
        </w:rPr>
        <w:t>(2008).</w:t>
      </w:r>
    </w:p>
    <w:p w14:paraId="0A9851E1"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أنَّ فرنسا ليست بمعزل في نهجها القانوني تجاه الملكية الفكرية عن غيرها من الدول، فهي تشارك بفاعلية في العديد من الاتفاقيات الدولية الرئيسية التي تُشكل قانون الملكية الفكرية العالمي، ومن بين هذه الاتفاقيات</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مدريد </w:t>
      </w:r>
      <w:r>
        <w:rPr>
          <w:rStyle w:val="None"/>
          <w:rFonts w:ascii="Times New Roman" w:hAnsi="Times New Roman"/>
          <w:rtl/>
          <w:lang w:val="ar-SA"/>
        </w:rPr>
        <w:t>(1892)</w:t>
      </w:r>
      <w:r>
        <w:rPr>
          <w:rStyle w:val="None"/>
          <w:rFonts w:cs="Times New Roman" w:hint="cs"/>
          <w:rtl/>
          <w:lang w:val="ar-SA"/>
        </w:rPr>
        <w:t>، إضافةً إلى ذلك</w:t>
      </w:r>
      <w:r>
        <w:rPr>
          <w:rStyle w:val="None"/>
          <w:rFonts w:ascii="Times New Roman" w:hAnsi="Times New Roman"/>
          <w:rtl/>
          <w:lang w:val="ar-SA"/>
        </w:rPr>
        <w:t xml:space="preserve">: </w:t>
      </w:r>
      <w:r>
        <w:rPr>
          <w:rStyle w:val="None"/>
          <w:rFonts w:cs="Times New Roman" w:hint="cs"/>
          <w:rtl/>
          <w:lang w:val="ar-SA"/>
        </w:rPr>
        <w:t xml:space="preserve">فإنَّ توقيع فرنسا على اتفاقية الجوانب المتصلة بالتجارة من حقوق الملكية الفكرية </w:t>
      </w:r>
      <w:r>
        <w:rPr>
          <w:rStyle w:val="None"/>
          <w:rFonts w:ascii="Times New Roman" w:hAnsi="Times New Roman"/>
          <w:rtl/>
          <w:lang w:val="ar-SA"/>
        </w:rPr>
        <w:t xml:space="preserve">(TRIPS) (1994) </w:t>
      </w:r>
      <w:r>
        <w:rPr>
          <w:rStyle w:val="None"/>
          <w:rFonts w:cs="Times New Roman" w:hint="cs"/>
          <w:rtl/>
          <w:lang w:val="ar-SA"/>
        </w:rPr>
        <w:t xml:space="preserve">يجعلها متسقةً مع التزامات التجارة الدولية، في حين تضمن اتفاقيات مثل اتفاقية نيس </w:t>
      </w:r>
      <w:r>
        <w:rPr>
          <w:rStyle w:val="None"/>
          <w:rFonts w:ascii="Times New Roman" w:hAnsi="Times New Roman"/>
          <w:rtl/>
          <w:lang w:val="ar-SA"/>
        </w:rPr>
        <w:t xml:space="preserve">(1957) </w:t>
      </w:r>
      <w:r>
        <w:rPr>
          <w:rStyle w:val="None"/>
          <w:rFonts w:cs="Times New Roman" w:hint="cs"/>
          <w:rtl/>
          <w:lang w:val="ar-SA"/>
        </w:rPr>
        <w:t>تصنيفًا موحدًا للسلع والخدمات على الصعيد العالمي، وتُسهّل هذه المعاهدات التسجيل الدولي للعلامات التجارية، وتُنشئ إطارًا متماسكًا يسمح للشركات الفرنسية بالمنافسة عالميًا مع حماية ملكيتها الفكرية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8"/>
      </w:r>
      <w:r>
        <w:rPr>
          <w:rStyle w:val="None"/>
          <w:rFonts w:ascii="Times New Roman" w:hAnsi="Times New Roman"/>
          <w:vertAlign w:val="superscript"/>
          <w:rtl/>
          <w:lang w:val="ar-SA"/>
        </w:rPr>
        <w:t>)</w:t>
      </w:r>
    </w:p>
    <w:p w14:paraId="1089EC26"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وبالنظر إلى قانون الملكية الفكرية في الولايات المتحدة، فإنَّ تطوُّر قانون الملكية الفكرية على مدار السنوات، وسيتم عرض أبرز التطوُّرات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9"/>
      </w:r>
      <w:r>
        <w:rPr>
          <w:rStyle w:val="None"/>
          <w:rFonts w:ascii="Times New Roman" w:hAnsi="Times New Roman"/>
          <w:vertAlign w:val="superscript"/>
          <w:rtl/>
          <w:lang w:val="ar-SA"/>
        </w:rPr>
        <w:t>)</w:t>
      </w:r>
    </w:p>
    <w:p w14:paraId="16352541"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lastRenderedPageBreak/>
        <w:t xml:space="preserve">قانون براءات الاختراع لعام </w:t>
      </w:r>
      <w:r>
        <w:rPr>
          <w:rStyle w:val="None"/>
          <w:rFonts w:ascii="Times New Roman" w:hAnsi="Times New Roman"/>
          <w:rtl/>
          <w:lang w:val="ar-SA"/>
        </w:rPr>
        <w:t xml:space="preserve">1790: </w:t>
      </w:r>
      <w:r>
        <w:rPr>
          <w:rStyle w:val="None"/>
          <w:rFonts w:cs="Times New Roman" w:hint="cs"/>
          <w:rtl/>
          <w:lang w:val="ar-SA"/>
        </w:rPr>
        <w:t>والذي كان حجر الأساس لبراءات الاختراع، والذي منح المخترعين حقوقًا حصرية في إبداعاتهم؛ ممَّا عزّز الابتكار</w:t>
      </w:r>
      <w:r>
        <w:rPr>
          <w:rStyle w:val="None"/>
          <w:rFonts w:ascii="Times New Roman" w:hAnsi="Times New Roman"/>
          <w:rtl/>
          <w:lang w:val="ar-SA"/>
        </w:rPr>
        <w:t>.</w:t>
      </w:r>
    </w:p>
    <w:p w14:paraId="0FE2F1FA"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1790: </w:t>
      </w:r>
      <w:r>
        <w:rPr>
          <w:rStyle w:val="None"/>
          <w:rFonts w:cs="Times New Roman" w:hint="cs"/>
          <w:rtl/>
          <w:lang w:val="ar-SA"/>
        </w:rPr>
        <w:t>والذي أدخل حماية حقوق الطبع والنشر للأعمال الإبداعية</w:t>
      </w:r>
      <w:r>
        <w:rPr>
          <w:rStyle w:val="None"/>
          <w:rFonts w:ascii="Times New Roman" w:hAnsi="Times New Roman"/>
          <w:rtl/>
          <w:lang w:val="ar-SA"/>
        </w:rPr>
        <w:t>.</w:t>
      </w:r>
    </w:p>
    <w:p w14:paraId="1069C29D"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براءات الاختراع لعام </w:t>
      </w:r>
      <w:r>
        <w:rPr>
          <w:rStyle w:val="None"/>
          <w:rFonts w:ascii="Times New Roman" w:hAnsi="Times New Roman"/>
          <w:rtl/>
          <w:lang w:val="ar-SA"/>
        </w:rPr>
        <w:t>1836</w:t>
      </w:r>
      <w:r>
        <w:rPr>
          <w:rStyle w:val="None"/>
          <w:rFonts w:cs="Times New Roman" w:hint="cs"/>
          <w:rtl/>
          <w:lang w:val="ar-SA"/>
        </w:rPr>
        <w:t>، كما أنَّه في نفس العام تم إنشاء مكتب براءات الاختراع الأمريكي</w:t>
      </w:r>
      <w:r>
        <w:rPr>
          <w:rStyle w:val="None"/>
          <w:rFonts w:ascii="Times New Roman" w:hAnsi="Times New Roman"/>
          <w:rtl/>
          <w:lang w:val="ar-SA"/>
        </w:rPr>
        <w:t>.</w:t>
      </w:r>
    </w:p>
    <w:p w14:paraId="445BBCC1"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لانهام لعام </w:t>
      </w:r>
      <w:r>
        <w:rPr>
          <w:rStyle w:val="None"/>
          <w:rFonts w:ascii="Times New Roman" w:hAnsi="Times New Roman"/>
          <w:rtl/>
          <w:lang w:val="ar-SA"/>
        </w:rPr>
        <w:t xml:space="preserve">1946: </w:t>
      </w:r>
      <w:r>
        <w:rPr>
          <w:rStyle w:val="None"/>
          <w:rFonts w:cs="Times New Roman" w:hint="cs"/>
          <w:rtl/>
          <w:lang w:val="ar-SA"/>
        </w:rPr>
        <w:t>والذي وفر حماية شاملة للعلامات التجارية</w:t>
      </w:r>
      <w:r>
        <w:rPr>
          <w:rStyle w:val="None"/>
          <w:rFonts w:ascii="Times New Roman" w:hAnsi="Times New Roman"/>
          <w:rtl/>
          <w:lang w:val="ar-SA"/>
        </w:rPr>
        <w:t>.</w:t>
      </w:r>
    </w:p>
    <w:p w14:paraId="0E65090A"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1976: </w:t>
      </w:r>
      <w:r>
        <w:rPr>
          <w:rStyle w:val="None"/>
          <w:rFonts w:cs="Times New Roman" w:hint="cs"/>
          <w:rtl/>
          <w:lang w:val="ar-SA"/>
        </w:rPr>
        <w:t>والذي حدّث قانون حقوق الطبع والنشر ليشمل الوسائط الرقمية</w:t>
      </w:r>
      <w:r>
        <w:rPr>
          <w:rStyle w:val="None"/>
          <w:rFonts w:ascii="Times New Roman" w:hAnsi="Times New Roman"/>
          <w:rtl/>
          <w:lang w:val="ar-SA"/>
        </w:rPr>
        <w:t>.</w:t>
      </w:r>
    </w:p>
    <w:p w14:paraId="55187EB4"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الاختراعات الأمريكية </w:t>
      </w:r>
      <w:r>
        <w:rPr>
          <w:rStyle w:val="None"/>
          <w:rFonts w:ascii="Times New Roman" w:hAnsi="Times New Roman"/>
          <w:rtl/>
          <w:lang w:val="ar-SA"/>
        </w:rPr>
        <w:t xml:space="preserve">(AIA) </w:t>
      </w:r>
      <w:r>
        <w:rPr>
          <w:rStyle w:val="None"/>
          <w:rFonts w:cs="Times New Roman" w:hint="cs"/>
          <w:rtl/>
          <w:lang w:val="ar-SA"/>
        </w:rPr>
        <w:t xml:space="preserve">لعام </w:t>
      </w:r>
      <w:r>
        <w:rPr>
          <w:rStyle w:val="None"/>
          <w:rFonts w:ascii="Times New Roman" w:hAnsi="Times New Roman"/>
          <w:rtl/>
          <w:lang w:val="ar-SA"/>
        </w:rPr>
        <w:t xml:space="preserve">2011: </w:t>
      </w:r>
      <w:r>
        <w:rPr>
          <w:rStyle w:val="None"/>
          <w:rFonts w:cs="Times New Roman" w:hint="cs"/>
          <w:rtl/>
          <w:lang w:val="ar-SA"/>
        </w:rPr>
        <w:t xml:space="preserve">والانتقال إلى نظام </w:t>
      </w:r>
      <w:r>
        <w:rPr>
          <w:rStyle w:val="None"/>
          <w:rFonts w:ascii="Times New Roman" w:hAnsi="Times New Roman"/>
          <w:rtl/>
          <w:lang w:val="ar-SA"/>
        </w:rPr>
        <w:t>"</w:t>
      </w:r>
      <w:r>
        <w:rPr>
          <w:rStyle w:val="None"/>
          <w:rFonts w:cs="Times New Roman" w:hint="cs"/>
          <w:rtl/>
          <w:lang w:val="ar-SA"/>
        </w:rPr>
        <w:t>أول من يقدم</w:t>
      </w:r>
      <w:r>
        <w:rPr>
          <w:rStyle w:val="None"/>
          <w:rFonts w:ascii="Times New Roman" w:hAnsi="Times New Roman"/>
          <w:rtl/>
          <w:lang w:val="ar-SA"/>
        </w:rPr>
        <w:t xml:space="preserve">" </w:t>
      </w:r>
      <w:r>
        <w:rPr>
          <w:rStyle w:val="None"/>
          <w:rFonts w:cs="Times New Roman" w:hint="cs"/>
          <w:rtl/>
          <w:lang w:val="ar-SA"/>
        </w:rPr>
        <w:t>لبراءات الاختراع، وتأسيس مراجعات ما بعد المنح</w:t>
      </w:r>
      <w:r>
        <w:rPr>
          <w:rStyle w:val="None"/>
          <w:rFonts w:ascii="Times New Roman" w:hAnsi="Times New Roman"/>
          <w:rtl/>
          <w:lang w:val="ar-SA"/>
        </w:rPr>
        <w:t>.</w:t>
      </w:r>
    </w:p>
    <w:p w14:paraId="27C19077"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كما نصت المادة الأولى، القسم </w:t>
      </w:r>
      <w:r>
        <w:rPr>
          <w:rStyle w:val="None"/>
          <w:rFonts w:ascii="Times New Roman" w:hAnsi="Times New Roman"/>
          <w:rtl/>
          <w:lang w:val="ar-SA"/>
        </w:rPr>
        <w:t>8</w:t>
      </w:r>
      <w:r>
        <w:rPr>
          <w:rStyle w:val="None"/>
          <w:rFonts w:cs="Times New Roman" w:hint="cs"/>
          <w:rtl/>
          <w:lang w:val="ar-SA"/>
        </w:rPr>
        <w:t xml:space="preserve">، البند </w:t>
      </w:r>
      <w:r>
        <w:rPr>
          <w:rStyle w:val="None"/>
          <w:rFonts w:ascii="Times New Roman" w:hAnsi="Times New Roman"/>
          <w:rtl/>
          <w:lang w:val="ar-SA"/>
        </w:rPr>
        <w:t xml:space="preserve">8 </w:t>
      </w:r>
      <w:r>
        <w:rPr>
          <w:rStyle w:val="None"/>
          <w:rFonts w:cs="Times New Roman" w:hint="cs"/>
          <w:rtl/>
          <w:lang w:val="ar-SA"/>
        </w:rPr>
        <w:t xml:space="preserve">من دستور الولايات المتحدة، المُصدّق عليه عام </w:t>
      </w:r>
      <w:r>
        <w:rPr>
          <w:rStyle w:val="None"/>
          <w:rFonts w:ascii="Times New Roman" w:hAnsi="Times New Roman"/>
          <w:rtl/>
          <w:lang w:val="ar-SA"/>
        </w:rPr>
        <w:t>1787</w:t>
      </w:r>
      <w:r>
        <w:rPr>
          <w:rStyle w:val="None"/>
          <w:rFonts w:cs="Times New Roman" w:hint="cs"/>
          <w:rtl/>
          <w:lang w:val="ar-SA"/>
        </w:rPr>
        <w:t>، الكونغرس على أنَّه</w:t>
      </w:r>
      <w:r>
        <w:rPr>
          <w:rStyle w:val="None"/>
          <w:rFonts w:ascii="Times New Roman" w:hAnsi="Times New Roman"/>
          <w:rtl/>
          <w:lang w:val="ar-SA"/>
        </w:rPr>
        <w:t>: "</w:t>
      </w:r>
      <w:r>
        <w:rPr>
          <w:rStyle w:val="None"/>
          <w:rFonts w:cs="Times New Roman" w:hint="cs"/>
          <w:rtl/>
          <w:lang w:val="ar-SA"/>
        </w:rPr>
        <w:t xml:space="preserve">بتعزيز تقدم العلوم والفنون المفيدة، من خلال ضمان الحق الحصري للمؤلفين والمخترعين في كتاباتهم واكتشافاتهم لفترات محدودة، كما منح قانون حقوق الطبع والنشر لعام </w:t>
      </w:r>
      <w:r>
        <w:rPr>
          <w:rStyle w:val="None"/>
          <w:rFonts w:ascii="Times New Roman" w:hAnsi="Times New Roman"/>
          <w:rtl/>
          <w:lang w:val="ar-SA"/>
        </w:rPr>
        <w:t xml:space="preserve">1790 </w:t>
      </w:r>
      <w:r>
        <w:rPr>
          <w:rStyle w:val="None"/>
          <w:rFonts w:cs="Times New Roman" w:hint="cs"/>
          <w:rtl/>
          <w:lang w:val="ar-SA"/>
        </w:rPr>
        <w:t>مؤلفي الخرائط والكتب والمخططات الحقَّ الحصري، وحرية طباعة، وإعادة طباعة ونشر وبيع أعمالهم لمدة أربعة عشر عامًا قابلة للتجديد لمدة أربعة عشر عامًا إضافية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0"/>
      </w:r>
      <w:r>
        <w:rPr>
          <w:rStyle w:val="None"/>
          <w:rFonts w:ascii="Times New Roman" w:hAnsi="Times New Roman"/>
          <w:vertAlign w:val="superscript"/>
          <w:rtl/>
          <w:lang w:val="ar-SA"/>
        </w:rPr>
        <w:t>)</w:t>
      </w:r>
    </w:p>
    <w:p w14:paraId="47CFED3D"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يوفر النظام القانوني في المملكة المتحدة مستوى رفيعًا من حماية حقوق الملكية الفكرية وآليات إنفاذها، تُضاهي تلك المتوفرة في الولايات المتحدة، كما أنَّ المملكة المتحدة عضو في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w:t>
      </w:r>
      <w:r>
        <w:rPr>
          <w:rStyle w:val="None"/>
          <w:rFonts w:cs="Times New Roman" w:hint="cs"/>
          <w:rtl/>
          <w:lang w:val="ar-SA"/>
        </w:rPr>
        <w:t>، وعضو في أهم اتفاقيات حماية الملكية الفكرية، مثل</w:t>
      </w:r>
      <w:r>
        <w:rPr>
          <w:rStyle w:val="None"/>
          <w:rFonts w:ascii="Times New Roman" w:hAnsi="Times New Roman"/>
          <w:rtl/>
          <w:lang w:val="ar-SA"/>
        </w:rPr>
        <w:t xml:space="preserve">: </w:t>
      </w:r>
      <w:r>
        <w:rPr>
          <w:rStyle w:val="None"/>
          <w:rFonts w:cs="Times New Roman" w:hint="cs"/>
          <w:rtl/>
          <w:lang w:val="ar-SA"/>
        </w:rPr>
        <w:t xml:space="preserve">اتفاقية برن لحماية المصنفات الأدبية والفنية، واتفاقية باريس لحماية الملكية الصناعية، والاتفاقية العالمية لحقوق التأليف والنشر، واتفاقية جنيف للتسجيلات الصوتية، ومعاهدة التعاون بشأن البراءات، وقّعت المملكة المتحدة على معاهدة الويبو بشأن حقوق التأليف والنشر </w:t>
      </w:r>
      <w:r>
        <w:rPr>
          <w:rStyle w:val="None"/>
          <w:rFonts w:ascii="Times New Roman" w:hAnsi="Times New Roman"/>
          <w:rtl/>
          <w:lang w:val="ar-SA"/>
        </w:rPr>
        <w:t xml:space="preserve">(WCT) </w:t>
      </w:r>
      <w:r>
        <w:rPr>
          <w:rStyle w:val="None"/>
          <w:rFonts w:cs="Times New Roman" w:hint="cs"/>
          <w:rtl/>
          <w:lang w:val="ar-SA"/>
        </w:rPr>
        <w:t xml:space="preserve">ومعاهدة الويبو بشأن الأداء والتسجيلات الصوتية </w:t>
      </w:r>
      <w:r>
        <w:rPr>
          <w:rStyle w:val="None"/>
          <w:rFonts w:ascii="Times New Roman" w:hAnsi="Times New Roman"/>
          <w:rtl/>
          <w:lang w:val="ar-SA"/>
        </w:rPr>
        <w:t>(WPPT)</w:t>
      </w:r>
      <w:r>
        <w:rPr>
          <w:rStyle w:val="None"/>
          <w:rFonts w:cs="Times New Roman" w:hint="cs"/>
          <w:rtl/>
          <w:lang w:val="ar-SA"/>
        </w:rPr>
        <w:t>، المعروفتين باسم معاهدتي الإنترنت، وأدرجتهما في قانونها، ويُعَدُّ مكتب الملكية الفكرية هو الهيئة الحكومية الرسمية في المملكة المتحدة المسئولة عن حقوق الملكية الفكرية، بما في ذلك</w:t>
      </w:r>
      <w:r>
        <w:rPr>
          <w:rStyle w:val="None"/>
          <w:rFonts w:ascii="Times New Roman" w:hAnsi="Times New Roman"/>
          <w:rtl/>
          <w:lang w:val="ar-SA"/>
        </w:rPr>
        <w:t xml:space="preserve">: </w:t>
      </w:r>
      <w:r>
        <w:rPr>
          <w:rStyle w:val="None"/>
          <w:rFonts w:cs="Times New Roman" w:hint="cs"/>
          <w:rtl/>
          <w:lang w:val="ar-SA"/>
        </w:rPr>
        <w:t>براءات الاختراع، والتصاميم، والعلامات التجارية، وحقوق التأليف والنشر</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1"/>
      </w:r>
      <w:r>
        <w:rPr>
          <w:rStyle w:val="None"/>
          <w:rFonts w:ascii="Times New Roman" w:hAnsi="Times New Roman"/>
          <w:vertAlign w:val="superscript"/>
          <w:rtl/>
          <w:lang w:val="ar-SA"/>
        </w:rPr>
        <w:t>)</w:t>
      </w:r>
    </w:p>
    <w:p w14:paraId="0ECD05FE"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وفي إيطاليا تتمثل القوانين الرئيسية المتعلقة بحماية حقوق الملكية الفكرية في القانون المدني وقانون الملكية الصناعية، اللذيْنِ يتضمنان العناصر التشريعية الرئيسية من التشريعات الأوروبية والدولية، كما يتضمن القانون الإيطالي لوائح تتعلق بالعلامات التجارية وبراءات الاختراع والاختراعات والنماذج والتصميمات، وغيرها، وكيفية استخدامها أو بيعها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2"/>
      </w:r>
      <w:r>
        <w:rPr>
          <w:rStyle w:val="None"/>
          <w:rFonts w:ascii="Times New Roman" w:hAnsi="Times New Roman"/>
          <w:vertAlign w:val="superscript"/>
          <w:rtl/>
          <w:lang w:val="ar-SA"/>
        </w:rPr>
        <w:t>)</w:t>
      </w:r>
    </w:p>
    <w:p w14:paraId="6A6BAA07"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lastRenderedPageBreak/>
        <w:t xml:space="preserve">يُمثل قانون براءات الاختراع </w:t>
      </w:r>
      <w:r>
        <w:rPr>
          <w:rStyle w:val="None"/>
          <w:rFonts w:ascii="Times New Roman" w:hAnsi="Times New Roman"/>
          <w:rtl/>
          <w:lang w:val="ar-SA"/>
        </w:rPr>
        <w:t>-</w:t>
      </w:r>
      <w:r>
        <w:rPr>
          <w:rStyle w:val="None"/>
          <w:rFonts w:cs="Times New Roman" w:hint="cs"/>
          <w:rtl/>
          <w:lang w:val="ar-SA"/>
        </w:rPr>
        <w:t xml:space="preserve">الذي أصدرته جمهورية البندقية عام </w:t>
      </w:r>
      <w:r>
        <w:rPr>
          <w:rStyle w:val="None"/>
          <w:rFonts w:ascii="Times New Roman" w:hAnsi="Times New Roman"/>
          <w:rtl/>
          <w:lang w:val="ar-SA"/>
        </w:rPr>
        <w:t xml:space="preserve">1474- </w:t>
      </w:r>
      <w:r>
        <w:rPr>
          <w:rStyle w:val="None"/>
          <w:rFonts w:cs="Times New Roman" w:hint="cs"/>
          <w:rtl/>
          <w:lang w:val="ar-SA"/>
        </w:rPr>
        <w:t xml:space="preserve">أحد أوائل أشكال الحماية الرسمية للأعمال الإبداعية، يصف هذا القانون </w:t>
      </w:r>
      <w:r>
        <w:rPr>
          <w:rStyle w:val="None"/>
          <w:rFonts w:ascii="Times New Roman" w:hAnsi="Times New Roman"/>
          <w:rtl/>
          <w:lang w:val="ar-SA"/>
        </w:rPr>
        <w:t>-</w:t>
      </w:r>
      <w:r>
        <w:rPr>
          <w:rStyle w:val="None"/>
          <w:rFonts w:cs="Times New Roman" w:hint="cs"/>
          <w:rtl/>
          <w:lang w:val="ar-SA"/>
        </w:rPr>
        <w:t>بأسلوبٍ مُلفت</w:t>
      </w:r>
      <w:r>
        <w:rPr>
          <w:rStyle w:val="None"/>
          <w:rFonts w:ascii="Times New Roman" w:hAnsi="Times New Roman"/>
          <w:rtl/>
          <w:lang w:val="ar-SA"/>
        </w:rPr>
        <w:t xml:space="preserve">- </w:t>
      </w:r>
      <w:r>
        <w:rPr>
          <w:rStyle w:val="None"/>
          <w:rFonts w:cs="Times New Roman" w:hint="cs"/>
          <w:rtl/>
          <w:lang w:val="ar-SA"/>
        </w:rPr>
        <w:t xml:space="preserve">المبادئ الأساسية التي تحكم حقوق الملكية الفكرية، وقد وُضع هذا القانون لحماية المخترعين؛ إذْ إنَّه يُحدد في بضعة أسطرٍ جميعَ المعايير التي يجب أنْ يستوفيها حق الملكية الفكرية، وخاصةً براءة الاختراع، وينص في الواقع على شروط الجدة </w:t>
      </w:r>
      <w:r>
        <w:rPr>
          <w:rStyle w:val="None"/>
          <w:rFonts w:ascii="Times New Roman" w:hAnsi="Times New Roman"/>
          <w:rtl/>
          <w:lang w:val="ar-SA"/>
        </w:rPr>
        <w:t>(</w:t>
      </w:r>
      <w:r>
        <w:rPr>
          <w:rStyle w:val="None"/>
          <w:rFonts w:cs="Times New Roman" w:hint="cs"/>
          <w:rtl/>
          <w:lang w:val="ar-SA"/>
        </w:rPr>
        <w:t>أي جهاز جديد ومبتكر</w:t>
      </w:r>
      <w:r>
        <w:rPr>
          <w:rStyle w:val="None"/>
          <w:rFonts w:ascii="Times New Roman" w:hAnsi="Times New Roman"/>
          <w:rtl/>
          <w:lang w:val="ar-SA"/>
        </w:rPr>
        <w:t>)</w:t>
      </w:r>
      <w:r>
        <w:rPr>
          <w:rStyle w:val="None"/>
          <w:rFonts w:cs="Times New Roman" w:hint="cs"/>
          <w:rtl/>
          <w:lang w:val="ar-SA"/>
        </w:rPr>
        <w:t xml:space="preserve">، والأصالة </w:t>
      </w:r>
      <w:r>
        <w:rPr>
          <w:rStyle w:val="None"/>
          <w:rFonts w:ascii="Times New Roman" w:hAnsi="Times New Roman"/>
          <w:rtl/>
          <w:lang w:val="ar-SA"/>
        </w:rPr>
        <w:t>(</w:t>
      </w:r>
      <w:r>
        <w:rPr>
          <w:rStyle w:val="None"/>
          <w:rFonts w:cs="Times New Roman" w:hint="cs"/>
          <w:rtl/>
          <w:lang w:val="ar-SA"/>
        </w:rPr>
        <w:t>لم يُصنع سابقًا في مملكتنا</w:t>
      </w:r>
      <w:r>
        <w:rPr>
          <w:rStyle w:val="None"/>
          <w:rFonts w:ascii="Times New Roman" w:hAnsi="Times New Roman"/>
          <w:rtl/>
          <w:lang w:val="ar-SA"/>
        </w:rPr>
        <w:t>)</w:t>
      </w:r>
      <w:r>
        <w:rPr>
          <w:rStyle w:val="None"/>
          <w:rFonts w:cs="Times New Roman" w:hint="cs"/>
          <w:rtl/>
          <w:lang w:val="ar-SA"/>
        </w:rPr>
        <w:t xml:space="preserve">، وقابلية التطبيق الصناعي </w:t>
      </w:r>
      <w:r>
        <w:rPr>
          <w:rStyle w:val="None"/>
          <w:rFonts w:ascii="Times New Roman" w:hAnsi="Times New Roman"/>
          <w:rtl/>
          <w:lang w:val="ar-SA"/>
        </w:rPr>
        <w:t>(</w:t>
      </w:r>
      <w:r>
        <w:rPr>
          <w:rStyle w:val="None"/>
          <w:rFonts w:cs="Times New Roman" w:hint="cs"/>
          <w:rtl/>
          <w:lang w:val="ar-SA"/>
        </w:rPr>
        <w:t>ذات الفائدة والفائدة الكبيرة</w:t>
      </w:r>
      <w:r>
        <w:rPr>
          <w:rStyle w:val="None"/>
          <w:rFonts w:ascii="Times New Roman" w:hAnsi="Times New Roman"/>
          <w:rtl/>
          <w:lang w:val="ar-SA"/>
        </w:rPr>
        <w:t xml:space="preserve">) </w:t>
      </w:r>
      <w:r>
        <w:rPr>
          <w:rStyle w:val="None"/>
          <w:rFonts w:cs="Times New Roman" w:hint="cs"/>
          <w:rtl/>
          <w:lang w:val="ar-SA"/>
        </w:rPr>
        <w:t xml:space="preserve">للاختراع، وفي القرن التاسع عشر، بدأت دول أخرى عديدة في وضع قوانين وطنية مُحدّدة لحماية الملكية الفكرية، بما في ذلك إيطاليا </w:t>
      </w:r>
      <w:r>
        <w:rPr>
          <w:rStyle w:val="None"/>
          <w:rFonts w:ascii="Times New Roman" w:hAnsi="Times New Roman"/>
          <w:rtl/>
          <w:lang w:val="ar-SA"/>
        </w:rPr>
        <w:t>-</w:t>
      </w:r>
      <w:r>
        <w:rPr>
          <w:rStyle w:val="None"/>
          <w:rFonts w:cs="Times New Roman" w:hint="cs"/>
          <w:rtl/>
          <w:lang w:val="ar-SA"/>
        </w:rPr>
        <w:t xml:space="preserve">التي أصدرت من خلال الملك فيتوريو إيمانويل الثاني عام </w:t>
      </w:r>
      <w:r>
        <w:rPr>
          <w:rStyle w:val="None"/>
          <w:rFonts w:ascii="Times New Roman" w:hAnsi="Times New Roman"/>
          <w:rtl/>
          <w:lang w:val="ar-SA"/>
        </w:rPr>
        <w:t xml:space="preserve">1885- </w:t>
      </w:r>
      <w:r>
        <w:rPr>
          <w:rStyle w:val="None"/>
          <w:rFonts w:cs="Times New Roman" w:hint="cs"/>
          <w:rtl/>
          <w:lang w:val="ar-SA"/>
        </w:rPr>
        <w:t xml:space="preserve">أول قانون بشأن </w:t>
      </w:r>
      <w:r>
        <w:rPr>
          <w:rStyle w:val="None"/>
          <w:rFonts w:ascii="Times New Roman" w:hAnsi="Times New Roman"/>
          <w:rtl/>
          <w:lang w:val="ar-SA"/>
        </w:rPr>
        <w:t>"</w:t>
      </w:r>
      <w:r>
        <w:rPr>
          <w:rStyle w:val="None"/>
          <w:rFonts w:cs="Times New Roman" w:hint="cs"/>
          <w:rtl/>
          <w:lang w:val="ar-SA"/>
        </w:rPr>
        <w:t>حقوق الاكتشافات أو الاختراعات الصناعية</w:t>
      </w:r>
      <w:r>
        <w:rPr>
          <w:rStyle w:val="None"/>
          <w:rFonts w:ascii="Times New Roman" w:hAnsi="Times New Roman"/>
          <w:rtl/>
          <w:lang w:val="ar-SA"/>
        </w:rPr>
        <w:t>"</w:t>
      </w:r>
      <w:r>
        <w:rPr>
          <w:rStyle w:val="None"/>
          <w:rFonts w:cs="Times New Roman" w:hint="cs"/>
          <w:rtl/>
          <w:lang w:val="ar-SA"/>
        </w:rPr>
        <w:t>، ومع الثورة الصناعية وزيادة حجم التجارة، برزت الحاجة إلى التوفيق بين مختلف القوانين المحلية، ومِنْ ثَمَّ وقّعت إيطاليا معاهدتين دوليتين مهمتين</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برن للأعمال الأدبية والفنية </w:t>
      </w:r>
      <w:r>
        <w:rPr>
          <w:rStyle w:val="None"/>
          <w:rFonts w:ascii="Times New Roman" w:hAnsi="Times New Roman"/>
          <w:rtl/>
          <w:lang w:val="ar-SA"/>
        </w:rPr>
        <w:t xml:space="preserve">(1886).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3"/>
      </w:r>
      <w:r>
        <w:rPr>
          <w:rStyle w:val="None"/>
          <w:rFonts w:ascii="Times New Roman" w:hAnsi="Times New Roman"/>
          <w:vertAlign w:val="superscript"/>
          <w:rtl/>
          <w:lang w:val="ar-SA"/>
        </w:rPr>
        <w:t>)</w:t>
      </w:r>
    </w:p>
    <w:p w14:paraId="3F66B6B2"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Pr>
      </w:pPr>
      <w:r>
        <w:rPr>
          <w:rStyle w:val="None"/>
          <w:rFonts w:cs="Times New Roman" w:hint="cs"/>
          <w:rtl/>
          <w:lang w:val="ar-SA"/>
        </w:rPr>
        <w:t>ويشمل قانون حماية حقوق الملكية الفكرية الإيطالي ما يلي، وذلك وفقًا للمادة الثانية منه</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4"/>
      </w:r>
      <w:r>
        <w:rPr>
          <w:rStyle w:val="None"/>
          <w:rFonts w:ascii="Times New Roman" w:hAnsi="Times New Roman"/>
          <w:vertAlign w:val="superscript"/>
          <w:rtl/>
          <w:lang w:val="ar-SA"/>
        </w:rPr>
        <w:t xml:space="preserve">) </w:t>
      </w:r>
      <w:r>
        <w:rPr>
          <w:rStyle w:val="None"/>
          <w:rFonts w:ascii="Times New Roman" w:hAnsi="Times New Roman"/>
          <w:vertAlign w:val="superscript"/>
        </w:rPr>
        <w:t xml:space="preserve">  </w:t>
      </w:r>
      <w:r>
        <w:rPr>
          <w:rStyle w:val="None"/>
          <w:rFonts w:ascii="Times New Roman" w:hAnsi="Times New Roman"/>
          <w:rtl/>
          <w:lang w:val="ar-SA"/>
        </w:rPr>
        <w:t xml:space="preserve"> </w:t>
      </w:r>
    </w:p>
    <w:p w14:paraId="627B9092"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الأعمال الأدبية، والدرامية، والعلمية، والتعليمية، والدينية، سواءً أكانت مكتوبة أم شفهية</w:t>
      </w:r>
      <w:r>
        <w:rPr>
          <w:rStyle w:val="None"/>
          <w:rFonts w:ascii="Times New Roman" w:hAnsi="Times New Roman"/>
          <w:rtl/>
          <w:lang w:val="ar-SA"/>
        </w:rPr>
        <w:t>.</w:t>
      </w:r>
    </w:p>
    <w:p w14:paraId="39661CF0"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الأعمال الموسيقية والمؤلفات، سواءً كانت مكتوبة أم لا، والأعمال الدرامية الموسيقية، والتنويعات الموسيقية التي تُشكِّل في حد ذاتها أعمالًا أصليةً</w:t>
      </w:r>
      <w:r>
        <w:rPr>
          <w:rStyle w:val="None"/>
          <w:rFonts w:ascii="Times New Roman" w:hAnsi="Times New Roman"/>
          <w:rtl/>
          <w:lang w:val="ar-SA"/>
        </w:rPr>
        <w:t>.</w:t>
      </w:r>
    </w:p>
    <w:p w14:paraId="1D70EC3F"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النحت، والرسم، والنقش، والفنون التصويرية المماثلة، بما في ذلك</w:t>
      </w:r>
      <w:r>
        <w:rPr>
          <w:rStyle w:val="None"/>
          <w:rFonts w:ascii="Times New Roman" w:hAnsi="Times New Roman"/>
          <w:rtl/>
          <w:lang w:val="ar-SA"/>
        </w:rPr>
        <w:t xml:space="preserve">: </w:t>
      </w:r>
      <w:r>
        <w:rPr>
          <w:rStyle w:val="None"/>
          <w:rFonts w:cs="Times New Roman" w:hint="cs"/>
          <w:rtl/>
          <w:lang w:val="ar-SA"/>
        </w:rPr>
        <w:t>فن المناظر الطبيعية</w:t>
      </w:r>
      <w:r>
        <w:rPr>
          <w:rStyle w:val="None"/>
          <w:rFonts w:ascii="Times New Roman" w:hAnsi="Times New Roman"/>
        </w:rPr>
        <w:t>.</w:t>
      </w:r>
    </w:p>
    <w:p w14:paraId="1023E430"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المخططات والأعمال المعمارية</w:t>
      </w:r>
      <w:r>
        <w:rPr>
          <w:rStyle w:val="None"/>
          <w:rFonts w:ascii="Times New Roman" w:hAnsi="Times New Roman"/>
          <w:rtl/>
          <w:lang w:val="ar-SA"/>
        </w:rPr>
        <w:t>.</w:t>
      </w:r>
    </w:p>
    <w:p w14:paraId="4BF5BADC"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الفن السينمائي، سواءً أكانت صامتةً أم صوتيةً، شريطة ألا تكون مجرد أفلام وثائقية، محميةً وفقًا لأحكام الفصل الخامس من الجزء الثاني</w:t>
      </w:r>
      <w:r>
        <w:rPr>
          <w:rStyle w:val="None"/>
          <w:rFonts w:ascii="Times New Roman" w:hAnsi="Times New Roman"/>
          <w:rtl/>
          <w:lang w:val="ar-SA"/>
        </w:rPr>
        <w:t>.</w:t>
      </w:r>
    </w:p>
    <w:p w14:paraId="2D0E7752"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الفن الفوتوغرافي والأعمال المعبر عنها بتقنيات مماثلة للصورة الفوتوغرافية، شريطة ألا تكون صورًا فوتوغرافيةً بسيطةً، محميةً وفقًا لأحكام الفصل الخامس من الجزء الثاني</w:t>
      </w:r>
      <w:r>
        <w:rPr>
          <w:rStyle w:val="None"/>
          <w:rFonts w:ascii="Times New Roman" w:hAnsi="Times New Roman"/>
          <w:rtl/>
          <w:lang w:val="ar-SA"/>
        </w:rPr>
        <w:t xml:space="preserve">. </w:t>
      </w:r>
    </w:p>
    <w:p w14:paraId="1F043FC3"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برامج الحاسوب، أيًا كان شكلها، شريطة أنْ تكون أصليةً، ونتاجًا للإبداع الفكري للمؤلف</w:t>
      </w:r>
      <w:r>
        <w:rPr>
          <w:rStyle w:val="None"/>
          <w:rFonts w:ascii="Times New Roman" w:hAnsi="Times New Roman"/>
          <w:rtl/>
          <w:lang w:val="ar-SA"/>
        </w:rPr>
        <w:t xml:space="preserve">. </w:t>
      </w:r>
    </w:p>
    <w:p w14:paraId="010ECD72"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 xml:space="preserve">قواعد البيانات، المنصوص عليها في البند الثاني من المادة </w:t>
      </w:r>
      <w:r>
        <w:rPr>
          <w:rStyle w:val="None"/>
          <w:rFonts w:ascii="Times New Roman" w:hAnsi="Times New Roman"/>
          <w:rtl/>
          <w:lang w:val="ar-SA"/>
        </w:rPr>
        <w:t>1</w:t>
      </w:r>
      <w:r>
        <w:rPr>
          <w:rStyle w:val="None"/>
          <w:rFonts w:cs="Times New Roman" w:hint="cs"/>
          <w:rtl/>
          <w:lang w:val="ar-SA"/>
        </w:rPr>
        <w:t>، والمقصود بها مجموعات من الأعمال أو البيانات أو غيرها من المواد المستقلة، المرتبة بشكل منهجي أو منظم، والتي يمكن الوصول إليها بشكل فردي إلكترونيًا أو بوسائل أخرى، ولا تمتد حماية حقوق الطبع والنشر لقواعد البيانات إلى محتوياتها، ولا تُخل بأي حقوق قائمة على هذه المحتويات</w:t>
      </w:r>
      <w:r>
        <w:rPr>
          <w:rStyle w:val="None"/>
          <w:rFonts w:ascii="Times New Roman" w:hAnsi="Times New Roman"/>
          <w:rtl/>
          <w:lang w:val="ar-SA"/>
        </w:rPr>
        <w:t>.</w:t>
      </w:r>
    </w:p>
    <w:p w14:paraId="2FEC4B55" w14:textId="77777777" w:rsidR="00454428" w:rsidRDefault="00C464EC">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lastRenderedPageBreak/>
        <w:t>أعمال التصاميم الصناعية التي لها في حد ذاتها قيمة إبداعية وفنية</w:t>
      </w:r>
      <w:r>
        <w:rPr>
          <w:rStyle w:val="None"/>
          <w:rFonts w:ascii="Times New Roman" w:hAnsi="Times New Roman"/>
          <w:rtl/>
          <w:lang w:val="ar-SA"/>
        </w:rPr>
        <w:t>.</w:t>
      </w:r>
    </w:p>
    <w:p w14:paraId="1712C935"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وأنَّ تطوُّر قانون الملكية الفكرية الألماني في سياق التغيرات التكنولوجية، والاجتماعية، والسياسية التي شكّلت قوانين الملكية الفكرية، ونستعرض هذا التطوُّر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5"/>
      </w:r>
      <w:r>
        <w:rPr>
          <w:rStyle w:val="None"/>
          <w:rFonts w:ascii="Times New Roman" w:hAnsi="Times New Roman"/>
          <w:vertAlign w:val="superscript"/>
          <w:rtl/>
          <w:lang w:val="ar-SA"/>
        </w:rPr>
        <w:t>)</w:t>
      </w:r>
    </w:p>
    <w:p w14:paraId="46BDC69D"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أثارَ التقدمُ التكنولوجي في العصر الحديث المبكر </w:t>
      </w:r>
      <w:r>
        <w:rPr>
          <w:rStyle w:val="None"/>
          <w:rFonts w:ascii="Times New Roman" w:hAnsi="Times New Roman"/>
          <w:rtl/>
          <w:lang w:val="ar-SA"/>
        </w:rPr>
        <w:t>-</w:t>
      </w:r>
      <w:r>
        <w:rPr>
          <w:rStyle w:val="None"/>
          <w:rFonts w:cs="Times New Roman" w:hint="cs"/>
          <w:rtl/>
          <w:lang w:val="ar-SA"/>
        </w:rPr>
        <w:t>ولا سيما اختراع يوهانس غوتنبرغ من ماينز للمطبعة</w:t>
      </w:r>
      <w:r>
        <w:rPr>
          <w:rStyle w:val="None"/>
          <w:rFonts w:ascii="Times New Roman" w:hAnsi="Times New Roman"/>
          <w:rtl/>
          <w:lang w:val="ar-SA"/>
        </w:rPr>
        <w:t xml:space="preserve">- </w:t>
      </w:r>
      <w:r>
        <w:rPr>
          <w:rStyle w:val="None"/>
          <w:rFonts w:cs="Times New Roman" w:hint="cs"/>
          <w:rtl/>
          <w:lang w:val="ar-SA"/>
        </w:rPr>
        <w:t>تساؤلًا حول مَن يحق له تصنيع هذه الآلات واستخدامها، وكان الجواب على هذا التحدي التنظيمي هو صدور ما سُمي بالامتياز الحصري، الممنوح لفترة زمنية محددة من قِبل ملوك أراضي الإمبراطورية الرومانية المقدسة في العديد من الحالات الموثقة منذ القرن الرابع عشر</w:t>
      </w:r>
      <w:r>
        <w:rPr>
          <w:rStyle w:val="None"/>
          <w:rFonts w:ascii="Times New Roman" w:hAnsi="Times New Roman"/>
          <w:rtl/>
          <w:lang w:val="ar-SA"/>
        </w:rPr>
        <w:t>.</w:t>
      </w:r>
    </w:p>
    <w:p w14:paraId="79795ABF"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 وقد استغرق الانتقال من الامتياز إلى الملكية مئات السنين، ففي حين كانت بريطانيا وفرنسا بؤرتين للثورات السياسية التي أدت إلى صدور أول قوانين حديثة لحقوق التأليف والنشر وبراءات الاختراع في القرن الثامن عشر</w:t>
      </w:r>
      <w:r>
        <w:rPr>
          <w:rStyle w:val="None"/>
          <w:rFonts w:ascii="Times New Roman" w:hAnsi="Times New Roman"/>
          <w:rtl/>
          <w:lang w:val="ar-SA"/>
        </w:rPr>
        <w:t>.</w:t>
      </w:r>
    </w:p>
    <w:p w14:paraId="3F9B5496"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ويعود أول تدوين ألماني لقوانين الملكية الفكرية الحديثة في الأراضي الألمانية الغربية الخاضعة للحكم أو النفوذ الفرنسي إلى العصر النابليوني</w:t>
      </w:r>
      <w:r>
        <w:rPr>
          <w:rStyle w:val="None"/>
          <w:rFonts w:ascii="Times New Roman" w:hAnsi="Times New Roman"/>
          <w:rtl/>
          <w:lang w:val="ar-SA"/>
        </w:rPr>
        <w:t>.</w:t>
      </w:r>
    </w:p>
    <w:p w14:paraId="4508DA6E"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أدى تأسيس الإمبراطورية الألمانية عام </w:t>
      </w:r>
      <w:r>
        <w:rPr>
          <w:rStyle w:val="None"/>
          <w:rFonts w:ascii="Times New Roman" w:hAnsi="Times New Roman"/>
          <w:rtl/>
          <w:lang w:val="ar-SA"/>
        </w:rPr>
        <w:t xml:space="preserve">1871 </w:t>
      </w:r>
      <w:r>
        <w:rPr>
          <w:rStyle w:val="None"/>
          <w:rFonts w:cs="Times New Roman" w:hint="cs"/>
          <w:rtl/>
          <w:lang w:val="ar-SA"/>
        </w:rPr>
        <w:t>إلى إنشاء ولاية قضائية موحدة للملكية الفكرية</w:t>
      </w:r>
      <w:r>
        <w:rPr>
          <w:rStyle w:val="None"/>
          <w:rFonts w:ascii="Times New Roman" w:hAnsi="Times New Roman"/>
          <w:rtl/>
          <w:lang w:val="ar-SA"/>
        </w:rPr>
        <w:t>.</w:t>
      </w:r>
    </w:p>
    <w:p w14:paraId="7FB082ED"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 وفي غضون بضع سنوات، سُنّت قوانين حقوق الطبع والنشر في الأعوام </w:t>
      </w:r>
      <w:r>
        <w:rPr>
          <w:rStyle w:val="None"/>
          <w:rFonts w:ascii="Times New Roman" w:hAnsi="Times New Roman"/>
          <w:rtl/>
          <w:lang w:val="ar-SA"/>
        </w:rPr>
        <w:t>(1870/1876/1876)</w:t>
      </w:r>
      <w:r>
        <w:rPr>
          <w:rStyle w:val="None"/>
          <w:rFonts w:cs="Times New Roman" w:hint="cs"/>
          <w:rtl/>
          <w:lang w:val="ar-SA"/>
        </w:rPr>
        <w:t xml:space="preserve">، والعلامات التجارية </w:t>
      </w:r>
      <w:r>
        <w:rPr>
          <w:rStyle w:val="None"/>
          <w:rFonts w:ascii="Times New Roman" w:hAnsi="Times New Roman"/>
          <w:rtl/>
          <w:lang w:val="ar-SA"/>
        </w:rPr>
        <w:t>(1874)</w:t>
      </w:r>
      <w:r>
        <w:rPr>
          <w:rStyle w:val="None"/>
          <w:rFonts w:cs="Times New Roman" w:hint="cs"/>
          <w:rtl/>
          <w:lang w:val="ar-SA"/>
        </w:rPr>
        <w:t xml:space="preserve">، والتصميم </w:t>
      </w:r>
      <w:r>
        <w:rPr>
          <w:rStyle w:val="None"/>
          <w:rFonts w:ascii="Times New Roman" w:hAnsi="Times New Roman"/>
          <w:rtl/>
          <w:lang w:val="ar-SA"/>
        </w:rPr>
        <w:t>(1876)</w:t>
      </w:r>
      <w:r>
        <w:rPr>
          <w:rStyle w:val="None"/>
          <w:rFonts w:cs="Times New Roman" w:hint="cs"/>
          <w:rtl/>
          <w:lang w:val="ar-SA"/>
        </w:rPr>
        <w:t xml:space="preserve">، وبراءات الاختراع </w:t>
      </w:r>
      <w:r>
        <w:rPr>
          <w:rStyle w:val="None"/>
          <w:rFonts w:ascii="Times New Roman" w:hAnsi="Times New Roman"/>
          <w:rtl/>
          <w:lang w:val="ar-SA"/>
        </w:rPr>
        <w:t>(1877)</w:t>
      </w:r>
      <w:r>
        <w:rPr>
          <w:rStyle w:val="None"/>
          <w:rFonts w:cs="Times New Roman" w:hint="cs"/>
          <w:rtl/>
          <w:lang w:val="ar-SA"/>
        </w:rPr>
        <w:t>، والتي عكست إلى حد كبير المعيار الأوروبي لحماية الملكية الفكرية في ذلك الوقت</w:t>
      </w:r>
      <w:r>
        <w:rPr>
          <w:rStyle w:val="None"/>
          <w:rFonts w:ascii="Times New Roman" w:hAnsi="Times New Roman"/>
          <w:rtl/>
          <w:lang w:val="ar-SA"/>
        </w:rPr>
        <w:t>.</w:t>
      </w:r>
    </w:p>
    <w:p w14:paraId="319BBD8D"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شاركت ألمانيا بفاعلية في وضع معاهدات الملكية الفكرية، وكانت من بين الأعضاء المؤسسين لاتفاقية برن، وانضمت إلى اتفاقية باريس عام </w:t>
      </w:r>
      <w:r>
        <w:rPr>
          <w:rStyle w:val="None"/>
          <w:rFonts w:ascii="Times New Roman" w:hAnsi="Times New Roman"/>
          <w:rtl/>
          <w:lang w:val="ar-SA"/>
        </w:rPr>
        <w:t>1903.</w:t>
      </w:r>
    </w:p>
    <w:p w14:paraId="3EC3A303"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تُعَدُّ ألمانيا طرفًا متعاقدًا في جميع المعاهدات التي تديرها المنظمة العالمية للملكية الفكرية، وفي الاتفاقية الأوروبية لبراءات الاختراع، والاتحاد الدولي لحماية الأصناف النباتية، واتفاقية الجوانب المتصلة بالتجارة من حقوق الملكية الفكرية </w:t>
      </w:r>
      <w:r>
        <w:rPr>
          <w:rStyle w:val="None"/>
          <w:rFonts w:ascii="Times New Roman" w:hAnsi="Times New Roman"/>
          <w:rtl/>
          <w:lang w:val="ar-SA"/>
        </w:rPr>
        <w:t xml:space="preserve">(TRIPS) </w:t>
      </w:r>
      <w:r>
        <w:rPr>
          <w:rStyle w:val="None"/>
          <w:rFonts w:cs="Times New Roman" w:hint="cs"/>
          <w:rtl/>
          <w:lang w:val="ar-SA"/>
        </w:rPr>
        <w:t>التابعة لمنظمة التجارة العالمية</w:t>
      </w:r>
      <w:r>
        <w:rPr>
          <w:rStyle w:val="None"/>
          <w:rFonts w:ascii="Times New Roman" w:hAnsi="Times New Roman"/>
          <w:rtl/>
          <w:lang w:val="ar-SA"/>
        </w:rPr>
        <w:t>.</w:t>
      </w:r>
    </w:p>
    <w:p w14:paraId="72518D4B"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وفي الصين عام </w:t>
      </w:r>
      <w:r>
        <w:rPr>
          <w:rStyle w:val="None"/>
          <w:rFonts w:ascii="Times New Roman" w:hAnsi="Times New Roman"/>
          <w:rtl/>
          <w:lang w:val="ar-SA"/>
        </w:rPr>
        <w:t>1978</w:t>
      </w:r>
      <w:r>
        <w:rPr>
          <w:rStyle w:val="None"/>
          <w:rFonts w:cs="Times New Roman" w:hint="cs"/>
          <w:rtl/>
          <w:lang w:val="ar-SA"/>
        </w:rPr>
        <w:t xml:space="preserve">، تبنت الصين سياسة </w:t>
      </w:r>
      <w:r>
        <w:rPr>
          <w:rStyle w:val="None"/>
          <w:rFonts w:ascii="Times New Roman" w:hAnsi="Times New Roman"/>
          <w:rtl/>
          <w:lang w:val="ar-SA"/>
        </w:rPr>
        <w:t>"</w:t>
      </w:r>
      <w:r>
        <w:rPr>
          <w:rStyle w:val="None"/>
          <w:rFonts w:cs="Times New Roman" w:hint="cs"/>
          <w:rtl/>
          <w:lang w:val="ar-SA"/>
        </w:rPr>
        <w:t>الباب المفتوح</w:t>
      </w:r>
      <w:r>
        <w:rPr>
          <w:rStyle w:val="None"/>
          <w:rFonts w:ascii="Times New Roman" w:hAnsi="Times New Roman"/>
          <w:rtl/>
          <w:lang w:val="ar-SA"/>
        </w:rPr>
        <w:t>"</w:t>
      </w:r>
      <w:r>
        <w:rPr>
          <w:rStyle w:val="None"/>
          <w:rFonts w:cs="Times New Roman" w:hint="cs"/>
          <w:rtl/>
          <w:lang w:val="ar-SA"/>
        </w:rPr>
        <w:t xml:space="preserve">، التي حوّلت تدريجيًا نظام الاقتصاد المخطط الذي كان قائمًا في الصين لمدة </w:t>
      </w:r>
      <w:r>
        <w:rPr>
          <w:rStyle w:val="None"/>
          <w:rFonts w:ascii="Times New Roman" w:hAnsi="Times New Roman"/>
          <w:rtl/>
          <w:lang w:val="ar-SA"/>
        </w:rPr>
        <w:t xml:space="preserve">30 </w:t>
      </w:r>
      <w:r>
        <w:rPr>
          <w:rStyle w:val="None"/>
          <w:rFonts w:cs="Times New Roman" w:hint="cs"/>
          <w:rtl/>
          <w:lang w:val="ar-SA"/>
        </w:rPr>
        <w:t xml:space="preserve">عامًا إلى نظام اقتصاد السوق، ولدعم هذا التحول في النظام الاقتصادي، انضمت الصين إلى سلسلة من الاتفاقيات والمعاهدات الدولية لحماية حقوق الملكية الفكرية، وأنشأت نظامها القانوني الخاص بها، وقد وقّعت الصين على اتفاقية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 xml:space="preserve">) </w:t>
      </w:r>
      <w:r>
        <w:rPr>
          <w:rStyle w:val="None"/>
          <w:rFonts w:cs="Times New Roman" w:hint="cs"/>
          <w:rtl/>
          <w:lang w:val="ar-SA"/>
        </w:rPr>
        <w:t xml:space="preserve">في عام </w:t>
      </w:r>
      <w:r>
        <w:rPr>
          <w:rStyle w:val="None"/>
          <w:rFonts w:ascii="Times New Roman" w:hAnsi="Times New Roman"/>
          <w:rtl/>
          <w:lang w:val="ar-SA"/>
        </w:rPr>
        <w:t>1980</w:t>
      </w:r>
      <w:r>
        <w:rPr>
          <w:rStyle w:val="None"/>
          <w:rFonts w:cs="Times New Roman" w:hint="cs"/>
          <w:rtl/>
          <w:lang w:val="ar-SA"/>
        </w:rPr>
        <w:t xml:space="preserve">، وفي </w:t>
      </w:r>
      <w:r>
        <w:rPr>
          <w:rStyle w:val="None"/>
          <w:rFonts w:ascii="Times New Roman" w:hAnsi="Times New Roman"/>
          <w:rtl/>
          <w:lang w:val="ar-SA"/>
        </w:rPr>
        <w:t xml:space="preserve">11 </w:t>
      </w:r>
      <w:r>
        <w:rPr>
          <w:rStyle w:val="None"/>
          <w:rFonts w:cs="Times New Roman" w:hint="cs"/>
          <w:rtl/>
          <w:lang w:val="ar-SA"/>
        </w:rPr>
        <w:t xml:space="preserve">ديسمبر </w:t>
      </w:r>
      <w:r>
        <w:rPr>
          <w:rStyle w:val="None"/>
          <w:rFonts w:ascii="Times New Roman" w:hAnsi="Times New Roman"/>
          <w:rtl/>
          <w:lang w:val="ar-SA"/>
        </w:rPr>
        <w:t>2001</w:t>
      </w:r>
      <w:r>
        <w:rPr>
          <w:rStyle w:val="None"/>
          <w:rFonts w:cs="Times New Roman" w:hint="cs"/>
          <w:rtl/>
          <w:lang w:val="ar-SA"/>
        </w:rPr>
        <w:t xml:space="preserve">، قُبلت الصين عضوًا في منظمة التجارة العالمية </w:t>
      </w:r>
      <w:r>
        <w:rPr>
          <w:rStyle w:val="None"/>
          <w:rFonts w:ascii="Times New Roman" w:hAnsi="Times New Roman"/>
          <w:rtl/>
          <w:lang w:val="ar-SA"/>
        </w:rPr>
        <w:t>(WTO)</w:t>
      </w:r>
      <w:r>
        <w:rPr>
          <w:rStyle w:val="None"/>
          <w:rFonts w:cs="Times New Roman" w:hint="cs"/>
          <w:rtl/>
          <w:lang w:val="ar-SA"/>
        </w:rPr>
        <w:t xml:space="preserve">، وكشرط إلزامي للانضمام إلى منظمة التجارة العالمية، اضطرت الصين إلى تحسين نظام حقوق الملكية الفكرية لديها للامتثال للحد الأدنى من معايير اتفاقية الجوانب المتصلة بالتجارة </w:t>
      </w:r>
      <w:r>
        <w:rPr>
          <w:rStyle w:val="None"/>
          <w:rFonts w:cs="Times New Roman" w:hint="cs"/>
          <w:rtl/>
          <w:lang w:val="ar-SA"/>
        </w:rPr>
        <w:lastRenderedPageBreak/>
        <w:t xml:space="preserve">لحقوق الملكية الفكرية </w:t>
      </w:r>
      <w:r>
        <w:rPr>
          <w:rStyle w:val="None"/>
          <w:rFonts w:ascii="Times New Roman" w:hAnsi="Times New Roman"/>
          <w:rtl/>
          <w:lang w:val="ar-SA"/>
        </w:rPr>
        <w:t>(TRIPS)</w:t>
      </w:r>
      <w:r>
        <w:rPr>
          <w:rStyle w:val="None"/>
          <w:rFonts w:cs="Times New Roman" w:hint="cs"/>
          <w:rtl/>
          <w:lang w:val="ar-SA"/>
        </w:rPr>
        <w:t>، وبالتالي</w:t>
      </w:r>
      <w:r>
        <w:rPr>
          <w:rStyle w:val="None"/>
          <w:rFonts w:ascii="Times New Roman" w:hAnsi="Times New Roman"/>
          <w:rtl/>
          <w:lang w:val="ar-SA"/>
        </w:rPr>
        <w:t xml:space="preserve">: </w:t>
      </w:r>
      <w:r>
        <w:rPr>
          <w:rStyle w:val="None"/>
          <w:rFonts w:cs="Times New Roman" w:hint="cs"/>
          <w:rtl/>
          <w:lang w:val="ar-SA"/>
        </w:rPr>
        <w:t>خضعت قوانين براءات الاختراع والعلامات التجارية وحقوق التأليف والنشر للمراجعة، كما صدرت العديد من القوانين واللوائح الأخرى المتعلقة بحقوق الملكية الفكرية خلال هذه الفترة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6"/>
      </w:r>
      <w:r>
        <w:rPr>
          <w:rStyle w:val="None"/>
          <w:rFonts w:ascii="Times New Roman" w:hAnsi="Times New Roman"/>
          <w:vertAlign w:val="superscript"/>
          <w:rtl/>
          <w:lang w:val="ar-SA"/>
        </w:rPr>
        <w:t>)</w:t>
      </w:r>
    </w:p>
    <w:p w14:paraId="3DA662F8"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وتتبع مراحل تطوُّر قانون الملكية الفكرية في الصين من خلال النقاط التالية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rFonts w:ascii="Times New Roman" w:eastAsia="Times New Roman" w:hAnsi="Times New Roman" w:cs="Times New Roman"/>
          <w:vertAlign w:val="superscript"/>
          <w:lang w:val="ar-SA"/>
        </w:rPr>
        <w:footnoteReference w:id="117"/>
      </w:r>
      <w:r>
        <w:rPr>
          <w:rStyle w:val="None"/>
          <w:rFonts w:ascii="Times New Roman" w:hAnsi="Times New Roman"/>
          <w:vertAlign w:val="superscript"/>
          <w:rtl/>
          <w:lang w:val="ar-SA"/>
        </w:rPr>
        <w:t>)</w:t>
      </w:r>
    </w:p>
    <w:p w14:paraId="332F8D26"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في عام </w:t>
      </w:r>
      <w:r>
        <w:rPr>
          <w:rStyle w:val="None"/>
          <w:rFonts w:ascii="Times New Roman" w:hAnsi="Times New Roman"/>
          <w:rtl/>
          <w:lang w:val="ar-SA"/>
        </w:rPr>
        <w:t>1973</w:t>
      </w:r>
      <w:r>
        <w:rPr>
          <w:rStyle w:val="None"/>
          <w:rFonts w:cs="Times New Roman" w:hint="cs"/>
          <w:rtl/>
          <w:lang w:val="ar-SA"/>
        </w:rPr>
        <w:t xml:space="preserve">، زار رئيسُ الوزراء </w:t>
      </w:r>
      <w:r>
        <w:rPr>
          <w:rStyle w:val="None"/>
          <w:rFonts w:ascii="Times New Roman" w:hAnsi="Times New Roman"/>
          <w:rtl/>
          <w:lang w:val="ar-SA"/>
        </w:rPr>
        <w:t>(</w:t>
      </w:r>
      <w:r>
        <w:rPr>
          <w:rStyle w:val="None"/>
          <w:rFonts w:cs="Times New Roman" w:hint="cs"/>
          <w:rtl/>
          <w:lang w:val="ar-SA"/>
        </w:rPr>
        <w:t>تشو إن لاي</w:t>
      </w:r>
      <w:r>
        <w:rPr>
          <w:rStyle w:val="None"/>
          <w:rFonts w:ascii="Times New Roman" w:hAnsi="Times New Roman"/>
          <w:rtl/>
          <w:lang w:val="ar-SA"/>
        </w:rPr>
        <w:t>)</w:t>
      </w:r>
      <w:r>
        <w:rPr>
          <w:rStyle w:val="None"/>
          <w:rFonts w:cs="Times New Roman" w:hint="cs"/>
          <w:rtl/>
          <w:lang w:val="ar-SA"/>
        </w:rPr>
        <w:t xml:space="preserve">، ومديرُ الشؤون القانونية في المجلس الصيني لتعزيز التجارة الدولية </w:t>
      </w:r>
      <w:r>
        <w:rPr>
          <w:rStyle w:val="None"/>
          <w:rFonts w:ascii="Times New Roman" w:hAnsi="Times New Roman"/>
          <w:rtl/>
          <w:lang w:val="ar-SA"/>
        </w:rPr>
        <w:t xml:space="preserve">(CCPIT) </w:t>
      </w:r>
      <w:r>
        <w:rPr>
          <w:rStyle w:val="None"/>
          <w:rFonts w:cs="Times New Roman" w:hint="cs"/>
          <w:rtl/>
          <w:lang w:val="ar-SA"/>
        </w:rPr>
        <w:t>المنظمةَ العالميةَ للملكية الفكرية</w:t>
      </w:r>
      <w:r>
        <w:rPr>
          <w:rStyle w:val="None"/>
          <w:rFonts w:ascii="Times New Roman" w:hAnsi="Times New Roman"/>
          <w:rtl/>
          <w:lang w:val="ar-SA"/>
        </w:rPr>
        <w:t xml:space="preserve">. </w:t>
      </w:r>
    </w:p>
    <w:p w14:paraId="4246C877"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حدث أول نشاط رسمي للملكية الفكرية الدولية في الصين في عام </w:t>
      </w:r>
      <w:r>
        <w:rPr>
          <w:rStyle w:val="None"/>
          <w:rFonts w:ascii="Times New Roman" w:hAnsi="Times New Roman"/>
          <w:rtl/>
          <w:lang w:val="ar-SA"/>
        </w:rPr>
        <w:t xml:space="preserve">1974 </w:t>
      </w:r>
      <w:r>
        <w:rPr>
          <w:rStyle w:val="None"/>
          <w:rFonts w:cs="Times New Roman" w:hint="cs"/>
          <w:rtl/>
          <w:lang w:val="ar-SA"/>
        </w:rPr>
        <w:t>عندما وقّعت حكومتا الصين وأستراليا تبادلًا لمذكرات بشأن تسجيل العلامات التجارية بين البلدين</w:t>
      </w:r>
      <w:r>
        <w:rPr>
          <w:rStyle w:val="None"/>
          <w:rFonts w:ascii="Times New Roman" w:hAnsi="Times New Roman"/>
          <w:rtl/>
          <w:lang w:val="ar-SA"/>
        </w:rPr>
        <w:t>.</w:t>
      </w:r>
    </w:p>
    <w:p w14:paraId="30855905"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ثم تم الاعتراف بحقوق الملكية الفكرية وحمايتها في جمهورية الصين الشعبية منذ عام </w:t>
      </w:r>
      <w:r>
        <w:rPr>
          <w:rStyle w:val="None"/>
          <w:rFonts w:ascii="Times New Roman" w:hAnsi="Times New Roman"/>
          <w:rtl/>
          <w:lang w:val="ar-SA"/>
        </w:rPr>
        <w:t>1979.</w:t>
      </w:r>
    </w:p>
    <w:p w14:paraId="06B4DBDA"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انضمت الصين إلى الويبو كعضوها التسعين في عام </w:t>
      </w:r>
      <w:r>
        <w:rPr>
          <w:rStyle w:val="None"/>
          <w:rFonts w:ascii="Times New Roman" w:hAnsi="Times New Roman"/>
          <w:rtl/>
          <w:lang w:val="ar-SA"/>
        </w:rPr>
        <w:t>1980</w:t>
      </w:r>
      <w:r>
        <w:rPr>
          <w:rStyle w:val="None"/>
          <w:rFonts w:cs="Times New Roman" w:hint="cs"/>
          <w:rtl/>
          <w:lang w:val="ar-SA"/>
        </w:rPr>
        <w:t>، وبعد عام واحد فقط من انضمامها إلى الويبو</w:t>
      </w:r>
      <w:r>
        <w:rPr>
          <w:rStyle w:val="None"/>
          <w:rFonts w:ascii="Times New Roman" w:hAnsi="Times New Roman"/>
          <w:rtl/>
          <w:lang w:val="ar-SA"/>
        </w:rPr>
        <w:t>.</w:t>
      </w:r>
    </w:p>
    <w:p w14:paraId="6362F529"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مارس </w:t>
      </w:r>
      <w:r>
        <w:rPr>
          <w:rStyle w:val="None"/>
          <w:rFonts w:ascii="Times New Roman" w:hAnsi="Times New Roman"/>
          <w:rtl/>
          <w:lang w:val="ar-SA"/>
        </w:rPr>
        <w:t>1984</w:t>
      </w:r>
      <w:r>
        <w:rPr>
          <w:rStyle w:val="None"/>
          <w:rFonts w:cs="Times New Roman" w:hint="cs"/>
          <w:rtl/>
          <w:lang w:val="ar-SA"/>
        </w:rPr>
        <w:t>، أصدر المجلس الوطني لنواب الشعب الصيني أول قانون صيني لبراءات الاختراع، وهو حدث تاريخي فتح صفحة جديدة في حماية حقوق الملكية الفكرية</w:t>
      </w:r>
      <w:r>
        <w:rPr>
          <w:rStyle w:val="None"/>
          <w:rFonts w:ascii="Times New Roman" w:hAnsi="Times New Roman"/>
          <w:rtl/>
          <w:lang w:val="ar-SA"/>
        </w:rPr>
        <w:t>.</w:t>
      </w:r>
    </w:p>
    <w:p w14:paraId="66642439"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1980 </w:t>
      </w:r>
      <w:r>
        <w:rPr>
          <w:rStyle w:val="None"/>
          <w:rFonts w:cs="Times New Roman" w:hint="cs"/>
          <w:rtl/>
          <w:lang w:val="ar-SA"/>
        </w:rPr>
        <w:t xml:space="preserve">تأسس مكتب الدولة للملكية الفكرية لجمهورية الصين الشعبية </w:t>
      </w:r>
      <w:r>
        <w:rPr>
          <w:rStyle w:val="None"/>
          <w:rFonts w:ascii="Times New Roman" w:hAnsi="Times New Roman"/>
          <w:rtl/>
          <w:lang w:val="ar-SA"/>
        </w:rPr>
        <w:t>(SIPO)</w:t>
      </w:r>
      <w:r>
        <w:rPr>
          <w:rStyle w:val="None"/>
          <w:rFonts w:cs="Times New Roman" w:hint="cs"/>
          <w:rtl/>
          <w:lang w:val="ar-SA"/>
        </w:rPr>
        <w:t>، المعروف أيضًا باسم مكتب براءات الاختراع الصيني</w:t>
      </w:r>
      <w:r>
        <w:rPr>
          <w:rStyle w:val="None"/>
          <w:rFonts w:ascii="Times New Roman" w:hAnsi="Times New Roman"/>
          <w:rtl/>
          <w:lang w:val="ar-SA"/>
        </w:rPr>
        <w:t>.</w:t>
      </w:r>
    </w:p>
    <w:p w14:paraId="2ACE81FD"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انضمت الصين إلى اتفاقية مدريد بشأن التسجيل الدولي للعلامات التجارية عام </w:t>
      </w:r>
      <w:r>
        <w:rPr>
          <w:rStyle w:val="None"/>
          <w:rFonts w:ascii="Times New Roman" w:hAnsi="Times New Roman"/>
          <w:rtl/>
          <w:lang w:val="ar-SA"/>
        </w:rPr>
        <w:t xml:space="preserve">1989. </w:t>
      </w:r>
    </w:p>
    <w:p w14:paraId="4F5D943C"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أصدرت الصين قانونًا جديدًا لحقوق الطبع والنشر وأصدرت لوائح تنفيذية جديدة في عام </w:t>
      </w:r>
      <w:r>
        <w:rPr>
          <w:rStyle w:val="None"/>
          <w:rFonts w:ascii="Times New Roman" w:hAnsi="Times New Roman"/>
          <w:rtl/>
          <w:lang w:val="ar-SA"/>
        </w:rPr>
        <w:t>1990</w:t>
      </w:r>
      <w:r>
        <w:rPr>
          <w:rStyle w:val="None"/>
          <w:rFonts w:cs="Times New Roman" w:hint="cs"/>
          <w:rtl/>
          <w:lang w:val="ar-SA"/>
        </w:rPr>
        <w:t xml:space="preserve">، وتبع ذلك مجموعة منفصلة من لوائح تحدد الملكية الفكرية لبرمجيات الحاسوب في عام </w:t>
      </w:r>
      <w:r>
        <w:rPr>
          <w:rStyle w:val="None"/>
          <w:rFonts w:ascii="Times New Roman" w:hAnsi="Times New Roman"/>
          <w:rtl/>
          <w:lang w:val="ar-SA"/>
        </w:rPr>
        <w:t>1991.</w:t>
      </w:r>
    </w:p>
    <w:p w14:paraId="540CAD05"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2001 </w:t>
      </w:r>
      <w:r>
        <w:rPr>
          <w:rStyle w:val="None"/>
          <w:rFonts w:cs="Times New Roman" w:hint="cs"/>
          <w:rtl/>
          <w:lang w:val="ar-SA"/>
        </w:rPr>
        <w:t xml:space="preserve">انضمت الصين إلى منظمة التجارة العالمية بعد </w:t>
      </w:r>
      <w:r>
        <w:rPr>
          <w:rStyle w:val="None"/>
          <w:rFonts w:ascii="Times New Roman" w:hAnsi="Times New Roman"/>
          <w:rtl/>
          <w:lang w:val="ar-SA"/>
        </w:rPr>
        <w:t xml:space="preserve">15 </w:t>
      </w:r>
      <w:r>
        <w:rPr>
          <w:rStyle w:val="None"/>
          <w:rFonts w:cs="Times New Roman" w:hint="cs"/>
          <w:rtl/>
          <w:lang w:val="ar-SA"/>
        </w:rPr>
        <w:t xml:space="preserve">عامًا من المشاورات، ومن أجل الحصول على عضوية منظمة التجارة العالمية، عزّزت الصين حماية حقوق الملكية الفكرية من خلال تصميم عدد من الاستراتيجيات ملتزمةً بالمعايير الدنيا لاتفاقية الجوانب المتصلة بالتجارة من حقوق الملكية الفكرية </w:t>
      </w:r>
      <w:r>
        <w:rPr>
          <w:rStyle w:val="None"/>
          <w:rFonts w:ascii="Times New Roman" w:hAnsi="Times New Roman"/>
          <w:rtl/>
          <w:lang w:val="ar-SA"/>
        </w:rPr>
        <w:t>(TRIPs).</w:t>
      </w:r>
    </w:p>
    <w:p w14:paraId="05566FE3"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2004</w:t>
      </w:r>
      <w:r>
        <w:rPr>
          <w:rStyle w:val="None"/>
          <w:rFonts w:cs="Times New Roman" w:hint="cs"/>
          <w:rtl/>
          <w:lang w:val="ar-SA"/>
        </w:rPr>
        <w:t>، أصبحت الصين رابع أكبر مكتب براءات اختراع في العالم، من حيث عدد طلبات براءات الاختراع</w:t>
      </w:r>
      <w:r>
        <w:rPr>
          <w:rStyle w:val="None"/>
          <w:rFonts w:ascii="Times New Roman" w:hAnsi="Times New Roman"/>
          <w:rtl/>
          <w:lang w:val="ar-SA"/>
        </w:rPr>
        <w:t>.</w:t>
      </w:r>
    </w:p>
    <w:p w14:paraId="600F0D7D" w14:textId="77777777" w:rsidR="00454428" w:rsidRDefault="00C464EC">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2014 </w:t>
      </w:r>
      <w:r>
        <w:rPr>
          <w:rStyle w:val="None"/>
          <w:rFonts w:cs="Times New Roman" w:hint="cs"/>
          <w:rtl/>
          <w:lang w:val="ar-SA"/>
        </w:rPr>
        <w:t>نُشرت خطة الترويج لتنفيذ الاستراتيجية الوطنية للملكية الفكرية؛ تنفيذًا لمتطلبات المؤتمر الوطني الثامن عشر للحزب الشيوعي الصيني، والدورة الكاملة الثالثة للجنة المركزية الثامنة عشرة للحزب الشيوعي الصيني، وتنفيذًا لمتطلبات المؤتمر الوطني التلفزيوني والهاتفي بشأن تنفيذ استراتيجية الملكية الفكرية، وتعزيز التنفيذ العميق والفعَّال للاستراتيجية الوطنية للملكية الفكرية</w:t>
      </w:r>
      <w:r>
        <w:rPr>
          <w:rStyle w:val="None"/>
          <w:rFonts w:ascii="Times New Roman" w:hAnsi="Times New Roman"/>
          <w:rtl/>
          <w:lang w:val="ar-SA"/>
        </w:rPr>
        <w:t>.</w:t>
      </w:r>
      <w:bookmarkEnd w:id="154"/>
    </w:p>
    <w:p w14:paraId="3C854CD3"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rtl/>
          <w:lang w:val="ar-SA"/>
        </w:rPr>
      </w:pPr>
    </w:p>
    <w:p w14:paraId="16C1BB24" w14:textId="77777777" w:rsidR="00454428" w:rsidRDefault="00C464EC" w:rsidP="00C72BA8">
      <w:pPr>
        <w:pStyle w:val="a"/>
        <w:rPr>
          <w:rStyle w:val="None"/>
          <w:b w:val="0"/>
          <w:bCs w:val="0"/>
          <w:rtl/>
          <w:lang w:val="ar-SA"/>
        </w:rPr>
      </w:pPr>
      <w:bookmarkStart w:id="159" w:name="_Toc227251098"/>
      <w:bookmarkStart w:id="160" w:name="_Toc232260655"/>
      <w:r>
        <w:rPr>
          <w:rStyle w:val="None"/>
          <w:rFonts w:ascii="Arial Unicode MS" w:eastAsia="Arial Unicode MS" w:hAnsi="Arial Unicode MS" w:hint="cs"/>
          <w:rtl/>
          <w:lang w:val="ar-SA"/>
        </w:rPr>
        <w:lastRenderedPageBreak/>
        <w:t>الفرع الثاني</w:t>
      </w:r>
      <w:bookmarkEnd w:id="159"/>
      <w:bookmarkEnd w:id="160"/>
    </w:p>
    <w:p w14:paraId="2134FF17" w14:textId="77777777" w:rsidR="00454428" w:rsidRDefault="00C464EC" w:rsidP="00C72BA8">
      <w:pPr>
        <w:pStyle w:val="a"/>
        <w:rPr>
          <w:rStyle w:val="None"/>
          <w:b w:val="0"/>
          <w:bCs w:val="0"/>
          <w:rtl/>
          <w:lang w:val="ar-SA"/>
        </w:rPr>
      </w:pPr>
      <w:bookmarkStart w:id="161" w:name="_Toc227251099"/>
      <w:bookmarkStart w:id="162" w:name="_Toc232260656"/>
      <w:r>
        <w:rPr>
          <w:rStyle w:val="None"/>
          <w:rFonts w:ascii="Arial Unicode MS" w:eastAsia="Arial Unicode MS" w:hAnsi="Arial Unicode MS" w:hint="cs"/>
          <w:rtl/>
          <w:lang w:val="ar-SA"/>
        </w:rPr>
        <w:t>دور المؤسسات الوطنية والدولية في دعم الحماية</w:t>
      </w:r>
      <w:bookmarkEnd w:id="161"/>
      <w:bookmarkEnd w:id="162"/>
    </w:p>
    <w:p w14:paraId="092AD2E0"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تلعب المؤسسات دورًا محوريًا في تنفيذ التشريعات وتطوير منظومة الحماية، ففي المملكة العربية السعودية، تضطلع الهيئة السعودية للملكية الفكرية </w:t>
      </w:r>
      <w:r>
        <w:rPr>
          <w:rStyle w:val="None"/>
          <w:rFonts w:ascii="Times New Roman" w:hAnsi="Times New Roman"/>
          <w:rtl/>
          <w:lang w:val="ar-SA"/>
        </w:rPr>
        <w:t xml:space="preserve">SAIP </w:t>
      </w:r>
      <w:r>
        <w:rPr>
          <w:rStyle w:val="None"/>
          <w:rFonts w:cs="Times New Roman" w:hint="cs"/>
          <w:rtl/>
          <w:lang w:val="ar-SA"/>
        </w:rPr>
        <w:t xml:space="preserve">بمسئولية تسجيل الحقوق ومراقبة الامتثال، وتقديم خدمات توعوية وتنظيمية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8"/>
      </w:r>
      <w:r>
        <w:rPr>
          <w:rStyle w:val="None"/>
          <w:rFonts w:ascii="Times New Roman" w:hAnsi="Times New Roman"/>
          <w:vertAlign w:val="superscript"/>
          <w:rtl/>
          <w:lang w:val="ar-SA"/>
        </w:rPr>
        <w:t>)</w:t>
      </w:r>
      <w:r>
        <w:rPr>
          <w:rStyle w:val="None"/>
          <w:rFonts w:cs="Times New Roman" w:hint="cs"/>
          <w:rtl/>
          <w:lang w:val="ar-SA"/>
        </w:rPr>
        <w:t>، كما تسهم وزارة التجارة في متابعة قضايا الغش والتقليد، وتشارك وزارة الإعلام في حماية المصنفات السمعية والبصرية، وتتكامل هذه الجهود مع دور القضاء في الفصل في المنازعات، سواء عبر المحاكم أو اللجان المختصة</w:t>
      </w:r>
      <w:r>
        <w:rPr>
          <w:rStyle w:val="None"/>
          <w:rFonts w:ascii="Times New Roman" w:hAnsi="Times New Roman"/>
          <w:rtl/>
          <w:lang w:val="ar-SA"/>
        </w:rPr>
        <w:t>.</w:t>
      </w:r>
    </w:p>
    <w:p w14:paraId="4AE893B9"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فقد أنشأت المملكة هيئةً مختصةً بحقوق الملكية الفكرية اعتمدت بقرار مجلس الوزراء عام </w:t>
      </w:r>
      <w:r>
        <w:rPr>
          <w:rStyle w:val="None"/>
          <w:rFonts w:ascii="Times New Roman" w:hAnsi="Times New Roman"/>
          <w:rtl/>
          <w:lang w:val="ar-SA"/>
        </w:rPr>
        <w:t>1437</w:t>
      </w:r>
      <w:r>
        <w:rPr>
          <w:rStyle w:val="None"/>
          <w:rFonts w:cs="Times New Roman" w:hint="cs"/>
          <w:rtl/>
          <w:lang w:val="ar-SA"/>
        </w:rPr>
        <w:t xml:space="preserve">هـ الموافق </w:t>
      </w:r>
      <w:r>
        <w:rPr>
          <w:rStyle w:val="None"/>
          <w:rFonts w:ascii="Times New Roman" w:hAnsi="Times New Roman"/>
          <w:rtl/>
          <w:lang w:val="ar-SA"/>
        </w:rPr>
        <w:t>2015</w:t>
      </w:r>
      <w:r>
        <w:rPr>
          <w:rStyle w:val="None"/>
          <w:rFonts w:cs="Times New Roman" w:hint="cs"/>
          <w:rtl/>
          <w:lang w:val="ar-SA"/>
        </w:rPr>
        <w:t xml:space="preserve">، ومن مبادرات التحول الوطني </w:t>
      </w:r>
      <w:r>
        <w:rPr>
          <w:rStyle w:val="None"/>
          <w:rFonts w:ascii="Times New Roman" w:hAnsi="Times New Roman"/>
          <w:rtl/>
          <w:lang w:val="ar-SA"/>
        </w:rPr>
        <w:t>2020</w:t>
      </w:r>
      <w:r>
        <w:rPr>
          <w:rStyle w:val="None"/>
          <w:rFonts w:cs="Times New Roman" w:hint="cs"/>
          <w:rtl/>
          <w:lang w:val="ar-SA"/>
        </w:rPr>
        <w:t xml:space="preserve">، وأنشئت الهيئة في منتصف عام </w:t>
      </w:r>
      <w:r>
        <w:rPr>
          <w:rStyle w:val="None"/>
          <w:rFonts w:ascii="Times New Roman" w:hAnsi="Times New Roman"/>
          <w:rtl/>
          <w:lang w:val="ar-SA"/>
        </w:rPr>
        <w:t>1438</w:t>
      </w:r>
      <w:r>
        <w:rPr>
          <w:rStyle w:val="None"/>
          <w:rFonts w:cs="Times New Roman" w:hint="cs"/>
          <w:rtl/>
          <w:lang w:val="ar-SA"/>
        </w:rPr>
        <w:t xml:space="preserve">هـ بقرار مجلس الوزراء القاضي بالموافقة على الترتيبات التنظيمية لها، وفي عام </w:t>
      </w:r>
      <w:r>
        <w:rPr>
          <w:rStyle w:val="None"/>
          <w:rFonts w:ascii="Times New Roman" w:hAnsi="Times New Roman"/>
          <w:rtl/>
          <w:lang w:val="ar-SA"/>
        </w:rPr>
        <w:t>1439</w:t>
      </w:r>
      <w:r>
        <w:rPr>
          <w:rStyle w:val="None"/>
          <w:rFonts w:cs="Times New Roman" w:hint="cs"/>
          <w:rtl/>
          <w:lang w:val="ar-SA"/>
        </w:rPr>
        <w:t>هـ صدر تنظيم الهيئة؛ حيث إنَّها تهدف إلى تنظيم مجالات الملكية الفكرية في المملكة، ودعمها، وتنميتها، ورعايتها، وحمايتها، وإنفاذها، والارتقاء بها وفق أفضل الممارسات العالمية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9"/>
      </w:r>
      <w:r>
        <w:rPr>
          <w:rStyle w:val="None"/>
          <w:rFonts w:ascii="Times New Roman" w:hAnsi="Times New Roman"/>
          <w:vertAlign w:val="superscript"/>
          <w:rtl/>
          <w:lang w:val="ar-SA"/>
        </w:rPr>
        <w:t>)</w:t>
      </w:r>
    </w:p>
    <w:p w14:paraId="5777EA76"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تتولَّى الهيئة السعودية للملكية الفكرية مسئولية تنفيذ النظام والإشراف على حماية حقوق المؤلف في المملكة، كما تقدم الهيئة خدمات متعددة، بما في ذلك</w:t>
      </w:r>
      <w:r>
        <w:rPr>
          <w:rStyle w:val="None"/>
          <w:rFonts w:ascii="Times New Roman" w:hAnsi="Times New Roman"/>
          <w:rtl/>
          <w:lang w:val="ar-SA"/>
        </w:rPr>
        <w:t xml:space="preserve">: </w:t>
      </w:r>
      <w:r>
        <w:rPr>
          <w:rStyle w:val="None"/>
          <w:rFonts w:cs="Times New Roman" w:hint="cs"/>
          <w:rtl/>
          <w:lang w:val="ar-SA"/>
        </w:rPr>
        <w:t>تسجيل المصنفات، وإصدار التراخيص، ومتابعة التعديات على حقوق المؤلفين</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0"/>
      </w:r>
      <w:r>
        <w:rPr>
          <w:rStyle w:val="None"/>
          <w:rFonts w:ascii="Times New Roman" w:hAnsi="Times New Roman"/>
          <w:vertAlign w:val="superscript"/>
          <w:rtl/>
          <w:lang w:val="ar-SA"/>
        </w:rPr>
        <w:t>)</w:t>
      </w:r>
      <w:r>
        <w:rPr>
          <w:rStyle w:val="None"/>
          <w:rFonts w:ascii="Times New Roman" w:hAnsi="Times New Roman"/>
          <w:rtl/>
          <w:lang w:val="ar-SA"/>
        </w:rPr>
        <w:t xml:space="preserve"> </w:t>
      </w:r>
    </w:p>
    <w:p w14:paraId="2E6A8AEF"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حيث نصت المادة الثالثة من تنظيم الهيئة السعودية للملكية الفكرية على العديد من الأهداف، وهي</w:t>
      </w:r>
      <w:r>
        <w:rPr>
          <w:rStyle w:val="None"/>
          <w:rFonts w:ascii="Times New Roman" w:hAnsi="Times New Roman"/>
          <w:rtl/>
          <w:lang w:val="ar-SA"/>
        </w:rPr>
        <w:t>:</w:t>
      </w:r>
    </w:p>
    <w:p w14:paraId="4860B30A"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هدف الهيئة إلى تنظيم مجالات الملكية الفكرية في المملكة، ودعمها، وتنميتها، ورعايتها، وحمايتها، وإنفاذه،ا والارتقاء بها، وفقًا لأفضل الممارسات العالمية، ولها في سبيل تحقيق أهدافها المهمات والاختصاصات الآتية</w:t>
      </w:r>
      <w:r>
        <w:rPr>
          <w:rStyle w:val="None"/>
          <w:rFonts w:ascii="Times New Roman" w:hAnsi="Times New Roman"/>
          <w:rtl/>
          <w:lang w:val="ar-SA"/>
        </w:rPr>
        <w:t>:</w:t>
      </w:r>
    </w:p>
    <w:p w14:paraId="40C153A9"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إعداد الاستراتيجية الوطنية للملكية الفكرية ومتابعة تنفيذها بعد اعتمادها، ووضع خطط عمل وبرامج زمنية لها بالتنسيق والتعاون مع الجهات ذات العلاقة</w:t>
      </w:r>
      <w:r>
        <w:rPr>
          <w:rStyle w:val="None"/>
          <w:rFonts w:ascii="Times New Roman" w:hAnsi="Times New Roman"/>
          <w:rtl/>
          <w:lang w:val="ar-SA"/>
        </w:rPr>
        <w:t>.</w:t>
      </w:r>
    </w:p>
    <w:p w14:paraId="53B349BE"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اقتراح الأنظمة واللوائح المتعلقة بحقوق الملكية الفكرية</w:t>
      </w:r>
      <w:r>
        <w:rPr>
          <w:rStyle w:val="None"/>
          <w:rFonts w:ascii="Times New Roman" w:hAnsi="Times New Roman"/>
          <w:rtl/>
          <w:lang w:val="ar-SA"/>
        </w:rPr>
        <w:t>.</w:t>
      </w:r>
    </w:p>
    <w:p w14:paraId="2020E594"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تسجيل حقوق الملكية الفكرية، ومنحها وثائق الحماية وإنفاذها</w:t>
      </w:r>
      <w:r>
        <w:rPr>
          <w:rStyle w:val="None"/>
          <w:rFonts w:ascii="Times New Roman" w:hAnsi="Times New Roman"/>
          <w:rtl/>
          <w:lang w:val="ar-SA"/>
        </w:rPr>
        <w:t>.</w:t>
      </w:r>
    </w:p>
    <w:p w14:paraId="2914134B"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توفير المعلومات المتعلقة بحقوق الملكية الفكرية، وإتاحتها للجمهور</w:t>
      </w:r>
      <w:r>
        <w:rPr>
          <w:rStyle w:val="None"/>
          <w:rFonts w:ascii="Times New Roman" w:hAnsi="Times New Roman"/>
          <w:rtl/>
          <w:lang w:val="ar-SA"/>
        </w:rPr>
        <w:t>.</w:t>
      </w:r>
    </w:p>
    <w:p w14:paraId="0234E464"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التوعية بأهمية الملكية الفكرية وحماية حقوقها</w:t>
      </w:r>
      <w:r>
        <w:rPr>
          <w:rStyle w:val="None"/>
          <w:rFonts w:ascii="Times New Roman" w:hAnsi="Times New Roman"/>
          <w:rtl/>
          <w:lang w:val="ar-SA"/>
        </w:rPr>
        <w:t>.</w:t>
      </w:r>
    </w:p>
    <w:p w14:paraId="422A7006"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تمثيل المملكة في المنظمات الدولية والإقليمية ذات العلاقة بحقوق الملكية الفكرية، والدفاع عن مصالحها</w:t>
      </w:r>
      <w:r>
        <w:rPr>
          <w:rStyle w:val="None"/>
          <w:rFonts w:ascii="Times New Roman" w:hAnsi="Times New Roman"/>
          <w:rtl/>
          <w:lang w:val="ar-SA"/>
        </w:rPr>
        <w:t>.</w:t>
      </w:r>
    </w:p>
    <w:p w14:paraId="711869A6"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إبداء الرأي في شأن الاتفاقيات الدولية المتعلقة بحقوق الملكية الفكرية</w:t>
      </w:r>
      <w:r>
        <w:rPr>
          <w:rStyle w:val="None"/>
          <w:rFonts w:ascii="Times New Roman" w:hAnsi="Times New Roman"/>
          <w:rtl/>
          <w:lang w:val="ar-SA"/>
        </w:rPr>
        <w:t>.</w:t>
      </w:r>
    </w:p>
    <w:p w14:paraId="509A037C"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متابعة تنفيذ الالتزامات المترتبة على انضمام المملكة إلى الاتفاقيات الدولية المتعلقة بالملكية الفكرية</w:t>
      </w:r>
      <w:r>
        <w:rPr>
          <w:rStyle w:val="None"/>
          <w:rFonts w:ascii="Times New Roman" w:hAnsi="Times New Roman"/>
          <w:rtl/>
          <w:lang w:val="ar-SA"/>
        </w:rPr>
        <w:t>.</w:t>
      </w:r>
    </w:p>
    <w:p w14:paraId="3F848164"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lastRenderedPageBreak/>
        <w:t>تعزيز الاستفادة من الملكية الفكرية؛ لبناء اقتصاد متقدم قائم على المعرفة</w:t>
      </w:r>
      <w:r>
        <w:rPr>
          <w:rStyle w:val="None"/>
          <w:rFonts w:ascii="Times New Roman" w:hAnsi="Times New Roman"/>
          <w:rtl/>
          <w:lang w:val="ar-SA"/>
        </w:rPr>
        <w:t>.</w:t>
      </w:r>
    </w:p>
    <w:p w14:paraId="5964AEE5"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rtl/>
          <w:lang w:val="ar-SA"/>
        </w:rPr>
        <w:t>.</w:t>
      </w:r>
    </w:p>
    <w:p w14:paraId="069671AB" w14:textId="77777777" w:rsidR="00454428" w:rsidRDefault="00C464EC">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الترخيص للأنشطة ذات العلاقة بمجال عمل الهيئة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1"/>
      </w:r>
      <w:r>
        <w:rPr>
          <w:rStyle w:val="None"/>
          <w:rFonts w:ascii="Times New Roman" w:hAnsi="Times New Roman"/>
          <w:vertAlign w:val="superscript"/>
          <w:rtl/>
          <w:lang w:val="ar-SA"/>
        </w:rPr>
        <w:t>)</w:t>
      </w:r>
    </w:p>
    <w:p w14:paraId="549364DE"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نظرًا للأهمية البالغة للملكية الفكرية في تقدم المجتمعات وتطوُّرها؛ تُولِي المملكة العربية السعودية اهتمامًا كبيرًا لحماية وتعزيز إنفاذ الملكية الفكرية؛ لما لها من تأثير على الاقتصاد المحلي والعالمي، وحرصًا من الهيئة السعودية للملكية الفكرية ممثلة بالأمانة العامة للجان الفصل في منازعات الملكية الفكرية على مواكبة هذا التطوُّر والعمل وفق رؤية المملكة </w:t>
      </w:r>
      <w:r>
        <w:rPr>
          <w:rStyle w:val="None"/>
          <w:rFonts w:ascii="Times New Roman" w:hAnsi="Times New Roman"/>
          <w:rtl/>
          <w:lang w:val="ar-SA"/>
        </w:rPr>
        <w:t>2030</w:t>
      </w:r>
      <w:r>
        <w:rPr>
          <w:rStyle w:val="None"/>
          <w:rFonts w:cs="Times New Roman" w:hint="cs"/>
          <w:rtl/>
          <w:lang w:val="ar-SA"/>
        </w:rPr>
        <w:t>، فقد سعت لرفع الكفاءة التشغيلية بمختلف جوانبها من خلال دعم لجان الملكية الفكرية من خلال تأسيس أمانة العامة للجان؛ لغرض الوصول إلى أعلى درجة من الكفاءة وجودة الخدمات المتعلقة بقضايا الملكية الفكرية، التي تختص بها اللجان المنصوص عليها في أنظمة الملكية الفكرية، بما يضمن الشفافية، والعدالة، وسرعة الإنجاز</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2"/>
      </w:r>
      <w:r>
        <w:rPr>
          <w:rStyle w:val="None"/>
          <w:rFonts w:ascii="Times New Roman" w:hAnsi="Times New Roman"/>
          <w:vertAlign w:val="superscript"/>
          <w:rtl/>
          <w:lang w:val="ar-SA"/>
        </w:rPr>
        <w:t>)</w:t>
      </w:r>
    </w:p>
    <w:p w14:paraId="359177E2"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حيث تم تشكيل لجنة النظر في تظلمات العلامات التجارية، فقد شكلت اللجنة بموجب قرار مجلس إدارة الهيئة السعودية للملكية الفكرية رقم </w:t>
      </w:r>
      <w:r>
        <w:rPr>
          <w:rStyle w:val="None"/>
          <w:rFonts w:ascii="Times New Roman" w:hAnsi="Times New Roman"/>
          <w:rtl/>
          <w:lang w:val="ar-SA"/>
        </w:rPr>
        <w:t xml:space="preserve">(2/17/2021) </w:t>
      </w:r>
      <w:r>
        <w:rPr>
          <w:rStyle w:val="None"/>
          <w:rFonts w:cs="Times New Roman" w:hint="cs"/>
          <w:rtl/>
          <w:lang w:val="ar-SA"/>
        </w:rPr>
        <w:t xml:space="preserve">وتاريخ </w:t>
      </w:r>
      <w:r>
        <w:rPr>
          <w:rStyle w:val="None"/>
          <w:rFonts w:ascii="Times New Roman" w:hAnsi="Times New Roman"/>
          <w:rtl/>
          <w:lang w:val="ar-SA"/>
        </w:rPr>
        <w:t>20/11/1442</w:t>
      </w:r>
      <w:r>
        <w:rPr>
          <w:rStyle w:val="None"/>
          <w:rFonts w:cs="Times New Roman" w:hint="cs"/>
          <w:rtl/>
          <w:lang w:val="ar-SA"/>
        </w:rPr>
        <w:t xml:space="preserve">ه الموافق </w:t>
      </w:r>
      <w:r>
        <w:rPr>
          <w:rStyle w:val="None"/>
          <w:rFonts w:ascii="Times New Roman" w:hAnsi="Times New Roman"/>
          <w:rtl/>
          <w:lang w:val="ar-SA"/>
        </w:rPr>
        <w:t>30/06/2021</w:t>
      </w:r>
      <w:r>
        <w:rPr>
          <w:rStyle w:val="None"/>
          <w:rFonts w:cs="Times New Roman" w:hint="cs"/>
          <w:rtl/>
          <w:lang w:val="ar-SA"/>
        </w:rPr>
        <w:t>م، وتختص اللجنة بالنظر في تظلمات العلامات التجارية، وتظلم من قرار رفض تسجيل العلامة التجارية، أو تعليقها على شرط، وتظلم من قرار رفض الإضافة، أو التعديل على علامة مسجلة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3"/>
      </w:r>
      <w:r>
        <w:rPr>
          <w:rStyle w:val="None"/>
          <w:rFonts w:ascii="Times New Roman" w:hAnsi="Times New Roman"/>
          <w:vertAlign w:val="superscript"/>
          <w:rtl/>
          <w:lang w:val="ar-SA"/>
        </w:rPr>
        <w:t>)</w:t>
      </w:r>
    </w:p>
    <w:p w14:paraId="28B0EDC6"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بالإضافة إلى لجنة النظر في مخالفات نظام حماية حقوق المؤلف؛ حيث شكلت اللجنة بموجب قرار مجلس إدارة الهيئة السعودية للملكية الفكرية رقم </w:t>
      </w:r>
      <w:r>
        <w:rPr>
          <w:rStyle w:val="None"/>
          <w:rFonts w:ascii="Times New Roman" w:hAnsi="Times New Roman"/>
          <w:rtl/>
          <w:lang w:val="ar-SA"/>
        </w:rPr>
        <w:t>(2020/2/7)</w:t>
      </w:r>
      <w:r>
        <w:rPr>
          <w:rStyle w:val="None"/>
          <w:rFonts w:cs="Times New Roman" w:hint="cs"/>
          <w:rtl/>
          <w:lang w:val="ar-SA"/>
        </w:rPr>
        <w:t xml:space="preserve">، وتاريخ </w:t>
      </w:r>
      <w:r>
        <w:rPr>
          <w:rStyle w:val="None"/>
          <w:rFonts w:ascii="Times New Roman" w:hAnsi="Times New Roman"/>
          <w:rtl/>
          <w:lang w:val="ar-SA"/>
        </w:rPr>
        <w:t>1441/07/03</w:t>
      </w:r>
      <w:r>
        <w:rPr>
          <w:rStyle w:val="None"/>
          <w:rFonts w:cs="Times New Roman" w:hint="cs"/>
          <w:rtl/>
          <w:lang w:val="ar-SA"/>
        </w:rPr>
        <w:t xml:space="preserve">ه الموافق </w:t>
      </w:r>
      <w:r>
        <w:rPr>
          <w:rStyle w:val="None"/>
          <w:rFonts w:ascii="Times New Roman" w:hAnsi="Times New Roman"/>
          <w:rtl/>
          <w:lang w:val="ar-SA"/>
        </w:rPr>
        <w:t>2020/02/27</w:t>
      </w:r>
      <w:r>
        <w:rPr>
          <w:rStyle w:val="None"/>
          <w:rFonts w:cs="Times New Roman" w:hint="cs"/>
          <w:rtl/>
          <w:lang w:val="ar-SA"/>
        </w:rPr>
        <w:t>م، وتختص اللجنة بالنظر في المخالفات الإدارية المتعلقة بمخالفة أحكام نظام حماية حقوق المؤلف، وإيقاع العقوبات النظامية المنصوص عليها في النظام</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4"/>
      </w:r>
      <w:r>
        <w:rPr>
          <w:rStyle w:val="None"/>
          <w:rFonts w:ascii="Times New Roman" w:hAnsi="Times New Roman"/>
          <w:vertAlign w:val="superscript"/>
          <w:rtl/>
          <w:lang w:val="ar-SA"/>
        </w:rPr>
        <w:t>)</w:t>
      </w:r>
    </w:p>
    <w:p w14:paraId="269E8226"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 xml:space="preserve">كما تم تشكيل لجنة النظر في دعاوى براءات الاختراع، شُكلت اللجنة بموجب قرار مجلس الوزراء رقم </w:t>
      </w:r>
      <w:r>
        <w:rPr>
          <w:rStyle w:val="None"/>
          <w:rFonts w:ascii="Times New Roman" w:hAnsi="Times New Roman"/>
          <w:rtl/>
          <w:lang w:val="ar-SA"/>
        </w:rPr>
        <w:t xml:space="preserve">(60) </w:t>
      </w:r>
      <w:r>
        <w:rPr>
          <w:rStyle w:val="None"/>
          <w:rFonts w:cs="Times New Roman" w:hint="cs"/>
          <w:rtl/>
          <w:lang w:val="ar-SA"/>
        </w:rPr>
        <w:t xml:space="preserve">وتاريخ </w:t>
      </w:r>
      <w:r>
        <w:rPr>
          <w:rStyle w:val="None"/>
          <w:rFonts w:ascii="Times New Roman" w:hAnsi="Times New Roman"/>
          <w:rtl/>
          <w:lang w:val="ar-SA"/>
        </w:rPr>
        <w:t>1444/01/18</w:t>
      </w:r>
      <w:r>
        <w:rPr>
          <w:rStyle w:val="None"/>
          <w:rFonts w:cs="Times New Roman" w:hint="cs"/>
          <w:rtl/>
          <w:lang w:val="ar-SA"/>
        </w:rPr>
        <w:t>هـ من خمسة أعضاءٍ، وثلاثة من النظاميين، وعضوين من الفنيين، تختص اللجنة بالنظر في جميع المنازعات والطعون في القرارات الصادرة بشأن وثائق الحماية، وتشمل الآتي التظلم من قرار رفض منح وثيقة حماية، وإبطال وثائق الحماية، وتحويل ملكية طلب الحماية أو وثيقة الحماية، والطعن في قرارات إسقاط وثائق الحماية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5"/>
      </w:r>
      <w:r>
        <w:rPr>
          <w:rStyle w:val="None"/>
          <w:rFonts w:ascii="Times New Roman" w:hAnsi="Times New Roman"/>
          <w:vertAlign w:val="superscript"/>
          <w:rtl/>
          <w:lang w:val="ar-SA"/>
        </w:rPr>
        <w:t>)</w:t>
      </w:r>
    </w:p>
    <w:p w14:paraId="29F3AEA4"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Pr>
          <w:rStyle w:val="None"/>
          <w:rFonts w:cs="Times New Roman" w:hint="cs"/>
          <w:rtl/>
          <w:lang w:val="ar-SA"/>
        </w:rPr>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6"/>
      </w:r>
      <w:r>
        <w:rPr>
          <w:rStyle w:val="None"/>
          <w:rFonts w:ascii="Times New Roman" w:hAnsi="Times New Roman"/>
          <w:vertAlign w:val="superscript"/>
          <w:rtl/>
          <w:lang w:val="ar-SA"/>
        </w:rPr>
        <w:t>)</w:t>
      </w:r>
      <w:r>
        <w:rPr>
          <w:rStyle w:val="None"/>
          <w:rFonts w:cs="Times New Roman" w:hint="cs"/>
          <w:rtl/>
          <w:lang w:val="ar-SA"/>
        </w:rPr>
        <w:t xml:space="preserve">؛ ونظرًا للاهتمام الدولي لحماية الملكية الفكرية فقد عملت الدول على إنشاء </w:t>
      </w:r>
      <w:r>
        <w:rPr>
          <w:rStyle w:val="None"/>
          <w:rFonts w:cs="Times New Roman" w:hint="cs"/>
          <w:rtl/>
          <w:lang w:val="ar-SA"/>
        </w:rPr>
        <w:lastRenderedPageBreak/>
        <w:t>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7"/>
      </w:r>
      <w:r>
        <w:rPr>
          <w:rStyle w:val="None"/>
          <w:rFonts w:ascii="Times New Roman" w:hAnsi="Times New Roman"/>
          <w:vertAlign w:val="superscript"/>
          <w:rtl/>
          <w:lang w:val="ar-SA"/>
        </w:rPr>
        <w:t>)</w:t>
      </w:r>
    </w:p>
    <w:p w14:paraId="047FA452" w14:textId="77777777" w:rsidR="00454428" w:rsidRDefault="00C464EC" w:rsidP="00C72BA8">
      <w:pPr>
        <w:pStyle w:val="Default"/>
        <w:spacing w:before="120" w:after="120" w:line="360" w:lineRule="auto"/>
        <w:ind w:firstLine="720"/>
        <w:jc w:val="both"/>
        <w:rPr>
          <w:rStyle w:val="None"/>
          <w:rFonts w:ascii="Times New Roman" w:eastAsia="Times New Roman" w:hAnsi="Times New Roman" w:cs="Times New Roman"/>
          <w:vertAlign w:val="superscript"/>
          <w:rtl/>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 xml:space="preserve">أنَّ جهود حقوق الملكية الفكرية قد بدأت منذ أكثر من قرن، ونشأت العديد من المنظمات؛ لهذا الغرض آخرها المنظمة العالمية للملكية الفكرية </w:t>
      </w:r>
      <w:r>
        <w:rPr>
          <w:rStyle w:val="None"/>
          <w:rFonts w:ascii="Times New Roman" w:hAnsi="Times New Roman"/>
          <w:rtl/>
          <w:lang w:val="ar-SA"/>
        </w:rPr>
        <w:t>"WIPO"</w:t>
      </w:r>
      <w:r>
        <w:rPr>
          <w:rStyle w:val="None"/>
          <w:rFonts w:cs="Times New Roman" w:hint="cs"/>
          <w:rtl/>
          <w:lang w:val="ar-SA"/>
        </w:rPr>
        <w:t>، وقد تم إبرام العديد من الاتفاقيات لتحديد الالتزامات الدولية لحماية حقوق أصحاب الملكية الفكرية، أهمها</w:t>
      </w:r>
      <w:r>
        <w:rPr>
          <w:rStyle w:val="None"/>
          <w:rFonts w:ascii="Times New Roman" w:hAnsi="Times New Roman"/>
          <w:rtl/>
          <w:lang w:val="ar-SA"/>
        </w:rPr>
        <w:t xml:space="preserve">: </w:t>
      </w:r>
      <w:r>
        <w:rPr>
          <w:rStyle w:val="None"/>
          <w:rFonts w:cs="Times New Roman" w:hint="cs"/>
          <w:rtl/>
          <w:lang w:val="ar-SA"/>
        </w:rPr>
        <w:t xml:space="preserve">اتفاقية برن عام </w:t>
      </w:r>
      <w:r>
        <w:rPr>
          <w:rStyle w:val="None"/>
          <w:rFonts w:ascii="Times New Roman" w:hAnsi="Times New Roman"/>
          <w:rtl/>
          <w:lang w:val="ar-SA"/>
        </w:rPr>
        <w:t>1886</w:t>
      </w:r>
      <w:r>
        <w:rPr>
          <w:rStyle w:val="None"/>
          <w:rFonts w:cs="Times New Roman" w:hint="cs"/>
          <w:rtl/>
          <w:lang w:val="ar-SA"/>
        </w:rPr>
        <w:t xml:space="preserve">م لحماية المصنفات الأدبية، واتفاقية باريس عام </w:t>
      </w:r>
      <w:r>
        <w:rPr>
          <w:rStyle w:val="None"/>
          <w:rFonts w:ascii="Times New Roman" w:hAnsi="Times New Roman"/>
          <w:rtl/>
          <w:lang w:val="ar-SA"/>
        </w:rPr>
        <w:t>1883</w:t>
      </w:r>
      <w:r>
        <w:rPr>
          <w:rStyle w:val="None"/>
          <w:rFonts w:cs="Times New Roman" w:hint="cs"/>
          <w:rtl/>
          <w:lang w:val="ar-SA"/>
        </w:rPr>
        <w:t xml:space="preserve">م؛ لحماية الملكية الصناعية في مجال براءات الاختراع والمعلومات التجارية، واتفاقية روما عام </w:t>
      </w:r>
      <w:r>
        <w:rPr>
          <w:rStyle w:val="None"/>
          <w:rFonts w:ascii="Times New Roman" w:hAnsi="Times New Roman"/>
          <w:rtl/>
          <w:lang w:val="ar-SA"/>
        </w:rPr>
        <w:t>1961</w:t>
      </w:r>
      <w:r>
        <w:rPr>
          <w:rStyle w:val="None"/>
          <w:rFonts w:cs="Times New Roman" w:hint="cs"/>
          <w:rtl/>
          <w:lang w:val="ar-SA"/>
        </w:rPr>
        <w:t>م لحماية الأداء والإنتاج الفني والإذاعة، بالإضافة إلى</w:t>
      </w:r>
      <w:r>
        <w:rPr>
          <w:rStyle w:val="None"/>
          <w:rFonts w:ascii="Times New Roman" w:hAnsi="Times New Roman"/>
          <w:rtl/>
          <w:lang w:val="ar-SA"/>
        </w:rPr>
        <w:t xml:space="preserve">: </w:t>
      </w:r>
      <w:r>
        <w:rPr>
          <w:rStyle w:val="None"/>
          <w:rFonts w:cs="Times New Roman" w:hint="cs"/>
          <w:rtl/>
          <w:lang w:val="ar-SA"/>
        </w:rPr>
        <w:t>تأسيس الاتحادات الدولية التي تنظم التعامل في مجال الملكية الفكرية كاتحاد باريس واتحاد لاهاي وغيرها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8"/>
      </w:r>
      <w:r>
        <w:rPr>
          <w:rStyle w:val="None"/>
          <w:rFonts w:ascii="Times New Roman" w:hAnsi="Times New Roman"/>
          <w:vertAlign w:val="superscript"/>
          <w:rtl/>
          <w:lang w:val="ar-SA"/>
        </w:rPr>
        <w:t>)</w:t>
      </w:r>
    </w:p>
    <w:p w14:paraId="451E8FEE" w14:textId="77777777" w:rsidR="00464D24" w:rsidRDefault="00464D24" w:rsidP="00D61DE9">
      <w:pPr>
        <w:pStyle w:val="Body"/>
        <w:spacing w:before="120" w:after="120" w:line="360" w:lineRule="auto"/>
        <w:rPr>
          <w:rStyle w:val="None"/>
          <w:rFonts w:ascii="Arial Unicode MS" w:hAnsi="Arial Unicode MS" w:cs="Times New Roman"/>
          <w:b/>
          <w:bCs/>
          <w:sz w:val="36"/>
          <w:szCs w:val="36"/>
          <w:rtl/>
          <w:lang w:val="ar-SA"/>
        </w:rPr>
        <w:sectPr w:rsidR="00464D24" w:rsidSect="00E428C0">
          <w:headerReference w:type="default" r:id="rId13"/>
          <w:footerReference w:type="default" r:id="rId14"/>
          <w:footnotePr>
            <w:numRestart w:val="eachPage"/>
          </w:footnotePr>
          <w:pgSz w:w="11900" w:h="16840"/>
          <w:pgMar w:top="810" w:right="1701" w:bottom="90" w:left="1418" w:header="709" w:footer="709" w:gutter="0"/>
          <w:pgNumType w:start="1"/>
          <w:cols w:space="720"/>
          <w:bidi/>
        </w:sectPr>
      </w:pPr>
    </w:p>
    <w:p w14:paraId="42B624CA" w14:textId="0804496A" w:rsidR="00454428" w:rsidRDefault="00C464EC" w:rsidP="00464D24">
      <w:pPr>
        <w:pStyle w:val="a"/>
        <w:rPr>
          <w:rStyle w:val="None"/>
          <w:rtl/>
          <w:lang w:val="ar-SA"/>
        </w:rPr>
      </w:pPr>
      <w:bookmarkStart w:id="163" w:name="_Toc227251100"/>
      <w:bookmarkStart w:id="164" w:name="_Toc232260657"/>
      <w:r>
        <w:rPr>
          <w:rStyle w:val="None"/>
          <w:rFonts w:ascii="Arial Unicode MS" w:eastAsia="Arial Unicode MS" w:hAnsi="Arial Unicode MS" w:hint="cs"/>
          <w:rtl/>
          <w:lang w:val="ar-SA"/>
        </w:rPr>
        <w:lastRenderedPageBreak/>
        <w:t>الفصل الأول</w:t>
      </w:r>
      <w:bookmarkEnd w:id="163"/>
      <w:bookmarkEnd w:id="164"/>
    </w:p>
    <w:p w14:paraId="60AE2AAE" w14:textId="77777777" w:rsidR="00454428" w:rsidRDefault="00C464EC" w:rsidP="00C72BA8">
      <w:pPr>
        <w:pStyle w:val="a"/>
        <w:rPr>
          <w:rStyle w:val="None"/>
          <w:rtl/>
          <w:lang w:val="ar-SA"/>
        </w:rPr>
      </w:pPr>
      <w:bookmarkStart w:id="165" w:name="_Toc227251101"/>
      <w:bookmarkStart w:id="166" w:name="_Toc232260658"/>
      <w:r>
        <w:rPr>
          <w:rStyle w:val="None"/>
          <w:rFonts w:ascii="Arial Unicode MS" w:eastAsia="Arial Unicode MS" w:hAnsi="Arial Unicode MS" w:hint="cs"/>
          <w:rtl/>
          <w:lang w:val="ar-SA"/>
        </w:rPr>
        <w:t>التعريف بالبيئة الرقمية وخصائصها</w:t>
      </w:r>
      <w:bookmarkEnd w:id="165"/>
      <w:bookmarkEnd w:id="166"/>
    </w:p>
    <w:p w14:paraId="14A8322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commentRangeStart w:id="167"/>
      <w:r w:rsidRPr="006122D1">
        <w:rPr>
          <w:rStyle w:val="None"/>
          <w:rFonts w:ascii="Arial Unicode MS" w:hAnsi="Arial Unicode MS" w:cs="Times New Roman" w:hint="cs"/>
          <w:sz w:val="24"/>
          <w:szCs w:val="24"/>
          <w:highlight w:val="yellow"/>
          <w:rtl/>
          <w:lang w:val="ar-SA"/>
        </w:rPr>
        <w:t>يعيش</w:t>
      </w:r>
      <w:commentRangeEnd w:id="167"/>
      <w:r w:rsidR="003622FA" w:rsidRPr="006122D1">
        <w:rPr>
          <w:rStyle w:val="CommentReference"/>
          <w:rFonts w:ascii="Times New Roman" w:hAnsi="Times New Roman" w:cs="Times New Roman"/>
          <w:color w:val="auto"/>
          <w:highlight w:val="yellow"/>
          <w:rtl/>
          <w14:textOutline w14:w="0" w14:cap="rnd" w14:cmpd="sng" w14:algn="ctr">
            <w14:noFill/>
            <w14:prstDash w14:val="solid"/>
            <w14:bevel/>
          </w14:textOutline>
        </w:rPr>
        <w:commentReference w:id="167"/>
      </w:r>
      <w:r w:rsidRPr="006122D1">
        <w:rPr>
          <w:rStyle w:val="None"/>
          <w:rFonts w:ascii="Arial Unicode MS" w:hAnsi="Arial Unicode MS" w:cs="Times New Roman" w:hint="cs"/>
          <w:sz w:val="24"/>
          <w:szCs w:val="24"/>
          <w:highlight w:val="yellow"/>
          <w:rtl/>
          <w:lang w:val="ar-SA"/>
        </w:rPr>
        <w:t xml:space="preserve"> العالم اليوم في عصر رقمي متطوِّر؛ حيث تلعب التكنولوجيا الرقمية دورًا حيويًا في شتى جوانب الحياة، ومع تزايد حجم البيانات وتعقيداتها، أصبح استرجاع المعلومات أمرًا أساسيًا للوصول إلى المعرفة والتقدم في مختلف المجالات العلمية والتقنية، وتمثل البيئة الرقمية المساحة الافتراضية، التي تتواجد فيها المعلومات والمحتوى الرقمي، وتتميز هذه البيئة بتنوع واسع في المصادر، والأشكال، والتقنيات، ومن خلال فهم مفهوم البيئة الرقمية وخصائصها، يمكننا الاستفادة القصوى من المعلومات المتاحة بها</w:t>
      </w:r>
      <w:r w:rsidRPr="006122D1">
        <w:rPr>
          <w:rStyle w:val="None"/>
          <w:rFonts w:ascii="Times New Roman" w:hAnsi="Times New Roman"/>
          <w:sz w:val="24"/>
          <w:szCs w:val="24"/>
          <w:highlight w:val="yellow"/>
          <w:rtl/>
          <w:lang w:val="ar-SA"/>
        </w:rPr>
        <w:t>.</w:t>
      </w:r>
    </w:p>
    <w:p w14:paraId="1397B21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ظل هذا التحول الرقمي السريع، أصبحت الحاجة ملحةً؛ لفهم البيئة الرقمية بمفهومها الدقيق والتعرُّف على أبرز خصائصها التي تميزها عن البيئة التقليدية، فهذه البيئة ليست مجرد فضاء إلكتروني لتبادل البيانات، بل تمثل منظومةً تفاعليةً معقدةً تعتمد على أدوات وتقنيات 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الذكاء الاصطناعي، والحوسبة السحابية، وشبكات الاتصال المتقدمة، من خلال هذا الفصل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سيتم تسليط الضوء على تعريف البيئة الرقمية، وبيان خصائصها الجوهرية التي تشكل أساس استخدامها في مختلف المجالات؛ بهدف الإلمام بأبعادها المتنوعة وفهم تأثيرها المتزايد في تشكيل واقعنا المعاصر، وذلك على النحو التالي</w:t>
      </w:r>
      <w:r>
        <w:rPr>
          <w:rStyle w:val="None"/>
          <w:rFonts w:ascii="Times New Roman" w:hAnsi="Times New Roman"/>
          <w:sz w:val="24"/>
          <w:szCs w:val="24"/>
          <w:rtl/>
          <w:lang w:val="ar-SA"/>
        </w:rPr>
        <w:t>:</w:t>
      </w:r>
    </w:p>
    <w:p w14:paraId="3D980C99" w14:textId="77777777" w:rsidR="00454428" w:rsidRDefault="00C464EC">
      <w:pPr>
        <w:pStyle w:val="ListParagraph"/>
        <w:numPr>
          <w:ilvl w:val="0"/>
          <w:numId w:val="6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البيئة الرقمية ومكوناتها</w:t>
      </w:r>
      <w:r>
        <w:rPr>
          <w:rStyle w:val="None"/>
          <w:rFonts w:ascii="Times New Roman" w:hAnsi="Times New Roman"/>
          <w:sz w:val="24"/>
          <w:szCs w:val="24"/>
          <w:rtl/>
          <w:lang w:val="ar-SA"/>
        </w:rPr>
        <w:t>.</w:t>
      </w:r>
    </w:p>
    <w:p w14:paraId="0D28272C" w14:textId="77777777" w:rsidR="00454428" w:rsidRDefault="00C464EC">
      <w:pPr>
        <w:pStyle w:val="ListParagraph"/>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إشكاليات حماية حقوق الملكية الفكرية في البيئة الرقمية</w:t>
      </w:r>
      <w:r>
        <w:rPr>
          <w:rStyle w:val="None"/>
          <w:rFonts w:ascii="Times New Roman" w:hAnsi="Times New Roman"/>
          <w:sz w:val="24"/>
          <w:szCs w:val="24"/>
          <w:rtl/>
          <w:lang w:val="ar-SA"/>
        </w:rPr>
        <w:t>.</w:t>
      </w:r>
    </w:p>
    <w:p w14:paraId="5873717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5FD3C73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5A8DF6D9"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343BE53"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28E921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2AFC585"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7C392F6B"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38DD0D3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351B042"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3FE398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95701B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39E99C5A"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521FFE7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3072DA6D" w14:textId="77777777" w:rsidR="00454428" w:rsidRDefault="00C464EC" w:rsidP="00C72BA8">
      <w:pPr>
        <w:pStyle w:val="a"/>
        <w:rPr>
          <w:rStyle w:val="None"/>
          <w:rtl/>
          <w:lang w:val="ar-SA"/>
        </w:rPr>
      </w:pPr>
      <w:bookmarkStart w:id="168" w:name="_Toc227251102"/>
      <w:bookmarkStart w:id="169" w:name="_Toc232260659"/>
      <w:r>
        <w:rPr>
          <w:rStyle w:val="None"/>
          <w:rFonts w:ascii="Arial Unicode MS" w:eastAsia="Arial Unicode MS" w:hAnsi="Arial Unicode MS" w:hint="cs"/>
          <w:rtl/>
          <w:lang w:val="ar-SA"/>
        </w:rPr>
        <w:lastRenderedPageBreak/>
        <w:t>المبحث الأول</w:t>
      </w:r>
      <w:bookmarkEnd w:id="168"/>
      <w:bookmarkEnd w:id="169"/>
    </w:p>
    <w:p w14:paraId="41325958" w14:textId="77777777" w:rsidR="00454428" w:rsidRDefault="00C464EC" w:rsidP="00C72BA8">
      <w:pPr>
        <w:pStyle w:val="a"/>
        <w:rPr>
          <w:rStyle w:val="None"/>
          <w:rtl/>
          <w:lang w:val="ar-SA"/>
        </w:rPr>
      </w:pPr>
      <w:bookmarkStart w:id="170" w:name="_Toc227251103"/>
      <w:bookmarkStart w:id="171" w:name="_Toc232260660"/>
      <w:r>
        <w:rPr>
          <w:rStyle w:val="None"/>
          <w:rFonts w:ascii="Arial Unicode MS" w:eastAsia="Arial Unicode MS" w:hAnsi="Arial Unicode MS" w:hint="cs"/>
          <w:rtl/>
          <w:lang w:val="ar-SA"/>
        </w:rPr>
        <w:t>البيئة الرقمية ومكوناتها</w:t>
      </w:r>
      <w:bookmarkEnd w:id="170"/>
      <w:bookmarkEnd w:id="171"/>
    </w:p>
    <w:p w14:paraId="439A655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التكنولوجية الحالية، أصبحت البيئة الرقمية الإطار العام الذي تُمارس فيه معظم الأنشطة الإنسانية، سواء في المجالات العلمية، أو الاقتصادية، أو الثقافية، كما أدى الاعتماد المتزايد على تقنيات المعلومات والاتصالات إلى ظهور فضاء رقمي واسع، يشكل البنية التحتية للعالم الحديث؛ حيث تُنتج المعلومات وتُخزن وتتداول بشكل لحظي وعابر للحدود، كما لم تَعُدْ البيئة الرقمية مقتصرةً على المؤسسات المتخصصة، بل أصبحت جزءًا أساسيًا من الحياة اليومية للأفراد والمجتمعات، ومرتكزًا حيويًا لتطوُّر مختلف القطاعات</w:t>
      </w:r>
      <w:r>
        <w:rPr>
          <w:rStyle w:val="None"/>
          <w:rFonts w:ascii="Times New Roman" w:hAnsi="Times New Roman"/>
          <w:sz w:val="24"/>
          <w:szCs w:val="24"/>
          <w:rtl/>
          <w:lang w:val="ar-SA"/>
        </w:rPr>
        <w:t>.</w:t>
      </w:r>
    </w:p>
    <w:p w14:paraId="152E119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تبرز أهمية دراسة البيئة الرقمية كظاهرة متعددة الأبعاد، تجمع بين الجوانب التقنية والوظيفية والمعرفية، وتشكل أرضية خصبة لفهم التحولات التي يشهدها العصر الحديث، فمع الانتشار الواسع للمجال الرقمي، أصبح من الضروري التعمق في مفهوم البيئة الرقمية وتحديد خصائصها الجوهرية التي تميزها عن الأطر التقليدية، وذلك على النحو التالي</w:t>
      </w:r>
      <w:r>
        <w:rPr>
          <w:rStyle w:val="None"/>
          <w:rFonts w:ascii="Times New Roman" w:hAnsi="Times New Roman"/>
          <w:sz w:val="24"/>
          <w:szCs w:val="24"/>
          <w:rtl/>
          <w:lang w:val="ar-SA"/>
        </w:rPr>
        <w:t>:</w:t>
      </w:r>
    </w:p>
    <w:p w14:paraId="2366CCE4" w14:textId="77777777" w:rsidR="00454428" w:rsidRDefault="00C464EC">
      <w:pPr>
        <w:pStyle w:val="ListParagraph"/>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مفهوم البيئة الرقمية وأبرز خصائصها</w:t>
      </w:r>
      <w:r>
        <w:rPr>
          <w:rStyle w:val="None"/>
          <w:rFonts w:ascii="Times New Roman" w:hAnsi="Times New Roman"/>
          <w:sz w:val="24"/>
          <w:szCs w:val="24"/>
          <w:rtl/>
          <w:lang w:val="ar-SA"/>
        </w:rPr>
        <w:t>.</w:t>
      </w:r>
    </w:p>
    <w:p w14:paraId="39CF0F49" w14:textId="77777777" w:rsidR="00454428" w:rsidRDefault="00C464EC">
      <w:pPr>
        <w:pStyle w:val="ListParagraph"/>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أثر البيئة الرقمية على تطوُّر الملكية الفكرية</w:t>
      </w:r>
      <w:r>
        <w:rPr>
          <w:rStyle w:val="None"/>
          <w:rFonts w:ascii="Times New Roman" w:hAnsi="Times New Roman"/>
          <w:sz w:val="24"/>
          <w:szCs w:val="24"/>
          <w:rtl/>
          <w:lang w:val="ar-SA"/>
        </w:rPr>
        <w:t>.</w:t>
      </w:r>
    </w:p>
    <w:p w14:paraId="578A2FC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6B587B80"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3C86C7E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19AF99B3"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00A8250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4DA1051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354DEA4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0921625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60C64E1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32AEA1D2"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7082CA7B"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649EBEA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3244A2AD"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b/>
          <w:bCs/>
          <w:sz w:val="24"/>
          <w:szCs w:val="24"/>
        </w:rPr>
      </w:pPr>
    </w:p>
    <w:p w14:paraId="7B09E4AC" w14:textId="77777777" w:rsidR="00464D24" w:rsidRDefault="00464D24" w:rsidP="00C72BA8">
      <w:pPr>
        <w:pStyle w:val="a"/>
        <w:rPr>
          <w:rStyle w:val="None"/>
          <w:rFonts w:ascii="Arial Unicode MS" w:eastAsia="Arial Unicode MS" w:hAnsi="Arial Unicode MS"/>
        </w:rPr>
      </w:pPr>
    </w:p>
    <w:p w14:paraId="0E2186C4" w14:textId="12E8762A" w:rsidR="00454428" w:rsidRDefault="00C464EC" w:rsidP="00C72BA8">
      <w:pPr>
        <w:pStyle w:val="a"/>
        <w:rPr>
          <w:rStyle w:val="None"/>
          <w:rtl/>
          <w:lang w:val="ar-SA"/>
        </w:rPr>
      </w:pPr>
      <w:bookmarkStart w:id="172" w:name="_Toc227251104"/>
      <w:bookmarkStart w:id="173" w:name="_Toc232260661"/>
      <w:r>
        <w:rPr>
          <w:rStyle w:val="None"/>
          <w:rFonts w:ascii="Arial Unicode MS" w:eastAsia="Arial Unicode MS" w:hAnsi="Arial Unicode MS" w:hint="cs"/>
          <w:rtl/>
          <w:lang w:val="ar-SA"/>
        </w:rPr>
        <w:lastRenderedPageBreak/>
        <w:t>المطلب الأول</w:t>
      </w:r>
      <w:bookmarkEnd w:id="172"/>
      <w:bookmarkEnd w:id="173"/>
    </w:p>
    <w:p w14:paraId="373BBE5B" w14:textId="77777777" w:rsidR="00454428" w:rsidRDefault="00C464EC" w:rsidP="00C72BA8">
      <w:pPr>
        <w:pStyle w:val="a"/>
        <w:rPr>
          <w:rStyle w:val="None"/>
          <w:rtl/>
          <w:lang w:val="ar-SA"/>
        </w:rPr>
      </w:pPr>
      <w:bookmarkStart w:id="174" w:name="_Toc227251105"/>
      <w:bookmarkStart w:id="175" w:name="_Toc232260662"/>
      <w:r>
        <w:rPr>
          <w:rStyle w:val="None"/>
          <w:rFonts w:ascii="Arial Unicode MS" w:eastAsia="Arial Unicode MS" w:hAnsi="Arial Unicode MS" w:hint="cs"/>
          <w:rtl/>
          <w:lang w:val="ar-SA"/>
        </w:rPr>
        <w:t>مفهوم البيئة الرقمية وأبرز خصائصها</w:t>
      </w:r>
      <w:bookmarkEnd w:id="174"/>
      <w:bookmarkEnd w:id="175"/>
    </w:p>
    <w:p w14:paraId="0A0288E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 مفهوم البيئة الرقمية مركزيًا في عصرنا الحالي؛ لما تمثله من إطار شامل للتفاعلات التي تتم عبر الوسائط الإلكترونية والتقنيات الحديثة، فتعبر هذه البيئة عن الفضاء الذي تُنجز فيه الأنشطة الفكرية والمعلوماتية بشكل إلكتروني، سواء من خلال الإنترنت أو عبر الشبكات والأنظمة الرقمية المتنوعة، وقد أدى اتساع نطاق استخدام هذه البيئة إلى ظهور أنماط جديدة من التواصل والعمل والإنتاج المعرفي؛ ممَّا يستدعي الاهتمام بتحديد ملامحها، وتعريفها بدقة؛ لفهم خصائصها وتأثيراتها المتزايدة في مختلف جوانب الحياة</w:t>
      </w:r>
      <w:r>
        <w:rPr>
          <w:rStyle w:val="None"/>
          <w:rFonts w:ascii="Times New Roman" w:hAnsi="Times New Roman"/>
          <w:sz w:val="24"/>
          <w:szCs w:val="24"/>
          <w:rtl/>
          <w:lang w:val="ar-SA"/>
        </w:rPr>
        <w:t>.</w:t>
      </w:r>
    </w:p>
    <w:p w14:paraId="1E4A78E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البيئة الرقمية منظومةً متكاملةً تشمل البنية التحتية التكنولوجية، والمحتوى الرقمي، ووسائل الاتصال التفاعلي؛ ممَّا يتيح للمستخدمين إنتاج وتخزين وتبادل المعلومات والمعارف بشكل فوري وعبر حدود الزمان والمكان، ولا تقتصر أهمية هذه البيئة على الجانب التقني فحسب، بل تمتد لتشمل أبعادًا اجتماعيةً، واقتصاديةً، وثقافيةً؛ حيث ساهمت في إعادة تشكيل أنماط السلوك، والتفكير، وأساليب العمل، كما فرضت تحديات قانونية وتنظيمية تتطلب مراجعة الأطر التقليدية التي لم تَعُدْ قادرةً على مواكبة هذا التحول الرقمي الشامل</w:t>
      </w:r>
      <w:r>
        <w:rPr>
          <w:rStyle w:val="None"/>
          <w:rFonts w:ascii="Times New Roman" w:hAnsi="Times New Roman"/>
          <w:sz w:val="24"/>
          <w:szCs w:val="24"/>
          <w:rtl/>
          <w:lang w:val="ar-SA"/>
        </w:rPr>
        <w:t>.</w:t>
      </w:r>
    </w:p>
    <w:p w14:paraId="2A0C38B7"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commentRangeStart w:id="176"/>
      <w:r>
        <w:rPr>
          <w:rStyle w:val="None"/>
          <w:rFonts w:ascii="Arial Unicode MS" w:hAnsi="Arial Unicode MS" w:cs="Times New Roman" w:hint="cs"/>
          <w:b/>
          <w:bCs/>
          <w:sz w:val="28"/>
          <w:szCs w:val="28"/>
          <w:rtl/>
          <w:lang w:val="ar-SA"/>
        </w:rPr>
        <w:t>أولًا</w:t>
      </w:r>
      <w:commentRangeEnd w:id="176"/>
      <w:r w:rsidR="00D772C1">
        <w:rPr>
          <w:rStyle w:val="CommentReference"/>
          <w:rFonts w:ascii="Times New Roman" w:hAnsi="Times New Roman" w:cs="Times New Roman"/>
          <w:color w:val="auto"/>
          <w:rtl/>
          <w14:textOutline w14:w="0" w14:cap="rnd" w14:cmpd="sng" w14:algn="ctr">
            <w14:noFill/>
            <w14:prstDash w14:val="solid"/>
            <w14:bevel/>
          </w14:textOutline>
        </w:rPr>
        <w:commentReference w:id="176"/>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البيئة الرقمية</w:t>
      </w:r>
      <w:r>
        <w:rPr>
          <w:rStyle w:val="None"/>
          <w:rFonts w:ascii="Times New Roman" w:hAnsi="Times New Roman"/>
          <w:b/>
          <w:bCs/>
          <w:sz w:val="28"/>
          <w:szCs w:val="28"/>
          <w:rtl/>
          <w:lang w:val="ar-SA"/>
        </w:rPr>
        <w:t>:</w:t>
      </w:r>
    </w:p>
    <w:p w14:paraId="31E88A5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عرَّف جانب من الفقه البيئة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فيها إلى استخدام استراتيجيات وطرق معينة لاسترجاع المراجع والمصادر التي يبحث عنها، ومن هنا نلاحظ أنَّها بيئة الإنترنت فلا يحتاج الباحث سوى شبكة وحاسب للاتصال بها، إذًا يمكن أنْ نطلق على شبكة الإنترنت مسمى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29"/>
      </w:r>
      <w:r>
        <w:rPr>
          <w:rStyle w:val="None"/>
          <w:rFonts w:ascii="Times New Roman" w:hAnsi="Times New Roman"/>
          <w:sz w:val="24"/>
          <w:szCs w:val="24"/>
          <w:vertAlign w:val="superscript"/>
          <w:rtl/>
          <w:lang w:val="ar-SA"/>
        </w:rPr>
        <w:t>)</w:t>
      </w:r>
    </w:p>
    <w:p w14:paraId="410F03F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وضح جانب من الفقه أنَّ البيئة الرقمية يمكن اعتبارها مزيجًا من الأنشطة والخدمات، التي تكتسب طابعًا رقميًا؛ تبعًا للوسائل والإمكانات المتاحة، وتتفاعل فيها العديد من التقنيات التي تساهم في تغيير ملامح الخدمات المقدمة، وأنَّها ترتكز على شبكات المعلومات وعلى رأسها شبكة الإنترنت، وكذا مختلف مخرجات تكنولوجيا المعلومات من أدوات وتقنيات تجهيزية وبرمجية، والتي تظهر نتيجة للتطوُّرات الحاصلة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18F47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66BD0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عرَّف جانب من الفقه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إلى استخدام استراتيجيات وطرق معينة لاسترجاع المراجع والمصادر التي يبحث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6FEE3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تلك المعلومات والخدمات ممثلة في صفحات الويب، والبرمجيات، والنصوص، والصور، ومقاطع الفيديو، والتسجيلات الصوتية، سواء كانت متاحةً في شبكة محلية، أو في حاسوبٍ شخصيٍّ، أو على شبكة الويب، والتي يمكن الولوج إليها، وتصفحها، وإثرائها، وتخزينها، واستغلال تلك الخدمات عبر وسائل إلكترونية، ممثلةً في التجهيزات الحاسوبية، والأجهزة الذكية، والشبكات، والأقمار الصناعية؛ بهدف القيام بمهام أو نشاطات 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11D6D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 جانب من الفقه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6BFEC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ويمكننا تعريف البيئة الرقمية بأنَّها 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إطارًا متكاملًا يعتمد على تقنيات المعلومات والاتصال الحديثة، ويضم مجموعةً من الأنشطة، والخدمات، والمحتويات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والفهارس الآلية، وصفحات الويب، والبرمجيات، والوسائط المتعددة</w:t>
      </w:r>
      <w:r>
        <w:rPr>
          <w:rStyle w:val="None"/>
          <w:rFonts w:ascii="Times New Roman" w:hAnsi="Times New Roman"/>
          <w:sz w:val="24"/>
          <w:szCs w:val="24"/>
          <w:rtl/>
          <w:lang w:val="ar-SA"/>
        </w:rPr>
        <w:t>".</w:t>
      </w:r>
    </w:p>
    <w:p w14:paraId="2E19D7C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البيئة الرقمية من أبرز سمات العصر الحديث؛ حيث نشأت نتيجةً للتطوُّر الكبير في تقنيات المعلومات والاتصالات، وقد شكلت إطارًا جديدًا؛ لإنتاج وتخزين وتبادل المعلومات والمعرفة، من خلال وسائل إلكترونية متطوِّرة، كما ساهمت هذه البيئة في إحداث تغيير جذري في طرق التفاعل البشري، سواء على المستوى الفردي أو المؤسسي؛ إذْ أصبحت العمليات تُجرَى في فضاء افتراضي يعتمد على النظم الرقمية، بدلًا من الوسائل التقليدية؛ لذا يتطلب فهم البيئة الرقمية التعرُّف على مفهومها ومكوناتها؛ لما لها من أهمية في إدراك طبيعة التحولات التي أحدثها العصر الرقمي</w:t>
      </w:r>
      <w:r>
        <w:rPr>
          <w:rStyle w:val="None"/>
          <w:rFonts w:ascii="Times New Roman" w:hAnsi="Times New Roman"/>
          <w:sz w:val="24"/>
          <w:szCs w:val="24"/>
          <w:rtl/>
          <w:lang w:val="ar-SA"/>
        </w:rPr>
        <w:t>.</w:t>
      </w:r>
    </w:p>
    <w:p w14:paraId="3077018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أصبح التطوُّر والنمو الاقتصادي يرتكز بصورة أساسية على التطوُّر، والتقدم التقني والعلمي، والاستخدام المكثف لتكنولوجيا الاتصالات والمعلومات؛ ممَّا أدى إلى ظهور مفهوم جديد عُرف بالبيئة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حيث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 وشبكات المعلومات فائقة السرعة متمثلة في شبكة الإنترنت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832A0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الملكية الفكرية رقميًا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المعلومات، ومعارف، وعلاقات، وخبرات الشركة الخاصة،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مكونات نشاطها وحضورها الرقمي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كما هو الحال في قواعد بياناتها، وشبكات أعمالها، وسلاسل القيمة </w:t>
      </w:r>
      <w:r>
        <w:rPr>
          <w:rStyle w:val="None"/>
          <w:rFonts w:ascii="Arial Unicode MS" w:hAnsi="Arial Unicode MS" w:cs="Times New Roman" w:hint="cs"/>
          <w:sz w:val="24"/>
          <w:szCs w:val="24"/>
          <w:rtl/>
          <w:lang w:val="ar-SA"/>
        </w:rPr>
        <w:lastRenderedPageBreak/>
        <w:t>القائمة على المعلومات، وموقع الويب، وبرمجيات التطبيق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إلخ</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التي تساهم في قدرة الشركة الداخلية والخارجية، والتي يمكن تحويلها إلى رأس المالي الفكري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2F13EE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من هذا التعريف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يشتمل على المكوِّنات الرقمية الجديدة للملكية الفكرية، بما يوسع من مفهومها لتغطي آلياتٍ وعواملَ إنشاء الثروة في العصر الرقمي، ولعل في الحضور الرقمي للشركة ومكوِّنات الملكية الفكرية والتعامل بها على أساس الإنترنت ما يجعل هذا التعريف يشتمل على دلالة مضافة، تتمثل في أنَّ الملكية الفكرية تستخدم أو تعتمد على الإنترنت وشبكات الأعمال على الأقل في جانبيين أساسيين 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38"/>
      </w:r>
      <w:r>
        <w:rPr>
          <w:rStyle w:val="None"/>
          <w:rFonts w:ascii="Times New Roman" w:hAnsi="Times New Roman"/>
          <w:sz w:val="24"/>
          <w:szCs w:val="24"/>
          <w:vertAlign w:val="superscript"/>
          <w:rtl/>
          <w:lang w:val="ar-SA"/>
        </w:rPr>
        <w:t>)</w:t>
      </w:r>
    </w:p>
    <w:p w14:paraId="1C068892" w14:textId="77777777" w:rsidR="00454428" w:rsidRDefault="00C464EC">
      <w:pPr>
        <w:pStyle w:val="ListParagraph"/>
        <w:numPr>
          <w:ilvl w:val="0"/>
          <w:numId w:val="71"/>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 الإنترنت، وشبكات الأعمال، وقواعد، ومستودعات البيانات، وبرمجيات التطبيق، وغيرها ممَّا يمكن أنْ يدخل ضمن حق النشر الرقمي أو الإلكتروني </w:t>
      </w:r>
      <w:r>
        <w:rPr>
          <w:rStyle w:val="None"/>
          <w:rFonts w:ascii="Times New Roman" w:hAnsi="Times New Roman"/>
          <w:sz w:val="24"/>
          <w:szCs w:val="24"/>
          <w:rtl/>
          <w:lang w:val="ar-SA"/>
        </w:rPr>
        <w:t>(</w:t>
      </w:r>
      <w:r>
        <w:rPr>
          <w:rStyle w:val="None"/>
          <w:rFonts w:cs="Times New Roman"/>
          <w:sz w:val="24"/>
          <w:szCs w:val="24"/>
          <w:rtl/>
          <w:lang w:val="ar-SA"/>
        </w:rPr>
        <w:t>كما في كتاب الويب والبرمجيات وموقع الويب الخاص بالشركة</w:t>
      </w:r>
      <w:r>
        <w:rPr>
          <w:rStyle w:val="None"/>
          <w:rFonts w:ascii="Times New Roman" w:hAnsi="Times New Roman"/>
          <w:sz w:val="24"/>
          <w:szCs w:val="24"/>
          <w:rtl/>
          <w:lang w:val="ar-SA"/>
        </w:rPr>
        <w:t>)</w:t>
      </w:r>
      <w:r>
        <w:rPr>
          <w:rStyle w:val="None"/>
          <w:rFonts w:cs="Times New Roman"/>
          <w:sz w:val="24"/>
          <w:szCs w:val="24"/>
          <w:rtl/>
          <w:lang w:val="ar-SA"/>
        </w:rPr>
        <w:t>، تصبح هي موضوع الملكية الفكرية إلى جانب المكونات التقليدية للملكية الفكرية</w:t>
      </w:r>
      <w:r>
        <w:rPr>
          <w:rStyle w:val="None"/>
          <w:rFonts w:ascii="Times New Roman" w:hAnsi="Times New Roman"/>
          <w:sz w:val="24"/>
          <w:szCs w:val="24"/>
          <w:rtl/>
          <w:lang w:val="ar-SA"/>
        </w:rPr>
        <w:t xml:space="preserve">. </w:t>
      </w:r>
    </w:p>
    <w:p w14:paraId="41B2176A" w14:textId="77777777" w:rsidR="00454428" w:rsidRDefault="00C464EC">
      <w:pPr>
        <w:pStyle w:val="ListParagraph"/>
        <w:numPr>
          <w:ilvl w:val="0"/>
          <w:numId w:val="71"/>
        </w:numPr>
        <w:spacing w:before="120" w:after="120" w:line="360" w:lineRule="auto"/>
        <w:jc w:val="both"/>
        <w:rPr>
          <w:rFonts w:cs="Times New Roman" w:hint="default"/>
          <w:sz w:val="24"/>
          <w:szCs w:val="24"/>
          <w:rtl/>
          <w:lang w:val="ar-SA"/>
        </w:rPr>
      </w:pPr>
      <w:r>
        <w:rPr>
          <w:rStyle w:val="None"/>
          <w:rFonts w:cs="Times New Roman"/>
          <w:sz w:val="24"/>
          <w:szCs w:val="24"/>
          <w:rtl/>
          <w:lang w:val="ar-SA"/>
        </w:rPr>
        <w:t>أنَّ الإنترنت وشبكات الأعمال يمكن أنْ تكون مجالًا لتبادل، ونقل، وتقاسم المعلومات، وعقد الصفقات، والحصول على التراخيص المتعلقة بمكوِّنات الملكية الفكرية</w:t>
      </w:r>
      <w:r>
        <w:rPr>
          <w:rStyle w:val="None"/>
          <w:rFonts w:ascii="Times New Roman" w:hAnsi="Times New Roman"/>
          <w:sz w:val="24"/>
          <w:szCs w:val="24"/>
          <w:rtl/>
          <w:lang w:val="ar-SA"/>
        </w:rPr>
        <w:t>.</w:t>
      </w:r>
    </w:p>
    <w:p w14:paraId="6839173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وتتيح هذه البيئة للمستخدمين الوصول إلى المعلومات وتداولها من أي مكان وفي أي وقت، من خلال الأجهزة الإلكترونية والشبكات، وعلى رأسها شبكة الإنترنت؛ ممَّا يجعلها فضاءً مفتوحًا للإنتاج المعرفي والتواصل الرقمي؛ حيث يعيد تشكيل أنماط الاستفادة من المعلومات والخدمات في مختلف المجالات</w:t>
      </w:r>
      <w:r>
        <w:rPr>
          <w:rStyle w:val="None"/>
          <w:rFonts w:ascii="Times New Roman" w:hAnsi="Times New Roman"/>
          <w:sz w:val="24"/>
          <w:szCs w:val="24"/>
          <w:rtl/>
          <w:lang w:val="ar-SA"/>
        </w:rPr>
        <w:t xml:space="preserve">. </w:t>
      </w:r>
    </w:p>
    <w:p w14:paraId="713BC343"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تطوُّر البيئة الرقمية</w:t>
      </w:r>
      <w:r>
        <w:rPr>
          <w:rStyle w:val="None"/>
          <w:rFonts w:ascii="Times New Roman" w:hAnsi="Times New Roman"/>
          <w:b/>
          <w:bCs/>
          <w:sz w:val="28"/>
          <w:szCs w:val="28"/>
          <w:rtl/>
          <w:lang w:val="ar-SA"/>
        </w:rPr>
        <w:t>:</w:t>
      </w:r>
    </w:p>
    <w:p w14:paraId="1CBEC2F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البيئة الرقمية تطوُّرًا سريعًا في العقود الأخيرة؛ ممَّا أثر بشكل عميق على مجالات الحياة الإنسانية، خاصةً في مجالَيْ المعلومات والاتصالات، كما أدَّى التقدم التكنولوجي السريع، وظهور الإنترنت، وانتشار الأجهزة الذكية إلى خلق فضاء رقمي واسع، يشكل بيئةً جديدةً لتخزين، وتبادل المعلومات، وإنتاج المحتوى بأنواعه المختلفة، فلم يَعُدْ العالم يعتمد على الوسائط التقليدية فحسب، بل أصبح التفاعل والتواصل وتبادل المعرفة يتم عبر منصات رقمية متطوِّرة؛ ممَّا أوجد واقعًا جديدًا يحمل تحدياتٍ وفرصًا غير مسبوقة، وجعل من البيئة الرقمية محورًا أساسيًا في التحول نحو مجتمع المعرفة</w:t>
      </w:r>
      <w:r>
        <w:rPr>
          <w:rStyle w:val="None"/>
          <w:rFonts w:ascii="Times New Roman" w:hAnsi="Times New Roman"/>
          <w:sz w:val="24"/>
          <w:szCs w:val="24"/>
          <w:rtl/>
          <w:lang w:val="ar-SA"/>
        </w:rPr>
        <w:t>.</w:t>
      </w:r>
    </w:p>
    <w:p w14:paraId="5D4A980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قطاع تكنولوجيا المعلومات والاتصال مصدرًا مهمًّا لنمو اقتصاديات الدول، وعاملًا مؤثرًا على جميع القطاعات الأخرى، وهو إحدى الركائز الأساسية لاقتصاد المعرفة القائم على صناعة المعلومات، بدلًا من الإنتاجات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كالموارد الطبيعية واليد العاملة، فالتطوُّر الاقتصادي العالمي قد ارتكز على التطوُّر التقني والعلني أكثر من اعتماده على التطوُّر الكمي في الإنتاج، واستخدام تكنولوجيا المعلومات قد صاحبها تغير واضح في طرق ممارسة الأعمال، وفي أساليب تخطيط ومراقبة الإنتاج؛ حيث أعطت إمكانيات مهمة للدول المتقدمة للدخول في دورة اقتصادية جديدة، وتحقيق التراكم الرأسمالي، ورفع الكفاءة والمنافسة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B65E7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شهد العالم في السنوات القليلة الماضية عصرًا جديدًا من التقدم العلمي وما صاحبه من تطوُّر ونهضة غير مسبوقة في كافة المجالات الحياتية، وكان من أبرزها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التقدم الحاصل في مجال تقنية المعلومات والاتصالات، وما ترتب عليه من إحداث ثورة تنموية بشرية على جميع المستويات والأصعدة المحلية والعالمية، فمن خلالها استطاع الإنسان أنْ يرصد ويتابع كل ما يدور ويجري حوله في جميع أنحاء العالم بالصوت والصورة منذ اللحظة الأولى، وأصبحت عملية تبادل المعلومات والمعارف تتم بسهولة ويسر، كما أدى الانتشار السريع للمعلومات عبر وسائل الاتصال المختلفة إلى تدفق المعلومات، والأخبار، والمعارف، والأبحاث، والرسائل الثقافية بحُرية وسلاسة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53D27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فمع ظهور شبكة الإنترنت في العقود الأخيرة للقرن العشرين، واتساع نطاق ثورة النشر الإلكتروني برزت المصنفات الرقمية الإبداعية كأحد مفرزات التكنولوجيا الحديثة، فهي لا تختلف في المحتوى والتسمية عن المصنفات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كالكتاب، والقطعة الموسيقية، واللوحة الزيتية، لكن تختلف فقط في الحامل، فأصبح الحامل رقميًا، ويتم التعامل معها بشكل رقمي، وتشمل المصنفات الرقمية برامج الحاسب الآلي وقواعد البيانات، إضافةً إلى الملفات الرقمية من كتب، ودوريات، وموسوعات رقمية متاحة عبر الشبكة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BE6FD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 أنَّ الرقمنة ظاهرة حديثة طغت على كافة جوانب حياتنا، فقد أصبحت البيانات والمعلومات تتدفق بشكل هائل في عالمنا الرقمي المتقدم، من خلال تحويل المعلومات من صورة تناظرية إلى صورة رقمية، وتمتلك الرقمنة القدرة على تمكين الابتكار، وتحسين الكفاءة في مختلف المجالات؛ حيث يتجلَّى تأثير الرقمنة في التطوُّرات السريعة في مجالات 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الذكاء الاصطناعي، وتحليل البيانات، والواقع الافتراضي؛ ممَّا ينتج أبوابًا لا حصر لها من الفرص والتحديات، ومع انتشار الأجهزة الذكية وتوسع الإنترنت، أصبحت الرقمنة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ليست مجرد تطوُّر تقني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جزءًا لا يتجزأ من حياتنا اليومية، مؤثرة بذلك في كيفية تفاعلنا مع العالم وتبادلنا للمعلومات والخدمات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50C3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التطوُّرات المتسارعة التي شهدها العالم في السنوات الأخيرة، أدت إلى تحوُّلٍ جذريٍّ في مختلف اتجاهات الحياة؛ حيث أدى التقدم في تقنيات المعلومات والاتصالات إلى إنشاء ثورة رقمية، وقد ساهم الإنترنت في انتشار النشر الإلكتروني؛ ممَّا أدى إلى بروز المصنفات الرقمية بدلًا من المصنفات التقليدية، ولم تقتصر آثار البيئة الرقمية على المجال الثقافي فحسب، بل شملت كافة القطاعات عن طريق تقنيات الذكاء الاصطناعي وتحليل البيانات والواقع الافتراضي؛ لتصبح الرقمنة ظاهرةً معاصرةً تؤثر في طريقة معيشتنا وتفاعلنا مع المجتمع الدولي</w:t>
      </w:r>
      <w:r>
        <w:rPr>
          <w:rStyle w:val="None"/>
          <w:rFonts w:ascii="Times New Roman" w:hAnsi="Times New Roman"/>
          <w:sz w:val="24"/>
          <w:szCs w:val="24"/>
          <w:rtl/>
          <w:lang w:val="ar-SA"/>
        </w:rPr>
        <w:t>.</w:t>
      </w:r>
    </w:p>
    <w:p w14:paraId="224302B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ثورة المعلومات لعبت دورًا بارزًا ومهمًّا في تطوير وتنمية تكنولوجيا الاتصالات وتوصيل المعلومات وخاصة في مجال النشر الإلكتروني للمصنفات، وهو الأمر الذي أثر بشكل كبير وواضح على إمكان الوصول للمعلومات، وجمع المصنفات على مستوى القرية الكونية، وقد عزّز من هذه الفاعلية في الوصول للمعلومات والمصنفات ما تم ابتكاره من وسائل ووسائط حديثة توصف بالرقمية يتم بواسطتها، أو من خلالها نشر المصنفات الرقمية؛ </w:t>
      </w:r>
      <w:r>
        <w:rPr>
          <w:rStyle w:val="None"/>
          <w:rFonts w:ascii="Arial Unicode MS" w:hAnsi="Arial Unicode MS" w:cs="Times New Roman" w:hint="cs"/>
          <w:sz w:val="24"/>
          <w:szCs w:val="24"/>
          <w:rtl/>
          <w:lang w:val="ar-SA"/>
        </w:rPr>
        <w:lastRenderedPageBreak/>
        <w:t xml:space="preserve">لتصل هذه المصنفات إلى كافة أرجاء العالم، وقد ساهمت هذه الوسائط والدعامات الرقمية بأنواعها المتعددة في تطوُّر حركة النشر بشكل كبير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CBBA5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حقق الإنسان على مدى العصور تطوُّرًا هائلًا في مجال تقنية المعلومات والاتصالات خاصة في وجود شبكة الإنترنت التي ساهمت مساهمة فعَّالة في زيادة حجم المعلومات المتاحة وتعدد أشكالها، أي أنَّ شبكة الإنترنت ساهمت في التغلب على أغلب المشاكل والتحديات؛ بحيث تتيح للمستفيد الاطلاع والحصول على هذه الأوعية من خلال نهايات طرفية مرتبطة بقواعد المعلومات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B8544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وكأثر طبيعي للثورة التقنية الهائلة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تطوَّرت تقنيات نشر ونسخ المصنفات بفضل البيئة الرقمية الحديثة، التي مكنت من نشر المصنفات وبثها رقميًا، وجعلتها تصبح متداولةً على نطاق واسع يكاد يبلغ العالم أجمع وبثوانٍ معدودة، ومثل هذا التطوُّر للنشر جعل من الصعوبة بمكان للمؤلف وللناشر أنْ يتحكم ويراقب في جميع عمليات نسخ مصنفاته وتداولها،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ضياع عدم تقاضيه المقابل المالي لاستغلال مصنفه عن كل مرة يتم فيها نسخة؛ ممَّا يجعل قوانين حق المؤلف تقف عاجزةً عن التصدي لهذه المشاكل الاقتصادية، التي تواجه مالكي حقوق المؤلف، وعدم قدرتها على الحفاظ على حقوقهم في مصنفاتهم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85016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commentRangeStart w:id="177"/>
      <w:r w:rsidRPr="00016B14">
        <w:rPr>
          <w:rStyle w:val="None"/>
          <w:rFonts w:ascii="Arial Unicode MS" w:hAnsi="Arial Unicode MS" w:cs="Times New Roman" w:hint="cs"/>
          <w:sz w:val="24"/>
          <w:szCs w:val="24"/>
          <w:highlight w:val="yellow"/>
          <w:rtl/>
          <w:lang w:val="ar-SA"/>
        </w:rPr>
        <w:t>وقد</w:t>
      </w:r>
      <w:commentRangeEnd w:id="177"/>
      <w:r w:rsidR="00016B14">
        <w:rPr>
          <w:rStyle w:val="CommentReference"/>
          <w:rFonts w:ascii="Times New Roman" w:hAnsi="Times New Roman" w:cs="Times New Roman"/>
          <w:color w:val="auto"/>
          <w:rtl/>
          <w14:textOutline w14:w="0" w14:cap="rnd" w14:cmpd="sng" w14:algn="ctr">
            <w14:noFill/>
            <w14:prstDash w14:val="solid"/>
            <w14:bevel/>
          </w14:textOutline>
        </w:rPr>
        <w:commentReference w:id="177"/>
      </w:r>
      <w:r w:rsidRPr="00016B14">
        <w:rPr>
          <w:rStyle w:val="None"/>
          <w:rFonts w:ascii="Arial Unicode MS" w:hAnsi="Arial Unicode MS" w:cs="Times New Roman" w:hint="cs"/>
          <w:sz w:val="24"/>
          <w:szCs w:val="24"/>
          <w:highlight w:val="yellow"/>
          <w:rtl/>
          <w:lang w:val="ar-SA"/>
        </w:rPr>
        <w:t xml:space="preserve"> ساهمت ثورة المعلومات والاتصالات في إحداث تغير نوعي في مجال النشر الإلكتروني؛ حيث أصبح الوصول إلى المصنفات الرقمية، وتداولها أكثر سهولةً وانتشارًا على مستوى العالم، وذلك عن طريق الوسائط الرقمية الحديثة وشبكة الإنترنت، وقد أدى هذا التطوُّر إلى تسهيل الوصول إلى المعلومات، وتجاوز العديد من التحديات التقليدية، كما أنَّ البيئة الرقمية أظهرت تحدياتٍ جديدةً، منها</w:t>
      </w:r>
      <w:r w:rsidRPr="00016B14">
        <w:rPr>
          <w:rStyle w:val="None"/>
          <w:rFonts w:ascii="Times New Roman" w:hAnsi="Times New Roman"/>
          <w:sz w:val="24"/>
          <w:szCs w:val="24"/>
          <w:highlight w:val="yellow"/>
          <w:rtl/>
          <w:lang w:val="ar-SA"/>
        </w:rPr>
        <w:t xml:space="preserve">: </w:t>
      </w:r>
      <w:r w:rsidRPr="00016B14">
        <w:rPr>
          <w:rStyle w:val="None"/>
          <w:rFonts w:ascii="Arial Unicode MS" w:hAnsi="Arial Unicode MS" w:cs="Times New Roman" w:hint="cs"/>
          <w:sz w:val="24"/>
          <w:szCs w:val="24"/>
          <w:highlight w:val="yellow"/>
          <w:rtl/>
          <w:lang w:val="ar-SA"/>
        </w:rPr>
        <w:t>صعوبة السيطرة على نسخ المصنفات وتداولها دون إذن أصحاب الحقوق؛ ممَّا أدى إلى تهديد الحقوق المالية للمؤلفين، وعجز القوانين التقليدية عن توفير الحماية الكافية للمصنفات الرقمية</w:t>
      </w:r>
      <w:r w:rsidRPr="00016B14">
        <w:rPr>
          <w:rStyle w:val="None"/>
          <w:rFonts w:ascii="Times New Roman" w:hAnsi="Times New Roman"/>
          <w:sz w:val="24"/>
          <w:szCs w:val="24"/>
          <w:highlight w:val="yellow"/>
          <w:rtl/>
          <w:lang w:val="ar-SA"/>
        </w:rPr>
        <w:t>.</w:t>
      </w:r>
    </w:p>
    <w:p w14:paraId="4892AFD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وكنتيجة حتمية لظهور تقنيات رقمية حديثة ومعقدة لنشر المصنفات، فقد تعددت خيارات المؤلف في وسائل وأساليب ممارسته لحقه في إتاحة مصنفه للجمهور لأول مرة، فمن وسائل النشر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كالدعامات الورقية أصبح بإمكان المؤلف إتاحة مصنفه للجمهور عبر دعامات ووسائط رقمية باستخدام أجهزة الحاسب الآلي، أو عبر شبكات الإنترنت، أو شبكات الاتصالات، أو شبكات المعلومات، وغيرها من وسائل النشر الرقمي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6FCD0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من خلال تطوُّر البيئة الرقمية فقد سمحت للأفراد بإنتاج مصنفات بصرية وصوتية ونصية بشكل رقمي تأخذ صيغةً أدبيةً وفنيةً، إلا أنَّ هذا الأمر تسبب بانتشار ظاهرة نسخ هذه المصنفات على دعامات إلكترونية وبيعها بدون ترخيص صاحبها</w:t>
      </w:r>
      <w:r>
        <w:rPr>
          <w:rStyle w:val="None"/>
          <w:rFonts w:ascii="Times New Roman" w:hAnsi="Times New Roman"/>
          <w:sz w:val="24"/>
          <w:szCs w:val="24"/>
          <w:rtl/>
          <w:lang w:val="ar-SA"/>
        </w:rPr>
        <w:t>.</w:t>
      </w:r>
    </w:p>
    <w:p w14:paraId="62185E4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وفي ضوء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تطوُّر البيئة الرقمية لم يكن مجرد تطوُّر تقني محدود، بل كان تحوُّلًا شاملًا أعاد تشكيل المشهد المعرفي، والثقافي، والاقتصادي في العالم المعاصر، وقد أدى هذا التطوُّر إلى تسهيل غير مسبق في إنتاج، وتبادل المصنفات الرقمية، وساهم في تعميم المعرفة وتوسيع نطاق الوصول إلى المعلومات على مستوى عالمي</w:t>
      </w:r>
      <w:r>
        <w:rPr>
          <w:rStyle w:val="None"/>
          <w:rFonts w:ascii="Times New Roman" w:hAnsi="Times New Roman"/>
          <w:sz w:val="24"/>
          <w:szCs w:val="24"/>
          <w:rtl/>
          <w:lang w:val="ar-SA"/>
        </w:rPr>
        <w:t>.</w:t>
      </w:r>
    </w:p>
    <w:p w14:paraId="5BE69FF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وبالرغم من الفرص التي يقدمها هذا التحول الرقمي، فإنَّه قد أوجد تحدياتٍ قانونيةً، واقتصاديةً مُعقدةً، خاصةً في مجال حماية حقوق المؤلف؛ حيث أصبحت المصنفات الرقمية عُرضةً للنسخ غير المشروع والتداول العشوائي؛ ممَّا أضعف قدرة القوانين التقليدية على حماية الحقوق الفكرية؛ لذلك تتطلب البيئة الرقمية إطارًا قانونيًا وتقنيًا متجددًا يوازن بين حرية الوصول إلى المعلومات وحماية حقوق أصحاب المصنفات، بما يحقق العدالة، ويحفز الإبداع في ظل الثورة الرقمية المتواصلة</w:t>
      </w:r>
      <w:r>
        <w:rPr>
          <w:rStyle w:val="None"/>
          <w:rFonts w:ascii="Times New Roman" w:hAnsi="Times New Roman"/>
          <w:sz w:val="24"/>
          <w:szCs w:val="24"/>
          <w:rtl/>
          <w:lang w:val="ar-SA"/>
        </w:rPr>
        <w:t>.</w:t>
      </w:r>
    </w:p>
    <w:p w14:paraId="39949BF4" w14:textId="77777777" w:rsidR="00454428" w:rsidRDefault="00C464EC">
      <w:pPr>
        <w:pStyle w:val="ListParagraph"/>
        <w:numPr>
          <w:ilvl w:val="0"/>
          <w:numId w:val="7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الذكاء الاصطناعي والملكية الفكرية</w:t>
      </w:r>
    </w:p>
    <w:p w14:paraId="152FC0D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هي نتيجة ما يبدعه الإنسان من اختراعات وابتكارات وآلات صناعية وأغاني وكتب وينطبق مصطلح الملكية الفكرية على أي ابتكار إنساني وعليه فقد أثرت تطبيقات الذكاء الاصطناعي على حقوق الملكية الفكرية، وفي الآونة الحديثة تعتبر الملكية الفكرية هي حجز الزاوية لحضارة الدول الذي يدعم نهضة الإنسان في شتى المجالات، فقد أثرت تطبيقات الذكاء الاصطناعي على نظام الملكية الفكرية إذ أن التقنية الحديثة قد أقرت لنا أنواع جديدة من الابداع الفكري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7"/>
      </w:r>
      <w:r>
        <w:rPr>
          <w:rStyle w:val="None"/>
          <w:rFonts w:ascii="Times New Roman" w:hAnsi="Times New Roman"/>
          <w:sz w:val="24"/>
          <w:szCs w:val="24"/>
          <w:vertAlign w:val="superscript"/>
          <w:rtl/>
          <w:lang w:val="ar-SA"/>
        </w:rPr>
        <w:t>)</w:t>
      </w:r>
    </w:p>
    <w:p w14:paraId="640528A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من أبرز قواعد الملكية الفكرية التي تؤثر مباشرة في تحقيق التنمية في مجال الذكاء الاصطناعي هي براءات الاختراع، المتعلقة بأي فكرة إبداعية يتوصل إليها المخترعون في هذا المجال التقني، وتتعلق بمنتج أو آلة، أو طريقة صنع تؤدي عمليًا إلى حل مشكلة ميعنة في أي من المجالات، إذ تعد أهم وسائل حماية الاختراعات وأكثرها انتشارًا؛ لأنها تساهم في تشجيع الابتكار وتجديد وتطوير التكنولوجيا، فضلًا عن أن نشرها يسهم في زيادة المعارف المتعلقة بالابتكار والقدرة على توليد أفكار جديدة تسهم في ابتكارات مستقبلية ويساعد في عملية نقل التكنولوجيا المستخدمة في المشروعات الصناعية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8"/>
      </w:r>
      <w:r>
        <w:rPr>
          <w:rStyle w:val="None"/>
          <w:rFonts w:ascii="Times New Roman" w:hAnsi="Times New Roman"/>
          <w:sz w:val="24"/>
          <w:szCs w:val="24"/>
          <w:vertAlign w:val="superscript"/>
          <w:rtl/>
          <w:lang w:val="ar-SA"/>
        </w:rPr>
        <w:t>)</w:t>
      </w:r>
    </w:p>
    <w:p w14:paraId="34F686B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 xml:space="preserve">من نظام براءات الاختراع والتصميمات التخطيطية للدارات المتكاملة والأصناف النباتية والنماذج الصناعية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الاختراع قابلًا للحصول على البراءة طبقًا لأحكام هذا النظام متى كان جديدًا، ومنطويًا على خطوة ابتكارية، وقابلًا للتطبيق الصناعي، ويمكن أن يكون الاختراع منتجًا، أو عملية صناعية، أو متعلقًا بأي منهما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9"/>
      </w:r>
      <w:r>
        <w:rPr>
          <w:rStyle w:val="None"/>
          <w:rFonts w:ascii="Times New Roman" w:hAnsi="Times New Roman"/>
          <w:sz w:val="24"/>
          <w:szCs w:val="24"/>
          <w:vertAlign w:val="superscript"/>
          <w:rtl/>
          <w:lang w:val="ar-SA"/>
        </w:rPr>
        <w:t>)</w:t>
      </w:r>
    </w:p>
    <w:p w14:paraId="709BA6D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يعد تحديد الجهة التي تنسب إليها المصنفات الناتجة عن الذكاء الاصطناعي من أبرز الإشكاليات القانونية في هذا المجال، إذ لا يمكن تطبيق القواعد التقليدية للملكية الفكرية دون تكييف؛ لأن النظام الذكي لا يتمتع بالشخصية القانونية ولا بالإرادة المستقلة بمفهومها القانوني، ويعتبر هذا تحديًا مزدوجًا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0"/>
      </w:r>
      <w:r>
        <w:rPr>
          <w:rStyle w:val="None"/>
          <w:rFonts w:ascii="Times New Roman" w:hAnsi="Times New Roman"/>
          <w:sz w:val="24"/>
          <w:szCs w:val="24"/>
          <w:vertAlign w:val="superscript"/>
          <w:rtl/>
          <w:lang w:val="ar-SA"/>
        </w:rPr>
        <w:t>)</w:t>
      </w:r>
    </w:p>
    <w:p w14:paraId="1E5DAB48" w14:textId="77777777" w:rsidR="00454428" w:rsidRDefault="00C464EC">
      <w:pPr>
        <w:pStyle w:val="ListParagraph"/>
        <w:numPr>
          <w:ilvl w:val="0"/>
          <w:numId w:val="74"/>
        </w:numPr>
        <w:spacing w:before="120" w:after="120" w:line="360" w:lineRule="auto"/>
        <w:jc w:val="both"/>
        <w:rPr>
          <w:rFonts w:cs="Times New Roman" w:hint="default"/>
          <w:sz w:val="24"/>
          <w:szCs w:val="24"/>
          <w:rtl/>
          <w:lang w:val="ar-SA"/>
        </w:rPr>
      </w:pPr>
      <w:r>
        <w:rPr>
          <w:rStyle w:val="None"/>
          <w:rFonts w:cs="Times New Roman"/>
          <w:sz w:val="24"/>
          <w:szCs w:val="24"/>
          <w:rtl/>
          <w:lang w:val="ar-SA"/>
        </w:rPr>
        <w:t>من ناحية تشريعية</w:t>
      </w:r>
      <w:r>
        <w:rPr>
          <w:rStyle w:val="None"/>
          <w:rFonts w:ascii="Times New Roman" w:hAnsi="Times New Roman"/>
          <w:sz w:val="24"/>
          <w:szCs w:val="24"/>
          <w:rtl/>
          <w:lang w:val="ar-SA"/>
        </w:rPr>
        <w:t xml:space="preserve">: </w:t>
      </w:r>
      <w:r>
        <w:rPr>
          <w:rStyle w:val="None"/>
          <w:rFonts w:cs="Times New Roman"/>
          <w:sz w:val="24"/>
          <w:szCs w:val="24"/>
          <w:rtl/>
          <w:lang w:val="ar-SA"/>
        </w:rPr>
        <w:t>تحتاج القوانين إلى نصوص تنظم مصنفات الذكاء الاصطناعي وتحدد بشكل دقيق من يستحق الحقوق المالية والمعنوية</w:t>
      </w:r>
      <w:r>
        <w:rPr>
          <w:rStyle w:val="None"/>
          <w:rFonts w:ascii="Times New Roman" w:hAnsi="Times New Roman"/>
          <w:sz w:val="24"/>
          <w:szCs w:val="24"/>
          <w:rtl/>
          <w:lang w:val="ar-SA"/>
        </w:rPr>
        <w:t>.</w:t>
      </w:r>
    </w:p>
    <w:p w14:paraId="0A809CC9" w14:textId="77777777" w:rsidR="00454428" w:rsidRDefault="00C464EC">
      <w:pPr>
        <w:pStyle w:val="ListParagraph"/>
        <w:numPr>
          <w:ilvl w:val="0"/>
          <w:numId w:val="7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ومن ناحية فقهية</w:t>
      </w:r>
      <w:r>
        <w:rPr>
          <w:rStyle w:val="None"/>
          <w:rFonts w:ascii="Times New Roman" w:hAnsi="Times New Roman"/>
          <w:sz w:val="24"/>
          <w:szCs w:val="24"/>
          <w:rtl/>
          <w:lang w:val="ar-SA"/>
        </w:rPr>
        <w:t xml:space="preserve">: </w:t>
      </w:r>
      <w:r>
        <w:rPr>
          <w:rStyle w:val="None"/>
          <w:rFonts w:cs="Times New Roman"/>
          <w:sz w:val="24"/>
          <w:szCs w:val="24"/>
          <w:rtl/>
          <w:lang w:val="ar-SA"/>
        </w:rPr>
        <w:t>يجب تطوير نظريات قانونية جديدة تعترف بالدور المركزي للذكاء الاصطناعي في عملية الابداع دون أن تصطدم بالمبادئ الأساسية للقانون المدني</w:t>
      </w:r>
      <w:r>
        <w:rPr>
          <w:rStyle w:val="None"/>
          <w:rFonts w:ascii="Times New Roman" w:hAnsi="Times New Roman"/>
          <w:sz w:val="24"/>
          <w:szCs w:val="24"/>
          <w:rtl/>
          <w:lang w:val="ar-SA"/>
        </w:rPr>
        <w:t>.</w:t>
      </w:r>
    </w:p>
    <w:p w14:paraId="030B844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فإذا توافرت هذه الشروط في الاختراع يجوز للمخترع أن يتقدم إلى مكتب براءات الاختراع بطلب للحصول على البراءة ويقوم المكتب بدوره في فحص الاختراع والتأكد من استيفاء جميع الشروط، كما يلتزم المخترع بالإفصاح عن كافة المعلومات المتعلقة بالاختراع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1"/>
      </w:r>
      <w:r>
        <w:rPr>
          <w:rStyle w:val="None"/>
          <w:rFonts w:ascii="Times New Roman" w:hAnsi="Times New Roman"/>
          <w:sz w:val="24"/>
          <w:szCs w:val="24"/>
          <w:vertAlign w:val="superscript"/>
          <w:rtl/>
          <w:lang w:val="ar-SA"/>
        </w:rPr>
        <w:t>)</w:t>
      </w:r>
    </w:p>
    <w:p w14:paraId="6BDDF5D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على الرغم من الإنجازات التي تحققها أنظمة الذكاء الاصطناعي إلا أنها تفتقر إلى البصمة الشخصية، إذ يتم تنفيذ هذه الأنظمة بالكامل من خلال الوسائل الإلكترونية، وتعتمد بشكل أساسي على البيانات والمعلومات التي يوفرها العنصر البشري؛ وبالتالي لا يمكن لأجهزة الذكاء الاصطناعي أن تتمتع بالقدرة على الابداع بشكل مستقل وقياسًا على ذلك لا ينطبق مفهوم الابداع والاصالة على ما تنتجه أنظمة الذكاء الاصطناعي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2"/>
      </w:r>
      <w:r>
        <w:rPr>
          <w:rStyle w:val="None"/>
          <w:rFonts w:ascii="Times New Roman" w:hAnsi="Times New Roman"/>
          <w:sz w:val="24"/>
          <w:szCs w:val="24"/>
          <w:vertAlign w:val="superscript"/>
          <w:rtl/>
          <w:lang w:val="ar-SA"/>
        </w:rPr>
        <w:t>)</w:t>
      </w:r>
    </w:p>
    <w:p w14:paraId="3D2D7B2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إن استخدام الذكاء الاصطناعي يضع إشكاليات قانونية في مجال حماية براءة الاختراع، فالتشريعات التقليدية تشترط أن يكون المخترع شخص طبيعي، فهنا يتضح الإشكالية القانونية هل يتم منع براءة الاختراع لأنظمة الذكاء الاصطناعي؟ على الرغم أنه ليس شخص طبيعي، فيمكن القول أن أنظمة الذكاء الاصطناعي في الأصل هي من اختراع البشر أساسًا، فأي تطبيق ينشأ من خلال أنظمة الذكاء الاصطناعي يكون في الأصل هي من صنع الإنسان، في هذه الحالة لا يمكن أن يتم منح تطبيقات الذكاء الاصطناعي براءة الاختراع</w:t>
      </w:r>
      <w:r>
        <w:rPr>
          <w:rStyle w:val="None"/>
          <w:rFonts w:ascii="Times New Roman" w:hAnsi="Times New Roman"/>
          <w:sz w:val="24"/>
          <w:szCs w:val="24"/>
          <w:rtl/>
          <w:lang w:val="ar-SA"/>
        </w:rPr>
        <w:t>.</w:t>
      </w:r>
    </w:p>
    <w:p w14:paraId="14DB22A0"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البيئة الرقمية</w:t>
      </w:r>
      <w:r>
        <w:rPr>
          <w:rStyle w:val="None"/>
          <w:rFonts w:ascii="Times New Roman" w:hAnsi="Times New Roman"/>
          <w:b/>
          <w:bCs/>
          <w:sz w:val="28"/>
          <w:szCs w:val="28"/>
          <w:rtl/>
          <w:lang w:val="ar-SA"/>
        </w:rPr>
        <w:t>:</w:t>
      </w:r>
    </w:p>
    <w:p w14:paraId="35CC0D3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التوجه السريع نحو الرقمنة، أصبحت البيئة الرقمية عنصرًا أساسيًا يؤثر في جميع جوانب الحياة الحديثة، بدءًا من التعليم والتواصل وصولًا إلى الاقتصاد والإدارة، وقد نتج عن هذا التحوُّل بيئةً مختلفةً عن البيئات التقليدية؛ حيث تتميز بمجموعة من الخصائص، التي ساهمت في إعادة تشكيل طرق إنتاج المعلومات وتبادلها، وحددت آليات التفاعل بين الأفراد في العصر الرقمي</w:t>
      </w:r>
      <w:r>
        <w:rPr>
          <w:rStyle w:val="None"/>
          <w:rFonts w:ascii="Times New Roman" w:hAnsi="Times New Roman"/>
          <w:sz w:val="24"/>
          <w:szCs w:val="24"/>
          <w:rtl/>
          <w:lang w:val="ar-SA"/>
        </w:rPr>
        <w:t>.</w:t>
      </w:r>
    </w:p>
    <w:p w14:paraId="3C6330D1" w14:textId="77777777" w:rsidR="00454428" w:rsidRDefault="00C464EC">
      <w:pPr>
        <w:pStyle w:val="ListParagraph"/>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الوجود الافتراضي</w:t>
      </w:r>
      <w:r>
        <w:rPr>
          <w:rStyle w:val="None"/>
          <w:rFonts w:ascii="Times New Roman" w:hAnsi="Times New Roman"/>
          <w:b/>
          <w:bCs/>
          <w:sz w:val="24"/>
          <w:szCs w:val="24"/>
          <w:rtl/>
          <w:lang w:val="ar-SA"/>
        </w:rPr>
        <w:t xml:space="preserve">: </w:t>
      </w:r>
    </w:p>
    <w:p w14:paraId="4454921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commentRangeStart w:id="178"/>
      <w:r w:rsidRPr="001F2D43">
        <w:rPr>
          <w:rStyle w:val="None"/>
          <w:rFonts w:ascii="Arial Unicode MS" w:hAnsi="Arial Unicode MS" w:cs="Times New Roman" w:hint="cs"/>
          <w:sz w:val="24"/>
          <w:szCs w:val="24"/>
          <w:highlight w:val="yellow"/>
          <w:rtl/>
          <w:lang w:val="ar-SA"/>
        </w:rPr>
        <w:lastRenderedPageBreak/>
        <w:t>من</w:t>
      </w:r>
      <w:commentRangeEnd w:id="178"/>
      <w:r w:rsidR="001F2D43">
        <w:rPr>
          <w:rStyle w:val="CommentReference"/>
          <w:rFonts w:ascii="Times New Roman" w:hAnsi="Times New Roman" w:cs="Times New Roman"/>
          <w:color w:val="auto"/>
          <w:rtl/>
          <w14:textOutline w14:w="0" w14:cap="rnd" w14:cmpd="sng" w14:algn="ctr">
            <w14:noFill/>
            <w14:prstDash w14:val="solid"/>
            <w14:bevel/>
          </w14:textOutline>
        </w:rPr>
        <w:commentReference w:id="178"/>
      </w:r>
      <w:r w:rsidRPr="001F2D43">
        <w:rPr>
          <w:rStyle w:val="None"/>
          <w:rFonts w:ascii="Arial Unicode MS" w:hAnsi="Arial Unicode MS" w:cs="Times New Roman" w:hint="cs"/>
          <w:sz w:val="24"/>
          <w:szCs w:val="24"/>
          <w:highlight w:val="yellow"/>
          <w:rtl/>
          <w:lang w:val="ar-SA"/>
        </w:rPr>
        <w:t xml:space="preserve"> أهم ميزات البيئة الرقمية قدرتها على تخطي الحدود المادية، وخلق فضاء بديل يُعرف بالوجود الافتراضي؛ حيث يمكن للأفراد والمؤسسات التفاعل والعمل والتعبير عن أنفسهم ضمن عوالم رقمية ليست مرتبطةً بمكان أو زمان محدد، ويعتبر هذا الوجود الافتراضي سمةً أساسيةً للبيئة الرقمية؛ لما يتيحه من فرص واسعة لتشكيل هُوِيَّات رقمية، وبناء علاقات، وممارسة أنشطة متنوعة في بيئة رقمية تختلف عن الواقع الملموس</w:t>
      </w:r>
      <w:r w:rsidRPr="001F2D43">
        <w:rPr>
          <w:rStyle w:val="None"/>
          <w:rFonts w:ascii="Times New Roman" w:hAnsi="Times New Roman"/>
          <w:sz w:val="24"/>
          <w:szCs w:val="24"/>
          <w:highlight w:val="yellow"/>
          <w:rtl/>
          <w:lang w:val="ar-SA"/>
        </w:rPr>
        <w:t>.</w:t>
      </w:r>
    </w:p>
    <w:p w14:paraId="7B75B08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عمل المواقع الإلكترونية على مدار اليوم والساعة يُجنب الأفراد عناء ووقت التنقل لشراء مصنف أو معاينة مصنف معين؛ إذْ يتم له ذلك بمجرد دخوله على المواقع الخاصة بتداول المصنفات الرقمية، أو عن طريق البريد الإلكتروني، أو المكتبات الرقمية التي تُمكن من الاطلاع على العديد من المؤلفات، أو غيرها من أدوات تداول المصنفات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331D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أهم تأثيرات المنشورات الإلكترونية التي تتم من خلال البيئة الرقمية، هو زيادة وتحسين الوصول إلى المعلومات واسترجاعها، وحتى يمكننا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هذه المنشورات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سوف تقلل من الحاجة إلى استخدام المكتبة، أو الاستفادة من المهارات المكتبية؛ لأنَّ القارئ سوف يتمكن من الوصول إلى المعلومات وهو جالس في بيته أو مكتبه أو مختبره عن طريق منفذه الخاص للحاسوب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9CFC4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قد وفرت للأفراد إمكانياتٍ واسعةً للوصول إلى المصنفات الفكرية وتداولها دون الحاجة إلى التنقل أو زيارة أماكن محددة، فيمكن تصفح المؤلفات وشراؤها أو الاطلاع عليها بسهولة عبر المواقع الإلكترونية، أو البريد الإلكتروني أو المكتبات الرقمية المتاحة على مدار الساعة، فقد ساهم هذا التحول في تحسين سرعة الوصول إلى المعلومات واسترجاعها؛ ممَّا جعل المنشورات الإلكترونية بديلًا فعَّالًا للوسائل التقليدية، وعلى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أنْ يؤدي هذا الاتجاه إلى تقليص الاعتماد على المكتبات التقليدية والمهارات المكتبية؛ نظرًا لتوفر المعلومات للقارئ في أي وقت ومن أي مكان عبر جهازه الشخصي</w:t>
      </w:r>
      <w:r>
        <w:rPr>
          <w:rStyle w:val="None"/>
          <w:rFonts w:ascii="Times New Roman" w:hAnsi="Times New Roman"/>
          <w:sz w:val="24"/>
          <w:szCs w:val="24"/>
          <w:rtl/>
          <w:lang w:val="ar-SA"/>
        </w:rPr>
        <w:t>.</w:t>
      </w:r>
    </w:p>
    <w:p w14:paraId="5786CF3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يحتاج المستخدم إلى أنْ يبحث عن كتاب معين في المكتبات ولا يحتاج إلى مراسلة الناشر كي يحصل على المؤلف، ويتم كل ذلك في دقائق عبر الإنترنت، عن طريق زيارة موقع موزع الكتب الإلكترونية، أو عن طريق زيارة موقع باحث معين على الإنترنت؛ حيث يمكن أنْ يتم العرض والتحميل عبر الشبكات الحاسوبية؛ ممَّا يتيح نقلها ووصولها إلى القارئ بسرعة،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متابعة مستجدات العلم والمعرفة في مجال الزمن الحقيقي تقريبًا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9C7426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أدى النشر الإلكتروني إلى إزالة الحواجز المكانية، فقد أصبح العالم مساحةً رقميةً موحدةً تتجاوز الجغرافيا التقليدية؛ حيث أصبح جهاز الحاسوب هو الحيز الجديد الذي يتحرك فيه المستخدم، ففي هذا الفضاء الرقمي لم تَعُدْ المفاهيم المرتبطة بالمكان المادي،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التجاوز والتباعد قائمة، بل تم استبدالها بالعنوان الرقمي الذي أصبح هُوِيَّة للمكان الجديد، وهكذا غابت الهُوِيَّة الجغرافية المألوفة لصالح هُوِيَّة رقمية تتكوَّن من أحرف وأرقام تشكل مدخلًا لهذا الحيز؛ ممَّا أدى إلى تقليص المسافة الفاصلة بين المستخدمين، وتحويلها إلى نوع من القرب أو البُعد النفسي بحسب طبيعة التفاعل الرقمي</w:t>
      </w:r>
      <w:r>
        <w:rPr>
          <w:rStyle w:val="None"/>
          <w:rFonts w:ascii="Times New Roman" w:hAnsi="Times New Roman"/>
          <w:sz w:val="24"/>
          <w:szCs w:val="24"/>
          <w:rtl/>
          <w:lang w:val="ar-SA"/>
        </w:rPr>
        <w:t>.</w:t>
      </w:r>
    </w:p>
    <w:p w14:paraId="1C4B145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ففي هذا الفضاء الجديد لا يلغي المكان تمامًا، بل يعيد تشكيله بطريقة مختلفة؛ حيث يصبح المكان الافتراضي مزيجًا من المحتوى والعلاقات الرقمية التي ينسجها الفرد مع البيئة الإلكترونية، فتم إلغاء الأبعاد الزمنية والمكانية التقليدية، فيختزل الزمن في اللحظة الرقمية، ويتراكم المكان في طبقات من البيانات والمعرفة المعروضة على الشاشة، وإذا اعتبر هذا الفضاء حيزًا جديدًا، فإنَّ له مفاهيمه الخاصة التي لا تنتمي إلى المكان الواقعي، بل إلى طبيعة التفاعل والتمثيل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7589D9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النشر الإلكتروني قد ساهم في تسهيل الوصول إلى المصنفات الفكرية، فلم يَعُدْ القارئ مضطرًا لزيارة المكتبات أو التواصل مع الناشرين، بل يمكنه الحصول على المؤلفات خلال دقائق عبر الإنترنت، فقد ساعد ذلك في تسريع تداول المعرفة ومواكبة المستجدات العلمية بشكل لحظي، كما ألغت البيئة الرقمية الحواجز المكانية؛ حيث أصبح التفاعل يتم داخل فضاء رقمي جديد تحكمه العناوين الإلكترونية، بدلًا من الجغرافيا التقليدية؛ ممَّا أعاد تشكيل مفهوم المكان والزمن ضمن إطار افتراضي يتيح تراكم المحتوى وتداوله بسهولة ومرونة</w:t>
      </w:r>
      <w:r>
        <w:rPr>
          <w:rStyle w:val="None"/>
          <w:rFonts w:ascii="Times New Roman" w:hAnsi="Times New Roman"/>
          <w:sz w:val="24"/>
          <w:szCs w:val="24"/>
          <w:rtl/>
          <w:lang w:val="ar-SA"/>
        </w:rPr>
        <w:t>.</w:t>
      </w:r>
    </w:p>
    <w:p w14:paraId="6DA3262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فالبيئة الإلكترونية هي المجال الذي يتم من خلاله نشر الإنتاج الفكري، وكذلك تداول هذا الإنتاج، وتلك البيئة بدورها مشمولة بالحماية القانونية مثلها مثل البيئة الحقيقية، فهي ميدان للمعاملات المالية، التي يجب أنْ تتم وفقًا للقانون، أي أنَّ اختلاف البيئة الافتراضية لا يمنع من بسط سلطان القانون على أية معاملات تتم خلال تلك البيئة</w:t>
      </w:r>
      <w:r>
        <w:rPr>
          <w:rStyle w:val="None"/>
          <w:rFonts w:ascii="Times New Roman" w:hAnsi="Times New Roman"/>
          <w:sz w:val="24"/>
          <w:szCs w:val="24"/>
          <w:rtl/>
          <w:lang w:val="ar-SA"/>
        </w:rPr>
        <w:t xml:space="preserve">. </w:t>
      </w:r>
    </w:p>
    <w:p w14:paraId="26FAFCF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ولا يفرق النظام السعودي بين تداول المنتجات الفكرية في البيئة الرقمية عنه في البيئة الحقيقية، وهذا ما يتضح من نص المادة </w:t>
      </w:r>
      <w:r>
        <w:rPr>
          <w:rStyle w:val="None"/>
          <w:rFonts w:ascii="Times New Roman" w:hAnsi="Times New Roman"/>
          <w:sz w:val="24"/>
          <w:szCs w:val="24"/>
          <w:rtl/>
          <w:lang w:val="ar-SA"/>
        </w:rPr>
        <w:t xml:space="preserve">(9/ 3) </w:t>
      </w:r>
      <w:r>
        <w:rPr>
          <w:rStyle w:val="None"/>
          <w:rFonts w:ascii="Arial Unicode MS" w:hAnsi="Arial Unicode MS" w:cs="Times New Roman" w:hint="cs"/>
          <w:sz w:val="24"/>
          <w:szCs w:val="24"/>
          <w:rtl/>
          <w:lang w:val="ar-SA"/>
        </w:rPr>
        <w:t xml:space="preserve">من نظام حماية حقوق المؤلف، والتي تنص على أنَّ من 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نقل المصنف إلى الجمهور بأي وسيلة ممكنة،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العرض، أو التمثيل، أو البث الإذاعي، أو عبر شبكات المعلومات</w:t>
      </w:r>
      <w:r>
        <w:rPr>
          <w:rStyle w:val="None"/>
          <w:rFonts w:ascii="Times New Roman" w:hAnsi="Times New Roman"/>
          <w:sz w:val="24"/>
          <w:szCs w:val="24"/>
          <w:rtl/>
          <w:lang w:val="ar-SA"/>
        </w:rPr>
        <w:t>".</w:t>
      </w:r>
    </w:p>
    <w:p w14:paraId="05C7209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التصرف من المؤلف مكفول له بقوة النظام، ولا يمنح غيره الحق في ذلك إلا وفقًا للمبادئ والقوانين التي يخضع لها الحق محل الحماية، والخلاصة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محل حماية قانونية،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الحقيقية، والإنتاج الفكري، الذي يتم إنتاجه وتداوله فيها محل حماية كما هو الحال في البيئة الحقيقية</w:t>
      </w:r>
      <w:r>
        <w:rPr>
          <w:rStyle w:val="None"/>
          <w:rFonts w:ascii="Times New Roman" w:hAnsi="Times New Roman"/>
          <w:sz w:val="24"/>
          <w:szCs w:val="24"/>
          <w:rtl/>
          <w:lang w:val="ar-SA"/>
        </w:rPr>
        <w:t xml:space="preserve">. </w:t>
      </w:r>
    </w:p>
    <w:p w14:paraId="433A15AD" w14:textId="77777777" w:rsidR="00454428" w:rsidRDefault="00C464EC">
      <w:pPr>
        <w:pStyle w:val="ListParagraph"/>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التحول الرقمي</w:t>
      </w:r>
      <w:r>
        <w:rPr>
          <w:rStyle w:val="None"/>
          <w:rFonts w:ascii="Times New Roman" w:hAnsi="Times New Roman"/>
          <w:b/>
          <w:bCs/>
          <w:sz w:val="24"/>
          <w:szCs w:val="24"/>
          <w:rtl/>
          <w:lang w:val="ar-SA"/>
        </w:rPr>
        <w:t>:</w:t>
      </w:r>
    </w:p>
    <w:p w14:paraId="265E590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التحول الرقمي من أبرز سمات البيئة الرقمية؛ حيث يشير إلى الانتقال إلى استخدام التكنولوجيا الرقمية بدلًا من الأساليب التقليدية في مختلف مجالات الحياة، وقد نتج عن هذا التحوُّل تغييراتٍ جوهريةً في أساليب إنتاج المعلومات وتبادلها واتخاذ القرارات؛ ممَّا جعل البيئة الرقمية أكثر فاعليةً وكفاءةً، كما عملت على فتح آفاق جديدة للابتكار والتطوُّر</w:t>
      </w:r>
      <w:r>
        <w:rPr>
          <w:rStyle w:val="None"/>
          <w:rFonts w:ascii="Times New Roman" w:hAnsi="Times New Roman"/>
          <w:sz w:val="24"/>
          <w:szCs w:val="24"/>
          <w:rtl/>
          <w:lang w:val="ar-SA"/>
        </w:rPr>
        <w:t>.</w:t>
      </w:r>
    </w:p>
    <w:p w14:paraId="0C8935F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ثورة التكنولوجيا القائمة خلال هذا العصر مكنت من إحداث تغيير جذري في نمط وطبيعة العمل في كافة الميادين، خاصةً مجال الملكية الفكرية، الذي يُعَدُّ أكثرهم تماشيًا مع التطوُّر التكنولوجيا عن طريق استخدامها للتقنيات الحديثة، والمتطوِّرة التي نتج عنها تغيير عميق في طبيعة التفكير في سلوك المؤلفين والأفراد؛ ممَّا أدى إلى ظهور نوع حديث من المؤلفات، وهي المصنفات الرقمية، التي ألغت الحدود والقيود المادية والجغرافية نهائيًا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E7D37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غير أنَّ ما شهده العالم من ثورة المعلومات والتي ترتبط ارتباطًا وثيقًا بتكنولوجيا المعلومات التي فجَّرها اختراع الحاسب الآلي والتطوُّر الكبير الذي لحقه؛ أدى إلى تغيير جذري في عملية الإبداع التقليدي للمصنفات، وذلك من خلال ما أتاحته الشبكة العنكبوتية من أدوات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A95A4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F9E11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الثورة التكنولوجية قد أدت إلى تغيير جذري في أشكال الإنتاج الفكري؛ حيث تأثرت بشكل مباشر بتطوُّر تقنيات المعلومات والاتصالات، بالإضافة إلى مساهمة تلك الثورة في ظهور المصنفات الرقمية، التي تجاوزت القيود المادية والجغرافية، كما أعادت تشكيل أساليب الإبداع والنشر، من خلال الاعتماد على الحاسبات الآلية وبرامج الشبكات الإلكترونية؛ ممَّا جعل الوصول إلى المصنفات واستغلالها بوسائل رقمية حديثة أكثر سهولةً</w:t>
      </w:r>
      <w:r>
        <w:rPr>
          <w:rStyle w:val="None"/>
          <w:rFonts w:ascii="Times New Roman" w:hAnsi="Times New Roman"/>
          <w:sz w:val="24"/>
          <w:szCs w:val="24"/>
          <w:rtl/>
          <w:lang w:val="ar-SA"/>
        </w:rPr>
        <w:t>.</w:t>
      </w:r>
    </w:p>
    <w:p w14:paraId="723BF94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والتحول الرقمي في البيئة الإلكترونية هو مجرد وسيلة لتخزين الإنتاج الفكري، ولا يغير من الطبيعة القانونية للحقوق الناشئة عنه، وهي لا تختلف كثيرًا في تكييفها القانوني عن أية حقوق ملكية فكرية أخرى، خصوصًا فيما يتعلق بالإبداع الفكري، فالتسجيلات الفنية التي تتمتع بالحماية القانونية هي في الحقيقة مواد مسموعة، كانت قديمًا تخزن على أسطوانات أو شرائط، فأصبحت تخزن بطريقة رقمية، فالاختلاف الوحيد في طريقة التخزين، ومِنْ ثَمَّ فإنَّ صفة الافتراضية في حقوق الملكية في البيئة الرقمية لا تنفي تمتع المنتجات الفكرية الرقمية بالحماية القانونية</w:t>
      </w:r>
      <w:r>
        <w:rPr>
          <w:rStyle w:val="None"/>
          <w:rFonts w:ascii="Times New Roman" w:hAnsi="Times New Roman"/>
          <w:sz w:val="24"/>
          <w:szCs w:val="24"/>
          <w:rtl/>
          <w:lang w:val="ar-SA"/>
        </w:rPr>
        <w:t>.</w:t>
      </w:r>
    </w:p>
    <w:p w14:paraId="01D70A2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ولذلك فقد نصت المادة </w:t>
      </w:r>
      <w:r>
        <w:rPr>
          <w:rStyle w:val="None"/>
          <w:rFonts w:ascii="Times New Roman" w:hAnsi="Times New Roman"/>
          <w:sz w:val="24"/>
          <w:szCs w:val="24"/>
          <w:rtl/>
          <w:lang w:val="ar-SA"/>
        </w:rPr>
        <w:t xml:space="preserve">(9/ 1) </w:t>
      </w:r>
      <w:r>
        <w:rPr>
          <w:rStyle w:val="None"/>
          <w:rFonts w:ascii="Arial Unicode MS" w:hAnsi="Arial Unicode MS" w:cs="Times New Roman" w:hint="cs"/>
          <w:sz w:val="24"/>
          <w:szCs w:val="24"/>
          <w:rtl/>
          <w:lang w:val="ar-SA"/>
        </w:rPr>
        <w:t>من نظام حماية حقوق المؤلف على أنَّ من حقوق المؤلف</w:t>
      </w:r>
      <w:r>
        <w:rPr>
          <w:rStyle w:val="None"/>
          <w:rFonts w:ascii="Times New Roman" w:hAnsi="Times New Roman"/>
          <w:sz w:val="24"/>
          <w:szCs w:val="24"/>
        </w:rPr>
        <w:t>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طبع المصنف ونشره على شكل مقروء، أو تسجيله على أشرطة مسموعة، أو مرئية، أو أسطوانات مدمجة، أو ذاكرة إلكترونية، أو غير ذلك من وسائل النشر</w:t>
      </w:r>
      <w:r>
        <w:rPr>
          <w:rStyle w:val="None"/>
          <w:rFonts w:ascii="Times New Roman" w:hAnsi="Times New Roman"/>
          <w:sz w:val="24"/>
          <w:szCs w:val="24"/>
          <w:rtl/>
          <w:lang w:val="ar-SA"/>
        </w:rPr>
        <w:t>".</w:t>
      </w:r>
    </w:p>
    <w:p w14:paraId="31AD99F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فيشير هذا إلى أنَّ القانون يشمل المصنف بالحماية بصرف النظر عن طريقة تخزينه؛ حيث منح الحق للمؤلف بتخزينه على أية وسيلة مسموعة، أو مرئية، أو أسطوانات مدمجة، أو ذاكرة إلكترونية، والأسطوانات المدمجة والذاكرة الإلكترونية هي وسائل تخزين رقمية</w:t>
      </w:r>
      <w:r>
        <w:rPr>
          <w:rStyle w:val="None"/>
          <w:rFonts w:ascii="Times New Roman" w:hAnsi="Times New Roman"/>
          <w:sz w:val="24"/>
          <w:szCs w:val="24"/>
          <w:rtl/>
          <w:lang w:val="ar-SA"/>
        </w:rPr>
        <w:t>.</w:t>
      </w:r>
    </w:p>
    <w:p w14:paraId="1E52CB0F" w14:textId="77777777" w:rsidR="0023579A" w:rsidRDefault="0023579A">
      <w:pPr>
        <w:rPr>
          <w:rStyle w:val="None"/>
          <w:rFonts w:ascii="Arial Unicode MS" w:hAnsi="Arial Unicode MS"/>
          <w:b/>
          <w:bCs/>
          <w:color w:val="000000"/>
          <w:u w:color="000000"/>
          <w:rtl/>
          <w:lang w:val="ar-SA"/>
        </w:rPr>
      </w:pPr>
      <w:r>
        <w:rPr>
          <w:rStyle w:val="None"/>
          <w:b/>
          <w:bCs/>
          <w:rtl/>
          <w:lang w:val="ar-SA"/>
        </w:rPr>
        <w:br w:type="page"/>
      </w:r>
    </w:p>
    <w:p w14:paraId="6BF9699C" w14:textId="71492664" w:rsidR="00454428" w:rsidRDefault="00C464EC">
      <w:pPr>
        <w:pStyle w:val="ListParagraph"/>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lastRenderedPageBreak/>
        <w:t>سهولة الوصول والتخزين</w:t>
      </w:r>
      <w:r>
        <w:rPr>
          <w:rStyle w:val="None"/>
          <w:rFonts w:ascii="Times New Roman" w:hAnsi="Times New Roman"/>
          <w:b/>
          <w:bCs/>
          <w:sz w:val="24"/>
          <w:szCs w:val="24"/>
          <w:rtl/>
          <w:lang w:val="ar-SA"/>
        </w:rPr>
        <w:t>:</w:t>
      </w:r>
    </w:p>
    <w:p w14:paraId="5A55695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التحول الرقمي الذي شهده المجتمع الدولي، أصبحت سهولة الوصول والتخزين من أبرز سمات البيئة الرقمية، فقد وفر هذا التحول الرقمي سهولةَ الوصول إلى المعلومات والبيانات من أي مكان وفي أي وقت، دون الاعتماد على الوسائط المادية التقليدية، بالإضافة إلى إمكانية تخزين كميات ضخمة من المحتوى الرقمي في مساحات افتراضية؛ ممَّا سهَّل عملية حفظ البيانات، وتنظيمها، واسترجاعها بسرعة، فتُعَدُّ تلك الخاصية من العوامل الأساسية التي أعادت تشكيل طرق تداول المعرفة</w:t>
      </w:r>
      <w:r>
        <w:rPr>
          <w:rStyle w:val="None"/>
          <w:rFonts w:ascii="Times New Roman" w:hAnsi="Times New Roman"/>
          <w:sz w:val="24"/>
          <w:szCs w:val="24"/>
          <w:rtl/>
          <w:lang w:val="ar-SA"/>
        </w:rPr>
        <w:t>.</w:t>
      </w:r>
    </w:p>
    <w:p w14:paraId="597C7BB8" w14:textId="6750FE70" w:rsidR="00454428" w:rsidRDefault="00C464EC" w:rsidP="0023579A">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تتيح البيئة الرقمية للأفراد آلياتٍ متعددةً تساعدهم في سهولة البحث عن معلومات معينة، فبدلًا من تصفح كل صفحات الكتاب أو البحث المطبوع يمكن لجهاز الكمبيوتر أنْ يبحث عن كلمة أو كلمات بشكل آلي؛ ممَّا يوفر الوقت والجهد بشكل كبير، كما تساهم محركات البحث وقواعد البيانات الرقمية في الوصول إلى المعلومة بشكل أدق وأسرع؛ ولذلك أصبحت عملية الوصول إلى مصادر المعرفة أكثر سهولةً ومرونةً؛ ممَّا ساهم في فاعلية البحث العلمي، وساهم في تسريع عملية التعليم والإنتاج الفكري في مختلف المجالات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أتاحت البيئة الرقمية إمكانية توفير الكتب الإلكترونية في وقت واحد وفي مكان واحد،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فإنَّه يُمكن توفير مساحة على رفوف المكتبة، كما توفر البيئة الرقمية إمكانية الوصول السريع للعناوين، وذلك أسرع من الطرق التقليدية لتزويد المكتبات بالعناوين، فهي متاحة لمدة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ساعةً في اليوم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تتميز بسهولة الوصول إلى المعلومات، وسرعة تخزينها واسترجاعها، وذلك بفضل استخدام أدوات بحث ذكية ومحركات بحث متقدمة، فهذا يقلل من الوقت والجهد بشكل كبير مقارنة بالطرق التقليدية، كما تتيح الكتب الإلكترونية وقواعد البيانات الرقمية إمكانية الاطلاع الفوري على المحتوى في أي وقت ومن أي مكان؛ ممَّا يعزّز من كفاءة البحث العلمي، ويُسهم في تطوير العملية التعليمية والإنتاج الفكري</w:t>
      </w:r>
      <w:r>
        <w:rPr>
          <w:rStyle w:val="None"/>
          <w:rFonts w:ascii="Times New Roman" w:hAnsi="Times New Roman"/>
          <w:sz w:val="24"/>
          <w:szCs w:val="24"/>
          <w:rtl/>
          <w:lang w:val="ar-SA"/>
        </w:rPr>
        <w:t>.</w:t>
      </w:r>
    </w:p>
    <w:p w14:paraId="17A332F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سهولة الوصول والتخزين في البيئة الرقمية يفتح المجال أمام الاعتداءات على حقوق الملكية الفكرية، وذلك عكس المنتجات في البيئة الحقيقية فالوصول إلى كتاب منشور يحتاج إلى شرائه أولًا ثم القيام بنسخه، ومن السهولة تتبع النسخ الورقية ومصادرتها، وكذلك الحال بالنسبة للمنتجات السمعية والبصرية وغيرها، فصعوبة التخزين والتداول تحد من عمليات الاعتداء على الملكية الفكرية في البيئة الحقيقية، وإنْ كانت لا تمنعها، ولكنها بالتأكيد أكثر صعوبةً من البيئة الإلكترونية، فكل ما عليك هو نسخ المنتج والاحتفاظ به على الجهاز الخاص للمعتدي</w:t>
      </w:r>
      <w:r>
        <w:rPr>
          <w:rStyle w:val="None"/>
          <w:rFonts w:ascii="Times New Roman" w:hAnsi="Times New Roman"/>
          <w:sz w:val="24"/>
          <w:szCs w:val="24"/>
          <w:rtl/>
          <w:lang w:val="ar-SA"/>
        </w:rPr>
        <w:t xml:space="preserve">. </w:t>
      </w:r>
    </w:p>
    <w:p w14:paraId="5A712045" w14:textId="0BC69EA2" w:rsidR="00454428" w:rsidRDefault="00C464EC" w:rsidP="0023579A">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وبالنسبة لتأثير تلك الخاصة على التكييف القانوني لمحل الحماية فإنَّه ينحصر في احتياج المنتج الفكري في البيئة الافتراضية إلى حماية أكبر وتعاون وتنسيق دولي على نطاق أوسع للحد من عمليات الاعتداء على الملكية الفكرية في البيئة الافتراضية</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وبالنسبة للنظم القانونية فهي تحيط الوصول إلى المنتج الفكري أو تخزينه بالحماية اللازمة؛ لضمان عدم الاعتداء عليه؛ ولذلك تنص المادة </w:t>
      </w:r>
      <w:r>
        <w:rPr>
          <w:rStyle w:val="None"/>
          <w:rFonts w:ascii="Times New Roman" w:hAnsi="Times New Roman"/>
          <w:sz w:val="24"/>
          <w:szCs w:val="24"/>
          <w:rtl/>
          <w:lang w:val="ar-SA"/>
        </w:rPr>
        <w:t xml:space="preserve">(21/ 4 - 5) </w:t>
      </w:r>
      <w:r>
        <w:rPr>
          <w:rStyle w:val="None"/>
          <w:rFonts w:ascii="Arial Unicode MS" w:hAnsi="Arial Unicode MS" w:cs="Times New Roman" w:hint="cs"/>
          <w:sz w:val="24"/>
          <w:szCs w:val="24"/>
          <w:rtl/>
          <w:lang w:val="ar-SA"/>
        </w:rPr>
        <w:t>من نظام حماية حقوق المؤلف على أنَّ</w:t>
      </w:r>
      <w:r>
        <w:rPr>
          <w:rStyle w:val="None"/>
          <w:rFonts w:ascii="Times New Roman" w:hAnsi="Times New Roman"/>
          <w:sz w:val="24"/>
          <w:szCs w:val="24"/>
          <w:rtl/>
          <w:lang w:val="ar-SA"/>
        </w:rPr>
        <w:t>:</w:t>
      </w:r>
    </w:p>
    <w:p w14:paraId="40EFED14" w14:textId="77777777" w:rsidR="00454428" w:rsidRDefault="00C464EC">
      <w:pPr>
        <w:pStyle w:val="ListParagraph"/>
        <w:widowControl w:val="0"/>
        <w:numPr>
          <w:ilvl w:val="0"/>
          <w:numId w:val="6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أي معلومة كتابية وإلكترونية قد تتسبب في إسقاط حقوق أصحاب المصنف</w:t>
      </w:r>
      <w:r>
        <w:rPr>
          <w:rStyle w:val="None"/>
          <w:rFonts w:ascii="Times New Roman" w:hAnsi="Times New Roman"/>
          <w:sz w:val="24"/>
          <w:szCs w:val="24"/>
        </w:rPr>
        <w:t>.</w:t>
      </w:r>
      <w:r>
        <w:rPr>
          <w:rStyle w:val="None"/>
          <w:rFonts w:ascii="Times New Roman" w:hAnsi="Times New Roman"/>
          <w:sz w:val="24"/>
          <w:szCs w:val="24"/>
          <w:rtl/>
          <w:lang w:val="ar-SA"/>
        </w:rPr>
        <w:t xml:space="preserve"> </w:t>
      </w:r>
    </w:p>
    <w:p w14:paraId="4F66F553" w14:textId="77777777" w:rsidR="00454428" w:rsidRDefault="00C464EC">
      <w:pPr>
        <w:pStyle w:val="ListParagraph"/>
        <w:widowControl w:val="0"/>
        <w:numPr>
          <w:ilvl w:val="0"/>
          <w:numId w:val="6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وفك أي معلومة احترازية إلكترونية تضمن استخدام النسخ الأصلية للمصنف، مثل</w:t>
      </w:r>
      <w:r>
        <w:rPr>
          <w:rStyle w:val="None"/>
          <w:rFonts w:ascii="Times New Roman" w:hAnsi="Times New Roman"/>
          <w:sz w:val="24"/>
          <w:szCs w:val="24"/>
          <w:rtl/>
          <w:lang w:val="ar-SA"/>
        </w:rPr>
        <w:t xml:space="preserve">: </w:t>
      </w:r>
      <w:r>
        <w:rPr>
          <w:rStyle w:val="None"/>
          <w:rFonts w:cs="Times New Roman"/>
          <w:sz w:val="24"/>
          <w:szCs w:val="24"/>
          <w:rtl/>
          <w:lang w:val="ar-SA"/>
        </w:rPr>
        <w:t>التشفير، أو المعلومات المدونة بالليزر، أو غيره</w:t>
      </w:r>
      <w:r>
        <w:rPr>
          <w:rStyle w:val="None"/>
          <w:rFonts w:ascii="Times New Roman" w:hAnsi="Times New Roman"/>
          <w:sz w:val="24"/>
          <w:szCs w:val="24"/>
        </w:rPr>
        <w:t>.</w:t>
      </w:r>
    </w:p>
    <w:p w14:paraId="2E6786D9" w14:textId="77777777" w:rsidR="00454428" w:rsidRDefault="00C464EC" w:rsidP="00C72BA8">
      <w:pPr>
        <w:pStyle w:val="a"/>
        <w:rPr>
          <w:rStyle w:val="None"/>
          <w:rtl/>
          <w:lang w:val="ar-SA"/>
        </w:rPr>
      </w:pPr>
      <w:bookmarkStart w:id="179" w:name="_Toc227251106"/>
      <w:bookmarkStart w:id="180" w:name="_Toc232260663"/>
      <w:r>
        <w:rPr>
          <w:rStyle w:val="None"/>
          <w:rFonts w:ascii="Arial Unicode MS" w:eastAsia="Arial Unicode MS" w:hAnsi="Arial Unicode MS" w:hint="cs"/>
          <w:rtl/>
          <w:lang w:val="ar-SA"/>
        </w:rPr>
        <w:lastRenderedPageBreak/>
        <w:t>المطلب الثاني</w:t>
      </w:r>
      <w:bookmarkEnd w:id="179"/>
      <w:bookmarkEnd w:id="180"/>
    </w:p>
    <w:p w14:paraId="54AD009B" w14:textId="77777777" w:rsidR="00454428" w:rsidRDefault="00C464EC" w:rsidP="00C72BA8">
      <w:pPr>
        <w:pStyle w:val="a"/>
        <w:rPr>
          <w:rStyle w:val="None"/>
          <w:rtl/>
          <w:lang w:val="ar-SA"/>
        </w:rPr>
      </w:pPr>
      <w:bookmarkStart w:id="181" w:name="_Toc227251107"/>
      <w:bookmarkStart w:id="182" w:name="_Toc232260664"/>
      <w:r>
        <w:rPr>
          <w:rStyle w:val="None"/>
          <w:rFonts w:ascii="Arial Unicode MS" w:eastAsia="Arial Unicode MS" w:hAnsi="Arial Unicode MS" w:hint="cs"/>
          <w:rtl/>
          <w:lang w:val="ar-SA"/>
        </w:rPr>
        <w:t>أثر البيئة الرقمية على تطوُّر الملكية الفكرية</w:t>
      </w:r>
      <w:bookmarkEnd w:id="181"/>
      <w:bookmarkEnd w:id="182"/>
    </w:p>
    <w:p w14:paraId="0BFD28F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العقود الأخيرة تحوُّلًا نوعيًا؛ نتيجة الثورة الرقمية التي غيرت طريقة التعامل مع المعلومات والمصنفات الفكرية؛ حيث لم تَعُدْ حدود الإبداع، والتوزيع، والنشر مقيدة بالأطر التقليدية، بل أصبحت البيئة الرقمية مجتمعًا افتراضيًّا لإنتاج وتداول المحتوى بسرعة واسعة، دون قيود للزمان أو المكان، وقد أتاح هذا الواقع الجديد فرصًا جديدةً للأفراد للمشاركة في عملية الإنتاج المعرفي بشكل لم يكن ممكنًا في ظل الوسائط التقليدية</w:t>
      </w:r>
      <w:r>
        <w:rPr>
          <w:rStyle w:val="None"/>
          <w:rFonts w:ascii="Times New Roman" w:hAnsi="Times New Roman"/>
          <w:sz w:val="24"/>
          <w:szCs w:val="24"/>
          <w:rtl/>
          <w:lang w:val="ar-SA"/>
        </w:rPr>
        <w:t>.</w:t>
      </w:r>
    </w:p>
    <w:p w14:paraId="0A19E38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أثر هذا التحول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تأثرت منظومة الملكية الفكرية بشكل ملحوظ؛ حيث أصبح تداول الإنتاج الفكري وانتشاره يحدث بشكل فوري وعبر جمهور عالمي؛ ممَّا زاد من قيمة المعرفة الرقمية ومكانتها في المجتمع المعاصر، وقد أثر هذا التطوُّر في طبيعة الملكية الفكرية ذاتها، من حيث تنوع أشكالها وتداخل حدودها وتغير طرق تداولها واستعمالها؛ ممَّا يستدعي فهمًا أعمق لهذه الظاهرة في سياقها الجديد</w:t>
      </w:r>
      <w:r>
        <w:rPr>
          <w:rStyle w:val="None"/>
          <w:rFonts w:ascii="Times New Roman" w:hAnsi="Times New Roman"/>
          <w:sz w:val="24"/>
          <w:szCs w:val="24"/>
          <w:rtl/>
          <w:lang w:val="ar-SA"/>
        </w:rPr>
        <w:t>.</w:t>
      </w:r>
    </w:p>
    <w:p w14:paraId="1E3A6A5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شك أنَّ للبيئة الرقمية العديد من الآثار التي تسهم في تطوير الملكية الفكرية؛ حيث تتمثل في التطوُّر التكنولوجي على الملكية الفكرية، وانتشار المصنفات الفكرية، وظهور أشكال جديدة من الملكية الفكرية، ودمج التكنولوجيا في حماية المصنفات، وذلك على النحو التالي</w:t>
      </w:r>
      <w:r>
        <w:rPr>
          <w:rStyle w:val="None"/>
          <w:rFonts w:ascii="Times New Roman" w:hAnsi="Times New Roman"/>
          <w:sz w:val="24"/>
          <w:szCs w:val="24"/>
          <w:rtl/>
          <w:lang w:val="ar-SA"/>
        </w:rPr>
        <w:t>:</w:t>
      </w:r>
    </w:p>
    <w:p w14:paraId="420D68B6"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التطوُّر التكنولوجي على الملكية الفكرية</w:t>
      </w:r>
      <w:r>
        <w:rPr>
          <w:rStyle w:val="None"/>
          <w:rFonts w:ascii="Times New Roman" w:hAnsi="Times New Roman"/>
          <w:b/>
          <w:bCs/>
          <w:sz w:val="28"/>
          <w:szCs w:val="28"/>
          <w:rtl/>
          <w:lang w:val="ar-SA"/>
        </w:rPr>
        <w:t>:</w:t>
      </w:r>
    </w:p>
    <w:p w14:paraId="1776EC4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التطوُّر التكنولوجي المتسارع عنصرًا أساسيًّا في ظهور البيئة الرقمية؛ حيث أثر بشكل مباشر على كيفية إنتاج وتوزيع واستخدام المصنفات الفكرية، ولم يَعُدْ الإبداع مقتصرًا على المؤسسات أو المتخصصين، بل أصبح متاحًا لفئات واسعة من الأفراد بفضل الأدوات الرقمية المتطوِّرة، فقد وفرت التكنولوجيا الحديثة إمكانيات جديدة لإنشاء المحتوى، وتعديله، ومشاركته بطرق مرنة وسريعة؛ ممَّا أدى إلى توسيع نطاق الإبداع وتنوع أشكاله، كما أدى هذا التغير التقني الواسع إلى التأثير على مفاهيم الملكية الفكرية؛ حيث أصبحت أكثر ترابطًا مع الواقع الرقمي الذي يتميز بالسرعة والتداخل وسهولة التداول</w:t>
      </w:r>
      <w:r>
        <w:rPr>
          <w:rStyle w:val="None"/>
          <w:rFonts w:ascii="Times New Roman" w:hAnsi="Times New Roman"/>
          <w:sz w:val="24"/>
          <w:szCs w:val="24"/>
          <w:rtl/>
          <w:lang w:val="ar-SA"/>
        </w:rPr>
        <w:t xml:space="preserve">. </w:t>
      </w:r>
    </w:p>
    <w:p w14:paraId="48542C2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تطوُّر التطوُّر التكنولوجي في مختلف جوانب الحياة ساهم بشكل كبير في ظهور حقوق جديدة لم تكن مألوفةً في الماضي، وتشمل هذه الحقوق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المخترع، وحق المكتشف، وحق المصمم، وحق الرسام، وحق المؤلف، وذلك في حقول المعارف المتعددة من علوم، أو آداب، أو فنون، سواء تم التعبير عن هذه المصنفات في مظهر الكتابة، أو الرسم، أو الحركة، أو الشكل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2F8AE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المعرفة الفكرية نتاجًا لفكر الإنسان، والتي تتحول بعد ذلك إلى موارد معرفية يستفيد منها الأشخاص لتسهيل حياتهم؛ ونظرًا لأهمية الوعي الفكري، والتقدم التكنولوجي في الصعيد العلمي؛ استوجب الاعتراف بالملكية الفكرية للأشياء المبتكرة، وتأتي أهمية تلك الأفكار على الأنظمة الاقتصادية، وعلى رفع المستوى الثقافي والحضاري للشعوب </w:t>
      </w:r>
      <w:r>
        <w:rPr>
          <w:rStyle w:val="None"/>
          <w:rFonts w:ascii="Arial Unicode MS" w:hAnsi="Arial Unicode MS" w:cs="Times New Roman" w:hint="cs"/>
          <w:sz w:val="24"/>
          <w:szCs w:val="24"/>
          <w:rtl/>
          <w:lang w:val="ar-SA"/>
        </w:rPr>
        <w:lastRenderedPageBreak/>
        <w:t xml:space="preserve">والدول، فهذا ما جعل الدول تسعى إلى حماية حقوق الملكية الفكرية وردها إلى أصحابها بحكم أنَّ قوة الأمم تقاس بحكم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F0572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 التكنولوجي المتسارع قد أسهم في بروز حقوق فكرية جديدة لم تكن معروفةً من قبل،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 المخترع وحق المؤلف، وحق المصمم، وغيرها من الحقوق المرتبطة بالإبداع في مجالات العلوم، والآداب، والفنون؛ حيث أصبحت الملكية الفكرية تمثل انعكاسًا مباشرًا لفكر الإنسان وإبداعه، وتحولت إلى مورد معرفي أساسي يسهم في تقدم المجتمعات ورفع مستواها الثقافي والاقتصادي،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أدركت المجتمع الدولي أهمية حماية هذه الحقوق كعنصر أساسي في بناء الحضارات الحديثة، ومقياس لقوة الأمم وتقدمها في عصر يعتمد على المعرفة والابتكار</w:t>
      </w:r>
      <w:r>
        <w:rPr>
          <w:rStyle w:val="None"/>
          <w:rFonts w:ascii="Times New Roman" w:hAnsi="Times New Roman"/>
          <w:sz w:val="24"/>
          <w:szCs w:val="24"/>
          <w:rtl/>
          <w:lang w:val="ar-SA"/>
        </w:rPr>
        <w:t>.</w:t>
      </w:r>
    </w:p>
    <w:p w14:paraId="114C0C1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النشاط الإبداعي لدى الإنسان وإطلاق طاقاته الإبداعية تتطلب ضمان حماية ورعاية تلك الإبداعات، ويتمثل ذلك في مجموعة من التشريعات الوطنية والدولية، وهذا ما يعرف بحماية الملكية الفكرية؛ حيث إنَّ الملكية الفكرية هي إبداعات ذهن الإنسان، ولا يجوز لأي شخص آخر أنْ ينتفع بها انتفاعًا مشروعًا دون تصريح من صاحبها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9C76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وأصبحت الملكية الفكرية تمثل إحدى أهم الثروات التي تصدرها الدول المتقدمة تكنولوجيًا في هذا العصر، وأداة من أدوات التنمية التي تعتمد عليها الحكومات في سياساتها الاقتصادية؛ لما تحدثه من تغيرات تكنولوجية، واقتصادية، وآثار سياسية، وثقافية، وعلمية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E3482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التقرير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 xml:space="preserve">تسخير سياسات الابتكار لأغراض النمو والتنمية، يستقصي تقرير جديد للويبو نقاط التقاطع بين الابتكار البشري، والتنويع الاقتصادي، والسياسة الصناعية، ويخلص إلى أنَّ مفتاح النمو المستدام للبلدان هو التركيز على تطوير قدرات الابتكار المحلية عند وضع السياسات، وتوثق التقارير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يصدر كل سنتين بعنوان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جعل سياسة الابتكار تعمل من أجل التنمية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عودة ظهور السياسات الصناعية في الآونة الأخيرة،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العديد من البلدان النامية وأقل البلدان نموًا؛ بهدف ضمان قاعدة هيكلية اقتصادية واسعة ومتنامية، وكذلك الابتكار، والإبداع، والتكنولوجيا اللازمة لتحقيقها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6"/>
      </w:r>
      <w:r>
        <w:rPr>
          <w:rStyle w:val="None"/>
          <w:rFonts w:ascii="Times New Roman" w:hAnsi="Times New Roman"/>
          <w:sz w:val="24"/>
          <w:szCs w:val="24"/>
          <w:vertAlign w:val="superscript"/>
          <w:rtl/>
          <w:lang w:val="ar-SA"/>
        </w:rPr>
        <w:t>)</w:t>
      </w:r>
    </w:p>
    <w:p w14:paraId="3152FD0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فإنَّ ظهور الملكية الفكرية في المجال الدولي أدى إلى إحداث نوع من الصراع السياسي والتنافس فيما بينها؛ حيث إنَّ هذا الصراع أدى إلى الانقسام فيما بين الدول، ورغبة في استثمار الثروات التي تمتلكها كل دولة،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الابتكارات الذهنية والاختراعات، الأمر الذي دفع الدول الأوروبية مثلًا إلى الازدهار أكثر، بينما أطاح بالدول التي تعرضت للاستعمار، وذلك أنَّ استغلال واحتكار حقوق الابتكار؛ أدى إلى ازدهار بعض الدول أكثر من غيرها،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انقسام العالم إلى مجموعات متفاوتة؛ نظرًا للتقدم والتخلف الذي ميز كل من دولة عن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7"/>
      </w:r>
      <w:r>
        <w:rPr>
          <w:rStyle w:val="None"/>
          <w:rFonts w:ascii="Times New Roman" w:hAnsi="Times New Roman"/>
          <w:sz w:val="24"/>
          <w:szCs w:val="24"/>
          <w:vertAlign w:val="superscript"/>
          <w:rtl/>
          <w:lang w:val="ar-SA"/>
        </w:rPr>
        <w:t>)</w:t>
      </w:r>
    </w:p>
    <w:p w14:paraId="57C26DC7" w14:textId="77777777" w:rsidR="00454428" w:rsidRDefault="00C464EC" w:rsidP="006B1B4A">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النشاط الإبداعي يُعَدُّ من أهم مظاهر التميز الإنساني، ويتطلب بالضرورة توفير الحماية والرعاية القانونية الكافية؛ لضمان استمراره وتطوُّره، وتتمثل هذه الحماية فيما يعرف بحقوق الملكية الفكرية، والتي تشتمل على إبداعات العقل البشري في مختلف المجالات، ولا يجوز الانتفاع بها دون إذن صاحبها، فمع تطوُّر العصر الرقمي، أصبحت الملكية الفكرية من أبرز الموارد الاقتصادية للدول المتقدمة، وأداةً فعَّالةً في تعزيز التنمية؛ لما لها من تأثيرات مباشرة على النمو التكنولوجي والثقافي والعلمي، فضلًا عن دورها في تشكيل السياسات الاقتصادية الحديثة</w:t>
      </w:r>
      <w:r>
        <w:rPr>
          <w:rStyle w:val="None"/>
          <w:rFonts w:ascii="Times New Roman" w:hAnsi="Times New Roman"/>
          <w:sz w:val="24"/>
          <w:szCs w:val="24"/>
          <w:rtl/>
          <w:lang w:val="ar-SA"/>
        </w:rPr>
        <w:t>.</w:t>
      </w:r>
    </w:p>
    <w:p w14:paraId="58FA62E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ولقد أبرزت التطوُّرات في مجالات الحوسبة، والإنترنت، والتقنيات الرقمية أهمية الملكية الفكرية في إطار المجتمع الإنساني، فتعتبر الملكية الفكرية العنصر الرئيسي في حماية الفكر، والاجتهاد، والابتكار، وفي الوقت نفسه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تُعَدُّ نهجًا يعبر عن حماية واحترام الإبداع في المجتمع؛ بحيث يجب تفسير العبارة الأخيرة، في ضوء أنَّ كل عدوان على الابتكار، والإبداع، والاجتهاد، والتجديد الذي يقوم به العقل البشري هو تحقير للتطوُّر، واعتداء على منهجية التجديد، وعدم احترام المجتمع والفرد في دولة معينة، وهو ما يؤدي إلى ضرورة حماية حقوق الملكية الفكرية لأفكار الأفراد، وتحويلها إلى اقتصاديات يمكن الاستفادة منها، ويحقق من ورائها نشاطًا تجاريًّا يصلح لتقوية موقفه المالي ومعيشته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8B027A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 الملكية الفكرية لها أهمية كبيرة من حيث تعلقها بمسألة التطوُّرات الهائلة الحاصلة في مجالات تكنولوجيا المعلومات والابتكارات، الشيء الذي ينجم عنه ظهور وسائل جديدة ومتطوِّرة لتبادل المعرفة بطرق سهله وفعَّالة، وتزداد الأهمية التي توليها الدول حاليًا لمجال الملكية الفكرية؛ انطلاقًا من الدور الذي يلعبه في تنشيط حركة الاقتصاد العالمي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EF252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نجد أنَّ التطوُّرات التكنولوجية في مجالات،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الحوسبة، والإنترنت، والتقنيات الرقمية، قد سلطت الضوء على الأهمية المتزايدة للملكية الفكرية في المجتمع المعاصر؛ حيث أصبحت أداةً أساسيةً لحماية الإبداع، والابتكار، والاجتهاد الفكري، فيُعَدُّ أي انتهاك لهذه الحقوق تعديًا على مسار التقدم العلمي والتكنولوجي، وعلى احترام المجتمع لطاقات أفراده</w:t>
      </w:r>
      <w:r>
        <w:rPr>
          <w:rStyle w:val="None"/>
          <w:rFonts w:ascii="Times New Roman" w:hAnsi="Times New Roman"/>
          <w:sz w:val="24"/>
          <w:szCs w:val="24"/>
          <w:rtl/>
          <w:lang w:val="ar-SA"/>
        </w:rPr>
        <w:t>.</w:t>
      </w:r>
    </w:p>
    <w:p w14:paraId="497185C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الضروري تحويل الأفكار المبتكرة إلى أصول معرفية ذات قيمة اقتصادية تساهم في تحسين مستوى الفرد وتنشيط الحركة التجارية، كما أدى التوسع الكبير في أدوات إنتاج المعرفة وتبادلها إلى منح الدول أهمية متزايدة للملكية الفكرية، باعتبارها ركنًا أساسيًّا لدعم الاقتصاد الوطني، وتعزيز موقعها في المجتمع الدولي</w:t>
      </w:r>
      <w:r>
        <w:rPr>
          <w:rStyle w:val="None"/>
          <w:rFonts w:ascii="Times New Roman" w:hAnsi="Times New Roman"/>
          <w:sz w:val="24"/>
          <w:szCs w:val="24"/>
          <w:rtl/>
          <w:lang w:val="ar-SA"/>
        </w:rPr>
        <w:t xml:space="preserve">. </w:t>
      </w:r>
    </w:p>
    <w:p w14:paraId="23256AF3"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البيئة الرقمية على الملكية الفكرية</w:t>
      </w:r>
      <w:r>
        <w:rPr>
          <w:rStyle w:val="None"/>
          <w:rFonts w:ascii="Times New Roman" w:hAnsi="Times New Roman"/>
          <w:b/>
          <w:bCs/>
          <w:sz w:val="28"/>
          <w:szCs w:val="28"/>
          <w:rtl/>
          <w:lang w:val="ar-SA"/>
        </w:rPr>
        <w:t>:</w:t>
      </w:r>
    </w:p>
    <w:p w14:paraId="6D84AF5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في التعامل مع الإنتاج الفكري؛ حيث ساهمت في تغيير طبيعة المصنفات وحدود تداولها بشكل جذري، بفضل البنية التفاعلية للفضاء الرقمي، فأصبح من الممكن إنتاج المحتوى، وتعديله، ونقله، ومشاركته بسرعة، وانتشار غير مسبوقين؛ ممَّا جعل البيئة الرقمية تؤثر بشكل مباشر في مفاهيم الملكية الفكرية ومجالات تطبيقها، فلم يَعُدْ التعامل مع المصنفات محصورًا في إطار مادي أو محلي، بل أصبح يتم عبر وسائط رقمية مفتوحة</w:t>
      </w:r>
      <w:r>
        <w:rPr>
          <w:rStyle w:val="None"/>
          <w:rFonts w:ascii="Times New Roman" w:hAnsi="Times New Roman"/>
          <w:sz w:val="24"/>
          <w:szCs w:val="24"/>
          <w:rtl/>
          <w:lang w:val="ar-SA"/>
        </w:rPr>
        <w:t>.</w:t>
      </w:r>
    </w:p>
    <w:p w14:paraId="164765E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ساهمت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 ومِنْ ثَمَّ انكفأت الوسائط الإلكترونية المتعددة، الأمر الذي تزامن مع الترميز الرقمي للمصنفات؛ ليتسنَّى تداولها إلكترونيًا، الأمر الذي يعكس إشكالية حماية حق المؤلف في ظل تسيير نواتج الملكية الفكرية، رغم التداول الفلكي لها في الفضاء الكوني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0"/>
      </w:r>
      <w:r>
        <w:rPr>
          <w:rStyle w:val="None"/>
          <w:rFonts w:ascii="Times New Roman" w:hAnsi="Times New Roman"/>
          <w:sz w:val="24"/>
          <w:szCs w:val="24"/>
          <w:vertAlign w:val="superscript"/>
          <w:rtl/>
          <w:lang w:val="ar-SA"/>
        </w:rPr>
        <w:t>)</w:t>
      </w:r>
      <w:r>
        <w:rPr>
          <w:rStyle w:val="None"/>
          <w:rFonts w:ascii="Times New Roman" w:hAnsi="Times New Roman"/>
          <w:sz w:val="24"/>
          <w:szCs w:val="24"/>
          <w:rtl/>
        </w:rPr>
        <w:t>.</w:t>
      </w:r>
    </w:p>
    <w:p w14:paraId="4C1C81AB" w14:textId="77777777" w:rsidR="00454428" w:rsidRDefault="00C464EC">
      <w:pPr>
        <w:pStyle w:val="ListParagraph"/>
        <w:numPr>
          <w:ilvl w:val="0"/>
          <w:numId w:val="7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 الفكرية</w:t>
      </w:r>
      <w:r>
        <w:rPr>
          <w:rStyle w:val="None"/>
          <w:rFonts w:ascii="Times New Roman" w:hAnsi="Times New Roman"/>
          <w:b/>
          <w:bCs/>
          <w:sz w:val="24"/>
          <w:szCs w:val="24"/>
          <w:rtl/>
          <w:lang w:val="ar-SA"/>
        </w:rPr>
        <w:t>:</w:t>
      </w:r>
    </w:p>
    <w:p w14:paraId="7CA74C8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الانتشار الواسع للبيئة الرقمية إلى تسهيل تداول المصنفات الفكرية وانتشارها على نطاق غير مسبوق؛ حيث أصبح من الممكن نشر المحتوى وتبادله بسرعة فائقة عبر الوسائط الإلكترونية، دون الحاجة إلى الوسائط التقليدية، وقد ساهم هذا التحول في توسيع دائرة جمهور المصنفات وزيادة فرص الاطلاع عليها والاستفادة منها؛ ممَّا أثر بشكل مباشر على مفهوم الانتشار في الملكية الفكرية، كما جعلت البيئة الرقمية من نفسها أداةً فعَّالةً في تسريع حركة الإبداع وتعميمه على المستوى العالمي</w:t>
      </w:r>
      <w:r>
        <w:rPr>
          <w:rStyle w:val="None"/>
          <w:rFonts w:ascii="Times New Roman" w:hAnsi="Times New Roman"/>
          <w:sz w:val="24"/>
          <w:szCs w:val="24"/>
          <w:rtl/>
          <w:lang w:val="ar-SA"/>
        </w:rPr>
        <w:t>.</w:t>
      </w:r>
    </w:p>
    <w:p w14:paraId="39305F0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أدى التقدم الذي شهده العالم على أثر التطوُّر التكنولوجي إلى تدفق المعلومات؛ حيث أصبح الوصول إليها سهل دون أنْ تقف الحدود الجغرافية عائق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أصبح من السهل نشر المصنفات في إي مكان، فعلى إثر ظهور شبكة الإنترنت، تغير مفهوم النشر، فبعد أنْ كان تقليديًا أصبح إلكترونيًا عبر تقنيات متعددة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FB9F34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المؤلِّف مفهوم بوسعه أنْ يستوعب طائفة المبدعين والمبتكرين الحاليين منهم والمحتملين، فنجد أنَّ أنماط المؤلفين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تبعًا لارتباطهم بمصنفاتهم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تتنوع وفقًا لما يلي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2"/>
      </w:r>
      <w:r>
        <w:rPr>
          <w:rStyle w:val="None"/>
          <w:rFonts w:ascii="Times New Roman" w:hAnsi="Times New Roman"/>
          <w:sz w:val="24"/>
          <w:szCs w:val="24"/>
          <w:vertAlign w:val="superscript"/>
          <w:rtl/>
          <w:lang w:val="ar-SA"/>
        </w:rPr>
        <w:t>)</w:t>
      </w:r>
    </w:p>
    <w:p w14:paraId="6BB77217" w14:textId="77777777" w:rsidR="00454428" w:rsidRDefault="00C464EC">
      <w:pPr>
        <w:pStyle w:val="ListParagraph"/>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الفردي</w:t>
      </w:r>
      <w:r>
        <w:rPr>
          <w:rStyle w:val="None"/>
          <w:rFonts w:ascii="Times New Roman" w:hAnsi="Times New Roman"/>
          <w:b/>
          <w:bCs/>
          <w:sz w:val="24"/>
          <w:szCs w:val="24"/>
          <w:rtl/>
          <w:lang w:val="ar-SA"/>
        </w:rPr>
        <w:t xml:space="preserve">: </w:t>
      </w:r>
      <w:r>
        <w:rPr>
          <w:rStyle w:val="None"/>
          <w:rFonts w:cs="Times New Roman"/>
          <w:sz w:val="24"/>
          <w:szCs w:val="24"/>
          <w:rtl/>
          <w:lang w:val="ar-SA"/>
        </w:rPr>
        <w:t>هو أكثر المصنفات شيوعًا، فغالبًا ما يقوم شخص واحد بإنتاج المصنف، وينسب إلى مؤلفه عن طريق ذكر اسمه الحقيقي عليه، أو بطريقة الاسم المستعار، أو أي علامة تقطع أواصر الشك في التعرف على حقيقة المؤلف</w:t>
      </w:r>
      <w:r>
        <w:rPr>
          <w:rStyle w:val="None"/>
          <w:rFonts w:ascii="Times New Roman" w:hAnsi="Times New Roman"/>
          <w:sz w:val="24"/>
          <w:szCs w:val="24"/>
          <w:rtl/>
          <w:lang w:val="ar-SA"/>
        </w:rPr>
        <w:t>.</w:t>
      </w:r>
    </w:p>
    <w:p w14:paraId="77A0C122" w14:textId="77777777" w:rsidR="00454428" w:rsidRDefault="00C464EC">
      <w:pPr>
        <w:pStyle w:val="ListParagraph"/>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المشترك</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وتضمن اشتراكهم مساهمةَ كل فرد منهم في ابتكارية المصنف، مع اشتراك فكرهم واتجاه جهودهم إلى إخراج هذا المصنف</w:t>
      </w:r>
      <w:r>
        <w:rPr>
          <w:rStyle w:val="None"/>
          <w:rFonts w:ascii="Times New Roman" w:hAnsi="Times New Roman"/>
          <w:sz w:val="24"/>
          <w:szCs w:val="24"/>
          <w:rtl/>
          <w:lang w:val="ar-SA"/>
        </w:rPr>
        <w:t>.</w:t>
      </w:r>
    </w:p>
    <w:p w14:paraId="6D1E1B07" w14:textId="77777777" w:rsidR="00454428" w:rsidRDefault="00C464EC">
      <w:pPr>
        <w:pStyle w:val="ListParagraph"/>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الجماعي</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بتوجيه من شخصية اعتبارية أو معنوية تتكفل بنشر المصنف تحت إدارتها وباسمها، وفي هذا النوع من المصنفات يكون للشخص المعنوي الذي وجه بإخراج المصنف حق مباشرة سلطات المؤلف</w:t>
      </w:r>
      <w:r>
        <w:rPr>
          <w:rStyle w:val="None"/>
          <w:rFonts w:ascii="Times New Roman" w:hAnsi="Times New Roman"/>
          <w:sz w:val="24"/>
          <w:szCs w:val="24"/>
          <w:rtl/>
          <w:lang w:val="ar-SA"/>
        </w:rPr>
        <w:t>.</w:t>
      </w:r>
    </w:p>
    <w:p w14:paraId="36FFC81D" w14:textId="77777777" w:rsidR="00454428" w:rsidRDefault="00C464EC">
      <w:pPr>
        <w:pStyle w:val="ListParagraph"/>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المشتق</w:t>
      </w:r>
      <w:r>
        <w:rPr>
          <w:rStyle w:val="None"/>
          <w:rFonts w:ascii="Times New Roman" w:hAnsi="Times New Roman"/>
          <w:b/>
          <w:bCs/>
          <w:sz w:val="24"/>
          <w:szCs w:val="24"/>
          <w:rtl/>
          <w:lang w:val="ar-SA"/>
        </w:rPr>
        <w:t>:</w:t>
      </w:r>
      <w:r>
        <w:rPr>
          <w:rStyle w:val="None"/>
          <w:rFonts w:cs="Times New Roman"/>
          <w:sz w:val="24"/>
          <w:szCs w:val="24"/>
          <w:rtl/>
          <w:lang w:val="ar-SA"/>
        </w:rPr>
        <w:t xml:space="preserve"> المصنفات المشتقة هي المصنفات التي تكون مستمدة من مصنفات أخرى؛ ولكنها تتميز عنها في الشكل أو المضمون</w:t>
      </w:r>
      <w:r>
        <w:rPr>
          <w:rStyle w:val="None"/>
          <w:rFonts w:ascii="Times New Roman" w:hAnsi="Times New Roman"/>
          <w:sz w:val="24"/>
          <w:szCs w:val="24"/>
          <w:rtl/>
          <w:lang w:val="ar-SA"/>
        </w:rPr>
        <w:t xml:space="preserve">: </w:t>
      </w:r>
      <w:r>
        <w:rPr>
          <w:rStyle w:val="None"/>
          <w:rFonts w:cs="Times New Roman"/>
          <w:sz w:val="24"/>
          <w:szCs w:val="24"/>
          <w:rtl/>
          <w:lang w:val="ar-SA"/>
        </w:rPr>
        <w:t>كالترجمة والتلخيص شريطة أنْ تكون مبتكرةً</w:t>
      </w:r>
      <w:r>
        <w:rPr>
          <w:rStyle w:val="None"/>
          <w:rFonts w:ascii="Times New Roman" w:hAnsi="Times New Roman"/>
          <w:sz w:val="24"/>
          <w:szCs w:val="24"/>
          <w:rtl/>
          <w:lang w:val="ar-SA"/>
        </w:rPr>
        <w:t>.</w:t>
      </w:r>
    </w:p>
    <w:p w14:paraId="0DACE20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الحديثة ساهمت في إحداث ثورة نوعية في تداول المصنفات؛ ممَّا جعل الوصول إليها أكثر سهولةً وسرعةً دون قيود جغرافية، وقد انعكس ذلك على أساليب نشر المصنفات وتوزيعها، بالإضافة إلى تنوع المصنفات وفقًا لطبية العلاقة بين المؤلفين ومصنفاتهم، ويترتب على هذا التنوع ضرورة تحديث التشريعات التي تحمي حقوق المؤلف سواء الحقوق المادية أو المعنوية، من استغلال المصنف ماديًا، أو نشره، أو توزيعه بدون الحصول على إذن من صاحب الحق</w:t>
      </w:r>
      <w:r>
        <w:rPr>
          <w:rStyle w:val="None"/>
          <w:rFonts w:ascii="Times New Roman" w:hAnsi="Times New Roman"/>
          <w:sz w:val="24"/>
          <w:szCs w:val="24"/>
          <w:rtl/>
          <w:lang w:val="ar-SA"/>
        </w:rPr>
        <w:t>.</w:t>
      </w:r>
    </w:p>
    <w:p w14:paraId="3C67995B" w14:textId="77777777" w:rsidR="00454428" w:rsidRDefault="00C464EC">
      <w:pPr>
        <w:pStyle w:val="ListParagraph"/>
        <w:numPr>
          <w:ilvl w:val="0"/>
          <w:numId w:val="8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ظهور أشكال جديدة من الملكية الفكرية</w:t>
      </w:r>
      <w:r>
        <w:rPr>
          <w:rStyle w:val="None"/>
          <w:rFonts w:ascii="Times New Roman" w:hAnsi="Times New Roman"/>
          <w:b/>
          <w:bCs/>
          <w:sz w:val="24"/>
          <w:szCs w:val="24"/>
          <w:rtl/>
          <w:lang w:val="ar-SA"/>
        </w:rPr>
        <w:t>:</w:t>
      </w:r>
    </w:p>
    <w:p w14:paraId="6D73131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في استخدام البيئة الرقمية إلى تحول جذري في طبيعة الإنتاج الفكري؛ حيث لم يَعُدْ محصورًا في الأشكال التقليدية، بل نشأت صور جديدة من الملكية الفكرية تعكس التفاعل المتزايد بين الإنسان والتقنية، وقد ساهم هذا التحول في إعادة صياغة مفاهيم الإبداع</w:t>
      </w:r>
      <w:r>
        <w:rPr>
          <w:rStyle w:val="None"/>
          <w:rFonts w:ascii="Times New Roman" w:hAnsi="Times New Roman"/>
          <w:sz w:val="24"/>
          <w:szCs w:val="24"/>
          <w:rtl/>
          <w:lang w:val="ar-SA"/>
        </w:rPr>
        <w:t xml:space="preserve">. </w:t>
      </w:r>
    </w:p>
    <w:p w14:paraId="72B0742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الملكية الفكرية هي تلك التي تدرك بالفكر فهي نتاج فكري خالص للمبدع، فله حق على نتاج ذهنه وثمرة فكره أي كان مظهره، فلمالك الحق الفكري الحق في التصرف فيه، على النحو الذي يريده وفق ضوابط الفقه والقانون، كما أنَّ الملكية الفكرية عامل أساسي في نمو الاقتصاد الوطني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6506B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اتفاقية تريبس في المادة السابعة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تسهم حماية وإنفاذ حقوق الملكية الفكرية في تشجيع روح الابتكار التكنولوجي، ونقل، وتعميم التكنولوجيا، بما يحقق المنفعة المشتركة لمنتجي المعرفة التكنولوجية ومستخدميها، بالأسلوب الذي يحقق الرفاهية الاجتماعية، والاقتصادية، والتوزان بين الحقوق والواجبات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BF486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التكنولوجيا الحديثة أدت إلى تغيير العديد من الأساليب، فبعد أنْ كان النشر التقليدي يمر بعدة مراحل حتى يصل المصنف إلى الجمهور، أصبح النشر الإلكتروني مختزلًا بدوره جميع العقبات التي تحول دون ذلك، كذلك الأمر بالنسبة للمصنفات العلمية، كذا مال الملكية الصناعية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49CB5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أدى التطوُّر التكنولوجي الذي شهده المجتمع الدولي في وسائل التواصل، والاتصال، والوسائل التي تنقل الإنتاج الفكري بكافة أشكاله وصوره إلى ظهور مصنفات جديدة، وهذه المصنفات كانت موضع اهتمام من قِبل المختصين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09E73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تجسيد للعقل والإبداع؛ حيث يحق لصاحبها التصرف فيما أبدعه، وفقًا للضوابط القانونية والفقهية، وقد ساهمت التطوُّرات التكنولوجية الحديثة في إحداث تحول كبير في طرق إنتاج وتوزيع هذه المصنفات؛ حيث اختصرت الوسائط الرقمية العديد من المراحل التي كانت تعيق النشر التقليدي، وهذا ما زاد من أهمية الملكية الفكرية كعنصر فعَّال في دعم الابتكار</w:t>
      </w:r>
      <w:r>
        <w:rPr>
          <w:rStyle w:val="None"/>
          <w:rFonts w:ascii="Times New Roman" w:hAnsi="Times New Roman"/>
          <w:sz w:val="24"/>
          <w:szCs w:val="24"/>
          <w:rtl/>
          <w:lang w:val="ar-SA"/>
        </w:rPr>
        <w:t>.</w:t>
      </w:r>
    </w:p>
    <w:p w14:paraId="5ACE959D" w14:textId="77777777" w:rsidR="00454428" w:rsidRPr="00CC3E5F"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24E8D1D" w14:textId="77777777" w:rsidR="00454428" w:rsidRDefault="00C464EC">
      <w:pPr>
        <w:pStyle w:val="ListParagraph"/>
        <w:numPr>
          <w:ilvl w:val="0"/>
          <w:numId w:val="82"/>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 xml:space="preserve">الاقتصاد الرقمي </w:t>
      </w:r>
    </w:p>
    <w:p w14:paraId="5A886CA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التوجهات الاقتصادية العالمية الحديثة التي تستهدفها الدول لتعزيز أنماط النشاط الاقتصادي في جميع المجالات، فالاقتصاد الرقمي أداة قوية تساهم بشكل كبير في تعزيز النشاط الاقتصادي وتحسين الإنتاجية والأداء الاقتصادي، كما يعتمد الاقتصادي الرقمي على التكنولوجيا الرقمية والإنترنت التي تؤدي إلى تحسين العمليات التجارية، فالاقتصاد الرقمي يشجع على زيادة الاستثمارات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7"/>
      </w:r>
      <w:r>
        <w:rPr>
          <w:rStyle w:val="None"/>
          <w:rFonts w:ascii="Times New Roman" w:hAnsi="Times New Roman"/>
          <w:sz w:val="24"/>
          <w:szCs w:val="24"/>
          <w:vertAlign w:val="superscript"/>
          <w:rtl/>
          <w:lang w:val="ar-SA"/>
        </w:rPr>
        <w:t>)</w:t>
      </w:r>
    </w:p>
    <w:p w14:paraId="3EBCF15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الابتكار الرقمي يعبر عن مدى النمو الاقتصادي بشكل عام والاقتصاد الرقمي بشكل خاص، إذ أن الأخير يقوم بدور على البحث والتطوير، كما تسعى الدول جاهدة إلى زيادة معدلات الانفاق على البحث والتطوير وخاصة فيما يتعلق بالسلع والخدمات التي يتم تقديمها لأفراد المجتمع لتحقيق مستويات عليا من الرفاه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8"/>
      </w:r>
      <w:r>
        <w:rPr>
          <w:rStyle w:val="None"/>
          <w:rFonts w:ascii="Times New Roman" w:hAnsi="Times New Roman"/>
          <w:sz w:val="24"/>
          <w:szCs w:val="24"/>
          <w:vertAlign w:val="superscript"/>
          <w:rtl/>
          <w:lang w:val="ar-SA"/>
        </w:rPr>
        <w:t>)</w:t>
      </w:r>
    </w:p>
    <w:p w14:paraId="7183C36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بالاقتصاد الرقمي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ممارسة الأنشطة الاقتصادية من خلال استخدام تكنولوجيا المعلومات ووسائل الاتصالات، وذلك بإيجاد روابط فعالة فيما بين أطراف النشاط الاقتصادي، وذلك بفتح الحدود والحواجز أمام تدفق المعلومات والسلع والخدمات وحركة رؤوس الأموال من أجل الوصول إلى الأسواق بغض النظر عن أماكن تواجدها وزمنها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9"/>
      </w:r>
      <w:r>
        <w:rPr>
          <w:rStyle w:val="None"/>
          <w:rFonts w:ascii="Times New Roman" w:hAnsi="Times New Roman"/>
          <w:sz w:val="24"/>
          <w:szCs w:val="24"/>
          <w:vertAlign w:val="superscript"/>
          <w:rtl/>
          <w:lang w:val="ar-SA"/>
        </w:rPr>
        <w:t>)</w:t>
      </w:r>
    </w:p>
    <w:p w14:paraId="66EBA7E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مظاهر التحول الاقتصادي في الوقت الحالي؛ لأنه يعتمد على التكنولوجيا، في تبادل السلع والخدمات، فمن خلال الاقتصاد الرقمي يتم عرض الأعمال التي تحتوي على ملكية فكرية، بالإضافة إلى استغلال مصنفاتهم ومنع الاعتداء عليها؛ مما تعمل على تشجيع الاستثمارات</w:t>
      </w:r>
      <w:r>
        <w:rPr>
          <w:rStyle w:val="None"/>
          <w:rFonts w:ascii="Times New Roman" w:hAnsi="Times New Roman"/>
          <w:sz w:val="24"/>
          <w:szCs w:val="24"/>
          <w:rtl/>
          <w:lang w:val="ar-SA"/>
        </w:rPr>
        <w:t>.</w:t>
      </w:r>
    </w:p>
    <w:p w14:paraId="7995E56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يتكون الاقتصاد الرقمي من مجموعة من المؤسسات الإلكترونية التي تتشابك مع بعضها البعض من خلال شبكة المعلومات الدولية عن طريق مواقع الإنترنت والبريد الإلكتروني، وذلك لتحقيق التشابكات الاقتصادية بين المؤسسات لتنفيذ التجارة الإلكترونية، أي تبادل السلع والخدمات والأموال عبر الإنترنت أو تحويل الأموال بين البائعين والمشتريين والبنوك باستخدام طرق الدفع عن طريق الإنترنت والأدوات الإلكترونية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0"/>
      </w:r>
      <w:r>
        <w:rPr>
          <w:rStyle w:val="None"/>
          <w:rFonts w:ascii="Times New Roman" w:hAnsi="Times New Roman"/>
          <w:sz w:val="24"/>
          <w:szCs w:val="24"/>
          <w:vertAlign w:val="superscript"/>
          <w:rtl/>
          <w:lang w:val="ar-SA"/>
        </w:rPr>
        <w:t>)</w:t>
      </w:r>
    </w:p>
    <w:p w14:paraId="068F2E2A" w14:textId="77777777" w:rsidR="00454428" w:rsidRDefault="00C464EC">
      <w:pPr>
        <w:pStyle w:val="ListParagraph"/>
        <w:numPr>
          <w:ilvl w:val="0"/>
          <w:numId w:val="8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 xml:space="preserve">الدفع الإلكتروني </w:t>
      </w:r>
    </w:p>
    <w:p w14:paraId="3DEAB12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يعد الدفع الإلكتروني من بين أهم الخدمات التي تتيحها البنوك لعملائها لإجراء عمليات البيع والشراء من خلال شبكة الإنترنت، ولقد عرفت انتشارًا فسيح في الآونة الأخيرة مع ظهور عمليات التجارة الإلكترونية فضلًا عن تطوير البنوك؛ لمواكبة هذه الثورة التكنولوجيا وما نتج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1"/>
      </w:r>
      <w:r>
        <w:rPr>
          <w:rStyle w:val="None"/>
          <w:rFonts w:ascii="Times New Roman" w:hAnsi="Times New Roman"/>
          <w:sz w:val="24"/>
          <w:szCs w:val="24"/>
          <w:vertAlign w:val="superscript"/>
          <w:rtl/>
          <w:lang w:val="ar-SA"/>
        </w:rPr>
        <w:t>)</w:t>
      </w:r>
    </w:p>
    <w:p w14:paraId="6F9A682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جدير بالذكر أن المملكة العربية السعودية امتلكت منذ منتصف الثمانينات شبكة وطنية واحدة للصرف والتحويل الإلكتروني وهي شبكات الحوالات الخارجية التابعة لبنك الراجحي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2"/>
      </w:r>
      <w:r>
        <w:rPr>
          <w:rStyle w:val="None"/>
          <w:rFonts w:ascii="Times New Roman" w:hAnsi="Times New Roman"/>
          <w:sz w:val="24"/>
          <w:szCs w:val="24"/>
          <w:vertAlign w:val="superscript"/>
          <w:rtl/>
          <w:lang w:val="ar-SA"/>
        </w:rPr>
        <w:t>)</w:t>
      </w:r>
    </w:p>
    <w:p w14:paraId="119B65B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كشف البنك المركزي السعودي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ساما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عن تحقيق حصة المدفوعات الإلكترونية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مستهدفات برنامج تطوير القطاع المالي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نسبة </w:t>
      </w:r>
      <w:r>
        <w:rPr>
          <w:rStyle w:val="None"/>
          <w:rFonts w:ascii="Times New Roman" w:hAnsi="Times New Roman"/>
          <w:sz w:val="24"/>
          <w:szCs w:val="24"/>
          <w:rtl/>
          <w:lang w:val="ar-SA"/>
        </w:rPr>
        <w:t xml:space="preserve">79% </w:t>
      </w:r>
      <w:r>
        <w:rPr>
          <w:rStyle w:val="None"/>
          <w:rFonts w:ascii="Arial Unicode MS" w:hAnsi="Arial Unicode MS" w:cs="Times New Roman" w:hint="cs"/>
          <w:sz w:val="24"/>
          <w:szCs w:val="24"/>
          <w:rtl/>
          <w:lang w:val="ar-SA"/>
        </w:rPr>
        <w:t xml:space="preserve">من إجمالي عمليات الدفع المنفذة في قطاع التجزئة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الأفراد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بنهاية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وذلك مقارنةً بنسبة </w:t>
      </w:r>
      <w:r>
        <w:rPr>
          <w:rStyle w:val="None"/>
          <w:rFonts w:ascii="Times New Roman" w:hAnsi="Times New Roman"/>
          <w:sz w:val="24"/>
          <w:szCs w:val="24"/>
          <w:rtl/>
          <w:lang w:val="ar-SA"/>
        </w:rPr>
        <w:t xml:space="preserve">70% </w:t>
      </w:r>
      <w:r>
        <w:rPr>
          <w:rStyle w:val="None"/>
          <w:rFonts w:ascii="Arial Unicode MS" w:hAnsi="Arial Unicode MS" w:cs="Times New Roman" w:hint="cs"/>
          <w:sz w:val="24"/>
          <w:szCs w:val="24"/>
          <w:rtl/>
          <w:lang w:val="ar-SA"/>
        </w:rPr>
        <w:t xml:space="preserve">المسجلة في العام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ويتزامن هذا الإنجاز مع تحقيق أنظمة المدفوعات في المملكة نموًا كبيرًا خلال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حيث سجل عدد عمليات الدفع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غير النقدية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المنفذة نحو </w:t>
      </w:r>
      <w:r>
        <w:rPr>
          <w:rStyle w:val="None"/>
          <w:rFonts w:ascii="Times New Roman" w:hAnsi="Times New Roman"/>
          <w:sz w:val="24"/>
          <w:szCs w:val="24"/>
          <w:rtl/>
          <w:lang w:val="ar-SA"/>
        </w:rPr>
        <w:t xml:space="preserve">12.6 </w:t>
      </w:r>
      <w:r>
        <w:rPr>
          <w:rStyle w:val="None"/>
          <w:rFonts w:ascii="Arial Unicode MS" w:hAnsi="Arial Unicode MS" w:cs="Times New Roman" w:hint="cs"/>
          <w:sz w:val="24"/>
          <w:szCs w:val="24"/>
          <w:rtl/>
          <w:lang w:val="ar-SA"/>
        </w:rPr>
        <w:t xml:space="preserve">مليار عملية، مقارنة بـ </w:t>
      </w:r>
      <w:r>
        <w:rPr>
          <w:rStyle w:val="None"/>
          <w:rFonts w:ascii="Times New Roman" w:hAnsi="Times New Roman"/>
          <w:sz w:val="24"/>
          <w:szCs w:val="24"/>
          <w:rtl/>
          <w:lang w:val="ar-SA"/>
        </w:rPr>
        <w:t xml:space="preserve">10.8 </w:t>
      </w:r>
      <w:r>
        <w:rPr>
          <w:rStyle w:val="None"/>
          <w:rFonts w:ascii="Arial Unicode MS" w:hAnsi="Arial Unicode MS" w:cs="Times New Roman" w:hint="cs"/>
          <w:sz w:val="24"/>
          <w:szCs w:val="24"/>
          <w:rtl/>
          <w:lang w:val="ar-SA"/>
        </w:rPr>
        <w:t xml:space="preserve">مليارات عملية للعام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وتشهد المملكة تقدمًا ملحوظًا ونموًا متسارعًا لتبني وسائل المدفوعات الإلكترونية، والذي يأتي كنتيجة للجهود والمبادرات الإستراتيجية العديدة التي أطلقها البنك المركزي السعودي بالتعاون مع القطاع المالي؛ لدعم نمو قطاع المدفوعات وتحفيز استخدام خيارات الدفع الإلكترونية المتنوعة في المملكة، التي من شأنها أن تساهم في تحقيق مستهدفات رؤية السعودية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لتقليل الاعتماد على النقد وتعزيز نمو رقمنة المدفوعات</w:t>
      </w:r>
      <w:r>
        <w:rPr>
          <w:rStyle w:val="None"/>
          <w:rFonts w:ascii="Times New Roman" w:hAnsi="Times New Roman"/>
          <w:sz w:val="24"/>
          <w:szCs w:val="24"/>
          <w:rtl/>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3"/>
      </w:r>
      <w:r>
        <w:rPr>
          <w:rStyle w:val="None"/>
          <w:rFonts w:ascii="Times New Roman" w:hAnsi="Times New Roman"/>
          <w:sz w:val="24"/>
          <w:szCs w:val="24"/>
          <w:vertAlign w:val="superscript"/>
          <w:rtl/>
          <w:lang w:val="ar-SA"/>
        </w:rPr>
        <w:t>)</w:t>
      </w:r>
    </w:p>
    <w:p w14:paraId="119A999E" w14:textId="77777777" w:rsidR="00454428" w:rsidRDefault="00C464EC">
      <w:pPr>
        <w:pStyle w:val="ListParagraph"/>
        <w:numPr>
          <w:ilvl w:val="0"/>
          <w:numId w:val="8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التسوق الإلكتروني</w:t>
      </w:r>
    </w:p>
    <w:p w14:paraId="7303FE5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التسويق الإلكتروني عملية تفاعلية تختص بتبادل السلع والخدمات والأفكار بين عدة أطراف مشاركة عبر وسائل إلكترونية، ومع التطور التكنولوجي الهائل الذي نعيش فيه، فقد أوجدت الشبكة العنكبوتية مفهومًا جديدًا للتسوق، وهو الفضاء السوقي الذي يعكس التواجد الإلكتروني الرقمي للسوق، ويعتبر التسوق الإلكتروني شكلًا من أشكال التجارة الإلكترونية بين المنظمة والمستهلك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4"/>
      </w:r>
      <w:r>
        <w:rPr>
          <w:rStyle w:val="None"/>
          <w:rFonts w:ascii="Times New Roman" w:hAnsi="Times New Roman"/>
          <w:sz w:val="24"/>
          <w:szCs w:val="24"/>
          <w:vertAlign w:val="superscript"/>
          <w:rtl/>
          <w:lang w:val="ar-SA"/>
        </w:rPr>
        <w:t>)</w:t>
      </w:r>
    </w:p>
    <w:p w14:paraId="7B41356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يعرف التسوق الإلكتروني بأنه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وسيلة اتصال سريعة وسهلة وقليلة التكلفة وذلك لتنفيذ هذه الأعمال التي تشكل الأنواع الرئيسية لعملية التسويق بشكله التقليدي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5"/>
      </w:r>
      <w:r>
        <w:rPr>
          <w:rStyle w:val="None"/>
          <w:rFonts w:ascii="Times New Roman" w:hAnsi="Times New Roman"/>
          <w:sz w:val="24"/>
          <w:szCs w:val="24"/>
          <w:vertAlign w:val="superscript"/>
          <w:rtl/>
          <w:lang w:val="ar-SA"/>
        </w:rPr>
        <w:t>)</w:t>
      </w:r>
    </w:p>
    <w:p w14:paraId="0FABB77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يقدر حجم سوق التجارة الإلكترونية في المملكة العربية السعودية بمبلغ </w:t>
      </w:r>
      <w:r>
        <w:rPr>
          <w:rStyle w:val="None"/>
          <w:rFonts w:ascii="Times New Roman" w:hAnsi="Times New Roman"/>
          <w:sz w:val="24"/>
          <w:szCs w:val="24"/>
          <w:rtl/>
          <w:lang w:val="ar-SA"/>
        </w:rPr>
        <w:t xml:space="preserve">13.61 </w:t>
      </w:r>
      <w:r>
        <w:rPr>
          <w:rStyle w:val="None"/>
          <w:rFonts w:ascii="Arial Unicode MS" w:hAnsi="Arial Unicode MS" w:cs="Times New Roman" w:hint="cs"/>
          <w:sz w:val="24"/>
          <w:szCs w:val="24"/>
          <w:rtl/>
          <w:lang w:val="ar-SA"/>
        </w:rPr>
        <w:t xml:space="preserve">مليار دولار أمريكي في 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ومن المتوقع أن يصل إلى </w:t>
      </w:r>
      <w:r>
        <w:rPr>
          <w:rStyle w:val="None"/>
          <w:rFonts w:ascii="Times New Roman" w:hAnsi="Times New Roman"/>
          <w:sz w:val="24"/>
          <w:szCs w:val="24"/>
          <w:rtl/>
          <w:lang w:val="ar-SA"/>
        </w:rPr>
        <w:t xml:space="preserve">27.37 </w:t>
      </w:r>
      <w:r>
        <w:rPr>
          <w:rStyle w:val="None"/>
          <w:rFonts w:ascii="Arial Unicode MS" w:hAnsi="Arial Unicode MS" w:cs="Times New Roman" w:hint="cs"/>
          <w:sz w:val="24"/>
          <w:szCs w:val="24"/>
          <w:rtl/>
          <w:lang w:val="ar-SA"/>
        </w:rPr>
        <w:t xml:space="preserve">مليار دولار أمريكي بحلول عام </w:t>
      </w:r>
      <w:r>
        <w:rPr>
          <w:rStyle w:val="None"/>
          <w:rFonts w:ascii="Times New Roman" w:hAnsi="Times New Roman"/>
          <w:sz w:val="24"/>
          <w:szCs w:val="24"/>
          <w:rtl/>
          <w:lang w:val="ar-SA"/>
        </w:rPr>
        <w:t>2029</w:t>
      </w:r>
      <w:r>
        <w:rPr>
          <w:rStyle w:val="None"/>
          <w:rFonts w:ascii="Arial Unicode MS" w:hAnsi="Arial Unicode MS" w:cs="Times New Roman" w:hint="cs"/>
          <w:sz w:val="24"/>
          <w:szCs w:val="24"/>
          <w:rtl/>
          <w:lang w:val="ar-SA"/>
        </w:rPr>
        <w:t xml:space="preserve">، بمعدل نمو سنوي مركب قدره </w:t>
      </w:r>
      <w:r>
        <w:rPr>
          <w:rStyle w:val="None"/>
          <w:rFonts w:ascii="Times New Roman" w:hAnsi="Times New Roman"/>
          <w:sz w:val="24"/>
          <w:szCs w:val="24"/>
          <w:rtl/>
          <w:lang w:val="ar-SA"/>
        </w:rPr>
        <w:t>15.01</w:t>
      </w:r>
      <w:r>
        <w:rPr>
          <w:rStyle w:val="None"/>
          <w:rFonts w:ascii="Arial Unicode MS" w:hAnsi="Arial Unicode MS" w:cs="Times New Roman" w:hint="cs"/>
          <w:sz w:val="24"/>
          <w:szCs w:val="24"/>
          <w:rtl/>
          <w:lang w:val="ar-SA"/>
        </w:rPr>
        <w:t xml:space="preserve">٪ خلال فترة التنبؤ </w:t>
      </w:r>
      <w:r>
        <w:rPr>
          <w:rStyle w:val="None"/>
          <w:rFonts w:ascii="Times New Roman" w:hAnsi="Times New Roman"/>
          <w:sz w:val="24"/>
          <w:szCs w:val="24"/>
          <w:rtl/>
          <w:lang w:val="ar-SA"/>
        </w:rPr>
        <w:t>(2024-2029)</w:t>
      </w:r>
      <w:r>
        <w:rPr>
          <w:rStyle w:val="None"/>
          <w:rFonts w:ascii="Arial Unicode MS" w:hAnsi="Arial Unicode MS" w:cs="Times New Roman" w:hint="cs"/>
          <w:sz w:val="24"/>
          <w:szCs w:val="24"/>
          <w:rtl/>
          <w:lang w:val="ar-SA"/>
        </w:rPr>
        <w:t xml:space="preserve">، تتمتع المملكة العربية السعودية باقتصاد متطور، ويعد انتشار الإنترنت أمرا مهما في البلاد؛ حيث يشير البنك الدولي إلى أن أكثر من </w:t>
      </w:r>
      <w:r>
        <w:rPr>
          <w:rStyle w:val="None"/>
          <w:rFonts w:ascii="Times New Roman" w:hAnsi="Times New Roman"/>
          <w:sz w:val="24"/>
          <w:szCs w:val="24"/>
          <w:rtl/>
          <w:lang w:val="ar-SA"/>
        </w:rPr>
        <w:t>100</w:t>
      </w:r>
      <w:r>
        <w:rPr>
          <w:rStyle w:val="None"/>
          <w:rFonts w:ascii="Arial Unicode MS" w:hAnsi="Arial Unicode MS" w:cs="Times New Roman" w:hint="cs"/>
          <w:sz w:val="24"/>
          <w:szCs w:val="24"/>
          <w:rtl/>
          <w:lang w:val="ar-SA"/>
        </w:rPr>
        <w:t>٪ من السكان يستخدمون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هذا يدل على أن الوعي </w:t>
      </w:r>
      <w:r>
        <w:rPr>
          <w:rStyle w:val="None"/>
          <w:rFonts w:ascii="Arial Unicode MS" w:hAnsi="Arial Unicode MS" w:cs="Times New Roman" w:hint="cs"/>
          <w:sz w:val="24"/>
          <w:szCs w:val="24"/>
          <w:rtl/>
          <w:lang w:val="ar-SA"/>
        </w:rPr>
        <w:lastRenderedPageBreak/>
        <w:t>بالتسوق عبر الإنترنت كبير ويساهم في نمو السوق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عززت التطورات المتزايدة في تقنيات الإنترنت عبر الهاتف المحمول والهواتف الذكية والنطاق العريض اعتماد الخدمات القائمة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6"/>
      </w:r>
      <w:r>
        <w:rPr>
          <w:rStyle w:val="None"/>
          <w:rFonts w:ascii="Times New Roman" w:hAnsi="Times New Roman"/>
          <w:sz w:val="24"/>
          <w:szCs w:val="24"/>
          <w:vertAlign w:val="superscript"/>
          <w:rtl/>
          <w:lang w:val="ar-SA"/>
        </w:rPr>
        <w:t>)</w:t>
      </w:r>
    </w:p>
    <w:p w14:paraId="1A93DB31" w14:textId="77777777" w:rsidR="006B1B4A" w:rsidRDefault="006B1B4A">
      <w:pPr>
        <w:rPr>
          <w:rStyle w:val="None"/>
          <w:rFonts w:ascii="Arial Unicode MS" w:hAnsi="Arial Unicode MS"/>
          <w:b/>
          <w:bCs/>
          <w:color w:val="000000"/>
          <w:u w:color="000000"/>
          <w:rtl/>
          <w:lang w:val="ar-SA"/>
        </w:rPr>
      </w:pPr>
      <w:r>
        <w:rPr>
          <w:rStyle w:val="None"/>
          <w:b/>
          <w:bCs/>
          <w:rtl/>
          <w:lang w:val="ar-SA"/>
        </w:rPr>
        <w:br w:type="page"/>
      </w:r>
    </w:p>
    <w:p w14:paraId="49AA4FD5" w14:textId="113ADF44" w:rsidR="00454428" w:rsidRDefault="00C464EC">
      <w:pPr>
        <w:pStyle w:val="ListParagraph"/>
        <w:numPr>
          <w:ilvl w:val="0"/>
          <w:numId w:val="7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lastRenderedPageBreak/>
        <w:t xml:space="preserve">الاستثمار </w:t>
      </w:r>
    </w:p>
    <w:p w14:paraId="25C5850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الاستثمارات فائمة على وجود عنصر الابتكار والتي تضيف لها الميزة التنافسية لتمييز المنتجات عن غيرها في الأسواق، فمعظم الاقتصاديات المتطورة والقائمة على الاقتصاد المعرفي تلعب دورًا في خلق الثورة، وخلق منتجات جديدة تتميز بمواكبتها للتغيرات التكنولوجية والاجتماعي، مع وجود عناصر الابداع والابتكار والجدة؛ لتمييزها عن غيرها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7"/>
      </w:r>
      <w:r>
        <w:rPr>
          <w:rStyle w:val="None"/>
          <w:rFonts w:ascii="Times New Roman" w:hAnsi="Times New Roman"/>
          <w:sz w:val="24"/>
          <w:szCs w:val="24"/>
          <w:vertAlign w:val="superscript"/>
          <w:rtl/>
          <w:lang w:val="ar-SA"/>
        </w:rPr>
        <w:t>)</w:t>
      </w:r>
    </w:p>
    <w:p w14:paraId="258D57E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الرابطة بين حماية حقوق الملكية الفكرية والاستثمار رابطة مهمة حيث يوجد رأيان وهما، الرأي الأول في صالح الدول المتقدمة يقول بالعلاقة الطردية بين نظام حماية الملكية الفكرية وتدفق رأس المال زيادة نقل التكنولوجيا من الدول المتقدمة إلى الدول النامية، ويظهر ذلك في أنه إذا كان نظام الحماية ضعيفًا فإن ذلك سيؤدي إلى ارتفاع احتمالية التقليد والتعدي؛ مما يجعل تلك الدول أثل جاذبية للاستثمار خاصة في مجالات الأدوية والمنتجات الصحية والمعدات الإلكترونية، فالحماية القوية تشج الشركات المتعددة الجنسيات على الترخيص بالإنتاج في تلك الدول على أساس انها لا تخش تقليد منتجاتها التي تحمل ملكية فكرية طالما أنها محمية؛ لأن تقوية نظم حماية حقوق الملكية الصناعية من شأنه أن يشجع عمليات نقل التكنولوجيا، سواء من خلال التصاريح أو الإفصاح عن الابتكارات ومن ثمة تزداد قدرة الشركة المحلية إلى الوصول إلى التكنولوجيا الجديدة والمتطورة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8"/>
      </w:r>
      <w:r>
        <w:rPr>
          <w:rStyle w:val="None"/>
          <w:rFonts w:ascii="Times New Roman" w:hAnsi="Times New Roman"/>
          <w:sz w:val="24"/>
          <w:szCs w:val="24"/>
          <w:vertAlign w:val="superscript"/>
          <w:rtl/>
          <w:lang w:val="ar-SA"/>
        </w:rPr>
        <w:t>)</w:t>
      </w:r>
    </w:p>
    <w:p w14:paraId="3A72042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والرأي الثاني في صالح الدول النامية؛ حيث نفي هذا الطرح مثبتًا من خلال الدراسات أن الاستثمار الأجنبي كان ضعيفًا حتى في الدول التي كان فيها نظام حقوق الملكية الصناعية قويًا، أي أن الدول النامية بالرغم مما حققته من تقدم كبير في مجال حقوق الملكية الصناعية إلا أن هذا لم يغري الشركات الأجنبية للاستثمار بها خاصة في الصناعات الحيوية، وبالتالي حرمتها من نصل التكنولوجيا إليها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9"/>
      </w:r>
      <w:r>
        <w:rPr>
          <w:rStyle w:val="None"/>
          <w:rFonts w:ascii="Times New Roman" w:hAnsi="Times New Roman"/>
          <w:sz w:val="24"/>
          <w:szCs w:val="24"/>
          <w:vertAlign w:val="superscript"/>
          <w:rtl/>
          <w:lang w:val="ar-SA"/>
        </w:rPr>
        <w:t>)</w:t>
      </w:r>
    </w:p>
    <w:p w14:paraId="4315E75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والتطرق لأمر الملكية الفكرية في مجال الاستثمار بالمملكة العربية السعودية، فاللائحة التنفيذية لنظام الاستثمار الأجنبي فقط تضمنت حماية الملكية الفكرية في المادة الأولى من اللائحة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حقوق الملكية الفكرية وفقًا للأنظمة ذات العلاقة في المملكة ومنها براءات الاختراع والتصاميم الصناعية والعلامات التجارية، والأسرار التجارية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0"/>
      </w:r>
      <w:r>
        <w:rPr>
          <w:rStyle w:val="None"/>
          <w:rFonts w:ascii="Times New Roman" w:hAnsi="Times New Roman"/>
          <w:sz w:val="24"/>
          <w:szCs w:val="24"/>
          <w:vertAlign w:val="superscript"/>
          <w:rtl/>
          <w:lang w:val="ar-SA"/>
        </w:rPr>
        <w:t>)</w:t>
      </w:r>
    </w:p>
    <w:p w14:paraId="3A59D88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 أن كل القوانين المتعلقة بحقوق الملكية الفكرية تقوم على تشجيع الاستثمارات على اختلاف أنواعها وطنية كانت أم أجنبية وذلك من خلال العلاقة بين أنظمة حماية حقوق الملكية الفكرية والاستثمار ولعل الملاحظ ان أهمية حقوق الملكية الفكرية تبرز في مجالات الاستثمار المختلفة؛ حيث إن الكثير من هذه الاستثمارات تحتوي على شكل أو أكثر من أشكال حقوق الملكية الفكرية والأسرار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1"/>
      </w:r>
      <w:r>
        <w:rPr>
          <w:rStyle w:val="None"/>
          <w:rFonts w:ascii="Times New Roman" w:hAnsi="Times New Roman"/>
          <w:sz w:val="24"/>
          <w:szCs w:val="24"/>
          <w:vertAlign w:val="superscript"/>
          <w:rtl/>
          <w:lang w:val="ar-SA"/>
        </w:rPr>
        <w:t>)</w:t>
      </w:r>
    </w:p>
    <w:p w14:paraId="23D411D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 إن الاستثمار وحقوق الملكية الفكرية هي علاقة تكميلية؛ لأن الملكية الفكرية هي عنصر هام في جب الاستثمارات سواء المحلية أو الأجنبية؛ لأنها تمنح المستثمرين الثقة في أن ابتكاراتهم ستكون محمية قانونًا من الاعتداءات أو التقليد، بالإضافة إلى أن حقوق الملكية الفكرية ترفع القيمة الاقتصادية للمشروعات؛ وذلك من خلال حماية العلامات التجارية وبراءات الاختراع؛ مما يدعم القدرة التنافسية في الأسواق</w:t>
      </w:r>
      <w:r>
        <w:rPr>
          <w:rStyle w:val="None"/>
          <w:rFonts w:ascii="Times New Roman" w:hAnsi="Times New Roman"/>
          <w:sz w:val="24"/>
          <w:szCs w:val="24"/>
          <w:rtl/>
          <w:lang w:val="ar-SA"/>
        </w:rPr>
        <w:t>.</w:t>
      </w:r>
    </w:p>
    <w:p w14:paraId="19BDA021"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دمج التكنولوجيا في حماية المصنفات</w:t>
      </w:r>
      <w:r>
        <w:rPr>
          <w:rStyle w:val="None"/>
          <w:rFonts w:ascii="Times New Roman" w:hAnsi="Times New Roman"/>
          <w:b/>
          <w:bCs/>
          <w:sz w:val="28"/>
          <w:szCs w:val="28"/>
          <w:rtl/>
          <w:lang w:val="ar-SA"/>
        </w:rPr>
        <w:t>:</w:t>
      </w:r>
    </w:p>
    <w:p w14:paraId="1AB4D3D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تصاعد التحديات التي فرضتها البيئة الرقمية على حماية المصنفات الفكرية من الاستخدام غير المشروع؛ برزت الحاجة إلى حلول تقنية مبتكرة تتماشى مع طبيعة هذا الفضاء المتغير، قد أدى ذلك إلى دمج التكنولوجيا بشكل متزايد في آليات حماية المصنفات، من خلال استخدام تقنيات متعددة، تتيح للمبدعين مراقبة أعمالهم الرقمية، والتعرُّف على طرق تداولها، ويعكس هذا الدمج بين التكنولوجيا والإبداع الفكري تطوُّرًا نوعيًا في مفهوم الحماية؛ حيث يتجاوز الأطر التقليدية ليرتبط ارتباطًا وثيقًا ببنية البيئة الرقمية نفسها</w:t>
      </w:r>
      <w:r>
        <w:rPr>
          <w:rStyle w:val="None"/>
          <w:rFonts w:ascii="Times New Roman" w:hAnsi="Times New Roman"/>
          <w:sz w:val="24"/>
          <w:szCs w:val="24"/>
          <w:rtl/>
          <w:lang w:val="ar-SA"/>
        </w:rPr>
        <w:t>.</w:t>
      </w:r>
    </w:p>
    <w:p w14:paraId="26301F1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عالم التكنولوجيا والاتصالات أصبح في تطوُّر مستمر، وأهم ما أفرزته تطوُّرات في الكمبيوتر وشبكة الإنترنت شملت أيضًا حقوق الملكية الفكرية، وتتضمن المواقع الإلكترونية عناصر خاضعة للحماية، بموجب قوانين الملكية الفكرية، سواء تمثلت في براءة اختراع، أو علامات تجارية، أو حقوق المؤلفين والحقوق المجاورة لها، ويشكل ما يتم نشره في البيئة الرقمية الافتراضية حقوقًا لمالكها، ولا يجوز استغلالها إلا بموافقة مالكها، وتُعَدُّ المصنفات الرقمية من حقوق الملكية الفكرية للمؤلف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F24DD5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أشار جانب من الفقه إلى تعريف المصنفات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المصنفات الإبداعية العقلية التي تنتمي إلى بيئة تقنية المعلومات، والتي يتم التعامل معها بشكل رقمي، والتي تظهر في برامج الكمبيوتر، وقواعد البيانات، والدوائر المتكاملة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44B35D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خلال الرقابة الإلكترونية تستطيع الجهات الرقابية المسئولة وفق القوانين ممارسة وظيفها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وهذه الرقابة تقوم بها سلطات الضبط في إطار سعيها للمحافظة على الأمن العام، ومنع وقوع الجرائم بشكل عام، وهي من قبيل الضبط الإداري العام، على أنَّه ينبغي أنْ تتم وفق الضوابط التشريعية، وأنْ تخضع لرقابة القضاء حماية للحقوق والحريات العامة من أي انحراف قد يقع من سلطات الضبط، والحقيقة أنَّ الأمر يتوقف على تحقيق التوازن بين حماية الحقوق والحريات كمصلحة خاصة، وحق المجتمع في الأمن، ومنع الجريمة كمصلحة عامة، وتغليب المصلحة العامة على المصالح الخاصة للأفراد عند التعارض بينهما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5DECB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أكد نظام حماية حقوق المؤلف على سلطات الضبط في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يتولى الموظفون المختصون بالوزارة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وتحدد اللائحة التنفيذية الإجراءات، والقواعد التي يلتزم بها هؤلاء الموظفون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4E563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قد شهدت تطوُّرًا كبيرًا؛ نتيجةً للتقدم في تكنولوجيا المعلومات والاتصالات؛ ممَّا أنتج واقعًا جديدًا للملكية الفكرية، فأصبحت المحتويات المنشورة عبر الإنترنت،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المواقع الإلكترونية والتطبيقات والمصنفات الرقمية، تمثل حقوقًا فكريةً محفوظةً لأصحابها، وتشمل براءات الاختراع، والعلامات التجارية، وحقوق المؤلف، وغيرها</w:t>
      </w:r>
      <w:r>
        <w:rPr>
          <w:rStyle w:val="None"/>
          <w:rFonts w:ascii="Times New Roman" w:hAnsi="Times New Roman"/>
          <w:sz w:val="24"/>
          <w:szCs w:val="24"/>
          <w:rtl/>
          <w:lang w:val="ar-SA"/>
        </w:rPr>
        <w:t>.</w:t>
      </w:r>
    </w:p>
    <w:p w14:paraId="624E1E8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ولمواكبة هذا التطوُّر التكنولوجي، ظهرت الحاجة إلى آليات رقابية إلكترونية تمارسها الجهات المختصة؛ لضبط الأنشطة الرقمية، ومتابعة المصنفات والمواقع؛ وذلك بهدف الحفاظ على الأمن المعلوماتي ومنع الجرائم السيبرانية؛ حيث تتم ممارسة تلك الرقابة في إطار الضبط الإداري العام، مع الالتزام بالضوابط القانونية والخضوع لرقابة القضاء؛ لتحقيق التوازن بين حماية الحقوق والحريات الفردية من جهة، وصيانة الأمن العام، والمصلحة العامة من جهة أخرى</w:t>
      </w:r>
      <w:r>
        <w:rPr>
          <w:rStyle w:val="None"/>
          <w:rFonts w:ascii="Times New Roman" w:hAnsi="Times New Roman"/>
          <w:sz w:val="24"/>
          <w:szCs w:val="24"/>
          <w:rtl/>
          <w:lang w:val="ar-SA"/>
        </w:rPr>
        <w:t>.</w:t>
      </w:r>
    </w:p>
    <w:p w14:paraId="69F5CA6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البيئة الرقمية قد أحدثت تحوُّلًا جذريًا في مسار تطوُّر الملكية الفكرية، من حيث طبيعة المصنفات وأشكال التعبير عنها، وطرق إنتاجها، ونشرها، وتداولها، وقد أدى التطوُّر التكنولوجي السريع إلى توسيع مفاهيم الملكية الفكرية وظهور صور جديدة للإبداع الفكري؛ ممَّا أثر على مختلف الأصعدة العلمية والثقافية، فلم تَعُدْ المصنفات محصورة في الوسائط التقليدية، بل أصبحت منتشرةً بشكل أكبر في فضاء رقمي واسع يتجاوز الحدود الجغرافية؛ ممَّا أسهم في عموم المعرفة وتسريع حركة الإبداع</w:t>
      </w:r>
      <w:r>
        <w:rPr>
          <w:rStyle w:val="None"/>
          <w:rFonts w:ascii="Times New Roman" w:hAnsi="Times New Roman"/>
          <w:sz w:val="24"/>
          <w:szCs w:val="24"/>
          <w:rtl/>
          <w:lang w:val="ar-SA"/>
        </w:rPr>
        <w:t>.</w:t>
      </w:r>
    </w:p>
    <w:p w14:paraId="1562B573"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6D7C31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1E62FED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6D6BF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77C17C5"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3EA8846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61EB76B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2135755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AE43D7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115C48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7B2277B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4278A62" w14:textId="77777777" w:rsidR="00454428" w:rsidRDefault="00C464EC" w:rsidP="00C72BA8">
      <w:pPr>
        <w:pStyle w:val="a"/>
        <w:rPr>
          <w:rStyle w:val="None"/>
          <w:rtl/>
          <w:lang w:val="ar-SA"/>
        </w:rPr>
      </w:pPr>
      <w:bookmarkStart w:id="183" w:name="_Toc227251108"/>
      <w:bookmarkStart w:id="184" w:name="_Toc232260665"/>
      <w:r>
        <w:rPr>
          <w:rStyle w:val="None"/>
          <w:rFonts w:ascii="Arial Unicode MS" w:eastAsia="Arial Unicode MS" w:hAnsi="Arial Unicode MS" w:hint="cs"/>
          <w:rtl/>
          <w:lang w:val="ar-SA"/>
        </w:rPr>
        <w:lastRenderedPageBreak/>
        <w:t>المبحث الثاني</w:t>
      </w:r>
      <w:bookmarkEnd w:id="183"/>
      <w:bookmarkEnd w:id="184"/>
    </w:p>
    <w:p w14:paraId="7BF48BAB" w14:textId="77777777" w:rsidR="00454428" w:rsidRDefault="00C464EC" w:rsidP="00C72BA8">
      <w:pPr>
        <w:pStyle w:val="a"/>
        <w:rPr>
          <w:rStyle w:val="None"/>
          <w:rtl/>
          <w:lang w:val="ar-SA"/>
        </w:rPr>
      </w:pPr>
      <w:bookmarkStart w:id="185" w:name="_Toc227251109"/>
      <w:bookmarkStart w:id="186" w:name="_Toc232260666"/>
      <w:r>
        <w:rPr>
          <w:rStyle w:val="None"/>
          <w:rFonts w:ascii="Arial Unicode MS" w:eastAsia="Arial Unicode MS" w:hAnsi="Arial Unicode MS" w:hint="cs"/>
          <w:rtl/>
          <w:lang w:val="ar-SA"/>
        </w:rPr>
        <w:t>إشكاليات حماية حقوق الملكية الفكرية في البيئة الرقمية</w:t>
      </w:r>
      <w:bookmarkEnd w:id="185"/>
      <w:bookmarkEnd w:id="186"/>
    </w:p>
    <w:p w14:paraId="6F9F168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السنوات الأخيرة اهتمامًا واسعًا بموضوع الملكية الفكرية، خاصةً مع تزايد عملية التطوُّر التكنولوجي الهائل، الأمر الذي أدى إلى ظهور مشكلات عديدة، ولم يعرفها العالم لولا الانفجار الكبير لتكنولوجيا المعلومات والاتصالات، ومن بين هذه المشكلات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استغلال الملكية الفكرية دون إذا صاحب الحق فيها عبر الوسائل الإلكترونية المتاحة، وبالاعتماد على شبكة الإنترنت الموجودة في كل مكان؛ ممَّا شكل انتهاكًا صريحًا لحقوق أصحاب الملكيات الفكرية سواء من الناحية المادية أو المعنوية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6"/>
      </w:r>
      <w:r>
        <w:rPr>
          <w:rStyle w:val="None"/>
          <w:rFonts w:ascii="Times New Roman" w:hAnsi="Times New Roman"/>
          <w:sz w:val="24"/>
          <w:szCs w:val="24"/>
          <w:vertAlign w:val="superscript"/>
          <w:rtl/>
          <w:lang w:val="ar-SA"/>
        </w:rPr>
        <w:t>)</w:t>
      </w:r>
    </w:p>
    <w:p w14:paraId="453133F5" w14:textId="77777777" w:rsidR="00454428" w:rsidRDefault="00C464EC" w:rsidP="006B1B4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سوف نتناول في هذا المبحث مطلبين، فيما يلي</w:t>
      </w:r>
      <w:r>
        <w:rPr>
          <w:rStyle w:val="None"/>
          <w:rFonts w:ascii="Times New Roman" w:hAnsi="Times New Roman"/>
          <w:sz w:val="24"/>
          <w:szCs w:val="24"/>
          <w:rtl/>
          <w:lang w:val="ar-SA"/>
        </w:rPr>
        <w:t>:</w:t>
      </w:r>
    </w:p>
    <w:p w14:paraId="0BA306EA" w14:textId="77777777" w:rsidR="00454428" w:rsidRDefault="00C464EC">
      <w:pPr>
        <w:pStyle w:val="ListParagraph"/>
        <w:numPr>
          <w:ilvl w:val="0"/>
          <w:numId w:val="8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أدوات تداول الإنتاج الفكري الرقمي وتحدياتها التقنية</w:t>
      </w:r>
      <w:r>
        <w:rPr>
          <w:rStyle w:val="None"/>
          <w:rFonts w:ascii="Times New Roman" w:hAnsi="Times New Roman"/>
          <w:sz w:val="24"/>
          <w:szCs w:val="24"/>
          <w:rtl/>
          <w:lang w:val="ar-SA"/>
        </w:rPr>
        <w:t>.</w:t>
      </w:r>
    </w:p>
    <w:p w14:paraId="084CE85F" w14:textId="77777777" w:rsidR="00454428" w:rsidRDefault="00C464EC">
      <w:pPr>
        <w:pStyle w:val="ListParagraph"/>
        <w:numPr>
          <w:ilvl w:val="0"/>
          <w:numId w:val="8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خصائص الإنتاج الفكري الرقمي وحدود الحماية القانونية</w:t>
      </w:r>
      <w:r>
        <w:rPr>
          <w:rStyle w:val="None"/>
          <w:rFonts w:ascii="Times New Roman" w:hAnsi="Times New Roman"/>
          <w:sz w:val="24"/>
          <w:szCs w:val="24"/>
          <w:rtl/>
          <w:lang w:val="ar-SA"/>
        </w:rPr>
        <w:t>.</w:t>
      </w:r>
    </w:p>
    <w:p w14:paraId="097B422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58A6A4F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0C148CA7"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0B64971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2D06396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62D6218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4BD024F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0B26B5B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6715870A"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3FEA83D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22D1B172"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6191151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19FD8418" w14:textId="77777777" w:rsidR="00454428" w:rsidRPr="00CC3E5F" w:rsidRDefault="00454428" w:rsidP="00C72BA8">
      <w:pPr>
        <w:pStyle w:val="Body"/>
        <w:spacing w:before="120" w:after="120" w:line="360" w:lineRule="auto"/>
        <w:jc w:val="right"/>
        <w:rPr>
          <w:rStyle w:val="None"/>
          <w:rFonts w:ascii="Times New Roman" w:eastAsia="Times New Roman" w:hAnsi="Times New Roman" w:cs="Times New Roman"/>
          <w:b/>
          <w:bCs/>
          <w:sz w:val="24"/>
          <w:szCs w:val="24"/>
        </w:rPr>
      </w:pPr>
    </w:p>
    <w:p w14:paraId="5AF1D77C" w14:textId="77777777" w:rsidR="006B1B4A" w:rsidRDefault="006B1B4A" w:rsidP="00C72BA8">
      <w:pPr>
        <w:pStyle w:val="a"/>
        <w:rPr>
          <w:rStyle w:val="None"/>
          <w:rFonts w:ascii="Arial Unicode MS" w:eastAsia="Arial Unicode MS" w:hAnsi="Arial Unicode MS"/>
          <w:rtl/>
          <w:lang w:val="ar-SA"/>
        </w:rPr>
      </w:pPr>
    </w:p>
    <w:p w14:paraId="2DC156D3" w14:textId="354CB613" w:rsidR="00454428" w:rsidRDefault="00C464EC" w:rsidP="00C72BA8">
      <w:pPr>
        <w:pStyle w:val="a"/>
        <w:rPr>
          <w:rStyle w:val="None"/>
          <w:rtl/>
          <w:lang w:val="ar-SA"/>
        </w:rPr>
      </w:pPr>
      <w:bookmarkStart w:id="187" w:name="_Toc227251110"/>
      <w:bookmarkStart w:id="188" w:name="_Toc232260667"/>
      <w:r>
        <w:rPr>
          <w:rStyle w:val="None"/>
          <w:rFonts w:ascii="Arial Unicode MS" w:eastAsia="Arial Unicode MS" w:hAnsi="Arial Unicode MS" w:hint="cs"/>
          <w:rtl/>
          <w:lang w:val="ar-SA"/>
        </w:rPr>
        <w:lastRenderedPageBreak/>
        <w:t>المطلب الأول</w:t>
      </w:r>
      <w:bookmarkEnd w:id="187"/>
      <w:bookmarkEnd w:id="188"/>
    </w:p>
    <w:p w14:paraId="6D2CA8C7" w14:textId="77777777" w:rsidR="00454428" w:rsidRDefault="00C464EC" w:rsidP="00C72BA8">
      <w:pPr>
        <w:pStyle w:val="a"/>
        <w:rPr>
          <w:rStyle w:val="None"/>
          <w:rtl/>
          <w:lang w:val="ar-SA"/>
        </w:rPr>
      </w:pPr>
      <w:bookmarkStart w:id="189" w:name="_Toc227251111"/>
      <w:bookmarkStart w:id="190" w:name="_Toc232260668"/>
      <w:r>
        <w:rPr>
          <w:rStyle w:val="None"/>
          <w:rFonts w:ascii="Arial Unicode MS" w:eastAsia="Arial Unicode MS" w:hAnsi="Arial Unicode MS" w:hint="cs"/>
          <w:rtl/>
          <w:lang w:val="ar-SA"/>
        </w:rPr>
        <w:t>أدوات تداول الإنتاج الفكري الرقمي وتحدياتها التقنية</w:t>
      </w:r>
      <w:bookmarkEnd w:id="189"/>
      <w:bookmarkEnd w:id="190"/>
    </w:p>
    <w:p w14:paraId="6553C91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تعيش الإنسانية اليومَ في منافسة مذهلة نحو عالم الفكر والمعرفة، ولقد تغيرت معايير قياس تقدم الأمم وتطوُّرها من حيث حكم المعلومات المتاحة الأفكار المبتكرة التي تنتجها، بدلًا من القوة المالية، والعسكرية؛ ممَّا أدى إلى تقدم كبير ومتزايد في الإنتاج الفكري والإبداعي؛ لذلك يعتبر موضوع حماية الملكية الفكرية من الموضوعات الصعبة والشائكة التي تشغل رجال السياسة؛ وذلك لأنَّ نتاج الفكر والإبداع، وحمايته عن طريق الملكية الفكرية يُعَدُّ من أهم ركائز الاقتصاد المعاصر، فلا يقوم الاقتصاد بدون هذه الركيزة المهمة، والاستثمارات الأجنبية لا تنجذب إلى بلد لا تمتلك حقوق الملكية الفكرية؛ لذا سعت معظم الدول إلى إدراج الملكية الفكرية ضمن السياسات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5729E3"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أدوات تداول الإنتاج الفكري الرقمي</w:t>
      </w:r>
      <w:r>
        <w:rPr>
          <w:rStyle w:val="None"/>
          <w:rFonts w:ascii="Times New Roman" w:hAnsi="Times New Roman"/>
          <w:b/>
          <w:bCs/>
          <w:sz w:val="28"/>
          <w:szCs w:val="28"/>
          <w:rtl/>
          <w:lang w:val="ar-SA"/>
        </w:rPr>
        <w:t>:</w:t>
      </w:r>
    </w:p>
    <w:p w14:paraId="5CEEC6D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كان يتم نشره سابقًا عبر الوسائل التقليدية، أما حاليًا في العصر الحديث فقد اختلف تمامًا؛ حيث أصبحت المصنفات تنشر وتوزع عبر وسائل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المنصات الرقمية، وهي المواقع الإلكترونية، ومنصات التواصل الاجتماعي، والمكتبات الرقمية، والبريد الإلكتروني، وهذه الأدوات قد وفرت قدرًا كبيرًا من السرعة والانتشار على مستوى العالم وليس على مستوى المحلي، والسهولة في الوصول إلى أي محتوى</w:t>
      </w:r>
      <w:r>
        <w:rPr>
          <w:rStyle w:val="None"/>
          <w:rFonts w:ascii="Times New Roman" w:hAnsi="Times New Roman"/>
          <w:sz w:val="24"/>
          <w:szCs w:val="24"/>
          <w:rtl/>
          <w:lang w:val="ar-SA"/>
        </w:rPr>
        <w:t>.</w:t>
      </w:r>
    </w:p>
    <w:p w14:paraId="4F4E72EE" w14:textId="77777777" w:rsidR="00454428" w:rsidRDefault="00C464EC">
      <w:pPr>
        <w:pStyle w:val="ListParagraph"/>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المنصات الرقمية للنشر والتوزيع</w:t>
      </w:r>
      <w:r>
        <w:rPr>
          <w:rStyle w:val="None"/>
          <w:rFonts w:ascii="Times New Roman" w:hAnsi="Times New Roman"/>
          <w:b/>
          <w:bCs/>
          <w:sz w:val="24"/>
          <w:szCs w:val="24"/>
          <w:rtl/>
          <w:lang w:val="ar-SA"/>
        </w:rPr>
        <w:t>:</w:t>
      </w:r>
    </w:p>
    <w:p w14:paraId="0F9BEBF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ارتفاع نسبة مستهلكي الإنترنت تؤدي إلى إنماء وتطوُّر محتوى المواقع المنتشرة فيه،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شيوع مواقع التجارة الإلكترونية من أجل التسويق والخدمات، فلا يكاد يخلو موقع من نشاط استثماري ومالي؛ حيث يعتبر البث الرقمي، وصيغ الاتصالات الرقمية مستحدثاتٍ جديدةً لاستعمالات المصنفات المحمية بحقوق الملكية الفكرية، وبالنظر إليها من الناحية الاقتصادية، فهي تمثل مجموعة من الخدمات جلها تجارية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B8B5A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يحتوي الفضاء الرقمي عدة مصنفات رقمية، منها المحمية قانونًا وأخرى لم تصدر بعد قوانين لأجل حمايتها، وهذه الأخيرة تُعَدُّ عرضةً للاعتداء عليها؛ لأنَّها لا تتطلب ذكاءً بشريًا كبيرًا، وذلك نظرًا لطبيعتها الرقمية وتعدد أشكال عرضه على شاشات الحواسيب وصفحات الإنترنت، وتعرَّف المؤلفات المتعددة الوسائط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ناقل معلوماتي جديد يجمع في الوقت ذاته الصوت، والنص، والصورة، والبيانات القادمة بدورها من وسائط مختلفة، إذًا هي أعمال فكرية معروضة بطريقة رقمية حديثة في شكل صورة، ونص، وصوت، سواء أكانت الصورة متحركةً أم ثابتةً فيه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1DADB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فموقع الويب هو توصيف للمعلومات التي تعرض على صفحات الويب الخاصة بالشركة، وموقع الويب هو من نتاجات الإنترنت بعد استخدامها لأغراض تجارية؛ حيث أصبح ممثلًا لقدرات الشركة في التصميم، والعرض، والإعلان، </w:t>
      </w:r>
      <w:r>
        <w:rPr>
          <w:rStyle w:val="None"/>
          <w:rFonts w:ascii="Arial Unicode MS" w:hAnsi="Arial Unicode MS" w:cs="Times New Roman" w:hint="cs"/>
          <w:sz w:val="24"/>
          <w:szCs w:val="24"/>
          <w:rtl/>
          <w:lang w:val="ar-SA"/>
        </w:rPr>
        <w:lastRenderedPageBreak/>
        <w:t>والإقناع، وتقديم الخدمات، والتفاعل، والبيع، والشراء، وغيرها؛ ممَّا يمكن تلخيصه بكونه طريقةً متميزةً خاصةً بالشركة في تقديم الأعمال؛ ولأنَّه طريقة خاصة بتقديم الأعمال، فإنَّه يمكن أنْ يتمتع بالحماية القانونية، كما أنَّ موقع الويب يحمل اسم الشركة؛ ممَّا يجعله يتمتع بالحماية القانونية الخاصة بالعلامة التجارية؛ ولأنَّه يمكن أنْ يعرض منتجات 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كالألعاب، والكتب، والبرمجيات، فإنَّه يمكن أنْ يحظى بالحماية القانونية الخاصة بحق النشر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9E54D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وتتوفر في الويب مجموعة من الأدوات التي تمكن الباحث من الإبحار في محتوياتها، وتشكل هذه الأدوات وساطةً بين الباحث ومحتوى الويب، ومن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نجد محركات البحث التي تُعَدُّ كأدوات بحث تعمل من خلال استراتيجيات محددة أو استراتيجيات مفتوحة، وذلك للبحث في حقول أو وثائق نصية، والأكثر من ذلك أنَّها يمكن أنْ تبحث عن أشياء، في بيئة محددة هي بيئة شبكة الإنترنت، وذلك يعني أنَّها تبحث في ملايين المواقع ومليارات الكلمات في وقت محدد، وتتميز بسرعة الاستجابة، وعادةً ما تكون إجابتها مواقع على الإنترنت تتوافر فيها كل المصطلحات التي تم البحث عنها أو بعضها، أو مواقع محددة سلفًا من خلال ما يعرف بقائمة أو دليل البحث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28C21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وبالإضافة إلى أنَّ النشر الإلكتروني قد تخطى كافة القيود النوعية للمحتوى المنشور من نصوص وصوت وفيديو، هذا فضلًا عن كسر الحواجز المكانية المعروفة في سياق النشر التقليدي، فأصبح بالإمكان تحميل مكتبة رقمية كاملة، إما على جهاز الحاسب الشخصي، أو القارئ الإلكتروني، أو حتى الهاتف المحمول الذكي، وأحيانًا تكون بعض المنشورات الإلكترونية نسخًا إلكترونيةً من منشورات مطبوعة، وهناك فئة أخرى ولدت رقميًا أو إلكترونيًا، كما تندرج تحت هذه الفئة الدوريات العلمية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AC043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والإنترنت بوصفه طريقة اتصال سهلة وسريعة يتيح تبادل المعلومات ونقلها بكافة صورها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مكتوبة، ومرئية، ومسموعة، وباعتباره ليس مجرد صفحات للمعلومات، بل مكانًا للتسوق، وموضعًا للأعمال والخدمات، وفضاءً غير متناهٍ من الصفحات؛ لنشر الأخبار، والمعالجات، والمؤلفات، والأبحاث، والمواد، فإنَّ محتوى مواقعه يتضمن الإعلان التجاري، والمادة المؤلفة، والبث المرئي، والتسجيل الصوتي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29990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نظام خدمة الويب يرتكز على فكرة تخزين معلومات، مع القدرة على إقامة صلات وعلاقات ترابطية مباشرة بين مستخدميها؛ وبغرض تفادي كل الإشكالات التي من شأنها إعاقة التعامل عبر مواقع الويب لجأت بعض التشريعات الحديثة لاستخدام ما يسمى بجهات التصديق والتوثيق الإلكتروني، والتي تتكفل بتخزين وإثبات المعاملات الإلكترونية المبرمة بين الأطراف، مع إخبار المتعاملين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الزبائن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بكل ما يحيط أو يخدش مصداقية المواقع المستعملة؛ ممَّا يزيد ذلك في منسوب الاستقرار القانوني والمعلوماتي للمعاملات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E16BF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المنصات الرقمية هي الوسيط الأساسي لتداول الإنتاج الفكري بجميع أشكاله؛ إذ تتيح المنصات الرقمية النشر الفوري والتوزيع للإنتاج الفكري الأدبي والفني، فقد تحولت هذه المنصات لوسائل النشر بديل الوسائل التقليدية، كما فتحت المنصات الرقمية المجال للنشر والتوزيع على مستوى العالم</w:t>
      </w:r>
      <w:r>
        <w:rPr>
          <w:rStyle w:val="None"/>
          <w:rFonts w:ascii="Times New Roman" w:hAnsi="Times New Roman"/>
          <w:sz w:val="24"/>
          <w:szCs w:val="24"/>
          <w:rtl/>
          <w:lang w:val="ar-SA"/>
        </w:rPr>
        <w:t>.</w:t>
      </w:r>
    </w:p>
    <w:p w14:paraId="76F83101" w14:textId="77777777" w:rsidR="00454428" w:rsidRDefault="00C464EC">
      <w:pPr>
        <w:pStyle w:val="ListParagraph"/>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المكتبات الرقمية</w:t>
      </w:r>
      <w:r>
        <w:rPr>
          <w:rStyle w:val="None"/>
          <w:rFonts w:ascii="Times New Roman" w:hAnsi="Times New Roman"/>
          <w:b/>
          <w:bCs/>
          <w:sz w:val="24"/>
          <w:szCs w:val="24"/>
          <w:rtl/>
          <w:lang w:val="ar-SA"/>
        </w:rPr>
        <w:t>:</w:t>
      </w:r>
    </w:p>
    <w:p w14:paraId="2A7CF5B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المكتبات الرقمية مؤسساتٍ تقدم المصادر،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العاملون المتخصصون للقيام بعمليات الاختيار، والبناء، وإتاحة الوصول الفكري، والتفسير، والتوزيع، وصون سلامة وكمال مجموعات من الأعمال الرقمية، وضمان استمرارها مع الزمن؛ وذلك بهدف إتاحتها للاستخدام من جانب مجتمع أو أكثر من المستفيدين بالأساليب والطرق السريعة والاقتصادية أيضًا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EC2F9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المكتبات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أوعية المعلومات المحسوبة رقميًا، والمرتبة بطريقة خاصة تناسب طريقة الاستخدام من خلال شبكات المعلومات التي تمكن من الوصول إلى المعلومات مهما بعدت المسافات، وتؤكد تجهيزات المكتبات الرقمية على تيسير، وتزويد المعلومات وبثها واستخدامها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6"/>
      </w:r>
      <w:r>
        <w:rPr>
          <w:rStyle w:val="None"/>
          <w:rFonts w:ascii="Times New Roman" w:hAnsi="Times New Roman"/>
          <w:sz w:val="24"/>
          <w:szCs w:val="24"/>
          <w:vertAlign w:val="superscript"/>
          <w:rtl/>
          <w:lang w:val="ar-SA"/>
        </w:rPr>
        <w:t>)</w:t>
      </w:r>
    </w:p>
    <w:p w14:paraId="7DEAD58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بداية ظهور المكتبات الرقمية جاءت نتيجةَ تعدد استخدام تطبيقات التكنولوجيات الحديثة في مجال المكتبات والمعلومات، وأبرزها تكنولوجيا الاتصال، التي تأتي في مقدمتها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التي أحدثت تغييرات وتطوُّرات في إجراءات العمل الفني في المكتبات، وفي نوعية الخدمات التي تقدمها للمستفيدين، ولعل الطفرة التي أحدثتها هذه الشبكة في مجال النشر والإعلان قد جعلتها أحد الموارد المهمة التي توفر كميات هائلة من مصادر المعلومات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7"/>
      </w:r>
      <w:r>
        <w:rPr>
          <w:rStyle w:val="None"/>
          <w:rFonts w:ascii="Times New Roman" w:hAnsi="Times New Roman"/>
          <w:sz w:val="24"/>
          <w:szCs w:val="24"/>
          <w:vertAlign w:val="superscript"/>
          <w:rtl/>
          <w:lang w:val="ar-SA"/>
        </w:rPr>
        <w:t>)</w:t>
      </w:r>
    </w:p>
    <w:p w14:paraId="350F5B5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فتم الاتجاه إلى المكتبة الرقمية أو الإلكترونية؛ نتيجةً لارتفاع أسعار المصنفات التقليدية، وما يلي يبيّن أهمية المكتبة الرقمية</w:t>
      </w:r>
      <w:r>
        <w:rPr>
          <w:rStyle w:val="None"/>
          <w:rFonts w:ascii="Times New Roman" w:hAnsi="Times New Roman"/>
          <w:sz w:val="24"/>
          <w:szCs w:val="24"/>
          <w:rtl/>
          <w:lang w:val="ar-SA"/>
        </w:rPr>
        <w:t xml:space="preserve">: </w:t>
      </w:r>
    </w:p>
    <w:p w14:paraId="292EE4DB"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الحصول على الكتب القديمة من حيث التاريخ، والتي لم تَعُدْ تنتج في دور النشر</w:t>
      </w:r>
      <w:r>
        <w:rPr>
          <w:rStyle w:val="None"/>
          <w:rFonts w:ascii="Times New Roman" w:hAnsi="Times New Roman"/>
          <w:sz w:val="24"/>
          <w:szCs w:val="24"/>
          <w:rtl/>
          <w:lang w:val="ar-SA"/>
        </w:rPr>
        <w:t>.</w:t>
      </w:r>
    </w:p>
    <w:p w14:paraId="070E6267"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البحث والحصول على المعلومات بسهولة</w:t>
      </w:r>
      <w:r>
        <w:rPr>
          <w:rStyle w:val="None"/>
          <w:rFonts w:ascii="Times New Roman" w:hAnsi="Times New Roman"/>
          <w:sz w:val="24"/>
          <w:szCs w:val="24"/>
          <w:rtl/>
          <w:lang w:val="ar-SA"/>
        </w:rPr>
        <w:t>.</w:t>
      </w:r>
    </w:p>
    <w:p w14:paraId="4DE1CFC6"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توافر المعلومات</w:t>
      </w:r>
      <w:r>
        <w:rPr>
          <w:rStyle w:val="None"/>
          <w:rFonts w:ascii="Times New Roman" w:hAnsi="Times New Roman"/>
          <w:sz w:val="24"/>
          <w:szCs w:val="24"/>
          <w:rtl/>
          <w:lang w:val="ar-SA"/>
        </w:rPr>
        <w:t>.</w:t>
      </w:r>
    </w:p>
    <w:p w14:paraId="6AECCE45"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تقصير المسافات، واختزالها، وإلغاء الحاجز الزمني والمكاني</w:t>
      </w:r>
      <w:r>
        <w:rPr>
          <w:rStyle w:val="None"/>
          <w:rFonts w:ascii="Times New Roman" w:hAnsi="Times New Roman"/>
          <w:sz w:val="24"/>
          <w:szCs w:val="24"/>
          <w:rtl/>
          <w:lang w:val="ar-SA"/>
        </w:rPr>
        <w:t>.</w:t>
      </w:r>
    </w:p>
    <w:p w14:paraId="19B22A20"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تقليل التكلفة المالية بالإضافة للجهد والوقت</w:t>
      </w:r>
      <w:r>
        <w:rPr>
          <w:rStyle w:val="None"/>
          <w:rFonts w:ascii="Times New Roman" w:hAnsi="Times New Roman"/>
          <w:sz w:val="24"/>
          <w:szCs w:val="24"/>
          <w:rtl/>
          <w:lang w:val="ar-SA"/>
        </w:rPr>
        <w:t>.</w:t>
      </w:r>
    </w:p>
    <w:p w14:paraId="6306C73E"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الاطلاع على المعلومات المختلفة من قبل أكثر من شخص، وفي وقت واحد دون أنْ يؤدي ذلك إلى حدوث تضارب</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8"/>
      </w:r>
      <w:r>
        <w:rPr>
          <w:rStyle w:val="None"/>
          <w:rFonts w:ascii="Times New Roman" w:hAnsi="Times New Roman"/>
          <w:sz w:val="24"/>
          <w:szCs w:val="24"/>
          <w:vertAlign w:val="superscript"/>
          <w:rtl/>
          <w:lang w:val="ar-SA"/>
        </w:rPr>
        <w:t>)</w:t>
      </w:r>
    </w:p>
    <w:p w14:paraId="1616898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تعتبر المكتبات الرقمية وسيلةً حديثةً للنشر والتوزيع للمصنفات الفكرية؛ لأنَّ هذه المكتبات الرقمية يتيح الوصول إلى المحتوى العلمي، من خلال المكتبات الرقمية المفتوحة، كما ساهمت في التوسيع من نشر الكثير من الإنتاج الفكري، بالإضافة إلى أنَّها أصبحت أداةً رئيسيةً في نشر وتوزيع الناتج الفكري، كما توجد شروط قانونية للنشر في المكتبات الرقمية؛ لحماية حقوق المؤلفين</w:t>
      </w:r>
      <w:r>
        <w:rPr>
          <w:rStyle w:val="None"/>
          <w:rFonts w:ascii="Times New Roman" w:hAnsi="Times New Roman"/>
          <w:sz w:val="24"/>
          <w:szCs w:val="24"/>
          <w:rtl/>
          <w:lang w:val="ar-SA"/>
        </w:rPr>
        <w:t>.</w:t>
      </w:r>
    </w:p>
    <w:p w14:paraId="79A6475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فالمكتبات الرقمية تحمي المصنفات الرقمية، من خلال الاتفاقيات الدولية الخاصة بحقوق المؤلف، فالاتفاقيات أكدت على حماية المصنفات عبر الوسائل الإلكترونية، ومنع نسخها أو تداولها دون إذن من صاحب الحق، وهذا ما نصت عليه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اتفاقية الويبو بشأن حق المؤلف</w:t>
      </w:r>
      <w:r>
        <w:rPr>
          <w:rStyle w:val="None"/>
          <w:rFonts w:ascii="Times New Roman" w:hAnsi="Times New Roman"/>
          <w:sz w:val="24"/>
          <w:szCs w:val="24"/>
          <w:rtl/>
          <w:lang w:val="ar-SA"/>
        </w:rPr>
        <w:t>.</w:t>
      </w:r>
    </w:p>
    <w:p w14:paraId="7B0B01B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يتم ضبط عملية الاتاحة من خلال اتفاقيات التراخيص، التي تؤدي دورًا رئيسًا في تحقيق حماية حق المؤلف ضد الانتهاكات التي قد تحدث عند استخدام مصادر المعلومات الرقمية، ويذكر أنَّ هناك ثلاث فئاتٍ من التراخيص التي تحدد استخدام قواعد البيانات، وهي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9"/>
      </w:r>
      <w:r>
        <w:rPr>
          <w:rStyle w:val="None"/>
          <w:rFonts w:ascii="Times New Roman" w:hAnsi="Times New Roman"/>
          <w:sz w:val="24"/>
          <w:szCs w:val="24"/>
          <w:vertAlign w:val="superscript"/>
          <w:rtl/>
          <w:lang w:val="ar-SA"/>
        </w:rPr>
        <w:t>)</w:t>
      </w:r>
    </w:p>
    <w:p w14:paraId="704E672E"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المستخدم الواحد</w:t>
      </w:r>
      <w:r>
        <w:rPr>
          <w:rStyle w:val="None"/>
          <w:rFonts w:ascii="Times New Roman" w:hAnsi="Times New Roman"/>
          <w:b/>
          <w:bCs/>
          <w:sz w:val="24"/>
          <w:szCs w:val="24"/>
          <w:rtl/>
          <w:lang w:val="ar-SA"/>
        </w:rPr>
        <w:t>:</w:t>
      </w:r>
      <w:r>
        <w:rPr>
          <w:rStyle w:val="None"/>
          <w:rFonts w:cs="Times New Roman"/>
          <w:sz w:val="24"/>
          <w:szCs w:val="24"/>
          <w:rtl/>
          <w:lang w:val="ar-SA"/>
        </w:rPr>
        <w:t xml:space="preserve"> لا يسمح هذا النوع من التراخيص بربط قاعدة البيانات بشبكة لتستخدم من قبل أشخاص متعددين في الوقت نفسه، فهو ترخيص للاستخدام على جهاز واحد فقط</w:t>
      </w:r>
      <w:r>
        <w:rPr>
          <w:rStyle w:val="None"/>
          <w:rFonts w:ascii="Times New Roman" w:hAnsi="Times New Roman"/>
          <w:sz w:val="24"/>
          <w:szCs w:val="24"/>
          <w:rtl/>
          <w:lang w:val="ar-SA"/>
        </w:rPr>
        <w:t>.</w:t>
      </w:r>
    </w:p>
    <w:p w14:paraId="0AD9407B" w14:textId="77777777" w:rsidR="00454428" w:rsidRDefault="00C464EC">
      <w:pPr>
        <w:pStyle w:val="ListParagraph"/>
        <w:numPr>
          <w:ilvl w:val="0"/>
          <w:numId w:val="8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الموقع</w:t>
      </w:r>
      <w:r>
        <w:rPr>
          <w:rStyle w:val="None"/>
          <w:rFonts w:ascii="Times New Roman" w:hAnsi="Times New Roman"/>
          <w:b/>
          <w:bCs/>
          <w:sz w:val="24"/>
          <w:szCs w:val="24"/>
          <w:rtl/>
          <w:lang w:val="ar-SA"/>
        </w:rPr>
        <w:t>:</w:t>
      </w:r>
      <w:r>
        <w:rPr>
          <w:rStyle w:val="None"/>
          <w:rFonts w:cs="Times New Roman"/>
          <w:sz w:val="24"/>
          <w:szCs w:val="24"/>
          <w:rtl/>
          <w:lang w:val="ar-SA"/>
        </w:rPr>
        <w:t xml:space="preserve"> يضع هذا النوع من التراخيص قيودًا جغرافيةً على الاستخدام، فلا يسمح باستخدام قاعدة البيانات إلا في المرخص بالاستخدام فيه</w:t>
      </w:r>
      <w:r>
        <w:rPr>
          <w:rStyle w:val="None"/>
          <w:rFonts w:ascii="Times New Roman" w:hAnsi="Times New Roman"/>
          <w:sz w:val="24"/>
          <w:szCs w:val="24"/>
          <w:rtl/>
          <w:lang w:val="ar-SA"/>
        </w:rPr>
        <w:t>.</w:t>
      </w:r>
    </w:p>
    <w:p w14:paraId="4B8B706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إنَّ تراخيص المحتويات الرقمية أصبحت جزءًا متوقعًا من إدارة المجموعات، وخصوصًا أنَّ هناك ميزانياتٍ للمجموعات أصبحت تخصص باطراد، لدوريات لم تَعُدْ متاحةً إلا في شكل رقمي، ولقد أصبح كثير من أمناء المكتبات منهمكين فعلًا في ترخيص معلومات إلكترونية رقمية، إنَّ ترخيص المحتويات الإلكترونية بدلًا من اقتناء النسخ المطبوعة، فإنَّ ترخيص معلومات رقمية غالبًا ما يتضمن التفاوض على اتفاقية ترخيص أو عقد مع مالك المعلومات الرقمية لاستخدامها في المكتبة، وعلى الأقل فهو يتضمن فهم وتفسير،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هذه الاتفاقيات سواء كان التفاوض عليها من قبل اتحاد أو هيئة بالنيابة عن المكتبات المنضوية تحتها أو كانت غير قابلة للتفاوض، أو تم التفاوض عليها من قبل المكتبة منفردة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0"/>
      </w:r>
      <w:r>
        <w:rPr>
          <w:rStyle w:val="None"/>
          <w:rFonts w:ascii="Times New Roman" w:hAnsi="Times New Roman"/>
          <w:sz w:val="24"/>
          <w:szCs w:val="24"/>
          <w:vertAlign w:val="superscript"/>
          <w:rtl/>
          <w:lang w:val="ar-SA"/>
        </w:rPr>
        <w:t>)</w:t>
      </w:r>
    </w:p>
    <w:p w14:paraId="3F63B7FF" w14:textId="77777777" w:rsidR="00454428" w:rsidRDefault="00C464EC">
      <w:pPr>
        <w:pStyle w:val="ListParagraph"/>
        <w:numPr>
          <w:ilvl w:val="0"/>
          <w:numId w:val="9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وسائل الاتصال الاجتماعي</w:t>
      </w:r>
      <w:r>
        <w:rPr>
          <w:rStyle w:val="None"/>
          <w:rFonts w:ascii="Times New Roman" w:hAnsi="Times New Roman"/>
          <w:b/>
          <w:bCs/>
          <w:sz w:val="24"/>
          <w:szCs w:val="24"/>
          <w:rtl/>
          <w:lang w:val="ar-SA"/>
        </w:rPr>
        <w:t>:</w:t>
      </w:r>
    </w:p>
    <w:p w14:paraId="6F967B4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تشكل مواقع التواصل الاجتماعي في وقتنا الحالي الميدان الأوسع لتبادل ونشر المعلومات سواء العامة أو المتخصصة؛ لما تمتاز به من سهولة وسرعة في الكتابة، والنقل، والنشر، فأصبح العديد من الأشخاص سواء العامة أو المتخصصين يلجؤون إلى فتح حساب في هذه المواقع، وينشرون مؤلفاتهم أو أعمالهم الفنية</w:t>
      </w:r>
      <w:r>
        <w:rPr>
          <w:rStyle w:val="None"/>
          <w:rFonts w:ascii="Times New Roman" w:hAnsi="Times New Roman"/>
          <w:sz w:val="24"/>
          <w:szCs w:val="24"/>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211"/>
      </w:r>
      <w:r>
        <w:rPr>
          <w:rStyle w:val="None"/>
          <w:rFonts w:ascii="Times New Roman" w:hAnsi="Times New Roman"/>
          <w:vertAlign w:val="superscript"/>
          <w:rtl/>
          <w:lang w:val="ar-SA"/>
        </w:rPr>
        <w:t>)</w:t>
      </w:r>
    </w:p>
    <w:p w14:paraId="7B04B4E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انتشرت بشكل كبير وسائل التواصل الاجتماعي، وأصبحت هي الوسيلة الوحيدة التي فرضت سيطرتها على جميع المجتمعات، وأصبح مستخدموها يتجاوزن المليارات، وأصبحت وسيلةً شديدةَ التأثير في المجتمع بشكل كبير وخطير؛ وذلك لأنَّها أصحبت تستخدم أساليب جذب لا حصر لها، فهي تستوعب متابعيها من جميع الفئات ومن جميع الأعمار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2"/>
      </w:r>
      <w:r>
        <w:rPr>
          <w:rStyle w:val="None"/>
          <w:rFonts w:ascii="Times New Roman" w:hAnsi="Times New Roman"/>
          <w:sz w:val="24"/>
          <w:szCs w:val="24"/>
          <w:vertAlign w:val="superscript"/>
          <w:rtl/>
          <w:lang w:val="ar-SA"/>
        </w:rPr>
        <w:t>)</w:t>
      </w:r>
    </w:p>
    <w:p w14:paraId="7E9DC94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بالتواصل الاجتماعي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منصات عبر الإنترنت تسمح للأفراد بالتواصل مع بعضهم البعض، ومشاركة المحتوى، والأفكار، والصور، ومقاطع الفيديو، وتشمل هذه المواقع،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فيسبوك، وتويتر، وانستغرام، ويوتيوب، بالإضافة إلى منصات أخرى تتنوع في الغرض والجمهور المستهدف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F994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وسائل التواصل الاجتماعي من أهم الوسائل الحديثة التي يستخدمها الكثير في نشر المصنفات الفكرية، سواء من قبل المؤلفين أو آخرين، كما ساهمت وسائل التواصل الاجتماعي في تسهيل نشر الأعمال الأدبية والفنية على مستوى واسع، فهذا يتيح للمؤلفين من نشر مصنفاتهم على نطاق واسع بعكس النشر التقليدي</w:t>
      </w:r>
      <w:r>
        <w:rPr>
          <w:rStyle w:val="None"/>
          <w:rFonts w:ascii="Times New Roman" w:hAnsi="Times New Roman"/>
          <w:sz w:val="24"/>
          <w:szCs w:val="24"/>
          <w:rtl/>
          <w:lang w:val="ar-SA"/>
        </w:rPr>
        <w:t>.</w:t>
      </w:r>
    </w:p>
    <w:p w14:paraId="50E76B8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بالرغم من كل مزايا وسائل التواصل الاجتماعي من نشر المصنفات الفكرية عبر الإنترنت، فإنَّه يثير بعض التحديات القانونية التي تتعلق بحماية حقوق الملكية الفكرية؛ لأنَّ من الممكن أنْ يقوم أحد الأشخاص بنشر أحد المصنفات وينسبها لنفسه، فهذا يعتبر انتهاكًا للحقوق المليكة الفكرية، فلا بُدَّ من مواكبة التشريعات لهذه التحديات</w:t>
      </w:r>
      <w:r>
        <w:rPr>
          <w:rStyle w:val="None"/>
          <w:rFonts w:ascii="Times New Roman" w:hAnsi="Times New Roman"/>
          <w:sz w:val="24"/>
          <w:szCs w:val="24"/>
          <w:rtl/>
          <w:lang w:val="ar-SA"/>
        </w:rPr>
        <w:t>.</w:t>
      </w:r>
    </w:p>
    <w:p w14:paraId="591582EB" w14:textId="77777777" w:rsidR="00454428" w:rsidRDefault="00C464EC">
      <w:pPr>
        <w:pStyle w:val="ListParagraph"/>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البريد الإلكتروني</w:t>
      </w:r>
      <w:r>
        <w:rPr>
          <w:rStyle w:val="None"/>
          <w:rFonts w:ascii="Times New Roman" w:hAnsi="Times New Roman"/>
          <w:b/>
          <w:bCs/>
          <w:sz w:val="24"/>
          <w:szCs w:val="24"/>
          <w:rtl/>
          <w:lang w:val="ar-SA"/>
        </w:rPr>
        <w:t>:</w:t>
      </w:r>
    </w:p>
    <w:p w14:paraId="294C5FE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البريد الإلكتروني أحد أهم الوسائل المستحدثة في تكنولوجيا الاتصالات؛ إذ إنَّه من أهم تطبيقات الإنترنت وأكثرها استخدامًا، وقد فرض نفسه إلى جانب الوسائل التقليدية للاتصال بفضل سرعته الفائقة وتكلفته البسيطة وسهولة استخدامه ومرونته، فالبريد الإلكتروني يحتل مكانًا ضروريًا في الحياة اليومية لكل مستخدم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2078498" w14:textId="77777777" w:rsidR="00454428"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البريد الإلكتروني أهم وسائل تكنولوجيا المعلومات، والتي تمتاز بأنَّها وسيلة صامتة سريعة ودقيقة في نقل المعلومات والملفات كما هي موجودة، ولا اعتبار لعنصر الزمان والمكان، فلا تحتاج لتسريب المعلومات من الشركة </w:t>
      </w:r>
      <w:r>
        <w:rPr>
          <w:rStyle w:val="None"/>
          <w:rFonts w:ascii="Arial Unicode MS" w:hAnsi="Arial Unicode MS" w:cs="Times New Roman" w:hint="cs"/>
          <w:sz w:val="24"/>
          <w:szCs w:val="24"/>
          <w:rtl/>
          <w:lang w:val="ar-SA"/>
        </w:rPr>
        <w:lastRenderedPageBreak/>
        <w:t xml:space="preserve">أنْ تسرق الأوراق الأصلية إنما مجرد صورة عنها وترسل من مكان العمل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10B817F" w14:textId="3C735F03" w:rsidR="00454428"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البريد الإلكتروني أداة فعَّالة، ويستخدم في مجالات الحياة اليومية من استقبال وإرسال الرسائل عبر البريد الإلكتروني، كما يمكن إرسال ملفات أو صور، أو أي مستندات، فالبريد الإلكتروني أداة أساسية في التعاملات،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تسجيل الحسابات، وتلقي الإشعارات عند تسجيل في الخدمات</w:t>
      </w:r>
      <w:r w:rsidR="0068187D">
        <w:rPr>
          <w:rStyle w:val="None"/>
          <w:rFonts w:ascii="Times New Roman" w:hAnsi="Times New Roman" w:hint="cs"/>
          <w:sz w:val="24"/>
          <w:szCs w:val="24"/>
          <w:rtl/>
          <w:lang w:val="ar-SA"/>
        </w:rPr>
        <w:t xml:space="preserve">.  </w:t>
      </w:r>
      <w:r>
        <w:rPr>
          <w:rStyle w:val="None"/>
          <w:rFonts w:ascii="Arial Unicode MS" w:hAnsi="Arial Unicode MS" w:cs="Times New Roman" w:hint="cs"/>
          <w:sz w:val="24"/>
          <w:szCs w:val="24"/>
          <w:rtl/>
          <w:lang w:val="ar-SA"/>
        </w:rPr>
        <w:t>يعرَّف البريد الإلكتروني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اختصار للمصطلح </w:t>
      </w:r>
      <w:r>
        <w:rPr>
          <w:rStyle w:val="None"/>
          <w:rFonts w:ascii="Times New Roman" w:hAnsi="Times New Roman"/>
          <w:sz w:val="24"/>
          <w:szCs w:val="24"/>
        </w:rPr>
        <w:t>Electronic mail</w:t>
      </w:r>
      <w:r>
        <w:rPr>
          <w:rStyle w:val="None"/>
          <w:rFonts w:ascii="Arial Unicode MS" w:hAnsi="Arial Unicode MS" w:cs="Times New Roman" w:hint="cs"/>
          <w:sz w:val="24"/>
          <w:szCs w:val="24"/>
          <w:rtl/>
          <w:lang w:val="ar-SA"/>
        </w:rPr>
        <w:t xml:space="preserve"> ويقوم على إرسال الصور والبرامج والملفات من شخص إلى آخر عن طريق بريده الإلكتروني بدلًا من البريد العادي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6"/>
      </w:r>
      <w:r>
        <w:rPr>
          <w:rStyle w:val="None"/>
          <w:rFonts w:ascii="Times New Roman" w:hAnsi="Times New Roman"/>
          <w:sz w:val="24"/>
          <w:szCs w:val="24"/>
          <w:vertAlign w:val="superscript"/>
          <w:rtl/>
          <w:lang w:val="ar-SA"/>
        </w:rPr>
        <w:t>)</w:t>
      </w:r>
      <w:r w:rsidR="0068187D">
        <w:rPr>
          <w:rStyle w:val="None"/>
          <w:rFonts w:ascii="Times New Roman" w:hAnsi="Times New Roman" w:hint="cs"/>
          <w:sz w:val="24"/>
          <w:szCs w:val="24"/>
          <w:vertAlign w:val="superscript"/>
          <w:rtl/>
          <w:lang w:val="ar-SA"/>
        </w:rPr>
        <w:t xml:space="preserve"> </w:t>
      </w:r>
      <w:r>
        <w:rPr>
          <w:rStyle w:val="None"/>
          <w:rFonts w:ascii="Arial Unicode MS" w:hAnsi="Arial Unicode MS" w:cs="Times New Roman" w:hint="cs"/>
          <w:sz w:val="24"/>
          <w:szCs w:val="24"/>
          <w:rtl/>
          <w:lang w:val="ar-SA"/>
        </w:rPr>
        <w:t xml:space="preserve">كما يُعَدُّ البريد الإلكتروني وسيلةً للإرسال، والاستقبال، والتبادل عبر نظم الاتصالات الإلكترونية، أهمها شبكة الإنترنت، وهي وسيلة سريعة لتبادل الرسائل تغني عن استخدام البريد التقليدي، وتخزن الرسائل الإلكترونية في الحاسب الخادم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3CA10" w14:textId="77777777" w:rsidR="00454428"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البريد الإلكتروني يمكن أنْ يستخدم في تبادل المصنفات الفكرية ونشرها من خلاله؛ حيث يقوم المؤلفون بإرسال مؤلفاتهم إلى جهات متعددة لنشرها؛ ممَّا أدى إلى سهولة عملية النشر والتوزيع الرقمي، فالبريد الإلكتروني أفضل وسيلة من وسائل النشر عكس الوسائل التقليدية</w:t>
      </w:r>
      <w:r>
        <w:rPr>
          <w:rStyle w:val="None"/>
          <w:rFonts w:ascii="Times New Roman" w:hAnsi="Times New Roman"/>
          <w:sz w:val="24"/>
          <w:szCs w:val="24"/>
          <w:rtl/>
          <w:lang w:val="ar-SA"/>
        </w:rPr>
        <w:t>.</w:t>
      </w:r>
    </w:p>
    <w:p w14:paraId="021BBB5B" w14:textId="77777777" w:rsidR="00454428"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خدمة البريد الإلكتروني هي أهم الخدمات المتاحة على شبكات الإنترنت، كما أنَّها تتسم بالسرعة في إرسال الملفات بين الأفراد، فتتيح هذه الخدمة نقل الملفات،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الصور، أو ملفات الصوت والفيديو، من الممكن يتم الاعتداء على الملفات التي يتم إرسالها عبر البريد الإلكتروني الخاصة بالمصنفات الفكرية، فالنظام يحمي هذه المصنفات التي يتم إرسالها عبر البريد الإلكتروني</w:t>
      </w:r>
      <w:r>
        <w:rPr>
          <w:rStyle w:val="None"/>
          <w:rFonts w:ascii="Times New Roman" w:hAnsi="Times New Roman"/>
          <w:sz w:val="24"/>
          <w:szCs w:val="24"/>
          <w:rtl/>
          <w:lang w:val="ar-SA"/>
        </w:rPr>
        <w:t>.</w:t>
      </w:r>
    </w:p>
    <w:p w14:paraId="7CEF48F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حدد النظام في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بالغرامة المالية لا تزيد على مائتين وخمسين ألف ريالٍ، أو إغلاق المنشأة المتعدية على الاعتداء على حق المؤلف، ومصادرة جميع نسخ المصنف، والمواد المستخدمة في هذا الاعتداء، أو السجن لمدة لا تزيد على ستة أشهر، ومن الممكن أنْ تكون العقوبة السجن والغرامة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8"/>
      </w:r>
      <w:r>
        <w:rPr>
          <w:rStyle w:val="None"/>
          <w:rFonts w:ascii="Times New Roman" w:hAnsi="Times New Roman"/>
          <w:sz w:val="24"/>
          <w:szCs w:val="24"/>
          <w:vertAlign w:val="superscript"/>
          <w:rtl/>
          <w:lang w:val="ar-SA"/>
        </w:rPr>
        <w:t>)</w:t>
      </w:r>
    </w:p>
    <w:p w14:paraId="02CFA48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الرسائل الإلكترونية من وسائل الإثبات التي أقرها المشرع، فالرسائل الإلكترونية لها حجية قانونية في مجال حماية حقوق المؤلف؛ إذ يمكن استخدامها لإثبات مليكة المصنفات الأدبية، أو الفنية عند تداولها عبر الوسائل الإلكترونية، فهذا يضمن الحقوق الفكرية لأصاحبها ويمنع الاعتداء عليها أو نسبها إلى الغير</w:t>
      </w:r>
      <w:r>
        <w:rPr>
          <w:rStyle w:val="None"/>
          <w:rFonts w:ascii="Times New Roman" w:hAnsi="Times New Roman"/>
          <w:sz w:val="24"/>
          <w:szCs w:val="24"/>
          <w:rtl/>
          <w:lang w:val="ar-SA"/>
        </w:rPr>
        <w:t>.</w:t>
      </w:r>
    </w:p>
    <w:p w14:paraId="72E6685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أقر المنظم السعودي أنَّ للدليل الإلكتروني الحجية القانونية في المعاملات الإلكترونية، وفقًا لما جاء به نظام الإثبات السعودي في المادة </w:t>
      </w:r>
      <w:r>
        <w:rPr>
          <w:rStyle w:val="None"/>
          <w:rFonts w:ascii="Times New Roman" w:hAnsi="Times New Roman"/>
          <w:sz w:val="24"/>
          <w:szCs w:val="24"/>
          <w:rtl/>
          <w:lang w:val="ar-SA"/>
        </w:rPr>
        <w:t>55 "</w:t>
      </w:r>
      <w:r>
        <w:rPr>
          <w:rStyle w:val="None"/>
          <w:rFonts w:ascii="Arial Unicode MS" w:hAnsi="Arial Unicode MS" w:cs="Times New Roman" w:hint="cs"/>
          <w:sz w:val="24"/>
          <w:szCs w:val="24"/>
          <w:rtl/>
          <w:lang w:val="ar-SA"/>
        </w:rPr>
        <w:t>يكون للإثبات بالدليل الرقمي حكم الإثبات بالكتابة الوارد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3DA109" w14:textId="77777777" w:rsidR="00454428" w:rsidRDefault="00C464EC">
      <w:pPr>
        <w:pStyle w:val="ListParagraph"/>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 xml:space="preserve">: </w:t>
      </w:r>
    </w:p>
    <w:p w14:paraId="33578EFE" w14:textId="77777777" w:rsidR="00454428"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قواعد البيانات من بين المصنفات ذات الصلة بالحاسوب، وهي إحدى صور الإنتاج الفكري التي لها علاقة </w:t>
      </w:r>
      <w:r>
        <w:rPr>
          <w:rStyle w:val="None"/>
          <w:rFonts w:ascii="Arial Unicode MS" w:hAnsi="Arial Unicode MS" w:cs="Times New Roman" w:hint="cs"/>
          <w:sz w:val="24"/>
          <w:szCs w:val="24"/>
          <w:rtl/>
          <w:lang w:val="ar-SA"/>
        </w:rPr>
        <w:lastRenderedPageBreak/>
        <w:t>بالتطوُّر التكنولوجي الحديث؛ إذْ تحتل مكانةً مهمةً في صناعة المعلومات، وهي ثاني مصنف رقمي بعد برامج الحاسوب؛ حيث ترتبط به وجودًا؛ كونها الآلية التي من خلالها يتم تنظيم معلومات الحاسوب؛ لأنَّ ظهورها ارتبط بظهور برامج الحاسوب، وهي منتجات ذات طبيعة 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0"/>
      </w:r>
      <w:r>
        <w:rPr>
          <w:rStyle w:val="None"/>
          <w:rFonts w:ascii="Times New Roman" w:hAnsi="Times New Roman"/>
          <w:sz w:val="24"/>
          <w:szCs w:val="24"/>
          <w:vertAlign w:val="superscript"/>
          <w:rtl/>
          <w:lang w:val="ar-SA"/>
        </w:rPr>
        <w:t>)</w:t>
      </w:r>
    </w:p>
    <w:p w14:paraId="41156D02" w14:textId="77777777" w:rsidR="00454428"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بقاعدة البيانات أنَّها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تجمُّع للبيانات يتميز بالابتكار في الترتيب والعرض، ويعكس مجهودًا شخصيًا جديرًا بالحماية، سواء كان هذا التجميع بلغة أو رمز أو بأي شكل آخر على أنْ يكون مخزنًا بواسطة الحاسب الآلي، وقابلًا للاسترجاع بواسطته أو بأية وسيلة إلكترونية 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03AB2F" w14:textId="77777777" w:rsidR="00454428"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 العلماء في التعريف القانوني لقواعد البيانات كونها مصنفًا معلوماتيًا من الأشكال المستحدثة في بيئة حق المؤلف، التي تطوَّرت تطوُّرًا مطردًا مع الثورة المعلوماتية الهائلة التي يشهدها التقدم التكنولوجي، واختلاف العناصر التي تم الاعتماد عليها من أجل تعريفها، وسوف نوضح تعريف قواعد البيانات طبقًا للاتفاقيات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2"/>
      </w:r>
      <w:r>
        <w:rPr>
          <w:rStyle w:val="None"/>
          <w:rFonts w:ascii="Times New Roman" w:hAnsi="Times New Roman"/>
          <w:sz w:val="24"/>
          <w:szCs w:val="24"/>
          <w:vertAlign w:val="superscript"/>
          <w:rtl/>
          <w:lang w:val="ar-SA"/>
        </w:rPr>
        <w:t>)</w:t>
      </w:r>
    </w:p>
    <w:p w14:paraId="1DCB128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تعرَّف قاعدة البيانات من معاهدة الويبو المادة الخامسة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مجموعات البيانات أو المواد الأخرى بالحماية بصفتها هذه، أيًا كان شكلها، إذا كانت تعتبر ابتكاراتٍ فكريةً؛ بسبب اختيار محتوياتها أو ترتيبها، ولا تشمل هذه الحماية البيانات أو المواد في حد ذاتها، ولا تخل بأي حق للمؤلف قائم في البيانات أو المواد الواردة في المجموعة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92807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نصت المادة الثانية الفقرة الخامسة من اتفاقية برن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تتمتع مجموعات المصنفات الأدبية أو الفنية لدوائر المعارف والمختارات الأدبية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تعتبر ابتكارًا فكريًا؛ بسبب اختيار وترتيب محتوياتها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بهذه الصفة، وذلك دون المساس بحقوق المؤلفين فيما يختص بكل مصنف يشكل جزءًا من هذه المجموعات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9570A4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بُدَّ من التأكيد على أنَّه في عصر الإنترنت وشبكات الأعمال، فإنَّ قواعد البيانات الإلكترونية أصبحت من الأصول ذات القيمة العالية، فإنَّ الرقابة على الأصول أصبحت تتضمن التدقيق والمراجعة على هذه القواعد وسلامتها وحمايتها؛ لأنَّ الخسارة في هذه الأصول الإلكترونية لا تقل أهميةً في عالم الأعمال الإلكترونية عن الخسارة في الأصول المادية، وإذا كانت القرصنة أو الاستخدام غير المرخص لقواعد البيانات يحمل أخطارًا في كون بعض الشركات مجال عملها هو إدخال قواعد البيانات الجديدة، أو تطوير قواعد البيانات الحالية؛ ممَّا يجعل مثل الاستخدام غير المرخص مصدرًا للمخاطرة في عدم قدرة الشركة المطورة على استرداد ما استثمرت في تطوير قواعد البيانات،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قواعد البيانات قد تحصل على فرص أفضل في استمرار تطويرها بمساهمة أعداد كبيرة من المستخدمين في حالة عدم المبالغة والتشدد في التأكيد على الحماية القانونية، فإنَّ الموازنة في الحقوق والفرص ضرورية؛ من أجل الاستفادة المتبادلة، ومن أجل الابتكار لقواعد البيانات والتحسينات اللاحقة عليها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3236B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تعتبر قواعد البيانات من المصنفات التي أفرزها التطوُّر التكنولوجي الحديث بظهور المعلوماتية والإنترنت، خصوصًا مع التقدم الملحوظ في شتى مجالات الحياة الذي أدى لكثرة المعلومات وتنوعها، فباتت البيانات الوسيلة الوحيدة المثالية لاحتواء هذه المعلومات وما يطرأ عليها من تعديلات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6"/>
      </w:r>
      <w:r>
        <w:rPr>
          <w:rStyle w:val="None"/>
          <w:rFonts w:ascii="Times New Roman" w:hAnsi="Times New Roman"/>
          <w:sz w:val="24"/>
          <w:szCs w:val="24"/>
          <w:vertAlign w:val="superscript"/>
          <w:rtl/>
          <w:lang w:val="ar-SA"/>
        </w:rPr>
        <w:t>)</w:t>
      </w:r>
    </w:p>
    <w:p w14:paraId="1069B3B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قاعد البيانات تتمتع بالحماية طبقًا لنص المادة العاشرة من اللائحة التنفيذية لنظام حقوق المؤلف، التي تنص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بالحماية قواعد البيانات الأصلية بفضل انتقاء وترتيب محتوياتها كإبداعات ذهنية، ولا تمتد هذه الحماية للبيانات أو المواد ذاتها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1F6365"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CE27AA">
        <w:rPr>
          <w:rStyle w:val="None"/>
          <w:rFonts w:ascii="Arial Unicode MS" w:hAnsi="Arial Unicode MS" w:cs="Times New Roman" w:hint="cs"/>
          <w:b/>
          <w:bCs/>
          <w:sz w:val="28"/>
          <w:szCs w:val="28"/>
          <w:highlight w:val="yellow"/>
          <w:rtl/>
          <w:lang w:val="ar-SA"/>
        </w:rPr>
        <w:t>ثانيًا</w:t>
      </w:r>
      <w:r w:rsidRPr="00CE27AA">
        <w:rPr>
          <w:rStyle w:val="None"/>
          <w:rFonts w:ascii="Times New Roman" w:hAnsi="Times New Roman"/>
          <w:b/>
          <w:bCs/>
          <w:sz w:val="28"/>
          <w:szCs w:val="28"/>
          <w:highlight w:val="yellow"/>
          <w:rtl/>
          <w:lang w:val="ar-SA"/>
        </w:rPr>
        <w:t xml:space="preserve">: </w:t>
      </w:r>
      <w:r w:rsidRPr="00CE27AA">
        <w:rPr>
          <w:rStyle w:val="None"/>
          <w:rFonts w:ascii="Arial Unicode MS" w:hAnsi="Arial Unicode MS" w:cs="Times New Roman" w:hint="cs"/>
          <w:b/>
          <w:bCs/>
          <w:sz w:val="28"/>
          <w:szCs w:val="28"/>
          <w:highlight w:val="yellow"/>
          <w:rtl/>
          <w:lang w:val="ar-SA"/>
        </w:rPr>
        <w:t>التحديات التقنية في تداول الإنتاج الفكري الرقمي</w:t>
      </w:r>
      <w:r w:rsidRPr="00CE27AA">
        <w:rPr>
          <w:rStyle w:val="None"/>
          <w:rFonts w:ascii="Times New Roman" w:hAnsi="Times New Roman"/>
          <w:b/>
          <w:bCs/>
          <w:sz w:val="28"/>
          <w:szCs w:val="28"/>
          <w:highlight w:val="yellow"/>
          <w:rtl/>
          <w:lang w:val="ar-SA"/>
        </w:rPr>
        <w:t>:</w:t>
      </w:r>
    </w:p>
    <w:p w14:paraId="4934E83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عصر الرقمنة المتسارع أصبحت البيئة الرقمية محط اهتمام العديد من الأفراد والمؤسسات؛ حيث تعتبر مصدرًا رئيسيًا لتبادل المعلومات والتفاعل الاجتماعي، ومع ذلك يرتبط هذا العصر بتحديات متزايدة تتعلق بحماية الخصوصية والبيانات الشخصية في البيئة الرقمية، فمع تزايد حجم البيانات وتنوعها، يتزايد أيضًا التهديد للخصوصية الفردية وسرية المعلومات، وتتطلب حماية البيانات الشخصية في البيئة الرقمية اهتمامًا مستمرًا وجهودًا مشتركة من الأفراد، والمؤسسات، والجهات التشريعية، فالتحول الرقمي يفتح الباب أمام تبادل المعلومات بشكل واسع؛ ممَّا يجعل الحاجة إلى آليات فعَّالة لحماية الخصوصية أمرًا ضروريًا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DBD6D9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تشهد نظم المعلومات ثورةً هائلةً أدت إلى تغييرات جذرية متسارعة؛ حيث ظهرت تطبيقات جديدة، أبرزها ما يعرف بتقنيات الذكاء الاصطناعي، الذي يُعَدُّ حقلًا جديدًا؛ إذْ يشير الواقع إلى أنَّ استخدامات الذكاء الاصطناعي تمتد لتتدخل في تكنولوجيا وصناعة المواد الطبية والأدوية، والصناعات المتقدمة، وتكنولوجيا المعلومات والإدارة، وصناعة الأسلحة ووسائل الدفاع، وغيرها من المجالات التي لا يمكن حصرها أو عدها، ويمثل الذكاء الاصطناعي تحديًا جديدًا للقانون في مستويات عدة، وهذا من حيث إمكانية تطبيق القواعد القانونية الموجودة على جميع المسائل القانونية التي يمكن أنْ يثيرها الذكاء الاصطناعي كنظام الملكية الفكرية، ونظام المسئولية العقدية أو التقصيرية إلى جانب المسئولية الجزائية، وحماية المعطيات الشخصية، والمنافسة وغيرها من المسائل التي عالجها النظام بحكم كون الإنسان فاعلًا فيها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22B52A" w14:textId="77777777" w:rsidR="00454428" w:rsidRDefault="00C464EC">
      <w:pPr>
        <w:pStyle w:val="ListParagraph"/>
        <w:numPr>
          <w:ilvl w:val="0"/>
          <w:numId w:val="9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الاعتداء على حقوق الملكية الفكرية الرقمية</w:t>
      </w:r>
      <w:r>
        <w:rPr>
          <w:rStyle w:val="None"/>
          <w:rFonts w:ascii="Times New Roman" w:hAnsi="Times New Roman"/>
          <w:sz w:val="24"/>
          <w:szCs w:val="24"/>
          <w:rtl/>
          <w:lang w:val="ar-SA"/>
        </w:rPr>
        <w:t>:</w:t>
      </w:r>
    </w:p>
    <w:p w14:paraId="498CEEA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نظرًا لضخامة الإنتاج الفكري المنشور عبر الإنترنت، فإنَّه من الصعوبة التحقق من الملكية الفكرية لأي محتوى إلكتروني على المواقع المختلفة،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اكتشاف التعديات على حقوق الملكية الفكرية في البيئة الرقمية يواجه صعوبة إلا في الأعمال التي تلقى قبولًا كبيرًا، وانتشارًا واسعًا، فيسهل اكتشاف الانتهاكات على حقوق الملكية الفكرية</w:t>
      </w:r>
      <w:r>
        <w:rPr>
          <w:rStyle w:val="None"/>
          <w:rFonts w:ascii="Times New Roman" w:hAnsi="Times New Roman"/>
          <w:sz w:val="24"/>
          <w:szCs w:val="24"/>
          <w:rtl/>
          <w:lang w:val="ar-SA"/>
        </w:rPr>
        <w:t>.</w:t>
      </w:r>
    </w:p>
    <w:p w14:paraId="3EABD00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تطوُّر تكنولوجيا المعلومات والاتصالات أثر على ابتكار المصنفات الأدبية والفنية والانتفاع بها، وتحويل الملفات التقليدية وإنتاج الأفكار لتوضع في فضاء الإنترنت؛ ممَّا يؤثر على الحماية الممنوحة بموجب حق المؤلف، هذا أدى إلى ظهور مشكلات قانونية مختلفة؛ نتيجة استخدام شبكة الإنترنت التي تحتوي على مواقع متعددة؛ حيث إنَّ لها كثيرًا من محركات للبحث عن المصنفات الرقمية؛ ممَّا يسهل عملية التنزيل أو النسخ غير المرخص به؛ حيث يتم نشر المصنف بطريقة غير مشروعة وبأقل تكلفة وأقل جهد؛ ممَّا يجعل ذلك اعتداءً على حقوق الناشر،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اعتداء على حقوق المؤلف 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0"/>
      </w:r>
      <w:r>
        <w:rPr>
          <w:rStyle w:val="None"/>
          <w:rFonts w:ascii="Times New Roman" w:hAnsi="Times New Roman"/>
          <w:sz w:val="24"/>
          <w:szCs w:val="24"/>
          <w:vertAlign w:val="superscript"/>
          <w:rtl/>
          <w:lang w:val="ar-SA"/>
        </w:rPr>
        <w:t>)</w:t>
      </w:r>
    </w:p>
    <w:p w14:paraId="6057D30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الاعتداء هو تجاوز الحدود المسموح بها، كما يُعَدُّ انتهاك شيء محمي قانونًا أو الاستعمال بدون وجه حق لشيء ما دون استئذان صاحبه أو مالكه، والاعتداء على حقوق المؤلف هي الاستغلال أو الاستعمال غير المشروع لحق من حقوق المؤلف دون إذن من صاحبها أي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1"/>
      </w:r>
      <w:r>
        <w:rPr>
          <w:rStyle w:val="None"/>
          <w:rFonts w:ascii="Times New Roman" w:hAnsi="Times New Roman"/>
          <w:sz w:val="24"/>
          <w:szCs w:val="24"/>
          <w:vertAlign w:val="superscript"/>
          <w:rtl/>
          <w:lang w:val="ar-SA"/>
        </w:rPr>
        <w:t>)</w:t>
      </w:r>
    </w:p>
    <w:p w14:paraId="2447F93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فمن أشكال التعدي على الملكية الفكرية في البيئة الرقمية نشر المصنفات الرقمية، دون الحصول على إذن والنسخ واللصق، وإعادة النسخ، وتعديل المصنف، ومِنْ ثَمَّ توزيعه أو إعادة توزيعه التحميل على أجهزة الحاسوب للتعديل، أي تعدي غير قانوني على المصنفات، أو أي استخدام أو تداول غير قانوني والاستفادة من الاستخدامات المتعددة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2"/>
      </w:r>
      <w:r>
        <w:rPr>
          <w:rStyle w:val="None"/>
          <w:rFonts w:ascii="Times New Roman" w:hAnsi="Times New Roman"/>
          <w:sz w:val="24"/>
          <w:szCs w:val="24"/>
          <w:vertAlign w:val="superscript"/>
          <w:rtl/>
          <w:lang w:val="ar-SA"/>
        </w:rPr>
        <w:t>)</w:t>
      </w:r>
    </w:p>
    <w:p w14:paraId="7830202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الاعتداء على حقوق الملكية الفكرية في عصر البيئة الرقمية من أهم التحديات التي تواجه المؤلفين؛ حيث أصبح في متناول الجميع الاطلاع، والنسخ، وإعادة النشر، والتوزيع عبر الشبكات الرقمية، يتم هذا دون إذن من صاحبها، كما يشمل هذا الاعتداء صورًا متعددة،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قرصنة البرامج، وتحميل الكتب أو أي محتوى آخر دون ترخيص، فهذه الاعتداءات تجد صعوبةً في الرقابة عليها خلال الشبكات الرقمية</w:t>
      </w:r>
      <w:r>
        <w:rPr>
          <w:rStyle w:val="None"/>
          <w:rFonts w:ascii="Times New Roman" w:hAnsi="Times New Roman"/>
          <w:sz w:val="24"/>
          <w:szCs w:val="24"/>
          <w:rtl/>
          <w:lang w:val="ar-SA"/>
        </w:rPr>
        <w:t>.</w:t>
      </w:r>
    </w:p>
    <w:p w14:paraId="694F217B" w14:textId="77777777" w:rsidR="00454428" w:rsidRDefault="00C464EC">
      <w:pPr>
        <w:pStyle w:val="ListParagraph"/>
        <w:numPr>
          <w:ilvl w:val="0"/>
          <w:numId w:val="9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ضعف الحماية ضد القرصنة والانتهاك</w:t>
      </w:r>
      <w:r>
        <w:rPr>
          <w:rStyle w:val="None"/>
          <w:rFonts w:ascii="Times New Roman" w:hAnsi="Times New Roman"/>
          <w:b/>
          <w:bCs/>
          <w:sz w:val="24"/>
          <w:szCs w:val="24"/>
          <w:rtl/>
          <w:lang w:val="ar-SA"/>
        </w:rPr>
        <w:t>:</w:t>
      </w:r>
    </w:p>
    <w:p w14:paraId="1BC4624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مصطلح القرصنة انتشارًا كبيرًا في لغة العصر الحديث؛ ليعبر عن الاعتداء الصارخ، والذي يقع على الدعامات المادية للمصنف الفكري، أو على وعائه،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التسجيلات السمعية والبصرية، ويُستخدم هذا التعبير في مجال البرمجيات؛ ليشمل الاختراقات التي يقوم بها البعض للأنظمة المعلوماتية؛ بهدف الاستيلاء على المعلومات أو البيانات السرية، أو زرع فيروسات في أنظمة الكمبيوتر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3"/>
      </w:r>
      <w:r>
        <w:rPr>
          <w:rStyle w:val="None"/>
          <w:rFonts w:ascii="Times New Roman" w:hAnsi="Times New Roman"/>
          <w:sz w:val="24"/>
          <w:szCs w:val="24"/>
          <w:vertAlign w:val="superscript"/>
          <w:rtl/>
          <w:lang w:val="ar-SA"/>
        </w:rPr>
        <w:t>)</w:t>
      </w:r>
    </w:p>
    <w:p w14:paraId="57FBC5B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جعلت التطوُّرات التكنولوجية والتقنية المتسارعة حق النسخ مثار جدل في ظل تقنيات النشر الرقمي للمصنفات عبر الوسائط الرقمية المتعددة كشبكة الإنترنت؛ حتى بتنا أمام وصف النسخ الرقمي لجميع المصنفات التي تتواجب في البيئة الرقمية، ونتيجةً للتقنيات الرقمية في مجال المعلومات وسبل الاتصالات وُجدت الوسائط الإلكترونية </w:t>
      </w:r>
      <w:r>
        <w:rPr>
          <w:rStyle w:val="None"/>
          <w:rFonts w:ascii="Arial Unicode MS" w:hAnsi="Arial Unicode MS" w:cs="Times New Roman" w:hint="cs"/>
          <w:sz w:val="24"/>
          <w:szCs w:val="24"/>
          <w:rtl/>
          <w:lang w:val="ar-SA"/>
        </w:rPr>
        <w:lastRenderedPageBreak/>
        <w:t>لتجوب بالمصنفات المحمية الفضاء الكوني، عبر مواقع الشبكة العنكبوتية العالمية التي تتيح لمستخدميها تصفح المصنفات والاستفادة منها، غير أنَّ المستخدمين يتجاوزون هذا الغرض، ويقومون بنسخ أية مصنفات منشورة إلكترونيًا، وذلك لاستغلالها بشكل أو بآخر دون الحصول على موافقة مسبقة من مؤلفي هذه المصنفات بوصفهم أصحاب الحقوق الأدبية والمالية؛ ممَّا يشكل اعتداءً على حقوقهم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4"/>
      </w:r>
      <w:r>
        <w:rPr>
          <w:rStyle w:val="None"/>
          <w:rFonts w:ascii="Times New Roman" w:hAnsi="Times New Roman"/>
          <w:sz w:val="24"/>
          <w:szCs w:val="24"/>
          <w:vertAlign w:val="superscript"/>
          <w:rtl/>
          <w:lang w:val="ar-SA"/>
        </w:rPr>
        <w:t>)</w:t>
      </w:r>
    </w:p>
    <w:p w14:paraId="70DBE71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فالقرصنة تعني الاستخدام أو النسخ غير القانوني لأنظمة التشغيل أو برامج الحاسوب المختلفة دون وجه حق، وقد تكون للقرصنة طبيعة تجسسية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سياسية، أو عسكرية، أو اقتصادية، أو إدارية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تهدف إلى الاستيلاء على بعض حقوق الملكية الأدبية والصناعية، ومن أشكال القرصنة تقليد البرامج، وسرقة البرامج الأصلية، بالإضافة إلى نسخ البرامج وبيعها دون دفع أموال للحصول على ترخيص بذلك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5"/>
      </w:r>
      <w:r>
        <w:rPr>
          <w:rStyle w:val="None"/>
          <w:rFonts w:ascii="Times New Roman" w:hAnsi="Times New Roman"/>
          <w:sz w:val="24"/>
          <w:szCs w:val="24"/>
          <w:vertAlign w:val="superscript"/>
          <w:rtl/>
          <w:lang w:val="ar-SA"/>
        </w:rPr>
        <w:t>)</w:t>
      </w:r>
    </w:p>
    <w:p w14:paraId="3F3D951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ظاهرة القرصنة الإلكترونية أصبحت تشكل خطرًا كبيرًا على حقوق الملكية الأدبية والفنية، بالإضافة إلى عرقلة الإبداع الفكري والابتكار؛ بسبب التعدي على حقوق الملكية الفكرية والنظام المعلوماتي، وهذا يؤثر سلبًا على النمو والاستثمار في العديد من المجالات الاقتصادية والاجتماعية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6"/>
      </w:r>
      <w:r>
        <w:rPr>
          <w:rStyle w:val="None"/>
          <w:rFonts w:ascii="Times New Roman" w:hAnsi="Times New Roman"/>
          <w:sz w:val="24"/>
          <w:szCs w:val="24"/>
          <w:vertAlign w:val="superscript"/>
          <w:rtl/>
          <w:lang w:val="ar-SA"/>
        </w:rPr>
        <w:t>)</w:t>
      </w:r>
    </w:p>
    <w:p w14:paraId="388D08C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القرصنة من أخطر أشكال الانتهاكات على حقوق الملكية الفكرية في البيئة الرقمية، فهي تشمل انتهاكات على البرامج، والتطبيقات، والكتب الإلكترونية، والإنتاج الفكري، وغيرها من المحتويات، تتم هذه الانتهاكات دون موافقة صاحب المصنف، كما يتم نسب هذا المصنف أو الإبداع الفكري لنفسه، فتمثل القرصنة من أهم التحديات التي تواجه المؤلفين والمبتكرين في البيئة الرقمية</w:t>
      </w:r>
      <w:r>
        <w:rPr>
          <w:rStyle w:val="None"/>
          <w:rFonts w:ascii="Times New Roman" w:hAnsi="Times New Roman"/>
          <w:sz w:val="24"/>
          <w:szCs w:val="24"/>
          <w:rtl/>
          <w:lang w:val="ar-SA"/>
        </w:rPr>
        <w:t>.</w:t>
      </w:r>
    </w:p>
    <w:p w14:paraId="07308DAB" w14:textId="180897FD" w:rsidR="00454428" w:rsidRPr="00C72BA8" w:rsidRDefault="00C464EC"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الأمن السيبراني أحد عناصر الأمن القومي غير التقليدية؛ لأنَّ أحد مستخدمي الفضاء الإلكتروني بإمكانه أنْ يوقع خسائرَ فادحةً بالطرف الآخر، وأنْ يتسبب في شل البينة المعلوماتية والاتصالية الخاصة به، وهو ما يسبب خسائر عسكرية واقتصادية فادحة، من خلال قطع أنظمة الاتصال بين الوحدات العسكرية وبعضها البعض، أو تضليل معلوماتها، أو سرقة معلومات سرية عنها، أو من خلال التلاعب بالبيانات الاقتصادية والمالية وتزييفها أو مسحها من أجهزة الحواسب، أو سرقة البيانات الشخصية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7"/>
      </w:r>
      <w:r>
        <w:rPr>
          <w:rStyle w:val="None"/>
          <w:rFonts w:ascii="Times New Roman" w:hAnsi="Times New Roman"/>
          <w:sz w:val="24"/>
          <w:szCs w:val="24"/>
          <w:vertAlign w:val="superscript"/>
          <w:rtl/>
          <w:lang w:val="ar-SA"/>
        </w:rPr>
        <w:t>)</w:t>
      </w:r>
      <w:r w:rsidR="00D6616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إنَّ القرصنة لها أشكال عديدة من الاعتداءات، يوجد قرصنة على حقوق الملكية الفكرية تتمثل في الاستيلاء أو النسخ، أو التوزيع غير المشروع للمصنفات المحمية بحقوق المؤلف سواء المادية أو الأدبية؛ بسبب تحقيق مكاسب مالية أو تجارية غير مشروعة، أما القرصنة المرتبطة بالتجسس والأمن السيبراني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اختراق لأنظمة الحاسب الآلي أو اختراق برامج؛ بهدف تجسس عسكري، أو سياسي، أو سرقة بيانات حكومية ومؤسسات</w:t>
      </w:r>
      <w:r>
        <w:rPr>
          <w:rStyle w:val="None"/>
          <w:rFonts w:ascii="Times New Roman" w:hAnsi="Times New Roman"/>
          <w:sz w:val="24"/>
          <w:szCs w:val="24"/>
          <w:rtl/>
          <w:lang w:val="ar-SA"/>
        </w:rPr>
        <w:t>.</w:t>
      </w:r>
    </w:p>
    <w:p w14:paraId="5A9F03F9" w14:textId="279F5453" w:rsidR="00454428" w:rsidRPr="00CE27AA" w:rsidRDefault="00C464EC">
      <w:pPr>
        <w:pStyle w:val="ListParagraph"/>
        <w:numPr>
          <w:ilvl w:val="0"/>
          <w:numId w:val="93"/>
        </w:numPr>
        <w:spacing w:before="120" w:after="120" w:line="360" w:lineRule="auto"/>
        <w:jc w:val="both"/>
        <w:rPr>
          <w:rStyle w:val="None"/>
          <w:rFonts w:cs="Arial Unicode MS" w:hint="default"/>
          <w:b/>
          <w:bCs/>
          <w:sz w:val="28"/>
          <w:szCs w:val="28"/>
          <w:highlight w:val="yellow"/>
          <w:rtl/>
          <w:lang w:val="ar-SA"/>
        </w:rPr>
      </w:pPr>
      <w:r w:rsidRPr="00CE27AA">
        <w:rPr>
          <w:rStyle w:val="None"/>
          <w:rFonts w:cs="Times New Roman"/>
          <w:b/>
          <w:bCs/>
          <w:sz w:val="28"/>
          <w:szCs w:val="28"/>
          <w:highlight w:val="yellow"/>
          <w:rtl/>
          <w:lang w:val="ar-SA"/>
        </w:rPr>
        <w:t>التورنت</w:t>
      </w:r>
      <w:r w:rsidRPr="00CE27AA">
        <w:rPr>
          <w:rStyle w:val="None"/>
          <w:rFonts w:ascii="Times New Roman" w:hAnsi="Times New Roman"/>
          <w:b/>
          <w:bCs/>
          <w:sz w:val="28"/>
          <w:szCs w:val="28"/>
          <w:highlight w:val="yellow"/>
          <w:rtl/>
          <w:lang w:val="ar-SA"/>
        </w:rPr>
        <w:t xml:space="preserve">: </w:t>
      </w:r>
      <w:r w:rsidR="00D66164" w:rsidRPr="00CE27AA">
        <w:rPr>
          <w:rStyle w:val="None"/>
          <w:rFonts w:ascii="Times New Roman" w:hAnsi="Times New Roman"/>
          <w:b/>
          <w:bCs/>
          <w:sz w:val="28"/>
          <w:szCs w:val="28"/>
          <w:highlight w:val="yellow"/>
          <w:rtl/>
          <w:lang w:val="ar-SA"/>
        </w:rPr>
        <w:t xml:space="preserve"> </w:t>
      </w:r>
      <w:r w:rsidRPr="00CE27AA">
        <w:rPr>
          <w:rStyle w:val="None"/>
          <w:rFonts w:cs="Times New Roman"/>
          <w:sz w:val="24"/>
          <w:szCs w:val="24"/>
          <w:highlight w:val="yellow"/>
          <w:rtl/>
          <w:lang w:val="ar-SA"/>
        </w:rPr>
        <w:t xml:space="preserve">تعتبر القرصنة عبر التورنت من أبرز صور القرصنة الرقمية في العصر الحديث، فتوفر منصات المشاركة اللامركزية تداول الملفات المحمية بحقوق الملكية الفكرية بسهولة وسرعة بين المستخدمين دون رقابة </w:t>
      </w:r>
      <w:r w:rsidRPr="00CE27AA">
        <w:rPr>
          <w:rStyle w:val="None"/>
          <w:rFonts w:cs="Times New Roman"/>
          <w:sz w:val="24"/>
          <w:szCs w:val="24"/>
          <w:highlight w:val="yellow"/>
          <w:rtl/>
          <w:lang w:val="ar-SA"/>
        </w:rPr>
        <w:lastRenderedPageBreak/>
        <w:t>مباشرة، وقد ساعد هذا النمط في إلحاق أضرار ملحوظة بالمبدعين والشركات المنتجة من خلال تقليل الإيرادات المتوقعة للأعمال الفنية والبرمجية، والتأثير بالسلب على فرص العمل وحوافز الابتكار في هذه القطاعات، كما تزداد صعوبة مواجهة هذه الظاهرة بسبب طبيعتها العابرة للحدود واعتمادها على تقنيات يصعب تتبعها أو التحكم فيها قانونيًا</w:t>
      </w:r>
      <w:r w:rsidRPr="00CE27AA">
        <w:rPr>
          <w:rStyle w:val="None"/>
          <w:rFonts w:ascii="Times New Roman" w:hAnsi="Times New Roman"/>
          <w:sz w:val="24"/>
          <w:szCs w:val="24"/>
          <w:highlight w:val="yellow"/>
          <w:rtl/>
          <w:lang w:val="ar-SA"/>
        </w:rPr>
        <w:t xml:space="preserve">. </w:t>
      </w:r>
      <w:r w:rsidRPr="00CE27AA">
        <w:rPr>
          <w:rStyle w:val="None"/>
          <w:rFonts w:ascii="Times New Roman" w:hAnsi="Times New Roman"/>
          <w:sz w:val="24"/>
          <w:szCs w:val="24"/>
          <w:highlight w:val="yellow"/>
          <w:vertAlign w:val="superscript"/>
          <w:rtl/>
          <w:lang w:val="ar-SA"/>
        </w:rPr>
        <w:t>(</w:t>
      </w:r>
      <w:r w:rsidRPr="00CE27AA">
        <w:rPr>
          <w:rStyle w:val="None"/>
          <w:rFonts w:ascii="Times New Roman" w:eastAsia="Times New Roman" w:hAnsi="Times New Roman" w:cs="Times New Roman"/>
          <w:sz w:val="24"/>
          <w:szCs w:val="24"/>
          <w:highlight w:val="yellow"/>
          <w:vertAlign w:val="superscript"/>
          <w:lang w:val="ar-SA"/>
        </w:rPr>
        <w:footnoteReference w:id="238"/>
      </w:r>
      <w:r w:rsidRPr="00CE27AA">
        <w:rPr>
          <w:rStyle w:val="None"/>
          <w:rFonts w:ascii="Times New Roman" w:hAnsi="Times New Roman"/>
          <w:sz w:val="24"/>
          <w:szCs w:val="24"/>
          <w:highlight w:val="yellow"/>
          <w:vertAlign w:val="superscript"/>
          <w:rtl/>
          <w:lang w:val="ar-SA"/>
        </w:rPr>
        <w:t>)</w:t>
      </w:r>
    </w:p>
    <w:p w14:paraId="21685A5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تظهر القرصنة عبر التورنت كأحد الصور الواضحة لهذه الجرائم الرقمية؛ حيث يتجه بعض المستخدمين إلى شبكات مشاركة الملفات غير القانونية للحصول على محتوى محمي بحقوق النشر بدون تصريح، وفي البيئات التي تتسم بصرامة في تطبيق قوانين الملكية الفكرية، من الممكن أن تزداد القيود على الوصول إلى المحتوى الرقمي نتيجة إلزام المنصات بحذف المواد المخالفة وتحميلها مسؤوليات قانونية، وهو ما قد يدفع بعض الناس إلى اللجوء لبدائل غير مشروعة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منصات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B5DE71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فيعتمد نظام تورنت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على توزيع الملفات عبر شبكة نظير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نظير؛ بحيث يتم تقسيم الملفات إلى أجزاء صغيرة يمكن تنزيلها من عدة مستخدمين في الوقت نفسه، والذي يسرع عملية التحميل ويقلل الاعتماد على خادم مركزي، ويظل الأشخاص الذين يملكون الملف كاملًا المعروفون بـ </w:t>
      </w:r>
      <w:r>
        <w:rPr>
          <w:rStyle w:val="None"/>
          <w:rFonts w:ascii="Times New Roman" w:hAnsi="Times New Roman"/>
          <w:sz w:val="24"/>
          <w:szCs w:val="24"/>
          <w:lang w:val="nl-NL"/>
        </w:rPr>
        <w:t>(Seeders)</w:t>
      </w:r>
      <w:r>
        <w:rPr>
          <w:rStyle w:val="None"/>
          <w:rFonts w:ascii="Arial Unicode MS" w:hAnsi="Arial Unicode MS" w:cs="Times New Roman" w:hint="cs"/>
          <w:sz w:val="24"/>
          <w:szCs w:val="24"/>
          <w:rtl/>
          <w:lang w:val="ar-SA"/>
        </w:rPr>
        <w:t>، مسؤولين عن نشره للآخرين، بينما يقوم المستخدمون الجدد بتنزيل أجزاء الملف من عدة مصادر في نفس الوقت، وتجعل هذه الآلية من الصعب تتبع وتحديد المصدر الأصلي للملف، وهو ما يزيد من تعقيد مكافحة الانتهاكات الرقمية للملكية الفكرية عبر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C771508" w14:textId="77777777" w:rsidR="00454428" w:rsidRDefault="00C464EC">
      <w:pPr>
        <w:pStyle w:val="ListParagraph"/>
        <w:numPr>
          <w:ilvl w:val="0"/>
          <w:numId w:val="93"/>
        </w:numPr>
        <w:spacing w:line="360" w:lineRule="auto"/>
        <w:jc w:val="both"/>
        <w:rPr>
          <w:rFonts w:ascii="Times New Roman" w:hAnsi="Times New Roman" w:hint="default"/>
          <w:b/>
          <w:bCs/>
          <w:sz w:val="28"/>
          <w:szCs w:val="28"/>
          <w:rtl/>
        </w:rPr>
      </w:pPr>
      <w:r>
        <w:rPr>
          <w:rStyle w:val="NoneA"/>
          <w:rFonts w:ascii="Times New Roman" w:hAnsi="Times New Roman"/>
          <w:b/>
          <w:bCs/>
          <w:sz w:val="28"/>
          <w:szCs w:val="28"/>
        </w:rPr>
        <w:t>IPTV piracy</w:t>
      </w:r>
    </w:p>
    <w:p w14:paraId="1F6E85D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w:t>
      </w:r>
      <w:r>
        <w:rPr>
          <w:rStyle w:val="None"/>
          <w:rFonts w:ascii="Times New Roman" w:hAnsi="Times New Roman"/>
          <w:sz w:val="24"/>
          <w:szCs w:val="24"/>
        </w:rPr>
        <w:t xml:space="preserve">IPTV </w:t>
      </w:r>
      <w:r>
        <w:rPr>
          <w:rStyle w:val="None"/>
          <w:rFonts w:ascii="Arial Unicode MS" w:hAnsi="Arial Unicode MS" w:cs="Times New Roman" w:hint="cs"/>
          <w:sz w:val="24"/>
          <w:szCs w:val="24"/>
          <w:rtl/>
          <w:lang w:val="ar-SA"/>
        </w:rPr>
        <w:t xml:space="preserve"> هو نظام بث تلفزيوني عبر الإنترنت يتيح نقل المحتوى مباشرة إلى المستخدمين عبر الشبكة بدلاً من البث التقليدي عبر الأقمار الصناعية أو الكابل، ويُستخدم أحيانًا بشكل غير قانوني لبث محتوى محمي بحقوق النشر؛ مما يؤدي إلى زيادة حالات قرصنة البث المباشر، ويستخدم المنتهكون شبكات افتراضية خاصة</w:t>
      </w:r>
      <w:r>
        <w:rPr>
          <w:rStyle w:val="None"/>
          <w:rFonts w:ascii="Times New Roman" w:hAnsi="Times New Roman"/>
          <w:sz w:val="24"/>
          <w:szCs w:val="24"/>
          <w:lang w:val="pt-PT"/>
        </w:rPr>
        <w:t xml:space="preserve"> (VPN) </w:t>
      </w:r>
      <w:r>
        <w:rPr>
          <w:rStyle w:val="None"/>
          <w:rFonts w:ascii="Arial Unicode MS" w:hAnsi="Arial Unicode MS" w:cs="Times New Roman" w:hint="cs"/>
          <w:sz w:val="24"/>
          <w:szCs w:val="24"/>
          <w:rtl/>
          <w:lang w:val="ar-SA"/>
        </w:rPr>
        <w:t>وخوادم بروكسي للالتفاف على القيود التي تفرضها المواقع الإلكترونية وأصحاب حقوق النشر، والذي يجعل تتبعهم وملاحقتهم القانونية أكثر صعوبة، كما أن استخدام شبكات</w:t>
      </w:r>
      <w:r>
        <w:rPr>
          <w:rStyle w:val="None"/>
          <w:rFonts w:ascii="Times New Roman" w:hAnsi="Times New Roman"/>
          <w:sz w:val="24"/>
          <w:szCs w:val="24"/>
        </w:rPr>
        <w:t xml:space="preserve">P2P </w:t>
      </w:r>
      <w:r>
        <w:rPr>
          <w:rStyle w:val="None"/>
          <w:rFonts w:ascii="Arial Unicode MS" w:hAnsi="Arial Unicode MS" w:cs="Times New Roman" w:hint="cs"/>
          <w:sz w:val="24"/>
          <w:szCs w:val="24"/>
          <w:rtl/>
          <w:lang w:val="ar-SA"/>
        </w:rPr>
        <w:t xml:space="preserve"> المشفرة وتقنيات التحايل على حماية الحقوق الرقمية يسهل مشاركة وإعادة إنتاج المحتوى المحمي دون إذن؛ ما يزيد من تعقيد إنفاذ قوانين الملكية الفكرية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6E102EF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فتتيح خدمات </w:t>
      </w:r>
      <w:r>
        <w:rPr>
          <w:rStyle w:val="None"/>
          <w:rFonts w:ascii="Times New Roman" w:hAnsi="Times New Roman"/>
          <w:sz w:val="24"/>
          <w:szCs w:val="24"/>
        </w:rPr>
        <w:t>IPTV</w:t>
      </w:r>
      <w:r>
        <w:rPr>
          <w:rStyle w:val="None"/>
          <w:rFonts w:ascii="Arial Unicode MS" w:hAnsi="Arial Unicode MS" w:cs="Times New Roman" w:hint="cs"/>
          <w:sz w:val="24"/>
          <w:szCs w:val="24"/>
          <w:rtl/>
          <w:lang w:val="ar-SA"/>
        </w:rPr>
        <w:t xml:space="preserve"> غير القانونية للمستخدمين الوصول إلى البث المباشر لمباريات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كأس العالم عبر خوادم غير مرخصة، وفي الغالب تقدم هذه الخدمات كباقات اشتراك بسعر أقل من الخدمات الرسمية؛ ما يجذب </w:t>
      </w:r>
      <w:r>
        <w:rPr>
          <w:rStyle w:val="None"/>
          <w:rFonts w:ascii="Arial Unicode MS" w:hAnsi="Arial Unicode MS" w:cs="Times New Roman" w:hint="cs"/>
          <w:sz w:val="24"/>
          <w:szCs w:val="24"/>
          <w:rtl/>
          <w:lang w:val="ar-SA"/>
        </w:rPr>
        <w:lastRenderedPageBreak/>
        <w:t>المستخدمين الذين يريدون متابعة المباريات دون دفع التكلفة الكاملة، فتتوفر أجهزة استقبال تلفزيوني معدلة على نطاق واسع، والذي يسمح بالوصول إلى القنوات المميزة دون الاشتراك الرسمي، ويصعب مكافحة هذا النوع من القرصنة لأن توزيع البرامج والأجهزة واسع الانتشار ويجعل تتبع المستخدمين من قبل جهات إنفاذ القانون أمر معقد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59DDC42" w14:textId="0EFB66CF" w:rsidR="00454428" w:rsidRPr="00D66164" w:rsidRDefault="00C464EC">
      <w:pPr>
        <w:pStyle w:val="ListParagraph"/>
        <w:numPr>
          <w:ilvl w:val="0"/>
          <w:numId w:val="93"/>
        </w:numPr>
        <w:spacing w:before="120" w:after="120" w:line="360" w:lineRule="auto"/>
        <w:jc w:val="both"/>
        <w:rPr>
          <w:rStyle w:val="None"/>
          <w:rFonts w:ascii="Times New Roman" w:hAnsi="Times New Roman" w:hint="default"/>
          <w:b/>
          <w:bCs/>
          <w:sz w:val="28"/>
          <w:szCs w:val="28"/>
        </w:rPr>
      </w:pPr>
      <w:r>
        <w:rPr>
          <w:rStyle w:val="None"/>
          <w:rFonts w:ascii="Times New Roman" w:hAnsi="Times New Roman"/>
          <w:b/>
          <w:bCs/>
          <w:sz w:val="28"/>
          <w:szCs w:val="28"/>
        </w:rPr>
        <w:t>NFTS</w:t>
      </w:r>
      <w:r>
        <w:rPr>
          <w:rStyle w:val="None"/>
          <w:rFonts w:ascii="Times New Roman" w:hAnsi="Times New Roman"/>
          <w:b/>
          <w:bCs/>
          <w:sz w:val="28"/>
          <w:szCs w:val="28"/>
          <w:rtl/>
          <w:lang w:val="ar-SA"/>
        </w:rPr>
        <w:t xml:space="preserve">: </w:t>
      </w:r>
      <w:r w:rsidR="00D66164">
        <w:rPr>
          <w:rStyle w:val="None"/>
          <w:rFonts w:ascii="Times New Roman" w:hAnsi="Times New Roman"/>
          <w:b/>
          <w:bCs/>
          <w:sz w:val="28"/>
          <w:szCs w:val="28"/>
          <w:rtl/>
          <w:lang w:val="ar-SA"/>
        </w:rPr>
        <w:t xml:space="preserve"> </w:t>
      </w:r>
      <w:r w:rsidRPr="00D66164">
        <w:rPr>
          <w:rStyle w:val="None"/>
          <w:rFonts w:cs="Times New Roman"/>
          <w:sz w:val="24"/>
          <w:szCs w:val="24"/>
          <w:rtl/>
          <w:lang w:val="ar-SA"/>
        </w:rPr>
        <w:t xml:space="preserve">تُعد الرموز غير القابلة للاستبدال </w:t>
      </w:r>
      <w:r w:rsidRPr="00D66164">
        <w:rPr>
          <w:rStyle w:val="None"/>
          <w:rFonts w:ascii="Times New Roman" w:hAnsi="Times New Roman"/>
          <w:sz w:val="24"/>
          <w:szCs w:val="24"/>
          <w:rtl/>
          <w:lang w:val="ar-SA"/>
        </w:rPr>
        <w:t>(</w:t>
      </w:r>
      <w:r w:rsidRPr="00D66164">
        <w:rPr>
          <w:rStyle w:val="None"/>
          <w:rFonts w:ascii="Times New Roman" w:hAnsi="Times New Roman"/>
          <w:sz w:val="24"/>
          <w:szCs w:val="24"/>
        </w:rPr>
        <w:t>NFTs</w:t>
      </w:r>
      <w:r w:rsidRPr="00D66164">
        <w:rPr>
          <w:rStyle w:val="None"/>
          <w:rFonts w:ascii="Times New Roman" w:hAnsi="Times New Roman"/>
          <w:sz w:val="24"/>
          <w:szCs w:val="24"/>
          <w:rtl/>
          <w:lang w:val="ar-SA"/>
        </w:rPr>
        <w:t xml:space="preserve">) </w:t>
      </w:r>
      <w:r w:rsidRPr="00D66164">
        <w:rPr>
          <w:rStyle w:val="None"/>
          <w:rFonts w:cs="Times New Roman"/>
          <w:sz w:val="24"/>
          <w:szCs w:val="24"/>
          <w:rtl/>
          <w:lang w:val="ar-SA"/>
        </w:rPr>
        <w:t>أحد الابتكارات الرقمية المرتبطة بالملكية الفكرية في الفضاء الرقمي، فهي تمثل أصول رقمية مميزة يمكن مبادلاتها على منصات البلوك تشين؛ مما يوفر ملكية رقمية واضحة للمبدعين، لكنه في الوقت نفسه يفتح الباب أمام الانتهاكات مثل</w:t>
      </w:r>
      <w:r w:rsidRPr="00D66164">
        <w:rPr>
          <w:rStyle w:val="None"/>
          <w:rFonts w:ascii="Times New Roman" w:hAnsi="Times New Roman"/>
          <w:sz w:val="24"/>
          <w:szCs w:val="24"/>
          <w:rtl/>
          <w:lang w:val="ar-SA"/>
        </w:rPr>
        <w:t xml:space="preserve">: </w:t>
      </w:r>
      <w:r w:rsidRPr="00D66164">
        <w:rPr>
          <w:rStyle w:val="None"/>
          <w:rFonts w:cs="Times New Roman"/>
          <w:sz w:val="24"/>
          <w:szCs w:val="24"/>
          <w:rtl/>
          <w:lang w:val="ar-SA"/>
        </w:rPr>
        <w:t xml:space="preserve">نسخ أو تداول الأعمال المحمية بحقوق الطبع والنشر دون إذن، ويصعب رصد مثل هذه الانتهاكات بسبب الطبيعة اللامركزية للبلوك تشين، الذي يجعل حماية الحقوق القانونية للمبدعين تحدي متزايد في عالم الـ </w:t>
      </w:r>
      <w:r w:rsidRPr="00D66164">
        <w:rPr>
          <w:rStyle w:val="None"/>
          <w:rFonts w:ascii="Times New Roman" w:hAnsi="Times New Roman"/>
          <w:sz w:val="24"/>
          <w:szCs w:val="24"/>
        </w:rPr>
        <w:t>NFTs</w:t>
      </w:r>
      <w:r w:rsidRPr="00D66164">
        <w:rPr>
          <w:rStyle w:val="None"/>
          <w:rFonts w:ascii="Times New Roman" w:hAnsi="Times New Roman"/>
          <w:sz w:val="24"/>
          <w:szCs w:val="24"/>
          <w:rtl/>
          <w:lang w:val="ar-SA"/>
        </w:rPr>
        <w:t xml:space="preserve">. </w:t>
      </w:r>
      <w:r w:rsidRPr="00D66164">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3"/>
      </w:r>
      <w:r w:rsidRPr="00D66164">
        <w:rPr>
          <w:rStyle w:val="None"/>
          <w:rFonts w:ascii="Times New Roman" w:hAnsi="Times New Roman"/>
          <w:sz w:val="24"/>
          <w:szCs w:val="24"/>
          <w:vertAlign w:val="superscript"/>
          <w:rtl/>
          <w:lang w:val="ar-SA"/>
        </w:rPr>
        <w:t>)</w:t>
      </w:r>
      <w:r w:rsidRPr="00D66164">
        <w:rPr>
          <w:rStyle w:val="None"/>
          <w:rFonts w:ascii="Times New Roman" w:hAnsi="Times New Roman"/>
          <w:sz w:val="24"/>
          <w:szCs w:val="24"/>
          <w:rtl/>
          <w:lang w:val="ar-SA"/>
        </w:rPr>
        <w:t xml:space="preserve"> </w:t>
      </w:r>
    </w:p>
    <w:p w14:paraId="0417990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أدى ظهور الرموز غير القابلة للاستبدال</w:t>
      </w:r>
      <w:r>
        <w:rPr>
          <w:rStyle w:val="None"/>
          <w:rFonts w:ascii="Times New Roman" w:hAnsi="Times New Roman"/>
          <w:sz w:val="24"/>
          <w:szCs w:val="24"/>
        </w:rPr>
        <w:t xml:space="preserve"> (NFTs) </w:t>
      </w:r>
      <w:r>
        <w:rPr>
          <w:rStyle w:val="None"/>
          <w:rFonts w:ascii="Arial Unicode MS" w:hAnsi="Arial Unicode MS" w:cs="Times New Roman" w:hint="cs"/>
          <w:sz w:val="24"/>
          <w:szCs w:val="24"/>
          <w:rtl/>
          <w:lang w:val="ar-SA"/>
        </w:rPr>
        <w:t>كفئة أصول رقمية تطرح أسئلة جوهرية حول طبيعة الملكية الرقمية وحماية حقوق النشر وإمكانية إنفاذ حقوق الملكية الفكرية في الأنظمة اللامركزية، فالقوانين التقليدية المصممة للأعمال المادية وأنظمة التوزيع المركزية تواجه صعوبة في التعامل مع هذه الأصول، ومع الطبيعة غير القابلة للتغيير لهذه التقنية تصبح الآليات التقليدية لتنفيذ حقوق التأليف والنشر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إزالة المحتوى أو إشعارات الإزالة محدودة الفاعلية؛ مما يزيد من تحديات حماية حقوق المبدعين في بيئة الـ</w:t>
      </w:r>
      <w:r>
        <w:rPr>
          <w:rStyle w:val="None"/>
          <w:rFonts w:ascii="Times New Roman" w:hAnsi="Times New Roman"/>
          <w:sz w:val="24"/>
          <w:szCs w:val="24"/>
        </w:rPr>
        <w:t xml:space="preserve"> NFTs </w:t>
      </w:r>
      <w:r>
        <w:rPr>
          <w:rStyle w:val="None"/>
          <w:rFonts w:ascii="Arial Unicode MS" w:hAnsi="Arial Unicode MS" w:cs="Times New Roman" w:hint="cs"/>
          <w:sz w:val="24"/>
          <w:szCs w:val="24"/>
          <w:rtl/>
          <w:lang w:val="ar-SA"/>
        </w:rPr>
        <w:t>الرقمية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4"/>
      </w:r>
      <w:r>
        <w:rPr>
          <w:rStyle w:val="None"/>
          <w:rFonts w:ascii="Times New Roman" w:hAnsi="Times New Roman"/>
          <w:sz w:val="24"/>
          <w:szCs w:val="24"/>
          <w:vertAlign w:val="superscript"/>
          <w:rtl/>
          <w:lang w:val="ar-SA"/>
        </w:rPr>
        <w:t>)</w:t>
      </w:r>
    </w:p>
    <w:p w14:paraId="1856A592" w14:textId="77777777" w:rsidR="00454428" w:rsidRDefault="00C464EC">
      <w:pPr>
        <w:pStyle w:val="ListParagraph"/>
        <w:numPr>
          <w:ilvl w:val="0"/>
          <w:numId w:val="9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قصور القوانين التقليدية عن مواكبة البيئة الرقمية</w:t>
      </w:r>
      <w:r>
        <w:rPr>
          <w:rStyle w:val="None"/>
          <w:rFonts w:ascii="Times New Roman" w:hAnsi="Times New Roman"/>
          <w:b/>
          <w:bCs/>
          <w:sz w:val="24"/>
          <w:szCs w:val="24"/>
          <w:rtl/>
          <w:lang w:val="ar-SA"/>
        </w:rPr>
        <w:t>:</w:t>
      </w:r>
    </w:p>
    <w:p w14:paraId="4F1A877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المؤلفين في البيئة الرقمية المتشابكة يوجههم العديد من المشاكل؛ بسبب سهولة الوصول إلى هذه المؤلفات واستنساخها، في ظل تأخر وانعدام القوانين وعدم مواكبتها للسرعة التي تتطوَّر بها التكنولوجيا في البيئة الرقمية، وعدم قدرتها على التكيف مع الوضع الحالي، بل ويرى عدد من الخبراء أنَّ القوانين الحالية لحقوق التأليف والحقوق المجاورة لم تَعُدْ قابلة للتطبيق في بيئة الإنترنت؛ لذا أصبح حتمًا على جميع الهيئات الفاعلة، التفكير في حلول ومعالجات قانونية تتماشى مع روح عصر الثورة الصناعية، والتحول إلى الرقمية من أجل حماية الملكية الفكرية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CBA743" w14:textId="77777777" w:rsidR="00454428" w:rsidRPr="00D66164"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فقد جرمت القوانين التقليدية بعض الأفعال التي تمثل اعتداء على حقوق الملكية الفكرية، ومن أمثلة الجرائم التي تتم عبر شبكة الإنترنت:</w:t>
      </w:r>
    </w:p>
    <w:p w14:paraId="6ADC96AB" w14:textId="77777777" w:rsidR="00454428" w:rsidRPr="00D66164" w:rsidRDefault="00C464EC">
      <w:pPr>
        <w:pStyle w:val="ListParagraph"/>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تقليد المصنف المنشور في الخارج، أو في داخل البلاد، أو تصديره إلى الخارج؛ للحصول على ربح مالي نتيجة هذا الاستغلال.</w:t>
      </w:r>
    </w:p>
    <w:p w14:paraId="2B8D1C74" w14:textId="77777777" w:rsidR="00454428" w:rsidRPr="00D66164" w:rsidRDefault="00C464EC">
      <w:pPr>
        <w:pStyle w:val="ListParagraph"/>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lastRenderedPageBreak/>
        <w:t>تضيع أو تجميع أو استيراد؛ بغرض البيع أو تأجير أدوات معدة للتحايل على أية حماية تقنية يستخدمها صاحب حقوق المؤلف، وقد ازدادت أهمية الحماية بعد انتشار القنوات الفضائية، والأقمار الصناعية وما صاحبها من تطوُّر في وسائل القرصنة.</w:t>
      </w:r>
    </w:p>
    <w:p w14:paraId="5F894B0E" w14:textId="77777777" w:rsidR="00454428" w:rsidRPr="00D66164" w:rsidRDefault="00C464EC">
      <w:pPr>
        <w:pStyle w:val="ListParagraph"/>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الاعتداء على محتوى المصنف عن طريق الاقباس غير المشروع الذي يُعَدُّ أحد أهم أشكال الاعتداء على محتوى المصنف، ويتحقق بنقل جزء من مصنف مشمول بالحماية دون الإشارة إلى هذا المصنف وإلى اسم مؤلفه، ويلاحظ كذلك أنَّ الاقتباس يظهر دائمًا في أحوال النقل الجزئي، ذلك أنَّ نقل المصنف بأكمله لا يعتبر اقتباسًا، وإنما يشكل جريمةً تقليد للمصنف الأصلي.</w:t>
      </w:r>
    </w:p>
    <w:p w14:paraId="31114BC7" w14:textId="77777777" w:rsidR="00454428" w:rsidRPr="00D66164" w:rsidRDefault="00C464EC">
      <w:pPr>
        <w:pStyle w:val="ListParagraph"/>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إلى جانب الاقتباسات غير المشروعة يظهر الاعتداء على محتوى المصنف في ترجمة المصنفات دون الحصول على إذن من مؤلفها؛ حيث يتم ترجمة أصول الكتب الأجنبية دون الحصول على ترخيص أصحابها عن طريق نقل محتويات هذه الكتب وترجمتها إلى لغة أخرى بما يترتب على ذلك من منافسة غير مشروعة للكتب الأصلية.</w:t>
      </w:r>
    </w:p>
    <w:p w14:paraId="7F94D626" w14:textId="77777777" w:rsidR="00454428" w:rsidRPr="00D66164" w:rsidRDefault="00C464EC">
      <w:pPr>
        <w:pStyle w:val="ListParagraph"/>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 xml:space="preserve">الاعتداء على العنوان من أبرز أشكال الاعتداء المباشر الذي يقع على المصنف الرقمي، ويتحقق ذلك عند ظهور مصنف جديد يشمل ذات العنوان لمصنف سبق عليه، وهذا معناه أنَّ المعتدي سلك سبلًا غير مشروعة حتى يستفيد ممَّا حظي به المصنف المعتدَى عليه من ذيوع وانتشار، بالإضافة إلى بيع المصنفات المقلدة، أو عرضها للبيع، أو التداول والإيجار مع العلم بكونها مقلدة </w:t>
      </w:r>
      <w:r w:rsidRPr="00D66164">
        <w:rPr>
          <w:rStyle w:val="None"/>
          <w:rFonts w:ascii="Times New Roman" w:hAnsi="Times New Roman" w:cs="Times New Roman" w:hint="default"/>
          <w:sz w:val="24"/>
          <w:szCs w:val="24"/>
          <w:vertAlign w:val="superscript"/>
          <w:rtl/>
          <w:lang w:val="ar-SA"/>
        </w:rPr>
        <w:t>(</w:t>
      </w:r>
      <w:r w:rsidRPr="00D66164">
        <w:rPr>
          <w:rStyle w:val="None"/>
          <w:rFonts w:ascii="Times New Roman" w:eastAsia="Times New Roman" w:hAnsi="Times New Roman" w:cs="Times New Roman" w:hint="default"/>
          <w:sz w:val="24"/>
          <w:szCs w:val="24"/>
          <w:vertAlign w:val="superscript"/>
          <w:lang w:val="ar-SA"/>
        </w:rPr>
        <w:footnoteReference w:id="246"/>
      </w:r>
      <w:r w:rsidRPr="00D66164">
        <w:rPr>
          <w:rStyle w:val="None"/>
          <w:rFonts w:ascii="Times New Roman" w:hAnsi="Times New Roman" w:cs="Times New Roman" w:hint="default"/>
          <w:sz w:val="24"/>
          <w:szCs w:val="24"/>
          <w:vertAlign w:val="superscript"/>
          <w:rtl/>
          <w:lang w:val="ar-SA"/>
        </w:rPr>
        <w:t>)</w:t>
      </w:r>
      <w:r w:rsidRPr="00D66164">
        <w:rPr>
          <w:rStyle w:val="None"/>
          <w:rFonts w:ascii="Times New Roman" w:hAnsi="Times New Roman" w:cs="Times New Roman" w:hint="default"/>
          <w:sz w:val="24"/>
          <w:szCs w:val="24"/>
          <w:rtl/>
          <w:lang w:val="ar-SA"/>
        </w:rPr>
        <w:t>.</w:t>
      </w:r>
    </w:p>
    <w:p w14:paraId="0BE86D3D" w14:textId="77777777" w:rsidR="00454428" w:rsidRPr="00D66164"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وبالنظر للجرائم السابقة فرغم أنَّها نفس الجرائم التي تقع على حقوق الملكية الفكرية في البيئة الرقمية إلا أنَّ وسائل وأشكال الاعتداء عليها تختلف، وبالتالي: فإنَّ ارتكابها في البيئة الرقمية لا يتوافق مع نموذج التجريم الوارد في القاعدة القانونية في القانون، وهذا يعني وجود حاجة إلى إصدار قوانين لحماية الملكية الفكرية تتناسب مع طبيعة وخصائص البيئة الرقمية.</w:t>
      </w:r>
    </w:p>
    <w:p w14:paraId="6EB3732E" w14:textId="77777777" w:rsidR="00454428" w:rsidRPr="00D66164"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بِناءً على ما سبق: تعتبر شبكة الإنترنت أحدثت نقلة مهمة في مجال النشر، والتوزيع، وعرض المصنفات الرقمية؛ لأنَّ عملية النشر على منصات الواقع الافتراضي تتم بسرعة ودقة، وبتكاليف منخفضة عكس نشر في الوسائل التقليدية، ولكن من الضروري تحديث التشريعات الوطنية؛ لكي توائم مع الواقع الافتراضي الحديث؛ بهدف حماية حقوق الملكية الفكرية الرقمية.</w:t>
      </w:r>
    </w:p>
    <w:p w14:paraId="7556AA7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8D7642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A296DC1"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4264533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DD83C9E"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436D9A8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091A1014"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16956FF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Pr>
      </w:pPr>
    </w:p>
    <w:p w14:paraId="0B9A4D9F"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7A6E18B9" w14:textId="77777777" w:rsidR="00D66164" w:rsidRDefault="00D6616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39A08688" w14:textId="296A9F4D" w:rsidR="00454428" w:rsidRDefault="00C464EC" w:rsidP="00C72BA8">
      <w:pPr>
        <w:pStyle w:val="a"/>
        <w:rPr>
          <w:rStyle w:val="None"/>
          <w:rtl/>
          <w:lang w:val="ar-SA"/>
        </w:rPr>
      </w:pPr>
      <w:bookmarkStart w:id="191" w:name="_Toc227251112"/>
      <w:bookmarkStart w:id="192" w:name="_Toc232260669"/>
      <w:r>
        <w:rPr>
          <w:rStyle w:val="None"/>
          <w:rFonts w:ascii="Arial Unicode MS" w:eastAsia="Arial Unicode MS" w:hAnsi="Arial Unicode MS" w:hint="cs"/>
          <w:rtl/>
          <w:lang w:val="ar-SA"/>
        </w:rPr>
        <w:lastRenderedPageBreak/>
        <w:t>المطلب الثاني</w:t>
      </w:r>
      <w:bookmarkEnd w:id="191"/>
      <w:bookmarkEnd w:id="192"/>
    </w:p>
    <w:p w14:paraId="5E55EAF8" w14:textId="77777777" w:rsidR="00454428" w:rsidRDefault="00C464EC" w:rsidP="00C72BA8">
      <w:pPr>
        <w:pStyle w:val="a"/>
        <w:rPr>
          <w:rStyle w:val="None"/>
          <w:rtl/>
          <w:lang w:val="ar-SA"/>
        </w:rPr>
      </w:pPr>
      <w:bookmarkStart w:id="193" w:name="_Toc227251113"/>
      <w:bookmarkStart w:id="194" w:name="_Toc232260670"/>
      <w:r>
        <w:rPr>
          <w:rStyle w:val="None"/>
          <w:rFonts w:ascii="Arial Unicode MS" w:eastAsia="Arial Unicode MS" w:hAnsi="Arial Unicode MS" w:hint="cs"/>
          <w:rtl/>
          <w:lang w:val="ar-SA"/>
        </w:rPr>
        <w:t>خصائص الإنتاج الفكري الرقمي وحدود الحماية القانونية</w:t>
      </w:r>
      <w:bookmarkEnd w:id="193"/>
      <w:bookmarkEnd w:id="194"/>
    </w:p>
    <w:p w14:paraId="2124049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المتغيرات الرقمية في تقنيات المعرفة قد أثرت بشكل فاعل في مختلف قواعد النظام الإبداعي والفكري، وفي العلاقات القانونية الناتجة من الإبداع الفكري، وكان أثرها الأوضح في حقل الملكية الفكرية، وتحديدًا فيما يتصل بتوفير الحماية للمصنفات الجديدة التي أفرزتها البيئة الرقمية، بالإضافة إلى ما يتصل بتوفير الحماية للمصنفات الفكرية والإبداعية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7"/>
      </w:r>
      <w:r>
        <w:rPr>
          <w:rStyle w:val="None"/>
          <w:rFonts w:ascii="Times New Roman" w:hAnsi="Times New Roman"/>
          <w:sz w:val="24"/>
          <w:szCs w:val="24"/>
          <w:vertAlign w:val="superscript"/>
          <w:rtl/>
          <w:lang w:val="ar-SA"/>
        </w:rPr>
        <w:t>)</w:t>
      </w:r>
    </w:p>
    <w:p w14:paraId="7DD0B5D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يتميز بالعديد من الخصائص، ومنها السرعة والانتشار عبر الفضاء الإلكتروني لنشر محتوياتهم، وقلة التكاليف بالنسبة للمؤلف من نشر مؤلفاته مقارنة بالنشر التقليدي، واستخدام الوسائط المتعددة عن طريق الحاسب الآلي عبر المنصات الرقمية، أو التواصل الاجتماعي</w:t>
      </w:r>
      <w:r>
        <w:rPr>
          <w:rStyle w:val="None"/>
          <w:rFonts w:ascii="Times New Roman" w:hAnsi="Times New Roman"/>
          <w:sz w:val="24"/>
          <w:szCs w:val="24"/>
          <w:rtl/>
          <w:lang w:val="ar-SA"/>
        </w:rPr>
        <w:t>.</w:t>
      </w:r>
    </w:p>
    <w:p w14:paraId="4ADC367E"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الإنتاج الفكري الرقمي</w:t>
      </w:r>
      <w:r>
        <w:rPr>
          <w:rStyle w:val="None"/>
          <w:rFonts w:ascii="Times New Roman" w:hAnsi="Times New Roman"/>
          <w:b/>
          <w:bCs/>
          <w:sz w:val="28"/>
          <w:szCs w:val="28"/>
          <w:rtl/>
          <w:lang w:val="ar-SA"/>
        </w:rPr>
        <w:t>:</w:t>
      </w:r>
    </w:p>
    <w:p w14:paraId="7D236DB1" w14:textId="77777777" w:rsidR="00454428" w:rsidRDefault="00C464EC">
      <w:pPr>
        <w:pStyle w:val="ListParagraph"/>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السرعة والانتشار</w:t>
      </w:r>
      <w:r>
        <w:rPr>
          <w:rStyle w:val="None"/>
          <w:rFonts w:ascii="Times New Roman" w:hAnsi="Times New Roman"/>
          <w:b/>
          <w:bCs/>
          <w:sz w:val="24"/>
          <w:szCs w:val="24"/>
          <w:rtl/>
          <w:lang w:val="ar-SA"/>
        </w:rPr>
        <w:t>:</w:t>
      </w:r>
    </w:p>
    <w:p w14:paraId="53340B0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تطوُّر تقنيات المعلومات والنمو المتزايد لمصادر المعلومات وما أحدثته من تغيير في العالم؛ حيث أصبح النشر الإلكتروني أحد أهم مصادر المعلومات الإلكترونية في العصر الحديث، ووسيلة نشر فعَّالة تتميز بقلة التكلفة والسرعة والانتشار، فهو يوفر خدمات عديدة وكم هائل من المعلومات في شكل كتب ومقالات ومجالات النشر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8"/>
      </w:r>
      <w:r>
        <w:rPr>
          <w:rStyle w:val="None"/>
          <w:rFonts w:ascii="Times New Roman" w:hAnsi="Times New Roman"/>
          <w:sz w:val="24"/>
          <w:szCs w:val="24"/>
          <w:vertAlign w:val="superscript"/>
          <w:rtl/>
          <w:lang w:val="ar-SA"/>
        </w:rPr>
        <w:t>)</w:t>
      </w:r>
    </w:p>
    <w:p w14:paraId="0E98ACD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التقدم الذي شهده العالم على أثر التطوُّر التكنولوجي إلى تدفق المعلومات؛ حيث أصبح الوصول إليها سهل دون أنْ تقف الحدود الجغرافية عائف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السهل نشر المصنفات في أي مكان، كما أدت السرعة من أهم خاصية النشر الإلكتروني؛ حيث يتم إنتاج وتوزيع ونشر المصنفات الأدبية والفنية بشكل سريع، بالإضافة إلى يمكن تعديل المحتوى بشكل فوري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9"/>
      </w:r>
      <w:r>
        <w:rPr>
          <w:rStyle w:val="None"/>
          <w:rFonts w:ascii="Times New Roman" w:hAnsi="Times New Roman"/>
          <w:sz w:val="24"/>
          <w:szCs w:val="24"/>
          <w:vertAlign w:val="superscript"/>
          <w:rtl/>
          <w:lang w:val="ar-SA"/>
        </w:rPr>
        <w:t>)</w:t>
      </w:r>
    </w:p>
    <w:p w14:paraId="122B9A0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من خصائصه السرعة الفائقة في النشر وإمكانية الحصول عليه في أي مكان في العالم، وذلك بمجرد نشره على المواقع، هذا باختلاف الطرق التقليدية والنشر الورقي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تُعَدُّ تقنية النشر الإلكتروني توظفًا لقدرات الحاسب في سرعته ودقته وجودة مخرجاته، وذلك من خلال التقنيات التكنولوجيا الحديثة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1"/>
      </w:r>
      <w:r>
        <w:rPr>
          <w:rStyle w:val="None"/>
          <w:rFonts w:ascii="Times New Roman" w:hAnsi="Times New Roman"/>
          <w:sz w:val="24"/>
          <w:szCs w:val="24"/>
          <w:vertAlign w:val="superscript"/>
          <w:rtl/>
          <w:lang w:val="ar-SA"/>
        </w:rPr>
        <w:t>)</w:t>
      </w:r>
    </w:p>
    <w:p w14:paraId="2DC019C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التطوُّر التكنولوجي في العصر الحديث أدى إلى تحول رهيب في وسائل نشر المعلومات؛ حيث أصبح نشر أي إنتاج فكري أو إبداع عن طريق البيئة الرقمية، فهي تتميز بالسرعة والانتشار على مستوى العالم، بالإضافة إلى إمكانية تعديل المحتوى الفكري، ونشره مرةً أخرى في البيئة الرقمية</w:t>
      </w:r>
      <w:r>
        <w:rPr>
          <w:rStyle w:val="None"/>
          <w:rFonts w:ascii="Times New Roman" w:hAnsi="Times New Roman"/>
          <w:sz w:val="24"/>
          <w:szCs w:val="24"/>
          <w:rtl/>
          <w:lang w:val="ar-SA"/>
        </w:rPr>
        <w:t>.</w:t>
      </w:r>
    </w:p>
    <w:p w14:paraId="3DA94247" w14:textId="77777777" w:rsidR="00454428" w:rsidRDefault="00C464EC">
      <w:pPr>
        <w:pStyle w:val="ListParagraph"/>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تقليل التكاليف</w:t>
      </w:r>
      <w:r>
        <w:rPr>
          <w:rStyle w:val="None"/>
          <w:rFonts w:ascii="Times New Roman" w:hAnsi="Times New Roman"/>
          <w:b/>
          <w:bCs/>
          <w:sz w:val="24"/>
          <w:szCs w:val="24"/>
          <w:rtl/>
          <w:lang w:val="ar-SA"/>
        </w:rPr>
        <w:t>:</w:t>
      </w:r>
    </w:p>
    <w:p w14:paraId="216081F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هذه أهم عناصر التكلفة في صناعة الكتاب ونشره، والتي كانت السبب الأول في ارتفاع سعر الكتب، ففي النشر الإلكتروني عبر البيئة الرقمية لا توجد مثل هذه التكاليف؛ حيث يتم الشحن عبر شبكة الإنترنت، والطباعة تتم من قبل المستخدم إذا أراد طباعته، بدلًا من قراءتها على الشاشة، هذا الأمر يغير المبدأ التقليدي للنشر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2"/>
      </w:r>
      <w:r>
        <w:rPr>
          <w:rStyle w:val="None"/>
          <w:rFonts w:ascii="Times New Roman" w:hAnsi="Times New Roman"/>
          <w:sz w:val="24"/>
          <w:szCs w:val="24"/>
          <w:vertAlign w:val="superscript"/>
          <w:rtl/>
          <w:lang w:val="ar-SA"/>
        </w:rPr>
        <w:t>)</w:t>
      </w:r>
    </w:p>
    <w:p w14:paraId="0E6701A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الخصائص الإنتاج الفكري أيضًا تقليل تكلفة بالنسبة للنشر؛ لعدم وجود تكلفة الطباعة على الورق، والتجليد، والتغليف للناشر، مع وجود تكلفة زهيدة جدًا للطباعة لأقراص الليزر، وتكلفتها لا تقارن بتكلفه طباعة الكتب، وخاصةً المجلدات الكبيرة والموسوعات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3"/>
      </w:r>
      <w:r>
        <w:rPr>
          <w:rStyle w:val="None"/>
          <w:rFonts w:ascii="Times New Roman" w:hAnsi="Times New Roman"/>
          <w:sz w:val="24"/>
          <w:szCs w:val="24"/>
          <w:vertAlign w:val="superscript"/>
          <w:rtl/>
          <w:lang w:val="ar-SA"/>
        </w:rPr>
        <w:t>)</w:t>
      </w:r>
    </w:p>
    <w:p w14:paraId="20B829FC" w14:textId="77777777" w:rsidR="00454428" w:rsidRDefault="00C464EC"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توفير تكلفة النشر التقليدي ونفقات الطباعة؛ حيث يمكن إدخال كميات هائلة من المعلومات في شريحة صغيرة، مثل قرص </w:t>
      </w:r>
      <w:r>
        <w:rPr>
          <w:rStyle w:val="None"/>
          <w:rFonts w:ascii="Times New Roman" w:hAnsi="Times New Roman"/>
          <w:sz w:val="24"/>
          <w:szCs w:val="24"/>
          <w:rtl/>
        </w:rPr>
        <w:t>CD</w:t>
      </w:r>
      <w:r>
        <w:rPr>
          <w:rStyle w:val="None"/>
          <w:rFonts w:ascii="Arial Unicode MS" w:hAnsi="Arial Unicode MS" w:cs="Times New Roman" w:hint="cs"/>
          <w:sz w:val="24"/>
          <w:szCs w:val="24"/>
          <w:rtl/>
          <w:lang w:val="ar-SA"/>
        </w:rPr>
        <w:t>، الذي يسع لآلاف الكتب، وقد تكون من أمهات الكتب التي تتكوَّن من أعداد هائلة من الصفحات الورقية، فهذا يعتبر توفير في التكلفة بالنسبة للنشر الإلكتروني في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4"/>
      </w:r>
      <w:r>
        <w:rPr>
          <w:rStyle w:val="None"/>
          <w:rFonts w:ascii="Times New Roman" w:hAnsi="Times New Roman"/>
          <w:sz w:val="24"/>
          <w:szCs w:val="24"/>
          <w:vertAlign w:val="superscript"/>
          <w:rtl/>
          <w:lang w:val="ar-SA"/>
        </w:rPr>
        <w:t>)</w:t>
      </w:r>
    </w:p>
    <w:p w14:paraId="542F5DBF" w14:textId="77777777" w:rsidR="00454428" w:rsidRDefault="00C464EC"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تقليل التكلفة من أهم اهتمامات الإنتاج الفكري في البيئة الرقمية مقارنةً بالوسائل التقليدية؛ لأنَّها تغني عن التكاليف الباهظة للنشر التقليدي من ورق وطباعة، فالمصنفات الرقمية يتم النشر فيها عبر المنصات الإلكترونية؛ ممَّا يتيح للمؤلفين نشر مؤلفاتهم على مستوى واسع في جميع أنحاء العالم، فهذا يسهم في نشر مؤلفاتهم وسهولة الوصول إليها</w:t>
      </w:r>
      <w:r>
        <w:rPr>
          <w:rStyle w:val="None"/>
          <w:rFonts w:ascii="Times New Roman" w:hAnsi="Times New Roman"/>
          <w:sz w:val="24"/>
          <w:szCs w:val="24"/>
          <w:rtl/>
          <w:lang w:val="ar-SA"/>
        </w:rPr>
        <w:t>.</w:t>
      </w:r>
    </w:p>
    <w:p w14:paraId="382C40E1" w14:textId="77777777" w:rsidR="00454428" w:rsidRDefault="00C464EC">
      <w:pPr>
        <w:pStyle w:val="ListParagraph"/>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استخدام الوسائط المتعددة</w:t>
      </w:r>
      <w:r>
        <w:rPr>
          <w:rStyle w:val="None"/>
          <w:rFonts w:ascii="Times New Roman" w:hAnsi="Times New Roman"/>
          <w:b/>
          <w:bCs/>
          <w:sz w:val="24"/>
          <w:szCs w:val="24"/>
          <w:rtl/>
          <w:lang w:val="ar-SA"/>
        </w:rPr>
        <w:t>:</w:t>
      </w:r>
    </w:p>
    <w:p w14:paraId="14C1BF1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الوسائط المتعددة لا يمكن لها أنْ تعمل إلا مع جهاز الحاسوب، وقد اتسع انتشار الوسائط المتعددة في التسعينات مع تطوير أجهزة الحاسوب الآلي، والتي تتمتع بواصفات عالية كبرمجيات الصوت والصورة؛ ممَّا شجع العديد من المؤسسات والأفراد؛ لتمضي قدمًا في إنتاج برامج متنوعة وثرية للمستخدمين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5"/>
      </w:r>
      <w:r>
        <w:rPr>
          <w:rStyle w:val="None"/>
          <w:rFonts w:ascii="Times New Roman" w:hAnsi="Times New Roman"/>
          <w:sz w:val="24"/>
          <w:szCs w:val="24"/>
          <w:vertAlign w:val="superscript"/>
          <w:rtl/>
          <w:lang w:val="ar-SA"/>
        </w:rPr>
        <w:t>)</w:t>
      </w:r>
    </w:p>
    <w:p w14:paraId="15383316" w14:textId="218ADBE9" w:rsidR="00454428" w:rsidRDefault="00C464EC" w:rsidP="00D6616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تتوفر إمكانية تقديم المحتوى في صورة برنامج تفاعلي بالصوت، والصورة، والرسوم المتحركة، والفيديو، وبذلك ترتفع الفائدة الحقيقة للمحتوى، وتستثمر هذه الميزة في المناهج التعليمية والموسوعات العلمية وغيرها الكثير من المؤلفات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6"/>
      </w:r>
      <w:r>
        <w:rPr>
          <w:rStyle w:val="None"/>
          <w:rFonts w:ascii="Times New Roman" w:hAnsi="Times New Roman"/>
          <w:sz w:val="24"/>
          <w:szCs w:val="24"/>
          <w:vertAlign w:val="superscript"/>
          <w:rtl/>
          <w:lang w:val="ar-SA"/>
        </w:rPr>
        <w:t>)</w:t>
      </w:r>
      <w:r w:rsidR="00D6616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فتعرَّف الوسائط المتعددة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نسيج من النص والجرافيك، والصوت، والرسوم المتحركة، والفيديو، وعند إضافة التبادلية إلى المشروع تصبح الوسائط المتعددة التبادلية، وعند إضافة طريقة للتجول داخل المشروع يصبح مشروعًا </w:t>
      </w:r>
      <w:r>
        <w:rPr>
          <w:rStyle w:val="None"/>
          <w:rFonts w:ascii="Arial Unicode MS" w:hAnsi="Arial Unicode MS" w:cs="Times New Roman" w:hint="cs"/>
          <w:sz w:val="24"/>
          <w:szCs w:val="24"/>
          <w:rtl/>
          <w:lang w:val="ar-SA"/>
        </w:rPr>
        <w:lastRenderedPageBreak/>
        <w:t>للوسائط المتعددة الفائقة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7"/>
      </w:r>
      <w:r>
        <w:rPr>
          <w:rStyle w:val="None"/>
          <w:rFonts w:ascii="Times New Roman" w:hAnsi="Times New Roman"/>
          <w:sz w:val="24"/>
          <w:szCs w:val="24"/>
          <w:vertAlign w:val="superscript"/>
          <w:rtl/>
          <w:lang w:val="ar-SA"/>
        </w:rPr>
        <w:t>)</w:t>
      </w:r>
    </w:p>
    <w:p w14:paraId="280C9169" w14:textId="77777777" w:rsidR="00454428" w:rsidRDefault="00C464EC" w:rsidP="00D6616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يتميز الإنتاج الفكري في البيئة الرقمية بأنَّه يمكن استخدام العديد من الوسائل المتاحة في عرض مصنفاتهم، فيمكن عرض مصنفاتهم،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النصوص المكتوبة، أو الصور، أو مقاطع فيديو؛ حيث يؤدي هذا إلى وصول المحتوى إلى المستخدم بسهولة، لن يوجد العديد من الوسائط،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وسائل التواصل الاجتماعي، أو عن طريق البريد الإلكتروني، أو نشر المؤلفات في المكاتب الرقمية</w:t>
      </w:r>
      <w:r>
        <w:rPr>
          <w:rStyle w:val="None"/>
          <w:rFonts w:ascii="Times New Roman" w:hAnsi="Times New Roman"/>
          <w:sz w:val="24"/>
          <w:szCs w:val="24"/>
          <w:rtl/>
          <w:lang w:val="ar-SA"/>
        </w:rPr>
        <w:t>.</w:t>
      </w:r>
    </w:p>
    <w:p w14:paraId="05332863"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حدود الحماية القانونية</w:t>
      </w:r>
      <w:r>
        <w:rPr>
          <w:rStyle w:val="None"/>
          <w:rFonts w:ascii="Times New Roman" w:hAnsi="Times New Roman"/>
          <w:b/>
          <w:bCs/>
          <w:sz w:val="28"/>
          <w:szCs w:val="28"/>
          <w:rtl/>
          <w:lang w:val="ar-SA"/>
        </w:rPr>
        <w:t>:</w:t>
      </w:r>
    </w:p>
    <w:p w14:paraId="16A11D2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يتسم الإبداع الفكري بميزة حضارية فريدة، ومن هنا ينبع الاهتمام بحمايته وتشجيعه لذلك، وقامت الدول بوضع العديد من التشريعات والاتفاقيات الدولية؛ لتوفير الحماية القانونية والقضائية للملكية الفكرية، كما أسست من أجل ذلك المنظمة العالمية لحماية الملكية الفكرية، التي تقود بدور ريادي في هذا المجال، ويدل على ذلك عدد الدول الأعضاء في هذه المنظمة، وكذلك العدد الكبير من المعاهدات الدولية التي تديرها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DE7598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الهدف الأساسي في الملكية الفكرية هي الحماية القائمة على أساس مراعاة مصلحة الإنسان في جهده الذهني، وما يترتب عليه من مصالح مادية ومعنوية، مصلحة المجتمع في حماية وتطوير موارد المعلوماتية وإتاحتها للمجتمع، فيجب على قواعد الملكية الفكرية الإلكترونية أنْ تحقق التوازن بين مصطلحَيْ حركة الإبداع والابتكار في العالم التقني، ومصلحة ضرورة النفاذ الحر للمعلومات باعتبار المعرفة ملك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F63328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لا شك أنَّ حماية الملكية الفكرية الرقمية تتطلب تقسيمَ الملكية مادية خبرتها متمثلة في الإنسان، وبين الملكية المستخدمة في الشبكات الرقمية، ويتطلب التطوُّر التكنولوجي في مجال الحوسبة الرقمية في الكشف عن أهمية نظم الملكية الفكرية عامة، والبحث في إمكانية تطبيق التشريعات القائمة على الملكية الفكرية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96BA7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7B408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يُعَدُّ الإنتاج الفكري في البيئة الرقمية خاصًا بالمؤلف، فلا بُدَّ من الحماية والدعم لحقوق المؤلف، وهذ ما دفع الدول إلى تحديث تشريعاتها الوطنية؛ لكي تتلاءم مع التكنولوجيا الحديثة؛ لحماية حقوق المؤلف المادية والمعنوية، فقد أصبح الحاجة لإعادة تنظيم الحماية القانونية مع التطوُّر التكنولوجي</w:t>
      </w:r>
      <w:r>
        <w:rPr>
          <w:rStyle w:val="None"/>
          <w:rFonts w:ascii="Times New Roman" w:hAnsi="Times New Roman"/>
          <w:sz w:val="24"/>
          <w:szCs w:val="24"/>
          <w:rtl/>
          <w:lang w:val="ar-SA"/>
        </w:rPr>
        <w:t>.</w:t>
      </w:r>
    </w:p>
    <w:p w14:paraId="4366DC0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ولا شك أنَّ توفير الحماية الفعَّالة لحقوق الملكية الفكرية يضمن استمرارية الإبداع الفكري، والمساهمة، والابتكار لدى الباحثين، المؤلفين، المبدعين، المبتكرين، ويحثهم على المزيد من الإنتاج وإتاحة المعلومات وتداولها؛ ليؤدي في نهاية المطاف إلى رفع مستوى الإبداع الوطني في شتى المجالات الأدبية والعلمية، والفنية، وإحداث نقلات نوعية في حياة الأمم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C13A46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توفير الحماية لحقوق الملكية الفكرية على مستوى العالم له أهمية بالغة في ضمان حقوق المبتكرين، والمبدعين، والمخترعين، وأصحاب الملكية الفكرية بشكل عام، وتلك الحماية تُعَدُّ شرطًا رئيسيًا لتشجعيهم على الابتكار والإبداع وتنمية أفكارهم،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تلعب الحماية الدولية لحقوق الملكية الفكرية دورًا مهمًّا في إنشاء بيئة استثمار رائعة، وإزالة الحواجز والمعوقات أمام تبادل المنتجات الفكرية والعلمية والتكنولوجية عبر دول العالم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95DAA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زاد الاهتمام بحقوق الملكية الفكرية لحاجة المبدعين لحماية إبداعهم لما يتم بذله من جهود شاقة، وطاقة عقلية شديدة وبحث متواصل، فكل المبدعين الذين يبذلون جهودًا كبيرة يستوجب علينا حمايتهم، ووضع قيود لمصلحتهم ومصلحة المجتمع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F31CF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فقوانين الملكية الفكرية في مجملها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تلك المتعلقة بحماية حقوق الملكية الصناعية، أو حماية الملكية الأدبية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تهدف إلى حماية أصحاب حقوق الملكية الفكرية من كل أشكال التعدي والقرصنة، التي قد يتعرضون لها من قِبل الغير، والذي سيؤثر لا محالة فقط على أصحاب الحقوق وإنما على شخص المستهلك، فحقوق الملكية الفكرية تمثل الأساس الذي يجري بموجبه تقاسم الإبداع، وتشجيع القدرة على الإبداع وتعزيز شعور المستهلك بالثقة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DA6D204" w14:textId="4FDC5E03" w:rsidR="00454428" w:rsidRDefault="00C464EC"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ومع التطوُّرات التكنولوجية والثورات العلمية التي يشهدها العالم في المجالات الصناعية والعلمية أصبحت الملكية الفكرية أكثر عُرضةً للاختراق؛ لما تتميز به تلك الوسائل التكنولوجية من قدرة فائقة على جمع ومعالجة وسهولة تبادل المعلومات عبر الوسائل الإلكترونية، الأمر الذي دفع المجتمع الدولي على حمايتها سواءً على الصعيد الوطني أو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ولذلك فإنَّ حماية المبدعين والمخترعين تُعَدُّ ضرورةً أساسيةً لاستمرارية عملية الإبداع والابتكار بجميع أشكاله، وتُعَدُّ شرطًا لازمًا لعملية الاختراع والتجديد، كما أنَّها ضرورية لتنظيم عملية المنافسة بشكل عادل، وتعزيز الأداء الاقتصادي الصحي؛ حيث تضمن حماية الحقوق للملكية الفكرية جذب التكنولوجيا، وتشجيع الاستثمارات الوطنية </w:t>
      </w:r>
      <w:r>
        <w:rPr>
          <w:rStyle w:val="None"/>
          <w:rFonts w:ascii="Arial Unicode MS" w:hAnsi="Arial Unicode MS" w:cs="Times New Roman" w:hint="cs"/>
          <w:sz w:val="24"/>
          <w:szCs w:val="24"/>
          <w:rtl/>
          <w:lang w:val="ar-SA"/>
        </w:rPr>
        <w:lastRenderedPageBreak/>
        <w:t>والأجنبية، وتعزيز لقدرة المنتجات على المنافسة؛ لذا يصبح توفير الحماية الفكرية والصناعية أمرًا ضروريًا في عملية التنمية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7"/>
      </w:r>
      <w:r>
        <w:rPr>
          <w:rStyle w:val="None"/>
          <w:rFonts w:ascii="Times New Roman" w:hAnsi="Times New Roman"/>
          <w:sz w:val="24"/>
          <w:szCs w:val="24"/>
          <w:vertAlign w:val="superscript"/>
          <w:rtl/>
          <w:lang w:val="ar-SA"/>
        </w:rPr>
        <w:t>)</w:t>
      </w:r>
    </w:p>
    <w:p w14:paraId="53D3A311"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حماية الإنتاج الفكري الرقمي لحقوق المؤلف</w:t>
      </w:r>
      <w:r>
        <w:rPr>
          <w:rStyle w:val="None"/>
          <w:rFonts w:ascii="Times New Roman" w:hAnsi="Times New Roman"/>
          <w:b/>
          <w:bCs/>
          <w:sz w:val="28"/>
          <w:szCs w:val="28"/>
          <w:rtl/>
          <w:lang w:val="ar-SA"/>
        </w:rPr>
        <w:t>:</w:t>
      </w:r>
    </w:p>
    <w:p w14:paraId="7923A52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حقوق المؤلف مصطلحًا قانونيًّا يصف الحقوق الممنوحة للمبدعين في مجال الأعمال الأدبية والفنية، وتشكل تلك الحقوق فرعًا رئيسًا من فروع الملكية الفكرية، ويشمل ذلك حماية المصنفات المبتكرة في الآداب،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القصائد الشعرية، أو برامج الحاسب، وقواعد البيانات، والأعمال الموسيقية،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النوتات الموسيقية، والفنون الجميلة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كالرسم، والنحت، والخرائط، والصور الفوتوغرافية، والأعمال السمعية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الأفلام، وأفلام الفيديو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784C60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المؤلف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إنسان أَعْمَلَ فكره وأحدث ابتكارًا معبرًا، وعليه فالمعيار المتبع لاعتبار الشخص مؤلفًا هو معيار الإبداع والابتكار؛ حيث تتم حماية كافة مظاهر التعبير بغض النظر عن الفكرة ذاتها، سواء أكان شكل التعبير عن هذه الفكرة كتابًا أو رسمًا أو صوتًا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ADDF2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فيختلف مفهوم الابتكار في حد ذاته بين مصنف وآخر، فالمصنف الأدبي يكون الابتكار فيه عن طريق دقة العبارات، وتناسقها، وجِدة الأفكار والمفاهيم، مع أنَّه لا يجب بالضرورة أنْ يكون ما ورد بالمصنف الأدبي يعبر عن شيء جديد، وإنما الجدة هنا، هي جدة الصياغة والتعبير عن الفكرة، ويختلف أمر الابتكار في المطبوعات الأدبية عن باقي المصنفات المحمية بحكم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كالتمثيل، والغناء، والموسيقى، التي يعتمد فيها الابتكار على الأداء والإحساس</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5772A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فالابتكار هو الطابع الشخصي الذي يعطيه المؤلف لمصنفه، ذلك الطابع الذي يسمح بتمييز المصنف عن سواه من المصنفات المنتمية إلى نفس النوع، ويكون من شأن هذا الطابع أنْ يبرز شخصية المؤلف، إما في مقومات الفكرة التي عرضها، أو في الطريقة التي اتخذها لعرض هذه الفكرة، أي بعبارة أخرى يقصد بالابتكار بصمة المؤلف الشخصية على المصنف الناتج عن مجهوده الذهني، والتي تسمح للجمهور بالنطق باسمه بمجرد مطالعة المصنف إذا كان من المشهورين، أو القول بانتهاء نسبة هذا المصنف إلى مؤلف لديه قدرة ابتكارية على التعبير عن أفكاره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DD6381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برزت حقوق النشر والتأليف على أنَّها من أهم الأساليب لتنظيم التدفق الدولي للأفكار والمنتجات المبنية على أساس المعرفة، وستشكل آليةً مركزيةً لصناعات المعرفة في العصر الحديث، والواقع هو أنَّ حقوق النشر والتأليف محفوظة إلى حد بعيد في أيدي الأمم الصناعية الكبرى وفي أيدي مؤسسات الإعلام الكبرى المتعددة الجوانب، فلقد توسع </w:t>
      </w:r>
      <w:r>
        <w:rPr>
          <w:rStyle w:val="None"/>
          <w:rFonts w:ascii="Arial Unicode MS" w:hAnsi="Arial Unicode MS" w:cs="Times New Roman" w:hint="cs"/>
          <w:sz w:val="24"/>
          <w:szCs w:val="24"/>
          <w:rtl/>
          <w:lang w:val="ar-SA"/>
        </w:rPr>
        <w:lastRenderedPageBreak/>
        <w:t>مفهوم حقوق النشر والتأليف الذي كان معدًا لحماية المؤلفين ودور نشر الكتب؛ بحيث يشمل الآن منتجات أخرى من منتجات المعرفة،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برامج الحاسب الآلي، والأفلام، وغيرها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320EB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قوانين حماية حق المؤلف العربية عمومًا تتضمن النص على حماية الكتب وغيرها من المواد المكتوبة، والمصنفات التي تُلقى شفاهةً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كالمحاضرات، والخطب، والمواعظ، والمصنفات المسرحية، والمسرحيات الغنائية والموسيقية، والتمثيل الإيمائي، والمصنفات الموسيقية، والمصنفات السينمائية والإذاعية السمعية والبصرية، وأعمال الرسم، والتصوير، والنحت، والحفر، والعمارة، والفنون التطبيقية، والزخرفية، والصور التوضيحية، والخرائط، والتصميمات، والمخططات، والأعمال المجسمة المتعلقة بالجغرافيا، والخرائط السطحية للأرض، وبرامج الحاسوب</w:t>
      </w:r>
      <w:r>
        <w:rPr>
          <w:rStyle w:val="None"/>
          <w:rFonts w:ascii="Times New Roman" w:hAnsi="Times New Roman"/>
          <w:sz w:val="24"/>
          <w:szCs w:val="24"/>
          <w:rtl/>
          <w:lang w:val="ar-SA"/>
        </w:rPr>
        <w:t>.</w:t>
      </w:r>
    </w:p>
    <w:p w14:paraId="216B45D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فالتطوُّر الهائل في المجال التكنولوجي، والذي وصل أوجه بوجود شبكة الإنترنت قد ألقى بظلاله على عملية إبداع المصنفات، وكذلك على المفهوم التقليدي لهذه المصنفات، وهو الأمر الذي تجسد بظهور شكل جديد من المصنفات توصف بالرقمية، وهي عديدة ومتنوعة فمنها ما يتعلق بالجانب الأدبي، أو العلمي، أو الترفيهي، ومتى ما ولدت تلك المصنفات وظهرت، فإنَّها تثبت حقوقًا أدبيةً وماليةً لمؤلفها، وهنا تبرز أهمية حماية الإنتاج الفكري بالنسبة لمؤلفي هذه المصنفات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632E4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وهذا ما نصت عليه المادة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من اتفاقية الويبو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27C0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حقوق المؤلف فرع من فروع الملكية الفكرية، فلا بُدَّ من حماية حقوقهم في العديد من المجالات، التي تتعلق بالمصنفات المكتوبة، أو الشفوية، أو السمعية، أو البصرية عبر طريق البيئة الرقمية، فقد اتسعت نطاق المصنفات الفكرية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والبرامج، والمحتويات الإلكترونية، كل هذه التطوُّرات الرقمية فرضت تحدياتٍ قانونيةً جديدةً تتعلق بحماية هذه المصنفات من الاعتداءات الرقمية</w:t>
      </w:r>
      <w:r>
        <w:rPr>
          <w:rStyle w:val="None"/>
          <w:rFonts w:ascii="Times New Roman" w:hAnsi="Times New Roman"/>
          <w:sz w:val="24"/>
          <w:szCs w:val="24"/>
          <w:rtl/>
          <w:lang w:val="ar-SA"/>
        </w:rPr>
        <w:t>.</w:t>
      </w:r>
    </w:p>
    <w:p w14:paraId="6F8E1C5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بُدَّ من حماية الإنتاج الفكري الرقمي لحقوق المؤلف؛ لأنَّه أحد مظاهر الإبداع في الوقت الحاضر، فقد حرصت الاتفاقيات الدولية، والقوانين الوطنية على حماية حقوق المؤلف؛ لا بُدَّ من تحديث هذه الاتفاقيات والتشريعات الوطنية؛ حتى تواكب التطوُّرات التقنية، ضد الانتهاكات على حقوق المؤلف الرقمي من النسخ، أو نشر، أو توزيعها بطرق غير قانونية عبر الشبكات الإلكترونية</w:t>
      </w:r>
      <w:r>
        <w:rPr>
          <w:rStyle w:val="None"/>
          <w:rFonts w:ascii="Times New Roman" w:hAnsi="Times New Roman"/>
          <w:sz w:val="24"/>
          <w:szCs w:val="24"/>
          <w:rtl/>
          <w:lang w:val="ar-SA"/>
        </w:rPr>
        <w:t>.</w:t>
      </w:r>
    </w:p>
    <w:p w14:paraId="3C9D5DCA" w14:textId="77777777" w:rsidR="00454428" w:rsidRDefault="00454428"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1580FEB"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B681D59"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5AB81A08"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2682727"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300D6E3"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3E3A7002"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C23D317" w14:textId="77777777" w:rsidR="00454428" w:rsidRDefault="00C464EC" w:rsidP="00C72BA8">
      <w:pPr>
        <w:pStyle w:val="a"/>
        <w:rPr>
          <w:rStyle w:val="None"/>
          <w:rtl/>
          <w:lang w:val="ar-SA"/>
        </w:rPr>
      </w:pPr>
      <w:bookmarkStart w:id="195" w:name="_Toc227251114"/>
      <w:bookmarkStart w:id="196" w:name="_Toc232260671"/>
      <w:r>
        <w:rPr>
          <w:rStyle w:val="None"/>
          <w:rFonts w:ascii="Arial Unicode MS" w:eastAsia="Arial Unicode MS" w:hAnsi="Arial Unicode MS" w:hint="cs"/>
          <w:rtl/>
          <w:lang w:val="ar-SA"/>
        </w:rPr>
        <w:t>الفصل الثاني</w:t>
      </w:r>
      <w:bookmarkEnd w:id="195"/>
      <w:bookmarkEnd w:id="196"/>
    </w:p>
    <w:p w14:paraId="056608DA" w14:textId="77777777" w:rsidR="00454428" w:rsidRDefault="00C464EC" w:rsidP="00C72BA8">
      <w:pPr>
        <w:pStyle w:val="a"/>
        <w:rPr>
          <w:rStyle w:val="None"/>
          <w:rtl/>
          <w:lang w:val="ar-SA"/>
        </w:rPr>
      </w:pPr>
      <w:bookmarkStart w:id="197" w:name="_Toc227251115"/>
      <w:bookmarkStart w:id="198" w:name="_Toc232260672"/>
      <w:r>
        <w:rPr>
          <w:rStyle w:val="None"/>
          <w:rFonts w:ascii="Arial Unicode MS" w:eastAsia="Arial Unicode MS" w:hAnsi="Arial Unicode MS" w:hint="cs"/>
          <w:rtl/>
          <w:lang w:val="ar-SA"/>
        </w:rPr>
        <w:t>الإطار القانوني لحماية الملكية الفكرية في الاتفاقيات الدولية والقوانين الوطنية</w:t>
      </w:r>
      <w:bookmarkEnd w:id="197"/>
      <w:bookmarkEnd w:id="198"/>
    </w:p>
    <w:p w14:paraId="366E517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موضوع الملكية الفكرية من الموضوعات المهمة التي تسعى معظم الدول إلى إدراجه ضمن السياسات الوطنية، باعتبارها ذات صلة بالتطوُّر الاقتصادي، والثقافي، والاجتماعي، فقامت بسن التشريعات التي تضمن وتصون هذه الحقوق من الضياع والانتهاك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5"/>
      </w:r>
      <w:r>
        <w:rPr>
          <w:rStyle w:val="None"/>
          <w:rFonts w:ascii="Times New Roman" w:hAnsi="Times New Roman"/>
          <w:sz w:val="24"/>
          <w:szCs w:val="24"/>
          <w:vertAlign w:val="superscript"/>
          <w:rtl/>
          <w:lang w:val="ar-SA"/>
        </w:rPr>
        <w:t>)</w:t>
      </w:r>
    </w:p>
    <w:p w14:paraId="4137F38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وسعت الدول العربية كغيرها على غرار بقية دول العالم إلى توفير الحماية الكاملة لجميع جوانب الملكية الفكرية، وقد بذلت جهودًا متواصلةً على المستوى الوطني إما بسَنِّ التشريعات المناسبة لتحقيق الأهداف، أو بتوفير إطار تنظيمي ومؤسسي لتمكين حماية الملكية الفكرية</w:t>
      </w:r>
      <w:r>
        <w:rPr>
          <w:rStyle w:val="None"/>
          <w:rFonts w:ascii="Times New Roman" w:hAnsi="Times New Roman"/>
          <w:sz w:val="24"/>
          <w:szCs w:val="24"/>
          <w:rtl/>
          <w:lang w:val="ar-SA"/>
        </w:rPr>
        <w:t>.</w:t>
      </w:r>
    </w:p>
    <w:p w14:paraId="1A86962E" w14:textId="77777777" w:rsidR="00454428" w:rsidRDefault="00C464EC">
      <w:pPr>
        <w:pStyle w:val="ListParagraph"/>
        <w:numPr>
          <w:ilvl w:val="0"/>
          <w:numId w:val="98"/>
        </w:numPr>
        <w:spacing w:before="120" w:after="120" w:line="360" w:lineRule="auto"/>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الدولية والتعاون العابر للحدود</w:t>
      </w:r>
      <w:r>
        <w:rPr>
          <w:rStyle w:val="None"/>
          <w:rFonts w:ascii="Times New Roman" w:hAnsi="Times New Roman"/>
          <w:sz w:val="24"/>
          <w:szCs w:val="24"/>
          <w:rtl/>
          <w:lang w:val="ar-SA"/>
        </w:rPr>
        <w:t>.</w:t>
      </w:r>
    </w:p>
    <w:p w14:paraId="383C1A29" w14:textId="77777777" w:rsidR="00454428" w:rsidRDefault="00C464EC">
      <w:pPr>
        <w:pStyle w:val="ListParagraph"/>
        <w:numPr>
          <w:ilvl w:val="0"/>
          <w:numId w:val="98"/>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النظام القانونية للمصنف الرقمي</w:t>
      </w:r>
      <w:r>
        <w:rPr>
          <w:rStyle w:val="None"/>
          <w:rFonts w:ascii="Times New Roman" w:hAnsi="Times New Roman"/>
          <w:sz w:val="24"/>
          <w:szCs w:val="24"/>
          <w:rtl/>
          <w:lang w:val="ar-SA"/>
        </w:rPr>
        <w:t>.</w:t>
      </w:r>
    </w:p>
    <w:p w14:paraId="74C45A41"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2BC754C5"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190BC549"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739C5270" w14:textId="77777777" w:rsidR="00454428" w:rsidRDefault="00454428" w:rsidP="00C72BA8">
      <w:pPr>
        <w:pStyle w:val="Body"/>
        <w:spacing w:before="120" w:after="120" w:line="360" w:lineRule="auto"/>
        <w:rPr>
          <w:rStyle w:val="None"/>
          <w:rFonts w:ascii="Times New Roman" w:eastAsia="Times New Roman" w:hAnsi="Times New Roman" w:cs="Times New Roman"/>
        </w:rPr>
      </w:pPr>
    </w:p>
    <w:p w14:paraId="093D1684"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0A9FD6D0"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35ED073B" w14:textId="77777777" w:rsidR="00454428" w:rsidRDefault="00C464EC" w:rsidP="00C72BA8">
      <w:pPr>
        <w:pStyle w:val="a"/>
        <w:rPr>
          <w:rStyle w:val="None"/>
          <w:rtl/>
          <w:lang w:val="ar-SA"/>
        </w:rPr>
      </w:pPr>
      <w:bookmarkStart w:id="199" w:name="_Toc227251116"/>
      <w:bookmarkStart w:id="200" w:name="_Toc232260673"/>
      <w:r>
        <w:rPr>
          <w:rStyle w:val="None"/>
          <w:rFonts w:ascii="Arial Unicode MS" w:eastAsia="Arial Unicode MS" w:hAnsi="Arial Unicode MS" w:hint="cs"/>
          <w:rtl/>
          <w:lang w:val="ar-SA"/>
        </w:rPr>
        <w:t>المبحث الأول</w:t>
      </w:r>
      <w:bookmarkEnd w:id="199"/>
      <w:bookmarkEnd w:id="200"/>
    </w:p>
    <w:p w14:paraId="613B335B" w14:textId="77777777" w:rsidR="00454428" w:rsidRDefault="00C464EC" w:rsidP="00C72BA8">
      <w:pPr>
        <w:pStyle w:val="a"/>
        <w:rPr>
          <w:rStyle w:val="None"/>
          <w:rtl/>
          <w:lang w:val="ar-SA"/>
        </w:rPr>
      </w:pPr>
      <w:bookmarkStart w:id="201" w:name="_Toc227251117"/>
      <w:bookmarkStart w:id="202" w:name="_Toc232260674"/>
      <w:r>
        <w:rPr>
          <w:rStyle w:val="None"/>
          <w:rFonts w:ascii="Arial Unicode MS" w:eastAsia="Arial Unicode MS" w:hAnsi="Arial Unicode MS" w:hint="cs"/>
          <w:rtl/>
          <w:lang w:val="ar-SA"/>
        </w:rPr>
        <w:t>الحماية الدولية والتعاون العابر للحدود</w:t>
      </w:r>
      <w:bookmarkEnd w:id="201"/>
      <w:bookmarkEnd w:id="202"/>
    </w:p>
    <w:p w14:paraId="372E0A7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الأعمال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كانت أدبيةً، أم فنيةً، أم 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 حاجة إلى حماية وطنية ودولية لفائدة مؤلفها لا سيما أنَّ وسائل النسخ العصرية تعرِّض المؤلفين إلى ضياع مجهوداتهم، وفقدان حقوقهم وتثبيط معنوياتهم، وجدير </w:t>
      </w:r>
      <w:r>
        <w:rPr>
          <w:rStyle w:val="None"/>
          <w:rFonts w:ascii="Arial Unicode MS" w:hAnsi="Arial Unicode MS" w:cs="Times New Roman" w:hint="cs"/>
          <w:sz w:val="24"/>
          <w:szCs w:val="24"/>
          <w:rtl/>
          <w:lang w:val="ar-SA"/>
        </w:rPr>
        <w:lastRenderedPageBreak/>
        <w:t>بالإشارة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تعتبر ظاهرةً حديثةً، مقارنةً بالموضوعات الأخرى التي عالجها القانون منذ ظهور وبسط نفوذه، كما أنَّ ظاهرة الأدب، والفن، والاكتشافات، والاختراعات سواء نظرنا إليها من حيث الذاتية، أو من حيث الوظائف والاهداف فإنَّها كلها تُعَدُّ واحدةً من التجليات الأساسية للعقل البشري وجب حمايتها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6"/>
      </w:r>
      <w:r>
        <w:rPr>
          <w:rStyle w:val="None"/>
          <w:rFonts w:ascii="Times New Roman" w:hAnsi="Times New Roman"/>
          <w:sz w:val="24"/>
          <w:szCs w:val="24"/>
          <w:vertAlign w:val="superscript"/>
          <w:rtl/>
          <w:lang w:val="ar-SA"/>
        </w:rPr>
        <w:t>)</w:t>
      </w:r>
    </w:p>
    <w:p w14:paraId="7C5554D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ظهرت العديد من الاتفاقيات الدولية خاصةً بحماية حقوق الملكية الفكرية، والتي أقرت في نصوص المواد إلى حماية حقوق المؤلف سواء الأدبية أو الفنية، وهذا ما سوف نتناوله في هذا المبحث</w:t>
      </w:r>
      <w:r>
        <w:rPr>
          <w:rStyle w:val="None"/>
          <w:rFonts w:ascii="Times New Roman" w:hAnsi="Times New Roman"/>
          <w:sz w:val="24"/>
          <w:szCs w:val="24"/>
          <w:rtl/>
          <w:lang w:val="ar-SA"/>
        </w:rPr>
        <w:t>.</w:t>
      </w:r>
    </w:p>
    <w:p w14:paraId="70A4D0D6" w14:textId="77777777" w:rsidR="00454428" w:rsidRDefault="00C464EC">
      <w:pPr>
        <w:pStyle w:val="ListParagraph"/>
        <w:numPr>
          <w:ilvl w:val="0"/>
          <w:numId w:val="18"/>
        </w:numPr>
        <w:spacing w:before="120" w:after="120" w:line="360" w:lineRule="auto"/>
        <w:rPr>
          <w:rFonts w:cs="Times New Roman" w:hint="default"/>
          <w:sz w:val="24"/>
          <w:szCs w:val="24"/>
          <w:rtl/>
          <w:lang w:val="ar-SA"/>
        </w:rPr>
      </w:pPr>
      <w:commentRangeStart w:id="203"/>
      <w:r>
        <w:rPr>
          <w:rStyle w:val="None"/>
          <w:rFonts w:cs="Times New Roman"/>
          <w:b/>
          <w:bCs/>
          <w:sz w:val="24"/>
          <w:szCs w:val="24"/>
          <w:rtl/>
          <w:lang w:val="ar-SA"/>
        </w:rPr>
        <w:t>المطلب</w:t>
      </w:r>
      <w:commentRangeEnd w:id="203"/>
      <w:r w:rsidR="00D17688">
        <w:rPr>
          <w:rStyle w:val="CommentReference"/>
          <w:rFonts w:ascii="Times New Roman" w:hAnsi="Times New Roman" w:cs="Times New Roman" w:hint="default"/>
          <w:color w:val="auto"/>
          <w:rtl/>
        </w:rPr>
        <w:commentReference w:id="203"/>
      </w:r>
      <w:r>
        <w:rPr>
          <w:rStyle w:val="None"/>
          <w:rFonts w:cs="Times New Roman"/>
          <w:b/>
          <w:bCs/>
          <w:sz w:val="24"/>
          <w:szCs w:val="24"/>
          <w:rtl/>
          <w:lang w:val="ar-SA"/>
        </w:rPr>
        <w:t xml:space="preserve">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اتفاقية بيرن وتريبس والاتفاقيات الأخرى</w:t>
      </w:r>
      <w:r>
        <w:rPr>
          <w:rStyle w:val="None"/>
          <w:rFonts w:ascii="Times New Roman" w:hAnsi="Times New Roman"/>
          <w:sz w:val="24"/>
          <w:szCs w:val="24"/>
          <w:rtl/>
          <w:lang w:val="ar-SA"/>
        </w:rPr>
        <w:t>.</w:t>
      </w:r>
    </w:p>
    <w:p w14:paraId="7DEC9102" w14:textId="77777777" w:rsidR="00454428" w:rsidRDefault="00C464EC">
      <w:pPr>
        <w:pStyle w:val="ListParagraph"/>
        <w:numPr>
          <w:ilvl w:val="0"/>
          <w:numId w:val="18"/>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التحديات الدولية في تنفيذ الحماية الرقمية</w:t>
      </w:r>
      <w:r>
        <w:rPr>
          <w:rStyle w:val="None"/>
          <w:rFonts w:ascii="Times New Roman" w:hAnsi="Times New Roman"/>
          <w:sz w:val="24"/>
          <w:szCs w:val="24"/>
          <w:rtl/>
          <w:lang w:val="ar-SA"/>
        </w:rPr>
        <w:t>.</w:t>
      </w:r>
    </w:p>
    <w:p w14:paraId="7783EFE3"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1B96C28A"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01B1F158"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22845BD7"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4AC41AA7"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603F5773"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790ACE5C"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2E9B9BBB"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22B21599"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24F35F0F"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27927913"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393B9157"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3D437C5D"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6106D9BE" w14:textId="77777777" w:rsidR="00454428" w:rsidRDefault="00454428" w:rsidP="00C72BA8">
      <w:pPr>
        <w:pStyle w:val="Body"/>
        <w:spacing w:before="120" w:after="120" w:line="360" w:lineRule="auto"/>
        <w:rPr>
          <w:rStyle w:val="None"/>
          <w:rFonts w:ascii="Times New Roman" w:eastAsia="Times New Roman" w:hAnsi="Times New Roman" w:cs="Times New Roman"/>
          <w:rtl/>
          <w:lang w:val="ar-SA"/>
        </w:rPr>
      </w:pPr>
    </w:p>
    <w:p w14:paraId="5EDC45AF" w14:textId="77777777" w:rsidR="00454428" w:rsidRDefault="00C464EC" w:rsidP="00C72BA8">
      <w:pPr>
        <w:pStyle w:val="a"/>
        <w:rPr>
          <w:rStyle w:val="None"/>
          <w:rtl/>
          <w:lang w:val="ar-SA"/>
        </w:rPr>
      </w:pPr>
      <w:bookmarkStart w:id="204" w:name="_Toc227251118"/>
      <w:bookmarkStart w:id="205" w:name="_Toc232260675"/>
      <w:r>
        <w:rPr>
          <w:rStyle w:val="None"/>
          <w:rFonts w:ascii="Arial Unicode MS" w:eastAsia="Arial Unicode MS" w:hAnsi="Arial Unicode MS" w:hint="cs"/>
          <w:rtl/>
          <w:lang w:val="ar-SA"/>
        </w:rPr>
        <w:t>المطلب الأول</w:t>
      </w:r>
      <w:bookmarkEnd w:id="204"/>
      <w:bookmarkEnd w:id="205"/>
    </w:p>
    <w:p w14:paraId="436A277C" w14:textId="77777777" w:rsidR="00454428" w:rsidRDefault="00C464EC" w:rsidP="00C72BA8">
      <w:pPr>
        <w:pStyle w:val="a"/>
        <w:rPr>
          <w:rStyle w:val="None"/>
          <w:rtl/>
          <w:lang w:val="ar-SA"/>
        </w:rPr>
      </w:pPr>
      <w:bookmarkStart w:id="206" w:name="_Toc227251119"/>
      <w:bookmarkStart w:id="207" w:name="_Toc232260676"/>
      <w:r>
        <w:rPr>
          <w:rStyle w:val="None"/>
          <w:rFonts w:ascii="Arial Unicode MS" w:eastAsia="Arial Unicode MS" w:hAnsi="Arial Unicode MS" w:hint="cs"/>
          <w:rtl/>
          <w:lang w:val="ar-SA"/>
        </w:rPr>
        <w:t>اتفاقية بيرن وتريبس والاتفاقيات الأخرى</w:t>
      </w:r>
      <w:bookmarkEnd w:id="206"/>
      <w:bookmarkEnd w:id="207"/>
    </w:p>
    <w:p w14:paraId="5A79A2E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bookmarkStart w:id="208" w:name="_Hlk207458717"/>
      <w:r>
        <w:rPr>
          <w:rStyle w:val="None"/>
          <w:rFonts w:ascii="Arial Unicode MS" w:hAnsi="Arial Unicode MS" w:cs="Times New Roman" w:hint="cs"/>
          <w:sz w:val="24"/>
          <w:szCs w:val="24"/>
          <w:rtl/>
          <w:lang w:val="ar-SA"/>
        </w:rPr>
        <w:lastRenderedPageBreak/>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27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8"/>
      </w:r>
      <w:r>
        <w:rPr>
          <w:rStyle w:val="None"/>
          <w:rFonts w:ascii="Times New Roman" w:hAnsi="Times New Roman"/>
          <w:sz w:val="24"/>
          <w:szCs w:val="24"/>
          <w:vertAlign w:val="superscript"/>
          <w:rtl/>
          <w:lang w:val="ar-SA"/>
        </w:rPr>
        <w:t>)</w:t>
      </w:r>
    </w:p>
    <w:p w14:paraId="076A5B9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الاتفاقيات الدولية تلعب دورًا مهمًّا في حماية الملكية الفكرية، وقد تطوَّر التنظيم الدولي تطوُّرًا بارزًا؛ حيث كان يقتصر على اتفاقيات واتحادات دولية تهدف لحماية حقوق الملكية الفكرية الدولية، تطوَّر الوضع وأدى إلى ظهور منظمات دولية كفيلة بحماية حقوق الملكية الفكرية الدولية؛ حيث جاءت هذه الأخيرة لضمان الحقوق لأصحابها وتحفيزًا لهم، وكذا بغية الحفاظ على الاستمرارية في عملية الإبداع والابتكار، الأمر الذي يؤثر بشكل إيجابي على المردود الاقتصادي للدول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9"/>
      </w:r>
      <w:r>
        <w:rPr>
          <w:rStyle w:val="None"/>
          <w:rFonts w:ascii="Times New Roman" w:hAnsi="Times New Roman"/>
          <w:sz w:val="24"/>
          <w:szCs w:val="24"/>
          <w:vertAlign w:val="superscript"/>
          <w:rtl/>
          <w:lang w:val="ar-SA"/>
        </w:rPr>
        <w:t>)</w:t>
      </w:r>
    </w:p>
    <w:p w14:paraId="164999F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وأضحت الحاجة إلى الحماية الدولية لحقوق الملكية الفكرية مسألةً ضروريةً ومعترفًا بها في آن واحد، عليه بدأ التفكير في حمايتها على الصعيد الدولي حوالي منتصف القرن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في شكل اتفاقيات ثنائية تتولى الاعتراف المتبادل هذه الحقوق، ولكنها لم تكن شاملةً بما فيه الكفاية، كما لم تكن من نمط موحد، فأضفت الحاجة إلى نظام موحد إلى إعداد اتفاقيات عديدة أولها اتفاقية برن لحماية الحقوق الملكية الأدبية والفكرية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0"/>
      </w:r>
      <w:r>
        <w:rPr>
          <w:rStyle w:val="None"/>
          <w:rFonts w:ascii="Times New Roman" w:hAnsi="Times New Roman"/>
          <w:sz w:val="24"/>
          <w:szCs w:val="24"/>
          <w:vertAlign w:val="superscript"/>
          <w:rtl/>
          <w:lang w:val="ar-SA"/>
        </w:rPr>
        <w:t>)</w:t>
      </w:r>
    </w:p>
    <w:p w14:paraId="20A52D5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إبرام الاتفاقيات الدولية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ذات الصلة بالملكية الفكرية عمومًا وحق المؤلف خصوصًا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تعبيرًا عن الحاجة إلى ضرورة تنظيم حقوق المؤلف وحمايتها على الصعيد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1"/>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وهناك اتفاقيات دولية تعمل على حماية الحقوق المليكة الفكرية، وتتمثل في التالي</w:t>
      </w:r>
      <w:r>
        <w:rPr>
          <w:rStyle w:val="None"/>
          <w:rFonts w:ascii="Times New Roman" w:hAnsi="Times New Roman"/>
          <w:sz w:val="24"/>
          <w:szCs w:val="24"/>
          <w:rtl/>
          <w:lang w:val="ar-SA"/>
        </w:rPr>
        <w:t>:</w:t>
      </w:r>
    </w:p>
    <w:p w14:paraId="7BCA3A4C" w14:textId="77777777" w:rsidR="00454428" w:rsidRDefault="00C464EC">
      <w:pPr>
        <w:pStyle w:val="ListParagraph"/>
        <w:numPr>
          <w:ilvl w:val="0"/>
          <w:numId w:val="100"/>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p>
    <w:p w14:paraId="182B7CE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يعود الاهتمام بحماية حقوق المؤلف إلى منتصف القرن الثامن عشر؛ حيث وجدت بعض الاتفاقيات الدولية الثنائية، التي كانت قاصرةً في حماية عناصر حق المؤلف، ولهذا تم إبرام اتفاقية برن في </w:t>
      </w:r>
      <w:r>
        <w:rPr>
          <w:rStyle w:val="None"/>
          <w:rFonts w:ascii="Times New Roman" w:hAnsi="Times New Roman"/>
          <w:sz w:val="24"/>
          <w:szCs w:val="24"/>
          <w:rtl/>
          <w:lang w:val="ar-SA"/>
        </w:rPr>
        <w:t>9/9/1886</w:t>
      </w:r>
      <w:r>
        <w:rPr>
          <w:rStyle w:val="None"/>
          <w:rFonts w:ascii="Arial Unicode MS" w:hAnsi="Arial Unicode MS" w:cs="Times New Roman" w:hint="cs"/>
          <w:sz w:val="24"/>
          <w:szCs w:val="24"/>
          <w:rtl/>
          <w:lang w:val="ar-SA"/>
        </w:rPr>
        <w:t xml:space="preserve">؛ لحماية الأعمال أو المصنفات الأدبية والفنية للمؤلف، ونصت المادة الأولى من الاتفاقية بأنَّه تشكل الدول التي تسري عليها هذه الاتفاقية اتحادًا سُمِّيَ اتحاد برن؛ لحماية حقوق المؤلف على المصنفات الأدبية والفنية، وقد تمت مراجعة هذه الاتفاقية عدة مرات؛ لمواكبة التطوُّرات التكنولوجية المتسارعة في مجال وسائط نقل ونسخ أعمال المؤلف، فتمت مراجعة اتفاقية برن في </w:t>
      </w:r>
      <w:r>
        <w:rPr>
          <w:rStyle w:val="None"/>
          <w:rFonts w:ascii="Arial Unicode MS" w:hAnsi="Arial Unicode MS" w:cs="Times New Roman" w:hint="cs"/>
          <w:sz w:val="24"/>
          <w:szCs w:val="24"/>
          <w:rtl/>
          <w:lang w:val="ar-SA"/>
        </w:rPr>
        <w:lastRenderedPageBreak/>
        <w:t xml:space="preserve">برلين عام </w:t>
      </w:r>
      <w:r>
        <w:rPr>
          <w:rStyle w:val="None"/>
          <w:rFonts w:ascii="Times New Roman" w:hAnsi="Times New Roman"/>
          <w:sz w:val="24"/>
          <w:szCs w:val="24"/>
          <w:rtl/>
          <w:lang w:val="ar-SA"/>
        </w:rPr>
        <w:t>1908</w:t>
      </w:r>
      <w:r>
        <w:rPr>
          <w:rStyle w:val="None"/>
          <w:rFonts w:ascii="Arial Unicode MS" w:hAnsi="Arial Unicode MS" w:cs="Times New Roman" w:hint="cs"/>
          <w:sz w:val="24"/>
          <w:szCs w:val="24"/>
          <w:rtl/>
          <w:lang w:val="ar-SA"/>
        </w:rPr>
        <w:t xml:space="preserve">، ثم في روما </w:t>
      </w:r>
      <w:r>
        <w:rPr>
          <w:rStyle w:val="None"/>
          <w:rFonts w:ascii="Times New Roman" w:hAnsi="Times New Roman"/>
          <w:sz w:val="24"/>
          <w:szCs w:val="24"/>
          <w:rtl/>
          <w:lang w:val="ar-SA"/>
        </w:rPr>
        <w:t>1928</w:t>
      </w:r>
      <w:r>
        <w:rPr>
          <w:rStyle w:val="None"/>
          <w:rFonts w:ascii="Arial Unicode MS" w:hAnsi="Arial Unicode MS" w:cs="Times New Roman" w:hint="cs"/>
          <w:sz w:val="24"/>
          <w:szCs w:val="24"/>
          <w:rtl/>
          <w:lang w:val="ar-SA"/>
        </w:rPr>
        <w:t xml:space="preserve">، ثم في بروكسل عام </w:t>
      </w:r>
      <w:r>
        <w:rPr>
          <w:rStyle w:val="None"/>
          <w:rFonts w:ascii="Times New Roman" w:hAnsi="Times New Roman"/>
          <w:sz w:val="24"/>
          <w:szCs w:val="24"/>
          <w:rtl/>
          <w:lang w:val="ar-SA"/>
        </w:rPr>
        <w:t>1948</w:t>
      </w:r>
      <w:r>
        <w:rPr>
          <w:rStyle w:val="None"/>
          <w:rFonts w:ascii="Arial Unicode MS" w:hAnsi="Arial Unicode MS" w:cs="Times New Roman" w:hint="cs"/>
          <w:sz w:val="24"/>
          <w:szCs w:val="24"/>
          <w:rtl/>
          <w:lang w:val="ar-SA"/>
        </w:rPr>
        <w:t xml:space="preserve">، ثم في ستوكهولم عام </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وآخرها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حيث تم وضع ملحق بالاتفاقية؛ وذلك لمواجهة التطوُّرات التكنولوجية في مجال حق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2"/>
      </w:r>
      <w:r>
        <w:rPr>
          <w:rStyle w:val="None"/>
          <w:rFonts w:ascii="Times New Roman" w:hAnsi="Times New Roman"/>
          <w:sz w:val="24"/>
          <w:szCs w:val="24"/>
          <w:vertAlign w:val="superscript"/>
          <w:rtl/>
          <w:lang w:val="ar-SA"/>
        </w:rPr>
        <w:t>)</w:t>
      </w:r>
    </w:p>
    <w:p w14:paraId="576491F3"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مبادئ حقوق المؤلف في اتفاقية برن</w:t>
      </w:r>
      <w:r>
        <w:rPr>
          <w:rStyle w:val="None"/>
          <w:rFonts w:ascii="Times New Roman" w:hAnsi="Times New Roman"/>
          <w:b/>
          <w:bCs/>
          <w:sz w:val="24"/>
          <w:szCs w:val="24"/>
          <w:rtl/>
          <w:lang w:val="ar-SA"/>
        </w:rPr>
        <w:t>:</w:t>
      </w:r>
    </w:p>
    <w:p w14:paraId="483FE8C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تنبني حماية حق المؤلف في اتفاقية برن على عدد من المبادئ الواجب على الدول الأعضاء مراعاتها، وهي مبدأ المعاملة الوطنية، ومبدأ المعاملة بالمثل، ومبدأ الحماية التلقائية واستفلالها، ومبدأ الحماية في بلد المنشأ، ومبدأ تقيد الحماية التلقائية واستقلالها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3"/>
      </w:r>
      <w:r>
        <w:rPr>
          <w:rStyle w:val="None"/>
          <w:rFonts w:ascii="Times New Roman" w:hAnsi="Times New Roman"/>
          <w:sz w:val="24"/>
          <w:szCs w:val="24"/>
          <w:vertAlign w:val="superscript"/>
          <w:rtl/>
          <w:lang w:val="ar-SA"/>
        </w:rPr>
        <w:t>)</w:t>
      </w:r>
    </w:p>
    <w:p w14:paraId="56D2CBED" w14:textId="77777777" w:rsidR="00454428" w:rsidRDefault="00C464EC">
      <w:pPr>
        <w:pStyle w:val="ListParagraph"/>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المعاملة الوطنية</w:t>
      </w:r>
      <w:r>
        <w:rPr>
          <w:rStyle w:val="None"/>
          <w:rFonts w:ascii="Times New Roman" w:hAnsi="Times New Roman"/>
          <w:b/>
          <w:bCs/>
          <w:sz w:val="24"/>
          <w:szCs w:val="24"/>
          <w:rtl/>
          <w:lang w:val="ar-SA"/>
        </w:rPr>
        <w:t>:</w:t>
      </w:r>
    </w:p>
    <w:p w14:paraId="6FE6199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نصت أغلب الاتفاقيات الدولية المتعلقة بحماية المصنفات كاتفاقية برن على مبدأ المعاملة الوطنية أي أنَّ الدولة العضو في الاتفاقية تلتزم بمعاملة مؤلف المصنفات الأجنبي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والذي ينتمي إلى دولة أخرى عضو في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بذات المعاملة التي يعامل بها المصنفات الوطنية، غير أنَّ هذه المساواة في المعاملة لا تعني المساواة الكاملة الحقيقية في مختلف الدول؛ لأنَّ نطاق الحماية الدولية للمصنفات يختلف من دولة إلى أخرى، فهو مبدأ نسبي أي أنَّ المساواة في المعاملة هي مساواة نسبية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4"/>
      </w:r>
      <w:r>
        <w:rPr>
          <w:rStyle w:val="None"/>
          <w:rFonts w:ascii="Times New Roman" w:hAnsi="Times New Roman"/>
          <w:sz w:val="24"/>
          <w:szCs w:val="24"/>
          <w:vertAlign w:val="superscript"/>
          <w:rtl/>
          <w:lang w:val="ar-SA"/>
        </w:rPr>
        <w:t>)</w:t>
      </w:r>
    </w:p>
    <w:p w14:paraId="696F9AA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ويطلق عليه أيضًا تسوية الأجانب بالوطنيين؛ إذ يتمتع المؤلفون في دول الاتحاد غير دولة المصنف بالحقوق التي تخولها قوانين تلك الدول حاليًا، أو قد يخولها مستقبلًا لرعاياها بالإضافة إلى الحقوق المقررة بصفة خاصة في هذه الاتفاقية، وذلك بالنسبة للمصنفات التي يتمتعون على أساسها بالحماية بمقتضى هذه الاتفاقية، ومعناه المساواة في الحماية القانونية لمصنف الأجنبي مع المصنف الوطني، وقد أورد دليل اتفاقية برن مثالًا توضيحيًا في ذلك، مفاده أنَّه إذا وقع تزييف لمصنف مؤلف سنغالي نشر لأول مرة في ساحل العاج؛ فإنَّ هذا المؤلَّف أو مَن آلَ إليه حق المؤلف يجب أنْ يعامل في فرنسا كما لو كان الأمر يتعلق بمصنف إبداعه وألفه مواطن فرنسي ونشر هذا المصنف في فرنسا، ومبدأ المعاملة الوطنية مبدأ نسبي التطبيق يختلف أعماله من بلد إلى آخر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5"/>
      </w:r>
      <w:r>
        <w:rPr>
          <w:rStyle w:val="None"/>
          <w:rFonts w:ascii="Times New Roman" w:hAnsi="Times New Roman"/>
          <w:sz w:val="24"/>
          <w:szCs w:val="24"/>
          <w:vertAlign w:val="superscript"/>
          <w:rtl/>
          <w:lang w:val="ar-SA"/>
        </w:rPr>
        <w:t>)</w:t>
      </w:r>
    </w:p>
    <w:p w14:paraId="798DD84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مبدأ المعاملة الوطنية في اتفاقية برن لحماية المصنفات الأدبية والفنية؛ حيث يلتزم هذا المبدأ الدول الأعضاء بمنح مواطنيها الحماية التي تمنحها الدول الأخرى، وبموجب هذا المبدأ يتمتع المؤلف الأجنبي بالحماية التلقائية في الدول المتعاقدة في الاتفاقية، كما يمنح المؤلف الوطني الحقوق والامتيازات على مصنفة، فإنَّ هذا المبدأ يهدف إلى ضمان العادلة والمساواة للمؤلفين داخل نطاق هذه الاتفاقية</w:t>
      </w:r>
      <w:r>
        <w:rPr>
          <w:rStyle w:val="None"/>
          <w:rFonts w:ascii="Times New Roman" w:hAnsi="Times New Roman"/>
          <w:sz w:val="24"/>
          <w:szCs w:val="24"/>
          <w:rtl/>
          <w:lang w:val="ar-SA"/>
        </w:rPr>
        <w:t>.</w:t>
      </w:r>
    </w:p>
    <w:p w14:paraId="6AD70CEB" w14:textId="678BD6FD" w:rsidR="00454428" w:rsidRDefault="00C464EC" w:rsidP="00D17688">
      <w:pPr>
        <w:bidi/>
        <w:rPr>
          <w:b/>
          <w:bCs/>
          <w:sz w:val="24"/>
          <w:szCs w:val="24"/>
          <w:rtl/>
          <w:lang w:val="ar-SA"/>
        </w:rPr>
      </w:pPr>
      <w:r>
        <w:rPr>
          <w:rStyle w:val="None"/>
          <w:b/>
          <w:bCs/>
          <w:sz w:val="24"/>
          <w:szCs w:val="24"/>
          <w:rtl/>
          <w:lang w:val="ar-SA"/>
        </w:rPr>
        <w:t>مبدأ الحماية التلقائية واستقلالها:</w:t>
      </w:r>
    </w:p>
    <w:p w14:paraId="57178C9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تناولت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اتفاقية برن مبدأ آخر من المبادئ التي ترتكز عليها حماية المصنفات الأدبية، والفنية، والعلمية، وهو مبدأ الحماية التلقائية واستقلالها، وقد فرق هذا المبدأ بين مسألتين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6"/>
      </w:r>
      <w:r>
        <w:rPr>
          <w:rStyle w:val="None"/>
          <w:rFonts w:ascii="Times New Roman" w:hAnsi="Times New Roman"/>
          <w:sz w:val="24"/>
          <w:szCs w:val="24"/>
          <w:vertAlign w:val="superscript"/>
          <w:rtl/>
          <w:lang w:val="ar-SA"/>
        </w:rPr>
        <w:t>)</w:t>
      </w:r>
    </w:p>
    <w:p w14:paraId="3D79EC1A" w14:textId="77777777" w:rsidR="00454428" w:rsidRDefault="00C464EC">
      <w:pPr>
        <w:pStyle w:val="ListParagraph"/>
        <w:numPr>
          <w:ilvl w:val="0"/>
          <w:numId w:val="1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الأولى</w:t>
      </w:r>
      <w:r>
        <w:rPr>
          <w:rStyle w:val="None"/>
          <w:rFonts w:ascii="Times New Roman" w:hAnsi="Times New Roman"/>
          <w:b/>
          <w:bCs/>
          <w:sz w:val="24"/>
          <w:szCs w:val="24"/>
          <w:rtl/>
          <w:lang w:val="ar-SA"/>
        </w:rPr>
        <w:t>:</w:t>
      </w:r>
      <w:r>
        <w:rPr>
          <w:rStyle w:val="None"/>
          <w:rFonts w:cs="Times New Roman"/>
          <w:sz w:val="24"/>
          <w:szCs w:val="24"/>
          <w:rtl/>
          <w:lang w:val="ar-SA"/>
        </w:rPr>
        <w:t xml:space="preserve"> التمتع بالحقوق وممارستها تعني أحقية المؤلف المصنف في أنْ يكون له حق استئثاري على مصنفه، دون النظر إلى القيمة الثقافية، ولا مدى جدارة المصنف بالتمتع بالحماية من عدمها، وكل ذلك لا يحول دون تمتع مؤلف المصنف بحقوقه الكاملة التي تقررها له الاتفاقيات الدولية، وقوانين الملكية الفكرية الوطنية المختلفة، كما أنَّ تقرير حق المؤلف لا يتوقف على مدى التزام المؤلف باستيفاء بنص الإجراءات الشكلية كالتسجيل والإيداع مثلًا</w:t>
      </w:r>
      <w:r>
        <w:rPr>
          <w:rStyle w:val="None"/>
          <w:rFonts w:ascii="Times New Roman" w:hAnsi="Times New Roman"/>
          <w:sz w:val="24"/>
          <w:szCs w:val="24"/>
          <w:rtl/>
          <w:lang w:val="ar-SA"/>
        </w:rPr>
        <w:t>.</w:t>
      </w:r>
    </w:p>
    <w:p w14:paraId="09637A77" w14:textId="77777777" w:rsidR="00454428" w:rsidRDefault="00C464EC">
      <w:pPr>
        <w:pStyle w:val="ListParagraph"/>
        <w:numPr>
          <w:ilvl w:val="0"/>
          <w:numId w:val="1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الثانية</w:t>
      </w:r>
      <w:r>
        <w:rPr>
          <w:rStyle w:val="None"/>
          <w:rFonts w:ascii="Times New Roman" w:hAnsi="Times New Roman"/>
          <w:b/>
          <w:bCs/>
          <w:sz w:val="24"/>
          <w:szCs w:val="24"/>
          <w:rtl/>
          <w:lang w:val="ar-SA"/>
        </w:rPr>
        <w:t>:</w:t>
      </w:r>
      <w:r>
        <w:rPr>
          <w:rStyle w:val="None"/>
          <w:rFonts w:cs="Times New Roman"/>
          <w:sz w:val="24"/>
          <w:szCs w:val="24"/>
          <w:rtl/>
          <w:lang w:val="ar-SA"/>
        </w:rPr>
        <w:t xml:space="preserve"> تتمثل في أنْ تمتع المؤلف بحقوقه، واستعمالها، واستمرارها أمر مستقل تمامًا عن الحماية ونطاقها في الدول المطولة توفير الحماية فيها،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لأي دولة من دول الاتحاد أنْ تعرض ما تشاء من الإجراءات والشكليات التي تحدد نطاق حماية الحق وكيفية ممارسته</w:t>
      </w:r>
      <w:r>
        <w:rPr>
          <w:rStyle w:val="None"/>
          <w:rFonts w:ascii="Times New Roman" w:hAnsi="Times New Roman"/>
          <w:sz w:val="24"/>
          <w:szCs w:val="24"/>
          <w:rtl/>
          <w:lang w:val="ar-SA"/>
        </w:rPr>
        <w:t>.</w:t>
      </w:r>
    </w:p>
    <w:p w14:paraId="485DD29D" w14:textId="77777777" w:rsidR="00454428" w:rsidRDefault="00C464EC">
      <w:pPr>
        <w:pStyle w:val="ListParagraph"/>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الحماية في بلد المنشأ</w:t>
      </w:r>
      <w:r>
        <w:rPr>
          <w:rStyle w:val="None"/>
          <w:rFonts w:ascii="Times New Roman" w:hAnsi="Times New Roman"/>
          <w:b/>
          <w:bCs/>
          <w:sz w:val="24"/>
          <w:szCs w:val="24"/>
          <w:rtl/>
          <w:lang w:val="ar-SA"/>
        </w:rPr>
        <w:t>:</w:t>
      </w:r>
    </w:p>
    <w:p w14:paraId="5265B16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يؤدي هذا المبدأ على ما ورد في المادة الخامسة الفقرة الثانية من اتفاقية برن، التي أعطت للدولة العضو في الاتحاد الحق في أنْ تضع ما تشاء من الإجراءات والشروط؛ لحماية حقوق المؤلف، وتحديد كيفية استعمال ونطاق هذه الحقوق، أما الفقرة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فتؤكد على أنَّ مسألة الحماية في الدولة التي نشأ فيها المصنف بلد المنشأ مسألة يحكمها، وينظمها التشريع الوطني في ذلك البلد، وهو أمر لا غبار عليه متى كان المؤلف أحد رعايا تلك الدولة وصدر مصنفه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7"/>
      </w:r>
      <w:r>
        <w:rPr>
          <w:rStyle w:val="None"/>
          <w:rFonts w:ascii="Times New Roman" w:hAnsi="Times New Roman"/>
          <w:sz w:val="24"/>
          <w:szCs w:val="24"/>
          <w:vertAlign w:val="superscript"/>
          <w:rtl/>
          <w:lang w:val="ar-SA"/>
        </w:rPr>
        <w:t>)</w:t>
      </w:r>
    </w:p>
    <w:p w14:paraId="225339C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ذكرت في المادة الخامسة الفقرة الثانية من الاتفاقية أنَّ للدول الأعضاء وضعَ الشروط والإجراءات التي تراها مناسبةً تكفل حماية حقوق المؤلف، كما ذكرت المادة الثالثة من ذات المادة أنَّ المصنف يخضع لتنظيم بلد المنشأ، أما الفقرة الرابعة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ذكرت أنَّ المصنف الذي ينشأ في أي بلد من بلدان الأعضاء يحظى بنفس المعاملة التي يتمتع بها مؤلف المصنفات في بلدانهم الأصلية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FB431C" w14:textId="3BDA0054" w:rsidR="00454428" w:rsidRPr="00CC3E5F" w:rsidRDefault="00C464EC" w:rsidP="00CC3E5F">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مبدأ حماية في بلد المنشأ من المبادئ الأساسية في اتفاقية برن لحماية الملكية الفكرية، فالمصنف يتمتع بالحماية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 في البلد التي نشر أو أنتج لأول مرة أي بلد المنشأ، وقد أكدت اتفاقية برن لحماية المصنفات هذا المبدأ؛ لأنَّها نصت في موادها القانونية بالاعتراف بالحماية القانونية في خارج البلاد</w:t>
      </w:r>
      <w:r>
        <w:rPr>
          <w:rStyle w:val="None"/>
          <w:rFonts w:ascii="Times New Roman" w:hAnsi="Times New Roman"/>
          <w:sz w:val="24"/>
          <w:szCs w:val="24"/>
          <w:rtl/>
          <w:lang w:val="ar-SA"/>
        </w:rPr>
        <w:t>.</w:t>
      </w:r>
    </w:p>
    <w:p w14:paraId="625260AA" w14:textId="77777777" w:rsidR="00D66164" w:rsidRDefault="00D66164">
      <w:pPr>
        <w:rPr>
          <w:rStyle w:val="None"/>
          <w:rFonts w:ascii="Arial Unicode MS" w:hAnsi="Arial Unicode MS"/>
          <w:b/>
          <w:bCs/>
          <w:color w:val="000000"/>
          <w:u w:color="000000"/>
          <w:rtl/>
          <w:lang w:val="ar-SA"/>
        </w:rPr>
      </w:pPr>
      <w:r>
        <w:rPr>
          <w:rStyle w:val="None"/>
          <w:b/>
          <w:bCs/>
          <w:rtl/>
          <w:lang w:val="ar-SA"/>
        </w:rPr>
        <w:br w:type="page"/>
      </w:r>
    </w:p>
    <w:p w14:paraId="5B4A6F73" w14:textId="15185A71" w:rsidR="00454428" w:rsidRDefault="00C464EC">
      <w:pPr>
        <w:pStyle w:val="ListParagraph"/>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مبدأ تقييد الحماية</w:t>
      </w:r>
      <w:r>
        <w:rPr>
          <w:rStyle w:val="None"/>
          <w:rFonts w:ascii="Times New Roman" w:hAnsi="Times New Roman"/>
          <w:b/>
          <w:bCs/>
          <w:sz w:val="24"/>
          <w:szCs w:val="24"/>
          <w:rtl/>
          <w:lang w:val="ar-SA"/>
        </w:rPr>
        <w:t>:</w:t>
      </w:r>
    </w:p>
    <w:p w14:paraId="51A2665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مبدأ تقييد الحماية قد نصت عليه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 xml:space="preserve">فقرة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وقد تقرر هذا المبدأ من المفهوم الذي يقضي بأنَّ المؤلفين التابعين لبلاد لا تزال خارج الاتحاد، يسعون للاستفادة من المزايا التي توفرها الاتفاقات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اعتبار الأجنبي كالوطني في المعاملة، مع أنَّ بلدان هؤلاء المؤلفين تقرر حماية أقل لمؤلفي بلدان الاتحاد، وهي أيضًا حماية أقل من تلك التي تكفلها لهم اتفاقية برن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9"/>
      </w:r>
      <w:r>
        <w:rPr>
          <w:rStyle w:val="None"/>
          <w:rFonts w:ascii="Times New Roman" w:hAnsi="Times New Roman"/>
          <w:sz w:val="24"/>
          <w:szCs w:val="24"/>
          <w:vertAlign w:val="superscript"/>
          <w:rtl/>
          <w:lang w:val="ar-SA"/>
        </w:rPr>
        <w:t>)</w:t>
      </w:r>
    </w:p>
    <w:p w14:paraId="5E3E0AF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الزمت الاتفاقية في إطار المادة السادسة 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دول الاتحاد، التي تضع قيودًا على حماية حقوق المؤلفين أنْ تقوم بإخطار مدير عام المنظمة العالمية للملكية الفكرية بهذه القيود بموجب إعلان كتابي تحدد فيه الدول، التي ستقيد الحماية في مواجهتها، والقيود التي تخضع لها حقوق المؤلفين من رعايا هذه الدول أو تلك، وبدوره يقوم المدير العام للمنظمة بإبلاغ هذا الإعلان إلى جميع بلدان الاتحاد، وقد جاءت هذه المادة كنتيجة منطقية مترتبة على مبدأ المعاملة بالمثل لما لهذا المبدأ من آثار سلبية على العلاقات الدولية عمومًا، وعلى العلاقات بين دول الاتحاد على وجه الخصوص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0"/>
      </w:r>
      <w:r>
        <w:rPr>
          <w:rStyle w:val="None"/>
          <w:rFonts w:ascii="Times New Roman" w:hAnsi="Times New Roman"/>
          <w:sz w:val="24"/>
          <w:szCs w:val="24"/>
          <w:vertAlign w:val="superscript"/>
          <w:rtl/>
          <w:lang w:val="ar-SA"/>
        </w:rPr>
        <w:t>)</w:t>
      </w:r>
    </w:p>
    <w:p w14:paraId="0D36EE3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تُعَدُّ اتفاقية برن لحماية حقوق المؤلف الأدبية والفنية، التي وقعت لأول مرة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كما تعتبر من أهم الاتفاقيات الدولية في مجال حماية حقوق المؤلف؛ حيث تلتزم كل دولة عضو من هذه الاتفاقية بحماية مؤلفي الدول الأخرى، بالإضافة إلى أنَّها تشمل حماية المصنفات الأدبية والفنية بجميع أشكالها، كما خضعت الاتفاقية لتعديلات كثيرة، وكان آخر تعديل عليها عام في باريس عام </w:t>
      </w:r>
      <w:r>
        <w:rPr>
          <w:rStyle w:val="None"/>
          <w:rFonts w:ascii="Times New Roman" w:hAnsi="Times New Roman"/>
          <w:sz w:val="24"/>
          <w:szCs w:val="24"/>
          <w:rtl/>
          <w:lang w:val="ar-SA"/>
        </w:rPr>
        <w:t>1971.</w:t>
      </w:r>
    </w:p>
    <w:p w14:paraId="0F5D509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للمصنفات الأدبية والفنية تواجهها عدة تحديات في ظل البيئة الرقمية؛ حيث إنَّ النصوص القانونية في الاتفاقية لم تذكر موضوع النشر الإلكتروني عبر الوسائط الرقمية، فهذا يؤدي إلى صعوبة في مراقبة النسخ وتوزيعها عبر الإنترنت، بالإضافة إلى غياب نصوص قانونية صريحة تنظم تداول الملفات الرقيمة؛ بسبب الانتهاكات العابرة للحدود</w:t>
      </w:r>
      <w:r>
        <w:rPr>
          <w:rStyle w:val="None"/>
          <w:rFonts w:ascii="Times New Roman" w:hAnsi="Times New Roman"/>
          <w:sz w:val="24"/>
          <w:szCs w:val="24"/>
          <w:rtl/>
          <w:lang w:val="ar-SA"/>
        </w:rPr>
        <w:t>.</w:t>
      </w:r>
    </w:p>
    <w:p w14:paraId="09EA0CA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إنَّ تم اعتماد الاتفاقية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وآخر تعديل على الاتفاقية كان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فقد شمل التعديل على وضع أطر قانونية لحماية حقوق المؤلف على المستوى الدولي، فقد مر أكثر من </w:t>
      </w:r>
      <w:r>
        <w:rPr>
          <w:rStyle w:val="None"/>
          <w:rFonts w:ascii="Times New Roman" w:hAnsi="Times New Roman"/>
          <w:sz w:val="24"/>
          <w:szCs w:val="24"/>
          <w:rtl/>
          <w:lang w:val="ar-SA"/>
        </w:rPr>
        <w:t xml:space="preserve">50 </w:t>
      </w:r>
      <w:r>
        <w:rPr>
          <w:rStyle w:val="None"/>
          <w:rFonts w:ascii="Arial Unicode MS" w:hAnsi="Arial Unicode MS" w:cs="Times New Roman" w:hint="cs"/>
          <w:sz w:val="24"/>
          <w:szCs w:val="24"/>
          <w:rtl/>
          <w:lang w:val="ar-SA"/>
        </w:rPr>
        <w:t>عامًا على آخر تعديل، إلا أنَّ نصوصها القانونية أصبحت غير شاملة لمواكبة التطوُّرات التكنولوجية الرقمية، فلا بُدَّ من إعادة النظر في تعديل الاتفاقية؛ لكي تتلاءم مع التشريعات الحديثة</w:t>
      </w:r>
      <w:r>
        <w:rPr>
          <w:rStyle w:val="None"/>
          <w:rFonts w:ascii="Times New Roman" w:hAnsi="Times New Roman"/>
          <w:sz w:val="24"/>
          <w:szCs w:val="24"/>
          <w:rtl/>
          <w:lang w:val="ar-SA"/>
        </w:rPr>
        <w:t>.</w:t>
      </w:r>
    </w:p>
    <w:p w14:paraId="72F30015" w14:textId="77777777" w:rsidR="00454428" w:rsidRDefault="00C464EC">
      <w:pPr>
        <w:pStyle w:val="ListParagraph"/>
        <w:numPr>
          <w:ilvl w:val="0"/>
          <w:numId w:val="1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اتفاقية الجوانب المتصلة بالتجارة من حقوق المليكة الفكرية </w:t>
      </w:r>
      <w:r>
        <w:rPr>
          <w:rStyle w:val="None"/>
          <w:rFonts w:ascii="Times New Roman" w:hAnsi="Times New Roman"/>
          <w:b/>
          <w:bCs/>
          <w:sz w:val="24"/>
          <w:szCs w:val="24"/>
          <w:rtl/>
          <w:lang w:val="ar-SA"/>
        </w:rPr>
        <w:t>(</w:t>
      </w:r>
      <w:r>
        <w:rPr>
          <w:rStyle w:val="None"/>
          <w:rFonts w:cs="Times New Roman"/>
          <w:b/>
          <w:bCs/>
          <w:sz w:val="24"/>
          <w:szCs w:val="24"/>
          <w:rtl/>
          <w:lang w:val="ar-SA"/>
        </w:rPr>
        <w:t>تريبس</w:t>
      </w:r>
      <w:r>
        <w:rPr>
          <w:rStyle w:val="None"/>
          <w:rFonts w:ascii="Times New Roman" w:hAnsi="Times New Roman"/>
          <w:b/>
          <w:bCs/>
          <w:sz w:val="24"/>
          <w:szCs w:val="24"/>
          <w:rtl/>
          <w:lang w:val="ar-SA"/>
        </w:rPr>
        <w:t>):</w:t>
      </w:r>
    </w:p>
    <w:p w14:paraId="6F571B0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تضمنت أحكام اتفاقية التربس مجموعةً من القواعد لحماية بعض المصنفات والموضوعات المتعلقة بحقوق التأليف والحقوق المجاورة، والتي تميزت في بعض الأحيان بالحداثة عما سبقها من اتفاقيات مماثلة، ومن ضمن تلك الأمور على سبيل المثال النص على حماية برامج الحاسب الآلي، وقواعد البيانات، فقد تضمنت الاتفاقية حماية برامج الحاسب الآلي سواء كانت بلُغة المصدر أو بلُغة الآلة، باعتبارها من الأعمال الأدبية وفق مفهوم أحكام اتفاقية بيرن لحماية المصنفات الأدبية والفنية لعام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وقد نصت الاتفاقية كذلك على حماية البيانات المجمعة، أو ما يسمى بقواعد البيانات </w:t>
      </w:r>
      <w:r>
        <w:rPr>
          <w:rStyle w:val="None"/>
          <w:rFonts w:ascii="Arial Unicode MS" w:hAnsi="Arial Unicode MS" w:cs="Times New Roman" w:hint="cs"/>
          <w:sz w:val="24"/>
          <w:szCs w:val="24"/>
          <w:rtl/>
          <w:lang w:val="ar-SA"/>
        </w:rPr>
        <w:lastRenderedPageBreak/>
        <w:t>إذا كانت تشكل عملًا مبتكرًا؛ نتيجة انتقاء أو ترتيب محتوياتها، وأنَّ الحماية لا تشمل البيانات أو المواد في حد ذاتها مع عدم الإخلال بحقوق المؤلفين المتعلقة بتلك البيانات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1"/>
      </w:r>
      <w:r>
        <w:rPr>
          <w:rStyle w:val="None"/>
          <w:rFonts w:ascii="Times New Roman" w:hAnsi="Times New Roman"/>
          <w:sz w:val="24"/>
          <w:szCs w:val="24"/>
          <w:vertAlign w:val="superscript"/>
          <w:rtl/>
          <w:lang w:val="ar-SA"/>
        </w:rPr>
        <w:t>)</w:t>
      </w:r>
    </w:p>
    <w:p w14:paraId="7BB540B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مثلت اتفاقية التربس تحوُّلًا تقدميًا، وقفزةً فكريةً في تاريخ الملكية الفكرية؛ إذ ربطت الملكية الفكرية ومبادئ التجارة، ووفرت آليةً لمعالجة النزاعات بين الدول حول الملكية الفكرية على أساس متعدد الأطراف، وقد وقعت على هذه الاتفاقية </w:t>
      </w:r>
      <w:r>
        <w:rPr>
          <w:rStyle w:val="None"/>
          <w:rFonts w:ascii="Times New Roman" w:hAnsi="Times New Roman"/>
          <w:sz w:val="24"/>
          <w:szCs w:val="24"/>
          <w:rtl/>
          <w:lang w:val="ar-SA"/>
        </w:rPr>
        <w:t xml:space="preserve">125 </w:t>
      </w:r>
      <w:r>
        <w:rPr>
          <w:rStyle w:val="None"/>
          <w:rFonts w:ascii="Arial Unicode MS" w:hAnsi="Arial Unicode MS" w:cs="Times New Roman" w:hint="cs"/>
          <w:sz w:val="24"/>
          <w:szCs w:val="24"/>
          <w:rtl/>
          <w:lang w:val="ar-SA"/>
        </w:rPr>
        <w:t>دولةً، وبتضمين بنود هذه الاتفاقية البنود الخاصة باتفاقية بيرن، وبعض التعديلات التي أدخلت عليها في اتفاقية روما، وبتضمينها أيضًا بعض التشريعات بخصوص المسائل المتنازع عليها، أتت مستجيبة ومتوافقة مع رأي البعض الذي يرى ضرورة وجود توازن بين مصلحة منتجي ومستهلكي المعلومات، وضرورة الاهتمام بموضوع حقوق المستخدمين في الوصول إلى المعلومات العامة المتاحة على الشبكات والوسائط الإلكترونية الأخرى</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381D1C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وهكذا جمعت اتفاقية تريبس أحكامَ الاتفاقيات الدولية الرئيسية في شأن الملكية الفكرية في وثيقة واحدة فحققت الترابط فيما بينها بعدما كانت هذه الأحكام متفرقةً ومبعثرةً في هذه الاتفاقيات الدولية، وألزمت جميع الدول الأعضاء في منظمة التجارة العالمية بتطبيق أحكام هذه الاتفاقيات بغض النظر عن انضمامها إلى هذه الاتفاقيات الدولية أو عدم الانضمام إليها، ولقد ترتب على ذلك زيادة عدد الدول التي تلتزم بتطبيق أحكام الاتفاقيات الدولية الرئيسية التي أحالت إليها اتفاقية التريبس؛ إذ ألزمت الاتفاقية جميع الأعضاء في منظمة التجارة العالمية باحترام هذه الأحكام وتطبيقها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AEF597E" w14:textId="67D48098" w:rsidR="00454428" w:rsidRDefault="00C464EC" w:rsidP="00D2174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اتفاقية تريبس هي من أهم الاتفاقيات الدولية لحماية حقوق الملكية الفكرية، وتهدف الاتفاقية إلى وضح حد أدنى من المعايير الدولية لحماية حقوق الملكية الفكرية، بالإضافة إلى حقوق المؤلف والعلامات التجارية والتصاميم الصناعية، كما وردت في نصوص المواد للاتفاقية، كما تلتزم الدول الأعضاء بتوفير هذه الحماية، تعتبر اتفاقية تريبس هي حلقة الوصل بين الملكية الفكرية بالنظام التجاري الدولي</w:t>
      </w:r>
      <w:r>
        <w:rPr>
          <w:rStyle w:val="None"/>
          <w:rFonts w:ascii="Times New Roman" w:hAnsi="Times New Roman"/>
          <w:sz w:val="24"/>
          <w:szCs w:val="24"/>
          <w:rtl/>
          <w:lang w:val="ar-SA"/>
        </w:rPr>
        <w:t>.</w:t>
      </w:r>
      <w:r w:rsidR="00D21748">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إنَّ اتفاقية تريبس لم تتناول نصوصًا قانونيةً بخصوص البيئة الرقمية لحماية حقوق الملكية الفكرية؛ وذلك بسبب اعتمادها قبل ظهور الإنترنت، ولكنها تضمن نصوص يمكن تطبيقها على البيئة الرقمية، فإنَّ التطوُّرات التكنولوجية قد بينت قصور نصوص اتفاقية تريبس لحماية المصنفات الرقمية</w:t>
      </w:r>
      <w:r>
        <w:rPr>
          <w:rStyle w:val="None"/>
          <w:rFonts w:ascii="Times New Roman" w:hAnsi="Times New Roman"/>
          <w:sz w:val="24"/>
          <w:szCs w:val="24"/>
          <w:rtl/>
          <w:lang w:val="ar-SA"/>
        </w:rPr>
        <w:t>.</w:t>
      </w:r>
    </w:p>
    <w:p w14:paraId="7B49360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اتفاقية تريبس التي تم اعتمادها عام </w:t>
      </w:r>
      <w:r>
        <w:rPr>
          <w:rStyle w:val="None"/>
          <w:rFonts w:ascii="Times New Roman" w:hAnsi="Times New Roman"/>
          <w:sz w:val="24"/>
          <w:szCs w:val="24"/>
          <w:rtl/>
          <w:lang w:val="ar-SA"/>
        </w:rPr>
        <w:t xml:space="preserve">1994 </w:t>
      </w:r>
      <w:r>
        <w:rPr>
          <w:rStyle w:val="None"/>
          <w:rFonts w:ascii="Arial Unicode MS" w:hAnsi="Arial Unicode MS" w:cs="Times New Roman" w:hint="cs"/>
          <w:sz w:val="24"/>
          <w:szCs w:val="24"/>
          <w:rtl/>
          <w:lang w:val="ar-SA"/>
        </w:rPr>
        <w:t xml:space="preserve">ولم يتم أي تعديل على الاتفاقية، ولكن قد وضعت إطارًا قانونيًّا يشمل حماية حقوق الملكية الفكرية على المستوى الدولي، إلا أنَّه بعد مرور أكثر من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عام على اعتمادها وعدم تحديث نصوصها القانونية، خاصة في مجال حماية حقوق المؤلف في البيئة الرقمية، كان لا بُدَّ من إعادة النظر في الاتفاقية مرة أخرى وتعديلها؛ لكي تواكب التطوُّرات الحديثة والتشريعات الحديثة لحماية حقوق الملكية الفكرية في البيئة الرقمية</w:t>
      </w:r>
      <w:r>
        <w:rPr>
          <w:rStyle w:val="None"/>
          <w:rFonts w:ascii="Times New Roman" w:hAnsi="Times New Roman"/>
          <w:sz w:val="24"/>
          <w:szCs w:val="24"/>
          <w:rtl/>
          <w:lang w:val="ar-SA"/>
        </w:rPr>
        <w:t>.</w:t>
      </w:r>
    </w:p>
    <w:p w14:paraId="209440E5" w14:textId="3A85F522" w:rsidR="00454428" w:rsidRPr="00D21748" w:rsidRDefault="00C464EC">
      <w:pPr>
        <w:pStyle w:val="ListParagraph"/>
        <w:numPr>
          <w:ilvl w:val="0"/>
          <w:numId w:val="100"/>
        </w:numPr>
        <w:spacing w:before="120" w:after="120" w:line="360" w:lineRule="auto"/>
        <w:jc w:val="both"/>
        <w:rPr>
          <w:rStyle w:val="None"/>
          <w:rFonts w:cs="Arial Unicode MS" w:hint="default"/>
          <w:b/>
          <w:bCs/>
          <w:sz w:val="24"/>
          <w:szCs w:val="24"/>
          <w:rtl/>
          <w:lang w:val="ar-SA"/>
        </w:rPr>
      </w:pPr>
      <w:r>
        <w:rPr>
          <w:rStyle w:val="None"/>
          <w:rFonts w:cs="Times New Roman"/>
          <w:b/>
          <w:bCs/>
          <w:sz w:val="24"/>
          <w:szCs w:val="24"/>
          <w:rtl/>
          <w:lang w:val="ar-SA"/>
        </w:rPr>
        <w:t xml:space="preserve">اتفاقية </w:t>
      </w:r>
      <w:r>
        <w:rPr>
          <w:rStyle w:val="None"/>
          <w:rFonts w:ascii="Times New Roman" w:hAnsi="Times New Roman"/>
          <w:b/>
          <w:bCs/>
          <w:sz w:val="24"/>
          <w:szCs w:val="24"/>
          <w:rtl/>
          <w:lang w:val="ar-SA"/>
        </w:rPr>
        <w:t>(</w:t>
      </w:r>
      <w:r>
        <w:rPr>
          <w:rStyle w:val="None"/>
          <w:rFonts w:cs="Times New Roman"/>
          <w:b/>
          <w:bCs/>
          <w:sz w:val="24"/>
          <w:szCs w:val="24"/>
          <w:rtl/>
          <w:lang w:val="ar-SA"/>
        </w:rPr>
        <w:t>روما</w:t>
      </w:r>
      <w:r>
        <w:rPr>
          <w:rStyle w:val="None"/>
          <w:rFonts w:ascii="Times New Roman" w:hAnsi="Times New Roman"/>
          <w:b/>
          <w:bCs/>
          <w:sz w:val="24"/>
          <w:szCs w:val="24"/>
          <w:rtl/>
          <w:lang w:val="ar-SA"/>
        </w:rPr>
        <w:t xml:space="preserve">) </w:t>
      </w:r>
      <w:r>
        <w:rPr>
          <w:rStyle w:val="None"/>
          <w:rFonts w:cs="Times New Roman"/>
          <w:b/>
          <w:bCs/>
          <w:sz w:val="24"/>
          <w:szCs w:val="24"/>
          <w:rtl/>
          <w:lang w:val="ar-SA"/>
        </w:rPr>
        <w:t xml:space="preserve">الخاصة بحماية فناني الأداء ومنتجي التسجيلات الصوتية </w:t>
      </w:r>
      <w:r>
        <w:rPr>
          <w:rStyle w:val="None"/>
          <w:rFonts w:ascii="Times New Roman" w:hAnsi="Times New Roman"/>
          <w:b/>
          <w:bCs/>
          <w:sz w:val="24"/>
          <w:szCs w:val="24"/>
          <w:rtl/>
          <w:lang w:val="ar-SA"/>
        </w:rPr>
        <w:t>(</w:t>
      </w:r>
      <w:r>
        <w:rPr>
          <w:rStyle w:val="None"/>
          <w:rFonts w:cs="Times New Roman"/>
          <w:b/>
          <w:bCs/>
          <w:sz w:val="24"/>
          <w:szCs w:val="24"/>
          <w:rtl/>
          <w:lang w:val="ar-SA"/>
        </w:rPr>
        <w:t>الفونوغرامات</w:t>
      </w:r>
      <w:r>
        <w:rPr>
          <w:rStyle w:val="None"/>
          <w:rFonts w:ascii="Times New Roman" w:hAnsi="Times New Roman"/>
          <w:b/>
          <w:bCs/>
          <w:sz w:val="24"/>
          <w:szCs w:val="24"/>
          <w:rtl/>
          <w:lang w:val="ar-SA"/>
        </w:rPr>
        <w:t xml:space="preserve">) </w:t>
      </w:r>
      <w:r>
        <w:rPr>
          <w:rStyle w:val="None"/>
          <w:rFonts w:cs="Times New Roman"/>
          <w:b/>
          <w:bCs/>
          <w:sz w:val="24"/>
          <w:szCs w:val="24"/>
          <w:rtl/>
          <w:lang w:val="ar-SA"/>
        </w:rPr>
        <w:t>هيئات الإذاعة</w:t>
      </w:r>
      <w:r>
        <w:rPr>
          <w:rStyle w:val="None"/>
          <w:rFonts w:ascii="Times New Roman" w:hAnsi="Times New Roman"/>
          <w:b/>
          <w:bCs/>
          <w:sz w:val="24"/>
          <w:szCs w:val="24"/>
          <w:rtl/>
          <w:lang w:val="ar-SA"/>
        </w:rPr>
        <w:t>:</w:t>
      </w:r>
      <w:r w:rsidRPr="00D21748">
        <w:rPr>
          <w:rStyle w:val="None"/>
          <w:rFonts w:cs="Times New Roman"/>
          <w:sz w:val="24"/>
          <w:szCs w:val="24"/>
          <w:rtl/>
          <w:lang w:val="ar-SA"/>
        </w:rPr>
        <w:t xml:space="preserve">ومن المنظمة العالمية للملكية الفكرية الاتفاقية الخاصة بحماية فناني الأداء ومنتجي التسجيلات الصوتية وهيئات </w:t>
      </w:r>
      <w:r w:rsidRPr="00D21748">
        <w:rPr>
          <w:rStyle w:val="None"/>
          <w:rFonts w:cs="Times New Roman"/>
          <w:sz w:val="24"/>
          <w:szCs w:val="24"/>
          <w:rtl/>
          <w:lang w:val="ar-SA"/>
        </w:rPr>
        <w:lastRenderedPageBreak/>
        <w:t xml:space="preserve">الإذاعة ومقرها روما في عام </w:t>
      </w:r>
      <w:r w:rsidRPr="00D21748">
        <w:rPr>
          <w:rStyle w:val="None"/>
          <w:rFonts w:ascii="Times New Roman" w:hAnsi="Times New Roman"/>
          <w:sz w:val="24"/>
          <w:szCs w:val="24"/>
          <w:rtl/>
          <w:lang w:val="ar-SA"/>
        </w:rPr>
        <w:t>1961</w:t>
      </w:r>
      <w:r w:rsidRPr="00D21748">
        <w:rPr>
          <w:rStyle w:val="None"/>
          <w:rFonts w:cs="Times New Roman"/>
          <w:sz w:val="24"/>
          <w:szCs w:val="24"/>
          <w:rtl/>
          <w:lang w:val="ar-SA"/>
        </w:rPr>
        <w:t xml:space="preserve">م عُقِدَت اتفاقية روما، وبلغ عدد أعضائها حتى عام </w:t>
      </w:r>
      <w:r w:rsidRPr="00D21748">
        <w:rPr>
          <w:rStyle w:val="None"/>
          <w:rFonts w:ascii="Times New Roman" w:hAnsi="Times New Roman"/>
          <w:sz w:val="24"/>
          <w:szCs w:val="24"/>
          <w:rtl/>
          <w:lang w:val="ar-SA"/>
        </w:rPr>
        <w:t>2000</w:t>
      </w:r>
      <w:r w:rsidRPr="00D21748">
        <w:rPr>
          <w:rStyle w:val="None"/>
          <w:rFonts w:cs="Times New Roman"/>
          <w:sz w:val="24"/>
          <w:szCs w:val="24"/>
          <w:rtl/>
          <w:lang w:val="ar-SA"/>
        </w:rPr>
        <w:t xml:space="preserve">م </w:t>
      </w:r>
      <w:r w:rsidRPr="00D21748">
        <w:rPr>
          <w:rStyle w:val="None"/>
          <w:rFonts w:ascii="Times New Roman" w:hAnsi="Times New Roman"/>
          <w:sz w:val="24"/>
          <w:szCs w:val="24"/>
          <w:rtl/>
          <w:lang w:val="ar-SA"/>
        </w:rPr>
        <w:t xml:space="preserve">(87) </w:t>
      </w:r>
      <w:r w:rsidRPr="00D21748">
        <w:rPr>
          <w:rStyle w:val="None"/>
          <w:rFonts w:cs="Times New Roman"/>
          <w:sz w:val="24"/>
          <w:szCs w:val="24"/>
          <w:rtl/>
          <w:lang w:val="ar-SA"/>
        </w:rPr>
        <w:t>دولةً، ومضمون الاتفاقية هو حماية فناني الأداء من استنتاج أو بث أعمالهم دون موافقتهم كما جاء في المادة السابعة</w:t>
      </w:r>
      <w:r w:rsidRPr="00D21748">
        <w:rPr>
          <w:rStyle w:val="None"/>
          <w:rFonts w:ascii="Times New Roman" w:hAnsi="Times New Roman"/>
          <w:sz w:val="24"/>
          <w:szCs w:val="24"/>
          <w:rtl/>
          <w:lang w:val="ar-SA"/>
        </w:rPr>
        <w:t xml:space="preserve">. </w:t>
      </w:r>
      <w:r w:rsidRPr="00D21748">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4"/>
      </w:r>
      <w:r w:rsidRPr="00D21748">
        <w:rPr>
          <w:rStyle w:val="None"/>
          <w:rFonts w:ascii="Times New Roman" w:hAnsi="Times New Roman"/>
          <w:sz w:val="24"/>
          <w:szCs w:val="24"/>
          <w:vertAlign w:val="superscript"/>
          <w:rtl/>
          <w:lang w:val="ar-SA"/>
        </w:rPr>
        <w:t>)</w:t>
      </w:r>
      <w:r w:rsidR="00D21748">
        <w:rPr>
          <w:rStyle w:val="None"/>
          <w:rFonts w:ascii="Times New Roman" w:hAnsi="Times New Roman"/>
          <w:sz w:val="24"/>
          <w:szCs w:val="24"/>
          <w:vertAlign w:val="superscript"/>
          <w:rtl/>
          <w:lang w:val="ar-SA"/>
        </w:rPr>
        <w:t xml:space="preserve"> </w:t>
      </w:r>
      <w:r w:rsidRPr="00D21748">
        <w:rPr>
          <w:rStyle w:val="None"/>
          <w:rFonts w:cs="Times New Roman"/>
          <w:sz w:val="24"/>
          <w:szCs w:val="24"/>
          <w:rtl/>
          <w:lang w:val="ar-SA"/>
        </w:rPr>
        <w:t xml:space="preserve">وقد نصت المادة </w:t>
      </w:r>
      <w:r w:rsidRPr="00D21748">
        <w:rPr>
          <w:rStyle w:val="None"/>
          <w:rFonts w:ascii="Times New Roman" w:hAnsi="Times New Roman"/>
          <w:sz w:val="24"/>
          <w:szCs w:val="24"/>
          <w:rtl/>
          <w:lang w:val="ar-SA"/>
        </w:rPr>
        <w:t xml:space="preserve">(7) </w:t>
      </w:r>
      <w:r w:rsidRPr="00D21748">
        <w:rPr>
          <w:rStyle w:val="None"/>
          <w:rFonts w:cs="Times New Roman"/>
          <w:sz w:val="24"/>
          <w:szCs w:val="24"/>
          <w:rtl/>
          <w:lang w:val="ar-SA"/>
        </w:rPr>
        <w:t>من تلك الاتفاقية على</w:t>
      </w:r>
      <w:r w:rsidRPr="00D21748">
        <w:rPr>
          <w:rStyle w:val="None"/>
          <w:rFonts w:ascii="Times New Roman" w:hAnsi="Times New Roman"/>
          <w:sz w:val="24"/>
          <w:szCs w:val="24"/>
          <w:rtl/>
          <w:lang w:val="ar-SA"/>
        </w:rPr>
        <w:t>:</w:t>
      </w:r>
    </w:p>
    <w:p w14:paraId="728A5CDE" w14:textId="77777777" w:rsidR="00454428" w:rsidRDefault="00C464EC">
      <w:pPr>
        <w:pStyle w:val="ListParagraph"/>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الحماية المنصوص عليها في هذه الاتفاقية لصالح فناني الأداء لإمكانية منع ما يلي</w:t>
      </w:r>
      <w:r>
        <w:rPr>
          <w:rStyle w:val="None"/>
          <w:rFonts w:ascii="Times New Roman" w:hAnsi="Times New Roman"/>
          <w:sz w:val="24"/>
          <w:szCs w:val="24"/>
          <w:rtl/>
          <w:lang w:val="ar-SA"/>
        </w:rPr>
        <w:t>:</w:t>
      </w:r>
    </w:p>
    <w:p w14:paraId="41199C05" w14:textId="77777777" w:rsidR="00454428" w:rsidRDefault="00C464EC">
      <w:pPr>
        <w:pStyle w:val="ListParagraph"/>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إذاعة أدائهم غير المثبت دون موافقتهم، إلا إذا كان الأداء المستعجل في الإذاعة أو النقل إلى الجمهور هو نفسه أداء أذيع في السابق أو أجري بالاستناد إلى تثبيت</w:t>
      </w:r>
      <w:r>
        <w:rPr>
          <w:rStyle w:val="None"/>
          <w:rFonts w:ascii="Times New Roman" w:hAnsi="Times New Roman"/>
          <w:sz w:val="24"/>
          <w:szCs w:val="24"/>
          <w:rtl/>
          <w:lang w:val="ar-SA"/>
        </w:rPr>
        <w:t>.</w:t>
      </w:r>
    </w:p>
    <w:p w14:paraId="0E8350E6" w14:textId="77777777" w:rsidR="00454428" w:rsidRDefault="00C464EC">
      <w:pPr>
        <w:pStyle w:val="ListParagraph"/>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تثبيت أدائهم غير المثبت دون موافقتهم</w:t>
      </w:r>
      <w:r>
        <w:rPr>
          <w:rStyle w:val="None"/>
          <w:rFonts w:ascii="Times New Roman" w:hAnsi="Times New Roman"/>
          <w:sz w:val="24"/>
          <w:szCs w:val="24"/>
          <w:rtl/>
          <w:lang w:val="ar-SA"/>
        </w:rPr>
        <w:t>.</w:t>
      </w:r>
    </w:p>
    <w:p w14:paraId="5EC33C4D" w14:textId="77777777" w:rsidR="00454428" w:rsidRDefault="00C464EC">
      <w:pPr>
        <w:pStyle w:val="ListParagraph"/>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استنساخ أي تثبيت لأدائهم دون موافقتهم</w:t>
      </w:r>
      <w:r>
        <w:rPr>
          <w:rStyle w:val="None"/>
          <w:rFonts w:ascii="Times New Roman" w:hAnsi="Times New Roman"/>
          <w:sz w:val="24"/>
          <w:szCs w:val="24"/>
          <w:rtl/>
          <w:lang w:val="ar-SA"/>
        </w:rPr>
        <w:t>.</w:t>
      </w:r>
    </w:p>
    <w:p w14:paraId="02ED5162" w14:textId="77777777" w:rsidR="00454428" w:rsidRDefault="00C464EC">
      <w:pPr>
        <w:pStyle w:val="ListParagraph"/>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التثبيت الأصلي نفسه دون موافقتهم</w:t>
      </w:r>
      <w:r>
        <w:rPr>
          <w:rStyle w:val="None"/>
          <w:rFonts w:ascii="Times New Roman" w:hAnsi="Times New Roman"/>
          <w:sz w:val="24"/>
          <w:szCs w:val="24"/>
          <w:rtl/>
          <w:lang w:val="ar-SA"/>
        </w:rPr>
        <w:t>.</w:t>
      </w:r>
    </w:p>
    <w:p w14:paraId="6557D64B" w14:textId="77777777" w:rsidR="00454428" w:rsidRDefault="00C464EC">
      <w:pPr>
        <w:pStyle w:val="ListParagraph"/>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الاستنساخ لأغراض تختلف عن الأغراض التي وافقوا عليها</w:t>
      </w:r>
      <w:r>
        <w:rPr>
          <w:rStyle w:val="None"/>
          <w:rFonts w:ascii="Times New Roman" w:hAnsi="Times New Roman"/>
          <w:sz w:val="24"/>
          <w:szCs w:val="24"/>
          <w:rtl/>
          <w:lang w:val="ar-SA"/>
        </w:rPr>
        <w:t>.</w:t>
      </w:r>
    </w:p>
    <w:p w14:paraId="75C4F634" w14:textId="77777777" w:rsidR="00454428" w:rsidRDefault="00C464EC">
      <w:pPr>
        <w:pStyle w:val="ListParagraph"/>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إذا أجري التثبيت الأصلي وفقًا لأحكام المادة </w:t>
      </w:r>
      <w:r>
        <w:rPr>
          <w:rStyle w:val="None"/>
          <w:rFonts w:ascii="Times New Roman" w:hAnsi="Times New Roman"/>
          <w:sz w:val="24"/>
          <w:szCs w:val="24"/>
          <w:rtl/>
          <w:lang w:val="ar-SA"/>
        </w:rPr>
        <w:t>(15)</w:t>
      </w:r>
      <w:r>
        <w:rPr>
          <w:rStyle w:val="None"/>
          <w:rFonts w:cs="Times New Roman"/>
          <w:sz w:val="24"/>
          <w:szCs w:val="24"/>
          <w:rtl/>
          <w:lang w:val="ar-SA"/>
        </w:rPr>
        <w:t>، وجرى استنساخه لأغراض تختلف عن الأغراض المشار إليها في تلك الأحكام</w:t>
      </w:r>
      <w:r>
        <w:rPr>
          <w:rStyle w:val="None"/>
          <w:rFonts w:ascii="Times New Roman" w:hAnsi="Times New Roman"/>
          <w:sz w:val="24"/>
          <w:szCs w:val="24"/>
          <w:rtl/>
          <w:lang w:val="ar-SA"/>
        </w:rPr>
        <w:t>.</w:t>
      </w:r>
    </w:p>
    <w:p w14:paraId="20261C82" w14:textId="77777777" w:rsidR="00454428" w:rsidRDefault="00C464EC">
      <w:pPr>
        <w:pStyle w:val="ListParagraph"/>
        <w:numPr>
          <w:ilvl w:val="0"/>
          <w:numId w:val="110"/>
        </w:numPr>
        <w:spacing w:before="120" w:after="120" w:line="360" w:lineRule="auto"/>
        <w:jc w:val="both"/>
        <w:rPr>
          <w:rFonts w:cs="Times New Roman" w:hint="default"/>
          <w:sz w:val="24"/>
          <w:szCs w:val="24"/>
          <w:rtl/>
          <w:lang w:val="ar-SA"/>
        </w:rPr>
      </w:pPr>
      <w:r>
        <w:rPr>
          <w:rStyle w:val="None"/>
          <w:rFonts w:cs="Times New Roman"/>
          <w:sz w:val="24"/>
          <w:szCs w:val="24"/>
          <w:rtl/>
          <w:lang w:val="ar-SA"/>
        </w:rPr>
        <w:t>يختص القانون الوطني للدولة المتعاقدة التي تطلب الحماية في أراضيها بتنظيم الحماية من إعادة بث أي أداء، وتثبيته بغرض إذاعته واستنساخ التثبيت بغرض إذاعته، شرط موافقة فنان الأداء على إذاعة أداته</w:t>
      </w:r>
      <w:r>
        <w:rPr>
          <w:rStyle w:val="None"/>
          <w:rFonts w:ascii="Times New Roman" w:hAnsi="Times New Roman"/>
          <w:sz w:val="24"/>
          <w:szCs w:val="24"/>
          <w:rtl/>
          <w:lang w:val="ar-SA"/>
        </w:rPr>
        <w:t xml:space="preserve">. </w:t>
      </w:r>
    </w:p>
    <w:p w14:paraId="71206531" w14:textId="77777777" w:rsidR="00454428" w:rsidRDefault="00C464EC">
      <w:pPr>
        <w:pStyle w:val="ListParagraph"/>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تحدد شروط انتفاع هيئات الإذاعة بالتثبيتات التي تُجرَى لأغراض الإذاعة، وفقًا للقانون الوطني للدولة المتعاقدة التي تطلب الحماية في أراضيها</w:t>
      </w:r>
      <w:r>
        <w:rPr>
          <w:rStyle w:val="None"/>
          <w:rFonts w:ascii="Times New Roman" w:hAnsi="Times New Roman"/>
          <w:sz w:val="24"/>
          <w:szCs w:val="24"/>
          <w:rtl/>
          <w:lang w:val="ar-SA"/>
        </w:rPr>
        <w:t>.</w:t>
      </w:r>
    </w:p>
    <w:p w14:paraId="02D6EAF6" w14:textId="77777777" w:rsidR="00454428" w:rsidRDefault="00C464EC">
      <w:pPr>
        <w:pStyle w:val="ListParagraph"/>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ذلك لا يجوز حرمان فناني الأداء من إمكانية تنظيم علاقاتهم مع هيئات الإذاعة على أساس تعاقدي نتيجة لتطبيق القانوني الوطني</w:t>
      </w:r>
      <w:r>
        <w:rPr>
          <w:rStyle w:val="None"/>
          <w:rFonts w:ascii="Times New Roman" w:hAnsi="Times New Roman"/>
          <w:sz w:val="24"/>
          <w:szCs w:val="24"/>
          <w:rtl/>
          <w:lang w:val="ar-SA"/>
        </w:rPr>
        <w:t>.</w:t>
      </w:r>
    </w:p>
    <w:p w14:paraId="0A0090E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المادة العاشرة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تناولت أمر حماية المنتجين الذين أنتجوا تسجيلاتهم الصوتية مثبتة من استنساخها سواء كان ذلك الاستنساخ مباشر أو غير مباشر، أما المادة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خصت هيئات الإذاعة أو كفلت لها حماية بموجبها تمنح هيئات الإذاعة من بث برامجها أو استنساخها لأغراض تجارية إلا أنَّ هذه الاتفاقية وغيرها من الاتفاقيات المشابهة تخضع للمراقبة بشكل مستمر؛ ذلك لازدياد حالات الفرضية وتطوُّر أساليبها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C37D8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تمنح اتفاقية روما الناشئة عن المنظمة العالمية للملكية الفكرية حمايةً قانونيةً لفناني الأداء ومنتجي التسجيلات الصوتية، فقد نصت في نصوص موادها على منع استنساخ مؤلفات الآخرين دون الحصول على موافقتهم، بالإضافة إلى أنَّها تركت الحرية لكل دولة متعاقدة في هذه الاتفاقية على تنظيم الحماية وفقًا لقنونها الوطني</w:t>
      </w:r>
      <w:r>
        <w:rPr>
          <w:rStyle w:val="None"/>
          <w:rFonts w:ascii="Times New Roman" w:hAnsi="Times New Roman"/>
          <w:sz w:val="24"/>
          <w:szCs w:val="24"/>
          <w:rtl/>
          <w:lang w:val="ar-SA"/>
        </w:rPr>
        <w:t>.</w:t>
      </w:r>
    </w:p>
    <w:p w14:paraId="30B2A64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القواعد العامة لاتفاقية روما يمكن تطبيقها على حماية حقوق فناني الأداء ومنتجي التسجيلات الصوتية، من نسخ أو نشر مؤلفات عبر شبكات الإنترنت، ولكن تحتاج الاتفاقية إلى تعديلها؛ لأنَّه تم تحديث التشريعات الوطنية على المستوى الدولي؛ لكي تتم ملاءمتها مع التطوُّرات التكنولوجية الحديثة؛ لحماية فناني الأداء والتسجيلات الصوتية في البيئة الرقمية</w:t>
      </w:r>
      <w:r>
        <w:rPr>
          <w:rStyle w:val="None"/>
          <w:rFonts w:ascii="Times New Roman" w:hAnsi="Times New Roman"/>
          <w:sz w:val="24"/>
          <w:szCs w:val="24"/>
          <w:rtl/>
          <w:lang w:val="ar-SA"/>
        </w:rPr>
        <w:t xml:space="preserve">. </w:t>
      </w:r>
    </w:p>
    <w:p w14:paraId="50A2D0D5" w14:textId="77777777" w:rsidR="00454428" w:rsidRDefault="00C464EC">
      <w:pPr>
        <w:pStyle w:val="ListParagraph"/>
        <w:numPr>
          <w:ilvl w:val="0"/>
          <w:numId w:val="11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منظمة الويبو </w:t>
      </w:r>
      <w:r>
        <w:rPr>
          <w:rStyle w:val="None"/>
          <w:rFonts w:ascii="Times New Roman" w:hAnsi="Times New Roman"/>
          <w:b/>
          <w:bCs/>
          <w:sz w:val="24"/>
          <w:szCs w:val="24"/>
          <w:rtl/>
          <w:lang w:val="ar-SA"/>
        </w:rPr>
        <w:t>(</w:t>
      </w:r>
      <w:r>
        <w:rPr>
          <w:rStyle w:val="None"/>
          <w:rFonts w:cs="Times New Roman"/>
          <w:b/>
          <w:bCs/>
          <w:sz w:val="24"/>
          <w:szCs w:val="24"/>
          <w:rtl/>
          <w:lang w:val="ar-SA"/>
        </w:rPr>
        <w:t>المنظمة العالمية للملكية الفكرية</w:t>
      </w:r>
      <w:r>
        <w:rPr>
          <w:rStyle w:val="None"/>
          <w:rFonts w:ascii="Times New Roman" w:hAnsi="Times New Roman"/>
          <w:b/>
          <w:bCs/>
          <w:sz w:val="24"/>
          <w:szCs w:val="24"/>
          <w:rtl/>
          <w:lang w:val="ar-SA"/>
        </w:rPr>
        <w:t>):</w:t>
      </w:r>
    </w:p>
    <w:p w14:paraId="113254B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العصر الذي نعيشه عصر الإنترنت والتكنولوجيا الحديثة الذي أثر بشكل كبير في المنظومة التشريعية للملكية الفكرية عامةً وحقوق المؤلف خاصةً؛ ممَّا جعل المجتمع الدولي يجد قصورًا في حماية المبدعين والمفكرين في ظل التطوُّر السريع والحديث الذي يعتمد على الإنترنت والرقمنة، وحرصًا على استمرار الإبداع الفكري لهم وطمأنتهم؛ حيث سارع إلى إيجاد حل أو إتاحة ضمانات، وفرض قواعد رادعة تمنع المساس بالحقوق الفكرية بشتى أنواعها في ظل المواقع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6"/>
      </w:r>
      <w:r>
        <w:rPr>
          <w:rStyle w:val="None"/>
          <w:rFonts w:ascii="Times New Roman" w:hAnsi="Times New Roman"/>
          <w:sz w:val="24"/>
          <w:szCs w:val="24"/>
          <w:vertAlign w:val="superscript"/>
          <w:rtl/>
          <w:lang w:val="ar-SA"/>
        </w:rPr>
        <w:t>)</w:t>
      </w:r>
    </w:p>
    <w:p w14:paraId="52E7F7E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المنظمة العالمية للملكية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أهم المنظمات الدولية التي ظهرت في هذا المجال؛ حيث أصبحت هذه الأخيرة الجهة الدولية الوحيدة التي تدير سائر اتفاقيات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7"/>
      </w:r>
      <w:r>
        <w:rPr>
          <w:rStyle w:val="None"/>
          <w:rFonts w:ascii="Times New Roman" w:hAnsi="Times New Roman"/>
          <w:sz w:val="24"/>
          <w:szCs w:val="24"/>
          <w:vertAlign w:val="superscript"/>
          <w:rtl/>
          <w:lang w:val="ar-SA"/>
        </w:rPr>
        <w:t>)</w:t>
      </w:r>
    </w:p>
    <w:p w14:paraId="281EE89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وتأسست هذه المنظمة طبقًا لاتفاقية استوكهولهم عام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ومقرها الرئيسي جنيف بسويسرا، وتهدف هذه المنظمة إلى حماية حقوق الملكية الفكرية في كل دول العالم، وتطوير آليات الحماية للملكية الفكرية، وتقديم الدراسات والمعلومات الخاصة بتقديم خدمات مراجعة وثائق طلب حماية الملكية الفكرية، والمساعدة في تحديث التشريعات الوطنية للدول الأعضاء، ونقل التكنولوجيا المرتبطة بالملكية الصناعية إلى الدول النامية، وإدارة الاتفاقيات المتعددة الأطراف المتعلقة بالأوجه القانونية، والإدارية للمليكة الفكرية في شقيها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الملكية الصناعية، وحق المؤلف، والحقوق المجاورة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8"/>
      </w:r>
      <w:r>
        <w:rPr>
          <w:rStyle w:val="None"/>
          <w:rFonts w:ascii="Times New Roman" w:hAnsi="Times New Roman"/>
          <w:sz w:val="24"/>
          <w:szCs w:val="24"/>
          <w:vertAlign w:val="superscript"/>
          <w:rtl/>
          <w:lang w:val="ar-SA"/>
        </w:rPr>
        <w:t>)</w:t>
      </w:r>
    </w:p>
    <w:p w14:paraId="44CE744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ونشأت المنظمة العالمية للملكية الفكرية، والتي يشار إليها بالاختصار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كتطوُّر للمكتب الدولي للملكية الفكرية؛ إذْ تم نقله إلى جنيف العاصمة السويسرية عام </w:t>
      </w:r>
      <w:r>
        <w:rPr>
          <w:rStyle w:val="None"/>
          <w:rFonts w:ascii="Times New Roman" w:hAnsi="Times New Roman"/>
          <w:sz w:val="24"/>
          <w:szCs w:val="24"/>
          <w:rtl/>
          <w:lang w:val="ar-SA"/>
        </w:rPr>
        <w:t>1960</w:t>
      </w:r>
      <w:r>
        <w:rPr>
          <w:rStyle w:val="None"/>
          <w:rFonts w:ascii="Arial Unicode MS" w:hAnsi="Arial Unicode MS" w:cs="Times New Roman" w:hint="cs"/>
          <w:sz w:val="24"/>
          <w:szCs w:val="24"/>
          <w:rtl/>
          <w:lang w:val="ar-SA"/>
        </w:rPr>
        <w:t xml:space="preserve">م، وفي عام </w:t>
      </w:r>
      <w:r>
        <w:rPr>
          <w:rStyle w:val="None"/>
          <w:rFonts w:ascii="Times New Roman" w:hAnsi="Times New Roman"/>
          <w:sz w:val="24"/>
          <w:szCs w:val="24"/>
          <w:rtl/>
          <w:lang w:val="ar-SA"/>
        </w:rPr>
        <w:t>1974</w:t>
      </w:r>
      <w:r>
        <w:rPr>
          <w:rStyle w:val="None"/>
          <w:rFonts w:ascii="Arial Unicode MS" w:hAnsi="Arial Unicode MS" w:cs="Times New Roman" w:hint="cs"/>
          <w:sz w:val="24"/>
          <w:szCs w:val="24"/>
          <w:rtl/>
          <w:lang w:val="ar-SA"/>
        </w:rPr>
        <w:t>م أصبحت الويبو وكالةً متخصصةً من وكالات الأمم المتحدة، مكلفةً بإدارة شئون الملكية الفكرية، ولقد جاء في اتفاقية إنشاؤها أنَّ هدفها هو دعم وحماية الملكية الفكرية تشجيعًا للابتكار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F4F85D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وتعتبر اتفاقية الويبو الأولى بشأن المؤلف من أحدث ما تم وضعه فيما يخص الحماية الدولية لحق المؤلف، بحيث أنَّها قد مدت نطاق الحماية المقررة في ظل الاتفاقيات الدولية السابقة لها لتشمل مصنفات أخرى لم تكن متمتعةً بالحماية، كما عالجت جملةً من الإشكالات المطروحة في مجال حماية حق المؤلف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8CE258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تعتبر المنظمة العالمية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إحدى أكبر منظمات الأمم المتحدة من خلال أنشطة مخاطبة الجمهور على النهوض بفهم أفضل لنظام الملكية الفكرية، ودوره في حفز الإبداع والابتكار، وقد أصبحت أنشطة التوعية بالملكية الفكرية من أولويات العديد من الدول الأعضاء التي تشاطرنا الاقتناع بأنَّ فهم الملكية الفكرية واحترامها إذا ما زاد واتسع ارتفعت فاعلية إسهامها في تحقيق الرخاء الاقتصادي والثقافي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1"/>
      </w:r>
      <w:r>
        <w:rPr>
          <w:rStyle w:val="None"/>
          <w:rFonts w:ascii="Times New Roman" w:hAnsi="Times New Roman"/>
          <w:sz w:val="24"/>
          <w:szCs w:val="24"/>
          <w:vertAlign w:val="superscript"/>
          <w:rtl/>
          <w:lang w:val="ar-SA"/>
        </w:rPr>
        <w:t>)</w:t>
      </w:r>
    </w:p>
    <w:p w14:paraId="478199A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وتنص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المنظمة تدعم حماية الملكية الفكرية في جميع أنحاء العالم عن طريق التعاون بين الدول، وبالتعاون مع أي منظمة دولية أخرى حيثما كان ذلك ملائمًا، وضمان التعاون الإداري بين الاتحادات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EFB88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ويتضح من ذلك أنَّ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تعمل على دعم حماية حقوق الملكية الفكرية في جميع أنحاء العالم، سواء في البلدان المتقدمة النمو أو البلدان النامية، من خلال التعاون بين الدول وعند الاقتضاء بمساعدة المنظمات الدولية، وذلك في سبيل تشجيع النشاط الفكري؛ ممَّا يساعد في التنمية الثقافية والاجتماعية والاقتصادية</w:t>
      </w:r>
      <w:r>
        <w:rPr>
          <w:rStyle w:val="None"/>
          <w:rFonts w:ascii="Times New Roman" w:hAnsi="Times New Roman"/>
          <w:sz w:val="24"/>
          <w:szCs w:val="24"/>
          <w:rtl/>
          <w:lang w:val="ar-SA"/>
        </w:rPr>
        <w:t>.</w:t>
      </w:r>
    </w:p>
    <w:p w14:paraId="7487540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وتنص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لتحقيق الأغراض المبنية في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أنَّ المنظمة عن طريق أجهزتها المختصة، ومع مراعاة اختصاص كل من الاتحادات</w:t>
      </w:r>
      <w:r>
        <w:rPr>
          <w:rStyle w:val="None"/>
          <w:rFonts w:ascii="Times New Roman" w:hAnsi="Times New Roman"/>
          <w:sz w:val="24"/>
          <w:szCs w:val="24"/>
          <w:rtl/>
          <w:lang w:val="ar-SA"/>
        </w:rPr>
        <w:t>:</w:t>
      </w:r>
    </w:p>
    <w:p w14:paraId="06B099B2"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تعمل على دعم اتخاذ الإجراءات التي تهدف إلى تيسير الحماية الفعَّالة للملكية الفكرية في جميع أنحاء العالم، وإلى تنسيق التشريعات الوطنية في هذا المجال</w:t>
      </w:r>
      <w:r>
        <w:rPr>
          <w:rStyle w:val="None"/>
          <w:rFonts w:ascii="Times New Roman" w:hAnsi="Times New Roman"/>
          <w:sz w:val="24"/>
          <w:szCs w:val="24"/>
          <w:rtl/>
          <w:lang w:val="ar-SA"/>
        </w:rPr>
        <w:t xml:space="preserve">. </w:t>
      </w:r>
    </w:p>
    <w:p w14:paraId="4004F7D6"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تقوم بالمهام الإدارية لاتحاد باريس، وللاتحادات الخاصة المنشأة فيما يتعلق بذلك الاتحاد ولاتحاد برن</w:t>
      </w:r>
      <w:r>
        <w:rPr>
          <w:rStyle w:val="None"/>
          <w:rFonts w:ascii="Times New Roman" w:hAnsi="Times New Roman"/>
          <w:sz w:val="24"/>
          <w:szCs w:val="24"/>
          <w:rtl/>
          <w:lang w:val="ar-SA"/>
        </w:rPr>
        <w:t>.</w:t>
      </w:r>
    </w:p>
    <w:p w14:paraId="19A4B319"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يجوز لها أنْ تقبل تولي المهام الإدارية الناشئة عن تنفيذ أي اتفاق دولي آخر، يهدف إلى دعم حماية الملكية الفكرية أو المشاركة في مثل هذه المهام</w:t>
      </w:r>
      <w:r>
        <w:rPr>
          <w:rStyle w:val="None"/>
          <w:rFonts w:ascii="Times New Roman" w:hAnsi="Times New Roman"/>
          <w:sz w:val="24"/>
          <w:szCs w:val="24"/>
          <w:rtl/>
          <w:lang w:val="ar-SA"/>
        </w:rPr>
        <w:t>.</w:t>
      </w:r>
    </w:p>
    <w:p w14:paraId="5E777E34"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تشجيع إبرام الاتفاقات الدولية التي تهدف إلى تدعيم حماية الملكية الفكرية</w:t>
      </w:r>
      <w:r>
        <w:rPr>
          <w:rStyle w:val="None"/>
          <w:rFonts w:ascii="Times New Roman" w:hAnsi="Times New Roman"/>
          <w:sz w:val="24"/>
          <w:szCs w:val="24"/>
          <w:rtl/>
          <w:lang w:val="ar-SA"/>
        </w:rPr>
        <w:t>.</w:t>
      </w:r>
    </w:p>
    <w:p w14:paraId="29316C9B"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تعرض تعاونها على الدول التي تطلب المساعدة القانونية الفنية في مجال الملكية الفكرية</w:t>
      </w:r>
      <w:r>
        <w:rPr>
          <w:rStyle w:val="None"/>
          <w:rFonts w:ascii="Times New Roman" w:hAnsi="Times New Roman"/>
          <w:sz w:val="24"/>
          <w:szCs w:val="24"/>
          <w:rtl/>
          <w:lang w:val="ar-SA"/>
        </w:rPr>
        <w:t>.</w:t>
      </w:r>
    </w:p>
    <w:p w14:paraId="6820365F"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تجمع المعلومات الخاصة بحماية الملكية الفكرية وتنشرها، وتجري الدراسات في هذا المجال وتشجعها، وتنشر نتائج تلك الدراسات</w:t>
      </w:r>
      <w:r>
        <w:rPr>
          <w:rStyle w:val="None"/>
          <w:rFonts w:ascii="Times New Roman" w:hAnsi="Times New Roman"/>
          <w:sz w:val="24"/>
          <w:szCs w:val="24"/>
          <w:rtl/>
          <w:lang w:val="ar-SA"/>
        </w:rPr>
        <w:t>.</w:t>
      </w:r>
    </w:p>
    <w:p w14:paraId="36D2BFF7"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توفر الخدمات التي تيسر الحماية الدولية للملكية الفكرية، وتنهض بأعباء التسجيل في هذا المجال، كما تنشر البيانات الخاصة بالتسجيلات حيثما كان ذلك ملائمًا</w:t>
      </w:r>
      <w:r>
        <w:rPr>
          <w:rStyle w:val="None"/>
          <w:rFonts w:ascii="Times New Roman" w:hAnsi="Times New Roman"/>
          <w:sz w:val="24"/>
          <w:szCs w:val="24"/>
          <w:rtl/>
          <w:lang w:val="ar-SA"/>
        </w:rPr>
        <w:t>.</w:t>
      </w:r>
    </w:p>
    <w:p w14:paraId="4E1B3E52"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تتخذ كل إجراء ملائم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2B69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أدت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منذ تأسيسها بموجب اتفاقية ستوكهولم لسنة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دورًا مهمًّا في مجال التعاون الدولي لحماية الملكية الفكرية، عبر علاقاتها مع المنظمات الدولية الأخرى التي تخصص بعضًا من أنشطتها لحماية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كمنظمة اليونسكو والمنظمة العالمية للتجارة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وكذلك من خلال علاقاتها مع المكاتب الإقليمية المتخصصة في هذا المجال، وكل ذلك من أجل تنسيق وتوحيد معايير الحماية الدولية، ولتطبيق مضمون الاتفاقيات الدولية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93A0C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وتصدت معاهدة الويبو لحق المؤلف الأولى لمسألة الجدول الرقمي المقررة لحق المؤلف على تخزين المصنفات ونقلها عبر الأنظمة الرقمية، كما تصدت كذلك للإشكالات التي ظهرت في مدى اعتبار التثبيت على الدعامات الإلكترونية من قبيل النسخ، وما إذا كان التحميل ولو للحظة محددة لأي مصنف، يُعَدُّ من قبيل الاعتداء على المصنفات محل الحماية، وعما إذا كان نسخ أحد هذه المصنفات الإلكترونية يتطلب الحصول على إذن أو ترخيص من صاحب هذا المؤلف أو المصنف، أو صاحب الحق المجاور؛ نظرًا لما يقتضيه النسخ التقليدي من الحصول على إذن مكتوب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8C285E" w14:textId="77777777" w:rsidR="00454428" w:rsidRDefault="00C464EC">
      <w:pPr>
        <w:pStyle w:val="ListParagraph"/>
        <w:numPr>
          <w:ilvl w:val="0"/>
          <w:numId w:val="11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معاهدة الويبو بشأن حق المؤلف عام </w:t>
      </w:r>
      <w:r>
        <w:rPr>
          <w:rStyle w:val="None"/>
          <w:rFonts w:ascii="Times New Roman" w:hAnsi="Times New Roman"/>
          <w:b/>
          <w:bCs/>
          <w:sz w:val="24"/>
          <w:szCs w:val="24"/>
          <w:rtl/>
          <w:lang w:val="ar-SA"/>
        </w:rPr>
        <w:t>1996:</w:t>
      </w:r>
    </w:p>
    <w:p w14:paraId="1FF586D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رغم الدور المهم الذي لعبته الويبو في تقديم المشورة في إطار التنمية الموجهة في شأن حماية حقوق المؤلفين وما أسفر عنه هذا الدور، إلا أنَّه اتضح في نهاية الثمانينات عدم كفاية تلك التوجيهات والمشورة، وباتت الحاجة ملحةً لإنشاء معايير دولية ملزمة في هذا المجال، وقد أدت المشكلات الناجمة عن مستحدثات التطوُّر التقني والتكنولوجي وظهور الإنترنت إلى تسارع خطوات التعاون الدولي في مجال تنظيم حق المؤلف وبصفه خاصة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421CF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أجل مواجهة المشكلات الناجمة عن التكنولوجيا الرقمية والإنترنت، خاصةً اعتمدت معاهدة الويبو ما يعرف باسم جدول الأعمال الرقمي المنصوص عليه في المادة أولى من الاتفاقية، وذلك عبر قواعد مقررة لحق المؤلف بشأن تخزين المصنفات ونقلها عبر الأنظمة الرقمية</w:t>
      </w:r>
      <w:r>
        <w:rPr>
          <w:rStyle w:val="None"/>
          <w:rFonts w:ascii="Times New Roman" w:hAnsi="Times New Roman"/>
          <w:sz w:val="24"/>
          <w:szCs w:val="24"/>
          <w:rtl/>
          <w:lang w:val="ar-SA"/>
        </w:rPr>
        <w:t xml:space="preserve">. </w:t>
      </w:r>
      <w:r>
        <w:rPr>
          <w:rStyle w:val="None"/>
          <w:rFonts w:ascii="Times New Roman" w:eastAsia="Times New Roman" w:hAnsi="Times New Roman" w:cs="Times New Roman"/>
          <w:sz w:val="24"/>
          <w:szCs w:val="24"/>
          <w:vertAlign w:val="superscript"/>
          <w:lang w:val="ar-SA"/>
        </w:rPr>
        <w:footnoteReference w:id="307"/>
      </w:r>
    </w:p>
    <w:p w14:paraId="685E71D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تم اعتماد معاهدة الويبو بشأن حق المؤلف في جنيف في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عام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فقد نصت المادة الأولى 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المعاهدة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هذه المعاهدة اتفاق خاص بمعنى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من اتفاقية برن لحماية المصنفات الأدبية والفنية، </w:t>
      </w:r>
      <w:r>
        <w:rPr>
          <w:rStyle w:val="None"/>
          <w:rFonts w:ascii="Arial Unicode MS" w:hAnsi="Arial Unicode MS" w:cs="Times New Roman" w:hint="cs"/>
          <w:sz w:val="24"/>
          <w:szCs w:val="24"/>
          <w:rtl/>
          <w:lang w:val="ar-SA"/>
        </w:rPr>
        <w:lastRenderedPageBreak/>
        <w:t>بالنسبة إلى الأطراف المتعاقدة من بلدان الاتحاد المنشأ بموجب تلك الاتفاقية، وليس لهذه المعاهدة أي صلة بمعاهدات أخرى خلاف اتفاقية برن، ولا تخل بأي حق أو التزام من الحقوق والالتزامات المترتبة على أي معاهدات أخرى</w:t>
      </w:r>
      <w:r>
        <w:rPr>
          <w:rStyle w:val="None"/>
          <w:rFonts w:ascii="Times New Roman" w:hAnsi="Times New Roman"/>
          <w:sz w:val="24"/>
          <w:szCs w:val="24"/>
          <w:rtl/>
          <w:lang w:val="ar-SA"/>
        </w:rPr>
        <w:t>".</w:t>
      </w:r>
    </w:p>
    <w:p w14:paraId="0A4343B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هذا الإطار جاءت اتفاقية الويبو لحق المؤلف لتوجب على الدول الأطراف ضرورةَ النص في قوانينها الداخلية على حماية حقوق التأليف بشكل عام، وحقوق التأليف على شبكة الإنترنت، والتي لم يتم التعبير عنها بشكل ملموس في الموقع الإلكتروني وهذا ما أكدته المادة الخامسة على أنَّ نطاق الحماية يشمل قواعد البيانات أيًا كان شكلها إذا كانت تعتبر ابتكاراتٍ فكريةً؛ بسبب اختيار محتوياتها أو ترتيبها في شكل ابتكار معين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88A24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نصت المادة الثانية من المعاهدة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تشمل الحماية الممنوحة بموجب حق المؤلف أوجه التعبير وليس الأفكار، أو الإجراءات، أو أساليب العمل، أو مفاهيم الرياضيات في حد ذاتها</w:t>
      </w:r>
      <w:r>
        <w:rPr>
          <w:rStyle w:val="None"/>
          <w:rFonts w:ascii="Times New Roman" w:hAnsi="Times New Roman"/>
          <w:sz w:val="24"/>
          <w:szCs w:val="24"/>
          <w:rtl/>
          <w:lang w:val="ar-SA"/>
        </w:rPr>
        <w:t xml:space="preserve">". </w:t>
      </w:r>
    </w:p>
    <w:p w14:paraId="01C795B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معاهدة الويبو بشأن حق المؤلف عام </w:t>
      </w:r>
      <w:r>
        <w:rPr>
          <w:rStyle w:val="None"/>
          <w:rFonts w:ascii="Times New Roman" w:hAnsi="Times New Roman"/>
          <w:sz w:val="24"/>
          <w:szCs w:val="24"/>
          <w:rtl/>
          <w:lang w:val="ar-SA"/>
        </w:rPr>
        <w:t xml:space="preserve">1996 </w:t>
      </w:r>
      <w:r>
        <w:rPr>
          <w:rStyle w:val="None"/>
          <w:rFonts w:ascii="Arial Unicode MS" w:hAnsi="Arial Unicode MS" w:cs="Times New Roman" w:hint="cs"/>
          <w:sz w:val="24"/>
          <w:szCs w:val="24"/>
          <w:rtl/>
          <w:lang w:val="ar-SA"/>
        </w:rPr>
        <w:t>تهدف إلى تعزيز وتطوير حماية حقوق المؤلف في مواجهة التحديات المتعلقة بالبيئة الرقيمة، فقد جاءت هذه المعاهدة مكملةً لاتفاقية برن؛ حيث وسعت نطاق الحماية ليشمل المصنفات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برامج الحاسب الآلي، وقواعد البيانات، وغيرها، كما منحت للمؤلف حق التوزيع، والتأجير، والاستنساخ، كما ألزمت الدول الأطراف في المعاهدة على تحديث التشريعات القانونية؛ لكي تتواكب مع التطوُّر في البيئة الرقمية</w:t>
      </w:r>
      <w:r>
        <w:rPr>
          <w:rStyle w:val="None"/>
          <w:rFonts w:ascii="Times New Roman" w:hAnsi="Times New Roman"/>
          <w:sz w:val="24"/>
          <w:szCs w:val="24"/>
          <w:rtl/>
          <w:lang w:val="ar-SA"/>
        </w:rPr>
        <w:t>.</w:t>
      </w:r>
    </w:p>
    <w:p w14:paraId="60C6EE89" w14:textId="77777777" w:rsidR="00454428" w:rsidRDefault="00C464EC">
      <w:pPr>
        <w:pStyle w:val="ListParagraph"/>
        <w:numPr>
          <w:ilvl w:val="0"/>
          <w:numId w:val="10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اتفاقية مدريد</w:t>
      </w:r>
      <w:r>
        <w:rPr>
          <w:rStyle w:val="None"/>
          <w:rFonts w:ascii="Times New Roman" w:hAnsi="Times New Roman"/>
          <w:b/>
          <w:bCs/>
          <w:sz w:val="24"/>
          <w:szCs w:val="24"/>
          <w:rtl/>
          <w:lang w:val="ar-SA"/>
        </w:rPr>
        <w:t>:</w:t>
      </w:r>
    </w:p>
    <w:p w14:paraId="4AB9D6F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نظام التسجيل الدولي ليس بالنظام الحديث على المجتمع الدولي، وإنما يمكن إرجاع بدايته إلى اتفاقية باريس لعام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لحماية عناصر الملكية الصناعية، التي سمحت بتسجيل العلامات الأجنبية في السجلات الوطنية للدول الأعضاء في اتحاد باريس، وجاءت اتفاقية مدريد للتسجيل الدولي للعلامات التجارية 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xml:space="preserve">، والذي يُعَدُّ بمثابة التطوُّر العلمي والإجرائي لاتفاقية باريس كخطوة مهمة لحماية العلامات التجارية دوليًا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77858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هي معاهدة دولية للتسجيل الدولي للعلامات التجارية تتيح لمواطني ومقيمي الدول الأعضاء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الطبيعيين والمعنويين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اتخاذ إجراءات تمكّنهم من حماية علاماتهم التجارية في الدول الأعضاء المستهدفة، من خلال إيداع طلب واحد لدى المكتب الدولي للويبو عبر المكتب الوطني بلغة واحدة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الإنجليزية أو الفرنسية أو الإسبانية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وبتسديد مجموعة واحدة من الرسوم بعملة واحدة، وتكفل المعاهدة مزايا،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المحافظة على التسجيل وتجديده، وقيد نقل ملكية التسجيل الدولي للغير أو تبديل الاسم أو العنوان أو غيرها من البيانات بإجراء واحد يسري أثره في جميع الأطراف المتعاقدة المعينة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0"/>
      </w:r>
      <w:r>
        <w:rPr>
          <w:rStyle w:val="None"/>
          <w:rFonts w:ascii="Times New Roman" w:hAnsi="Times New Roman"/>
          <w:sz w:val="24"/>
          <w:szCs w:val="24"/>
          <w:vertAlign w:val="superscript"/>
          <w:rtl/>
          <w:lang w:val="ar-SA"/>
        </w:rPr>
        <w:t>)</w:t>
      </w:r>
    </w:p>
    <w:p w14:paraId="4249C1A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فيما يتعلق بالعلامات التجارية غير التقليدية وموقف اتفاقية مدريد وبروتوكوله من تسجيلها وحمايتها، فيمكن القول 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بأنَّ المادة الثانية من بروتوكول اتفاق مدريد بشأن التسجيل الدولي للعلامات تشترط أنْ تكون العلامات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التي </w:t>
      </w:r>
      <w:r>
        <w:rPr>
          <w:rStyle w:val="None"/>
          <w:rFonts w:ascii="Arial Unicode MS" w:hAnsi="Arial Unicode MS" w:cs="Times New Roman" w:hint="cs"/>
          <w:sz w:val="24"/>
          <w:szCs w:val="24"/>
          <w:rtl/>
          <w:lang w:val="ar-SA"/>
        </w:rPr>
        <w:lastRenderedPageBreak/>
        <w:t>تلتمس الحماية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بموجب نظام مدريد، أنْ تكون مودعةً لدى مكتب دولة عضو في الاتفاقية، أو مسجلةً في سجل ذلك المكتب، والذي يشار إليه في الاتفاقية بعبارة مكنب المنشأ</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1"/>
      </w:r>
      <w:r>
        <w:rPr>
          <w:rStyle w:val="None"/>
          <w:rFonts w:ascii="Times New Roman" w:hAnsi="Times New Roman"/>
          <w:sz w:val="24"/>
          <w:szCs w:val="24"/>
          <w:vertAlign w:val="superscript"/>
          <w:rtl/>
          <w:lang w:val="ar-SA"/>
        </w:rPr>
        <w:t>)</w:t>
      </w:r>
    </w:p>
    <w:p w14:paraId="22967C4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اتفاقية مدريد تحمي العلامات التجارية غير التقليدية، وذلك بِناءً على نص المادة الثالثة، وذلك من خلال تقديم طلب التسجيل الدولي على النموذج المنصوص عليه في اللائحة التنفيذية للاتفاقية، وعلى الإدارة أنْ تدوِّن التاريخ، ورقم الإيداع، وتسجيل العلامة في بلد المنشأ، وعلى مودع العلامة أنْ يذكر السلع أو الخدمات التي يطلب حماية هذه العلامة، كما تحمي العلامة التجارية غير التقليدية بإعلان العلامة مع بيان ألوان العلامة، ومن حق صاحب العلامة أنْ يأخذ نسخ ملونة من العلامة</w:t>
      </w:r>
      <w:r>
        <w:rPr>
          <w:rStyle w:val="None"/>
          <w:rFonts w:ascii="Times New Roman" w:hAnsi="Times New Roman"/>
          <w:sz w:val="24"/>
          <w:szCs w:val="24"/>
          <w:rtl/>
          <w:lang w:val="ar-SA"/>
        </w:rPr>
        <w:t>.</w:t>
      </w:r>
    </w:p>
    <w:p w14:paraId="0229B4F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أي نوع من العلامات التجارية أو الصناعية التي يمكن تسجليها وفقًا للقانون الواجب التطبيق في بلد الطرف المتعاقد في مكتب المنشأ يمكن أنْ يكون موضوعًا للتسجيل الدولي،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تقيد اللائحة التنفيذية المشتركة أنواع العلامات التي يمكن إيداع طلب دولي بشأنها، فهي تتطلب فقط أنْ تدرج إشارة في الطلب الدولي إلى أنواع معينة من العلامات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2"/>
      </w:r>
      <w:r>
        <w:rPr>
          <w:rStyle w:val="None"/>
          <w:rFonts w:ascii="Times New Roman" w:hAnsi="Times New Roman"/>
          <w:sz w:val="24"/>
          <w:szCs w:val="24"/>
          <w:vertAlign w:val="superscript"/>
          <w:rtl/>
          <w:lang w:val="ar-SA"/>
        </w:rPr>
        <w:t>)</w:t>
      </w:r>
    </w:p>
    <w:p w14:paraId="15110C8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الهدف من اتفاقية مدريد بشأن التسجيل الدولي للعلامات التجارية توفير حماية أفضل للعلامات التجارية، وتيسيرًا لتسجيلها في جميع الدول الأعضاء في الاتحاد الدولي؛ لحماية حقوق الملكية الصناعية، وضع اتفاق مدريد كنظام للتسجيل الدولي للعلامات التجارية، وبمقتضاه يمكن لكل شخص تابع لإحدى الدول المتعاقدة أنْ يكفل حماية علامته التجارية المسجلة في بلده الأصلي في جميع دول الاتحاد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3"/>
      </w:r>
      <w:r>
        <w:rPr>
          <w:rStyle w:val="None"/>
          <w:rFonts w:ascii="Times New Roman" w:hAnsi="Times New Roman"/>
          <w:sz w:val="24"/>
          <w:szCs w:val="24"/>
          <w:vertAlign w:val="superscript"/>
          <w:rtl/>
          <w:lang w:val="ar-SA"/>
        </w:rPr>
        <w:t>)</w:t>
      </w:r>
    </w:p>
    <w:p w14:paraId="4A1B515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تشمل اتفاقية مدريد بشأن التسجيل الدولي للعلامات حماية العلامات من خلال تسجيلها دوليًا، ولكن يوجد بها قصور قانونية لعدم تناولها مواد قانونية تشمل التسجيل في البيئة الرقمية؛ وذلك بسبب عدم وجود الشبكات الإلكترونية؛ ولذلك لا بُدَّ من تحديث الاتفاقية؛ لكي تواكب التطوُّر الرهيب التكنولوجي في البيئة الرقمية</w:t>
      </w:r>
      <w:r>
        <w:rPr>
          <w:rStyle w:val="None"/>
          <w:rFonts w:ascii="Times New Roman" w:hAnsi="Times New Roman"/>
          <w:sz w:val="24"/>
          <w:szCs w:val="24"/>
          <w:rtl/>
          <w:lang w:val="ar-SA"/>
        </w:rPr>
        <w:t>.</w:t>
      </w:r>
    </w:p>
    <w:p w14:paraId="150D7352" w14:textId="77777777" w:rsidR="00454428" w:rsidRDefault="00C464EC">
      <w:pPr>
        <w:pStyle w:val="ListParagraph"/>
        <w:numPr>
          <w:ilvl w:val="0"/>
          <w:numId w:val="10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p>
    <w:p w14:paraId="400DC10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تم إبرام معاهدة التعاون بشأن البراءات عام </w:t>
      </w:r>
      <w:r>
        <w:rPr>
          <w:rStyle w:val="None"/>
          <w:rFonts w:ascii="Times New Roman" w:hAnsi="Times New Roman"/>
          <w:sz w:val="24"/>
          <w:szCs w:val="24"/>
          <w:rtl/>
          <w:lang w:val="ar-SA"/>
        </w:rPr>
        <w:t>1970</w:t>
      </w:r>
      <w:r>
        <w:rPr>
          <w:rStyle w:val="None"/>
          <w:rFonts w:ascii="Arial Unicode MS" w:hAnsi="Arial Unicode MS" w:cs="Times New Roman" w:hint="cs"/>
          <w:sz w:val="24"/>
          <w:szCs w:val="24"/>
          <w:rtl/>
          <w:lang w:val="ar-SA"/>
        </w:rPr>
        <w:t xml:space="preserve">، والمعدلة عام </w:t>
      </w:r>
      <w:r>
        <w:rPr>
          <w:rStyle w:val="None"/>
          <w:rFonts w:ascii="Times New Roman" w:hAnsi="Times New Roman"/>
          <w:sz w:val="24"/>
          <w:szCs w:val="24"/>
          <w:rtl/>
          <w:lang w:val="ar-SA"/>
        </w:rPr>
        <w:t>1979</w:t>
      </w:r>
      <w:r>
        <w:rPr>
          <w:rStyle w:val="None"/>
          <w:rFonts w:ascii="Arial Unicode MS" w:hAnsi="Arial Unicode MS" w:cs="Times New Roman" w:hint="cs"/>
          <w:sz w:val="24"/>
          <w:szCs w:val="24"/>
          <w:rtl/>
          <w:lang w:val="ar-SA"/>
        </w:rPr>
        <w:t xml:space="preserve">، ثم تم تعديلها مرة أخرى عام </w:t>
      </w:r>
      <w:r>
        <w:rPr>
          <w:rStyle w:val="None"/>
          <w:rFonts w:ascii="Times New Roman" w:hAnsi="Times New Roman"/>
          <w:sz w:val="24"/>
          <w:szCs w:val="24"/>
          <w:rtl/>
          <w:lang w:val="ar-SA"/>
        </w:rPr>
        <w:t>1984</w:t>
      </w:r>
      <w:r>
        <w:rPr>
          <w:rStyle w:val="None"/>
          <w:rFonts w:ascii="Arial Unicode MS" w:hAnsi="Arial Unicode MS" w:cs="Times New Roman" w:hint="cs"/>
          <w:sz w:val="24"/>
          <w:szCs w:val="24"/>
          <w:rtl/>
          <w:lang w:val="ar-SA"/>
        </w:rPr>
        <w:t xml:space="preserve">، ودخلت حيز التنفيذ عام </w:t>
      </w:r>
      <w:r>
        <w:rPr>
          <w:rStyle w:val="None"/>
          <w:rFonts w:ascii="Times New Roman" w:hAnsi="Times New Roman"/>
          <w:sz w:val="24"/>
          <w:szCs w:val="24"/>
          <w:rtl/>
          <w:lang w:val="ar-SA"/>
        </w:rPr>
        <w:t>1999</w:t>
      </w:r>
      <w:r>
        <w:rPr>
          <w:rStyle w:val="None"/>
          <w:rFonts w:ascii="Arial Unicode MS" w:hAnsi="Arial Unicode MS" w:cs="Times New Roman" w:hint="cs"/>
          <w:sz w:val="24"/>
          <w:szCs w:val="24"/>
          <w:rtl/>
          <w:lang w:val="ar-SA"/>
        </w:rPr>
        <w:t xml:space="preserve">، وتضم حاليًا </w:t>
      </w:r>
      <w:r>
        <w:rPr>
          <w:rStyle w:val="None"/>
          <w:rFonts w:ascii="Times New Roman" w:hAnsi="Times New Roman"/>
          <w:sz w:val="24"/>
          <w:szCs w:val="24"/>
          <w:rtl/>
          <w:lang w:val="ar-SA"/>
        </w:rPr>
        <w:t xml:space="preserve">156 </w:t>
      </w:r>
      <w:r>
        <w:rPr>
          <w:rStyle w:val="None"/>
          <w:rFonts w:ascii="Arial Unicode MS" w:hAnsi="Arial Unicode MS" w:cs="Times New Roman" w:hint="cs"/>
          <w:sz w:val="24"/>
          <w:szCs w:val="24"/>
          <w:rtl/>
          <w:lang w:val="ar-SA"/>
        </w:rPr>
        <w:t>دولةً متعاقدةً، وترجع أهميتها من  كون أي دولة عضو في هذه المعاهدة يحق للمواطن أو المقيم في إحدى دول أطراف المعاهدة تقديم طلب واحد فقط من أجل الحصول على حماية براءات الاختراع في أي من البدان الأعضاء في المعاهدة، وهذا يبسط إلى حد كبير الحماية في العديد من المناطق الأجنبية في وقت واحد؛ ممَّا يساعد مكتب الويبو في جينيف بتطليق العملية الإدارية بشكل أيسر وأدق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4"/>
      </w:r>
      <w:r>
        <w:rPr>
          <w:rStyle w:val="None"/>
          <w:rFonts w:ascii="Times New Roman" w:hAnsi="Times New Roman"/>
          <w:sz w:val="24"/>
          <w:szCs w:val="24"/>
          <w:vertAlign w:val="superscript"/>
          <w:rtl/>
          <w:lang w:val="ar-SA"/>
        </w:rPr>
        <w:t>)</w:t>
      </w:r>
    </w:p>
    <w:p w14:paraId="6AB39BE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ومن أهم مزايا معاهدة التعاون بشأن البراءات هو أنَّه بِناءً على طلب وحيد وبلغة واحدة، ومهما كان عدد الدول المعينة فإنَّ المودع يمكنه أنْ يستفيد من بحث دولي يقوم به أحد المكاتب المستقبلة، ويمكنه أنْ يخضع طلبه فيما بعد إلى فحص تمهيدي دولي، وله الخيرة في ذلك؛ لكونه ليس إجباريًا، كما هو الحال في البحث الدولي على أنْ يسري طلبه هذا في كل البلدان المعنية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وهذا ما نصت عليه المادة الثالثة من الاتفاقية</w:t>
      </w:r>
      <w:r>
        <w:rPr>
          <w:rStyle w:val="None"/>
          <w:rFonts w:ascii="Times New Roman" w:hAnsi="Times New Roman"/>
          <w:sz w:val="24"/>
          <w:szCs w:val="24"/>
          <w:rtl/>
          <w:lang w:val="ar-SA"/>
        </w:rPr>
        <w:t>.</w:t>
      </w:r>
    </w:p>
    <w:p w14:paraId="077210F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3E01B836"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 xml:space="preserve">مزايا الطلب الدولي وفقًا للاتفاقية </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16"/>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304B958" w14:textId="77777777" w:rsidR="00454428" w:rsidRDefault="00C464EC">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الاستفادة من تاريخ الإيداع الأول أو الأسبقية، والتي تصل إلى </w:t>
      </w:r>
      <w:r>
        <w:rPr>
          <w:rStyle w:val="None"/>
          <w:rFonts w:ascii="Times New Roman" w:hAnsi="Times New Roman"/>
          <w:sz w:val="24"/>
          <w:szCs w:val="24"/>
          <w:rtl/>
          <w:lang w:val="ar-SA"/>
        </w:rPr>
        <w:t xml:space="preserve">30 </w:t>
      </w:r>
      <w:r>
        <w:rPr>
          <w:rStyle w:val="None"/>
          <w:rFonts w:cs="Times New Roman"/>
          <w:sz w:val="24"/>
          <w:szCs w:val="24"/>
          <w:rtl/>
          <w:lang w:val="ar-SA"/>
        </w:rPr>
        <w:t>شهرًا؛ لتحديد الدول المراد إيداع الطلب فيها لاحقًا لطلب الحماية</w:t>
      </w:r>
      <w:r>
        <w:rPr>
          <w:rStyle w:val="None"/>
          <w:rFonts w:ascii="Times New Roman" w:hAnsi="Times New Roman"/>
          <w:sz w:val="24"/>
          <w:szCs w:val="24"/>
        </w:rPr>
        <w:t>.</w:t>
      </w:r>
    </w:p>
    <w:p w14:paraId="47475AFB" w14:textId="77777777" w:rsidR="00454428" w:rsidRDefault="00C464EC">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حصول مقدم الطلب على تقرير بحث دولي يحتوي على قائمة بالوثائق المنشورة، وتقرير مكتوب، والذي يوضح مبدئيًا إمكانية حصول الطلب على براءة اختراع من عدمه، وهذا التقرير غير ملزم للدول الأعضاء</w:t>
      </w:r>
      <w:r>
        <w:rPr>
          <w:rStyle w:val="None"/>
          <w:rFonts w:ascii="Times New Roman" w:hAnsi="Times New Roman"/>
          <w:sz w:val="24"/>
          <w:szCs w:val="24"/>
        </w:rPr>
        <w:t>.</w:t>
      </w:r>
    </w:p>
    <w:p w14:paraId="177A2C3F" w14:textId="77777777" w:rsidR="00454428" w:rsidRDefault="00C464EC">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يتيح لمقدم الطلب المزيد من الوقت لعمل الدراسات الاقتصادية والتقييم للاختراع أو البحث عن مستثمرين أو فرص تجارية، وكذلك لتعيين وكلاء محليين وتجهيز المتطلبات اللازمة للدخول للمرحلة الوطنية</w:t>
      </w:r>
      <w:r>
        <w:rPr>
          <w:rStyle w:val="None"/>
          <w:rFonts w:ascii="Times New Roman" w:hAnsi="Times New Roman"/>
          <w:sz w:val="24"/>
          <w:szCs w:val="24"/>
        </w:rPr>
        <w:t>.</w:t>
      </w:r>
    </w:p>
    <w:p w14:paraId="4500374A" w14:textId="77777777" w:rsidR="00454428" w:rsidRDefault="00C464EC">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يمكن لمقدم الطلب تعديل الطلب حسب الملاحظات الواردة في تقرير البحث والتقدم بطلب فحص تمهيدي دولي</w:t>
      </w:r>
      <w:r>
        <w:rPr>
          <w:rStyle w:val="None"/>
          <w:rFonts w:ascii="Times New Roman" w:hAnsi="Times New Roman"/>
          <w:sz w:val="24"/>
          <w:szCs w:val="24"/>
        </w:rPr>
        <w:t>.</w:t>
      </w:r>
    </w:p>
    <w:p w14:paraId="3455F9E2" w14:textId="77777777" w:rsidR="00454428" w:rsidRDefault="00C464EC">
      <w:pPr>
        <w:pStyle w:val="ListParagraph"/>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إمكانية حصول مقدم الطلب على تقرير فحص دولي تمهيدي إضافي؛ لتحليل تقرير البحث الدولي، وتقديم رأي مكتوب في احتمال حصول الطلب على براءة اختراع من عدمه؛ ممَّا قد يسرع من عملية فحص الطلب لدى المكاتب الوطنية</w:t>
      </w:r>
      <w:r>
        <w:rPr>
          <w:rStyle w:val="None"/>
          <w:rFonts w:ascii="Times New Roman" w:hAnsi="Times New Roman"/>
          <w:sz w:val="24"/>
          <w:szCs w:val="24"/>
        </w:rPr>
        <w:t>.</w:t>
      </w:r>
    </w:p>
    <w:p w14:paraId="6160316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425563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60D5948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7CB0307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E40709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92C3A9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10D024E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1C252D7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ADFDC32"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091B32C4"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ED0D14"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B570ECC"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87DF07D"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68189871"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E2C2600"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F7BFE0" w14:textId="77777777" w:rsidR="00454428" w:rsidRDefault="00C464EC" w:rsidP="00C72BA8">
      <w:pPr>
        <w:pStyle w:val="a"/>
        <w:rPr>
          <w:rStyle w:val="None"/>
          <w:rtl/>
          <w:lang w:val="ar-SA"/>
        </w:rPr>
      </w:pPr>
      <w:bookmarkStart w:id="209" w:name="_Toc227251120"/>
      <w:bookmarkStart w:id="210" w:name="_Toc232260677"/>
      <w:r>
        <w:rPr>
          <w:rStyle w:val="None"/>
          <w:rFonts w:ascii="Arial Unicode MS" w:eastAsia="Arial Unicode MS" w:hAnsi="Arial Unicode MS" w:hint="cs"/>
          <w:rtl/>
          <w:lang w:val="ar-SA"/>
        </w:rPr>
        <w:t>المطلب الثاني</w:t>
      </w:r>
      <w:bookmarkEnd w:id="209"/>
      <w:bookmarkEnd w:id="210"/>
    </w:p>
    <w:p w14:paraId="6488BB68" w14:textId="77777777" w:rsidR="00454428" w:rsidRDefault="00C464EC" w:rsidP="00C72BA8">
      <w:pPr>
        <w:pStyle w:val="a"/>
        <w:rPr>
          <w:rStyle w:val="None"/>
          <w:rtl/>
          <w:lang w:val="ar-SA"/>
        </w:rPr>
      </w:pPr>
      <w:bookmarkStart w:id="211" w:name="_Toc227251121"/>
      <w:bookmarkStart w:id="212" w:name="_Toc232260678"/>
      <w:r>
        <w:rPr>
          <w:rStyle w:val="None"/>
          <w:rFonts w:ascii="Arial Unicode MS" w:eastAsia="Arial Unicode MS" w:hAnsi="Arial Unicode MS" w:hint="cs"/>
          <w:rtl/>
          <w:lang w:val="ar-SA"/>
        </w:rPr>
        <w:t>التحديات الدولية في تنفيذ الحماية الرقمية</w:t>
      </w:r>
      <w:bookmarkEnd w:id="211"/>
      <w:bookmarkEnd w:id="212"/>
    </w:p>
    <w:p w14:paraId="6C8A661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لا بُدَّ من حمايتها دوليًا؛ بسبب الانتهاكات في العصر الرقمي، ففي ظل الانتشار الواسع للإنترنت وتعدد وسائل النشر الإلكتروني، أصبح من السهل نسخ أي محتوى ونشره مرة أخرى دون إذن من صاحب الحق؛ ممَّا يهدد الحقوق الأدبية والمالية للمؤلفين</w:t>
      </w:r>
      <w:r>
        <w:rPr>
          <w:rStyle w:val="None"/>
          <w:rFonts w:ascii="Times New Roman" w:hAnsi="Times New Roman"/>
          <w:sz w:val="24"/>
          <w:szCs w:val="24"/>
          <w:rtl/>
          <w:lang w:val="ar-SA"/>
        </w:rPr>
        <w:t>.</w:t>
      </w:r>
    </w:p>
    <w:p w14:paraId="147C3E8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الفترة الماضية تسارع كبير في مجال التقدم التكنولوجي والتقني، وظهر ما يسمي بالفضاء الإلكتروني، ووسائل الاتصالات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كالإنترنت، وسائر صور الاتصال الإلكتروني، حتى أصبح العالم قريةً صغيرةً، وشمل هذا الفضاء الإلكتروني جميع مناحي الحياة الاقتصادية والاجتماعية، ووضع أكثر من مئتي دولةٍ في حالة اتصال دائم؛ حتى أصبحت القضية تشغل العالم بأسره، فالمجرم قد يكون بِقارَّة وينفذ جريمته بقارة أخرى عبر هذا الفضاء الإلكتروني، وقد تباينت الصور الإجرامية وتشعبت أنواعها، وهي جرائم مبتكرة ومستحدثة، وقد عاني الكثير من الدول من هذه الجرائم؛ ممَّا استدعى ضرورة تطوير البنية التشريعية الجنائية بطريقة ذكية؛ لضمان الأمن للمواطن والمؤسسة الدولة على حد سواء، عبر سَنِّ القوانين والتعاون الدولي في هذا المجال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D7697C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هنا ظهرت المصنفات الرقمية، ولما كانت المصنفات تشكل الهُوِيَّة الوطنية، فالأمر يحتاج إلى وضع نصوص تشريعية واضحة؛ لتوفير الحماية القانونية لها، ومنع تعرضها للإهدار؛ بسبب الاحتفاظ بها في صورتها التقليدية، أو بسبب السطو عن طريق النسخ للمصنف الرقمي بدون إذن صاحبها وتداولها عبر الشبمة العنكبوتية، وهو أحد التحديات التي تواجه التطوُّر الرقمي الحاصل لأصاحب الحقوق على تلك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8"/>
      </w:r>
      <w:r>
        <w:rPr>
          <w:rStyle w:val="None"/>
          <w:rFonts w:ascii="Times New Roman" w:hAnsi="Times New Roman"/>
          <w:sz w:val="24"/>
          <w:szCs w:val="24"/>
          <w:vertAlign w:val="superscript"/>
          <w:rtl/>
          <w:lang w:val="ar-SA"/>
        </w:rPr>
        <w:t>)</w:t>
      </w:r>
    </w:p>
    <w:p w14:paraId="49A9A0F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المادة الأولى من نظام حماية حق المؤلف 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يقصد به جميع المصنفات الأدبية، أو الفنية، أو العلمية التي يفترض أنَّها ابتكرت في الأراضي السعودية، وانتقلت من جيل إلى جيل، وتشكل جزءًا من التراث الثقافي أو الفني التقليدي السعودي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فهذه المادة أكدت على أنَّ المصنفات الفكرية تشكل الهُوِيَّة الوطنية، التي أنشأت داخل البلد، وتوريثها من جيل إلى جيل؛ لأنَّها تعبر عن الهُوِيَّة الوطنية للدولة</w:t>
      </w:r>
      <w:r>
        <w:rPr>
          <w:rStyle w:val="None"/>
          <w:rFonts w:ascii="Times New Roman" w:hAnsi="Times New Roman"/>
          <w:sz w:val="24"/>
          <w:szCs w:val="24"/>
          <w:rtl/>
          <w:lang w:val="ar-SA"/>
        </w:rPr>
        <w:t>.</w:t>
      </w:r>
    </w:p>
    <w:p w14:paraId="0B91A86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تواجه حماية الملكية الفكرية في البيئة الرقمية تحدي دولي؛ وذلك بسبب الانتهاكات على هذه الحقوق في البيئة الرقمية، كما اختلفت التشريعات بين الدول من حيث نطاق الحماية، وعلى الرغم من وجود اتفاقيات دولية كاتفاقية برن وتريبس، فلا بُدَّ من تحديث هذه التشريعات والاتفاقيات؛ لمواكبة التطوُّر التكنولوجي وحماية الملكية الفكرية في عصر البيئة الرقمية</w:t>
      </w:r>
      <w:r>
        <w:rPr>
          <w:rStyle w:val="None"/>
          <w:rFonts w:ascii="Times New Roman" w:hAnsi="Times New Roman"/>
          <w:sz w:val="24"/>
          <w:szCs w:val="24"/>
          <w:rtl/>
          <w:lang w:val="ar-SA"/>
        </w:rPr>
        <w:t>.</w:t>
      </w:r>
    </w:p>
    <w:p w14:paraId="6DF674D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22ED853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D1C8DD6"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اختلاف التشريعات الوطنية</w:t>
      </w:r>
      <w:r>
        <w:rPr>
          <w:rStyle w:val="None"/>
          <w:rFonts w:ascii="Times New Roman" w:hAnsi="Times New Roman"/>
          <w:b/>
          <w:bCs/>
          <w:sz w:val="24"/>
          <w:szCs w:val="24"/>
          <w:rtl/>
          <w:lang w:val="ar-SA"/>
        </w:rPr>
        <w:t>:</w:t>
      </w:r>
    </w:p>
    <w:p w14:paraId="1B7A121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مسألة الحماية القانونية للمصنفات الرقمية من أبرز التحديات التي تواجهها التشريعات في الوقت الحاضر، والتي تتطلب تطويرًا وتحديثًا مستمرًا يواجب التطوُّر التقني، الذي تُعَدُّ هذه المصنفات نتاجًا له، فهذه المصنفات منها ما هو منشور على الدعامة الإلكترونية، ومنها ما هو موجود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51439B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التطوُّرات الرقمية تفرض ضرورة توحيد التشريعات الدولية؛ لتوفير إطار قانوني موحد يتناسب مع التحديات المتزايدة لحماية الجريمة الرقمية، فلا بُدَّ من توحيد التشريعات يُعَدُّ ضرورة حيوية في العديد من السياقات القانونية؛ لتعزيز العدالة وتوفير معايير واضحة للجميع، كما يضمن التوحيد، واستقامة، وتكامل النظام القانوني، بالإضافة إلى توحيد فاعلية القضاء والتنفيذ، عندما تكون التشريعات موحدةً ويصبح من السهل فهمها وتطبيقها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F81BD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اختلاف التشريعات الوطنية تحديًا مهمًّا في سبيل حماية حقوق الملكية الفكرية في البيئة الرقمية؛ لأنْ يوجِد العديد من الأنظمة القانونية تعتمد على القانون القديم للحماية، فلا بُدَّ من تحديث التشريعات لمواكبة التطوُّر التكنولوجي في عصر البيئة الرقمية؛ لحماية حقوق الأفراد على مؤلفاتهم ومصنفاتهم؛ حتى تكون رادعةً على منتهكي حقوق الملكية الفكرية</w:t>
      </w:r>
      <w:r>
        <w:rPr>
          <w:rStyle w:val="None"/>
          <w:rFonts w:ascii="Times New Roman" w:hAnsi="Times New Roman"/>
          <w:sz w:val="24"/>
          <w:szCs w:val="24"/>
          <w:rtl/>
          <w:lang w:val="ar-SA"/>
        </w:rPr>
        <w:t>.</w:t>
      </w:r>
    </w:p>
    <w:p w14:paraId="4051F86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ظل التحول الرقمي تواجه المؤسسات العامة تحدياتٍ معقدةً تتعلق بالتنظيم الدولي وإدارة العمليات العابرة للحدود، يُعَدُّ تضارب القوانين بين الدول من أبرز العقبات؛ حيث تختلف تشريعات بشكل كبير؛ ممَّا يجعل الامتثال لمتطلبات متعددة أمرًا صعبًا، فلا بُدَّ من التنظيم الدولي والعابر للحدود في التحول الرقمي يتطلب تعاون دولي، ومرونة في التعامل مع التطوُّرات التكنولوجية السريعة، وإيجاد توزان بين المصالح الوطنية والمصالح العالمية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B4533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الانتهاكات العابر للحدود لا تعترف بالحدود الجغرافية للدول ولا حتى للقارات؛ لأنَّه مع انتشار شبكة الاتصالات العالمية الإنترنت أمكن ربط أعداد هائلة من الحواسيب عبر العالم؛ بحيث يمكن أنْ يكون الجاني في بلد والمجني عليه في بلد آخر، فهذه الانتهاكات خلقت العديد من المشاكل حول تحديد الدولة صاحبة الاختصاص القضائي </w:t>
      </w:r>
      <w:r>
        <w:rPr>
          <w:rStyle w:val="None"/>
          <w:rFonts w:ascii="Arial Unicode MS" w:hAnsi="Arial Unicode MS" w:cs="Times New Roman" w:hint="cs"/>
          <w:sz w:val="24"/>
          <w:szCs w:val="24"/>
          <w:rtl/>
          <w:lang w:val="ar-SA"/>
        </w:rPr>
        <w:lastRenderedPageBreak/>
        <w:t xml:space="preserve">بهذه الجريمة، وكذلك القانون الواجب تطبيقه، بالإضافة إلى إشكاليات تتعلق بإجراءات الملاحقة القضائية، وغير ذلك من المشاكل التي تثيرها الجرائم العابرة للحدود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7E8B10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الانتهاكات الرقمية من الظواهر المستحدثة في العصر الرقمي، وتتميز بخصائص تجعل من عمليه إثباتها تحديًا كبيرًا ومن أبرزها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3"/>
      </w:r>
      <w:r>
        <w:rPr>
          <w:rStyle w:val="None"/>
          <w:rFonts w:ascii="Times New Roman" w:hAnsi="Times New Roman"/>
          <w:sz w:val="24"/>
          <w:szCs w:val="24"/>
          <w:vertAlign w:val="superscript"/>
          <w:rtl/>
          <w:lang w:val="ar-SA"/>
        </w:rPr>
        <w:t>)</w:t>
      </w:r>
    </w:p>
    <w:p w14:paraId="14DD44A6"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الطابع غير المادي</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تكون غير ملموسة؛ إذ ترتكب الجرائم الرقمية في بيئة افتراضية؛ ممَّا يعني غياب الأثر المادي</w:t>
      </w:r>
      <w:r>
        <w:rPr>
          <w:rStyle w:val="None"/>
          <w:rFonts w:ascii="Times New Roman" w:hAnsi="Times New Roman"/>
          <w:sz w:val="24"/>
          <w:szCs w:val="24"/>
          <w:rtl/>
          <w:lang w:val="ar-SA"/>
        </w:rPr>
        <w:t>.</w:t>
      </w:r>
    </w:p>
    <w:p w14:paraId="079F50A0"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الطابع العابر للحدود</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ما ترتكب الانتهاكات من خلال شبكة الإنترنت، التي لا تعترف بالحدود الجغرافية ما يصعب من إجراءات التتبع والتحقيق</w:t>
      </w:r>
      <w:r>
        <w:rPr>
          <w:rStyle w:val="None"/>
          <w:rFonts w:ascii="Times New Roman" w:hAnsi="Times New Roman"/>
          <w:sz w:val="24"/>
          <w:szCs w:val="24"/>
          <w:rtl/>
          <w:lang w:val="ar-SA"/>
        </w:rPr>
        <w:t>.</w:t>
      </w:r>
    </w:p>
    <w:p w14:paraId="05E4C612" w14:textId="77777777" w:rsidR="00454428" w:rsidRDefault="00C464EC">
      <w:pPr>
        <w:pStyle w:val="ListParagraph"/>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سهولة طمس الأدلة</w:t>
      </w:r>
      <w:r>
        <w:rPr>
          <w:rStyle w:val="None"/>
          <w:rFonts w:ascii="Times New Roman" w:hAnsi="Times New Roman"/>
          <w:b/>
          <w:bCs/>
          <w:sz w:val="24"/>
          <w:szCs w:val="24"/>
          <w:rtl/>
          <w:lang w:val="ar-SA"/>
        </w:rPr>
        <w:t>:</w:t>
      </w:r>
      <w:r>
        <w:rPr>
          <w:rStyle w:val="None"/>
          <w:rFonts w:cs="Times New Roman"/>
          <w:sz w:val="24"/>
          <w:szCs w:val="24"/>
          <w:rtl/>
          <w:lang w:val="ar-SA"/>
        </w:rPr>
        <w:t xml:space="preserve"> في كثير من الحالات يستطيع الشخص محو آثار الجريمة الرقمية خلال ثوان؛ ممَّا يتطلب سرعةً عاليةً في جمع الأدلة الرقمية، وإزاء تلك الخصائص بات من الضروري إعادة النظر في القواعد التقليدية للإثبات؛ بحيث تتماشى مع الطبيعة التقنية للجرائم الرقمية</w:t>
      </w:r>
      <w:r>
        <w:rPr>
          <w:rStyle w:val="None"/>
          <w:rFonts w:ascii="Times New Roman" w:hAnsi="Times New Roman"/>
          <w:sz w:val="24"/>
          <w:szCs w:val="24"/>
          <w:rtl/>
          <w:lang w:val="ar-SA"/>
        </w:rPr>
        <w:t xml:space="preserve">. </w:t>
      </w:r>
    </w:p>
    <w:p w14:paraId="348F600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طبيعة الانتهاكات العابرة للحدود في مجال الملكية الفكرية أدى إلى سهولة النسخ، وإعادة النشر دون إذن من صاحب الحق، وصار بالإمكان ارتكاب هذه الانتهاكات غير المشروعة في دولة معينة، بينما يتحقق هذا الفعل في دولة أخرى، فتعتبر هذه الانتهاكات عابرةً للحدود؛ لحدوثها في العديد من متخلف الدول</w:t>
      </w:r>
      <w:r>
        <w:rPr>
          <w:rStyle w:val="None"/>
          <w:rFonts w:ascii="Times New Roman" w:hAnsi="Times New Roman"/>
          <w:sz w:val="24"/>
          <w:szCs w:val="24"/>
          <w:rtl/>
          <w:lang w:val="ar-SA"/>
        </w:rPr>
        <w:t>.</w:t>
      </w:r>
    </w:p>
    <w:p w14:paraId="7B62DA6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الانتهاكات الرقمية حديثة في العصر الرقمي؛ لذلك يوجد تحدٍّ في إثبات هذه الانتهاكات؛ بسبب عدم وجود أثر مادي، كما يمكن أنْ ترتكب الجريمة في بلد أخرى غير البلد الأصل للمصنف، ومن الممكن إخفاء آثار الجريمة الرقمية في ثوانٍ، فهذا يجعلها صعبة الإثبات، ولكن يمكن أنْ تثبت في حالة إذا تم التعاون بين الدول، وتبادل المعلومات بينهم، وتتبع بيانات الجريمة من خلال الاتصالات بين الدول</w:t>
      </w:r>
      <w:r>
        <w:rPr>
          <w:rStyle w:val="None"/>
          <w:rFonts w:ascii="Times New Roman" w:hAnsi="Times New Roman"/>
          <w:sz w:val="24"/>
          <w:szCs w:val="24"/>
          <w:rtl/>
          <w:lang w:val="ar-SA"/>
        </w:rPr>
        <w:t xml:space="preserve">. </w:t>
      </w:r>
    </w:p>
    <w:p w14:paraId="1A62A686"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ضعف التعاون والتنسيق الدولي</w:t>
      </w:r>
      <w:r>
        <w:rPr>
          <w:rStyle w:val="None"/>
          <w:rFonts w:ascii="Times New Roman" w:hAnsi="Times New Roman"/>
          <w:b/>
          <w:bCs/>
          <w:sz w:val="24"/>
          <w:szCs w:val="24"/>
          <w:rtl/>
        </w:rPr>
        <w:t>:</w:t>
      </w:r>
    </w:p>
    <w:p w14:paraId="559B203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يتعين على التشريعات الدولية دعم آليات فاعلية للتعاون بين الدول في مجال مكافحة الجريمة الرقمية، مع تبادل معلومات وخبرات لتحقيق نتائج أفضل، وتشجيع التعاون الدولي يُعَدُّ أمرًا أساسيًا لتحقيق التقدم ومواجهة التحديات العالمية، ويسهم التعاون في تعزيز الفهم المتبادل بين الدول وتقوية العلاقات الدبلوماسية؛ ممَّا يقلل من فرص الصراعات، ويعزّز السلم والاستقرار، ومن خلال التعاون الدولي يمكن تحقيق تبادل المعرفة والخبرات؛ ممَّا يعزّز الابتكار والتقنيات الجديدة، يعتبر التعاون الدولي عاملًا أساسيًا لتحقيق التوازن والاستقرار العالمي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4"/>
      </w:r>
      <w:r>
        <w:rPr>
          <w:rStyle w:val="None"/>
          <w:rFonts w:ascii="Times New Roman" w:hAnsi="Times New Roman"/>
          <w:sz w:val="24"/>
          <w:szCs w:val="24"/>
          <w:vertAlign w:val="superscript"/>
          <w:rtl/>
          <w:lang w:val="ar-SA"/>
        </w:rPr>
        <w:t>)</w:t>
      </w:r>
    </w:p>
    <w:p w14:paraId="3B2EFCE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حيث يتعرض المؤلفون في البيئة الرقمية للكثير من التحديات؛ لتوفير الحماية لأعمالهم؛ بسبب سهولة الحصول على هذه المصنفات في البيئة الرقمية، ويسر استنساخها، وهو ما يستوجب ضرورة تسارع خطوات التعاون الدولي في مجال تنظيم تلك الحقوق في محيط البيئة الرقمية، والمحتوى الرقمي؛ لأنَّ الصعوبات العملية المرتبطة بالإنترنت وبالتقنيات الحديثة تحتاج إلى حلول من خلال الاتفاقيات والمعاهدات الدولية والتنسيق بين الدول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5"/>
      </w:r>
      <w:r>
        <w:rPr>
          <w:rStyle w:val="None"/>
          <w:rFonts w:ascii="Times New Roman" w:hAnsi="Times New Roman"/>
          <w:sz w:val="24"/>
          <w:szCs w:val="24"/>
          <w:vertAlign w:val="superscript"/>
          <w:rtl/>
          <w:lang w:val="ar-SA"/>
        </w:rPr>
        <w:t>)</w:t>
      </w:r>
    </w:p>
    <w:p w14:paraId="14A7E7A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فالتعاون الدولي يشكل قوةً كبيرةً في الحد من الانتهاكات سواء كانت داخل حدود الدول أخارجها، فالتعاون بين الدول يعمل على تبادل الخبرات والاستفادة من بعضهم البعض، ويعمل على تغذية المعلومات المتبادلة التي تساعد حماية الملكية الفكرية، ويشكل التعاون الدولي هنا دورًا مهمًا في المساعدة في الحد من الانتهاكات، ومساعدة الأجهزة في أداء أدوارها بشكل سريع يقوم على الدقة والمهارة</w:t>
      </w:r>
      <w:r>
        <w:rPr>
          <w:rStyle w:val="None"/>
          <w:rFonts w:ascii="Times New Roman" w:hAnsi="Times New Roman"/>
          <w:sz w:val="24"/>
          <w:szCs w:val="24"/>
          <w:rtl/>
          <w:lang w:val="ar-SA"/>
        </w:rPr>
        <w:t>.</w:t>
      </w:r>
    </w:p>
    <w:p w14:paraId="086DE58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فلا شك أنَّ التعاون الأمني أصبح شرطًا أساسيًّا ومطلبًا ضروريًّا لنجاح السياسة الجنائية في التصدي للجريمة المنظمة العابرة للحدود الوطنية، والتعاون الأمني يحقق غايات وأهداف لا يمكن الوصل إليها دون وجود هذا التعاون، هذا فضًلا عن أنَّ هذا التعاون له مجالاته المتعددة وميادينه المختلفة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6"/>
      </w:r>
      <w:r>
        <w:rPr>
          <w:rStyle w:val="None"/>
          <w:rFonts w:ascii="Times New Roman" w:hAnsi="Times New Roman"/>
          <w:sz w:val="24"/>
          <w:szCs w:val="24"/>
          <w:vertAlign w:val="superscript"/>
          <w:rtl/>
          <w:lang w:val="ar-SA"/>
        </w:rPr>
        <w:t>)</w:t>
      </w:r>
    </w:p>
    <w:p w14:paraId="7B0C38C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التعاون الدولي ضرورة ملحة لمكافحة الانتهاكات العابرة للحدود؛ حيث أثبت الواقع العلمي أنَّ أي دولة لا تستطيع بجهودها المنفردة القضاء على الانتهاكات الإلكترونية، خاصةً مع التطوُّر الملموس والمذهل في الاتصالات وتكنولوجيا المعلومات، فإنْ كان من الضروري أنْ تمتلك الدول الإمكانية التشريعية والقضائية والفنية لمكافحة هذه الانتهاكات الإلكترونية؛ فإنَّ الأهم من ذلك أنْ تكون تلك القوانين متوائمةً ومتجانسةً بين مختلف الدول؛ إذْ هي تحمي مصلحةً مشتركةً، والتعاون الدولي في هذا المجال قد يأخذ عدة أوجه،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يتعلق بضرورة التعاون في إنقاذ القانون لملاحقة ومعاقبة المنتهكين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7"/>
      </w:r>
      <w:r>
        <w:rPr>
          <w:rStyle w:val="None"/>
          <w:rFonts w:ascii="Times New Roman" w:hAnsi="Times New Roman"/>
          <w:sz w:val="24"/>
          <w:szCs w:val="24"/>
          <w:vertAlign w:val="superscript"/>
          <w:rtl/>
          <w:lang w:val="ar-SA"/>
        </w:rPr>
        <w:t>)</w:t>
      </w:r>
    </w:p>
    <w:p w14:paraId="1EEBDD8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التعاون الدولي هو عنصر مهم في تعزيز حماية الملكية الفكرية في البيئة الرقمية؛ وذلك بسبب سهولة نسخ المصنفات الرقمية، ونشرها، وتداولها مرة أخرى دون موافقة صاحب المصنف، ومن هنا لا بُدَّ التعاون والتنسيق بين الدول وتبادل المعلومات؛ لحماية المصنفات الرقمية، وحماية حقوق المؤلف المادية والأدبية</w:t>
      </w:r>
      <w:r>
        <w:rPr>
          <w:rStyle w:val="None"/>
          <w:rFonts w:ascii="Times New Roman" w:hAnsi="Times New Roman"/>
          <w:sz w:val="24"/>
          <w:szCs w:val="24"/>
          <w:rtl/>
          <w:lang w:val="ar-SA"/>
        </w:rPr>
        <w:t>.</w:t>
      </w:r>
    </w:p>
    <w:p w14:paraId="599D46D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يرى الباحث أنَّ اختلاف التشريعات الوطنية، وضعف التعاون والتنسيق الدولي يعتبر عقبةً دوليةً أمام الانتهاكات الدولية أو الوطنية على المصنفات الرقمية، فلا بُدَّ من للدول تحديث تشريعاتها الوطنية، وعقد مؤتمرات دولية؛ بسبب هذه الانتهاكات، وعقد اتفاقيات ثنائية بين الدول؛ لتبادل المعلومات والبيانات بينهم البعض؛ حتى تتم ملاحقة هذه الجرائم قبل طمس الأدلة المستخدمة في الجريمة، وتتبع مرتكبي هذه الجرائم عبر الحدود، ومن الممكن أنْ يتم توحيد تشريعات دولية، من خلال اتفاقية توضح فيها التعاون بين الدول</w:t>
      </w:r>
      <w:r>
        <w:rPr>
          <w:rStyle w:val="None"/>
          <w:rFonts w:ascii="Times New Roman" w:hAnsi="Times New Roman"/>
          <w:sz w:val="24"/>
          <w:szCs w:val="24"/>
          <w:rtl/>
          <w:lang w:val="ar-SA"/>
        </w:rPr>
        <w:t>.</w:t>
      </w:r>
    </w:p>
    <w:p w14:paraId="253FDAF9" w14:textId="77777777" w:rsidR="00454428" w:rsidRPr="00CC3E5F"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EE8E1EC" w14:textId="77777777" w:rsidR="008F2357" w:rsidRDefault="008F2357">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1DC03EED" w14:textId="75C9199F" w:rsidR="00454428" w:rsidRDefault="00C464EC" w:rsidP="00C72BA8">
      <w:pPr>
        <w:pStyle w:val="a"/>
        <w:rPr>
          <w:rStyle w:val="None"/>
          <w:rtl/>
          <w:lang w:val="ar-SA"/>
        </w:rPr>
      </w:pPr>
      <w:bookmarkStart w:id="213" w:name="_Toc227251122"/>
      <w:bookmarkStart w:id="214" w:name="_Toc232260679"/>
      <w:r>
        <w:rPr>
          <w:rStyle w:val="None"/>
          <w:rFonts w:ascii="Arial Unicode MS" w:eastAsia="Arial Unicode MS" w:hAnsi="Arial Unicode MS" w:hint="cs"/>
          <w:rtl/>
          <w:lang w:val="ar-SA"/>
        </w:rPr>
        <w:lastRenderedPageBreak/>
        <w:t>المبحث الثاني</w:t>
      </w:r>
      <w:bookmarkEnd w:id="213"/>
      <w:bookmarkEnd w:id="214"/>
    </w:p>
    <w:p w14:paraId="733AD3F9" w14:textId="77777777" w:rsidR="00454428" w:rsidRDefault="00C464EC" w:rsidP="00C72BA8">
      <w:pPr>
        <w:pStyle w:val="a"/>
        <w:rPr>
          <w:rStyle w:val="None"/>
          <w:rtl/>
          <w:lang w:val="ar-SA"/>
        </w:rPr>
      </w:pPr>
      <w:bookmarkStart w:id="215" w:name="_Toc227251123"/>
      <w:bookmarkStart w:id="216" w:name="_Toc232260680"/>
      <w:r>
        <w:rPr>
          <w:rStyle w:val="None"/>
          <w:rFonts w:ascii="Arial Unicode MS" w:eastAsia="Arial Unicode MS" w:hAnsi="Arial Unicode MS" w:hint="cs"/>
          <w:rtl/>
          <w:lang w:val="ar-SA"/>
        </w:rPr>
        <w:t>النظام القانونية للمصنف الرقمي</w:t>
      </w:r>
      <w:bookmarkEnd w:id="215"/>
      <w:bookmarkEnd w:id="216"/>
    </w:p>
    <w:p w14:paraId="32E2FB6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قوانين الملكية الفكرية تهدف إلى حماية أصحاب الابتكار من كافة الاعتداءات على مؤلفاتهم وأعمالهم، ولا يمنع ذلك شمول تلك القوانين لأشخاص آخرين جديرين بالحماية وخاصةً المستهلكين، أي أنَّ استخدام حقوق الملكية الفكرية لا يهدف إلى حماية أصحابها فقط، بل يشمل المتضررين من سوء استخدام تلك الحقوق والمتمثل في شخص 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8"/>
      </w:r>
      <w:r>
        <w:rPr>
          <w:rStyle w:val="None"/>
          <w:rFonts w:ascii="Times New Roman" w:hAnsi="Times New Roman"/>
          <w:sz w:val="24"/>
          <w:szCs w:val="24"/>
          <w:vertAlign w:val="superscript"/>
          <w:rtl/>
          <w:lang w:val="ar-SA"/>
        </w:rPr>
        <w:t>)</w:t>
      </w:r>
    </w:p>
    <w:p w14:paraId="48D399A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التشريعات القانونية هي الركيزة الرئيسية والمهمة في عملية حقوق المؤلفين، وتوفير الحماية لإبداعاتهم الفكرية من عمليات التخريب، والقرصنة، والاعتداءات، سواءً تعلق هذا بالمصنفات التقليدية، أو المصنفات التي فرضتها البيئة الجديدة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المصنفات الرقيمة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أو مصنفات البيئة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9"/>
      </w:r>
      <w:r>
        <w:rPr>
          <w:rStyle w:val="None"/>
          <w:rFonts w:ascii="Times New Roman" w:hAnsi="Times New Roman"/>
          <w:sz w:val="24"/>
          <w:szCs w:val="24"/>
          <w:vertAlign w:val="superscript"/>
          <w:rtl/>
          <w:lang w:val="ar-SA"/>
        </w:rPr>
        <w:t>)</w:t>
      </w:r>
    </w:p>
    <w:p w14:paraId="78BB53F7" w14:textId="77777777" w:rsidR="00454428" w:rsidRDefault="00C464EC"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القانونية في النظام السعودي</w:t>
      </w:r>
      <w:r>
        <w:rPr>
          <w:rStyle w:val="None"/>
          <w:rFonts w:ascii="Times New Roman" w:hAnsi="Times New Roman"/>
          <w:sz w:val="24"/>
          <w:szCs w:val="24"/>
          <w:rtl/>
          <w:lang w:val="ar-SA"/>
        </w:rPr>
        <w:t>.</w:t>
      </w:r>
    </w:p>
    <w:p w14:paraId="45912DEE" w14:textId="77777777" w:rsidR="00454428" w:rsidRDefault="00C464EC"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في التشريعين الفرنسي والأمريكي</w:t>
      </w:r>
      <w:r>
        <w:rPr>
          <w:rStyle w:val="None"/>
          <w:rFonts w:ascii="Times New Roman" w:hAnsi="Times New Roman"/>
          <w:sz w:val="24"/>
          <w:szCs w:val="24"/>
          <w:rtl/>
          <w:lang w:val="ar-SA"/>
        </w:rPr>
        <w:t>.</w:t>
      </w:r>
    </w:p>
    <w:p w14:paraId="6D9BDF65" w14:textId="77777777" w:rsidR="00454428" w:rsidRDefault="00C464EC" w:rsidP="00C72BA8">
      <w:pPr>
        <w:pStyle w:val="Body"/>
        <w:spacing w:before="120" w:after="120" w:line="360" w:lineRule="auto"/>
      </w:pPr>
      <w:r>
        <w:rPr>
          <w:rStyle w:val="None"/>
          <w:rFonts w:ascii="Arial Unicode MS" w:hAnsi="Arial Unicode MS"/>
          <w:sz w:val="24"/>
          <w:szCs w:val="24"/>
        </w:rPr>
        <w:br w:type="page"/>
      </w:r>
    </w:p>
    <w:p w14:paraId="0FD62107" w14:textId="77777777" w:rsidR="00454428" w:rsidRDefault="00C464EC" w:rsidP="00C72BA8">
      <w:pPr>
        <w:pStyle w:val="a"/>
        <w:rPr>
          <w:rStyle w:val="None"/>
          <w:rtl/>
          <w:lang w:val="ar-SA"/>
        </w:rPr>
      </w:pPr>
      <w:bookmarkStart w:id="217" w:name="_Toc227251124"/>
      <w:bookmarkStart w:id="218" w:name="_Toc232260681"/>
      <w:r>
        <w:rPr>
          <w:rStyle w:val="None"/>
          <w:rFonts w:ascii="Arial Unicode MS" w:eastAsia="Arial Unicode MS" w:hAnsi="Arial Unicode MS" w:hint="cs"/>
          <w:rtl/>
          <w:lang w:val="ar-SA"/>
        </w:rPr>
        <w:lastRenderedPageBreak/>
        <w:t>المطلب الأول</w:t>
      </w:r>
      <w:bookmarkEnd w:id="217"/>
      <w:bookmarkEnd w:id="218"/>
    </w:p>
    <w:p w14:paraId="24BDBC45" w14:textId="77777777" w:rsidR="00454428" w:rsidRDefault="00C464EC" w:rsidP="00C72BA8">
      <w:pPr>
        <w:pStyle w:val="a"/>
        <w:rPr>
          <w:rStyle w:val="None"/>
          <w:rtl/>
          <w:lang w:val="ar-SA"/>
        </w:rPr>
      </w:pPr>
      <w:bookmarkStart w:id="219" w:name="_Toc227251125"/>
      <w:bookmarkStart w:id="220" w:name="_Toc232260682"/>
      <w:r>
        <w:rPr>
          <w:rStyle w:val="None"/>
          <w:rFonts w:ascii="Arial Unicode MS" w:eastAsia="Arial Unicode MS" w:hAnsi="Arial Unicode MS" w:hint="cs"/>
          <w:rtl/>
          <w:lang w:val="ar-SA"/>
        </w:rPr>
        <w:t>نطاق الحماية القانونية في النظام السعودي</w:t>
      </w:r>
      <w:bookmarkEnd w:id="219"/>
      <w:bookmarkEnd w:id="220"/>
    </w:p>
    <w:p w14:paraId="1DEC7BC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التطوُّرات الإلكترونية العديدة جعلت العالم بأكمله مثل 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Style w:val="None"/>
          <w:rFonts w:ascii="Times New Roman" w:hAnsi="Times New Roman"/>
          <w:sz w:val="24"/>
          <w:szCs w:val="24"/>
          <w:rtl/>
          <w:lang w:val="ar-SA"/>
        </w:rPr>
        <w:t>.</w:t>
      </w:r>
    </w:p>
    <w:p w14:paraId="145583E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ففي ظل عدم وجود قانون لحفظ الحقوق فإنَّ الوطن أولًا يخسر أبناءه المبدعين، ويهاجرون منه ليس هجرة عمل وإنتاج، بل هجرة لجوء أبدي إلى وطن آخر؛ لأنَّ قانون حفظ الحقوق الفكرية ملازم دائمًا للمبدعين فلا يوجد المبدعون في بيئة لا تحترم حقوق عقول المتميزين فيها، ويشعروا بأنَّ إبداعاتهم ستسجل بأسماء آخرين غيرهم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0"/>
      </w:r>
      <w:r>
        <w:rPr>
          <w:rStyle w:val="None"/>
          <w:rFonts w:ascii="Times New Roman" w:hAnsi="Times New Roman"/>
          <w:sz w:val="24"/>
          <w:szCs w:val="24"/>
          <w:vertAlign w:val="superscript"/>
          <w:rtl/>
          <w:lang w:val="ar-SA"/>
        </w:rPr>
        <w:t>)</w:t>
      </w:r>
    </w:p>
    <w:p w14:paraId="2FB1B2A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إقرار حقوق المؤلف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1"/>
      </w:r>
      <w:r>
        <w:rPr>
          <w:rStyle w:val="None"/>
          <w:rFonts w:ascii="Times New Roman" w:hAnsi="Times New Roman"/>
          <w:sz w:val="24"/>
          <w:szCs w:val="24"/>
          <w:vertAlign w:val="superscript"/>
          <w:rtl/>
          <w:lang w:val="ar-SA"/>
        </w:rPr>
        <w:t>)</w:t>
      </w:r>
    </w:p>
    <w:p w14:paraId="4F20391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النظام القانوني في المملكة العربية السعودية أَوْلى اهتمامًا بالغًا بحماية حقوق المؤلف، فقد شملت نطاق الحماية القانونية في السعودية بجميع أنواع صور الملكية الفكرية، من حقوق المؤلف والحقوق المجاورة، والعلامات التجارية، وبراءات الاختراع، والتصاميم، كما اهتمت بحماية الملكية الفكرية الرقمية من خلال الأنظمة القانونية</w:t>
      </w:r>
      <w:r>
        <w:rPr>
          <w:rStyle w:val="None"/>
          <w:rFonts w:ascii="Times New Roman" w:hAnsi="Times New Roman"/>
          <w:sz w:val="24"/>
          <w:szCs w:val="24"/>
          <w:rtl/>
          <w:lang w:val="ar-SA"/>
        </w:rPr>
        <w:t>.</w:t>
      </w:r>
    </w:p>
    <w:p w14:paraId="223B0192"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حماية حقوق المؤلف</w:t>
      </w:r>
      <w:r>
        <w:rPr>
          <w:rStyle w:val="None"/>
          <w:rFonts w:ascii="Times New Roman" w:hAnsi="Times New Roman"/>
          <w:b/>
          <w:bCs/>
          <w:sz w:val="28"/>
          <w:szCs w:val="28"/>
          <w:rtl/>
          <w:lang w:val="ar-SA"/>
        </w:rPr>
        <w:t>:</w:t>
      </w:r>
    </w:p>
    <w:p w14:paraId="4CB80C3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لقد وضع المنظم السعودي نظامًا قانونيًا خاصًا لحقوق المؤلف 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2/7/1424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30/8/2033</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19/10/1439</w:t>
      </w:r>
      <w:r>
        <w:rPr>
          <w:rStyle w:val="None"/>
          <w:rFonts w:ascii="Arial Unicode MS" w:hAnsi="Arial Unicode MS" w:cs="Times New Roman" w:hint="cs"/>
          <w:sz w:val="24"/>
          <w:szCs w:val="24"/>
          <w:rtl/>
          <w:lang w:val="ar-SA"/>
        </w:rPr>
        <w:t>هـ، والذي حل محل النظام السابق الصادر بالمرسوم الملكي رقم م</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1410</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19/5/140</w:t>
      </w:r>
      <w:r>
        <w:rPr>
          <w:rStyle w:val="None"/>
          <w:rFonts w:ascii="Arial Unicode MS" w:hAnsi="Arial Unicode MS" w:cs="Times New Roman" w:hint="cs"/>
          <w:sz w:val="24"/>
          <w:szCs w:val="24"/>
          <w:rtl/>
          <w:lang w:val="ar-SA"/>
        </w:rPr>
        <w:t>هـ؛ لتحدد نطاق تلك الحقوق، وسبل حمايتها، كما يعترف النظام السعودي لمبدعي المصنفات الفكرية بنوعين من الحقوق الأدبية أو المعنوية والمالية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2"/>
      </w:r>
      <w:r>
        <w:rPr>
          <w:rStyle w:val="None"/>
          <w:rFonts w:ascii="Times New Roman" w:hAnsi="Times New Roman"/>
          <w:sz w:val="24"/>
          <w:szCs w:val="24"/>
          <w:vertAlign w:val="superscript"/>
          <w:rtl/>
          <w:lang w:val="ar-SA"/>
        </w:rPr>
        <w:t>)</w:t>
      </w:r>
    </w:p>
    <w:p w14:paraId="4BB8789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يشمل النظام حماية المصنفات المبتكرة في مجالات العلوم، والأدب، والفنون، بغض النظر عن نوعها أو طريقة التعبير عنها أو أهميتها أو الغرض من تأليفها، ومن أمثلة هذه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3"/>
      </w:r>
      <w:r>
        <w:rPr>
          <w:rStyle w:val="None"/>
          <w:rFonts w:ascii="Times New Roman" w:hAnsi="Times New Roman"/>
          <w:sz w:val="24"/>
          <w:szCs w:val="24"/>
          <w:vertAlign w:val="superscript"/>
          <w:rtl/>
          <w:lang w:val="ar-SA"/>
        </w:rPr>
        <w:t>)</w:t>
      </w:r>
    </w:p>
    <w:p w14:paraId="7EF6E296" w14:textId="77777777" w:rsidR="00454428" w:rsidRDefault="00C464EC">
      <w:pPr>
        <w:pStyle w:val="ListParagraph"/>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الكتب والكتيبات والمواد المكتوبة الأخرى</w:t>
      </w:r>
      <w:r>
        <w:rPr>
          <w:rStyle w:val="None"/>
          <w:rFonts w:ascii="Times New Roman" w:hAnsi="Times New Roman"/>
          <w:sz w:val="24"/>
          <w:szCs w:val="24"/>
          <w:rtl/>
          <w:lang w:val="ar-SA"/>
        </w:rPr>
        <w:t>.</w:t>
      </w:r>
    </w:p>
    <w:p w14:paraId="605F9B5D" w14:textId="77777777" w:rsidR="00454428" w:rsidRDefault="00C464EC">
      <w:pPr>
        <w:pStyle w:val="ListParagraph"/>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المحاضرات، والخطب، والمواعظ، والأشعار</w:t>
      </w:r>
      <w:r>
        <w:rPr>
          <w:rStyle w:val="None"/>
          <w:rFonts w:ascii="Times New Roman" w:hAnsi="Times New Roman"/>
          <w:sz w:val="24"/>
          <w:szCs w:val="24"/>
          <w:rtl/>
          <w:lang w:val="ar-SA"/>
        </w:rPr>
        <w:t>.</w:t>
      </w:r>
    </w:p>
    <w:p w14:paraId="4ED816D3" w14:textId="77777777" w:rsidR="00454428" w:rsidRDefault="00C464EC">
      <w:pPr>
        <w:pStyle w:val="ListParagraph"/>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المسرحية والتمثيلية</w:t>
      </w:r>
      <w:r>
        <w:rPr>
          <w:rStyle w:val="None"/>
          <w:rFonts w:ascii="Times New Roman" w:hAnsi="Times New Roman"/>
          <w:sz w:val="24"/>
          <w:szCs w:val="24"/>
          <w:rtl/>
          <w:lang w:val="ar-SA"/>
        </w:rPr>
        <w:t>.</w:t>
      </w:r>
    </w:p>
    <w:p w14:paraId="52F086E6" w14:textId="77777777" w:rsidR="00454428" w:rsidRDefault="00C464EC">
      <w:pPr>
        <w:pStyle w:val="ListParagraph"/>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الموسيقية</w:t>
      </w:r>
      <w:r>
        <w:rPr>
          <w:rStyle w:val="None"/>
          <w:rFonts w:ascii="Times New Roman" w:hAnsi="Times New Roman"/>
          <w:sz w:val="24"/>
          <w:szCs w:val="24"/>
          <w:rtl/>
          <w:lang w:val="ar-SA"/>
        </w:rPr>
        <w:t>.</w:t>
      </w:r>
    </w:p>
    <w:p w14:paraId="7074151F" w14:textId="77777777" w:rsidR="00454428" w:rsidRDefault="00C464EC">
      <w:pPr>
        <w:pStyle w:val="ListParagraph"/>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السينمائية والاذاعية</w:t>
      </w:r>
      <w:r>
        <w:rPr>
          <w:rStyle w:val="None"/>
          <w:rFonts w:ascii="Times New Roman" w:hAnsi="Times New Roman"/>
          <w:sz w:val="24"/>
          <w:szCs w:val="24"/>
          <w:rtl/>
          <w:lang w:val="ar-SA"/>
        </w:rPr>
        <w:t>.</w:t>
      </w:r>
    </w:p>
    <w:p w14:paraId="305B31DC" w14:textId="77777777" w:rsidR="00454428" w:rsidRDefault="00C464EC">
      <w:pPr>
        <w:pStyle w:val="ListParagraph"/>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الرسوم والصور الفوتوغرافية</w:t>
      </w:r>
      <w:r>
        <w:rPr>
          <w:rStyle w:val="None"/>
          <w:rFonts w:ascii="Times New Roman" w:hAnsi="Times New Roman"/>
          <w:sz w:val="24"/>
          <w:szCs w:val="24"/>
          <w:rtl/>
          <w:lang w:val="ar-SA"/>
        </w:rPr>
        <w:t>.</w:t>
      </w:r>
    </w:p>
    <w:p w14:paraId="35949878" w14:textId="77777777" w:rsidR="00454428" w:rsidRDefault="00C464EC">
      <w:pPr>
        <w:pStyle w:val="ListParagraph"/>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برمجيات الحاسب الآلي</w:t>
      </w:r>
      <w:r>
        <w:rPr>
          <w:rStyle w:val="None"/>
          <w:rFonts w:ascii="Times New Roman" w:hAnsi="Times New Roman"/>
          <w:sz w:val="24"/>
          <w:szCs w:val="24"/>
          <w:rtl/>
          <w:lang w:val="ar-SA"/>
        </w:rPr>
        <w:t>.</w:t>
      </w:r>
    </w:p>
    <w:p w14:paraId="20A9FB6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حدد نظام حماية حقوق المؤلف لحماية المصنفات الفكرية لا بُدَّ من التحقق من الشروط والضوابط التي نص عليها النظام، فالنظام يحمي المصنفات المبتكرة في الآداب، والفنون، والعلوم أيًا كان نوع هذه المصنفات، أو الغرض من تأليفها، وأهميتها، كما يحمي النظام مصنفات الترجمة، أو التعديل، أو الشرح، بالإضافة إلى المصنفات الفلكلورية للتراث الشعبي، ولا تخل الحماية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يتمتع بها أصحاب هذه المصنفات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التي يتمتع بها مؤلفو المصنفات الأصلية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4"/>
      </w:r>
      <w:r>
        <w:rPr>
          <w:rStyle w:val="None"/>
          <w:rFonts w:ascii="Times New Roman" w:hAnsi="Times New Roman"/>
          <w:sz w:val="24"/>
          <w:szCs w:val="24"/>
          <w:vertAlign w:val="superscript"/>
          <w:rtl/>
          <w:lang w:val="ar-SA"/>
        </w:rPr>
        <w:t>)</w:t>
      </w:r>
    </w:p>
    <w:p w14:paraId="341D6C2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 النظام على مدة حماية حقوق المؤلف؛ حيث تمتد الحماية للمصنفات الفردية إلى خمسين سنةً بعد وفاة المؤلف، وفي حالة المصنفات المشتركة من تاريخ وفاة آخر المؤلفين، أما المصنفات التي تصدر عن شخص اعتباري وتنشر باسم مجهول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مدة الحماية خمسين سنةً من تاريخ أول نشر، وتختلف مدة حماية للمصنفات السمعية والمرئية وبرمجيات الحاسب الآلي مدة خمسين سنةً، أمام المصنفات الفوتوغرافية وأعمال الفنون التطبيقية بعد خمس وعشرين سنةً من تاريخ النشر، كما تشمل الحماية حقوق مجاورة، مثل حقوق البث والإذاعة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5"/>
      </w:r>
      <w:r>
        <w:rPr>
          <w:rStyle w:val="None"/>
          <w:rFonts w:ascii="Times New Roman" w:hAnsi="Times New Roman"/>
          <w:sz w:val="24"/>
          <w:szCs w:val="24"/>
          <w:vertAlign w:val="superscript"/>
          <w:rtl/>
          <w:lang w:val="ar-SA"/>
        </w:rPr>
        <w:t>)</w:t>
      </w:r>
    </w:p>
    <w:p w14:paraId="67CB5C6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أتاح المنظم السعودي إمكانية اتخاذ التدابير الوقائية؛ لمنع وقوع الاعتداء أو التخفيف منه في حال وقوعه، أو وقفه، لإجبار المعتدي على الامتناع عن القيام بأعمال العدوان على الحقوق الأدبية والمالية لأصحاب حقوق التأليف، فهذه الوسائل هي معاملة قانونية نص عليها النظام؛ لمواجهة الخطورة التي وقعت أو ستقع جرَّاء المخالفة التي ارتكبت، وتكون بمجموعة من الإجراءات التي يمكن اتخاذها جميعًا أو بعضها لوقف الضرر أو إزالته، وقد يطلق على هذه التدابير بالاحترازية، وتعتبر هذه التدابير الوسيلة الثانية للسياسة الجنائية في مكافحة الجرائم، التي تقع في حالة الاعتداء على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6"/>
      </w:r>
      <w:r>
        <w:rPr>
          <w:rStyle w:val="None"/>
          <w:rFonts w:ascii="Times New Roman" w:hAnsi="Times New Roman"/>
          <w:sz w:val="24"/>
          <w:szCs w:val="24"/>
          <w:vertAlign w:val="superscript"/>
          <w:rtl/>
          <w:lang w:val="ar-SA"/>
        </w:rPr>
        <w:t>)</w:t>
      </w:r>
    </w:p>
    <w:p w14:paraId="7FA3B5E6"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براءات الاختراع والتصميمات التخطيطية للدارات المتكاملة والأصناف النباتية والنماذج الصناعية</w:t>
      </w:r>
      <w:r>
        <w:rPr>
          <w:rStyle w:val="None"/>
          <w:rFonts w:ascii="Times New Roman" w:hAnsi="Times New Roman"/>
          <w:b/>
          <w:bCs/>
          <w:sz w:val="28"/>
          <w:szCs w:val="28"/>
          <w:rtl/>
          <w:lang w:val="ar-SA"/>
        </w:rPr>
        <w:t>:</w:t>
      </w:r>
    </w:p>
    <w:p w14:paraId="46862F6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صدر نظام براءات الاختراع والتصميمات التخطيطية للدارات المتكاملة والأصناف النباتية والنماذج الصناعية المرسوم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24D4EC5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تولى نظام براءات الاختراع والتصميمات التخطيطية للدارات المتكاملة والأصناف النباتية والنماذج الصناعية السعودي تعريف كلًا من التصميم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الترتيب الثلاثي الأبعاد لعناصر دارة متكاملة على أنْ يكون أحد تلك العناصر على الأقل نشطًا ولجميع الوصلات أو بعضها، أو الترتيب الثلاثي الأبعاد المعد لدارة متكاملة بغرض التصنيع</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الدارة المتكاملة فتعرَّف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منتج يكون الغرض منه أداء وظيفة إلكترونية تشكل فيه العناصر يكون أحدها على الأقل نشطًا وجميع الوصلات، أو بعضها شكلًا متكاملًا في قطعة من المادة أو عليها، سواء في شكله النهائي أو الوسيط</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7AA2D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هذه التعريفات نجد أنَّ المنظم السعودي قد أوضح مفهوم التصميم التخطيطي للدارة المتكاملة من جهة تقنية، كما أشار إلى الوظيفة التي صممت الدارة المتكاملة من أجلها لتقرير موجبات الحماية ولم يوضحها بمعنى قانوني بحت باعتبار أنَّ التصميم التخطيطي للدارة المتكاملة أمرًا تقنيًا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8"/>
      </w:r>
      <w:r>
        <w:rPr>
          <w:rStyle w:val="None"/>
          <w:rFonts w:ascii="Times New Roman" w:hAnsi="Times New Roman"/>
          <w:sz w:val="24"/>
          <w:szCs w:val="24"/>
          <w:vertAlign w:val="superscript"/>
          <w:rtl/>
          <w:lang w:val="ar-SA"/>
        </w:rPr>
        <w:t>)</w:t>
      </w:r>
    </w:p>
    <w:p w14:paraId="56C6BE0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وضح النظام السعودي الأحكام في شأن التصميمات التخطيطية للدارات المتكاملة إلى الإدارة العامة لبراءات الاختراع بمدينة الملك عبد العزيز للعلوم والتقنية، وكما بينت اللائحة التنفيذية أنَّ لهذه الإدارة استقبال طلبات الحماية، ومتابعة إجراءاتها، وإعداد وثائق الحماية، واقترح إصدار وتعديل النماذج اللازمة للقيام بأعمالها، وإصدار قرارات منح وثائق الحماية، ونشر معلومات بشأنها، واستخدام تقنية المعلومات، والدخول إلى قواعد المعلومات المحلية والعالمية عند التعامل مع طلبات الحماية ووثائق الحماية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9"/>
      </w:r>
      <w:r>
        <w:rPr>
          <w:rStyle w:val="None"/>
          <w:rFonts w:ascii="Times New Roman" w:hAnsi="Times New Roman"/>
          <w:sz w:val="24"/>
          <w:szCs w:val="24"/>
          <w:vertAlign w:val="superscript"/>
          <w:rtl/>
          <w:lang w:val="ar-SA"/>
        </w:rPr>
        <w:t>)</w:t>
      </w:r>
    </w:p>
    <w:p w14:paraId="217589F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نظام براءات الاختراع والتصميمات الصادر بالمرسوم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أهم الأنظمة القانونية التي تنظم حماية الحقوق الصناعية في المملكة، كما يهدف النظام إلى حماية الابتكارات التقنية والاختراعات، ويشمل النظام حماية براءات الاختراع، والتصميمات التخطيطية للدارات المتكاملة، والأصناف النباتية، والنماذج الصناعية، كما تشرف الهيئة السعودية للملكية الفكرية هذه الحقوق</w:t>
      </w:r>
      <w:r>
        <w:rPr>
          <w:rStyle w:val="None"/>
          <w:rFonts w:ascii="Times New Roman" w:hAnsi="Times New Roman"/>
          <w:sz w:val="24"/>
          <w:szCs w:val="24"/>
          <w:rtl/>
          <w:lang w:val="ar-SA"/>
        </w:rPr>
        <w:t>.</w:t>
      </w:r>
    </w:p>
    <w:p w14:paraId="353A4D4D" w14:textId="77777777" w:rsidR="00454428" w:rsidRDefault="00C464EC" w:rsidP="008F2357">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حدد المشرع في النظام على شروطًا لمنح براءة التصميم التخطيط في المادة الرابعة، وهي</w:t>
      </w:r>
      <w:r>
        <w:rPr>
          <w:rStyle w:val="None"/>
          <w:rFonts w:ascii="Times New Roman" w:hAnsi="Times New Roman"/>
          <w:sz w:val="24"/>
          <w:szCs w:val="24"/>
          <w:rtl/>
          <w:lang w:val="ar-SA"/>
        </w:rPr>
        <w:t>:</w:t>
      </w:r>
    </w:p>
    <w:p w14:paraId="18B45FE3" w14:textId="77777777" w:rsidR="00454428" w:rsidRDefault="00C464EC">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لا تمنح وثيقة الحماية إذا كان استغلالها تجاريًّا مخالفًا للشريعة الإسلامية</w:t>
      </w:r>
      <w:r>
        <w:rPr>
          <w:rStyle w:val="None"/>
          <w:rFonts w:ascii="Times New Roman" w:hAnsi="Times New Roman"/>
          <w:sz w:val="24"/>
          <w:szCs w:val="24"/>
        </w:rPr>
        <w:t>.</w:t>
      </w:r>
    </w:p>
    <w:p w14:paraId="5ACF43EE" w14:textId="77777777" w:rsidR="00454428" w:rsidRDefault="00C464EC">
      <w:pPr>
        <w:pStyle w:val="ListParagraph"/>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لا تمنح وثيقة الحماية إذا كان استغلالها تجاريًّا مضرًّا بالحياة، أو بالصحة البشرية، أو الحيوانية، أو النباتية، أو مضرًّا إضرارًا كبيرًا بالبيئة</w:t>
      </w:r>
      <w:r>
        <w:rPr>
          <w:rStyle w:val="None"/>
          <w:rFonts w:ascii="Times New Roman" w:hAnsi="Times New Roman"/>
          <w:sz w:val="24"/>
          <w:szCs w:val="24"/>
          <w:rtl/>
          <w:lang w:val="ar-SA"/>
        </w:rPr>
        <w:t>.</w:t>
      </w:r>
    </w:p>
    <w:p w14:paraId="5C6DF1B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توضح هذه المادة شروط منح براءة التصميم، فإنَّها تضع قيودًا قانونيةً على منح وثيقة الحماية، إذا كان استغلال التصميم مخالفًا للشريعة الإسلامية، فهذا يعكس التزام النظام السعودي الالتزام بالشريعة، كما لا تمنح وثيقة الحماية إذا كان الاستغلال يضر بالصحة البشرية، أو الحيوانية، أو النباتية</w:t>
      </w:r>
      <w:r>
        <w:rPr>
          <w:rStyle w:val="None"/>
          <w:rFonts w:ascii="Times New Roman" w:hAnsi="Times New Roman"/>
          <w:sz w:val="24"/>
          <w:szCs w:val="24"/>
          <w:rtl/>
          <w:lang w:val="ar-SA"/>
        </w:rPr>
        <w:t>.</w:t>
      </w:r>
    </w:p>
    <w:p w14:paraId="00DE63F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النظام على شروط منح براءة التصميم كالتالي</w:t>
      </w:r>
      <w:r>
        <w:rPr>
          <w:rStyle w:val="None"/>
          <w:rFonts w:ascii="Times New Roman" w:hAnsi="Times New Roman"/>
          <w:sz w:val="24"/>
          <w:szCs w:val="24"/>
          <w:rtl/>
          <w:lang w:val="ar-SA"/>
        </w:rPr>
        <w:t>:</w:t>
      </w:r>
    </w:p>
    <w:p w14:paraId="6EAE42A3" w14:textId="77777777" w:rsidR="00454428" w:rsidRDefault="00C464EC">
      <w:pPr>
        <w:pStyle w:val="ListParagraph"/>
        <w:numPr>
          <w:ilvl w:val="0"/>
          <w:numId w:val="122"/>
        </w:numPr>
        <w:spacing w:before="120" w:after="120" w:line="360" w:lineRule="auto"/>
        <w:jc w:val="both"/>
        <w:rPr>
          <w:rFonts w:cs="Times New Roman" w:hint="default"/>
          <w:sz w:val="24"/>
          <w:szCs w:val="24"/>
          <w:rtl/>
          <w:lang w:val="ar-SA"/>
        </w:rPr>
      </w:pPr>
      <w:r>
        <w:rPr>
          <w:rStyle w:val="None"/>
          <w:rFonts w:cs="Times New Roman"/>
          <w:sz w:val="24"/>
          <w:szCs w:val="24"/>
          <w:rtl/>
          <w:lang w:val="ar-SA"/>
        </w:rPr>
        <w:t>مدة حماية براءة الاختراع عشرون سنةً من تاريخ إيداع الطلب</w:t>
      </w:r>
      <w:r>
        <w:rPr>
          <w:rStyle w:val="None"/>
          <w:rFonts w:ascii="Times New Roman" w:hAnsi="Times New Roman"/>
          <w:sz w:val="24"/>
          <w:szCs w:val="24"/>
        </w:rPr>
        <w:t>.</w:t>
      </w:r>
    </w:p>
    <w:p w14:paraId="2E3F58BC" w14:textId="77777777" w:rsidR="00454428" w:rsidRDefault="00C464EC">
      <w:pPr>
        <w:pStyle w:val="ListParagraph"/>
        <w:numPr>
          <w:ilvl w:val="0"/>
          <w:numId w:val="122"/>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مدة حماية شهادة التصميم عشر سنوات من تاريخ إيداع الطلب، أو عشر سنوات من تاريخ بدء استغلاله تجاريًّا في أي مكان في العالم، وفي كل الأحوال لا يجوز أنْ تتعدى مدة الحماية خمس عشرة سنةً من تاريخ التوصل إلى التصميم</w:t>
      </w:r>
      <w:r>
        <w:rPr>
          <w:rStyle w:val="None"/>
          <w:rFonts w:ascii="Times New Roman" w:hAnsi="Times New Roman"/>
          <w:sz w:val="24"/>
          <w:szCs w:val="24"/>
        </w:rPr>
        <w:t>.</w:t>
      </w:r>
    </w:p>
    <w:p w14:paraId="4F3BEA5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النظام قد وضع مدة الحماية القانونية للتصاميم، فهذا يعكس حرص المشرع السعودي على الابتكار؛ لذا قررت مدة حماية براءة الاختراع هي عشرون عامًا من تاريخ إيداع الطلب، أما شهادة التصميم التخطيطي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حمايتها مدة عشر سنوات من تاريخ إيداع الطلب، أو من بدء تاريخ استغلالها في أي مكان في العالم ولا تتجاوز مدته خمسة عشر عامًا</w:t>
      </w:r>
      <w:r>
        <w:rPr>
          <w:rStyle w:val="None"/>
          <w:rFonts w:ascii="Times New Roman" w:hAnsi="Times New Roman"/>
          <w:sz w:val="24"/>
          <w:szCs w:val="24"/>
          <w:rtl/>
          <w:lang w:val="ar-SA"/>
        </w:rPr>
        <w:t>.</w:t>
      </w:r>
    </w:p>
    <w:p w14:paraId="489A7887"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الأسماء التجارية</w:t>
      </w:r>
      <w:r>
        <w:rPr>
          <w:rStyle w:val="None"/>
          <w:rFonts w:ascii="Times New Roman" w:hAnsi="Times New Roman"/>
          <w:b/>
          <w:bCs/>
          <w:sz w:val="28"/>
          <w:szCs w:val="28"/>
          <w:rtl/>
          <w:lang w:val="ar-SA"/>
        </w:rPr>
        <w:t>:</w:t>
      </w:r>
    </w:p>
    <w:p w14:paraId="690EBA3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للأسماء التجارية أهمية قانونية واقتصادية من ناحية الآثار المترتبة على الدولة، وعلى الرغم من الدور الفعَّال الذي يلعبه الاسم التجاري إلا أنَّه يختلط عند البعض مفهوم الاسم التجاري والرموز الأخرى المشابه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كالعلامة التجارية، والعنوان التجاري، والاسم التجاري الوطني، وأسماء المواقع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لذلك فقد صدر نظام الأسماء التجارية بالمرسوم الملكي رقم م</w:t>
      </w:r>
      <w:r>
        <w:rPr>
          <w:rStyle w:val="None"/>
          <w:rFonts w:ascii="Times New Roman" w:hAnsi="Times New Roman"/>
          <w:sz w:val="24"/>
          <w:szCs w:val="24"/>
          <w:rtl/>
          <w:lang w:val="ar-SA"/>
        </w:rPr>
        <w:t xml:space="preserve">/83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19/3/1446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50AD4C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بُدَّ من توفير الحماية لحقوق الملكية الفكرية أصبح مقياسًا لتقدم الدول ونموها الاقتصادي، خاصةً حقوق الملكية الصناعية، ومنها الأسماء التجارية، والتي لها دور لا يقل أهمية عن العلامات التجارية في تمييز وتفضيل المنتجات أو المنشآت التجارية، وتُعَدُّ هذه الأسماء أحد وسائل المنافسة الفعَّالة؛ ممَّا أدى إلى تزايد الاعتداء عليها بما يؤثر على مصلحة المستهلك، فضلًا عما يلحق بصاحب الاسم من أضرار مادية ومعنوية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1"/>
      </w:r>
      <w:r>
        <w:rPr>
          <w:rStyle w:val="None"/>
          <w:rFonts w:ascii="Times New Roman" w:hAnsi="Times New Roman"/>
          <w:sz w:val="24"/>
          <w:szCs w:val="24"/>
          <w:vertAlign w:val="superscript"/>
          <w:rtl/>
          <w:lang w:val="ar-SA"/>
        </w:rPr>
        <w:t>)</w:t>
      </w:r>
    </w:p>
    <w:p w14:paraId="3B90C4D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ويعرَّف الاسم التجاري في المادة الأولى وهو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الاسم الذي يستعمله التاجر في مزاولة أعماله التجارية لتمييزه عن غيره من التجار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كما يهدف النظام إلى تعزيز الثقة في البيئة التجارية من خلال تنظيم إجراءات حجز الأسماء التجارية وقديها في السجل التجاري، وتعزيز قيمتها، وضمان حمايتها والحقوق المتصلة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2"/>
      </w:r>
      <w:r>
        <w:rPr>
          <w:rStyle w:val="None"/>
          <w:rFonts w:ascii="Times New Roman" w:hAnsi="Times New Roman"/>
          <w:sz w:val="24"/>
          <w:szCs w:val="24"/>
          <w:vertAlign w:val="superscript"/>
          <w:rtl/>
          <w:lang w:val="ar-SA"/>
        </w:rPr>
        <w:t>)</w:t>
      </w:r>
    </w:p>
    <w:p w14:paraId="3BDCF02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وضحت المادة الرابعة على شروط وإجراءات حجز وقيد الاسم التجاري من خلال تقديم طلب، ويتعين على الجهة البت في الطب خلال عشرة أيامٍ من تاريخ تقديمه، وفي حالة تعدد الطلبات لذات الاسم التجاري، تمنح الأولوية للطلب الأسبق، وإذا رفض الطلب يجب أنْ يكون الرفض مسببًا ويتم إبلاغ صاحب الطلب، بالإضافة إلى أنَّ له الحق في التظلم من سبب رفض الطلب أمام الوزارة خلال ستين يومًا من تاريخ إبلاغه برفض الطلب</w:t>
      </w:r>
      <w:r>
        <w:rPr>
          <w:rStyle w:val="None"/>
          <w:rFonts w:ascii="Times New Roman" w:hAnsi="Times New Roman"/>
          <w:sz w:val="24"/>
          <w:szCs w:val="24"/>
          <w:rtl/>
          <w:lang w:val="ar-SA"/>
        </w:rPr>
        <w:t>.</w:t>
      </w:r>
    </w:p>
    <w:p w14:paraId="25F700C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يحظر النظام السعودي استعمال الاسم التجاري المقيد في السجل التجاري من قبل الغير، ويحق لصاحب الاسم المطالبة بالتعويض في حالة استخدام اسمه التجاري من قبل الغير، كما يمنع حجز أو قيد الأسماء التجارية المخالفة </w:t>
      </w:r>
      <w:r>
        <w:rPr>
          <w:rStyle w:val="None"/>
          <w:rFonts w:ascii="Arial Unicode MS" w:hAnsi="Arial Unicode MS" w:cs="Times New Roman" w:hint="cs"/>
          <w:sz w:val="24"/>
          <w:szCs w:val="24"/>
          <w:rtl/>
          <w:lang w:val="ar-SA"/>
        </w:rPr>
        <w:lastRenderedPageBreak/>
        <w:t>للنظام العام أو الآداب العامة، كما تشمل المحظورات أيضًا الأسماء التي تتعلق بالسياسة، أو بالدين، أو العسكرية، بالإضافة إلى أنْ تلتزم الوزارة بإصدار قائمةٍ محدثةٍ بالأسماء الممنوع حجزها أو قيدها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3"/>
      </w:r>
      <w:r>
        <w:rPr>
          <w:rStyle w:val="None"/>
          <w:rFonts w:ascii="Times New Roman" w:hAnsi="Times New Roman"/>
          <w:sz w:val="24"/>
          <w:szCs w:val="24"/>
          <w:vertAlign w:val="superscript"/>
          <w:rtl/>
          <w:lang w:val="ar-SA"/>
        </w:rPr>
        <w:t>)</w:t>
      </w:r>
    </w:p>
    <w:p w14:paraId="0FE4E979" w14:textId="77777777" w:rsidR="00454428" w:rsidRDefault="00C464EC" w:rsidP="00795A23">
      <w:pPr>
        <w:pStyle w:val="Body"/>
        <w:spacing w:before="120" w:after="120" w:line="348"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مكافحة جرائم المعلوماتية</w:t>
      </w:r>
      <w:r>
        <w:rPr>
          <w:rStyle w:val="None"/>
          <w:rFonts w:ascii="Times New Roman" w:hAnsi="Times New Roman"/>
          <w:b/>
          <w:bCs/>
          <w:sz w:val="28"/>
          <w:szCs w:val="28"/>
          <w:rtl/>
          <w:lang w:val="ar-SA"/>
        </w:rPr>
        <w:t>:</w:t>
      </w:r>
    </w:p>
    <w:p w14:paraId="5BDD7603" w14:textId="77777777" w:rsidR="00454428"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يشهد العصر الرقمي في العالم المعاصر تطوُّراتٍ متلاحقةً وقد عمدت معظم دول العالم لرسم خطط وبرامج للتحول الرقمي، وقد شغلت التطوُّرات المتسارعة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قطاع تقنية المعلومات والاتصالات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حيزًا لا يستهان به في ذهن الأفراد وأداء المنظمات الحيوية، ونادت معظم الآراء في مجال التقنية الرقمية بضرورة تلبية مجموعة من المقومات؛ لتحسين جودة العمل وتعزيز التنافسية وتحقيق التنمية المستدامة، وأخذت هذه الجرائم المعلوماتية في التوسع والانتشار، وأدى ذلك إلى تزايد خطرها مع انتشارها بشكل كبير؛ حيث أصبحت المملكة العربية أمام تحدي تمثل في ظهور الجرائم المعلوماتية التي تستهدف الجميع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4"/>
      </w:r>
      <w:r>
        <w:rPr>
          <w:rStyle w:val="None"/>
          <w:rFonts w:ascii="Times New Roman" w:hAnsi="Times New Roman"/>
          <w:sz w:val="24"/>
          <w:szCs w:val="24"/>
          <w:vertAlign w:val="superscript"/>
          <w:rtl/>
          <w:lang w:val="ar-SA"/>
        </w:rPr>
        <w:t>)</w:t>
      </w:r>
    </w:p>
    <w:p w14:paraId="5A052DA0" w14:textId="77777777" w:rsidR="00454428"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العديد من الدول على تطوير نظام المكافحة التشريعية لديها بإدخال نصوص تشريعية عقابية وإجرائية تتوافق مع ظاهرة الإجرام المعلوماتي والتقني، ولم تكتفِ بذلك فحسب، بل قامت بسَنِّ تشريعات خاصة مستقلة تتعلق بهذا الشأن خاصة على الجانب السعودي والعربي، ففي المملكة العربية السعودية صدر المرسوم الملكي رقم م</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8/3/1428</w:t>
      </w:r>
      <w:r>
        <w:rPr>
          <w:rStyle w:val="None"/>
          <w:rFonts w:ascii="Arial Unicode MS" w:hAnsi="Arial Unicode MS" w:cs="Times New Roman" w:hint="cs"/>
          <w:sz w:val="24"/>
          <w:szCs w:val="24"/>
          <w:rtl/>
          <w:lang w:val="ar-SA"/>
        </w:rPr>
        <w:t>هـ بشأن نظام مكافحة جرائم المعلوماتية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5"/>
      </w:r>
      <w:r>
        <w:rPr>
          <w:rStyle w:val="None"/>
          <w:rFonts w:ascii="Times New Roman" w:hAnsi="Times New Roman"/>
          <w:sz w:val="24"/>
          <w:szCs w:val="24"/>
          <w:vertAlign w:val="superscript"/>
          <w:rtl/>
          <w:lang w:val="ar-SA"/>
        </w:rPr>
        <w:t>)</w:t>
      </w:r>
    </w:p>
    <w:p w14:paraId="13B4397B" w14:textId="77777777" w:rsidR="00454428"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نظام مكافحة الجرائم المعلوماتية السعودي يجرم عددًا من الأفعال التي ترتكب عن طريق استخدام غير مشروع من خلال التقنية الرقمية، ومن بين هذا الأفعال التصنُّت، أو اعتراض البيانات المرسلة عبر الشبكات، والدخول غير المشروع إلى المواقع الإلكترونية، أو الأجهزة؛ بهدف التعديل، أو الاتلاف، أو التهديد، أو الابتزاز، أو الحصول على معلومات حساسة تخص أمن الدولة واقتصادها</w:t>
      </w:r>
      <w:r>
        <w:rPr>
          <w:rStyle w:val="None"/>
          <w:rFonts w:ascii="Times New Roman" w:hAnsi="Times New Roman"/>
          <w:sz w:val="24"/>
          <w:szCs w:val="24"/>
          <w:rtl/>
          <w:lang w:val="ar-SA"/>
        </w:rPr>
        <w:t>.</w:t>
      </w:r>
    </w:p>
    <w:p w14:paraId="040DDBCF" w14:textId="77777777" w:rsidR="00454428"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يهدف النظام إلى حماية المجتمع من خلال تجريم التحريض، أو المساعدة، أو الاتفاق على ارتكاب الجرائم المعلوماتية، وشدد النظام العقوبات عند اقتران الجريمة بظروف مشددة،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ارتكابها عن طريق عصابات منظمة، أو استغلال الوظيفة العامة، أو استغلال القصر في أفعال غير مشروعة</w:t>
      </w:r>
      <w:r>
        <w:rPr>
          <w:rStyle w:val="None"/>
          <w:rFonts w:ascii="Times New Roman" w:hAnsi="Times New Roman"/>
          <w:sz w:val="24"/>
          <w:szCs w:val="24"/>
          <w:rtl/>
          <w:lang w:val="ar-SA"/>
        </w:rPr>
        <w:t>.</w:t>
      </w:r>
    </w:p>
    <w:p w14:paraId="22B6498D" w14:textId="77777777" w:rsidR="00454428"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وكان الهدف من هذا النظام الحد من ارتكاب الجرائم المتعلقة بالتقنية الرقيمة، كما جاء في المادة الثانية من هذا النظام على</w:t>
      </w:r>
      <w:r>
        <w:rPr>
          <w:rStyle w:val="None"/>
          <w:rFonts w:ascii="Times New Roman" w:hAnsi="Times New Roman"/>
          <w:sz w:val="24"/>
          <w:szCs w:val="24"/>
          <w:rtl/>
          <w:lang w:val="ar-SA"/>
        </w:rPr>
        <w:t xml:space="preserve">: </w:t>
      </w:r>
    </w:p>
    <w:p w14:paraId="46306649" w14:textId="77777777" w:rsidR="00454428" w:rsidRDefault="00C464EC" w:rsidP="00795A23">
      <w:pPr>
        <w:pStyle w:val="ListParagraph"/>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t>المساعدة على تحقيق الأمن المعلوماتي</w:t>
      </w:r>
      <w:r>
        <w:rPr>
          <w:rStyle w:val="None"/>
          <w:rFonts w:ascii="Times New Roman" w:hAnsi="Times New Roman"/>
          <w:sz w:val="24"/>
          <w:szCs w:val="24"/>
          <w:rtl/>
          <w:lang w:val="ar-SA"/>
        </w:rPr>
        <w:t>.</w:t>
      </w:r>
    </w:p>
    <w:p w14:paraId="49D0E3F9" w14:textId="77777777" w:rsidR="00454428" w:rsidRDefault="00C464EC" w:rsidP="00795A23">
      <w:pPr>
        <w:pStyle w:val="ListParagraph"/>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t>حفظ الحقوق المترتبة على الاستخدام المشروع للحاسبات الآلية والشبكات المعلوماتية</w:t>
      </w:r>
      <w:r>
        <w:rPr>
          <w:rStyle w:val="None"/>
          <w:rFonts w:ascii="Times New Roman" w:hAnsi="Times New Roman"/>
          <w:sz w:val="24"/>
          <w:szCs w:val="24"/>
          <w:rtl/>
          <w:lang w:val="ar-SA"/>
        </w:rPr>
        <w:t xml:space="preserve">. </w:t>
      </w:r>
    </w:p>
    <w:p w14:paraId="6DC69F0C" w14:textId="77777777" w:rsidR="00454428" w:rsidRDefault="00C464EC" w:rsidP="00795A23">
      <w:pPr>
        <w:pStyle w:val="ListParagraph"/>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t>حماية المصلحة العامة والأخلاق والآداب العامة</w:t>
      </w:r>
      <w:r>
        <w:rPr>
          <w:rStyle w:val="None"/>
          <w:rFonts w:ascii="Times New Roman" w:hAnsi="Times New Roman"/>
          <w:sz w:val="24"/>
          <w:szCs w:val="24"/>
          <w:rtl/>
          <w:lang w:val="ar-SA"/>
        </w:rPr>
        <w:t>.</w:t>
      </w:r>
    </w:p>
    <w:p w14:paraId="77D07628" w14:textId="77777777" w:rsidR="00454428" w:rsidRDefault="00C464EC" w:rsidP="00795A23">
      <w:pPr>
        <w:pStyle w:val="ListParagraph"/>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lastRenderedPageBreak/>
        <w:t>حماية الاقتصاد الوطني</w:t>
      </w:r>
      <w:r>
        <w:rPr>
          <w:rStyle w:val="None"/>
          <w:rFonts w:ascii="Times New Roman" w:hAnsi="Times New Roman"/>
          <w:sz w:val="24"/>
          <w:szCs w:val="24"/>
          <w:rtl/>
          <w:lang w:val="ar-SA"/>
        </w:rPr>
        <w:t>.</w:t>
      </w:r>
    </w:p>
    <w:p w14:paraId="1351E4D4"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العلامات التجارية</w:t>
      </w:r>
      <w:r>
        <w:rPr>
          <w:rStyle w:val="None"/>
          <w:rFonts w:ascii="Times New Roman" w:hAnsi="Times New Roman"/>
          <w:b/>
          <w:bCs/>
          <w:sz w:val="28"/>
          <w:szCs w:val="28"/>
          <w:rtl/>
          <w:lang w:val="ar-SA"/>
        </w:rPr>
        <w:t>:</w:t>
      </w:r>
    </w:p>
    <w:p w14:paraId="47C45C1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العلامة التجارية من المكونات الأساسية للمنتج، وهي تُعَدُّ وسيلةً لضمان المنتج والزبون، فهي تمنع اختلاط منتجات تحمل علامةً معينةً بمنتجات مماثلة تحمل علامة أخرى، لهذا فقد اعتمدها المنتجون للتعريف بمنتجاتهم والسعي إلى الاتقان في الصنع للحفاظ على العملاء، واستمرار جودة المنتجات، وصمودها أمام المنافسين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6"/>
      </w:r>
      <w:r>
        <w:rPr>
          <w:rStyle w:val="None"/>
          <w:rFonts w:ascii="Times New Roman" w:hAnsi="Times New Roman"/>
          <w:sz w:val="24"/>
          <w:szCs w:val="24"/>
          <w:vertAlign w:val="superscript"/>
          <w:rtl/>
          <w:lang w:val="ar-SA"/>
        </w:rPr>
        <w:t>)</w:t>
      </w:r>
    </w:p>
    <w:p w14:paraId="530D348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المملكة العربية السعودية على صدور نظام يخص العلامات التجارية الصادر بالمرسوم الملكي رقم م</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وقد عرفت العلامة التجارية في المادة الأولى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علامةً تجاريةً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 xml:space="preserve">. </w:t>
      </w:r>
    </w:p>
    <w:p w14:paraId="3CA5AB1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فأهمية العلامة التجارية في تمييز الصانع أو التاجر عن المنتجات المشابهة لها لصناع أو تجار آخرين؛ حيث أصبحت العلامة التجارية وسيلةً دعائيةً؛ لزيادة الطلب على سلعة معينة، فيعتبر تزايد استهلاك تلك السلعة دليلًا على زيادة شُهرة العلامة التجارية؛ ممَّا يرتب عليه اعتبار العلامة التجارية حقًا لصاحبها ذات قيمة مالية طائلة في بعض الأحيان، وغَنِيٌّ عن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هذا الحق يحتاج إلى حماية في مواجهة التقليد، والتزوير، وشتى صور الاعتداء التي تقع على العلامة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A0543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حدد في إجراءات تسجيل العلامات التجارية وشهرها، وتجديد العلامات التجارية وشطبها، وكيفية نقل ملكية العلامات التجارية والحجز عليها، وشروط ترخيص العلامات التجارية، وشروط والرسوم للحصول على العلامات التجارية، بالإضافة إلى الجرائم والعقوبات التي تقع على العلامات التجارية من قبل الغير</w:t>
      </w:r>
      <w:r>
        <w:rPr>
          <w:rStyle w:val="None"/>
          <w:rFonts w:ascii="Times New Roman" w:hAnsi="Times New Roman"/>
          <w:sz w:val="24"/>
          <w:szCs w:val="24"/>
          <w:rtl/>
          <w:lang w:val="ar-SA"/>
        </w:rPr>
        <w:t>.</w:t>
      </w:r>
    </w:p>
    <w:p w14:paraId="33CC705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العلاقة بين العلامة التجارية والملكية الفكرية هي علاقة مرتبطة ببعضهم البعض؛ لأنَّ العلامة التجارية هي إبداع في تصميم علامة تجارية لمنتج معين فتعتبر ملكية فكرية خاصة بالمنتج، ولا يجوز تقليد هذه العلامة لأي منتج آخر، مع التطوُّر التكنولوجي أصبحت العلامة التجارية والملكية الفكرية متداولة في البيئة الرقمية، فمن الممكن تصميم علامة معينة لموقع خاص بشركة، كما يمكن تداول علامة تجارية لمنتج في البيئة الرقمية، من الممكن أنْ تتعرض هذه العلامة للانتهاكات عبر البيئة الرقمية وتقليد العلامة، وتداولها على الإنترنت، في الحالة يمكن المساءلة القانونية لمنتهك هذه العلامة التجارية؛ لأنَّها ناتجة من إبداع فكري وهو صاحب العلامة</w:t>
      </w:r>
      <w:r>
        <w:rPr>
          <w:rStyle w:val="None"/>
          <w:rFonts w:ascii="Times New Roman" w:hAnsi="Times New Roman"/>
          <w:sz w:val="24"/>
          <w:szCs w:val="24"/>
          <w:rtl/>
          <w:lang w:val="ar-SA"/>
        </w:rPr>
        <w:t>.</w:t>
      </w:r>
    </w:p>
    <w:p w14:paraId="527700AD" w14:textId="77777777" w:rsidR="00454428" w:rsidRDefault="00454428" w:rsidP="00CC3E5F">
      <w:pPr>
        <w:pStyle w:val="Body"/>
        <w:spacing w:before="120" w:after="120" w:line="360" w:lineRule="auto"/>
        <w:jc w:val="both"/>
        <w:rPr>
          <w:rStyle w:val="None"/>
          <w:rFonts w:ascii="Times New Roman" w:eastAsia="Times New Roman" w:hAnsi="Times New Roman" w:cs="Times New Roman"/>
          <w:sz w:val="24"/>
          <w:szCs w:val="24"/>
          <w:rtl/>
        </w:rPr>
      </w:pPr>
    </w:p>
    <w:p w14:paraId="35888BBA" w14:textId="77777777" w:rsidR="00795A23" w:rsidRPr="00CC3E5F" w:rsidRDefault="00795A23" w:rsidP="00CC3E5F">
      <w:pPr>
        <w:pStyle w:val="Body"/>
        <w:spacing w:before="120" w:after="120" w:line="360" w:lineRule="auto"/>
        <w:jc w:val="both"/>
        <w:rPr>
          <w:rStyle w:val="None"/>
          <w:rFonts w:ascii="Times New Roman" w:eastAsia="Times New Roman" w:hAnsi="Times New Roman" w:cs="Times New Roman"/>
          <w:sz w:val="24"/>
          <w:szCs w:val="24"/>
        </w:rPr>
      </w:pPr>
    </w:p>
    <w:p w14:paraId="3A61D5BF"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سادسًا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الهيئة السعودية للملكية الفكرية</w:t>
      </w:r>
      <w:r>
        <w:rPr>
          <w:rStyle w:val="None"/>
          <w:rFonts w:ascii="Times New Roman" w:hAnsi="Times New Roman"/>
          <w:b/>
          <w:bCs/>
          <w:sz w:val="28"/>
          <w:szCs w:val="28"/>
          <w:rtl/>
          <w:lang w:val="ar-SA"/>
        </w:rPr>
        <w:t>:</w:t>
      </w:r>
    </w:p>
    <w:p w14:paraId="5651E59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اهتمت المملكة العربية السعودية مجال حقوق الملكية الفكرية فقد صدر قرار من مجلس الوزراء عام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هـ على إنشاء هذه الهيئة، والتي تقوم على مبادئ معينة تهدف إلى حماية المصنفات الفكرية، فهي هيئة تعزّز الإنتاج الوطني المحلي؛ بحيث تحفز الإنسان على الابتكار والإبداع، وتعطيه الدافع إلى أنْ يبتكر منتجًا معينًا من الممكن أنْ يكون متداولًا في الأسواق، ويكون موضعًا للاستثمار، أو أنْ يكون منتجًا علميًا يطرح في المكتبات العلمية، وعلى ذلك فإنَّ الهيئة السعودية للملكية الفكرية تعمل على حماية هذه الإبداعات الوطنية، وتعطيها حقها القانوني بالحماية؛ حتى يثق الكاتب والمخترع والمبتكر بأنَّ الأنظمة السعودية قادرة على حماية حصيلة هذا التعب والجهد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8"/>
      </w:r>
      <w:r>
        <w:rPr>
          <w:rStyle w:val="None"/>
          <w:rFonts w:ascii="Times New Roman" w:hAnsi="Times New Roman"/>
          <w:sz w:val="24"/>
          <w:szCs w:val="24"/>
          <w:vertAlign w:val="superscript"/>
          <w:rtl/>
          <w:lang w:val="ar-SA"/>
        </w:rPr>
        <w:t>)</w:t>
      </w:r>
    </w:p>
    <w:p w14:paraId="1EE2A11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تهدف الهيئة إلى تنظيم مجالات الملكية الفكرية في المملكة، ودعمها، وتنميتها، ورعايتها، وحمايتها، وإنفاذها، والارتقاء بها وفق أفضل الممارسات العالمية، ولها في سبيل تحقيق أهدافها مهمات واختصاصات من أبرزها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9"/>
      </w:r>
      <w:r>
        <w:rPr>
          <w:rStyle w:val="None"/>
          <w:rFonts w:ascii="Times New Roman" w:hAnsi="Times New Roman"/>
          <w:sz w:val="24"/>
          <w:szCs w:val="24"/>
          <w:vertAlign w:val="superscript"/>
          <w:rtl/>
          <w:lang w:val="ar-SA"/>
        </w:rPr>
        <w:t>)</w:t>
      </w:r>
    </w:p>
    <w:p w14:paraId="774A95CA"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إعداد الاستراتيجية الوطنية للملكية الفكرية</w:t>
      </w:r>
      <w:r>
        <w:rPr>
          <w:rStyle w:val="None"/>
          <w:rFonts w:ascii="Times New Roman" w:hAnsi="Times New Roman"/>
          <w:sz w:val="24"/>
          <w:szCs w:val="24"/>
          <w:rtl/>
          <w:lang w:val="ar-SA"/>
        </w:rPr>
        <w:t>.</w:t>
      </w:r>
    </w:p>
    <w:p w14:paraId="03616D8F"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التوعية بأهمية الملكية الفكرية وحماية حقوقها</w:t>
      </w:r>
      <w:r>
        <w:rPr>
          <w:rStyle w:val="None"/>
          <w:rFonts w:ascii="Times New Roman" w:hAnsi="Times New Roman"/>
          <w:sz w:val="24"/>
          <w:szCs w:val="24"/>
          <w:rtl/>
          <w:lang w:val="ar-SA"/>
        </w:rPr>
        <w:t>.</w:t>
      </w:r>
    </w:p>
    <w:p w14:paraId="4BB4AE23"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إبداء الرأي بشأن الاتفاقيات الدولية المتعلقة بحقوق الملكية الفكرية</w:t>
      </w:r>
      <w:r>
        <w:rPr>
          <w:rStyle w:val="None"/>
          <w:rFonts w:ascii="Times New Roman" w:hAnsi="Times New Roman"/>
          <w:sz w:val="24"/>
          <w:szCs w:val="24"/>
          <w:rtl/>
          <w:lang w:val="ar-SA"/>
        </w:rPr>
        <w:t>.</w:t>
      </w:r>
    </w:p>
    <w:p w14:paraId="6D894E7A"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اقتراح الأنظمة واللوائح المتعلقة بحقوق الملكية الفكرية</w:t>
      </w:r>
      <w:r>
        <w:rPr>
          <w:rStyle w:val="None"/>
          <w:rFonts w:ascii="Times New Roman" w:hAnsi="Times New Roman"/>
          <w:sz w:val="24"/>
          <w:szCs w:val="24"/>
          <w:rtl/>
          <w:lang w:val="ar-SA"/>
        </w:rPr>
        <w:t>.</w:t>
      </w:r>
    </w:p>
    <w:p w14:paraId="47948F63"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الاستفادة من الملكية الفكرية؛ لبناء اقتصاد متقدم قائم على المعرفة</w:t>
      </w:r>
      <w:r>
        <w:rPr>
          <w:rStyle w:val="None"/>
          <w:rFonts w:ascii="Times New Roman" w:hAnsi="Times New Roman"/>
          <w:sz w:val="24"/>
          <w:szCs w:val="24"/>
          <w:rtl/>
          <w:lang w:val="ar-SA"/>
        </w:rPr>
        <w:t>.</w:t>
      </w:r>
    </w:p>
    <w:p w14:paraId="294DA68D"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sz w:val="24"/>
          <w:szCs w:val="24"/>
          <w:rtl/>
          <w:lang w:val="ar-SA"/>
        </w:rPr>
        <w:t>.</w:t>
      </w:r>
    </w:p>
    <w:p w14:paraId="22FB440B"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تسجيل حقوق الملكية الفكرية ومنحها وثائق الحماية وإنفاذها</w:t>
      </w:r>
      <w:r>
        <w:rPr>
          <w:rStyle w:val="None"/>
          <w:rFonts w:ascii="Times New Roman" w:hAnsi="Times New Roman"/>
          <w:sz w:val="24"/>
          <w:szCs w:val="24"/>
          <w:rtl/>
          <w:lang w:val="ar-SA"/>
        </w:rPr>
        <w:t>.</w:t>
      </w:r>
    </w:p>
    <w:p w14:paraId="1C6E2527" w14:textId="77777777" w:rsidR="00454428" w:rsidRDefault="00C464EC">
      <w:pPr>
        <w:pStyle w:val="ListParagraph"/>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متابعة تنفيذ الالتزامات المترتبة على انضمام المملكة إلى الاتفاقيات الدولية المتعلقة بالمملكة الفكرية</w:t>
      </w:r>
      <w:r>
        <w:rPr>
          <w:rStyle w:val="None"/>
          <w:rFonts w:ascii="Times New Roman" w:hAnsi="Times New Roman"/>
          <w:sz w:val="24"/>
          <w:szCs w:val="24"/>
          <w:rtl/>
          <w:lang w:val="ar-SA"/>
        </w:rPr>
        <w:t>.</w:t>
      </w:r>
    </w:p>
    <w:p w14:paraId="489403C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جاء في المادة الرابعة من التنظيم بخصوص تشكيل الهيئة على النحو الآتي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رئيس يعين بأمر من رئيس مجلس الوزراء بِناءً على اقتراح من مجلس الشؤون الاقتصادية والتنمية، والرئيس التنفيذي عضوًا، وأعضاء من عدد لا يقل عن خمسة من ممثلي الجهات الحكومية والقطاع الخاص أو من أي منها، ويرشح رئيس مجلس الشؤون الاقتصادية والتنمية بِناءً على اقتراح من رئيس مجلس إدارة الهيئة الأعضاء الخمسة المشار إليهم، ويصدر بتعيينهم أمر من رئيس مجلس الوزراء وتكون عضويتهم في المجلس لمدة ثلاث سنوات قابلة للتجديد مرة واحدة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0"/>
      </w:r>
      <w:r>
        <w:rPr>
          <w:rStyle w:val="None"/>
          <w:rFonts w:ascii="Times New Roman" w:hAnsi="Times New Roman"/>
          <w:sz w:val="24"/>
          <w:szCs w:val="24"/>
          <w:vertAlign w:val="superscript"/>
          <w:rtl/>
          <w:lang w:val="ar-SA"/>
        </w:rPr>
        <w:t>)</w:t>
      </w:r>
    </w:p>
    <w:p w14:paraId="71612B5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نص المادة الرابعة من تنظيم الهيئة يحدد آلية تشكيل مجلس إدارتها، فهو يشمل ممثلين من الجهات الحكومية والقطاع الخاص، بالإضافة إلى أنَّه يتم تعيين رئيس بأمر من رئيس مجلس الوزراء والرئيس التنفيذي كعضو، فهذا التنوع بين الجهات الحكومية والقطاع الخاص يهدف إلى تنوع في الخبرات والاستفادة من الخبرات العملية، كما يهدف إلى اتخاذ القرارات المشتركة بينهم؛ لخدمة المجتمع</w:t>
      </w:r>
      <w:r>
        <w:rPr>
          <w:rStyle w:val="None"/>
          <w:rFonts w:ascii="Times New Roman" w:hAnsi="Times New Roman"/>
          <w:sz w:val="24"/>
          <w:szCs w:val="24"/>
          <w:rtl/>
          <w:lang w:val="ar-SA"/>
        </w:rPr>
        <w:t>.</w:t>
      </w:r>
    </w:p>
    <w:p w14:paraId="37C8070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نظام حماية الملكية الفكرية في المملكة العربية السعودية يتسم بإطار قانوني شامل ومتكامل، من خلال الأنظمة القانونية التي تم شرحها، ويهدف النظام إلى حماية حقوق المؤلفين، والمخترعين، والمبدعين في مختلف مجالات، وتوضح هذه الأنظمة مدى التزام المملكة بتعزيز بيئة الابتكار،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نظام حماية حقوق المؤلف، ونظام براءات الاختراع، ونظام العلامات التجارية، بالإضافة إلى الهيئة السعودية للملكية الفكرية التي تقوم بدور محوري في تنفيذ هذه الأنظمة؛ لكي تحافظ على حقوق أصحاب المصنفات وتحفيز الاستثمار</w:t>
      </w:r>
      <w:r>
        <w:rPr>
          <w:rStyle w:val="None"/>
          <w:rFonts w:ascii="Times New Roman" w:hAnsi="Times New Roman"/>
          <w:sz w:val="24"/>
          <w:szCs w:val="24"/>
          <w:rtl/>
          <w:lang w:val="ar-SA"/>
        </w:rPr>
        <w:t>.</w:t>
      </w:r>
    </w:p>
    <w:p w14:paraId="0FC2D617"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409BE076"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36FED9DF"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69F9130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137D76DC"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5422CFF4" w14:textId="77777777" w:rsidR="008F2357" w:rsidRDefault="008F2357">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F45A053" w14:textId="072FE9A3" w:rsidR="00454428" w:rsidRDefault="00C464EC" w:rsidP="00C72BA8">
      <w:pPr>
        <w:pStyle w:val="a"/>
        <w:rPr>
          <w:rtl/>
          <w:lang w:val="ar-SA"/>
        </w:rPr>
      </w:pPr>
      <w:bookmarkStart w:id="221" w:name="_Toc227251126"/>
      <w:bookmarkStart w:id="222" w:name="_Toc232260683"/>
      <w:r>
        <w:rPr>
          <w:rStyle w:val="None"/>
          <w:rFonts w:ascii="Arial Unicode MS" w:eastAsia="Arial Unicode MS" w:hAnsi="Arial Unicode MS" w:hint="cs"/>
          <w:rtl/>
          <w:lang w:val="ar-SA"/>
        </w:rPr>
        <w:lastRenderedPageBreak/>
        <w:t>المطلب الثاني</w:t>
      </w:r>
      <w:bookmarkEnd w:id="221"/>
      <w:bookmarkEnd w:id="222"/>
    </w:p>
    <w:p w14:paraId="3D247827" w14:textId="77777777" w:rsidR="00454428" w:rsidRDefault="00C464EC" w:rsidP="00C72BA8">
      <w:pPr>
        <w:pStyle w:val="a"/>
        <w:rPr>
          <w:rStyle w:val="None"/>
          <w:rtl/>
          <w:lang w:val="ar-SA"/>
        </w:rPr>
      </w:pPr>
      <w:bookmarkStart w:id="223" w:name="_Toc227251127"/>
      <w:bookmarkStart w:id="224" w:name="_Toc232260684"/>
      <w:r>
        <w:rPr>
          <w:rStyle w:val="None"/>
          <w:rFonts w:ascii="Arial Unicode MS" w:eastAsia="Arial Unicode MS" w:hAnsi="Arial Unicode MS" w:hint="cs"/>
          <w:rtl/>
          <w:lang w:val="ar-SA"/>
        </w:rPr>
        <w:t>نطاق حماية الملكية الفكرية في التشريعيْنِ الفَرنسي والأمريكي</w:t>
      </w:r>
      <w:bookmarkEnd w:id="223"/>
      <w:bookmarkEnd w:id="224"/>
    </w:p>
    <w:p w14:paraId="3B224E8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تُوفر حقوق الملكية الفكرية حمايةً للمنظمات والأفراد لتطوير واستغلال الفرص التجارية المتعلقة بأصولهم غير الملموسة؛ حيث تمنح براءات الاختراع الحق في منع الآخرين من صنع الاختراع، أو استخدامه، أو عرضه للبيع في جميع أنحاء الولايات المتحدة أو استيراده إليها؛ ممَّا يُتيح لصاحب براءة الاختراع فرصةَ جني ثمار أكبر من الابتكار الأساسي، أما براءات التصميم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فتتمثل في التصميم الزخرفي لقطعة التصنيع؛ ممَّا يسمح للشركات بتمييز منتجاتها بشكل أكبر عن منتجات منافسيها وتحسين فرص نجاحها التجاري، كما تُحفّز حقوق الطبع والنشر إنتاج الأعمال الأدبية والفنية الأخرى، من خلال منح المؤلفين الحق الحصري في تسويق هذه الأعمال وتوزيعها، وتُعزّز العلامات التجارية قيمة الابتكارات، سواءً المحمية ببراءات اختراع أو غير المحمية ببراءات 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2A78A4" w14:textId="77777777" w:rsidR="00454428" w:rsidRDefault="00C464EC" w:rsidP="00C72BA8">
      <w:pPr>
        <w:pStyle w:val="Body"/>
        <w:spacing w:before="120" w:after="120" w:line="360" w:lineRule="auto"/>
        <w:ind w:firstLine="36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 xml:space="preserve">وتتضمن حماية الملكية الفكرية في الولايات المتحدة تسجيل العلامة التجارية أو براءة الاختراع أو حقوق الطبع والنشر؛ للحصول على أقصى قدر من الحقوق المتاحة لأصول العميل، وفي حالة العلامة التجارية أو براءة الاختراع، تتضمن العملية إعداد وتقديم طلب إلى مكتب الولايات المتحدة لبراءات الاختراع والعلامات التجارية، والرد على الإجراءات التي يتخذها المكتب حتى يتم تسجيل العلامة التجارية أو إصدار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62F3E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فقبل الطفرة التكنولوجية وظهور المواد الرقمية والبيئة الافتراضية اقتصرت النظرة إلى حقوق الملكية الفكرية على براءات الاختراعات، وحقوق التأليف للأعمال الأدبية، وحقوق الملكية الفكرية للأعمال الفنية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اللوحات وغيرها من الأعمال، وقد كانت تلك النظرة طبيعيةً في ظل طبيعة العصور السابقة، وهذا ما يظهره تطوُّر القوانين المنظمة لحقوق الملكية الفكرية</w:t>
      </w:r>
      <w:r>
        <w:rPr>
          <w:rStyle w:val="None"/>
          <w:rFonts w:ascii="Times New Roman" w:hAnsi="Times New Roman"/>
          <w:sz w:val="24"/>
          <w:szCs w:val="24"/>
          <w:rtl/>
          <w:lang w:val="ar-SA"/>
        </w:rPr>
        <w:t>.</w:t>
      </w:r>
    </w:p>
    <w:p w14:paraId="253309C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أدرجت الولايات المتحدة الملكية الفكرية في دستورها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في المادة الأولى القسم الثامن، الذي خوّل الكونجرس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ويؤكد التركيز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الفنون المفيدة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على القصد التجاري للتشريع والأساس النفعي الكامن وراءه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0C027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حيث إنَّه في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قرر المؤتمر الدستوري وضع قانون اتحادي موحد لحقوق التأليف، والنشر، وبراءات الاختراع، وكانت النتيجة هي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الدستور، التي منحت الكونغرس سلطةَ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وقد تحايل هذا البند بعناية على مشاكل حقوق التأليف والنشر الخاصة ببائعي القرطاسية بموجب قوانين الترخيص، وقوانين حقوق التأليف والنشر للولايات، من خلال تمكين الهيئة التشريعية الوطنية من منح حق الملكية للمؤلفين وليس الناشرين، ولفترة محددة بدلًا من أنْ تكون دائمة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4"/>
      </w:r>
      <w:r>
        <w:rPr>
          <w:rStyle w:val="None"/>
          <w:rFonts w:ascii="Times New Roman" w:hAnsi="Times New Roman"/>
          <w:sz w:val="24"/>
          <w:szCs w:val="24"/>
          <w:vertAlign w:val="superscript"/>
          <w:rtl/>
          <w:lang w:val="ar-SA"/>
        </w:rPr>
        <w:t>)</w:t>
      </w:r>
    </w:p>
    <w:p w14:paraId="11C79F3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وقبل سنّ دستور الولايات المتحدة عام </w:t>
      </w:r>
      <w:r>
        <w:rPr>
          <w:rStyle w:val="None"/>
          <w:rFonts w:ascii="Times New Roman" w:hAnsi="Times New Roman"/>
          <w:sz w:val="24"/>
          <w:szCs w:val="24"/>
          <w:rtl/>
          <w:lang w:val="ar-SA"/>
        </w:rPr>
        <w:t>1787</w:t>
      </w:r>
      <w:r>
        <w:rPr>
          <w:rStyle w:val="None"/>
          <w:rFonts w:ascii="Arial Unicode MS" w:hAnsi="Arial Unicode MS" w:cs="Times New Roman" w:hint="cs"/>
          <w:sz w:val="24"/>
          <w:szCs w:val="24"/>
          <w:rtl/>
          <w:lang w:val="ar-SA"/>
        </w:rPr>
        <w:t>، كان لكل من المستعمرات الثلاث عشرة الأصلية قانونها الخاص ببراءات الاختراع، وقد أدى هذا بطبيعة الحال إلى تراجع حاد في قيمة حقوق الطبع، والنشر، وبراءات الاختراع، ولحل هذه المشكلة وتسهيل التجارة بين الولايات بشكل كبير، رأى واضعو الدستور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قانون الملكية الفكرية يجب أنْ يكون من اختصاص الحكومة الفيدرالية، وليس حكومات الولايات؛ لذلك منح واضعو الدستور الكونجرس صلاحية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34EBB6" w14:textId="77777777" w:rsidR="00454428" w:rsidRDefault="00C464EC" w:rsidP="00C72BA8">
      <w:pPr>
        <w:pStyle w:val="Body"/>
        <w:spacing w:before="120" w:after="120" w:line="360" w:lineRule="auto"/>
        <w:ind w:firstLine="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عرض تطوُّر حقوق الملكية الفكرية في الولايات المتحدة عبر النقاط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56"/>
      </w:r>
      <w:r>
        <w:rPr>
          <w:rStyle w:val="None"/>
          <w:rFonts w:ascii="Times New Roman" w:hAnsi="Times New Roman"/>
          <w:sz w:val="24"/>
          <w:szCs w:val="24"/>
          <w:vertAlign w:val="superscript"/>
          <w:rtl/>
          <w:lang w:val="ar-SA"/>
        </w:rPr>
        <w:t>)</w:t>
      </w:r>
    </w:p>
    <w:p w14:paraId="334364F5"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1787:</w:t>
      </w:r>
      <w:r>
        <w:rPr>
          <w:rStyle w:val="None"/>
          <w:rFonts w:cs="Times New Roman"/>
          <w:sz w:val="24"/>
          <w:szCs w:val="24"/>
          <w:rtl/>
          <w:lang w:val="ar-SA"/>
        </w:rPr>
        <w:t xml:space="preserve"> وضع دستور الولايات المتحدة الأساس لمنح حقوق براءات الاختراع للمخترعين في المادة الأولى، القسم </w:t>
      </w:r>
      <w:r>
        <w:rPr>
          <w:rStyle w:val="None"/>
          <w:rFonts w:ascii="Times New Roman" w:hAnsi="Times New Roman"/>
          <w:sz w:val="24"/>
          <w:szCs w:val="24"/>
          <w:rtl/>
          <w:lang w:val="ar-SA"/>
        </w:rPr>
        <w:t>8</w:t>
      </w:r>
      <w:r>
        <w:rPr>
          <w:rStyle w:val="None"/>
          <w:rFonts w:cs="Times New Roman"/>
          <w:sz w:val="24"/>
          <w:szCs w:val="24"/>
          <w:rtl/>
          <w:lang w:val="ar-SA"/>
        </w:rPr>
        <w:t xml:space="preserve">، البند </w:t>
      </w:r>
      <w:r>
        <w:rPr>
          <w:rStyle w:val="None"/>
          <w:rFonts w:ascii="Times New Roman" w:hAnsi="Times New Roman"/>
          <w:sz w:val="24"/>
          <w:szCs w:val="24"/>
          <w:rtl/>
          <w:lang w:val="ar-SA"/>
        </w:rPr>
        <w:t>8.</w:t>
      </w:r>
    </w:p>
    <w:p w14:paraId="3B84DB8D"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1790:</w:t>
      </w:r>
      <w:r>
        <w:rPr>
          <w:rStyle w:val="None"/>
          <w:rFonts w:cs="Times New Roman"/>
          <w:sz w:val="24"/>
          <w:szCs w:val="24"/>
          <w:rtl/>
          <w:lang w:val="ar-SA"/>
        </w:rPr>
        <w:t xml:space="preserve"> بعد عام من التصديق على الدستور، صدر أول قانون لبراءات الاختراع في أمريكا، في </w:t>
      </w:r>
      <w:r>
        <w:rPr>
          <w:rStyle w:val="None"/>
          <w:rFonts w:ascii="Times New Roman" w:hAnsi="Times New Roman"/>
          <w:sz w:val="24"/>
          <w:szCs w:val="24"/>
          <w:rtl/>
          <w:lang w:val="ar-SA"/>
        </w:rPr>
        <w:t xml:space="preserve">10 </w:t>
      </w:r>
      <w:r>
        <w:rPr>
          <w:rStyle w:val="None"/>
          <w:rFonts w:cs="Times New Roman"/>
          <w:sz w:val="24"/>
          <w:szCs w:val="24"/>
          <w:rtl/>
          <w:lang w:val="ar-SA"/>
        </w:rPr>
        <w:t xml:space="preserve">أبريل </w:t>
      </w:r>
      <w:r>
        <w:rPr>
          <w:rStyle w:val="None"/>
          <w:rFonts w:ascii="Times New Roman" w:hAnsi="Times New Roman"/>
          <w:sz w:val="24"/>
          <w:szCs w:val="24"/>
          <w:rtl/>
          <w:lang w:val="ar-SA"/>
        </w:rPr>
        <w:t>1790.</w:t>
      </w:r>
    </w:p>
    <w:p w14:paraId="72E7942D"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في </w:t>
      </w:r>
      <w:r>
        <w:rPr>
          <w:rStyle w:val="None"/>
          <w:rFonts w:ascii="Times New Roman" w:hAnsi="Times New Roman"/>
          <w:b/>
          <w:bCs/>
          <w:sz w:val="24"/>
          <w:szCs w:val="24"/>
          <w:rtl/>
          <w:lang w:val="ar-SA"/>
        </w:rPr>
        <w:t xml:space="preserve">31 </w:t>
      </w:r>
      <w:r>
        <w:rPr>
          <w:rStyle w:val="None"/>
          <w:rFonts w:cs="Times New Roman"/>
          <w:b/>
          <w:bCs/>
          <w:sz w:val="24"/>
          <w:szCs w:val="24"/>
          <w:rtl/>
          <w:lang w:val="ar-SA"/>
        </w:rPr>
        <w:t xml:space="preserve">يوليو </w:t>
      </w:r>
      <w:r>
        <w:rPr>
          <w:rStyle w:val="None"/>
          <w:rFonts w:ascii="Times New Roman" w:hAnsi="Times New Roman"/>
          <w:b/>
          <w:bCs/>
          <w:sz w:val="24"/>
          <w:szCs w:val="24"/>
          <w:rtl/>
          <w:lang w:val="ar-SA"/>
        </w:rPr>
        <w:t>1790:</w:t>
      </w:r>
      <w:r>
        <w:rPr>
          <w:rStyle w:val="None"/>
          <w:rFonts w:cs="Times New Roman"/>
          <w:sz w:val="24"/>
          <w:szCs w:val="24"/>
          <w:rtl/>
          <w:lang w:val="ar-SA"/>
        </w:rPr>
        <w:t xml:space="preserve"> مُنحت أول براءة اختراع أمريكية لصموئيل هوبكنز لتحسين </w:t>
      </w:r>
      <w:r>
        <w:rPr>
          <w:rStyle w:val="None"/>
          <w:rFonts w:ascii="Times New Roman" w:hAnsi="Times New Roman"/>
          <w:sz w:val="24"/>
          <w:szCs w:val="24"/>
          <w:rtl/>
          <w:lang w:val="ar-SA"/>
        </w:rPr>
        <w:t>"</w:t>
      </w:r>
      <w:r>
        <w:rPr>
          <w:rStyle w:val="None"/>
          <w:rFonts w:cs="Times New Roman"/>
          <w:sz w:val="24"/>
          <w:szCs w:val="24"/>
          <w:rtl/>
          <w:lang w:val="ar-SA"/>
        </w:rPr>
        <w:t>صناعة رماد البوتاس ورماد اللؤلؤ باستخدام جهاز وعملية جديدين</w:t>
      </w:r>
      <w:r>
        <w:rPr>
          <w:rStyle w:val="None"/>
          <w:rFonts w:ascii="Times New Roman" w:hAnsi="Times New Roman"/>
          <w:sz w:val="24"/>
          <w:szCs w:val="24"/>
          <w:rtl/>
          <w:lang w:val="ar-SA"/>
        </w:rPr>
        <w:t>".</w:t>
      </w:r>
    </w:p>
    <w:p w14:paraId="392C6807"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منح قانون حقوق الطبع والنشر لعام </w:t>
      </w:r>
      <w:r>
        <w:rPr>
          <w:rStyle w:val="None"/>
          <w:rFonts w:ascii="Times New Roman" w:hAnsi="Times New Roman"/>
          <w:sz w:val="24"/>
          <w:szCs w:val="24"/>
          <w:rtl/>
          <w:lang w:val="ar-SA"/>
        </w:rPr>
        <w:t xml:space="preserve">1790 </w:t>
      </w:r>
      <w:r>
        <w:rPr>
          <w:rStyle w:val="None"/>
          <w:rFonts w:cs="Times New Roman"/>
          <w:sz w:val="24"/>
          <w:szCs w:val="24"/>
          <w:rtl/>
          <w:lang w:val="ar-SA"/>
        </w:rPr>
        <w:t xml:space="preserve">المؤلفين الأمريكيين الحق في طباعة، أو إعادة طباعة، أو نشر أعمالهم لمدة </w:t>
      </w:r>
      <w:r>
        <w:rPr>
          <w:rStyle w:val="None"/>
          <w:rFonts w:ascii="Times New Roman" w:hAnsi="Times New Roman"/>
          <w:sz w:val="24"/>
          <w:szCs w:val="24"/>
          <w:rtl/>
          <w:lang w:val="ar-SA"/>
        </w:rPr>
        <w:t xml:space="preserve">14 </w:t>
      </w:r>
      <w:r>
        <w:rPr>
          <w:rStyle w:val="None"/>
          <w:rFonts w:cs="Times New Roman"/>
          <w:sz w:val="24"/>
          <w:szCs w:val="24"/>
          <w:rtl/>
          <w:lang w:val="ar-SA"/>
        </w:rPr>
        <w:t>عامًا قابلةً للتجديد لمدة أربعة عشر عامًا أخرى</w:t>
      </w:r>
      <w:r>
        <w:rPr>
          <w:rStyle w:val="None"/>
          <w:rFonts w:ascii="Times New Roman" w:hAnsi="Times New Roman"/>
          <w:sz w:val="24"/>
          <w:szCs w:val="24"/>
          <w:rtl/>
          <w:lang w:val="ar-SA"/>
        </w:rPr>
        <w:t>.</w:t>
      </w:r>
    </w:p>
    <w:p w14:paraId="779F9ABF"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أُنشئ مكتب براءات الاختراع والعلامات التجارية الأمريكي لأول مرة عام </w:t>
      </w:r>
      <w:r>
        <w:rPr>
          <w:rStyle w:val="None"/>
          <w:rFonts w:ascii="Times New Roman" w:hAnsi="Times New Roman"/>
          <w:sz w:val="24"/>
          <w:szCs w:val="24"/>
          <w:rtl/>
          <w:lang w:val="ar-SA"/>
        </w:rPr>
        <w:t>1836</w:t>
      </w:r>
      <w:r>
        <w:rPr>
          <w:rStyle w:val="None"/>
          <w:rFonts w:cs="Times New Roman"/>
          <w:sz w:val="24"/>
          <w:szCs w:val="24"/>
          <w:rtl/>
          <w:lang w:val="ar-SA"/>
        </w:rPr>
        <w:t>، ثم سُمي مكتب براءات الاختراع الأمريكي</w:t>
      </w:r>
      <w:r>
        <w:rPr>
          <w:rStyle w:val="None"/>
          <w:rFonts w:ascii="Times New Roman" w:hAnsi="Times New Roman"/>
          <w:sz w:val="24"/>
          <w:szCs w:val="24"/>
          <w:rtl/>
          <w:lang w:val="ar-SA"/>
        </w:rPr>
        <w:t>.</w:t>
      </w:r>
    </w:p>
    <w:p w14:paraId="41009928"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 xml:space="preserve">وفي عام </w:t>
      </w:r>
      <w:r>
        <w:rPr>
          <w:rStyle w:val="None"/>
          <w:rFonts w:ascii="Times New Roman" w:hAnsi="Times New Roman"/>
          <w:b/>
          <w:bCs/>
          <w:sz w:val="24"/>
          <w:szCs w:val="24"/>
          <w:rtl/>
          <w:lang w:val="ar-SA"/>
        </w:rPr>
        <w:t>1881:</w:t>
      </w:r>
      <w:r>
        <w:rPr>
          <w:rStyle w:val="None"/>
          <w:rFonts w:cs="Times New Roman"/>
          <w:sz w:val="24"/>
          <w:szCs w:val="24"/>
          <w:rtl/>
          <w:lang w:val="ar-SA"/>
        </w:rPr>
        <w:t xml:space="preserve"> تم إقرار تشريع العلامات التجارية استنادًا إلى بند التجارة في الدستور؛ حيث وُضعت أحكام لتسجيل العلامات التجارية لاستخدامها في التجارة مع الدول الأجنبية ومع القبائل الهندية</w:t>
      </w:r>
      <w:r>
        <w:rPr>
          <w:rStyle w:val="None"/>
          <w:rFonts w:ascii="Times New Roman" w:hAnsi="Times New Roman"/>
          <w:sz w:val="24"/>
          <w:szCs w:val="24"/>
          <w:rtl/>
          <w:lang w:val="ar-SA"/>
        </w:rPr>
        <w:t>.</w:t>
      </w:r>
    </w:p>
    <w:p w14:paraId="4F007277"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1883 </w:t>
      </w:r>
      <w:r>
        <w:rPr>
          <w:rStyle w:val="None"/>
          <w:rFonts w:cs="Times New Roman"/>
          <w:sz w:val="24"/>
          <w:szCs w:val="24"/>
          <w:rtl/>
          <w:lang w:val="ar-SA"/>
        </w:rPr>
        <w:t>تم التوصل إلى أول اتفاقية دولية بشأن العلامات التجارية في اتفاقية باريس؛ لحماية الملكية الصناعية، واتفقت الدول المشاركة في هذه الاتفاقية على توفير نفس الحماية للعلامات التجارية التي توفرها لمواطنيها</w:t>
      </w:r>
      <w:r>
        <w:rPr>
          <w:rStyle w:val="None"/>
          <w:rFonts w:ascii="Times New Roman" w:hAnsi="Times New Roman"/>
          <w:sz w:val="24"/>
          <w:szCs w:val="24"/>
          <w:rtl/>
          <w:lang w:val="ar-SA"/>
        </w:rPr>
        <w:t>.</w:t>
      </w:r>
    </w:p>
    <w:p w14:paraId="5F341E63"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أصبحت الولايات المتحدة طرفًا في اتفاقية برن عام </w:t>
      </w:r>
      <w:r>
        <w:rPr>
          <w:rStyle w:val="None"/>
          <w:rFonts w:ascii="Times New Roman" w:hAnsi="Times New Roman"/>
          <w:sz w:val="24"/>
          <w:szCs w:val="24"/>
          <w:rtl/>
          <w:lang w:val="ar-SA"/>
        </w:rPr>
        <w:t>1886</w:t>
      </w:r>
      <w:r>
        <w:rPr>
          <w:rStyle w:val="None"/>
          <w:rFonts w:cs="Times New Roman"/>
          <w:sz w:val="24"/>
          <w:szCs w:val="24"/>
          <w:rtl/>
          <w:lang w:val="ar-SA"/>
        </w:rPr>
        <w:t>، وقد نصت الاتفاقية على الاعتراف الدولي بحقوق الطبع والنشر</w:t>
      </w:r>
      <w:r>
        <w:rPr>
          <w:rStyle w:val="None"/>
          <w:rFonts w:ascii="Times New Roman" w:hAnsi="Times New Roman"/>
          <w:sz w:val="24"/>
          <w:szCs w:val="24"/>
          <w:rtl/>
          <w:lang w:val="ar-SA"/>
        </w:rPr>
        <w:t>.</w:t>
      </w:r>
    </w:p>
    <w:p w14:paraId="6D7EB007"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1887 </w:t>
      </w:r>
      <w:r>
        <w:rPr>
          <w:rStyle w:val="None"/>
          <w:rFonts w:cs="Times New Roman"/>
          <w:sz w:val="24"/>
          <w:szCs w:val="24"/>
          <w:rtl/>
          <w:lang w:val="ar-SA"/>
        </w:rPr>
        <w:t>تم تسجيل علامة كوكاكولا التجارية</w:t>
      </w:r>
      <w:r>
        <w:rPr>
          <w:rStyle w:val="None"/>
          <w:rFonts w:ascii="Times New Roman" w:hAnsi="Times New Roman"/>
          <w:sz w:val="24"/>
          <w:szCs w:val="24"/>
          <w:rtl/>
          <w:lang w:val="ar-SA"/>
        </w:rPr>
        <w:t>.</w:t>
      </w:r>
    </w:p>
    <w:p w14:paraId="3033E43F" w14:textId="77777777" w:rsidR="00454428" w:rsidRDefault="00C464EC">
      <w:pPr>
        <w:pStyle w:val="ListParagraph"/>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1895 </w:t>
      </w:r>
      <w:r>
        <w:rPr>
          <w:rStyle w:val="None"/>
          <w:rFonts w:cs="Times New Roman"/>
          <w:sz w:val="24"/>
          <w:szCs w:val="24"/>
          <w:rtl/>
          <w:lang w:val="ar-SA"/>
        </w:rPr>
        <w:t xml:space="preserve">سُجِّلت علامة كويكر أوتس التجارية، كما سُجِّلت براءة اختراع </w:t>
      </w:r>
      <w:r>
        <w:rPr>
          <w:rStyle w:val="None"/>
          <w:rFonts w:ascii="Times New Roman" w:hAnsi="Times New Roman"/>
          <w:sz w:val="24"/>
          <w:szCs w:val="24"/>
          <w:rtl/>
          <w:lang w:val="ar-SA"/>
        </w:rPr>
        <w:t>"</w:t>
      </w:r>
      <w:r>
        <w:rPr>
          <w:rStyle w:val="None"/>
          <w:rFonts w:cs="Times New Roman"/>
          <w:sz w:val="24"/>
          <w:szCs w:val="24"/>
          <w:rtl/>
          <w:lang w:val="ar-SA"/>
        </w:rPr>
        <w:t>سيارة بمحرك</w:t>
      </w:r>
      <w:r>
        <w:rPr>
          <w:rStyle w:val="None"/>
          <w:rFonts w:ascii="Times New Roman" w:hAnsi="Times New Roman"/>
          <w:sz w:val="24"/>
          <w:szCs w:val="24"/>
          <w:rtl/>
          <w:lang w:val="ar-SA"/>
        </w:rPr>
        <w:t>".</w:t>
      </w:r>
    </w:p>
    <w:p w14:paraId="51C80759"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 استعراض نشأة وتطوُّر التشريعات الأمريكية للملكية الفكرية من خلال النقاط التالية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CEBF99" w14:textId="77777777" w:rsidR="00454428" w:rsidRDefault="00C464EC">
      <w:pPr>
        <w:pStyle w:val="ListParagraph"/>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نشأت بذور نظام الملكية الفكرية الأمريكي في قانون الاحتكارات الإنجليزي لعام </w:t>
      </w:r>
      <w:r>
        <w:rPr>
          <w:rStyle w:val="None"/>
          <w:rFonts w:ascii="Times New Roman" w:hAnsi="Times New Roman"/>
          <w:sz w:val="24"/>
          <w:szCs w:val="24"/>
          <w:rtl/>
          <w:lang w:val="ar-SA"/>
        </w:rPr>
        <w:t>1623</w:t>
      </w:r>
      <w:r>
        <w:rPr>
          <w:rStyle w:val="None"/>
          <w:rFonts w:cs="Times New Roman"/>
          <w:sz w:val="24"/>
          <w:szCs w:val="24"/>
          <w:rtl/>
          <w:lang w:val="ar-SA"/>
        </w:rPr>
        <w:t>؛ حيث حظر هذا القانون على الملك منح أي احتكار باستثناء واحد؛ إذ كان بإمكان الملك منح براءات اختراع للاختراعات الجديدة، طالما أنَّ الاحتكار يعود بالنفع على المجتمع، وألا يستمر لأكثر من أربعة عشر عامًا</w:t>
      </w:r>
      <w:r>
        <w:rPr>
          <w:rStyle w:val="None"/>
          <w:rFonts w:ascii="Times New Roman" w:hAnsi="Times New Roman"/>
          <w:sz w:val="24"/>
          <w:szCs w:val="24"/>
          <w:rtl/>
          <w:lang w:val="ar-SA"/>
        </w:rPr>
        <w:t>.</w:t>
      </w:r>
    </w:p>
    <w:p w14:paraId="7398F106" w14:textId="77777777" w:rsidR="00454428" w:rsidRDefault="00C464EC">
      <w:pPr>
        <w:pStyle w:val="ListParagraph"/>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نقل ناثانيال وارد من ولاية ماساتشوستس هذا القانون فعليًا إلى القارة الأمريكية عام </w:t>
      </w:r>
      <w:r>
        <w:rPr>
          <w:rStyle w:val="None"/>
          <w:rFonts w:ascii="Times New Roman" w:hAnsi="Times New Roman"/>
          <w:sz w:val="24"/>
          <w:szCs w:val="24"/>
          <w:rtl/>
          <w:lang w:val="ar-SA"/>
        </w:rPr>
        <w:t>1641</w:t>
      </w:r>
      <w:r>
        <w:rPr>
          <w:rStyle w:val="None"/>
          <w:rFonts w:cs="Times New Roman"/>
          <w:sz w:val="24"/>
          <w:szCs w:val="24"/>
          <w:rtl/>
          <w:lang w:val="ar-SA"/>
        </w:rPr>
        <w:t>، عندما أدرج بندًا خاصًا بالملكية الفكرية في هيئة ماساتشوستس للحريات، والذي نص على أنَّه</w:t>
      </w:r>
      <w:r>
        <w:rPr>
          <w:rStyle w:val="None"/>
          <w:rFonts w:ascii="Times New Roman" w:hAnsi="Times New Roman"/>
          <w:sz w:val="24"/>
          <w:szCs w:val="24"/>
          <w:rtl/>
          <w:lang w:val="ar-SA"/>
        </w:rPr>
        <w:t>: "</w:t>
      </w:r>
      <w:r>
        <w:rPr>
          <w:rStyle w:val="None"/>
          <w:rFonts w:cs="Times New Roman"/>
          <w:sz w:val="24"/>
          <w:szCs w:val="24"/>
          <w:rtl/>
          <w:lang w:val="ar-SA"/>
        </w:rPr>
        <w:t>لا يجوز منح أو السماح بأي احتكارات، إلا للاختراعات الجديدة التي تعود بالنفع على البلاد، وذلك لفترة قصيرة</w:t>
      </w:r>
      <w:r>
        <w:rPr>
          <w:rStyle w:val="None"/>
          <w:rFonts w:ascii="Times New Roman" w:hAnsi="Times New Roman"/>
          <w:sz w:val="24"/>
          <w:szCs w:val="24"/>
          <w:rtl/>
          <w:lang w:val="ar-SA"/>
        </w:rPr>
        <w:t xml:space="preserve">". </w:t>
      </w:r>
    </w:p>
    <w:p w14:paraId="4D6365F9" w14:textId="77777777" w:rsidR="00454428" w:rsidRDefault="00C464EC">
      <w:pPr>
        <w:pStyle w:val="ListParagraph"/>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ومع ذلك لم تكن ماساتشوستس المستعمرة الوحيدة التي سعت لحماية الملكية الفكرية؛ حيث منحت الحكومات الاستعمارية براءات اختراع، وحقوق طبع ونشر طوال القرن الثامن عشر، وكانت هذه المنح تُمنح عادةً من خلال قوانين خاصة، صادرة عن الهيئة التشريعية التي تتطلب التماسًا من المؤلف أو المخترع</w:t>
      </w:r>
      <w:r>
        <w:rPr>
          <w:rStyle w:val="None"/>
          <w:rFonts w:ascii="Times New Roman" w:hAnsi="Times New Roman"/>
          <w:sz w:val="24"/>
          <w:szCs w:val="24"/>
          <w:rtl/>
          <w:lang w:val="ar-SA"/>
        </w:rPr>
        <w:t>.</w:t>
      </w:r>
    </w:p>
    <w:p w14:paraId="794BD659" w14:textId="77777777" w:rsidR="00454428" w:rsidRDefault="00C464EC">
      <w:pPr>
        <w:pStyle w:val="ListParagraph"/>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وبعد الحرب الثورية، حافظت كل من الحكومة الوطنية وحكومات الولايات على اهتمامها الوثيق بالملكية الفكرية؛ حيث كرّس دستور ماساتشوستس حماية الملكية الفكرية فيما بعد الاستعمار، 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واصلت الولايات الأخرى حماية الملكية الفكرية من خلال نظام مُخصّص من القوانين والقرارات التشريعية الخاصة، ومع ذلك</w:t>
      </w:r>
      <w:r>
        <w:rPr>
          <w:rStyle w:val="None"/>
          <w:rFonts w:ascii="Times New Roman" w:hAnsi="Times New Roman"/>
          <w:sz w:val="24"/>
          <w:szCs w:val="24"/>
          <w:rtl/>
          <w:lang w:val="ar-SA"/>
        </w:rPr>
        <w:t xml:space="preserve">: </w:t>
      </w:r>
      <w:r>
        <w:rPr>
          <w:rStyle w:val="None"/>
          <w:rFonts w:cs="Times New Roman"/>
          <w:sz w:val="24"/>
          <w:szCs w:val="24"/>
          <w:rtl/>
          <w:lang w:val="ar-SA"/>
        </w:rPr>
        <w:t>ظلّ الشكل الأساسي للمنح ثابتًا كحقّ حصريّ لفترة محدودة</w:t>
      </w:r>
      <w:r>
        <w:rPr>
          <w:rStyle w:val="None"/>
          <w:rFonts w:ascii="Times New Roman" w:hAnsi="Times New Roman"/>
          <w:sz w:val="24"/>
          <w:szCs w:val="24"/>
          <w:rtl/>
          <w:lang w:val="ar-SA"/>
        </w:rPr>
        <w:t>.</w:t>
      </w:r>
    </w:p>
    <w:p w14:paraId="6D6B0CD0" w14:textId="77777777" w:rsidR="00454428" w:rsidRDefault="00C464EC">
      <w:pPr>
        <w:pStyle w:val="ListParagraph"/>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ولكن مع تزايد اعتماد الاقتصاد الأمريكي على الولايات، ازدادت الحاجة إلى تشريعات الملكية الفكرية، وعيّن الكونغرس لجنةً خاصةً لتقديم تقارير عن الملكية الأدبية في الولايات المتحدة، وبالفعل أقرّ الكونغرس القرار </w:t>
      </w:r>
      <w:r>
        <w:rPr>
          <w:rStyle w:val="None"/>
          <w:rFonts w:cs="Times New Roman"/>
          <w:sz w:val="24"/>
          <w:szCs w:val="24"/>
          <w:rtl/>
          <w:lang w:val="ar-SA"/>
        </w:rPr>
        <w:lastRenderedPageBreak/>
        <w:t xml:space="preserve">الذي اقترحته اللجنة في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مايو </w:t>
      </w:r>
      <w:r>
        <w:rPr>
          <w:rStyle w:val="None"/>
          <w:rFonts w:ascii="Times New Roman" w:hAnsi="Times New Roman"/>
          <w:sz w:val="24"/>
          <w:szCs w:val="24"/>
          <w:rtl/>
          <w:lang w:val="ar-SA"/>
        </w:rPr>
        <w:t>1783</w:t>
      </w:r>
      <w:r>
        <w:rPr>
          <w:rStyle w:val="None"/>
          <w:rFonts w:cs="Times New Roman"/>
          <w:sz w:val="24"/>
          <w:szCs w:val="24"/>
          <w:rtl/>
          <w:lang w:val="ar-SA"/>
        </w:rPr>
        <w:t xml:space="preserve">، وأوصى القرار بأنْ تُصدر الولايات قوانين حقوق طبع ونشر تحمي عمل المؤلف </w:t>
      </w:r>
      <w:r>
        <w:rPr>
          <w:rStyle w:val="None"/>
          <w:rFonts w:ascii="Times New Roman" w:hAnsi="Times New Roman"/>
          <w:sz w:val="24"/>
          <w:szCs w:val="24"/>
          <w:rtl/>
          <w:lang w:val="ar-SA"/>
        </w:rPr>
        <w:t>"</w:t>
      </w:r>
      <w:r>
        <w:rPr>
          <w:rStyle w:val="None"/>
          <w:rFonts w:cs="Times New Roman"/>
          <w:sz w:val="24"/>
          <w:szCs w:val="24"/>
          <w:rtl/>
          <w:lang w:val="ar-SA"/>
        </w:rPr>
        <w:t>لفترة زمنية لا تقل عن أربعة عشر عامًا</w:t>
      </w:r>
      <w:r>
        <w:rPr>
          <w:rStyle w:val="None"/>
          <w:rFonts w:ascii="Times New Roman" w:hAnsi="Times New Roman"/>
          <w:sz w:val="24"/>
          <w:szCs w:val="24"/>
          <w:rtl/>
          <w:lang w:val="ar-SA"/>
        </w:rPr>
        <w:t>".</w:t>
      </w:r>
    </w:p>
    <w:p w14:paraId="3ED78AC3" w14:textId="77777777" w:rsidR="00454428" w:rsidRDefault="00C464EC">
      <w:pPr>
        <w:pStyle w:val="ListParagraph"/>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غضون عامين من هذا القرار، أقرّت اثنتا عشرة ولايةً من أصل ثلاث عشرة تشريعاتٍ للملكية الفكرية، ويُعَدُّ قانون الملكية الفكرية لولاية كارولينا الجنوبية لعام </w:t>
      </w:r>
      <w:r>
        <w:rPr>
          <w:rStyle w:val="None"/>
          <w:rFonts w:ascii="Times New Roman" w:hAnsi="Times New Roman"/>
          <w:sz w:val="24"/>
          <w:szCs w:val="24"/>
          <w:rtl/>
          <w:lang w:val="ar-SA"/>
        </w:rPr>
        <w:t xml:space="preserve">1784 </w:t>
      </w:r>
      <w:r>
        <w:rPr>
          <w:rStyle w:val="None"/>
          <w:rFonts w:cs="Times New Roman"/>
          <w:sz w:val="24"/>
          <w:szCs w:val="24"/>
          <w:rtl/>
          <w:lang w:val="ar-SA"/>
        </w:rPr>
        <w:t>الأكثر تأثيرًا؛ إذْ يُمثّل أول قانون أمريكي يُساوي بين حماية حقوق الطبع والنشر وحماية براءات الاختراع</w:t>
      </w:r>
      <w:r>
        <w:rPr>
          <w:rStyle w:val="None"/>
          <w:rFonts w:ascii="Times New Roman" w:hAnsi="Times New Roman"/>
          <w:sz w:val="24"/>
          <w:szCs w:val="24"/>
          <w:rtl/>
          <w:lang w:val="ar-SA"/>
        </w:rPr>
        <w:t xml:space="preserve">. </w:t>
      </w:r>
    </w:p>
    <w:p w14:paraId="6DF336C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تضمن دستور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بندًا لحماية حقوق الملكية الفكرية في المادة الأولى 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والذي نص على أنَّ للكونغرس سلطة تعزيز تقدم العلوم والفنون المفيدة، من خلال ضمان الحق الحصري للمؤلفين والمخترعين في كتاباتهم واكتشافاتهم لفترات محدودة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89454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أشار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إلى أنَّ الولايات المتحدة الأمريكية تُعَدُّ طرفًا في اتفاقيات الملكية الفكرية الدولية التالية</w:t>
      </w:r>
      <w:r>
        <w:rPr>
          <w:rStyle w:val="None"/>
          <w:rFonts w:ascii="Times New Roman" w:hAnsi="Times New Roman"/>
          <w:sz w:val="24"/>
          <w:szCs w:val="24"/>
          <w:rtl/>
          <w:lang w:val="ar-SA"/>
        </w:rPr>
        <w:t>:</w:t>
      </w:r>
    </w:p>
    <w:p w14:paraId="7B32F46D" w14:textId="77777777" w:rsidR="00454428" w:rsidRDefault="00C464EC">
      <w:pPr>
        <w:pStyle w:val="ListParagraph"/>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يمكن لأي شخص من دولة موقعة التقدم بطلب للحصول على براءة اختراع أو علامة تجارية في أي دولة موقعة أخرى، وسيُمنح نفس حقوق الإنفاذ والوضع الذي يتمتع به مواطن تلك الدولة</w:t>
      </w:r>
      <w:r>
        <w:rPr>
          <w:rStyle w:val="None"/>
          <w:rFonts w:ascii="Times New Roman" w:hAnsi="Times New Roman"/>
          <w:sz w:val="24"/>
          <w:szCs w:val="24"/>
          <w:rtl/>
          <w:lang w:val="ar-SA"/>
        </w:rPr>
        <w:t>.</w:t>
      </w:r>
    </w:p>
    <w:p w14:paraId="6CD7F8AC" w14:textId="77777777" w:rsidR="00454428" w:rsidRDefault="00C464EC">
      <w:pPr>
        <w:pStyle w:val="ListParagraph"/>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تعترف كل دولة عضو بحقوق الطبع والنشر للمؤلفين من الدول الأعضاء الأخرى، بنفس الطريقة التي تعترف بها بحقوق الطبع والنشر لمواطنيها</w:t>
      </w:r>
      <w:r>
        <w:rPr>
          <w:rStyle w:val="None"/>
          <w:rFonts w:ascii="Times New Roman" w:hAnsi="Times New Roman"/>
          <w:sz w:val="24"/>
          <w:szCs w:val="24"/>
          <w:rtl/>
          <w:lang w:val="ar-SA"/>
        </w:rPr>
        <w:t>.</w:t>
      </w:r>
    </w:p>
    <w:p w14:paraId="346BE116" w14:textId="77777777" w:rsidR="00454428" w:rsidRDefault="00C464EC">
      <w:pPr>
        <w:pStyle w:val="ListParagraph"/>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بروتوكول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وهو نظام مركزي للحصول على حزمة من تسجيلات العلامات التجارية الوطنية في ولايات قضائية مختلفة، من خلال طلب واحد</w:t>
      </w:r>
      <w:r>
        <w:rPr>
          <w:rStyle w:val="None"/>
          <w:rFonts w:ascii="Times New Roman" w:hAnsi="Times New Roman"/>
          <w:sz w:val="24"/>
          <w:szCs w:val="24"/>
          <w:rtl/>
          <w:lang w:val="ar-SA"/>
        </w:rPr>
        <w:t>.</w:t>
      </w:r>
    </w:p>
    <w:p w14:paraId="29A6D38C" w14:textId="77777777" w:rsidR="00454428" w:rsidRDefault="00C464EC">
      <w:pPr>
        <w:pStyle w:val="ListParagraph"/>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تعمل هذه المعاهدة بنفس طريقة بروتوكول مدريد، ولكن بالنسبة لطلبات براءات الاختراع</w:t>
      </w:r>
      <w:r>
        <w:rPr>
          <w:rStyle w:val="None"/>
          <w:rFonts w:ascii="Times New Roman" w:hAnsi="Times New Roman"/>
          <w:sz w:val="24"/>
          <w:szCs w:val="24"/>
          <w:rtl/>
          <w:lang w:val="ar-SA"/>
        </w:rPr>
        <w:t>.</w:t>
      </w:r>
    </w:p>
    <w:p w14:paraId="000E717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حقوق الملكية الفكرية في الولايات المتحدة منذ القدم في القانون الإنجليزي عام </w:t>
      </w:r>
      <w:r>
        <w:rPr>
          <w:rStyle w:val="None"/>
          <w:rFonts w:ascii="Times New Roman" w:hAnsi="Times New Roman"/>
          <w:sz w:val="24"/>
          <w:szCs w:val="24"/>
          <w:rtl/>
          <w:lang w:val="ar-SA"/>
        </w:rPr>
        <w:t>1623</w:t>
      </w:r>
      <w:r>
        <w:rPr>
          <w:rStyle w:val="None"/>
          <w:rFonts w:ascii="Arial Unicode MS" w:hAnsi="Arial Unicode MS" w:cs="Times New Roman" w:hint="cs"/>
          <w:sz w:val="24"/>
          <w:szCs w:val="24"/>
          <w:rtl/>
          <w:lang w:val="ar-SA"/>
        </w:rPr>
        <w:t xml:space="preserve">، مرورًا بدستور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الذي كرس حماية حقوق المؤلف والمخترعين، ثم جاءت القوانين الأولى عام </w:t>
      </w:r>
      <w:r>
        <w:rPr>
          <w:rStyle w:val="None"/>
          <w:rFonts w:ascii="Times New Roman" w:hAnsi="Times New Roman"/>
          <w:sz w:val="24"/>
          <w:szCs w:val="24"/>
          <w:rtl/>
          <w:lang w:val="ar-SA"/>
        </w:rPr>
        <w:t xml:space="preserve">1790 </w:t>
      </w:r>
      <w:r>
        <w:rPr>
          <w:rStyle w:val="None"/>
          <w:rFonts w:ascii="Arial Unicode MS" w:hAnsi="Arial Unicode MS" w:cs="Times New Roman" w:hint="cs"/>
          <w:sz w:val="24"/>
          <w:szCs w:val="24"/>
          <w:rtl/>
          <w:lang w:val="ar-SA"/>
        </w:rPr>
        <w:t>نظامًا متكاملًا لبراءات الاختراع وحقوق الطبع والنشر، وفي القرن التاسع عشر توسعت الحماية لتشمل العلامات التجارية والانضمام لاتفاقيات 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اتفاقية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يعتبر هذا التطوُّر التاريخي له دور مهم في حماية الملكية الفكرية، كما امتدت هذه الحماية؛ لكي تشمل البرمجيات وقواعد البيانات والمصنفات الرقمية</w:t>
      </w:r>
      <w:r>
        <w:rPr>
          <w:rStyle w:val="None"/>
          <w:rFonts w:ascii="Times New Roman" w:hAnsi="Times New Roman"/>
          <w:sz w:val="24"/>
          <w:szCs w:val="24"/>
          <w:rtl/>
          <w:lang w:val="ar-SA"/>
        </w:rPr>
        <w:t>.</w:t>
      </w:r>
    </w:p>
    <w:p w14:paraId="4522856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قانون الملكية الفكرية حجر الزاوية في تعزيز الابتكار والإبداع في الاقتصادات الحديثة، ويشمل مجموعةً من الحماية القانونية،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براءات الاختراع، والعلامات التجارية، وحقوق التأليف والنشر، والأسرار التجارية، </w:t>
      </w:r>
      <w:r>
        <w:rPr>
          <w:rStyle w:val="None"/>
          <w:rFonts w:ascii="Arial Unicode MS" w:hAnsi="Arial Unicode MS" w:cs="Times New Roman" w:hint="cs"/>
          <w:sz w:val="24"/>
          <w:szCs w:val="24"/>
          <w:rtl/>
          <w:lang w:val="ar-SA"/>
        </w:rPr>
        <w:lastRenderedPageBreak/>
        <w:t xml:space="preserve">المصممة لحماية الإبداعات الفكرية للأفراد والمنظمات، ويستند تطوُّر قانون الملكية الفكرية في الولايات المتحدة إلى المبادئ الدستورية؛ حيث تُمكّن المادة الأولى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دستور الولايات المتحدة الكونغرس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تعزيز تقدم العلوم والفنون المفيدة من خلال تشريعات الملكية الفكرية، وبمرور الوقت، ساهمت الإصلاحات التشريعية والتفسيرات القضائية في تشكيل قانون الملكية الفكرية لمواجهة التحديات الناشئة،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صعود المنصات الرقمية والذكاء الاصطناعي والعولمة، وقد مثّل قانون الاختراعات الأمريكي، الصادر عام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 تحولًا مهمًا بتحويل نظام براءات الاختراع الأمريكي إلى نظام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أولوية التسجيل</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ممَّا جعله متوافقًا مع المعايير الدولية، وبالمثل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اكتسبت حماية الأسرار التجارية أهمية متزايدة مع قانون الدفاع عن الأسرار التجارية لعام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الذي يوفر سبل انتصاف فيدرالية ضد التملك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0"/>
      </w:r>
      <w:r>
        <w:rPr>
          <w:rStyle w:val="None"/>
          <w:rFonts w:ascii="Times New Roman" w:hAnsi="Times New Roman"/>
          <w:sz w:val="24"/>
          <w:szCs w:val="24"/>
          <w:vertAlign w:val="superscript"/>
          <w:rtl/>
          <w:lang w:val="ar-SA"/>
        </w:rPr>
        <w:t>)</w:t>
      </w:r>
    </w:p>
    <w:p w14:paraId="5865286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وتتولى ثمانِ وكالاتٍ فيدراليةٍ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مع مكتب التحقيقات الفيدرالي، ومكتب براءات الاختراع والعلامات التجارية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الأنشطة الرئيسية للحكومة الأمريكية؛ لحماية حقوق الملكية الفكرية الأمريكية وإنفاذها في الخارج، وهذه الوكالات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وزارات التجارة، والخارجية، والعدل، والأمن الداخلي، ومكتب الممثل التجاري الأمريكي، ومكتب حقوق الطبع والنشر، والوكالة الأمريكية للتنمية الدولية، ومركز التجارة الدولية الأمريكي، كما تشارك الحكومة الأمريكية في منظمات دولية تُعنى بقضايا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منظمة التجارة العالمية، والمنظمة العالمية للملكية الفكرية، ومنظمة الجمارك العالمية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1"/>
      </w:r>
      <w:r>
        <w:rPr>
          <w:rStyle w:val="None"/>
          <w:rFonts w:ascii="Times New Roman" w:hAnsi="Times New Roman"/>
          <w:sz w:val="24"/>
          <w:szCs w:val="24"/>
          <w:vertAlign w:val="superscript"/>
          <w:rtl/>
          <w:lang w:val="ar-SA"/>
        </w:rPr>
        <w:t>)</w:t>
      </w:r>
    </w:p>
    <w:p w14:paraId="3BCB9FF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ويتألف قانون الملكية الفكرية من مجموعة من الحقوق الحصرية التي تمنع الآخرين من صنع بعض إبداعات العقل البشري غير الملموسة؛ حيث يمنح دستورُ الولايات المتحدة الكونغرس سلطتين تتعلقان بحقوق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يُخول الكونغرس بمنح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المؤلفين والمخترعين الحق الحصري في كتاباتهم واكتشافاتهم؛ بهدف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يسمح بند التجارة للكونغرس بتنظيم التجارة بين الولايات المحلية والأجنبية، وعلى المستوى الفيدرالي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تشمل الملكية الفكرية أربعة أشكالٍ رئيسيةٍ من 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والأسرار التجارية؛ حيث يحمي كل شكل من أشكال الملكية الفكرية نوعًا مختلفًا من الإبداع الفكري، ويتبع إجراءات مختلفة؛ للحصول على الحقوق، ويمنح مالك الملكية الفكرية حقوقًا تختلف في نطاقها ومدتها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2"/>
      </w:r>
      <w:r>
        <w:rPr>
          <w:rStyle w:val="None"/>
          <w:rFonts w:ascii="Times New Roman" w:hAnsi="Times New Roman"/>
          <w:sz w:val="24"/>
          <w:szCs w:val="24"/>
          <w:vertAlign w:val="superscript"/>
          <w:rtl/>
          <w:lang w:val="ar-SA"/>
        </w:rPr>
        <w:t>)</w:t>
      </w:r>
    </w:p>
    <w:p w14:paraId="0DC437C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ويتناول قانون الملكية الفكرية قواعد تأمين وإنفاذ الحقوق القانونية للاختراعات والتصاميم والأعمال الفنية، وكما يحمي القانون ملكية الممتلكات الشخصية والعقارات، فإنَّه يحمي أيضًا السيطرة الحصرية على الأصول غير الملموسة، والغرض من هذه القوانين هو تحفيز الأفراد على تطوير أعمال إبداعية تعود بالنفع على المجتمع، وتمنح المادة </w:t>
      </w:r>
      <w:r>
        <w:rPr>
          <w:rStyle w:val="None"/>
          <w:rFonts w:ascii="Arial Unicode MS" w:hAnsi="Arial Unicode MS" w:cs="Times New Roman" w:hint="cs"/>
          <w:sz w:val="24"/>
          <w:szCs w:val="24"/>
          <w:rtl/>
          <w:lang w:val="ar-SA"/>
        </w:rPr>
        <w:lastRenderedPageBreak/>
        <w:t xml:space="preserve">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دستور الولايات المتحدة، الكونغرس سلطةً صريحةً لمنح المؤلفين والمخترعين حقوقًا حصريةً على إبداعاتهم، كما يمنح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الكونغرس سلطةَ تنظيم التجارة بين الولايات الداخلية والخارجية؛ ممَّا يوفر دعمًا إضافيًا لحقه في التشريع في هذا المجال، وتُدار قوانين الملكية الفكرية التي يقرها الكونغرس من قبل وكالات حكومية، وهي مكتب براءات الاختراع والعلامات التجارية الأمريكي، ومكتب حقوق الطبع والنشر الأمريكي</w:t>
      </w:r>
      <w:r>
        <w:rPr>
          <w:rStyle w:val="None"/>
          <w:rFonts w:ascii="Times New Roman" w:hAnsi="Times New Roman"/>
          <w:sz w:val="24"/>
          <w:szCs w:val="24"/>
          <w:vertAlign w:val="superscript"/>
        </w:rPr>
        <w:t>)</w:t>
      </w:r>
      <w:r>
        <w:rPr>
          <w:rStyle w:val="None"/>
          <w:rFonts w:ascii="Times New Roman" w:eastAsia="Times New Roman" w:hAnsi="Times New Roman" w:cs="Times New Roman"/>
          <w:sz w:val="24"/>
          <w:szCs w:val="24"/>
          <w:vertAlign w:val="superscript"/>
          <w:lang w:val="ar-SA"/>
        </w:rPr>
        <w:footnoteReference w:id="363"/>
      </w:r>
      <w:r>
        <w:rPr>
          <w:rStyle w:val="None"/>
          <w:rFonts w:ascii="Times New Roman" w:hAnsi="Times New Roman"/>
          <w:sz w:val="24"/>
          <w:szCs w:val="24"/>
          <w:vertAlign w:val="superscript"/>
        </w:rPr>
        <w:t>(</w:t>
      </w:r>
      <w:r>
        <w:rPr>
          <w:rStyle w:val="None"/>
          <w:rFonts w:ascii="Times New Roman" w:hAnsi="Times New Roman"/>
          <w:sz w:val="24"/>
          <w:szCs w:val="24"/>
          <w:rtl/>
          <w:lang w:val="ar-SA"/>
        </w:rPr>
        <w:t>.</w:t>
      </w:r>
    </w:p>
    <w:p w14:paraId="3B9B67A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حاليًا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رائدةً في العديد من التقنيات الحيوية التي تعتمد على الإيرادات الناتجة عن ترخيص حقوق الملكية الفكرية في الأسواق العالمية، ومع امتلاك الولايات المتحدة لأجندة الابتكار، يجب أنْ يكون للملكية الفكرية دور بارز، إنَّ وجود نظام قوي لإنفاذ حقوق الملكية الفكرية، مع حدود واضحة لحقوق الملكية الفكرية يساعد المخترعين على الابتكار، ويُعَدُّ هذا ضروريًّا لازدهار منظومة الابتكار، وتستطيع الولايات المتحدة أنْ تستمر في الريادة في الابتكار المكثف في مجال البحث والتطوير، وتطوير المنتجات، والحد من الانتهاكات، وخاصةً خارج حدود الولايات المتحدة، من خلال اتباع إجراءات رئيسية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4"/>
      </w:r>
      <w:r>
        <w:rPr>
          <w:rStyle w:val="None"/>
          <w:rFonts w:ascii="Times New Roman" w:hAnsi="Times New Roman"/>
          <w:sz w:val="24"/>
          <w:szCs w:val="24"/>
          <w:vertAlign w:val="superscript"/>
          <w:rtl/>
          <w:lang w:val="ar-SA"/>
        </w:rPr>
        <w:t>)</w:t>
      </w:r>
    </w:p>
    <w:p w14:paraId="53E3BC78" w14:textId="77777777" w:rsidR="00454428" w:rsidRDefault="00C464EC">
      <w:pPr>
        <w:pStyle w:val="ListParagraph"/>
        <w:numPr>
          <w:ilvl w:val="0"/>
          <w:numId w:val="134"/>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مكتب براءات الاختراع والعلامات التجارية الأمريكي بالموارد اللازمة؛ لضمان حصول الاختراعات الجيدة فقط على الحماية المناسبة للملكية الفكرية</w:t>
      </w:r>
      <w:r>
        <w:rPr>
          <w:rStyle w:val="None"/>
          <w:rFonts w:ascii="Times New Roman" w:hAnsi="Times New Roman"/>
          <w:sz w:val="24"/>
          <w:szCs w:val="24"/>
          <w:rtl/>
          <w:lang w:val="ar-SA"/>
        </w:rPr>
        <w:t>.</w:t>
      </w:r>
    </w:p>
    <w:p w14:paraId="62C222C8" w14:textId="77777777" w:rsidR="00454428" w:rsidRDefault="00C464EC">
      <w:pPr>
        <w:pStyle w:val="ListParagraph"/>
        <w:numPr>
          <w:ilvl w:val="0"/>
          <w:numId w:val="134"/>
        </w:numPr>
        <w:spacing w:before="120" w:after="120" w:line="360" w:lineRule="auto"/>
        <w:jc w:val="both"/>
        <w:rPr>
          <w:rFonts w:cs="Times New Roman" w:hint="default"/>
          <w:sz w:val="24"/>
          <w:szCs w:val="24"/>
          <w:rtl/>
          <w:lang w:val="ar-SA"/>
        </w:rPr>
      </w:pPr>
      <w:r>
        <w:rPr>
          <w:rStyle w:val="None"/>
          <w:rFonts w:cs="Times New Roman"/>
          <w:sz w:val="24"/>
          <w:szCs w:val="24"/>
          <w:rtl/>
          <w:lang w:val="ar-SA"/>
        </w:rPr>
        <w:t>إحراز تقدم بشأن المقترحات التشريعية لتعزيز قابلية إنفاذ حقوق الملكية الفكرية المشروعة</w:t>
      </w:r>
      <w:r>
        <w:rPr>
          <w:rStyle w:val="None"/>
          <w:rFonts w:ascii="Times New Roman" w:hAnsi="Times New Roman"/>
          <w:sz w:val="24"/>
          <w:szCs w:val="24"/>
          <w:rtl/>
          <w:lang w:val="ar-SA"/>
        </w:rPr>
        <w:t>.</w:t>
      </w:r>
    </w:p>
    <w:p w14:paraId="4CBD2EA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وضع مكتب حقوق الطبع والنشر سياسةَ حقوق الطبع والنشر على مدار ما يقرب من قرن، وذلك بشكل رئيسي من خلال المساعدة في تطوير التشريعات، وإصدار اللوائح والمشاركة في التقاضي، وقد عمل المكتب بشكل وثيق مع لجان الكونغرس بشكل يومي، وشارك بشكل كامل في صياغة قانون حقوق الطبع والنشر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بالإضافة إلى العمل على كل تعديل لاحق،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يحدث التعاون في العديد من القضايا بين مختلف الوكالات في السلطة التنفيذية، وفي أغلب الأحيان وزارة العدل، ومكتب براءات الاختراع، والعلامات التجارية؛ من أجل حماية حقوق الملكية الفكرية في الولايات المتحدة بشكل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B4321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وتتمثل المجالات الرئيسية الثلاثة لقانون الملكية الفكرية التي يستخدمها المبتكرون لحماية أفكارهم في العلامات التجارية، وبراءات الاختراع، وحقوق الطبع والنشر، ويُجسّد مكتب إنفاذ حقوق الملكية الفكرية الدولية عبقرية أمريكا للعالم؛ حيث يدافع مكتب إنفاذ حقوق الملكية الفكرية عن حماية حقوق الملكية الفكرية وإنفاذها بفاعلية حول العالم، ويعمل فريق المكتب بشكل وثيق مع سفراء ودبلوماسيِّي الولايات المتحدة العاملين حول العالم؛ لضمان تمثيل مصالح أصحاب </w:t>
      </w:r>
      <w:r>
        <w:rPr>
          <w:rStyle w:val="None"/>
          <w:rFonts w:ascii="Arial Unicode MS" w:hAnsi="Arial Unicode MS" w:cs="Times New Roman" w:hint="cs"/>
          <w:sz w:val="24"/>
          <w:szCs w:val="24"/>
          <w:rtl/>
          <w:lang w:val="ar-SA"/>
        </w:rPr>
        <w:lastRenderedPageBreak/>
        <w:t>الحقوق الأمريكيين في الخارج، ولإبراز الدور الأساسي الذي تلعبه حماية حقوق الملكية الفكرية في دعم الابتكار العالمي والنمو الاقتصادي، ويعمل المكتب على تحقيق الاتي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6"/>
      </w:r>
      <w:r>
        <w:rPr>
          <w:rStyle w:val="None"/>
          <w:rFonts w:ascii="Times New Roman" w:hAnsi="Times New Roman"/>
          <w:sz w:val="24"/>
          <w:szCs w:val="24"/>
          <w:vertAlign w:val="superscript"/>
          <w:rtl/>
          <w:lang w:val="ar-SA"/>
        </w:rPr>
        <w:t>)</w:t>
      </w:r>
    </w:p>
    <w:p w14:paraId="6BF13E6A" w14:textId="77777777" w:rsidR="00454428" w:rsidRDefault="00C464EC">
      <w:pPr>
        <w:pStyle w:val="ListParagraph"/>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أنظمةً قويةً لحقوق الملكية الفكرية</w:t>
      </w:r>
      <w:r>
        <w:rPr>
          <w:rStyle w:val="None"/>
          <w:rFonts w:ascii="Times New Roman" w:hAnsi="Times New Roman"/>
          <w:sz w:val="24"/>
          <w:szCs w:val="24"/>
          <w:rtl/>
          <w:lang w:val="ar-SA"/>
        </w:rPr>
        <w:t>.</w:t>
      </w:r>
    </w:p>
    <w:p w14:paraId="20F467F7" w14:textId="77777777" w:rsidR="00454428" w:rsidRDefault="00C464EC">
      <w:pPr>
        <w:pStyle w:val="ListParagraph"/>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ردع الوصول إلى السلع المقلدة والمقرصنة التي قد تضر بالمستهلكين</w:t>
      </w:r>
      <w:r>
        <w:rPr>
          <w:rStyle w:val="None"/>
          <w:rFonts w:ascii="Times New Roman" w:hAnsi="Times New Roman"/>
          <w:sz w:val="24"/>
          <w:szCs w:val="24"/>
          <w:rtl/>
          <w:lang w:val="ar-SA"/>
        </w:rPr>
        <w:t>.</w:t>
      </w:r>
    </w:p>
    <w:p w14:paraId="5B452128" w14:textId="77777777" w:rsidR="00454428" w:rsidRDefault="00C464EC">
      <w:pPr>
        <w:pStyle w:val="ListParagraph"/>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حماية مصالح أصحاب حقوق الملكية الفكرية الأمريكيين في الخارج</w:t>
      </w:r>
      <w:r>
        <w:rPr>
          <w:rStyle w:val="None"/>
          <w:rFonts w:ascii="Times New Roman" w:hAnsi="Times New Roman"/>
          <w:sz w:val="24"/>
          <w:szCs w:val="24"/>
          <w:rtl/>
          <w:lang w:val="ar-SA"/>
        </w:rPr>
        <w:t>.</w:t>
      </w:r>
    </w:p>
    <w:p w14:paraId="0615DEBD" w14:textId="77777777" w:rsidR="00454428" w:rsidRDefault="00C464EC">
      <w:pPr>
        <w:pStyle w:val="ListParagraph"/>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الترويج لحماية حقوق الملكية الفكرية وإنفاذها باعتبارها أمرًا حيويًا للتنمية الاقتصادية</w:t>
      </w:r>
      <w:r>
        <w:rPr>
          <w:rStyle w:val="None"/>
          <w:rFonts w:ascii="Times New Roman" w:hAnsi="Times New Roman"/>
          <w:sz w:val="24"/>
          <w:szCs w:val="24"/>
          <w:rtl/>
          <w:lang w:val="ar-SA"/>
        </w:rPr>
        <w:t>.</w:t>
      </w:r>
    </w:p>
    <w:p w14:paraId="100EBF0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الملكية الفكرية في الولايات المتحدة يعتبر إطارًا تشريعيًّا لحماية الابتكار والإبداع، كما يشمل براءات الاختراع والعلامات التجارية، وحقوق النشر، بالإضافة إلى التطوُّر القانوني في الولايات المتحدة لمواكبة التحديات في البيئة الرقمية، ومن أهم هذه التطوُّرات قانون الاختراعات الذي صدر عام </w:t>
      </w:r>
      <w:r>
        <w:rPr>
          <w:rStyle w:val="None"/>
          <w:rFonts w:ascii="Times New Roman" w:hAnsi="Times New Roman"/>
          <w:sz w:val="24"/>
          <w:szCs w:val="24"/>
          <w:rtl/>
          <w:lang w:val="ar-SA"/>
        </w:rPr>
        <w:t xml:space="preserve">2011 </w:t>
      </w:r>
      <w:r>
        <w:rPr>
          <w:rStyle w:val="None"/>
          <w:rFonts w:ascii="Arial Unicode MS" w:hAnsi="Arial Unicode MS" w:cs="Times New Roman" w:hint="cs"/>
          <w:sz w:val="24"/>
          <w:szCs w:val="24"/>
          <w:rtl/>
          <w:lang w:val="ar-SA"/>
        </w:rPr>
        <w:t xml:space="preserve">وهو نظام أولوية التسجيل، وقانون الدافع عن الأسرار التجارية الذي صدر 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كما اشترك مكتب التحقيقات الفيدرالي ومكتب براءات الاختراع والعلامات التجارية؛ لحماية حقوق الملكية الفكرية محليًا ودوليًا</w:t>
      </w:r>
      <w:r>
        <w:rPr>
          <w:rStyle w:val="None"/>
          <w:rFonts w:ascii="Times New Roman" w:hAnsi="Times New Roman"/>
          <w:sz w:val="24"/>
          <w:szCs w:val="24"/>
          <w:rtl/>
          <w:lang w:val="ar-SA"/>
        </w:rPr>
        <w:t>.</w:t>
      </w:r>
    </w:p>
    <w:p w14:paraId="20C2EBCC"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نطاق حماية الملكية الفكرية في التشريع الفَرنسي</w:t>
      </w:r>
      <w:r>
        <w:rPr>
          <w:rStyle w:val="None"/>
          <w:rFonts w:ascii="Times New Roman" w:hAnsi="Times New Roman"/>
          <w:b/>
          <w:bCs/>
          <w:sz w:val="28"/>
          <w:szCs w:val="28"/>
          <w:rtl/>
          <w:lang w:val="ar-SA"/>
        </w:rPr>
        <w:t>:</w:t>
      </w:r>
    </w:p>
    <w:p w14:paraId="70DCC7C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جاءت نقطة التحول في عام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فيما يتعلق بتحرير التجارة؛ حيث ألغى قانون براءات الاختراع 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نهائيًا الاحتكار، وأعلن أنَّ جميع الاختراعات أو الاكتشافات الجديدة في جميع مجالات الصناعة ملكٌ لمبدعها، وقد كانت تُمنح براءة الاختراع لمدة خمس أو عشر أو خمس عشرة سنةً، وعند انقضائها، ينتقل الاختراع إلى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7"/>
      </w:r>
      <w:r>
        <w:rPr>
          <w:rStyle w:val="None"/>
          <w:rFonts w:ascii="Times New Roman" w:hAnsi="Times New Roman"/>
          <w:sz w:val="24"/>
          <w:szCs w:val="24"/>
          <w:vertAlign w:val="superscript"/>
          <w:rtl/>
          <w:lang w:val="ar-SA"/>
        </w:rPr>
        <w:t>)</w:t>
      </w:r>
    </w:p>
    <w:p w14:paraId="60E9E36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الملكية الفكرية وفق التشريع الفَرنسي إلى حق ملكية مُنشأ قانونًا يمنع الآخرين من استخدام إبداعات غيرهم الفكرية دون تصريح، وتتيح الملكية الفكرية تسويق أفكار الفرد المبتكرة، والإبداعية، واستغلالها تجاريًا، وتتكوَّن حقوق الملكية الفكرية 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8"/>
      </w:r>
      <w:r>
        <w:rPr>
          <w:rStyle w:val="None"/>
          <w:rFonts w:ascii="Times New Roman" w:hAnsi="Times New Roman"/>
          <w:sz w:val="24"/>
          <w:szCs w:val="24"/>
          <w:vertAlign w:val="superscript"/>
          <w:rtl/>
          <w:lang w:val="ar-SA"/>
        </w:rPr>
        <w:t>)</w:t>
      </w:r>
    </w:p>
    <w:p w14:paraId="07C4ED43" w14:textId="77777777" w:rsidR="00454428" w:rsidRDefault="00C464EC">
      <w:pPr>
        <w:pStyle w:val="ListParagraph"/>
        <w:numPr>
          <w:ilvl w:val="0"/>
          <w:numId w:val="13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الحلول التقنية المبتكرة في جميع مجالات الصناعة</w:t>
      </w:r>
      <w:r>
        <w:rPr>
          <w:rStyle w:val="None"/>
          <w:rFonts w:ascii="Times New Roman" w:hAnsi="Times New Roman"/>
          <w:sz w:val="24"/>
          <w:szCs w:val="24"/>
          <w:rtl/>
          <w:lang w:val="ar-SA"/>
        </w:rPr>
        <w:t>.</w:t>
      </w:r>
    </w:p>
    <w:p w14:paraId="28CEE1D5" w14:textId="77777777" w:rsidR="00454428" w:rsidRDefault="00C464EC">
      <w:pPr>
        <w:pStyle w:val="ListParagraph"/>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والتي تحمي الإبداعات الفكرية الأصلية في الفنون الإبداعية</w:t>
      </w:r>
      <w:r>
        <w:rPr>
          <w:rStyle w:val="None"/>
          <w:rFonts w:ascii="Times New Roman" w:hAnsi="Times New Roman"/>
          <w:sz w:val="24"/>
          <w:szCs w:val="24"/>
          <w:rtl/>
          <w:lang w:val="ar-SA"/>
        </w:rPr>
        <w:t>.</w:t>
      </w:r>
    </w:p>
    <w:p w14:paraId="23BA6E97" w14:textId="77777777" w:rsidR="00454428" w:rsidRDefault="00C464EC">
      <w:pPr>
        <w:pStyle w:val="ListParagraph"/>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العلامات المميزة التي تُشير إلى أصل المنتج التجاري</w:t>
      </w:r>
      <w:r>
        <w:rPr>
          <w:rStyle w:val="None"/>
          <w:rFonts w:ascii="Times New Roman" w:hAnsi="Times New Roman"/>
          <w:sz w:val="24"/>
          <w:szCs w:val="24"/>
          <w:rtl/>
          <w:lang w:val="ar-SA"/>
        </w:rPr>
        <w:t>.</w:t>
      </w:r>
    </w:p>
    <w:p w14:paraId="423151E6" w14:textId="77777777" w:rsidR="00454428" w:rsidRDefault="00C464EC">
      <w:pPr>
        <w:pStyle w:val="ListParagraph"/>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التصاميم</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المظهر المرئي للمنتج</w:t>
      </w:r>
      <w:r>
        <w:rPr>
          <w:rStyle w:val="None"/>
          <w:rFonts w:ascii="Times New Roman" w:hAnsi="Times New Roman"/>
          <w:sz w:val="24"/>
          <w:szCs w:val="24"/>
          <w:rtl/>
          <w:lang w:val="ar-SA"/>
        </w:rPr>
        <w:t>.</w:t>
      </w:r>
    </w:p>
    <w:p w14:paraId="791FC37C" w14:textId="77777777" w:rsidR="00454428" w:rsidRDefault="00C464EC">
      <w:pPr>
        <w:pStyle w:val="ListParagraph"/>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البيانات السرية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يمكن أنْ تلجأ المؤسسة إلى حماية معلوماتها السرية من الاستغلال غير المشروع من خلال الحفاظ عليها كسرٍّ تجاري</w:t>
      </w:r>
      <w:r>
        <w:rPr>
          <w:rStyle w:val="None"/>
          <w:rFonts w:ascii="Times New Roman" w:hAnsi="Times New Roman"/>
          <w:sz w:val="24"/>
          <w:szCs w:val="24"/>
          <w:rtl/>
          <w:lang w:val="ar-SA"/>
        </w:rPr>
        <w:t>.</w:t>
      </w:r>
    </w:p>
    <w:p w14:paraId="529B719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لم يظهر نظام براءات اختراع حديث في فرنسا إلا في نهاية القرن الثامن عشر؛ حيث إنَّه في أعقاب الثورة الفرنسية، تحديًدا في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صوّتت الجمعية الوطنية على أول لائحة لبراءات الاختراع لتصبح قانونًا يمنح المخترعين احتكارًا لمدة خمس أو عشر أو خمس عشرة سنةً على اختراع شيء جديد، وقد حلت براءات الاختراع الجديدة محل امتيازات الاختراع التي كان يمنحها الملك لفترة طويلة خلال النظام القديم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9"/>
      </w:r>
      <w:r>
        <w:rPr>
          <w:rStyle w:val="None"/>
          <w:rFonts w:ascii="Times New Roman" w:hAnsi="Times New Roman"/>
          <w:sz w:val="24"/>
          <w:szCs w:val="24"/>
          <w:vertAlign w:val="superscript"/>
          <w:rtl/>
          <w:lang w:val="ar-SA"/>
        </w:rPr>
        <w:t>)</w:t>
      </w:r>
    </w:p>
    <w:p w14:paraId="0A0F295D" w14:textId="2FCD4CF3" w:rsidR="00454428" w:rsidRDefault="00C464EC"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كانت فرنسا من أوائل الدول الصناعية الكبرى التي اعتمدت تشريعًا بشأن 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ولعبت دورًا رائدًا في ظهور أولى اللوائح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الاتحاد الدولي لحماية الملكية الصناعية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اتحاد باريس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وعلى عكس النظام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فلسفة وتطبيق الملكية الفكرية في فرنسا، وهيكل أنظمة براءات الاختراع وحقوق التأليف والنشر، وأنماط الاختراع الناتجة عنها، كانت جميعها متسقةً مع الطبيعة الأوليغارشية للمجتمع الأوروبي، فقد ظلت السياسات التجارية الفرنسية قائمةً خلال القرن التاسع عشر على انعدام الثقة بالاختراعات الأجنبية، وتفضيل السرية، وتعزيز الاختراعات المحلية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0"/>
      </w:r>
      <w:r>
        <w:rPr>
          <w:rStyle w:val="None"/>
          <w:rFonts w:ascii="Times New Roman" w:hAnsi="Times New Roman"/>
          <w:sz w:val="24"/>
          <w:szCs w:val="24"/>
          <w:vertAlign w:val="superscript"/>
          <w:rtl/>
          <w:lang w:val="ar-SA"/>
        </w:rPr>
        <w:t>)</w:t>
      </w:r>
      <w:r w:rsidR="005E55B5">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تطوَّرت التشريعات الفرنسية المتعلقة بالملكية الفكرية من خلال التالي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1"/>
      </w:r>
      <w:r>
        <w:rPr>
          <w:rStyle w:val="None"/>
          <w:rFonts w:ascii="Times New Roman" w:hAnsi="Times New Roman"/>
          <w:sz w:val="24"/>
          <w:szCs w:val="24"/>
          <w:vertAlign w:val="superscript"/>
          <w:rtl/>
          <w:lang w:val="ar-SA"/>
        </w:rPr>
        <w:t>)</w:t>
      </w:r>
    </w:p>
    <w:p w14:paraId="02B29740" w14:textId="77777777" w:rsidR="00454428" w:rsidRDefault="00C464EC">
      <w:pPr>
        <w:pStyle w:val="ListParagraph"/>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1791</w:t>
      </w:r>
      <w:r>
        <w:rPr>
          <w:rStyle w:val="None"/>
          <w:rFonts w:cs="Times New Roman"/>
          <w:sz w:val="24"/>
          <w:szCs w:val="24"/>
          <w:rtl/>
          <w:lang w:val="ar-SA"/>
        </w:rPr>
        <w:t xml:space="preserve">، اعتمدت فرنسا </w:t>
      </w:r>
      <w:r>
        <w:rPr>
          <w:rStyle w:val="None"/>
          <w:rFonts w:ascii="Times New Roman" w:hAnsi="Times New Roman"/>
          <w:sz w:val="24"/>
          <w:szCs w:val="24"/>
          <w:rtl/>
          <w:lang w:val="ar-SA"/>
        </w:rPr>
        <w:t>-</w:t>
      </w:r>
      <w:r>
        <w:rPr>
          <w:rStyle w:val="None"/>
          <w:rFonts w:cs="Times New Roman"/>
          <w:sz w:val="24"/>
          <w:szCs w:val="24"/>
          <w:rtl/>
          <w:lang w:val="ar-SA"/>
        </w:rPr>
        <w:t>وهي دولة صناعية كبرى أخرى</w:t>
      </w:r>
      <w:r>
        <w:rPr>
          <w:rStyle w:val="None"/>
          <w:rFonts w:ascii="Times New Roman" w:hAnsi="Times New Roman"/>
          <w:sz w:val="24"/>
          <w:szCs w:val="24"/>
          <w:rtl/>
          <w:lang w:val="ar-SA"/>
        </w:rPr>
        <w:t xml:space="preserve">- </w:t>
      </w:r>
      <w:r>
        <w:rPr>
          <w:rStyle w:val="None"/>
          <w:rFonts w:cs="Times New Roman"/>
          <w:sz w:val="24"/>
          <w:szCs w:val="24"/>
          <w:rtl/>
          <w:lang w:val="ar-SA"/>
        </w:rPr>
        <w:t>تشريعاتٍ بشأن براءات الاختراع، مشابهةً لقانون إنجلترا</w:t>
      </w:r>
      <w:r>
        <w:rPr>
          <w:rStyle w:val="None"/>
          <w:rFonts w:ascii="Times New Roman" w:hAnsi="Times New Roman"/>
          <w:sz w:val="24"/>
          <w:szCs w:val="24"/>
          <w:rtl/>
          <w:lang w:val="ar-SA"/>
        </w:rPr>
        <w:t>.</w:t>
      </w:r>
    </w:p>
    <w:p w14:paraId="18612A26" w14:textId="77777777" w:rsidR="00454428" w:rsidRDefault="00C464EC">
      <w:pPr>
        <w:pStyle w:val="ListParagraph"/>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1857</w:t>
      </w:r>
      <w:r>
        <w:rPr>
          <w:rStyle w:val="None"/>
          <w:rFonts w:cs="Times New Roman"/>
          <w:sz w:val="24"/>
          <w:szCs w:val="24"/>
          <w:rtl/>
          <w:lang w:val="ar-SA"/>
        </w:rPr>
        <w:t>، وسّعت فرنسا رسميًا نطاق قانونها الثوري لحقوق المؤلف ليشمل مستعمراتها؛ حيث اعتُمدت قوانين الملكية الفكرية الفرنسية في مستعمراتها، وانتشرت أيضًا إلى دول أوروبية أخرى، مثل إسبانيا</w:t>
      </w:r>
      <w:r>
        <w:rPr>
          <w:rStyle w:val="None"/>
          <w:rFonts w:ascii="Times New Roman" w:hAnsi="Times New Roman"/>
          <w:sz w:val="24"/>
          <w:szCs w:val="24"/>
          <w:rtl/>
          <w:lang w:val="ar-SA"/>
        </w:rPr>
        <w:t>.</w:t>
      </w:r>
    </w:p>
    <w:p w14:paraId="629ABA9D" w14:textId="77777777" w:rsidR="00454428" w:rsidRDefault="00C464EC">
      <w:pPr>
        <w:pStyle w:val="ListParagraph"/>
        <w:widowControl w:val="0"/>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1883</w:t>
      </w:r>
      <w:r>
        <w:rPr>
          <w:rStyle w:val="None"/>
          <w:rFonts w:cs="Times New Roman"/>
          <w:sz w:val="24"/>
          <w:szCs w:val="24"/>
          <w:rtl/>
          <w:lang w:val="ar-SA"/>
        </w:rPr>
        <w:t>، وقّعت إحدى عشرة دولةً من بينها فرنسا على اتفاقية باريس، كاتفاقية دولية تُمكّن المخترعين من حماية ابتكاراتهم حتى لو تم استخدامها في دول أخرى</w:t>
      </w:r>
      <w:r>
        <w:rPr>
          <w:rStyle w:val="None"/>
          <w:rFonts w:ascii="Times New Roman" w:hAnsi="Times New Roman"/>
          <w:sz w:val="24"/>
          <w:szCs w:val="24"/>
          <w:rtl/>
          <w:lang w:val="ar-SA"/>
        </w:rPr>
        <w:t>.</w:t>
      </w:r>
    </w:p>
    <w:p w14:paraId="64F5FC77" w14:textId="77777777" w:rsidR="00454428" w:rsidRDefault="00C464EC">
      <w:pPr>
        <w:pStyle w:val="ListParagraph"/>
        <w:widowControl w:val="0"/>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1886</w:t>
      </w:r>
      <w:r>
        <w:rPr>
          <w:rStyle w:val="None"/>
          <w:rFonts w:cs="Times New Roman"/>
          <w:sz w:val="24"/>
          <w:szCs w:val="24"/>
          <w:rtl/>
          <w:lang w:val="ar-SA"/>
        </w:rPr>
        <w:t>، وعلى خطى اتفاقية باريس، قُبلت اتفاقية برن كاتفاقية دولية تُنظّم حقوق الطبع والنشر، وقد تم التوقيع عليها من قبل بلجيكا، وفرنسا، وألمانيا، وهايتي، وإيطاليا، وليبيريا، وإسبانيا، وسويسرا، وتونس، والمملكة المتحدة، كما شملت أيضًا أراضيها الاستعمارية في جميع أنحاء العالم</w:t>
      </w:r>
      <w:r>
        <w:rPr>
          <w:rStyle w:val="None"/>
          <w:rFonts w:ascii="Times New Roman" w:hAnsi="Times New Roman"/>
          <w:sz w:val="24"/>
          <w:szCs w:val="24"/>
          <w:rtl/>
          <w:lang w:val="ar-SA"/>
        </w:rPr>
        <w:t>.</w:t>
      </w:r>
    </w:p>
    <w:p w14:paraId="4BE33C7E" w14:textId="77777777" w:rsidR="00454428"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إنَّ القانوني الفرنسي قد شهد تحوُّلًا في مجال الملكية الفكرية، ففي عام صدر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تم إصدار أول قانون لبراءات الاختراع، فقد منح حماية لمدة تتراوح بين خمس إلى خمس عشرة سنةً، كما يشمل هذا القانون للملكية الفكرية براءات الاختراع، وحقوق الطبع والنشر، والعلامات التجارية، والتصاميم، فالقانون يهدف إلى استغلال إبداعاتهم قانونًا، كما لعبت فرنسا دورًا مهمًّا لانضمامها لاتفاقية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لحقوق المؤلف عام </w:t>
      </w:r>
      <w:r>
        <w:rPr>
          <w:rStyle w:val="None"/>
          <w:rFonts w:ascii="Times New Roman" w:hAnsi="Times New Roman"/>
          <w:sz w:val="24"/>
          <w:szCs w:val="24"/>
          <w:rtl/>
          <w:lang w:val="ar-SA"/>
        </w:rPr>
        <w:t>1886.</w:t>
      </w:r>
    </w:p>
    <w:p w14:paraId="679490C0" w14:textId="77777777" w:rsidR="00454428"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أنشأ مؤتمر باريس عام </w:t>
      </w:r>
      <w:r>
        <w:rPr>
          <w:rStyle w:val="None"/>
          <w:rFonts w:ascii="Times New Roman" w:hAnsi="Times New Roman"/>
          <w:sz w:val="24"/>
          <w:szCs w:val="24"/>
          <w:rtl/>
          <w:lang w:val="ar-SA"/>
        </w:rPr>
        <w:t xml:space="preserve">1878 </w:t>
      </w:r>
      <w:r>
        <w:rPr>
          <w:rStyle w:val="None"/>
          <w:rFonts w:ascii="Arial Unicode MS" w:hAnsi="Arial Unicode MS" w:cs="Times New Roman" w:hint="cs"/>
          <w:sz w:val="24"/>
          <w:szCs w:val="24"/>
          <w:rtl/>
          <w:lang w:val="ar-SA"/>
        </w:rPr>
        <w:t>لجنةً، نتج عنها في نهاية المطاف مسودة اتفاقية نوقشت في أول اجتماع رسمي حول النظام الدولي لحقوق الملكية الفكرية، وفي النهاية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صدّقت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دولةً على مسودة الاتفاقية هذه في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في شكل اتفاقية باريس للاتحاد الدولي لحماية الملكية الصناعية، وكانت الدول الموقعة الأصلية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بلجيكا، والبرتغال، وفرنسا، وغواتيمالا، وإيطاليا، وهولندا، وسان سلفادور، وصربيا، وإسبانيا، وسويسرا، ولم تقتصر الاتفاقية على براءات الاختراع فحسب، بل شملت أيضًا قوانين العلامات التجارية التي مكّنت سويسرا وهولندا، اللتين لا تملكان براءات اختراع، من الانضمام إلى الاتفاقية رغم عدم وجود قانون لبراءات الاختراع، وفي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وُقّعت اتفاقية برن بشأن حقوق التأليف والنشر، كما تم تعديل اتفاقية باريس لاحقًا عدة مرات لا سيما في أعوام </w:t>
      </w:r>
      <w:r>
        <w:rPr>
          <w:rStyle w:val="None"/>
          <w:rFonts w:ascii="Times New Roman" w:hAnsi="Times New Roman"/>
          <w:sz w:val="24"/>
          <w:szCs w:val="24"/>
          <w:rtl/>
          <w:lang w:val="ar-SA"/>
        </w:rPr>
        <w:t>1911</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1925</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1934</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1958</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بهدف تعزيز حقوق أصحاب براءات الاختراع، وشكَّلت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 جانب اتفاقية برن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أساس النظام الدولي لحقوق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8213EE" w14:textId="77777777" w:rsidR="00454428"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وعندما وُقِّعت اتفاقية باريس لحماية الملكية الفكرية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لم يكن أحد ليتوقع التأثير العميق الذي أحدثته فرنسا على المشهد العالمي للملكية الفكرية؛ حيث قد مهدت هذه اللحظة التاريخية الطريق لرحلة استثنائية من الابتكار والريادة، ومع تأسيس الجمعية الفرنسية لحماية الملكية الفكرية عام </w:t>
      </w:r>
      <w:r>
        <w:rPr>
          <w:rStyle w:val="None"/>
          <w:rFonts w:ascii="Times New Roman" w:hAnsi="Times New Roman"/>
          <w:sz w:val="24"/>
          <w:szCs w:val="24"/>
          <w:rtl/>
          <w:lang w:val="ar-SA"/>
        </w:rPr>
        <w:t>1897</w:t>
      </w:r>
      <w:r>
        <w:rPr>
          <w:rStyle w:val="None"/>
          <w:rFonts w:ascii="Arial Unicode MS" w:hAnsi="Arial Unicode MS" w:cs="Times New Roman" w:hint="cs"/>
          <w:sz w:val="24"/>
          <w:szCs w:val="24"/>
          <w:rtl/>
          <w:lang w:val="ar-SA"/>
        </w:rPr>
        <w:t>، كان الأعضاء الفَرنسيون في طليعة الحركة، ليس فقط كمشاركين، بل كمهندسين لحركةٍ ساهمت في تشكيل وتنسيق الملكية الفكرية عالميًا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3"/>
      </w:r>
      <w:r>
        <w:rPr>
          <w:rStyle w:val="None"/>
          <w:rFonts w:ascii="Times New Roman" w:hAnsi="Times New Roman"/>
          <w:sz w:val="24"/>
          <w:szCs w:val="24"/>
          <w:vertAlign w:val="superscript"/>
          <w:rtl/>
          <w:lang w:val="ar-SA"/>
        </w:rPr>
        <w:t>)</w:t>
      </w:r>
    </w:p>
    <w:p w14:paraId="1E4366CF" w14:textId="77777777" w:rsidR="00454428" w:rsidRDefault="00C464EC"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النظام الفَرنسي يعترف بحزمتين مترابطتين من الحقوق؛ حيث تحمي حزمة واحدة في المقام الأول المصالح الاقتصادية في العمل الإبداعي، وهي الحقوق التراثية، بينما تحمي حزمة أخرى في المقام الأول القيم الأخرى غير الاقتصادية في العمل، وهي الحقوق الأخلاقية،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القانون الأخلاقي هو جزء من قانون الملكية الفكرية الفَرنسي، الذي يركز بشكل أساسي على الحقوق غير الاقتصادية في العمل الإبداعي، وفي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 xml:space="preserve">1957 </w:t>
      </w:r>
      <w:r>
        <w:rPr>
          <w:rStyle w:val="None"/>
          <w:rFonts w:ascii="Arial Unicode MS" w:hAnsi="Arial Unicode MS" w:cs="Times New Roman" w:hint="cs"/>
          <w:sz w:val="24"/>
          <w:szCs w:val="24"/>
          <w:rtl/>
          <w:lang w:val="ar-SA"/>
        </w:rPr>
        <w:t>سنّ المشرع الفرنسي أول قانون له لحماية المصالح غير الاقتصادية في العمل الإبداعي، وتتكوَّن حزمة الحقوق المعروفة باسم القانون الأخلاقي من أربعة حقوق أساسية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4"/>
      </w:r>
      <w:r>
        <w:rPr>
          <w:rStyle w:val="None"/>
          <w:rFonts w:ascii="Times New Roman" w:hAnsi="Times New Roman"/>
          <w:sz w:val="24"/>
          <w:szCs w:val="24"/>
          <w:vertAlign w:val="superscript"/>
          <w:rtl/>
          <w:lang w:val="ar-SA"/>
        </w:rPr>
        <w:t>)</w:t>
      </w:r>
    </w:p>
    <w:p w14:paraId="1ACBC268" w14:textId="77777777" w:rsidR="00454428" w:rsidRDefault="00C464EC">
      <w:pPr>
        <w:pStyle w:val="ListParagraph"/>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حق الإسناد</w:t>
      </w:r>
      <w:r>
        <w:rPr>
          <w:rStyle w:val="None"/>
          <w:rFonts w:ascii="Times New Roman" w:hAnsi="Times New Roman"/>
          <w:b/>
          <w:bCs/>
          <w:sz w:val="24"/>
          <w:szCs w:val="24"/>
          <w:rtl/>
          <w:lang w:val="ar-SA"/>
        </w:rPr>
        <w:t>:</w:t>
      </w:r>
      <w:r>
        <w:rPr>
          <w:rStyle w:val="None"/>
          <w:rFonts w:cs="Times New Roman"/>
          <w:sz w:val="24"/>
          <w:szCs w:val="24"/>
          <w:rtl/>
          <w:lang w:val="ar-SA"/>
        </w:rPr>
        <w:t xml:space="preserve"> حيث يتم ربط اسم المؤلف بشكل صحيح بعمله الإبداعي</w:t>
      </w:r>
      <w:r>
        <w:rPr>
          <w:rStyle w:val="None"/>
          <w:rFonts w:ascii="Times New Roman" w:hAnsi="Times New Roman"/>
          <w:sz w:val="24"/>
          <w:szCs w:val="24"/>
          <w:rtl/>
          <w:lang w:val="ar-SA"/>
        </w:rPr>
        <w:t>.</w:t>
      </w:r>
    </w:p>
    <w:p w14:paraId="15EDD3E5" w14:textId="77777777" w:rsidR="00454428" w:rsidRDefault="00C464EC">
      <w:pPr>
        <w:pStyle w:val="ListParagraph"/>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النزاهة</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النزاهة للمؤلف بالحفاظ على السيطرة الإبداعية على العمل بعد بيعه؛ بحيث لا يمكن للمالك الجديد تعديل العمل إلا بإذن من الشخص الذي أنشأه</w:t>
      </w:r>
      <w:r>
        <w:rPr>
          <w:rStyle w:val="None"/>
          <w:rFonts w:ascii="Times New Roman" w:hAnsi="Times New Roman"/>
          <w:sz w:val="24"/>
          <w:szCs w:val="24"/>
          <w:rtl/>
          <w:lang w:val="ar-SA"/>
        </w:rPr>
        <w:t>.</w:t>
      </w:r>
    </w:p>
    <w:p w14:paraId="5FE6AFF0" w14:textId="77777777" w:rsidR="00454428" w:rsidRDefault="00C464EC">
      <w:pPr>
        <w:pStyle w:val="ListParagraph"/>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 حق الإفصاح</w:t>
      </w:r>
      <w:r>
        <w:rPr>
          <w:rStyle w:val="None"/>
          <w:rFonts w:ascii="Times New Roman" w:hAnsi="Times New Roman"/>
          <w:b/>
          <w:bCs/>
          <w:sz w:val="24"/>
          <w:szCs w:val="24"/>
          <w:rtl/>
          <w:lang w:val="ar-SA"/>
        </w:rPr>
        <w:t>:</w:t>
      </w:r>
      <w:r>
        <w:rPr>
          <w:rStyle w:val="None"/>
          <w:rFonts w:cs="Times New Roman"/>
          <w:sz w:val="24"/>
          <w:szCs w:val="24"/>
          <w:rtl/>
          <w:lang w:val="ar-SA"/>
        </w:rPr>
        <w:t xml:space="preserve"> ويمنح حق الإفصاح المؤلف سلطة حصرية لتحديد موعد الانتهاء من العمل وإمكانية الكشف عنه للجمهور</w:t>
      </w:r>
      <w:r>
        <w:rPr>
          <w:rStyle w:val="None"/>
          <w:rFonts w:ascii="Times New Roman" w:hAnsi="Times New Roman"/>
          <w:sz w:val="24"/>
          <w:szCs w:val="24"/>
          <w:rtl/>
          <w:lang w:val="ar-SA"/>
        </w:rPr>
        <w:t>.</w:t>
      </w:r>
    </w:p>
    <w:p w14:paraId="2FF8696C" w14:textId="77777777" w:rsidR="00454428" w:rsidRDefault="00C464EC">
      <w:pPr>
        <w:pStyle w:val="ListParagraph"/>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السحب</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السحب للمؤلف باستعادة العمل، وسحبه من العالم</w:t>
      </w:r>
      <w:r>
        <w:rPr>
          <w:rStyle w:val="None"/>
          <w:rFonts w:ascii="Times New Roman" w:hAnsi="Times New Roman"/>
          <w:sz w:val="24"/>
          <w:szCs w:val="24"/>
          <w:rtl/>
          <w:lang w:val="ar-SA"/>
        </w:rPr>
        <w:t>.</w:t>
      </w:r>
    </w:p>
    <w:p w14:paraId="67F128E7" w14:textId="77777777" w:rsidR="00454428" w:rsidRDefault="00C464EC"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حقوق الملكية الفكرية إلى الأقسام التالية وفقًا للقانون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5"/>
      </w:r>
      <w:r>
        <w:rPr>
          <w:rStyle w:val="None"/>
          <w:rFonts w:ascii="Times New Roman" w:hAnsi="Times New Roman"/>
          <w:sz w:val="24"/>
          <w:szCs w:val="24"/>
          <w:vertAlign w:val="superscript"/>
          <w:rtl/>
          <w:lang w:val="ar-SA"/>
        </w:rPr>
        <w:t>)</w:t>
      </w:r>
    </w:p>
    <w:p w14:paraId="29BB0980" w14:textId="77777777" w:rsidR="00454428" w:rsidRDefault="00C464EC">
      <w:pPr>
        <w:pStyle w:val="ListParagraph"/>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براءة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يُمنح هذا الحق للاختراعات الجديدة وفق المادة </w:t>
      </w:r>
      <w:r>
        <w:rPr>
          <w:rStyle w:val="None"/>
          <w:rFonts w:ascii="Times New Roman" w:hAnsi="Times New Roman"/>
          <w:sz w:val="24"/>
          <w:szCs w:val="24"/>
        </w:rPr>
        <w:t>L. 611-11</w:t>
      </w:r>
      <w:r>
        <w:rPr>
          <w:rStyle w:val="None"/>
          <w:rFonts w:cs="Times New Roman"/>
          <w:sz w:val="24"/>
          <w:szCs w:val="24"/>
          <w:rtl/>
          <w:lang w:val="ar-SA"/>
        </w:rPr>
        <w:t xml:space="preserve"> من قانون الملكية الفكرية؛ حيث يتم منح براءات الاختراع لمدة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عامًا من تاريخ تقديم الطلب وفق المادة </w:t>
      </w:r>
      <w:r>
        <w:rPr>
          <w:rStyle w:val="None"/>
          <w:rFonts w:ascii="Times New Roman" w:hAnsi="Times New Roman"/>
          <w:sz w:val="24"/>
          <w:szCs w:val="24"/>
        </w:rPr>
        <w:t>L. 611-2</w:t>
      </w:r>
      <w:r>
        <w:rPr>
          <w:rStyle w:val="None"/>
          <w:rFonts w:cs="Times New Roman"/>
          <w:sz w:val="24"/>
          <w:szCs w:val="24"/>
          <w:rtl/>
          <w:lang w:val="ar-SA"/>
        </w:rPr>
        <w:t xml:space="preserve"> من قانون الملكية الفكرية، ولا يمكن تجديد أو تمديد براءات الاختراع، باستثناء براءات الاختراع الدوائية والصيدلانية النباتية؛ حيث يمكن تمديد حمايتها لفترة إضافية محددة</w:t>
      </w:r>
      <w:r>
        <w:rPr>
          <w:rStyle w:val="None"/>
          <w:rFonts w:ascii="Times New Roman" w:hAnsi="Times New Roman"/>
          <w:sz w:val="24"/>
          <w:szCs w:val="24"/>
          <w:rtl/>
          <w:lang w:val="ar-SA"/>
        </w:rPr>
        <w:t xml:space="preserve">. </w:t>
      </w:r>
    </w:p>
    <w:p w14:paraId="07683657" w14:textId="77777777" w:rsidR="00454428" w:rsidRPr="001B60C2" w:rsidRDefault="00C464EC">
      <w:pPr>
        <w:pStyle w:val="ListParagraph"/>
        <w:widowControl w:val="0"/>
        <w:numPr>
          <w:ilvl w:val="0"/>
          <w:numId w:val="146"/>
        </w:numPr>
        <w:spacing w:before="120" w:after="120" w:line="360" w:lineRule="auto"/>
        <w:jc w:val="both"/>
        <w:rPr>
          <w:rStyle w:val="None"/>
          <w:rFonts w:cs="Arial Unicode MS" w:hint="default"/>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لتسجيل العلامة التجارية، يجب أنْ تُمثَّل بطريقة تُمكِّن الجهات المختصة والجمهور من تحديد موضوع الحماية الممنوحة لمالكها بوضوح ودقة، وأنْ تكون مميزة وغير مضللة، ويتولى المعهد الوطني للملكية الصناعية </w:t>
      </w:r>
      <w:r>
        <w:rPr>
          <w:rStyle w:val="None"/>
          <w:rFonts w:ascii="Times New Roman" w:hAnsi="Times New Roman"/>
          <w:sz w:val="24"/>
          <w:szCs w:val="24"/>
          <w:rtl/>
          <w:lang w:val="ar-SA"/>
        </w:rPr>
        <w:t>(</w:t>
      </w:r>
      <w:r>
        <w:rPr>
          <w:rStyle w:val="None"/>
          <w:rFonts w:ascii="Times New Roman" w:hAnsi="Times New Roman"/>
          <w:sz w:val="24"/>
          <w:szCs w:val="24"/>
        </w:rPr>
        <w:t>INPI</w:t>
      </w:r>
      <w:r>
        <w:rPr>
          <w:rStyle w:val="None"/>
          <w:rFonts w:ascii="Times New Roman" w:hAnsi="Times New Roman"/>
          <w:sz w:val="24"/>
          <w:szCs w:val="24"/>
          <w:rtl/>
          <w:lang w:val="ar-SA"/>
        </w:rPr>
        <w:t xml:space="preserve">) </w:t>
      </w:r>
      <w:r>
        <w:rPr>
          <w:rStyle w:val="None"/>
          <w:rFonts w:cs="Times New Roman"/>
          <w:sz w:val="24"/>
          <w:szCs w:val="24"/>
          <w:rtl/>
          <w:lang w:val="ar-SA"/>
        </w:rPr>
        <w:t>مسئولية تسجيل العلامات التجارية، وبتسجيل العلامة التجارية لدى المعهد، يحصل مقدم الطلب على حق حصري في استخدام العلامة التجارية على الأراضي الفَرنسية لمدة عشر سنواتٍ، قابلة للتجديد لأجل غير مسمى</w:t>
      </w:r>
      <w:r>
        <w:rPr>
          <w:rStyle w:val="None"/>
          <w:rFonts w:ascii="Times New Roman" w:hAnsi="Times New Roman"/>
          <w:sz w:val="24"/>
          <w:szCs w:val="24"/>
          <w:rtl/>
          <w:lang w:val="ar-SA"/>
        </w:rPr>
        <w:t>.</w:t>
      </w:r>
    </w:p>
    <w:p w14:paraId="4FCA46F5" w14:textId="77777777" w:rsidR="001B60C2" w:rsidRDefault="001B60C2">
      <w:pPr>
        <w:pStyle w:val="ListParagraph"/>
        <w:widowControl w:val="0"/>
        <w:numPr>
          <w:ilvl w:val="0"/>
          <w:numId w:val="146"/>
        </w:numPr>
        <w:spacing w:before="120" w:after="120" w:line="360" w:lineRule="auto"/>
        <w:jc w:val="both"/>
        <w:rPr>
          <w:rFonts w:cs="Times New Roman" w:hint="default"/>
          <w:sz w:val="24"/>
          <w:szCs w:val="24"/>
          <w:rtl/>
          <w:lang w:val="ar-SA"/>
        </w:rPr>
      </w:pPr>
    </w:p>
    <w:p w14:paraId="43F95BFB" w14:textId="77777777" w:rsidR="00454428" w:rsidRDefault="00C464EC">
      <w:pPr>
        <w:pStyle w:val="ListParagraph"/>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تنص المادة </w:t>
      </w:r>
      <w:r>
        <w:rPr>
          <w:rStyle w:val="None"/>
          <w:rFonts w:ascii="Times New Roman" w:hAnsi="Times New Roman"/>
          <w:sz w:val="24"/>
          <w:szCs w:val="24"/>
        </w:rPr>
        <w:t>L. 112-2</w:t>
      </w:r>
      <w:r>
        <w:rPr>
          <w:rStyle w:val="None"/>
          <w:rFonts w:cs="Times New Roman"/>
          <w:sz w:val="24"/>
          <w:szCs w:val="24"/>
          <w:rtl/>
          <w:lang w:val="ar-SA"/>
        </w:rPr>
        <w:t xml:space="preserve"> من قانون الملكية الفكرية على قائمة من الأعمال، التي تندرج ضمن نطاق الحماية، 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والأعمال الفنية؛ حيث تتمتع جميع أنواع الأعمال بحماية حقوق الطبع والنشر طالما كانت أصلية، أي تحمل اسم وتوقيع المؤلف</w:t>
      </w:r>
      <w:r>
        <w:rPr>
          <w:rStyle w:val="None"/>
          <w:rFonts w:ascii="Times New Roman" w:hAnsi="Times New Roman"/>
          <w:sz w:val="24"/>
          <w:szCs w:val="24"/>
          <w:rtl/>
          <w:lang w:val="ar-SA"/>
        </w:rPr>
        <w:t>.</w:t>
      </w:r>
    </w:p>
    <w:p w14:paraId="504A84C0" w14:textId="77777777" w:rsidR="00454428" w:rsidRDefault="00C464EC">
      <w:pPr>
        <w:pStyle w:val="ListParagraph"/>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الأسرار التجارية محميةً بموجب القانون رقم </w:t>
      </w:r>
      <w:r>
        <w:rPr>
          <w:rStyle w:val="None"/>
          <w:rFonts w:ascii="Times New Roman" w:hAnsi="Times New Roman"/>
          <w:sz w:val="24"/>
          <w:szCs w:val="24"/>
          <w:rtl/>
          <w:lang w:val="ar-SA"/>
        </w:rPr>
        <w:t xml:space="preserve">2018-670 </w:t>
      </w:r>
      <w:r>
        <w:rPr>
          <w:rStyle w:val="None"/>
          <w:rFonts w:cs="Times New Roman"/>
          <w:sz w:val="24"/>
          <w:szCs w:val="24"/>
          <w:rtl/>
          <w:lang w:val="ar-SA"/>
        </w:rPr>
        <w:t xml:space="preserve">المؤرخ </w:t>
      </w:r>
      <w:r>
        <w:rPr>
          <w:rStyle w:val="None"/>
          <w:rFonts w:ascii="Times New Roman" w:hAnsi="Times New Roman"/>
          <w:sz w:val="24"/>
          <w:szCs w:val="24"/>
          <w:rtl/>
          <w:lang w:val="ar-SA"/>
        </w:rPr>
        <w:t xml:space="preserve">30 </w:t>
      </w:r>
      <w:r>
        <w:rPr>
          <w:rStyle w:val="None"/>
          <w:rFonts w:cs="Times New Roman"/>
          <w:sz w:val="24"/>
          <w:szCs w:val="24"/>
          <w:rtl/>
          <w:lang w:val="ar-SA"/>
        </w:rPr>
        <w:t xml:space="preserve">يوليو </w:t>
      </w:r>
      <w:r>
        <w:rPr>
          <w:rStyle w:val="None"/>
          <w:rFonts w:ascii="Times New Roman" w:hAnsi="Times New Roman"/>
          <w:sz w:val="24"/>
          <w:szCs w:val="24"/>
          <w:rtl/>
          <w:lang w:val="ar-SA"/>
        </w:rPr>
        <w:t>2018</w:t>
      </w:r>
      <w:r>
        <w:rPr>
          <w:rStyle w:val="None"/>
          <w:rFonts w:cs="Times New Roman"/>
          <w:sz w:val="24"/>
          <w:szCs w:val="24"/>
          <w:rtl/>
          <w:lang w:val="ar-SA"/>
        </w:rPr>
        <w:t>، والمتعلق بحماية الأسرار التجارية؛ حيث إنَّ المستفيد من حماية الأسرار التجارية هو المالك الشرعي، أي الشخص الذي يتحكم بها قانونًا،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لا يجوز نشر تلك الأسرار دون إذن من مالكها، وذلك وفق المادة </w:t>
      </w:r>
      <w:r>
        <w:rPr>
          <w:rStyle w:val="None"/>
          <w:rFonts w:ascii="Times New Roman" w:hAnsi="Times New Roman"/>
          <w:sz w:val="24"/>
          <w:szCs w:val="24"/>
        </w:rPr>
        <w:t>L.151-2</w:t>
      </w:r>
      <w:r>
        <w:rPr>
          <w:rStyle w:val="None"/>
          <w:rFonts w:cs="Times New Roman"/>
          <w:sz w:val="24"/>
          <w:szCs w:val="24"/>
          <w:rtl/>
          <w:lang w:val="ar-SA"/>
        </w:rPr>
        <w:t xml:space="preserve"> من القانون التجاري</w:t>
      </w:r>
      <w:r>
        <w:rPr>
          <w:rStyle w:val="None"/>
          <w:rFonts w:ascii="Times New Roman" w:hAnsi="Times New Roman"/>
          <w:sz w:val="24"/>
          <w:szCs w:val="24"/>
          <w:rtl/>
          <w:lang w:val="ar-SA"/>
        </w:rPr>
        <w:t>.</w:t>
      </w:r>
    </w:p>
    <w:p w14:paraId="55D3880D" w14:textId="77777777" w:rsidR="00454428" w:rsidRDefault="00C464EC">
      <w:pPr>
        <w:pStyle w:val="ListParagraph"/>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w:t>
      </w:r>
      <w:r>
        <w:rPr>
          <w:rStyle w:val="None"/>
          <w:rFonts w:cs="Times New Roman"/>
          <w:sz w:val="24"/>
          <w:szCs w:val="24"/>
          <w:rtl/>
          <w:lang w:val="ar-SA"/>
        </w:rPr>
        <w:t xml:space="preserve"> يمكن حماية قواعد البيانات </w:t>
      </w:r>
      <w:r>
        <w:rPr>
          <w:rStyle w:val="None"/>
          <w:rFonts w:ascii="Times New Roman" w:hAnsi="Times New Roman"/>
          <w:sz w:val="24"/>
          <w:szCs w:val="24"/>
          <w:rtl/>
          <w:lang w:val="ar-SA"/>
        </w:rPr>
        <w:t>-</w:t>
      </w:r>
      <w:r>
        <w:rPr>
          <w:rStyle w:val="None"/>
          <w:rFonts w:cs="Times New Roman"/>
          <w:sz w:val="24"/>
          <w:szCs w:val="24"/>
          <w:rtl/>
          <w:lang w:val="ar-SA"/>
        </w:rPr>
        <w:t xml:space="preserve">كما هو مُعرّف في المادة </w:t>
      </w:r>
      <w:r>
        <w:rPr>
          <w:rStyle w:val="None"/>
          <w:rFonts w:ascii="Times New Roman" w:hAnsi="Times New Roman"/>
          <w:sz w:val="24"/>
          <w:szCs w:val="24"/>
        </w:rPr>
        <w:t>L. 112-3 al.2</w:t>
      </w:r>
      <w:r>
        <w:rPr>
          <w:rStyle w:val="None"/>
          <w:rFonts w:cs="Times New Roman"/>
          <w:sz w:val="24"/>
          <w:szCs w:val="24"/>
          <w:rtl/>
          <w:lang w:val="ar-SA"/>
        </w:rPr>
        <w:t xml:space="preserve"> من قانون البراءات الدولي</w:t>
      </w:r>
      <w:r>
        <w:rPr>
          <w:rStyle w:val="None"/>
          <w:rFonts w:ascii="Times New Roman" w:hAnsi="Times New Roman"/>
          <w:sz w:val="24"/>
          <w:szCs w:val="24"/>
          <w:rtl/>
          <w:lang w:val="ar-SA"/>
        </w:rPr>
        <w:t xml:space="preserve">- </w:t>
      </w:r>
      <w:r>
        <w:rPr>
          <w:rStyle w:val="None"/>
          <w:rFonts w:cs="Times New Roman"/>
          <w:sz w:val="24"/>
          <w:szCs w:val="24"/>
          <w:rtl/>
          <w:lang w:val="ar-SA"/>
        </w:rPr>
        <w:t>بنوعين من حقوق الملكية الفكرية</w:t>
      </w:r>
      <w:r>
        <w:rPr>
          <w:rStyle w:val="None"/>
          <w:rFonts w:ascii="Times New Roman" w:hAnsi="Times New Roman"/>
          <w:sz w:val="24"/>
          <w:szCs w:val="24"/>
          <w:rtl/>
          <w:lang w:val="ar-SA"/>
        </w:rPr>
        <w:t xml:space="preserve">: </w:t>
      </w:r>
      <w:r>
        <w:rPr>
          <w:rStyle w:val="None"/>
          <w:rFonts w:cs="Times New Roman"/>
          <w:sz w:val="24"/>
          <w:szCs w:val="24"/>
          <w:rtl/>
          <w:lang w:val="ar-SA"/>
        </w:rPr>
        <w:t>حقوق الطبع والنشر وحقوق قواعد البيانات الخاصة</w:t>
      </w:r>
      <w:r>
        <w:rPr>
          <w:rStyle w:val="None"/>
          <w:rFonts w:ascii="Times New Roman" w:hAnsi="Times New Roman"/>
          <w:sz w:val="24"/>
          <w:szCs w:val="24"/>
          <w:rtl/>
          <w:lang w:val="ar-SA"/>
        </w:rPr>
        <w:t>.</w:t>
      </w:r>
    </w:p>
    <w:p w14:paraId="2F172D72" w14:textId="77777777" w:rsidR="00454428" w:rsidRDefault="00C464EC">
      <w:pPr>
        <w:pStyle w:val="ListParagraph"/>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أسماء النطاقات</w:t>
      </w:r>
      <w:r>
        <w:rPr>
          <w:rStyle w:val="None"/>
          <w:rFonts w:ascii="Times New Roman" w:hAnsi="Times New Roman"/>
          <w:b/>
          <w:bCs/>
          <w:sz w:val="24"/>
          <w:szCs w:val="24"/>
          <w:rtl/>
          <w:lang w:val="ar-SA"/>
        </w:rPr>
        <w:t>:</w:t>
      </w:r>
      <w:r>
        <w:rPr>
          <w:rStyle w:val="None"/>
          <w:rFonts w:cs="Times New Roman"/>
          <w:sz w:val="24"/>
          <w:szCs w:val="24"/>
          <w:rtl/>
          <w:lang w:val="ar-SA"/>
        </w:rPr>
        <w:t xml:space="preserve"> يمنح تسجيل اسم النطاق حق الاستخدام خلال فترة زمنية محددة، يُمنح هذا الحق للشخص الذي يطلب الحجز أولًا، ولحجز اسم نطاق، يجب التواصل مع الهيئة الفرنسية المسئولة عن إدارته وفقً للقانون الفرنسي</w:t>
      </w:r>
      <w:r>
        <w:rPr>
          <w:rStyle w:val="None"/>
          <w:rFonts w:ascii="Times New Roman" w:hAnsi="Times New Roman"/>
          <w:sz w:val="24"/>
          <w:szCs w:val="24"/>
          <w:rtl/>
          <w:lang w:val="ar-SA"/>
        </w:rPr>
        <w:t>.</w:t>
      </w:r>
    </w:p>
    <w:p w14:paraId="2737364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أكدت فرنسا على المضي قدمًا نحو الملكية الفكرية من خلال التوقيع على الاتفاقيات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6"/>
      </w:r>
      <w:r>
        <w:rPr>
          <w:rStyle w:val="None"/>
          <w:rFonts w:ascii="Times New Roman" w:hAnsi="Times New Roman"/>
          <w:sz w:val="24"/>
          <w:szCs w:val="24"/>
          <w:vertAlign w:val="superscript"/>
          <w:rtl/>
          <w:lang w:val="ar-SA"/>
        </w:rPr>
        <w:t>)</w:t>
      </w:r>
    </w:p>
    <w:p w14:paraId="0C29D654" w14:textId="77777777" w:rsidR="00454428" w:rsidRDefault="00C464EC">
      <w:pPr>
        <w:pStyle w:val="ListParagraph"/>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الاتفاقية الدولية لحماية الملكية الفكرية على الأرجح أهم معاهدة متعددة الأطراف في مجال الملكية الفكرية، وتُعرف باسم </w:t>
      </w:r>
      <w:r>
        <w:rPr>
          <w:rStyle w:val="None"/>
          <w:rFonts w:ascii="Times New Roman" w:hAnsi="Times New Roman"/>
          <w:sz w:val="24"/>
          <w:szCs w:val="24"/>
          <w:rtl/>
          <w:lang w:val="ar-SA"/>
        </w:rPr>
        <w:t>"</w:t>
      </w:r>
      <w:r>
        <w:rPr>
          <w:rStyle w:val="None"/>
          <w:rFonts w:cs="Times New Roman"/>
          <w:sz w:val="24"/>
          <w:szCs w:val="24"/>
          <w:rtl/>
          <w:lang w:val="ar-SA"/>
        </w:rPr>
        <w:t>اتفاقية باريس</w:t>
      </w:r>
      <w:r>
        <w:rPr>
          <w:rStyle w:val="None"/>
          <w:rFonts w:ascii="Times New Roman" w:hAnsi="Times New Roman"/>
          <w:sz w:val="24"/>
          <w:szCs w:val="24"/>
          <w:rtl/>
          <w:lang w:val="ar-SA"/>
        </w:rPr>
        <w:t>"</w:t>
      </w:r>
      <w:r>
        <w:rPr>
          <w:rStyle w:val="None"/>
          <w:rFonts w:cs="Times New Roman"/>
          <w:sz w:val="24"/>
          <w:szCs w:val="24"/>
          <w:rtl/>
          <w:lang w:val="ar-SA"/>
        </w:rPr>
        <w:t xml:space="preserve">، والتي صادقت </w:t>
      </w:r>
      <w:r>
        <w:rPr>
          <w:rStyle w:val="None"/>
          <w:rFonts w:ascii="Times New Roman" w:hAnsi="Times New Roman"/>
          <w:sz w:val="24"/>
          <w:szCs w:val="24"/>
          <w:rtl/>
          <w:lang w:val="ar-SA"/>
        </w:rPr>
        <w:t xml:space="preserve">56 </w:t>
      </w:r>
      <w:r>
        <w:rPr>
          <w:rStyle w:val="None"/>
          <w:rFonts w:cs="Times New Roman"/>
          <w:sz w:val="24"/>
          <w:szCs w:val="24"/>
          <w:rtl/>
          <w:lang w:val="ar-SA"/>
        </w:rPr>
        <w:t>دولةً على أحدث نسخة مُعدّلة من نصّها، الذي يغطي مجموعةً واسعةً من حقوق الملكية الفكرية،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والتصاميم الصناعية، والعلامات التجارية، والأسماء التجارية، وعلامات الخدمة، والعلامات الجماعية، والمنافسة غير العادلة</w:t>
      </w:r>
      <w:r>
        <w:rPr>
          <w:rStyle w:val="None"/>
          <w:rFonts w:ascii="Times New Roman" w:hAnsi="Times New Roman"/>
          <w:sz w:val="24"/>
          <w:szCs w:val="24"/>
          <w:rtl/>
          <w:lang w:val="ar-SA"/>
        </w:rPr>
        <w:t xml:space="preserve">. </w:t>
      </w:r>
    </w:p>
    <w:p w14:paraId="3C0FFF27" w14:textId="77777777" w:rsidR="00454428" w:rsidRDefault="00C464EC">
      <w:pPr>
        <w:pStyle w:val="ListParagraph"/>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تُعَدُّ اتفاقية برن، التي وُضعت عام </w:t>
      </w:r>
      <w:r>
        <w:rPr>
          <w:rStyle w:val="None"/>
          <w:rFonts w:ascii="Times New Roman" w:hAnsi="Times New Roman"/>
          <w:sz w:val="24"/>
          <w:szCs w:val="24"/>
          <w:rtl/>
          <w:lang w:val="ar-SA"/>
        </w:rPr>
        <w:t>1886</w:t>
      </w:r>
      <w:r>
        <w:rPr>
          <w:rStyle w:val="None"/>
          <w:rFonts w:cs="Times New Roman"/>
          <w:sz w:val="24"/>
          <w:szCs w:val="24"/>
          <w:rtl/>
          <w:lang w:val="ar-SA"/>
        </w:rPr>
        <w:t>، الاتفاقية الدولية الرئيسية المتعلقة بحماية حقوق النشر، وتستند اتفاقية برن إلى مبدأ المعاملة الوطنية، وتفرض معايير دنيا لحماية حقوق النشر، وتمنح اتفاقية برن المواطنين الأجانب نفس الحماية والمزايا الممنوحة لمواطني أي دولة عضو دون تمييز</w:t>
      </w:r>
      <w:r>
        <w:rPr>
          <w:rStyle w:val="None"/>
          <w:rFonts w:ascii="Times New Roman" w:hAnsi="Times New Roman"/>
          <w:sz w:val="24"/>
          <w:szCs w:val="24"/>
          <w:rtl/>
          <w:lang w:val="ar-SA"/>
        </w:rPr>
        <w:t>.</w:t>
      </w:r>
    </w:p>
    <w:p w14:paraId="4CBC3C35" w14:textId="77777777" w:rsidR="00454428" w:rsidRDefault="00C464EC">
      <w:pPr>
        <w:pStyle w:val="ListParagraph"/>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براءات الاختراع الأوروبية</w:t>
      </w:r>
      <w:r>
        <w:rPr>
          <w:rStyle w:val="None"/>
          <w:rFonts w:ascii="Times New Roman" w:hAnsi="Times New Roman"/>
          <w:b/>
          <w:bCs/>
          <w:sz w:val="24"/>
          <w:szCs w:val="24"/>
          <w:rtl/>
          <w:lang w:val="ar-SA"/>
        </w:rPr>
        <w:t>:</w:t>
      </w:r>
      <w:r>
        <w:rPr>
          <w:rStyle w:val="None"/>
          <w:rFonts w:cs="Times New Roman"/>
          <w:sz w:val="24"/>
          <w:szCs w:val="24"/>
          <w:rtl/>
          <w:lang w:val="ar-SA"/>
        </w:rPr>
        <w:t xml:space="preserve"> وقد أُنشأت اتفاقية براءات الاختراع الأوروبية بواسطة مكتب براءات الاختراع الأوروبي، ومقره ألمانيا، وتُطبق الاتفاقية حاليًا على معظم الدول الأعضاء في الجماعة الاقتصادية الأوروبية، وعلى العديد من الدول الأوروبية الأخرى، وتنص اتفاقية براءات الاختراع الأوروبية على تقديم طلب واحد باللغة الإنجليزية، أو الألمانية، أو الفرنسية؛ حيث يُجرى عليه بحث وفحص مركزيان، وبمجرد قبول براءة الاختراع، وتقديم الرسوم والترجمات اللازمة، تتم الموافقة على الطلب</w:t>
      </w:r>
      <w:r>
        <w:rPr>
          <w:rStyle w:val="None"/>
          <w:rFonts w:ascii="Times New Roman" w:hAnsi="Times New Roman"/>
          <w:sz w:val="24"/>
          <w:szCs w:val="24"/>
          <w:rtl/>
          <w:lang w:val="ar-SA"/>
        </w:rPr>
        <w:t>.</w:t>
      </w:r>
    </w:p>
    <w:p w14:paraId="6C5E8A34" w14:textId="77777777" w:rsidR="00454428" w:rsidRDefault="00C464EC">
      <w:pPr>
        <w:pStyle w:val="ListParagraph"/>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ينص هذا النظام على تقديم طلب واحد يُحدد الدول الأعضاء، المطلوبة للحصول على براءات اختراع منها، ويتم فحص الطلب، وتقديم الترجمات اللازمة، ثم يُحوّل الطلب إلى حزمة من الطلبات الوطنية الفردية، والتي تخضع بدورها لفحص من خلال مكاتب براءات الاختراع الوطنية</w:t>
      </w:r>
      <w:r>
        <w:rPr>
          <w:rStyle w:val="None"/>
          <w:rFonts w:ascii="Times New Roman" w:hAnsi="Times New Roman"/>
          <w:sz w:val="24"/>
          <w:szCs w:val="24"/>
          <w:rtl/>
          <w:lang w:val="ar-SA"/>
        </w:rPr>
        <w:t>.</w:t>
      </w:r>
    </w:p>
    <w:p w14:paraId="01E8DBA4" w14:textId="77777777" w:rsidR="00454428" w:rsidRDefault="00C464EC">
      <w:pPr>
        <w:pStyle w:val="ListParagraph"/>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ويهدف بروتوكول مدريد إلى حماية العلامات التجارية، من خلال الاعتراف الدولي، تحت إشراف المنظمة العالمية للملكية الفكرية، وتتعلق اتفاقية مدريد بالإيداع الدولي لطلبات تسجيل العلامات التجارية</w:t>
      </w:r>
      <w:r>
        <w:rPr>
          <w:rStyle w:val="None"/>
          <w:rFonts w:ascii="Times New Roman" w:hAnsi="Times New Roman"/>
          <w:sz w:val="24"/>
          <w:szCs w:val="24"/>
          <w:rtl/>
          <w:lang w:val="ar-SA"/>
        </w:rPr>
        <w:t xml:space="preserve">. </w:t>
      </w:r>
    </w:p>
    <w:p w14:paraId="5D3EC18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التطوُّر الذي شهدته فرنسا في مجال الملكية الفكرية منذ صدور أول قانون لبراءات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xml:space="preserve">، والذي منح حمايةً محدودةً للمخترعين، ثم انضمت فرنسا لاتفاقيتي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وبرن </w:t>
      </w:r>
      <w:r>
        <w:rPr>
          <w:rStyle w:val="None"/>
          <w:rFonts w:ascii="Times New Roman" w:hAnsi="Times New Roman"/>
          <w:sz w:val="24"/>
          <w:szCs w:val="24"/>
          <w:rtl/>
          <w:lang w:val="ar-SA"/>
        </w:rPr>
        <w:t xml:space="preserve">1886 </w:t>
      </w:r>
      <w:r>
        <w:rPr>
          <w:rStyle w:val="None"/>
          <w:rFonts w:ascii="Arial Unicode MS" w:hAnsi="Arial Unicode MS" w:cs="Times New Roman" w:hint="cs"/>
          <w:sz w:val="24"/>
          <w:szCs w:val="24"/>
          <w:rtl/>
          <w:lang w:val="ar-SA"/>
        </w:rPr>
        <w:t xml:space="preserve">فهما أساس النظام الدولي لحماية الملكية الصناعية وحقوق المؤلف، كما عزّز المشرع الفرنسي الملكية الفكرية بقانون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وتطوَّرت القوانين حتى اهتمت فرنسا بحقوق الملكية الفكرية في ظل البيئة الرقمية</w:t>
      </w:r>
      <w:r>
        <w:rPr>
          <w:rStyle w:val="None"/>
          <w:rFonts w:ascii="Times New Roman" w:hAnsi="Times New Roman"/>
          <w:sz w:val="24"/>
          <w:szCs w:val="24"/>
          <w:rtl/>
          <w:lang w:val="ar-SA"/>
        </w:rPr>
        <w:t>.</w:t>
      </w:r>
    </w:p>
    <w:p w14:paraId="4B930C3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ويُعدّ التشريع الفرنسي في مجال الملكية الفكرية من أكثر التشريعات تطوُّرًا في العالم؛ حيث تُعرّف الملكية الفكرية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مجموعة من الحقوق المُرسّخة قانونًا في المجالات الصناعية، والعلمية، والأدبية، والفنية، وقد أصبح قانون الملكية الفكرية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1992- </w:t>
      </w:r>
      <w:r>
        <w:rPr>
          <w:rStyle w:val="None"/>
          <w:rFonts w:ascii="Arial Unicode MS" w:hAnsi="Arial Unicode MS" w:cs="Times New Roman" w:hint="cs"/>
          <w:sz w:val="24"/>
          <w:szCs w:val="24"/>
          <w:rtl/>
          <w:lang w:val="ar-SA"/>
        </w:rPr>
        <w:t>ظاهرةً فريدةً في الممارسة الأوروبية، ويتألف القانون، من حيث بنيته، من جزأين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الجزء التشريعي، الذي يوُضع موضع التنفيذ بموجب القانون، والجزء التنظيمي، الذي يوُضع موضع التنفيذ بموجب مرسوم، ويتألف قانون الملكية الفكرية الفَرنسي هيكليًا من عدة أقسام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الطبع والنشر والحقوق المرتبطة بها، وحقوق مُصنّعي قواعد البيانات، والحماية القانونية للاختراعات والمعرفة التقنية، والعلامات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F0FA9D" w14:textId="5F707800" w:rsidR="00454428" w:rsidRDefault="00C464EC"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تحديث الاقتصاد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 xml:space="preserve">2008 </w:t>
      </w:r>
      <w:r>
        <w:rPr>
          <w:rStyle w:val="None"/>
          <w:rFonts w:ascii="Arial Unicode MS" w:hAnsi="Arial Unicode MS" w:cs="Times New Roman" w:hint="cs"/>
          <w:sz w:val="24"/>
          <w:szCs w:val="24"/>
          <w:rtl/>
          <w:lang w:val="ar-SA"/>
        </w:rPr>
        <w:t xml:space="preserve">بموجب الرقم </w:t>
      </w:r>
      <w:r>
        <w:rPr>
          <w:rStyle w:val="None"/>
          <w:rFonts w:ascii="Times New Roman" w:hAnsi="Times New Roman"/>
          <w:sz w:val="24"/>
          <w:szCs w:val="24"/>
          <w:rtl/>
          <w:lang w:val="ar-SA"/>
        </w:rPr>
        <w:t>2008-776</w:t>
      </w:r>
      <w:r>
        <w:rPr>
          <w:rStyle w:val="None"/>
          <w:rFonts w:ascii="Arial Unicode MS" w:hAnsi="Arial Unicode MS" w:cs="Times New Roman" w:hint="cs"/>
          <w:sz w:val="24"/>
          <w:szCs w:val="24"/>
          <w:rtl/>
          <w:lang w:val="ar-SA"/>
        </w:rPr>
        <w:t xml:space="preserve">، ويتألف هذا القانون من أربعة فصولٍ، تهدف على التوالي إلى تعزيز تنمية الشركات الصغيرة والمتوسطة، وتعزيز المنافسة، وزيادة جاذبية الاقتصاد الفَرنسي، وتحسين التمويل، ويتناول الفصل الثالث من القانون عنصر الابتكار، والذي يتطلب حماية حقوق الملكية الفكرية، ويهدف قانون تحديث الاقتصاد إلى إدراج أحكام مماثلة لأحكام اتفاقية البراءات الأوروبية لعام </w:t>
      </w:r>
      <w:r>
        <w:rPr>
          <w:rStyle w:val="None"/>
          <w:rFonts w:ascii="Times New Roman" w:hAnsi="Times New Roman"/>
          <w:sz w:val="24"/>
          <w:szCs w:val="24"/>
          <w:rtl/>
          <w:lang w:val="ar-SA"/>
        </w:rPr>
        <w:t xml:space="preserve">2000 </w:t>
      </w:r>
      <w:r>
        <w:rPr>
          <w:rStyle w:val="None"/>
          <w:rFonts w:ascii="Arial Unicode MS" w:hAnsi="Arial Unicode MS" w:cs="Times New Roman" w:hint="cs"/>
          <w:sz w:val="24"/>
          <w:szCs w:val="24"/>
          <w:rtl/>
          <w:lang w:val="ar-SA"/>
        </w:rPr>
        <w:t>في القانون الفرنسي لبراءات الاختراع</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8"/>
      </w:r>
      <w:r>
        <w:rPr>
          <w:rStyle w:val="None"/>
          <w:rFonts w:ascii="Times New Roman" w:hAnsi="Times New Roman"/>
          <w:sz w:val="24"/>
          <w:szCs w:val="24"/>
          <w:vertAlign w:val="superscript"/>
          <w:rtl/>
          <w:lang w:val="ar-SA"/>
        </w:rPr>
        <w:t>)</w:t>
      </w:r>
      <w:r>
        <w:rPr>
          <w:rStyle w:val="None"/>
          <w:rFonts w:ascii="Times New Roman" w:hAnsi="Times New Roman"/>
          <w:sz w:val="24"/>
          <w:szCs w:val="24"/>
          <w:rtl/>
        </w:rPr>
        <w:t>.</w:t>
      </w:r>
      <w:r w:rsidR="005E55B5">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ويتميز نظام الملكية الفكرية الفرنسي، لا سيما في مجال العلامات التجارية، بالقوة والشمولية والتناغم مع الاتفاقيات الدولية، ويخضع قانون العلامات التجارية الفَرنسي بشكل أساسي للقانون رقم </w:t>
      </w:r>
      <w:r>
        <w:rPr>
          <w:rStyle w:val="None"/>
          <w:rFonts w:ascii="Times New Roman" w:hAnsi="Times New Roman"/>
          <w:sz w:val="24"/>
          <w:szCs w:val="24"/>
          <w:rtl/>
          <w:lang w:val="ar-SA"/>
        </w:rPr>
        <w:t xml:space="preserve">91-7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1991</w:t>
      </w:r>
      <w:r>
        <w:rPr>
          <w:rStyle w:val="None"/>
          <w:rFonts w:ascii="Arial Unicode MS" w:hAnsi="Arial Unicode MS" w:cs="Times New Roman" w:hint="cs"/>
          <w:sz w:val="24"/>
          <w:szCs w:val="24"/>
          <w:rtl/>
          <w:lang w:val="ar-SA"/>
        </w:rPr>
        <w:t xml:space="preserve">، والذي عُدِّل بموجب المرسوم رقم </w:t>
      </w:r>
      <w:r>
        <w:rPr>
          <w:rStyle w:val="None"/>
          <w:rFonts w:ascii="Times New Roman" w:hAnsi="Times New Roman"/>
          <w:sz w:val="24"/>
          <w:szCs w:val="24"/>
          <w:rtl/>
          <w:lang w:val="ar-SA"/>
        </w:rPr>
        <w:t xml:space="preserve">2019-1169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13 </w:t>
      </w:r>
      <w:r>
        <w:rPr>
          <w:rStyle w:val="None"/>
          <w:rFonts w:ascii="Arial Unicode MS" w:hAnsi="Arial Unicode MS" w:cs="Times New Roman" w:hint="cs"/>
          <w:sz w:val="24"/>
          <w:szCs w:val="24"/>
          <w:rtl/>
          <w:lang w:val="ar-SA"/>
        </w:rPr>
        <w:t xml:space="preserve">نوفمبر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وقد أُدرجت هذه القوانين في قانون الملكية الفكرية الفَرنسي، الذي يُشكل أساس اللوائح المحلية</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9"/>
      </w:r>
      <w:r>
        <w:rPr>
          <w:rStyle w:val="None"/>
          <w:rFonts w:ascii="Times New Roman" w:hAnsi="Times New Roman"/>
          <w:sz w:val="24"/>
          <w:szCs w:val="24"/>
          <w:vertAlign w:val="superscript"/>
          <w:rtl/>
          <w:lang w:val="ar-SA"/>
        </w:rPr>
        <w:t>)</w:t>
      </w:r>
    </w:p>
    <w:p w14:paraId="47CB2B75" w14:textId="77777777" w:rsidR="00454428"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التشريع الفَرنسي في مجال الملكية الفكرية من أهم القانونين تطوُّرًا، فقد تم تحديث القانون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فهو يشمل قوانين تتعلق بحقوق المؤلف، والاختراعات، والعلامات التجارية، والتصاميم، وبعد ذلك جاءت تعديلات على قانون الاقتصاد عام </w:t>
      </w:r>
      <w:r>
        <w:rPr>
          <w:rStyle w:val="None"/>
          <w:rFonts w:ascii="Times New Roman" w:hAnsi="Times New Roman"/>
          <w:sz w:val="24"/>
          <w:szCs w:val="24"/>
          <w:rtl/>
          <w:lang w:val="ar-SA"/>
        </w:rPr>
        <w:t>2008</w:t>
      </w:r>
      <w:r>
        <w:rPr>
          <w:rStyle w:val="None"/>
          <w:rFonts w:ascii="Arial Unicode MS" w:hAnsi="Arial Unicode MS" w:cs="Times New Roman" w:hint="cs"/>
          <w:sz w:val="24"/>
          <w:szCs w:val="24"/>
          <w:rtl/>
          <w:lang w:val="ar-SA"/>
        </w:rPr>
        <w:t>؛ لكي يعزّز الابتكار ومواكبة التشريعات الحديثة، ومع التطوُّر التكنولوجي اعتمدت فرنسا تشريعات،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lang w:val="es-ES_tradnl"/>
        </w:rPr>
        <w:t>HADOPI</w:t>
      </w:r>
      <w:r>
        <w:rPr>
          <w:rStyle w:val="None"/>
          <w:rFonts w:ascii="Arial Unicode MS" w:hAnsi="Arial Unicode MS" w:cs="Times New Roman" w:hint="cs"/>
          <w:sz w:val="24"/>
          <w:szCs w:val="24"/>
          <w:rtl/>
          <w:lang w:val="ar-SA"/>
        </w:rPr>
        <w:t>؛ لمكافحة التوزيع غير المشروع للمصنفات الرقية، قد أصبح القانون الفَرنسي من القوانين المهمة الذي يحمي حقوق المؤلف، والتصاميم في البيئة الرقمية</w:t>
      </w:r>
      <w:r>
        <w:rPr>
          <w:rStyle w:val="None"/>
          <w:rFonts w:ascii="Times New Roman" w:hAnsi="Times New Roman"/>
          <w:sz w:val="24"/>
          <w:szCs w:val="24"/>
          <w:rtl/>
          <w:lang w:val="ar-SA"/>
        </w:rPr>
        <w:t>.</w:t>
      </w:r>
      <w:bookmarkEnd w:id="208"/>
    </w:p>
    <w:p w14:paraId="2A85877D" w14:textId="5FAB8D4A" w:rsidR="007467F1" w:rsidRDefault="007467F1" w:rsidP="007467F1">
      <w:pPr>
        <w:bidi/>
        <w:rPr>
          <w:rStyle w:val="None"/>
          <w:rFonts w:ascii="Arial Unicode MS" w:hAnsi="Arial Unicode MS"/>
          <w:b/>
          <w:bCs/>
          <w:color w:val="000000"/>
          <w:sz w:val="32"/>
          <w:szCs w:val="32"/>
          <w:u w:color="000000"/>
          <w:rtl/>
          <w:lang w:val="ar-SA"/>
        </w:rPr>
      </w:pPr>
      <w:bookmarkStart w:id="225" w:name="_Toc227251128"/>
      <w:bookmarkStart w:id="226" w:name="_Toc232260685"/>
    </w:p>
    <w:p w14:paraId="7D0DF8C8" w14:textId="77777777" w:rsidR="007467F1" w:rsidRDefault="007467F1" w:rsidP="007467F1">
      <w:pPr>
        <w:jc w:val="right"/>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r>
        <w:rPr>
          <w:rStyle w:val="CommentReference"/>
          <w:rtl/>
        </w:rPr>
        <w:commentReference w:id="227"/>
      </w:r>
    </w:p>
    <w:p w14:paraId="2ECEE00D" w14:textId="535849A4" w:rsidR="00454428" w:rsidRDefault="00C464EC" w:rsidP="00C72BA8">
      <w:pPr>
        <w:pStyle w:val="a"/>
        <w:rPr>
          <w:rStyle w:val="None"/>
          <w:rtl/>
          <w:lang w:val="ar-SA"/>
        </w:rPr>
      </w:pPr>
      <w:r>
        <w:rPr>
          <w:rStyle w:val="None"/>
          <w:rFonts w:ascii="Arial Unicode MS" w:eastAsia="Arial Unicode MS" w:hAnsi="Arial Unicode MS" w:hint="cs"/>
          <w:rtl/>
          <w:lang w:val="ar-SA"/>
        </w:rPr>
        <w:lastRenderedPageBreak/>
        <w:t>الفصل الثالث</w:t>
      </w:r>
      <w:bookmarkEnd w:id="225"/>
      <w:bookmarkEnd w:id="226"/>
    </w:p>
    <w:p w14:paraId="5176212C" w14:textId="77777777" w:rsidR="00454428" w:rsidRDefault="00C464EC" w:rsidP="00C72BA8">
      <w:pPr>
        <w:pStyle w:val="a"/>
        <w:rPr>
          <w:rStyle w:val="None"/>
          <w:rtl/>
          <w:lang w:val="ar-SA"/>
        </w:rPr>
      </w:pPr>
      <w:bookmarkStart w:id="228" w:name="_Toc227251129"/>
      <w:bookmarkStart w:id="229" w:name="_Toc232260686"/>
      <w:r>
        <w:rPr>
          <w:rStyle w:val="None"/>
          <w:rFonts w:ascii="Arial Unicode MS" w:eastAsia="Arial Unicode MS" w:hAnsi="Arial Unicode MS" w:hint="cs"/>
          <w:rtl/>
          <w:lang w:val="ar-SA"/>
        </w:rPr>
        <w:t>صور الحماية القانونية للملكية الفكرية في البيئة الرقمية</w:t>
      </w:r>
      <w:bookmarkEnd w:id="228"/>
      <w:bookmarkEnd w:id="229"/>
    </w:p>
    <w:p w14:paraId="3BE375A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تحوُّلاتٍ جوهريةً في أنماط الإبداع والنشر نتيجة الثورة الرقمية، التي أنشأت بيئة جديدة تعتمد على الوسائط الإلكترونية في إنتاج وتداول المصنفات الفكرية بمختلف أشكالها، وقد أتاح هذا التطوُّر فرصًا غير مسبوقة للوصول السريع إلى المعلومات وتبادلها عبر الحدود، لكنه أوجد أيضًا تحدياتٍ معقدةً في مجال حماية حقوق المؤلف والحقوق المجاورة والابتكارات التقنية؛ بسبب سهولة نسخ المحتوى الرقمي، وإعادة توزيعه دون إذن أو مقابل؛ لذا أصبح من الضروري البحث عن آليات قانونية أكثر مرونةً، وفعَّالةً لمواجهة أشكال الاعتداء السريعة والمنتشرة في الفضاء الإلكتروني</w:t>
      </w:r>
      <w:r>
        <w:rPr>
          <w:rStyle w:val="None"/>
          <w:rFonts w:ascii="Times New Roman" w:hAnsi="Times New Roman"/>
          <w:sz w:val="24"/>
          <w:szCs w:val="24"/>
          <w:rtl/>
          <w:lang w:val="ar-SA"/>
        </w:rPr>
        <w:t>.</w:t>
      </w:r>
    </w:p>
    <w:p w14:paraId="2024FA8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يتعين على النظم القانونية الوطنية والدولية ابتكار صور متعددة للحماية القانونية، تتناسب مع خصوصية البيئة الرقمية، وتوازن بين مصلحة أصحاب الحقوق، وحق الجمهور في الوصول إلى المعرفة، وتتنوع هذه الصور بين حماية تقليدية مستندة إلى القوانين القائمة، وأخرى مستحدثة تشمل تدابير تقنية خاصة بالنشر الرقمي، بالإضافة إلى الاتفاقيات الدولية التي تسعى لتوحيد المعايير وضبط السلوك في هذا المجال،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تأتي دراسة صور الحماية القانونية للملكية الفكرية في البيئة الرقمية كخطوة لفهم آليات التصدي للأخطار التي تهدد الإبداع في العصر الرقمي، وتقييم مدى كفاية هذه الصور في تحقيق الغاية المنشودة، وسيتم تناول ذلك على النحو التالي</w:t>
      </w:r>
      <w:r>
        <w:rPr>
          <w:rStyle w:val="None"/>
          <w:rFonts w:ascii="Times New Roman" w:hAnsi="Times New Roman"/>
          <w:sz w:val="24"/>
          <w:szCs w:val="24"/>
          <w:rtl/>
          <w:lang w:val="ar-SA"/>
        </w:rPr>
        <w:t>:</w:t>
      </w:r>
    </w:p>
    <w:p w14:paraId="45ACFB98" w14:textId="77777777" w:rsidR="00454428" w:rsidRDefault="00C464EC">
      <w:pPr>
        <w:pStyle w:val="ListParagraph"/>
        <w:numPr>
          <w:ilvl w:val="0"/>
          <w:numId w:val="15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المدنية للمصنفات الرقمية</w:t>
      </w:r>
      <w:r>
        <w:rPr>
          <w:rStyle w:val="None"/>
          <w:rFonts w:ascii="Times New Roman" w:hAnsi="Times New Roman"/>
          <w:sz w:val="24"/>
          <w:szCs w:val="24"/>
          <w:rtl/>
          <w:lang w:val="ar-SA"/>
        </w:rPr>
        <w:t>.</w:t>
      </w:r>
    </w:p>
    <w:p w14:paraId="183CC02D" w14:textId="77777777" w:rsidR="00454428" w:rsidRDefault="00C464EC">
      <w:pPr>
        <w:pStyle w:val="ListParagraph"/>
        <w:numPr>
          <w:ilvl w:val="0"/>
          <w:numId w:val="15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والتجريم الرقمي</w:t>
      </w:r>
      <w:r>
        <w:rPr>
          <w:rStyle w:val="None"/>
          <w:rFonts w:ascii="Times New Roman" w:hAnsi="Times New Roman"/>
          <w:sz w:val="24"/>
          <w:szCs w:val="24"/>
          <w:rtl/>
          <w:lang w:val="ar-SA"/>
        </w:rPr>
        <w:t>.</w:t>
      </w:r>
    </w:p>
    <w:p w14:paraId="6DA53C8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7104AD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71398F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5E0B9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93F78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2FE23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A93D38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42612F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3B3994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C0C0E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F278CBE"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5A01F399" w14:textId="77777777" w:rsidR="005E55B5" w:rsidRDefault="005E55B5" w:rsidP="00C72BA8">
      <w:pPr>
        <w:pStyle w:val="a"/>
        <w:rPr>
          <w:rStyle w:val="None"/>
          <w:rFonts w:ascii="Arial Unicode MS" w:eastAsia="Arial Unicode MS" w:hAnsi="Arial Unicode MS"/>
          <w:rtl/>
          <w:lang w:val="ar-SA"/>
        </w:rPr>
      </w:pPr>
    </w:p>
    <w:p w14:paraId="7B4F0C64" w14:textId="78B88637" w:rsidR="00454428" w:rsidRDefault="00C464EC" w:rsidP="00C72BA8">
      <w:pPr>
        <w:pStyle w:val="a"/>
        <w:rPr>
          <w:rStyle w:val="None"/>
          <w:rtl/>
          <w:lang w:val="ar-SA"/>
        </w:rPr>
      </w:pPr>
      <w:bookmarkStart w:id="230" w:name="_Toc227251130"/>
      <w:bookmarkStart w:id="231" w:name="_Toc232260687"/>
      <w:r>
        <w:rPr>
          <w:rStyle w:val="None"/>
          <w:rFonts w:ascii="Arial Unicode MS" w:eastAsia="Arial Unicode MS" w:hAnsi="Arial Unicode MS" w:hint="cs"/>
          <w:rtl/>
          <w:lang w:val="ar-SA"/>
        </w:rPr>
        <w:lastRenderedPageBreak/>
        <w:t>المبحث الأول</w:t>
      </w:r>
      <w:bookmarkEnd w:id="230"/>
      <w:bookmarkEnd w:id="231"/>
    </w:p>
    <w:p w14:paraId="229B6173" w14:textId="77777777" w:rsidR="00454428" w:rsidRDefault="00C464EC" w:rsidP="00C72BA8">
      <w:pPr>
        <w:pStyle w:val="a"/>
        <w:rPr>
          <w:rStyle w:val="None"/>
          <w:rtl/>
          <w:lang w:val="ar-SA"/>
        </w:rPr>
      </w:pPr>
      <w:bookmarkStart w:id="232" w:name="_Toc227251131"/>
      <w:bookmarkStart w:id="233" w:name="_Toc232260688"/>
      <w:r>
        <w:rPr>
          <w:rStyle w:val="None"/>
          <w:rFonts w:ascii="Arial Unicode MS" w:eastAsia="Arial Unicode MS" w:hAnsi="Arial Unicode MS" w:hint="cs"/>
          <w:rtl/>
          <w:lang w:val="ar-SA"/>
        </w:rPr>
        <w:t>الحماية المدنية للمصنفات الرقمية</w:t>
      </w:r>
      <w:bookmarkEnd w:id="232"/>
      <w:bookmarkEnd w:id="233"/>
    </w:p>
    <w:p w14:paraId="3DF63BB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للمصنفات الفكرية؛ حيث أصبح من السهل نسخها وتخزينها وتوزيعها على نطاق واسع؛ ممَّا زاد من احتمالات التعدي على حقوق أصحابها بطرق يصعب ضبطها بالوسائل التقليدية؛ لذا برز دور الحماية المدنية كأداة أساسية تُمكن أصحاب الحقوق من المطالبة بالتعويض عن الضرر الناتج عن الاعتداء على مصنفاتهم الرقمية، سواء من خلال تعويض مالي أو إلزام المعتدي بوقف التعدي أو إزالة آثاره، وتستند هذه الحماية إلى القواعد العامة في المسئولية المدنية، مع مراعاة الخصوصيات التي تفرضها طبيعة الوسط الرقمي</w:t>
      </w:r>
      <w:r>
        <w:rPr>
          <w:rStyle w:val="None"/>
          <w:rFonts w:ascii="Times New Roman" w:hAnsi="Times New Roman"/>
          <w:sz w:val="24"/>
          <w:szCs w:val="24"/>
          <w:rtl/>
          <w:lang w:val="ar-SA"/>
        </w:rPr>
        <w:t>.</w:t>
      </w:r>
    </w:p>
    <w:p w14:paraId="2A5CB0A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وتتميز الحماية المدنية للمصنفات الرقمية بمرونتها وقدرتها على التكيف مع أشكال الاعتداء المستجدة؛ حيث توفر لأصحاب الحقوق وسيلةً فعَّالةً لمواجهة الانتهاكات، حتى في غياب نصوص جزائية خاصة، كما تتيح إمكانية الجمع بين التعويض عن الأضرار المادية والمعنوية، وإصدار أوامر قضائية تحفظية أو وقتية لتجنب وقوع الضرر؛ لذا تكتسب دراسة الحماية المدنية للمصنفات الرقمية أهميةً خاصةً في ظل التحديات التي تفرضها سرعة الانتشار وصعوبة الرقابة في الفضاء الإلكتروني؛ ممَّا يحقق توازنًا بين حماية المبدع وضمان تدفق المعرفة، وسيتم تناول ذلك على النحو التالي</w:t>
      </w:r>
      <w:r>
        <w:rPr>
          <w:rStyle w:val="None"/>
          <w:rFonts w:ascii="Times New Roman" w:hAnsi="Times New Roman"/>
          <w:sz w:val="24"/>
          <w:szCs w:val="24"/>
          <w:rtl/>
          <w:lang w:val="ar-SA"/>
        </w:rPr>
        <w:t>:</w:t>
      </w:r>
    </w:p>
    <w:p w14:paraId="40F17E63" w14:textId="77777777" w:rsidR="00454428" w:rsidRDefault="00C464EC">
      <w:pPr>
        <w:pStyle w:val="ListParagraph"/>
        <w:numPr>
          <w:ilvl w:val="0"/>
          <w:numId w:val="15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النظام السعودي</w:t>
      </w:r>
      <w:r>
        <w:rPr>
          <w:rStyle w:val="None"/>
          <w:rFonts w:ascii="Times New Roman" w:hAnsi="Times New Roman"/>
          <w:sz w:val="24"/>
          <w:szCs w:val="24"/>
          <w:rtl/>
          <w:lang w:val="ar-SA"/>
        </w:rPr>
        <w:t>.</w:t>
      </w:r>
    </w:p>
    <w:p w14:paraId="0B8A6AA5" w14:textId="77777777" w:rsidR="00454428" w:rsidRDefault="00C464EC">
      <w:pPr>
        <w:pStyle w:val="ListParagraph"/>
        <w:numPr>
          <w:ilvl w:val="0"/>
          <w:numId w:val="15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القانون الأمريكي والفَرنسي</w:t>
      </w:r>
      <w:r>
        <w:rPr>
          <w:rStyle w:val="None"/>
          <w:rFonts w:ascii="Times New Roman" w:hAnsi="Times New Roman"/>
          <w:sz w:val="24"/>
          <w:szCs w:val="24"/>
          <w:rtl/>
          <w:lang w:val="ar-SA"/>
        </w:rPr>
        <w:t>.</w:t>
      </w:r>
    </w:p>
    <w:p w14:paraId="5829E4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A3A7FE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149CA6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6E703E5"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78D5B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502125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B86C3C3"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C10EB1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018276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9AD586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A25AFD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67B0A50"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79477D2B" w14:textId="77777777" w:rsidR="00454428" w:rsidRDefault="00C464EC" w:rsidP="00C72BA8">
      <w:pPr>
        <w:pStyle w:val="a"/>
        <w:rPr>
          <w:rStyle w:val="None"/>
          <w:rtl/>
          <w:lang w:val="ar-SA"/>
        </w:rPr>
      </w:pPr>
      <w:bookmarkStart w:id="234" w:name="_Toc227251132"/>
      <w:bookmarkStart w:id="235" w:name="_Toc232260689"/>
      <w:r>
        <w:rPr>
          <w:rStyle w:val="None"/>
          <w:rFonts w:ascii="Arial Unicode MS" w:eastAsia="Arial Unicode MS" w:hAnsi="Arial Unicode MS" w:hint="cs"/>
          <w:rtl/>
          <w:lang w:val="ar-SA"/>
        </w:rPr>
        <w:lastRenderedPageBreak/>
        <w:t>المطلب الأول</w:t>
      </w:r>
      <w:bookmarkEnd w:id="234"/>
      <w:bookmarkEnd w:id="235"/>
    </w:p>
    <w:p w14:paraId="4699E038" w14:textId="77777777" w:rsidR="00454428" w:rsidRDefault="00C464EC" w:rsidP="00C72BA8">
      <w:pPr>
        <w:pStyle w:val="a"/>
        <w:rPr>
          <w:rStyle w:val="None"/>
          <w:rtl/>
          <w:lang w:val="ar-SA"/>
        </w:rPr>
      </w:pPr>
      <w:bookmarkStart w:id="236" w:name="_Toc227251133"/>
      <w:bookmarkStart w:id="237" w:name="_Toc232260690"/>
      <w:r>
        <w:rPr>
          <w:rStyle w:val="None"/>
          <w:rFonts w:ascii="Arial Unicode MS" w:eastAsia="Arial Unicode MS" w:hAnsi="Arial Unicode MS" w:hint="cs"/>
          <w:rtl/>
          <w:lang w:val="ar-SA"/>
        </w:rPr>
        <w:t>التعويض عن الاعتداء على حقوق الملكية الفكرية في البيئة الرقمية في النظام السعودي</w:t>
      </w:r>
      <w:bookmarkEnd w:id="236"/>
      <w:bookmarkEnd w:id="237"/>
    </w:p>
    <w:p w14:paraId="183B991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التطوُّر التقني السريع في البيئة الرقمية إلى زيادة حجم الانتهاكات التي تلحق حقوق الملكية الفكرية، سواء كانت في مجال حقوق المؤلف، أو الحقوق المجاورة، أو حقوق الملكية الصناعية؛ حيث أصبح من السهل نسخ المصنفات الرقمية وتوزيعها على نطاق واسع دون إذن أصحابها، وفي ضوء مواجهة هذه التحديات أولى النظام السعودي اهتمامًا خاصًا بتنظيم سبل التعويض عن هذه الاعتداءات، كوسيلة مدنية أساسية لتعويض الضرر واستعادة الحقوق، وتحقيق الردع العام والخاص في الوقت ذاته، ويأتي هذا التعويض ضمن إطار قواعد المسئولية المدنية، مع مراعاة الخصوصية المتعلقة بالأضرار التي تحدث في الوسط الرقمي، والتي قد تتسم بالاتساع والانتشار السريع</w:t>
      </w:r>
      <w:r>
        <w:rPr>
          <w:rStyle w:val="None"/>
          <w:rFonts w:ascii="Times New Roman" w:hAnsi="Times New Roman"/>
          <w:sz w:val="24"/>
          <w:szCs w:val="24"/>
          <w:rtl/>
          <w:lang w:val="ar-SA"/>
        </w:rPr>
        <w:t>.</w:t>
      </w:r>
    </w:p>
    <w:p w14:paraId="416CCB8A"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الأسس القانونية للحماية المدنية للملكية الفكرية</w:t>
      </w:r>
      <w:r>
        <w:rPr>
          <w:rStyle w:val="None"/>
          <w:rFonts w:ascii="Times New Roman" w:hAnsi="Times New Roman"/>
          <w:b/>
          <w:bCs/>
          <w:sz w:val="28"/>
          <w:szCs w:val="28"/>
          <w:rtl/>
          <w:lang w:val="ar-SA"/>
        </w:rPr>
        <w:t>:</w:t>
      </w:r>
    </w:p>
    <w:p w14:paraId="05C9523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المسئولية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بصفة عامة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المحاسبة على فعل أو سلوك معين، وتتمثل المحاسبة في توقيع جزاء على الشخص عند مخالفته لأحد الواجبات التي تفرضها عليه أنظمة الضبط الاجتماعي، وتختلف المسئولية بحسب نوع وطبيعة الواجب الذي تمت مخالفته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63BCB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فالمسئولية المدنية هي التي تقوم عند إخلال الشخص بالتزام محدد على نحو يسبب ضررًا لأحد الأفراد في الجسم، أو الشرف، أو المشاعر، أو المال، فهنا يلتزم المسئول بالتعويض عن الضرر الناجم عن الواقعة المنسوبة إليه، وتنصرف المسئولية المدنية للتعبير عن الفعل الضار وما يترتب عليه من الالتزام بتعويض المضرور</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81"/>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84C26F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الاعتداء على حقوق المؤلف يتسبب بضرر يصيب المؤلف في شخصيته أو سمعته، ويؤثر على مركزه الاجتماعي أو اعتباره المالي، الأمر الذي يتطلب من المؤلف دفع الاعتداء، والمطالبة بالتعويض جبرًا للضرر الحاصل من فعل الاعتداء، فيلجأ إلى رفع دعوى المسئولية المدنية، وتكون هذه المسئولية إما عقديةً أو تقصيريةً تبعًا للعلاقة التي تجمع بين المؤلف والمتسبب بالضرر، فإذا تحقق الاعتداء من قِبل شخص أجنبي غير مرتبط برابطة عقدية بالمؤلف تطبق قواعد المسئولية التقصيرية، وبخلافه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وجود رابطة تعاقدية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فقواعد المسئولية العقدية هي الواجبة تطبيقًا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C8024E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المسئولية المدنية تشكل الإطار القانوني الذي يضمن حماية حقوق المؤلف من أي اعتداء قد يؤثر على إنتاجه الفكري، أو مكانته الأدبية أو المالية، فهي تمكنه من المطالبة بتعويض عادل عن الأضرار التي تعرض لها، سواء كان الضرر ناتجًا عن إخلال تعاقدي أو فعل تقصيري، فيجد المؤلف في قواعد المسئولية المدنية وسيلةً فعَّالةً لدفع الأضرار وجبرها؛ ممَّا يحقق العدالة ويحافظ على مكانته وحقوقه</w:t>
      </w:r>
      <w:r>
        <w:rPr>
          <w:rStyle w:val="None"/>
          <w:rFonts w:ascii="Times New Roman" w:hAnsi="Times New Roman"/>
          <w:sz w:val="24"/>
          <w:szCs w:val="24"/>
          <w:rtl/>
          <w:lang w:val="ar-SA"/>
        </w:rPr>
        <w:t>.</w:t>
      </w:r>
    </w:p>
    <w:p w14:paraId="6B13A05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6AFAB97D" w14:textId="77777777" w:rsidR="00454428" w:rsidRDefault="00C464EC">
      <w:pPr>
        <w:pStyle w:val="ListParagraph"/>
        <w:numPr>
          <w:ilvl w:val="0"/>
          <w:numId w:val="154"/>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المسئولية العقدية والمسئولية التقصيرية</w:t>
      </w:r>
      <w:r>
        <w:rPr>
          <w:rStyle w:val="None"/>
          <w:rFonts w:ascii="Times New Roman" w:hAnsi="Times New Roman"/>
          <w:b/>
          <w:bCs/>
          <w:sz w:val="24"/>
          <w:szCs w:val="24"/>
          <w:rtl/>
          <w:lang w:val="ar-SA"/>
        </w:rPr>
        <w:t>:</w:t>
      </w:r>
    </w:p>
    <w:p w14:paraId="2FAADDB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تقوم المسئولية العقدية على الإخلال بالتزام عقدي يختلف باختلاف العقد، فهي تترتب على عدم تنفيذ الالتزام الناشئ عن العقد على النحو المتفق عليه، فالمسئولية العقدية تنشأ جرَّاء الإخلال بالتزام تعاقدي، فالعقد هو الذي يحكم تلك المسئولية بحيث تتحدد أحكامها بما يتفق مع إرادة الطرفين؛ ومِنْ ثَمَّ فهي تتسم بالطابع التعاقدي، وهي تتمثل في مجرد التنفيذ بمقابل للالتزام العقدي الذي تم الإخلال به؛ حيث يحل محله التزام جديد بالتعويض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09295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فتقوم بمناسبة الإخلال بالتزام قانوني، وهي تطبق خارج نطاق المسئولية العقدية، بمعنى أنَّه إذا لم تتوافر شروط تطبيق تلك المسئولية، فإنَّ المسئولية التقصيرية هي التي تطبق؛ لذلك يتعين أنْ نحدد بدقة نطاق المسئولية العقدية، وما يخرج عن هذا النطاق فإنَّه يدخل في حوزة المسئولية التقصيرية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85049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قد ينشأ الاعتداء على حق المؤلف أو صاحب الملكية الفكرية؛ نتيجة إخلال متعاقد بالتزاماته الواردة في عقد الترخيص أو الاستغلال، وهو ما يوجب تطبيق قواعد المسئولية العقدية وإلزامه بالتعويض، أما إذا وقع الاعتداء من طرف أجنبي لا تربطه علاقة تعاقدية بصاحب الحق، فإنَّ المسئولية التقصيرية هي الأساس القانوني للمطالبة بجبر الضرر، ومِنْ ثَمَّ فإنَّ كلا المسئوليتين تهدف إلى ضمان حماية الملكية الفكرية وتعويض أصحابها عن أي ضرر يلحق بهم</w:t>
      </w:r>
      <w:r>
        <w:rPr>
          <w:rStyle w:val="None"/>
          <w:rFonts w:ascii="Times New Roman" w:hAnsi="Times New Roman"/>
          <w:sz w:val="24"/>
          <w:szCs w:val="24"/>
          <w:rtl/>
          <w:lang w:val="ar-SA"/>
        </w:rPr>
        <w:t>.</w:t>
      </w:r>
    </w:p>
    <w:p w14:paraId="2D0D0D76" w14:textId="77777777" w:rsidR="00454428" w:rsidRDefault="00C464EC">
      <w:pPr>
        <w:pStyle w:val="ListParagraph"/>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الخطأ العقدي</w:t>
      </w:r>
      <w:r>
        <w:rPr>
          <w:rStyle w:val="None"/>
          <w:rFonts w:ascii="Times New Roman" w:hAnsi="Times New Roman"/>
          <w:b/>
          <w:bCs/>
          <w:sz w:val="24"/>
          <w:szCs w:val="24"/>
          <w:rtl/>
          <w:lang w:val="ar-SA"/>
        </w:rPr>
        <w:t>:</w:t>
      </w:r>
    </w:p>
    <w:p w14:paraId="68CA392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الخطأ العقدي هو عدم تنفيذ المدين الالتزام الناشئ عن العقد، ولا يجدي لتخلص المدين من هذه المسئولية العقدية سوى نفي السببية بين الخطأ والضرر الذي أصاب الدائن منه، ويستوي أنْ يكون عدم التنفيذ كليًا أم جزئيًا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ويختلف قياس الخطأ العقدي تبعًا لطبيعة الالتزام، ويكون إما التزام ببذل عناية، أو تحقيق نتيجة، ففي الالتزام ببذل عناية لا تبرأ ذمة المدين إلا ببذل نشاط الرجل المعتاد لتحقيق النتيجة المنشودة، أما الالتزام بتحقيق نتيجة فمحله تحقيق المدين النتيجة المرجوة من العقد، فلا يكتفي ببذل ما يستطيع من عناية، بل يجب تحقيق الغاية وإلا عُدَّ مخلًا بتنفيذ التزامه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FFDD2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ويتحقق الخطأ بهذا المعنى أيًا كان السبب في عدم تنفيذ الالتزام، سواء رجع ذلك إلى غش المدين وسوء نيته أو إلى إهماله، أو إلى فعله المجرد من الإهمال، أو حتى إلى سبب أجنبي كقوة قاهرة، غاية الأمر أنَّه في هذه الحالة الأخيرة فإنَّ مسئولية المدين لا تقوم، لا لعدم توافر ركن الخطأ، ولكن لعدم توافر علاقة السببية بين الخطأ والضرر، وعلى هذا فإنَّ عدم قيام المدين بتنفيذ التزامه هو بذاته الخطأ العقدي، وليس فقط مجرد دليل عليه أو سبب لافتراض وجوده، على أنَّ القول بعدم تنفيذ المدين لالتزامه يتوقف على تحديد نوع هذا الالتزام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49D7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الخطأ العقدي هو أساس المسئولية العقدية؛ حيث يعتبر عدم تنفيذ المدين لالتزاماته خطأً يستوجب التعويض متى وجدت علاقة سببية بينه وبين الضرر، فتظهر أهمية ذلك بشكل واضح في مجال الملكية الفكرية؛ </w:t>
      </w:r>
      <w:r>
        <w:rPr>
          <w:rStyle w:val="None"/>
          <w:rFonts w:ascii="Arial Unicode MS" w:hAnsi="Arial Unicode MS" w:cs="Times New Roman" w:hint="cs"/>
          <w:sz w:val="24"/>
          <w:szCs w:val="24"/>
          <w:rtl/>
          <w:lang w:val="ar-SA"/>
        </w:rPr>
        <w:lastRenderedPageBreak/>
        <w:t xml:space="preserve">حيث قد يلتزم المتعاقد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النشر، أو المرخص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بتنفيذ التزامات محددة، سواء من خلال بذل العناية اللازمة؛ لحفظ الحقوق أو بتحقيق نتائج معينة مثل النشر وفق الشروط المتفق عليها</w:t>
      </w:r>
      <w:r>
        <w:rPr>
          <w:rStyle w:val="None"/>
          <w:rFonts w:ascii="Times New Roman" w:hAnsi="Times New Roman"/>
          <w:sz w:val="24"/>
          <w:szCs w:val="24"/>
          <w:rtl/>
          <w:lang w:val="ar-SA"/>
        </w:rPr>
        <w:t>.</w:t>
      </w:r>
    </w:p>
    <w:p w14:paraId="11A93506" w14:textId="77777777" w:rsidR="00454428" w:rsidRDefault="00C464EC">
      <w:pPr>
        <w:pStyle w:val="ListParagraph"/>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الضرر</w:t>
      </w:r>
      <w:r>
        <w:rPr>
          <w:rStyle w:val="None"/>
          <w:rFonts w:ascii="Times New Roman" w:hAnsi="Times New Roman"/>
          <w:b/>
          <w:bCs/>
          <w:sz w:val="24"/>
          <w:szCs w:val="24"/>
          <w:rtl/>
          <w:lang w:val="ar-SA"/>
        </w:rPr>
        <w:t xml:space="preserve">:  </w:t>
      </w:r>
    </w:p>
    <w:p w14:paraId="2363DE6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يمكن القول بأنَّ الضرر هو الإخلال بمصلحة مالية للمضرور والمضرور في هذا المجال هو الدائن الذي عاد عليه ضرر جرَّاء عدم تنفيذ المدين لالتزامه أو تأخيره عن تنفيذ هذا الالتزام، ويعتبر الضرر العنصر الثاني من عناصر المسئولية العقدية، ولا يشترط أنْ يكون الضرر قد وقع بالفعل، وإنما يمكن أنْ يكون محقق الوقوع في المستقبل، ومِنْ ثَمَّ يخرج الضرر الاحتمالي عن مجال هذه المسئولية العقدية إلا إذا تحقق بالفعل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57EA3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ويكون الضرر معنويًا عند المساس بسمعة، أو شخصية، أو اعتبار وكرامة المدين، ويتحقق عندم عدم تنفيذ المتعاقد التزامه أو التقصير في تنفيذه ما يلحق ضررًا أصاب به إحدى حقوق المؤلف، ويشترط في الضرر أنْ يكون محققًا ومباشرًا، ويكون الضرر محققًا عندما يتخذ شكلًا ملموسًا على حق من حقوق المؤلف بشكل يمكن المحكمة من التثبت من وجوده، ويكون الضرر مباشرًا إذا تحقق نتيجةَ العمل الذي قام به المعتدي، وعن إثبات الضرر فيكون على الدائن لأنَّه هو الذي يدعيه، أما الضرر في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ما يلحق بالشخص من أذى، بمعنى أنَّ الضرر نوعان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مادي ومعنوي، ويكون الضرر ماديًا في ضوء حق المؤلف عند الإخلال في مصالح ذات قيمة مالية لصاحب حق التأليف، ويكون معنويًا عند المساس بعاطفة المؤلف أو كرامته بغيره من الأمور المعنوية من قِبل شخص لا تربطه معه أدنى رابطة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CC1F15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يمكن الحكم بالتعويض دون إثبات وجود عنصر الضرر؛ حيث قد يتعرض المؤلف أو صاحب الحق لضرر 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فقدان العوائد المالية، أو تقليص فرص الاستغلال المشروع لمصنفه، أو لضرر معنوي يؤثر على سمعته واعتباره الأدبي؛ نتيجة الاعتداء على إنتاجه الفكري</w:t>
      </w:r>
      <w:r>
        <w:rPr>
          <w:rStyle w:val="None"/>
          <w:rFonts w:ascii="Times New Roman" w:hAnsi="Times New Roman"/>
          <w:sz w:val="24"/>
          <w:szCs w:val="24"/>
          <w:rtl/>
          <w:lang w:val="ar-SA"/>
        </w:rPr>
        <w:t>.</w:t>
      </w:r>
    </w:p>
    <w:p w14:paraId="47536B05" w14:textId="77777777" w:rsidR="00454428" w:rsidRDefault="00C464EC">
      <w:pPr>
        <w:pStyle w:val="ListParagraph"/>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علاقة السببية</w:t>
      </w:r>
      <w:r>
        <w:rPr>
          <w:rStyle w:val="None"/>
          <w:rFonts w:ascii="Times New Roman" w:hAnsi="Times New Roman"/>
          <w:b/>
          <w:bCs/>
          <w:sz w:val="24"/>
          <w:szCs w:val="24"/>
          <w:rtl/>
          <w:lang w:val="ar-SA"/>
        </w:rPr>
        <w:t>:</w:t>
      </w:r>
    </w:p>
    <w:p w14:paraId="663D7A4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بعلاقة السببية أنْ يكون بين الخطأ والضرر ارتباط السبب بالمسبب، أي يكون الضرر ناتجًا منه مباشرةً، وتابعًا عن الخطأ، وتعتبر السببية العنصر الثالث لأركان المسئولية العقدية، فقد يتحقق الخطأ والضرر، ولكن لا قيام للمسئولية العقدية؛ لأنَّه لا ارتباط بين الخطأ بعلاقة السببية، ويقع على عاتق الدائن كقاعدة عامة أنْ يثبت علاقة السببية بين عدم التنفيذ للالتزام والضرر الذي عاد عليه، أما علاقة السببية بين عدم التنفيذ وسلوك المدين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مفتوحة لا يكلف الدائن بإثباتها، بل يجب على المدين للتخلص منها أنْ يقيم الدليل على أنَّ عدم التنفيذ يرجع إلى سبب أجنبي عنه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89D3D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المسئولية التقصيرية فلا يكفي لوجود علاقة سببية توافر فعل الإضرار والضرر، بل يجب أنْ يكون الفعل هو ما أفضى إلى ضرر وبدونه لما أحدث الضرر أصلًا، بمعنى آخر لا تقوم المسئولية إذا ما نتج عن فعل الاعتداء ضرر لحق بالغير، فإنَّ عدم توافر العلاقة يجعل من المسئولية غير قائمة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916A6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أنَّه لا يكفي إثبات الخطأ أو تحقق الضرر دون إثبات أنَّ هذا الضرر ناتج مباشرة عن ذلك الخطأ، فيتعين على المؤلف أو صاحب الحق إثبات أنَّ الضرر الذي لحقه، سواء كان ماديًا نتيجةَ خسارةٍ ماليةٍ، أو معنويًا؛ بسبب المساس بمكانته الأدبية، قد نتج مباشرة عن فعل الاعتداء على مصنفه؛ لذا فإنَّ اشتراط علاقة السببية في قضايا الملكية الفكرية لا بُدَّ من تحقيق الخطأ والضرر؛ حتى لا يتحمل أي طرف مسئولية تعويض عن ضرر لم يكن نتيجة لسلوكه</w:t>
      </w:r>
      <w:r>
        <w:rPr>
          <w:rStyle w:val="None"/>
          <w:rFonts w:ascii="Times New Roman" w:hAnsi="Times New Roman"/>
          <w:sz w:val="24"/>
          <w:szCs w:val="24"/>
          <w:rtl/>
          <w:lang w:val="ar-SA"/>
        </w:rPr>
        <w:t>.</w:t>
      </w:r>
    </w:p>
    <w:p w14:paraId="76AABB57"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دعوى التعويض للمسئولية المدنية في الملكية الفكرية</w:t>
      </w:r>
      <w:r>
        <w:rPr>
          <w:rStyle w:val="None"/>
          <w:rFonts w:ascii="Times New Roman" w:hAnsi="Times New Roman"/>
          <w:b/>
          <w:bCs/>
          <w:sz w:val="28"/>
          <w:szCs w:val="28"/>
          <w:rtl/>
          <w:lang w:val="ar-SA"/>
        </w:rPr>
        <w:t>:</w:t>
      </w:r>
    </w:p>
    <w:p w14:paraId="0EE1E9F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يستند الحق في التعويض للمؤلف عن الاعتداء على مصنفه الإلكتروني إلى مبادئ حقوق الملكية الفكرية التي تهدف إلى حماية الإبداعات العقلية من الاستغلال غير المشروع، عندما يتم انتهاك هذه الحقوق، سواء كان ذلك عن طريق النسخ غير المرخص، أو التوزيع غير القانوني، أو أي شكل آخر من أشكال الاستغلال، فيكون المؤلف مؤهلًا لطلب تعويض عن الخسائر المادية والمعنوية التي لحقت به، وهذا التعويض يأخذ في الاعتبار ليس فقط الخسائر المباشرة، ولكن أيضًا التأثيرات الطويلة الأمد على قيمة المصنف والعائدات المستقبلية منه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D9C88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دعوى التعويض هي دعوى شخصية يرفعها المتضرر إلى القضاء مطالبًا تضمين ما أصابه من ضرر سواء كان ماديًا أو معنويًا؛ نتيجة تصرف الإدارة غير المشروع، وتعرف دعوى التعويض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الدعوى التي يطالب فيها صاحب الشأن بحق شخصي تجاه الإدارة، ويرتب القضاء فيها جميع النتائج القانونية على القرار غير المشروع، فيكون له حق الحكم بالتعويض عن الأضرار اللاحقة بما في ذلك تقويم أو تعديل القرار الإداري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CEFB3E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ويعمل التعويض على ترضية المضرور، ومحاولة إعادته إلى الوضع الذي كان عليه قبل وقوع الفعل الضار؛ حتى يمكن إعادة التوازن في العلاقات الاجتماعية، الذي اختل بسبب الفعل غير المشروع، ولا بُدَّ لكي يتحقق التعويض أنْ يكون عادلًا وشاملًا لكل عناصر الضرر، ووجود زمة مالية قادرة على الوفاء به؛ لكي يؤدي التعويض وظيفته وهو جبر الضرر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6316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ويهدف التعويض إلى تحقيق الردع من خلال منع المخالفين المحتملين من ارتكاب انتهاكات مشابهة في المستقبل، من خلال فرض عقوبات مالية صارمة، وتحقيق العدالة عن طريق تعويض المؤلف عن الأضرار النفسية والمعنوية، التي قد لا تعوض بالكامل من خلال التعويضات العادية، ومعاقبة المخالف على سلوكه غير القانوني، وتأكيد أنَّ انتهاك حقوق الملكية الفكرية يحمل عواقب وخيمة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3175D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الحق في التعويض عن الاعتداء على المصنفات الإلكترونية يعتبر وسيلة أساسية لحماية حقوق الملكية الفكرية، فهو لا يقتصر على جبر الضرر المادي والمعنوي الذي تعرض له المؤلف، بل يمتد لتحقيق العدالة والردع العام، فالتعويض يضمن لصاحب الحق استعادة مكانته الاقتصادية والاجتماعية</w:t>
      </w:r>
      <w:r>
        <w:rPr>
          <w:rStyle w:val="None"/>
          <w:rFonts w:ascii="Times New Roman" w:hAnsi="Times New Roman"/>
          <w:sz w:val="24"/>
          <w:szCs w:val="24"/>
          <w:rtl/>
          <w:lang w:val="ar-SA"/>
        </w:rPr>
        <w:t xml:space="preserve">. </w:t>
      </w:r>
    </w:p>
    <w:p w14:paraId="4A826889" w14:textId="77777777" w:rsidR="00454428" w:rsidRDefault="00C464EC" w:rsidP="00C72BA8">
      <w:pPr>
        <w:pStyle w:val="Body"/>
        <w:spacing w:before="120" w:after="120" w:line="360" w:lineRule="auto"/>
        <w:rPr>
          <w:rStyle w:val="None"/>
          <w:rFonts w:ascii="Times New Roman" w:eastAsia="Times New Roman" w:hAnsi="Times New Roman" w:cs="Times New Roman"/>
          <w:sz w:val="28"/>
          <w:szCs w:val="28"/>
        </w:rPr>
      </w:pPr>
      <w:r>
        <w:rPr>
          <w:rStyle w:val="None"/>
          <w:rFonts w:ascii="Arial Unicode MS" w:hAnsi="Arial Unicode MS" w:cs="Times New Roman" w:hint="cs"/>
          <w:b/>
          <w:bCs/>
          <w:sz w:val="28"/>
          <w:szCs w:val="28"/>
          <w:rtl/>
          <w:lang w:val="ar-SA"/>
        </w:rPr>
        <w:lastRenderedPageBreak/>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التي تُقر الحق في التعويض</w:t>
      </w:r>
      <w:r>
        <w:rPr>
          <w:rStyle w:val="None"/>
          <w:rFonts w:ascii="Times New Roman" w:hAnsi="Times New Roman"/>
          <w:b/>
          <w:bCs/>
          <w:sz w:val="28"/>
          <w:szCs w:val="28"/>
          <w:rtl/>
          <w:lang w:val="ar-SA"/>
        </w:rPr>
        <w:t>:</w:t>
      </w:r>
    </w:p>
    <w:p w14:paraId="07F128D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الحق في التعويض من الأركان الأساسية لحماية الملكية الفكرية؛ حيث يُعَدُّ وسيلةً قانونيةً لتعويض الأضرار والخسائر التي يتكبدها صاحب الحق نتيجةَ الاعتداء على مصنفه، وقد أولت الاتفاقيات الدولية والأنظمة الوطنية اهتمامًا خاصًا بهذا الحق</w:t>
      </w:r>
      <w:r>
        <w:rPr>
          <w:rStyle w:val="None"/>
          <w:rFonts w:ascii="Times New Roman" w:hAnsi="Times New Roman"/>
          <w:sz w:val="24"/>
          <w:szCs w:val="24"/>
          <w:rtl/>
          <w:lang w:val="ar-SA"/>
        </w:rPr>
        <w:t>.</w:t>
      </w:r>
    </w:p>
    <w:p w14:paraId="49B958A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العمل الإبداعي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هو في جانب منه عمل مادي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يمثل المصلحة المادية للمؤلف في نشره وتقديمه وإيصاله للجمهور، وهذا ما يسمى الحق الاقتصادي الذي يحمى بالوسائل القانونية، وفي نفس الوقت هو جزء الملكية الفكرية للمؤلف وشخصيته الإنسانية؛ ممَّا يخرج عن نطاق المصلحة المادية، وكل شيء له قيمة أعلى من الملكية المادية، ويوجد خارج الشخصية يمثل الحق المعنوي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68A417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حرص المنظم السعودي على ضرورة تعويض المتضرر جرَّاء الاعتداء على حقوقه الفكرية والأدبية؛ فقد خوَّل للمتضرر الحق في المطالبة بالتعويض كوسيلة رادعة، وقد أوضح المنظم السعودي في المادة </w:t>
      </w:r>
      <w:r>
        <w:rPr>
          <w:rStyle w:val="None"/>
          <w:rFonts w:ascii="Times New Roman" w:hAnsi="Times New Roman"/>
          <w:sz w:val="24"/>
          <w:szCs w:val="24"/>
          <w:rtl/>
          <w:lang w:val="ar-SA"/>
        </w:rPr>
        <w:t xml:space="preserve">(119) </w:t>
      </w:r>
      <w:r>
        <w:rPr>
          <w:rStyle w:val="None"/>
          <w:rFonts w:ascii="Arial Unicode MS" w:hAnsi="Arial Unicode MS" w:cs="Times New Roman" w:hint="cs"/>
          <w:sz w:val="24"/>
          <w:szCs w:val="24"/>
          <w:rtl/>
          <w:lang w:val="ar-SA"/>
        </w:rPr>
        <w:t>من نظام المعاملات المدنية،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لا تخل المسئولية المدنية بالمسئولية الجزائية، ولا تأثير للعقوبة في تحديد نطاق المسئولية المدنية وتقدير التعويض</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FDC99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تتجلى حماية العمل الإبداعي في النظام السعودي في شمولها للجانبين المادي والمعنوي؛ حيث يمثل المصنف حقًا اقتصاديًا وأدبيًا يعكس شخصية المؤلف، وقد جاء المنظم السعودي بإتاحة الفرصة للمتضرر بالمطالبة بجبر الضرر سواء كان اقتصاديًا أو أدبيًا، دون أنْ يؤثر ذلك على المسئولية الجزائية للمعتدي</w:t>
      </w:r>
      <w:r>
        <w:rPr>
          <w:rStyle w:val="None"/>
          <w:rFonts w:ascii="Times New Roman" w:hAnsi="Times New Roman"/>
          <w:sz w:val="24"/>
          <w:szCs w:val="24"/>
          <w:rtl/>
          <w:lang w:val="ar-SA"/>
        </w:rPr>
        <w:t>.</w:t>
      </w:r>
    </w:p>
    <w:p w14:paraId="032CA15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وضح المنظم السعودي التعويض عن الاعتداء على حقوق الملكية الفكرية عن طريق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يجوز للجنة أنْ تقرر تعويضًا ماليًا لصاحب حق المؤلف المعتدى عليه الذي يتقدم بالشكوى، ويكون التعويض متناسبًا مع حجم الاعتداء والضرر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8"/>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وتوضح المادة السابقة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أجاز للجنة المختصة للنظر في المخالفات الناشئة عن تطبيق أحكام هذا النظام</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بتقرير تعويضٍ ماليٍّ للمؤلف لما ترتب عليه من ضرر؛ نتيجةَ الاعتداء على حقوقه الفكرية؛ وذلك لما يحققه التعويض من جبرٍ للخاطر المضرور، بالإضافة إلى وسيلة رادعة لكل من تسوِّل له نفسه للاعتداء على حقوق الغير بأي صورة من صور الاعتداء</w:t>
      </w:r>
      <w:r>
        <w:rPr>
          <w:rStyle w:val="None"/>
          <w:rFonts w:ascii="Times New Roman" w:hAnsi="Times New Roman"/>
          <w:sz w:val="24"/>
          <w:szCs w:val="24"/>
          <w:rtl/>
          <w:lang w:val="ar-SA"/>
        </w:rPr>
        <w:t>.</w:t>
      </w:r>
    </w:p>
    <w:p w14:paraId="62376D5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وعلى النطاق الدولي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جاءت الاتفاقيات العالمية والدولية تقر بضرورة تعويض المؤلف أو صاحب الحق بمبلغ مادي عما أصابه من أضرار نتيجة الاعتداءات على حقوقه الفكرية، فقد جاءت اتفاقية تريبس بتوضيح التعويضات من خلال المادة </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p>
    <w:p w14:paraId="036B56F1" w14:textId="77777777" w:rsidR="00454428" w:rsidRDefault="00C464EC">
      <w:pPr>
        <w:pStyle w:val="ListParagraph"/>
        <w:numPr>
          <w:ilvl w:val="0"/>
          <w:numId w:val="158"/>
        </w:numPr>
        <w:spacing w:before="120" w:after="120" w:line="360" w:lineRule="auto"/>
        <w:jc w:val="both"/>
        <w:rPr>
          <w:rFonts w:cs="Times New Roman" w:hint="default"/>
          <w:sz w:val="24"/>
          <w:szCs w:val="24"/>
          <w:rtl/>
          <w:lang w:val="ar-SA"/>
        </w:rPr>
      </w:pPr>
      <w:r>
        <w:rPr>
          <w:rStyle w:val="None"/>
          <w:rFonts w:cs="Times New Roman"/>
          <w:sz w:val="24"/>
          <w:szCs w:val="24"/>
          <w:rtl/>
          <w:lang w:val="ar-SA"/>
        </w:rPr>
        <w:t>للسلطات القضائية صلاحية أنْ تأمر المعتدي بأنْ يدفع لصاحب الحق تعويضات مناسبة عن الضرر الذي لحق به؛ بسبب التعدي على حقه في الملكية الفكرية من جانب متعد يعلم، أو كانت هناك أسباب معقولة تجعله يعلم أنَّه قام بذلك التعدي</w:t>
      </w:r>
      <w:r>
        <w:rPr>
          <w:rStyle w:val="None"/>
          <w:rFonts w:ascii="Times New Roman" w:hAnsi="Times New Roman"/>
          <w:sz w:val="24"/>
          <w:szCs w:val="24"/>
          <w:rtl/>
          <w:lang w:val="ar-SA"/>
        </w:rPr>
        <w:t>.</w:t>
      </w:r>
    </w:p>
    <w:p w14:paraId="47F310F9" w14:textId="77777777" w:rsidR="00454428" w:rsidRDefault="00C464EC">
      <w:pPr>
        <w:pStyle w:val="ListParagraph"/>
        <w:numPr>
          <w:ilvl w:val="0"/>
          <w:numId w:val="15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وللسلطات القضائية أيضًا صلاحية أنْ تأمر المعتدي بأنْ يدفع لصاحب الحق المصروفات التي تكبدها، والتي يجوز أنْ تشمل أتعاب المحامي المناسبة، وفي الحالات الملائمة، يجوز للبلدان الأعضاء تخويل السلطات القضائية صلاحية أنْ تأمر باسترداد الأرباح، أو دفع تعويضات مقررة سلفًا حتى حين لا يكون المتعدي يعلم أو كانت لديه أسباب معقولة تجعله يعلم أنَّه قام بذلك التعدي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F0DD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كلًا من الاتفاقيات الدولية والأنظمة الوطنية قد أعطت الحق في التعويض مكانة مهمة؛ لضمان الحماية الفعَّالة للملكية الفكرية، فقد أرست اتفاقية تريبس إطارًا عامًا يمنح السلطات القضائية صلاحيةَ تقدير التعويض المناسب ومنع الضرر، بالإضافة إلى إلزام المعتدي بتحمل المصروفات واسترداد الأرباح في بعض الحالات، ويتبنى النظام السعودي هذا المبدأ من خلال نصوص واضحة تتيح لصاحب الحق المعتدى عليه الحصول على تعويض عادل يتناسب مع حجم الاعتداء والضرر، وهذا يعكس توافقًا على المستويين الدولي والوطني، في اعتبار التعويض أداة مهمة لحماية المصالح المادية والمعنوية للمؤلف</w:t>
      </w:r>
      <w:r>
        <w:rPr>
          <w:rStyle w:val="None"/>
          <w:rFonts w:ascii="Times New Roman" w:hAnsi="Times New Roman"/>
          <w:sz w:val="24"/>
          <w:szCs w:val="24"/>
          <w:rtl/>
          <w:lang w:val="ar-SA"/>
        </w:rPr>
        <w:t xml:space="preserve">. </w:t>
      </w:r>
    </w:p>
    <w:p w14:paraId="52234587"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شروط المطالبة بالتعويض</w:t>
      </w:r>
      <w:r>
        <w:rPr>
          <w:rStyle w:val="None"/>
          <w:rFonts w:ascii="Times New Roman" w:hAnsi="Times New Roman"/>
          <w:b/>
          <w:bCs/>
          <w:sz w:val="28"/>
          <w:szCs w:val="28"/>
          <w:rtl/>
          <w:lang w:val="ar-SA"/>
        </w:rPr>
        <w:t>:</w:t>
      </w:r>
    </w:p>
    <w:p w14:paraId="2E2F240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الابتكار المعيار المميز لحقوق المؤلف والشرط الرئيسي لاستحقاق الحماية القانونية، ولا يلزم الابتكار أنْ يكون العمل جديدًا في جملته وتفصيله، إنما المراد منه أنْ يظهر المصنف الفكري بطابع يبرز شخصية مؤلفه ومعبرًا عنها ومتسمًا بالجدة والتميز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85440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حماية حقوق المؤلف يشترط لانعقاد مثل هذه التصرفات أنْ تكون مكتوبةً، وأنْ يحدد فيها صراحةً، وبالتفصيل كل حق على حدة يُعَدُّ محلًا للتصرف، مع ضرورة بيان نطاق هذا الحق، والغرض منه والنطاق الزمني لاستغلاله، وطريقة استغلاله، فإنَّ طرق النشر الإلكتروني الرقمي المتطوِّر، قد تكون سببًا في الحد من مكنات الحق المالي للمؤلف، أو قد تظهر عدم تعادل بين القيم المتبادلة؛ بحيث يحصل عليه المؤلف من حق مالي لا يتناسب مطلقًا مع الأرباح التي يجنيها الناشر الإلكتروني بمناسبة استغلاله للحق المالي للمتنازل عنه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8ECE0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أجل الحصول على براءة الاختراع، فإنَّ الابتكار يجب أنْ تتوفر فيه شروط أساسية في مقدمتها أنْ تكون الفكرة جديدة والتطبيق جديد، والأصالة، وقابلية التحول إلى جهاز نافع أو طريقة محددة للقيام بالأعمال، وأنْ لا يكون الابتكار مجرد تحسين تدريجي بدرجة كبيرة، وهذا ما يستطيع أنْ يميزه المهني الماهر عند تقييم الابتكار في مرحلة طلب البراءة، ويكون ذلك من مسئولية الجهة الرسمية المانحة للبراءة أنْ تقارنه مع الابتكارات، أو المعارف، أو الطرق الحالية، كما يكون مسئولية المبتكر أنْ يوضح ابتكاره بالمقارنة مع الفن السابق أو المعرفة السابقة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83B3F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الابتكار يشكل حجر الأساس لاستحقاق الحماية القانونية في مجالات حقوق المؤلف وبراءات الاختراع، فهو المعيار الذي يميز العمل الإبداعي، ويعكس شخصية صاحبه؛ ممَّا يبرر منحه الحقوق المادية </w:t>
      </w:r>
      <w:r>
        <w:rPr>
          <w:rStyle w:val="None"/>
          <w:rFonts w:ascii="Arial Unicode MS" w:hAnsi="Arial Unicode MS" w:cs="Times New Roman" w:hint="cs"/>
          <w:sz w:val="24"/>
          <w:szCs w:val="24"/>
          <w:rtl/>
          <w:lang w:val="ar-SA"/>
        </w:rPr>
        <w:lastRenderedPageBreak/>
        <w:t>والمعنوية، ومع ذلك فقد تؤثر طرق النشر الإلكتروني الحديثة على القيمة الاقتصادية لهذه الحقوق، خاصةً إذا لم يتم تنظيم التعامل معها بعقود واضحة ومكتوبة تحدد نطاق الاستغلال وشروطه</w:t>
      </w:r>
      <w:r>
        <w:rPr>
          <w:rStyle w:val="None"/>
          <w:rFonts w:ascii="Times New Roman" w:hAnsi="Times New Roman"/>
          <w:sz w:val="24"/>
          <w:szCs w:val="24"/>
          <w:rtl/>
          <w:lang w:val="ar-SA"/>
        </w:rPr>
        <w:t xml:space="preserve">. </w:t>
      </w:r>
    </w:p>
    <w:p w14:paraId="049B21F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التعويض عند سحب المصنف من خلال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 xml:space="preserve">من نظام حماية حقوق المؤلف، والتي نصت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يلتزم المؤلف بالامتناع عن أي عمل من شأنه تعطيل استغلال الحق المأذون به للغير، ومع ذلك يجوز للمؤلف سحب مصنفه من التداول، أو تعديله، أو الحذف منه، أو الإضافة إليه، بعد الاتفاق مع المأذون له بمباشرة الحق، وفي حالة عدم الاتفاق يُلزم المؤلف بتعويض المأذون له بمباشرة الحق، وفق ما تحدده اللجنة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73769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وكما أوضح المنظم السعودي في المادة </w:t>
      </w:r>
      <w:r>
        <w:rPr>
          <w:rStyle w:val="None"/>
          <w:rFonts w:ascii="Times New Roman" w:hAnsi="Times New Roman"/>
          <w:sz w:val="24"/>
          <w:szCs w:val="24"/>
          <w:rtl/>
          <w:lang w:val="ar-SA"/>
        </w:rPr>
        <w:t xml:space="preserve">(29)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لصاحب حق المؤلف أو من يمثله حق المطالبة بالتعويض عن الأضرار، التي لحقت به جراء الاعتداء على أي من حقوقه التي يحميها النظام أمام المحكمة المختصة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98977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أقر مبدأ التعويض كوسيلة لتحقيق التوازن بين حقوق المؤلف وحقوق من يرخص لهم استغلال المصنفات الرقمية؛ حيث يتمتع المؤلف بحرية في التصرف مصنفة، كما منح المنظم المطالبة بالتعويض القضائي في حالة انتهاكات على الحقوق الفكرية، فإنَّ أهمية مبدأ التعويض في البيئة الرقمية من استغلال المصنفات الرقمية ونشرها إلكترونيًا دون إذن من صاحب المؤلف</w:t>
      </w:r>
      <w:r>
        <w:rPr>
          <w:rStyle w:val="None"/>
          <w:rFonts w:ascii="Times New Roman" w:hAnsi="Times New Roman"/>
          <w:sz w:val="24"/>
          <w:szCs w:val="24"/>
          <w:rtl/>
          <w:lang w:val="ar-SA"/>
        </w:rPr>
        <w:t>.</w:t>
      </w:r>
    </w:p>
    <w:p w14:paraId="7EF723D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اتفاقية برن بتوضيح الحقوق المعنوية للمؤلف، والتي نصت على</w:t>
      </w:r>
      <w:r>
        <w:rPr>
          <w:rStyle w:val="None"/>
          <w:rFonts w:ascii="Times New Roman" w:hAnsi="Times New Roman"/>
          <w:sz w:val="24"/>
          <w:szCs w:val="24"/>
          <w:rtl/>
          <w:lang w:val="ar-SA"/>
        </w:rPr>
        <w:t>:</w:t>
      </w:r>
    </w:p>
    <w:p w14:paraId="6A27D69C" w14:textId="77777777" w:rsidR="00454428" w:rsidRDefault="00C464EC">
      <w:pPr>
        <w:pStyle w:val="ListParagraph"/>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بغض النظر عن الحقوق المالية للمؤلف، بل وحتى بعد انتقال هذه الحقوق، فإنَّ المؤلف يحتفظ بالحق في المطالبة بنسبة المصنف إليه، وبالاعتراض على كل تحريف، أو تشويه، أو أي تعديل آخر لهذا المصنف، أو كل مساس آخر بذات المصنف يكون ضارًا بشرفه أو بسمعته</w:t>
      </w:r>
      <w:r>
        <w:rPr>
          <w:rStyle w:val="None"/>
          <w:rFonts w:ascii="Times New Roman" w:hAnsi="Times New Roman"/>
          <w:sz w:val="24"/>
          <w:szCs w:val="24"/>
          <w:rtl/>
          <w:lang w:val="ar-SA"/>
        </w:rPr>
        <w:t>.</w:t>
      </w:r>
    </w:p>
    <w:p w14:paraId="15610C25" w14:textId="77777777" w:rsidR="00454428" w:rsidRDefault="00C464EC">
      <w:pPr>
        <w:pStyle w:val="ListParagraph"/>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الحقوق الممنوحة للمؤلف بمقتضى الفقرة </w:t>
      </w:r>
      <w:r>
        <w:rPr>
          <w:rStyle w:val="None"/>
          <w:rFonts w:ascii="Times New Roman" w:hAnsi="Times New Roman"/>
          <w:sz w:val="24"/>
          <w:szCs w:val="24"/>
          <w:rtl/>
          <w:lang w:val="ar-SA"/>
        </w:rPr>
        <w:t xml:space="preserve">(1) </w:t>
      </w:r>
      <w:r>
        <w:rPr>
          <w:rStyle w:val="None"/>
          <w:rFonts w:cs="Times New Roman"/>
          <w:sz w:val="24"/>
          <w:szCs w:val="24"/>
          <w:rtl/>
          <w:lang w:val="ar-SA"/>
        </w:rPr>
        <w:t>السابقة تظل محفوظةً بعد وفاته، وذلك على الأقل إلى حين انقضاء الحقوق المالية، ويمارس هذه الحقوق الأشخاص، أو الهيئات المصرح لها من قِبل تشريع الدولة المطلوب توفير الحماية فيها، ومع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 الدول التي لا يتضمن تشريعها المعمول به </w:t>
      </w:r>
      <w:r>
        <w:rPr>
          <w:rStyle w:val="None"/>
          <w:rFonts w:ascii="Times New Roman" w:hAnsi="Times New Roman"/>
          <w:sz w:val="24"/>
          <w:szCs w:val="24"/>
          <w:rtl/>
          <w:lang w:val="ar-SA"/>
        </w:rPr>
        <w:t>-</w:t>
      </w:r>
      <w:r>
        <w:rPr>
          <w:rStyle w:val="None"/>
          <w:rFonts w:cs="Times New Roman"/>
          <w:sz w:val="24"/>
          <w:szCs w:val="24"/>
          <w:rtl/>
          <w:lang w:val="ar-SA"/>
        </w:rPr>
        <w:t>عند التصديق على هذه الاتفاقية، أو الانضمام إليها</w:t>
      </w:r>
      <w:r>
        <w:rPr>
          <w:rStyle w:val="None"/>
          <w:rFonts w:ascii="Times New Roman" w:hAnsi="Times New Roman"/>
          <w:sz w:val="24"/>
          <w:szCs w:val="24"/>
          <w:rtl/>
          <w:lang w:val="ar-SA"/>
        </w:rPr>
        <w:t xml:space="preserve">- </w:t>
      </w:r>
      <w:r>
        <w:rPr>
          <w:rStyle w:val="None"/>
          <w:rFonts w:cs="Times New Roman"/>
          <w:sz w:val="24"/>
          <w:szCs w:val="24"/>
          <w:rtl/>
          <w:lang w:val="ar-SA"/>
        </w:rPr>
        <w:t>نصوصًا تكفل الحماية بعد وفاة المؤلف لكل الحقوق المنصوص عليها في الفقرة السابقة، يكون لها الحق في النص على أنَّ بعض هذه الحقوق لا يحتفظ بها بعد وفاة المؤلف</w:t>
      </w:r>
      <w:r>
        <w:rPr>
          <w:rStyle w:val="None"/>
          <w:rFonts w:ascii="Times New Roman" w:hAnsi="Times New Roman"/>
          <w:sz w:val="24"/>
          <w:szCs w:val="24"/>
          <w:rtl/>
          <w:lang w:val="ar-SA"/>
        </w:rPr>
        <w:t>.</w:t>
      </w:r>
    </w:p>
    <w:p w14:paraId="471BA961" w14:textId="1E10FD0C" w:rsidR="00454428" w:rsidRDefault="00C464EC">
      <w:pPr>
        <w:pStyle w:val="ListParagraph"/>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وسائل الطعن للمحافظة على الحقوق المقررة في هذه المادة يحددها تشريع الدولة المطلوب توفير الحماية فيها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3DC21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قد أعطت الحقوق المعنوية للمؤلف مكانةً متميزةً ومستقلةً عن الحقوق المالية؛ حيث أكدت على حقه في نسبة المصنف إليه وحماية المصنف من أي تشويه أو تحريف قد يضر بسمعته، حتى بعد انتقال الحقوق المالية للغير، كما امتدت تلك الحماية لما بعد وفاة المؤلف، مع ترك المساحة للدول الأعضاء لتنظيم مدى استمرارها وفقًا للنظم القانونية الوطنية</w:t>
      </w:r>
      <w:r>
        <w:rPr>
          <w:rStyle w:val="None"/>
          <w:rFonts w:ascii="Times New Roman" w:hAnsi="Times New Roman"/>
          <w:sz w:val="24"/>
          <w:szCs w:val="24"/>
          <w:rtl/>
          <w:lang w:val="ar-SA"/>
        </w:rPr>
        <w:t xml:space="preserve">. </w:t>
      </w:r>
    </w:p>
    <w:p w14:paraId="5B4B8348"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 xml:space="preserve">المسؤولية القانونية لمزودي الخدمة </w:t>
      </w:r>
      <w:r>
        <w:rPr>
          <w:rStyle w:val="None"/>
          <w:rFonts w:ascii="Times New Roman" w:hAnsi="Times New Roman"/>
          <w:b/>
          <w:bCs/>
          <w:sz w:val="28"/>
          <w:szCs w:val="28"/>
        </w:rPr>
        <w:t>ISP</w:t>
      </w:r>
    </w:p>
    <w:p w14:paraId="7AF8515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الإنترنت أول مؤسسة عالمية لا تملكها أي حكومة وملكية الإنترنت بذلك مقسمة بين الدول والحكومات والشركات والمؤسسات، أما من يملك الخدمات الرئيسية للإنترنت فهو مقدم خدمة الإنترنت </w:t>
      </w:r>
      <w:r>
        <w:rPr>
          <w:rStyle w:val="None"/>
          <w:rFonts w:ascii="Times New Roman" w:hAnsi="Times New Roman"/>
          <w:sz w:val="24"/>
          <w:szCs w:val="24"/>
        </w:rPr>
        <w:t>ISP</w:t>
      </w:r>
      <w:r>
        <w:rPr>
          <w:rStyle w:val="None"/>
          <w:rFonts w:ascii="Arial Unicode MS" w:hAnsi="Arial Unicode MS" w:cs="Times New Roman" w:hint="cs"/>
          <w:sz w:val="24"/>
          <w:szCs w:val="24"/>
          <w:rtl/>
          <w:lang w:val="ar-SA"/>
        </w:rPr>
        <w:t xml:space="preserve"> وتقع عليه مسؤولية قانونية سواء جنائية أو مدنية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6"/>
      </w:r>
      <w:r>
        <w:rPr>
          <w:rStyle w:val="None"/>
          <w:rFonts w:ascii="Times New Roman" w:hAnsi="Times New Roman"/>
          <w:sz w:val="24"/>
          <w:szCs w:val="24"/>
          <w:vertAlign w:val="superscript"/>
          <w:rtl/>
          <w:lang w:val="ar-SA"/>
        </w:rPr>
        <w:t>)</w:t>
      </w:r>
    </w:p>
    <w:p w14:paraId="2354B3C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مزود خدمة الإنترنت يقوم بدور مهم في نشر المحتوى غير المشروع، وذلك في حالة اقتصار دوره على الجانب التقني، فالدور الإيجابي لمزود الخدمة بتأليف المحتوى، أو نشره، أو إعادة انتاجه، أو عند اختياره أو لتعديله، أما في حالة تجاوز حدود تقنيه واحتفظ بالمحتوى لمدة تتجاوز الزمن اللازم لنقله، وقام بنشر هذا المحتوى، فهنا يمكن مسائلته عن المحتوى غير المشروع الذي قام بنشره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7"/>
      </w:r>
      <w:r>
        <w:rPr>
          <w:rStyle w:val="None"/>
          <w:rFonts w:ascii="Times New Roman" w:hAnsi="Times New Roman"/>
          <w:sz w:val="24"/>
          <w:szCs w:val="24"/>
          <w:vertAlign w:val="superscript"/>
          <w:rtl/>
          <w:lang w:val="ar-SA"/>
        </w:rPr>
        <w:t>)</w:t>
      </w:r>
    </w:p>
    <w:p w14:paraId="0381658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بمزودي الخدمة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كل شخص طبيعي او معنوي يعمل على الربط التقني بين المستخدم وشبكة الإنترنت ويمدهم بالوسائل التقنية اللازمة لذلك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8"/>
      </w:r>
      <w:r>
        <w:rPr>
          <w:rStyle w:val="None"/>
          <w:rFonts w:ascii="Times New Roman" w:hAnsi="Times New Roman"/>
          <w:sz w:val="24"/>
          <w:szCs w:val="24"/>
          <w:vertAlign w:val="superscript"/>
          <w:rtl/>
          <w:lang w:val="ar-SA"/>
        </w:rPr>
        <w:t>)</w:t>
      </w:r>
    </w:p>
    <w:p w14:paraId="161FF70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عرف مزود الخدمة من نظام الاتصالات وتقنية المعلومات المادة الأولى التي نصت على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مقدم خدمات الاتصالات أو تقنية المعلومات أو خدمات ذات علاقة بها بما فيها منصات المحتوى الرقمي للعموم المرخص له أو المسجل أو المصرح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9"/>
      </w:r>
      <w:r>
        <w:rPr>
          <w:rStyle w:val="None"/>
          <w:rFonts w:ascii="Times New Roman" w:hAnsi="Times New Roman"/>
          <w:sz w:val="24"/>
          <w:szCs w:val="24"/>
          <w:vertAlign w:val="superscript"/>
          <w:rtl/>
          <w:lang w:val="ar-SA"/>
        </w:rPr>
        <w:t>)</w:t>
      </w:r>
    </w:p>
    <w:p w14:paraId="6353C5D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يتعرض المستفيد من خدمات شبكة الإنترنت لمخاطر المحتوى المضلل وغير المشروع، وهذه المخاطر باتت مألوفة في إطار البيئة الرقمية؛ حيث جعل التطور الحاصل في تقنيات الاتصال والتقنيات الرقمية، وجميع الداخلين إلى الشبكة أو المشتغلين عبرها معرضين لإمكانية تلقي المحتوى الضار من خلال برامج خبيثة، أو من خلال اتخاذه صور إعلانات جذابة، أو من خلال عقود إلكترونية وهمية وغيرها من وسائل نشر هذا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FD9B93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من هنا تتفاوت المسؤولية الجزائية لمقدمي خدمات الإنترنت وفقًا للخدمات التي يقدمونها على الشبكة سواء كانوا يتفاعلون مباشرة مع المعلومات او كانوا متعاقدين تقنيين يستخدمون وسائل التكنولوجيا لأداء مهامهم، وتظهر </w:t>
      </w:r>
      <w:r>
        <w:rPr>
          <w:rStyle w:val="None"/>
          <w:rFonts w:ascii="Arial Unicode MS" w:hAnsi="Arial Unicode MS" w:cs="Times New Roman" w:hint="cs"/>
          <w:sz w:val="24"/>
          <w:szCs w:val="24"/>
          <w:rtl/>
          <w:lang w:val="ar-SA"/>
        </w:rPr>
        <w:lastRenderedPageBreak/>
        <w:t>اختلافات في شكل المسؤولية الجزائية بناءً على القواعد العامة التي يتعبها القضاء في تحميل مقدمي الخدمة مسؤولية جرائمهم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1"/>
      </w:r>
      <w:r>
        <w:rPr>
          <w:rStyle w:val="None"/>
          <w:rFonts w:ascii="Times New Roman" w:hAnsi="Times New Roman"/>
          <w:sz w:val="24"/>
          <w:szCs w:val="24"/>
          <w:vertAlign w:val="superscript"/>
          <w:rtl/>
          <w:lang w:val="ar-SA"/>
        </w:rPr>
        <w:t>)</w:t>
      </w:r>
    </w:p>
    <w:p w14:paraId="7EA2A92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ومثال على ذلك قضية اتحاد الطلاب اليهود التي رفعها ضد شركة </w:t>
      </w:r>
      <w:r>
        <w:rPr>
          <w:rStyle w:val="None"/>
          <w:rFonts w:ascii="Times New Roman" w:hAnsi="Times New Roman"/>
          <w:sz w:val="24"/>
          <w:szCs w:val="24"/>
        </w:rPr>
        <w:t>Yahoo</w:t>
      </w:r>
      <w:r>
        <w:rPr>
          <w:rStyle w:val="None"/>
          <w:rFonts w:ascii="Arial Unicode MS" w:hAnsi="Arial Unicode MS" w:cs="Times New Roman" w:hint="cs"/>
          <w:sz w:val="24"/>
          <w:szCs w:val="24"/>
          <w:rtl/>
          <w:lang w:val="ar-SA"/>
        </w:rPr>
        <w:t xml:space="preserve"> باعتبارها مزودة الخدمة انتهت المحكمة إلى أنها تعد مسئولة عن عدم مشروعية الإعلانات والأعمال التي تمت عبر موقعها المخصص لبيع أشياء تتعلق بالنازية بالمزاد العلني، ولكن مسئوليتها تنشأ فقط منذ العلم بالمحتوى غير المشروع للموقع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141006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يسأل عنها مزود الخدمة عن سلوكه المعيب والضار، وتتحقق مسؤوليته المدنية ويلتزم بالتعويض الذي يعتبر الجزاء المترتب عن الخطأ المدني الذي نتج عن مخالفة ببنود العقد الذي يربطه مع عملائه بعقد الدخول إلى الشبكة، أو عقد توريد المعلومات إذا ما تعدى دوره، أو عن إخلال بالتزام قانوني مفاده عدم الاضرار بالغير وفقًا للمبادئ القانونية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3"/>
      </w:r>
      <w:r>
        <w:rPr>
          <w:rStyle w:val="None"/>
          <w:rFonts w:ascii="Times New Roman" w:hAnsi="Times New Roman"/>
          <w:sz w:val="24"/>
          <w:szCs w:val="24"/>
          <w:vertAlign w:val="superscript"/>
          <w:rtl/>
          <w:lang w:val="ar-SA"/>
        </w:rPr>
        <w:t>)</w:t>
      </w:r>
    </w:p>
    <w:p w14:paraId="75B9868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 إن المسؤولية الجزائية لمزود الخدمة خاصة من مجال الملكية الفكرية، يكون له دور أساسي سواء مباشر أو غير مباشر في الاعتداء على هذه الحقوق؛ لأنه يساهم في نشر أو اتاحه محتوى محمي دون ترخيص عبر الإنترنت، فتتجه التشريعات إلى تحديد مسؤولية الجزائية في حالة علمه بالمحتوى غير المشروع وعدم اتخاذ التدابير اللازمة لمنعه أو ازالته، فالمسؤولية الجزائية تقع على مزود الخدمة</w:t>
      </w:r>
      <w:r>
        <w:rPr>
          <w:rStyle w:val="None"/>
          <w:rFonts w:ascii="Times New Roman" w:hAnsi="Times New Roman"/>
          <w:sz w:val="24"/>
          <w:szCs w:val="24"/>
          <w:rtl/>
          <w:lang w:val="ar-SA"/>
        </w:rPr>
        <w:t>.</w:t>
      </w:r>
    </w:p>
    <w:p w14:paraId="696B90D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لمزود الخدمة على أساس الاخلال بواجب قانوني على حقوق الملكية الفكرية، وذلك في حالة اتاحه نشر محتوى محمي دون ترخيص، فإذا ثبت أن مزود الخدمة هو من قام بهذا الخطأ سواء بالإهمال او التقصير في مراقبة المحتوى، في هذه الحالة يسأل مدنيًا عن الأضرار التي تلحق بأصحاب الحقوق، ويلتزم بالتعويض</w:t>
      </w:r>
      <w:r>
        <w:rPr>
          <w:rStyle w:val="None"/>
          <w:rFonts w:ascii="Times New Roman" w:hAnsi="Times New Roman"/>
          <w:sz w:val="24"/>
          <w:szCs w:val="24"/>
          <w:rtl/>
          <w:lang w:val="ar-SA"/>
        </w:rPr>
        <w:t>.</w:t>
      </w:r>
    </w:p>
    <w:p w14:paraId="5EA12641"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دور الهيئة السعودية للملكية الفكرية</w:t>
      </w:r>
      <w:r>
        <w:rPr>
          <w:rStyle w:val="None"/>
          <w:rFonts w:ascii="Times New Roman" w:hAnsi="Times New Roman"/>
          <w:b/>
          <w:bCs/>
          <w:sz w:val="28"/>
          <w:szCs w:val="28"/>
          <w:rtl/>
          <w:lang w:val="ar-SA"/>
        </w:rPr>
        <w:t>:</w:t>
      </w:r>
    </w:p>
    <w:p w14:paraId="67457FC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مواكبة للتطوُّر التكنولوجي المذهل في عالم الإلكترونيات وشبكات المعلومات، وما نتج عنها من وسائل حديثة للنشر الإلكتروني توسعة مسألة الاعتداء على المصنفات المحمية؛ ممَّا دفع المنظم إلى تجريم ذلك بما يكفل حماية فعَّالة ضد أي اعتداء على حقوق المؤلف، وتقع المسئولية على عاتق الشخص الذي قام بالنشر غير المشروع للمصنف عبر الشبكة، إذا توفر لدى الجاني العلم بأنَّ المصنف الذي يقوم بنشره محمي، واتجهت إرادته إلى هذا النشر غير المشروع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42D76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فاهتمت الهيئة السعودية للملكية الفكرية بتصميم وتنفيذ الاستراتيجية الوطنية للملكية الفكرية، كما قامت بالتوعية بأهمية الملكية الفكرية وحماية حقوقها، واهتمت بإبداء الآراء في شأن الاتفاقيات الدولية المتعلقة بحقوق الملكية الفكرية، واقتراح الأنظمة واللوائح المتعلقة بحقوق الملكية الفكرية، وتعزيز الاستفادة من الملكية الفكرية؛ لبناء اقتصاد متقدم قائم </w:t>
      </w:r>
      <w:r>
        <w:rPr>
          <w:rStyle w:val="None"/>
          <w:rFonts w:ascii="Arial Unicode MS" w:hAnsi="Arial Unicode MS" w:cs="Times New Roman" w:hint="cs"/>
          <w:sz w:val="24"/>
          <w:szCs w:val="24"/>
          <w:rtl/>
          <w:lang w:val="ar-SA"/>
        </w:rPr>
        <w:lastRenderedPageBreak/>
        <w:t xml:space="preserve">على المعرفة، كما عملت على إنشاء قواعد للمعلومات في مجال عمل الهيئة وتبادل المعلومات مع الجهات المحلية، والإقليمية، والعالمية، وتسجيل حقوق الملكية الفكرية ومنحها وثائق الحماية وإنفاذها، بالإضافة إلى أنَّها تمثل المملكة في المنظمات الدولية والإقليمية ذات العلاقة بحقوق الملكية الفكرية والدفاع عن مصالحها، وتوفر المعلومات المتعلقة بحقوق الملكية الفكرية وإتاحتها للجمهور، ومتابعة تنفيذ الالتزامات المترتبة على انضمام المملكة إلى الاتفاقيات الدولية المتعلقة بالملكية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F4F089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السعودية للملكية الفكرية أولت اهتمامًا كبيرًا لحماية حقوق الملكية الفكرية؛ ممَّا يساعدها على مواكبة التطوُّر التكنولوجي، والحد من الانتهاكات التي قد تؤثر على المصنفات المحمية في البيئة الرقمية، كما تتيح هذه الحماية للمؤلف أو صاحب الحق المطالبة بالتعويض عن أي اعتداء على حقوقه؛ حيث يتجاوز تجريم النشر غير المشروع العقوبات الجنائية؛ ليشمل التعويض المدني الذي يهدف إلى جبر الضرر، بالإضافة إلى أنَّ الجهود التي تبذلها الهيئة السعودية للملكية الفكرية في تطبيق استراتيجيات الحماية وتعزيز نفاذ الحقوق، تشكل نطاقًا متكاملًا يضمن لصاحب الحق الفكري حماية فعَّالة</w:t>
      </w:r>
      <w:r>
        <w:rPr>
          <w:rStyle w:val="None"/>
          <w:rFonts w:ascii="Times New Roman" w:hAnsi="Times New Roman"/>
          <w:sz w:val="24"/>
          <w:szCs w:val="24"/>
          <w:rtl/>
          <w:lang w:val="ar-SA"/>
        </w:rPr>
        <w:t xml:space="preserve">. </w:t>
      </w:r>
    </w:p>
    <w:p w14:paraId="2608CE0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السعودي لا يستوجب التسجيل لحماية حق المؤلف، فأي مصنف يتمتع بالإضافة الابتكارية، وتم إخراجه كقالب مادي فهو متمتع بالحماية القانونية دون الحاجة إلى أي إجراء آخر؛ إلا أنَّه بعد تأسيس الهيئة السعودية للملكية الفكرية استحدثت الهيئة نظام التسجيل الاختياري لحق المؤلف؛ الذي يهدف إلى توفير مزيد من الحماية عبر منح المؤلف وثيقةً ثبوتيةً تقضي بملكية المؤلف لهذا المصنف، وهذه المبادرة لا تتنافى مع كون المنظم السعودي لم يستلزم إجراءات لمنح الحماية القانونية، فجميع المصنفات التي تصح أنْ تكون محلًا لحق المؤلف هي محمية بموجب النظام، ولا يجوز التعدي عليها شريطة أنْ تكون ذات طابع ابتكاري، وأنْ يكون قد تم إخراجها في قالب مادي، ولا عبرة بكونها لا تزال فكرة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D518E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كيفية ضبط المخالفات في المصنفات الإلكترونية، وذلك من خلال المادة </w:t>
      </w:r>
      <w:r>
        <w:rPr>
          <w:rStyle w:val="None"/>
          <w:rFonts w:ascii="Times New Roman" w:hAnsi="Times New Roman"/>
          <w:sz w:val="24"/>
          <w:szCs w:val="24"/>
          <w:rtl/>
          <w:lang w:val="ar-SA"/>
        </w:rPr>
        <w:t xml:space="preserve">(26) </w:t>
      </w:r>
      <w:r>
        <w:rPr>
          <w:rStyle w:val="None"/>
          <w:rFonts w:ascii="Arial Unicode MS" w:hAnsi="Arial Unicode MS" w:cs="Times New Roman" w:hint="cs"/>
          <w:sz w:val="24"/>
          <w:szCs w:val="24"/>
          <w:rtl/>
          <w:lang w:val="ar-SA"/>
        </w:rPr>
        <w:t xml:space="preserve">من اللائحة التنفيذية لنظام حماية حقوق المؤلف، والتي نصت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ضبط ما يقع من مخالفات لأحكام النظام واللائحة في المواقع الإلكترونية في شبكة الإنترنت العالمية وفق ما يلي</w:t>
      </w:r>
      <w:r>
        <w:rPr>
          <w:rStyle w:val="None"/>
          <w:rFonts w:ascii="Times New Roman" w:hAnsi="Times New Roman"/>
          <w:sz w:val="24"/>
          <w:szCs w:val="24"/>
          <w:rtl/>
          <w:lang w:val="ar-SA"/>
        </w:rPr>
        <w:t>:</w:t>
      </w:r>
    </w:p>
    <w:p w14:paraId="1C29CD8F" w14:textId="77777777" w:rsidR="00454428" w:rsidRDefault="00C464EC">
      <w:pPr>
        <w:pStyle w:val="ListParagraph"/>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شكوى مقدمة من أصحاب الحقوق أو من يمثلهم، على أنْ تتوافق مع شروط قيدها لدى الهيئة وفق النماذج المعدة لذلك</w:t>
      </w:r>
      <w:r>
        <w:rPr>
          <w:rStyle w:val="None"/>
          <w:rFonts w:ascii="Times New Roman" w:hAnsi="Times New Roman"/>
          <w:sz w:val="24"/>
          <w:szCs w:val="24"/>
          <w:rtl/>
          <w:lang w:val="ar-SA"/>
        </w:rPr>
        <w:t>.</w:t>
      </w:r>
    </w:p>
    <w:p w14:paraId="0ABFA6CB" w14:textId="77777777" w:rsidR="00454428" w:rsidRDefault="00C464EC">
      <w:pPr>
        <w:pStyle w:val="ListParagraph"/>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بِناءً على البلاغات الواردة إلى الهيئة وفق النماذج المعدة لذلك</w:t>
      </w:r>
      <w:r>
        <w:rPr>
          <w:rStyle w:val="None"/>
          <w:rFonts w:ascii="Times New Roman" w:hAnsi="Times New Roman"/>
          <w:sz w:val="24"/>
          <w:szCs w:val="24"/>
          <w:rtl/>
          <w:lang w:val="ar-SA"/>
        </w:rPr>
        <w:t>.</w:t>
      </w:r>
    </w:p>
    <w:p w14:paraId="756E63EE" w14:textId="77777777" w:rsidR="00454428" w:rsidRDefault="00C464EC">
      <w:pPr>
        <w:pStyle w:val="ListParagraph"/>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رصد الإدارة المختصة للمواقع الإلكترونية في شبكة الإنترنت العالمية التي يحتمل وجود اعتدائها على حق المؤلف وفق ما يتوفر من دلائل أولية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FC856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تستطيع الجهات الرقابية المسئولة وفق القوانين ممارسة الرقابة الإلكترونية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وتحقيق التوازن بين حماية الحقوق والحريات كمصلحة خاصة وحق المجتمع في الأمن ومنع الجريمة كمصلحة عامة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97193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حق المؤلف في المطالبة بحقوقه في المادة </w:t>
      </w:r>
      <w:r>
        <w:rPr>
          <w:rStyle w:val="None"/>
          <w:rFonts w:ascii="Times New Roman" w:hAnsi="Times New Roman"/>
          <w:sz w:val="24"/>
          <w:szCs w:val="24"/>
          <w:rtl/>
          <w:lang w:val="ar-SA"/>
        </w:rPr>
        <w:t xml:space="preserve">(8/1)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يحق لأي مؤلف شريك في أي مصنف أنْ يطلب منفردًا اتخاذ الإجراءات التحفظية عند وقوع أي اعتداء على حق المؤلف، كما يكون له الحق منفردًا في المطالبة بنصيبه من التعويض عن 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AE0C9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استجاب بفاعلية للتحديات التي فرضها التطوُّر التكنولوجي ووسائل النشر الإلكتروني الحديثة؛ من خلال تجريم الاعتداءات الرقمية على المصنفات المحمية، كما أكد على أنَّ الحماية القانونية تُمنح تلقائيًا لكل عمل ابتكاري تم إخراجه في قالب مادي، دون اشتراط إجراءات شكلية مسبقة</w:t>
      </w:r>
      <w:r>
        <w:rPr>
          <w:rStyle w:val="None"/>
          <w:rFonts w:ascii="Times New Roman" w:hAnsi="Times New Roman"/>
          <w:sz w:val="24"/>
          <w:szCs w:val="24"/>
          <w:rtl/>
          <w:lang w:val="ar-SA"/>
        </w:rPr>
        <w:t>.</w:t>
      </w:r>
    </w:p>
    <w:p w14:paraId="5325177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عزّزت الهيئة السعودية للملكية الفكرية هذه الحماية عبر إقرار نظام التسجيل الاختياري، الذي يمنح المؤلف سندًا رسميًا يثبت ملكيته للمصنف، بالإضافة إلى تمكين الجهات الرقابية من متابعة البيئة الرقمية لحماية النظام العام، وبذلك يحقق الإطار القانوني السعودي توازنًا بين حماية حقوق المؤلف كمصلحة خاصة، وضمان الأمن السيبراني كمصلحة عامة، مع تمكين المؤلفين من المطالبة بحقوقهم واتخاذ الإجراءات التحفظية في حال وقوع أي اعتداء</w:t>
      </w:r>
      <w:r>
        <w:rPr>
          <w:rStyle w:val="None"/>
          <w:rFonts w:ascii="Times New Roman" w:hAnsi="Times New Roman"/>
          <w:sz w:val="24"/>
          <w:szCs w:val="24"/>
          <w:rtl/>
          <w:lang w:val="ar-SA"/>
        </w:rPr>
        <w:t>.</w:t>
      </w:r>
    </w:p>
    <w:p w14:paraId="51028673" w14:textId="77777777" w:rsidR="00454428" w:rsidRDefault="00C464EC" w:rsidP="00C72BA8">
      <w:pPr>
        <w:pStyle w:val="Body"/>
        <w:spacing w:line="360" w:lineRule="auto"/>
      </w:pPr>
      <w:r>
        <w:rPr>
          <w:rStyle w:val="None"/>
          <w:rFonts w:ascii="Arial Unicode MS" w:hAnsi="Arial Unicode MS"/>
          <w:sz w:val="24"/>
          <w:szCs w:val="24"/>
          <w:rtl/>
          <w:lang w:val="ar-SA"/>
        </w:rPr>
        <w:br w:type="page"/>
      </w:r>
    </w:p>
    <w:p w14:paraId="68ECCF87" w14:textId="77777777" w:rsidR="00454428" w:rsidRDefault="00C464EC" w:rsidP="00C72BA8">
      <w:pPr>
        <w:pStyle w:val="a"/>
        <w:rPr>
          <w:rStyle w:val="None"/>
          <w:rtl/>
          <w:lang w:val="ar-SA"/>
        </w:rPr>
      </w:pPr>
      <w:bookmarkStart w:id="238" w:name="_Toc227251134"/>
      <w:bookmarkStart w:id="239" w:name="_Toc232260691"/>
      <w:r>
        <w:rPr>
          <w:rStyle w:val="None"/>
          <w:rFonts w:ascii="Arial Unicode MS" w:eastAsia="Arial Unicode MS" w:hAnsi="Arial Unicode MS" w:hint="cs"/>
          <w:rtl/>
          <w:lang w:val="ar-SA"/>
        </w:rPr>
        <w:lastRenderedPageBreak/>
        <w:t>المطلب الثاني</w:t>
      </w:r>
      <w:bookmarkEnd w:id="238"/>
      <w:bookmarkEnd w:id="239"/>
    </w:p>
    <w:p w14:paraId="5FE26181" w14:textId="77777777" w:rsidR="00454428" w:rsidRDefault="00C464EC" w:rsidP="00C72BA8">
      <w:pPr>
        <w:pStyle w:val="a"/>
        <w:rPr>
          <w:rStyle w:val="None"/>
          <w:rtl/>
          <w:lang w:val="ar-SA"/>
        </w:rPr>
      </w:pPr>
      <w:bookmarkStart w:id="240" w:name="_Toc227251135"/>
      <w:bookmarkStart w:id="241" w:name="_Toc232260692"/>
      <w:r>
        <w:rPr>
          <w:rStyle w:val="None"/>
          <w:rFonts w:ascii="Arial Unicode MS" w:eastAsia="Arial Unicode MS" w:hAnsi="Arial Unicode MS" w:hint="cs"/>
          <w:rtl/>
          <w:lang w:val="ar-SA"/>
        </w:rPr>
        <w:t>التعويض عن الاعتداء على حقوق الملكية الفكرية في البيئة الرقمية في القانون الأمريكي والفَرنسي</w:t>
      </w:r>
      <w:bookmarkEnd w:id="240"/>
      <w:bookmarkEnd w:id="241"/>
    </w:p>
    <w:p w14:paraId="0AC38E8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التعويض عن الاعتداء على حقوق الملكية الفكرية في البيئة الرقمية لا بُدَّ من بيان أوجه التشابه والاختلاف بين الأنظمة القانونية المختلفة في القانون الأمريكي والفَرنسي؛ لتوضيح مسألة التعويض في ظل التحديات التي فرضتها البيئة الرقمية</w:t>
      </w:r>
      <w:r>
        <w:rPr>
          <w:rStyle w:val="None"/>
          <w:rFonts w:ascii="Times New Roman" w:hAnsi="Times New Roman"/>
          <w:sz w:val="24"/>
          <w:szCs w:val="24"/>
          <w:rtl/>
          <w:lang w:val="ar-SA"/>
        </w:rPr>
        <w:t>.</w:t>
      </w:r>
    </w:p>
    <w:p w14:paraId="0B404DE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النمو السريع لانتهاكات حقوق الملكية الفكرية على الإنترنت، ومشاكل تنظيمها القانوني، إلى البحث عن حلول لمكافحة هذه الأعمال غير القانونية، وقد تم وضع آليات فعَّالة؛ لتعزيز حماية حقوق الملكية الفكرية، لا سيما من خلال إلزام مزودي خدمات الإنترنت بالكشف عن معلومات سرية حول منتهكي حقوق الطبع والنشر المزعومين، ونقل هذه البيانات إلى السلطات المختصة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0"/>
      </w:r>
      <w:r>
        <w:rPr>
          <w:rStyle w:val="None"/>
          <w:rFonts w:ascii="Times New Roman" w:hAnsi="Times New Roman"/>
          <w:sz w:val="24"/>
          <w:szCs w:val="24"/>
          <w:vertAlign w:val="superscript"/>
          <w:rtl/>
          <w:lang w:val="ar-SA"/>
        </w:rPr>
        <w:t>)</w:t>
      </w:r>
    </w:p>
    <w:p w14:paraId="7CC69D9D" w14:textId="77777777" w:rsidR="00645DEB" w:rsidRDefault="00C464EC" w:rsidP="00645DEB">
      <w:pPr>
        <w:pStyle w:val="Body"/>
        <w:spacing w:before="120" w:after="120" w:line="360" w:lineRule="auto"/>
        <w:ind w:firstLine="720"/>
        <w:jc w:val="both"/>
        <w:rPr>
          <w:rStyle w:val="None"/>
          <w:rFonts w:ascii="Times New Roman" w:eastAsia="Times New Roman" w:hAnsi="Times New Roman" w:cs="Times New Roman"/>
          <w:sz w:val="24"/>
          <w:szCs w:val="24"/>
          <w:rtl/>
        </w:rPr>
      </w:pPr>
      <w:r>
        <w:rPr>
          <w:rStyle w:val="None"/>
          <w:rFonts w:ascii="Arial Unicode MS" w:hAnsi="Arial Unicode MS" w:cs="Times New Roman" w:hint="cs"/>
          <w:sz w:val="24"/>
          <w:szCs w:val="24"/>
          <w:rtl/>
          <w:lang w:val="ar-SA"/>
        </w:rPr>
        <w:t>وفي البيئة الرقمية، تُعَدُّ جميع حقوق الملكية الفكرية أكثر عرضةً للانتهاك، مقارنةً بالبيئة التقليدية، إلا أنَّ حق التأليف والنشر هو الأكثر عرضةً للانتهاك؛ ولذلك فإنَّ أحد أكبر تحديات حماية حق التأليف والنشر في العصر الرقمي يكمن في مسألة الانتهاك؛ ممَّا يحتم على واضعي التشريعات مواكبة قانون حماية حقوق الطبع والنشر؛ لمواجهة هذه التحديات التي ازدادت في العصر الرقمي؛ حيث أصبح انتهاك حقوق الطبع والنشر سهلًا على نطاق واسع؛ ممَّا يجعل من الصعب اكتشافه، والسبب أنَّ الإنترنت يضم مليارات المستخدمين، وبنقرة واحدة فقط، يمكن لعدد لا يُحصى من المستخدمين الوصول إلى نسخ على الشبكة، ويمكن إجراء عملية النسخ بسرعة وبسرية دون أنْ يتمكن أحد من اكتشافها ومنعها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1"/>
      </w:r>
      <w:r>
        <w:rPr>
          <w:rStyle w:val="None"/>
          <w:rFonts w:ascii="Times New Roman" w:hAnsi="Times New Roman"/>
          <w:sz w:val="24"/>
          <w:szCs w:val="24"/>
          <w:vertAlign w:val="superscript"/>
          <w:rtl/>
          <w:lang w:val="ar-SA"/>
        </w:rPr>
        <w:t>)</w:t>
      </w:r>
      <w:r w:rsidR="00645DEB">
        <w:rPr>
          <w:rStyle w:val="None"/>
          <w:rFonts w:ascii="Times New Roman" w:eastAsia="Times New Roman" w:hAnsi="Times New Roman" w:cs="Times New Roman" w:hint="cs"/>
          <w:sz w:val="24"/>
          <w:szCs w:val="24"/>
          <w:rtl/>
        </w:rPr>
        <w:t xml:space="preserve"> </w:t>
      </w:r>
    </w:p>
    <w:p w14:paraId="6B1CA466" w14:textId="4BC918BB" w:rsidR="00454428" w:rsidRDefault="00C464EC" w:rsidP="00645DEB">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التعويضات القانونية عن حقوق الملكية الفكرية في الحماية من الانتهاك، مع تعويض الضرر، فإذا قام شخص ما بأحد الأنشطة التي تُعَدُّ انتهاكًا لحقوق الغير، فإنَّه يُعَدُّ مُنتهكًا، ويتحتم علية تعويض الضرر، كما يُحاسب الشخص على مساعدة شخص آخر على الانتهاك، وهو ما يسمى بالانتهاك المُساهم، والذي يحدث عندما يُساهم شخص ما مساهمة مادية في الانتهاك المباشر لشخص آخر، من خلال مساعدة المُنتهك بأي شكل من الأشكال، وهناك أيضًا المسئولية التبعية،  والتي تحدث عندما يستفيد شخص ما ماليًا من انتهاك شخص آخر، وكان بإمكانه منع حدوث هذا الانتهاك من البداية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2"/>
      </w:r>
      <w:r>
        <w:rPr>
          <w:rStyle w:val="None"/>
          <w:rFonts w:ascii="Times New Roman" w:hAnsi="Times New Roman"/>
          <w:sz w:val="24"/>
          <w:szCs w:val="24"/>
          <w:vertAlign w:val="superscript"/>
          <w:rtl/>
          <w:lang w:val="ar-SA"/>
        </w:rPr>
        <w:t>)</w:t>
      </w:r>
    </w:p>
    <w:p w14:paraId="255D9B87" w14:textId="77777777" w:rsidR="00645DEB" w:rsidRDefault="00645DEB">
      <w:pPr>
        <w:rPr>
          <w:rStyle w:val="None"/>
          <w:rFonts w:ascii="Arial Unicode MS" w:hAnsi="Arial Unicode MS"/>
          <w:b/>
          <w:bCs/>
          <w:color w:val="000000"/>
          <w:u w:color="000000"/>
          <w:rtl/>
          <w:lang w:val="ar-SA"/>
          <w14:textOutline w14:w="0" w14:cap="flat" w14:cmpd="sng" w14:algn="ctr">
            <w14:noFill/>
            <w14:prstDash w14:val="solid"/>
            <w14:bevel/>
          </w14:textOutline>
        </w:rPr>
      </w:pPr>
      <w:r>
        <w:rPr>
          <w:rStyle w:val="None"/>
          <w:rFonts w:ascii="Arial Unicode MS" w:hAnsi="Arial Unicode MS"/>
          <w:b/>
          <w:bCs/>
          <w:rtl/>
          <w:lang w:val="ar-SA"/>
        </w:rPr>
        <w:br w:type="page"/>
      </w:r>
    </w:p>
    <w:p w14:paraId="44DBDB3C" w14:textId="622E4D70"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التعويض عن الاعتداء على حقوق الملكية الفكرية في البيئة الرقمية في القانون الفَرنسي</w:t>
      </w:r>
      <w:r>
        <w:rPr>
          <w:rStyle w:val="None"/>
          <w:rFonts w:ascii="Times New Roman" w:hAnsi="Times New Roman"/>
          <w:b/>
          <w:bCs/>
          <w:sz w:val="28"/>
          <w:szCs w:val="28"/>
          <w:rtl/>
          <w:lang w:val="ar-SA"/>
        </w:rPr>
        <w:t>:</w:t>
      </w:r>
    </w:p>
    <w:p w14:paraId="4176622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كثيرًا ما يواجه أصحابُ الحقوق صعوبةً في جمع الأدلة المتعلقة بانتهاك ملكيتهم الفكرية، فبالإضافة إلى إجراءات الحجز الرامية إلى تجميد السلع المزعوم انتهاكها، يمكن لأصحاب الحقوق أيضًا طلب إجراءات لجمع وتأمين الأدلة المتعلقة بالانتهاك، ووفقًا للمادة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من توجيه الإنفاذ، إذا كان صاحب الحق على علم بأدلة تقع تحت سيطرة المدعَى عليه، فعليه أنْ يطلب من المحكمة إصدار أمر يُلزم المدعَى عليه بتقديم هذه الأدلة، وفي فَرنسا يُنفذ الأمر بواسطة مُحضر قضائي برفقة خبير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3"/>
      </w:r>
      <w:r>
        <w:rPr>
          <w:rStyle w:val="None"/>
          <w:rFonts w:ascii="Times New Roman" w:hAnsi="Times New Roman"/>
          <w:sz w:val="24"/>
          <w:szCs w:val="24"/>
          <w:vertAlign w:val="superscript"/>
          <w:rtl/>
          <w:lang w:val="ar-SA"/>
        </w:rPr>
        <w:t>)</w:t>
      </w:r>
    </w:p>
    <w:p w14:paraId="759FD4A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دعوى الانتهاك بمثابة إجراء قانوني يسمح لصاحب حقوق الملكية الفكرية والتي تتمثل في العلامة التجارية، وبراءة الاختراع، والتصميم، وحقوق الطبع والنشر، إلخ، بمقاضاة أي طرف يستغل حقوقه دون تصريح، ويُشكل الانتهاك انتهاكًا مباشرًا للحقوق الحصرية الممنوحة بموجب القانون، وقد يؤدي إلى عقوبات مدنية وجنائية؛ حيث يحصل صاحب الحق الأصلي على تعويضات تغطي الخسائر الاقتصادية، والأضرار المعنوية، والأرباح غير العادلة التي حققها المخالف وفقًا للمادة </w:t>
      </w:r>
      <w:r>
        <w:rPr>
          <w:rStyle w:val="None"/>
          <w:rFonts w:ascii="Times New Roman" w:hAnsi="Times New Roman"/>
          <w:sz w:val="24"/>
          <w:szCs w:val="24"/>
        </w:rPr>
        <w:t>L. 331-1-3</w:t>
      </w:r>
      <w:r>
        <w:rPr>
          <w:rStyle w:val="None"/>
          <w:rFonts w:ascii="Arial Unicode MS" w:hAnsi="Arial Unicode MS" w:cs="Times New Roman" w:hint="cs"/>
          <w:sz w:val="24"/>
          <w:szCs w:val="24"/>
          <w:rtl/>
          <w:lang w:val="ar-SA"/>
        </w:rPr>
        <w:t xml:space="preserve"> من قانون الملكية الفكرية الفَرنسي، وفي حالات الانتهاك المتعمد، قد تُطبق عقوبات جنائية أيضًا، وتصل العقوبة إلى السجن لمدة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400,000 </w:t>
      </w:r>
      <w:r>
        <w:rPr>
          <w:rStyle w:val="None"/>
          <w:rFonts w:ascii="Arial Unicode MS" w:hAnsi="Arial Unicode MS" w:cs="Times New Roman" w:hint="cs"/>
          <w:sz w:val="24"/>
          <w:szCs w:val="24"/>
          <w:rtl/>
          <w:lang w:val="ar-SA"/>
        </w:rPr>
        <w:t xml:space="preserve">يورو؛ لانتهاك العلامة التجارية، أو براءة الاختراع، وذلك وفق المادتين </w:t>
      </w:r>
      <w:r>
        <w:rPr>
          <w:rStyle w:val="None"/>
          <w:rFonts w:ascii="Times New Roman" w:hAnsi="Times New Roman"/>
          <w:sz w:val="24"/>
          <w:szCs w:val="24"/>
          <w:rtl/>
        </w:rPr>
        <w:t>L. 716-9</w:t>
      </w:r>
      <w:r>
        <w:rPr>
          <w:rStyle w:val="None"/>
          <w:rFonts w:ascii="Arial Unicode MS" w:hAnsi="Arial Unicode MS" w:cs="Times New Roman" w:hint="cs"/>
          <w:sz w:val="24"/>
          <w:szCs w:val="24"/>
          <w:rtl/>
          <w:lang w:val="ar-SA"/>
        </w:rPr>
        <w:t xml:space="preserve"> و</w:t>
      </w:r>
      <w:r>
        <w:rPr>
          <w:rStyle w:val="None"/>
          <w:rFonts w:ascii="Times New Roman" w:hAnsi="Times New Roman"/>
          <w:sz w:val="24"/>
          <w:szCs w:val="24"/>
        </w:rPr>
        <w:t>L. 615-14</w:t>
      </w:r>
      <w:r>
        <w:rPr>
          <w:rStyle w:val="None"/>
          <w:rFonts w:ascii="Arial Unicode MS" w:hAnsi="Arial Unicode MS" w:cs="Times New Roman" w:hint="cs"/>
          <w:sz w:val="24"/>
          <w:szCs w:val="24"/>
          <w:rtl/>
          <w:lang w:val="ar-SA"/>
        </w:rPr>
        <w:t xml:space="preserve"> من قانون حماية الملكية الفكرية، كما  تصل العقوبة إلى السجن لمدة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300,000 </w:t>
      </w:r>
      <w:r>
        <w:rPr>
          <w:rStyle w:val="None"/>
          <w:rFonts w:ascii="Arial Unicode MS" w:hAnsi="Arial Unicode MS" w:cs="Times New Roman" w:hint="cs"/>
          <w:sz w:val="24"/>
          <w:szCs w:val="24"/>
          <w:rtl/>
          <w:lang w:val="ar-SA"/>
        </w:rPr>
        <w:t xml:space="preserve">يورو؛ لانتهاك حقوق الطبع والنشر، وفق المادة </w:t>
      </w:r>
      <w:r>
        <w:rPr>
          <w:rStyle w:val="None"/>
          <w:rFonts w:ascii="Times New Roman" w:hAnsi="Times New Roman"/>
          <w:sz w:val="24"/>
          <w:szCs w:val="24"/>
        </w:rPr>
        <w:t>L. 335-2</w:t>
      </w:r>
      <w:r>
        <w:rPr>
          <w:rStyle w:val="None"/>
          <w:rFonts w:ascii="Arial Unicode MS" w:hAnsi="Arial Unicode MS" w:cs="Times New Roman" w:hint="cs"/>
          <w:sz w:val="24"/>
          <w:szCs w:val="24"/>
          <w:rtl/>
          <w:lang w:val="ar-SA"/>
        </w:rPr>
        <w:t xml:space="preserve"> من قانون حماية الملكية الفكرية، وتخضع دعوى انتهاك الملكية الفكرية لأحكام مُختلفة من قانون الملكية الفكرية الفرنسي </w:t>
      </w:r>
      <w:r>
        <w:rPr>
          <w:rStyle w:val="None"/>
          <w:rFonts w:ascii="Times New Roman" w:hAnsi="Times New Roman"/>
          <w:sz w:val="24"/>
          <w:szCs w:val="24"/>
          <w:rtl/>
          <w:lang w:val="ar-SA"/>
        </w:rPr>
        <w:t>(</w:t>
      </w:r>
      <w:r>
        <w:rPr>
          <w:rStyle w:val="None"/>
          <w:rFonts w:ascii="Times New Roman" w:hAnsi="Times New Roman"/>
          <w:sz w:val="24"/>
          <w:szCs w:val="24"/>
          <w:lang w:val="pt-PT"/>
        </w:rPr>
        <w:t>CPI</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وذلك وفق الحقوق المُحددة وتنقسم تلك الأحكام إلى</w:t>
      </w:r>
      <w:r>
        <w:rPr>
          <w:rStyle w:val="None"/>
          <w:rFonts w:ascii="Times New Roman" w:hAnsi="Times New Roman"/>
          <w:sz w:val="24"/>
          <w:szCs w:val="24"/>
          <w:rtl/>
          <w:lang w:val="ar-SA"/>
        </w:rPr>
        <w:t>:</w:t>
      </w:r>
    </w:p>
    <w:p w14:paraId="0FADA86B" w14:textId="77777777" w:rsidR="00454428" w:rsidRDefault="00C464EC">
      <w:pPr>
        <w:pStyle w:val="ListParagraph"/>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العلامات التجارية</w:t>
      </w:r>
      <w:r>
        <w:rPr>
          <w:rStyle w:val="None"/>
          <w:rFonts w:ascii="Times New Roman" w:hAnsi="Times New Roman"/>
          <w:b/>
          <w:bCs/>
          <w:sz w:val="24"/>
          <w:szCs w:val="24"/>
          <w:rtl/>
          <w:lang w:val="ar-SA"/>
        </w:rPr>
        <w:t>:</w:t>
      </w:r>
    </w:p>
    <w:p w14:paraId="1422C8B2"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تحظر المادة </w:t>
      </w:r>
      <w:r>
        <w:rPr>
          <w:rStyle w:val="None"/>
          <w:rFonts w:ascii="Times New Roman" w:hAnsi="Times New Roman"/>
          <w:sz w:val="24"/>
          <w:szCs w:val="24"/>
        </w:rPr>
        <w:t>L. 713-2</w:t>
      </w:r>
      <w:r>
        <w:rPr>
          <w:rStyle w:val="None"/>
          <w:rFonts w:cs="Times New Roman"/>
          <w:sz w:val="24"/>
          <w:szCs w:val="24"/>
          <w:rtl/>
          <w:lang w:val="ar-SA"/>
        </w:rPr>
        <w:t xml:space="preserve"> من قانون الملكية الفكرية الفرنسي إعادة إنتاج، أو استخدام، أو تقليد علامة تجارية مُسجَّلة دون تصريح</w:t>
      </w:r>
      <w:r>
        <w:rPr>
          <w:rStyle w:val="None"/>
          <w:rFonts w:ascii="Times New Roman" w:hAnsi="Times New Roman"/>
          <w:sz w:val="24"/>
          <w:szCs w:val="24"/>
          <w:rtl/>
          <w:lang w:val="ar-SA"/>
        </w:rPr>
        <w:t>.</w:t>
      </w:r>
    </w:p>
    <w:p w14:paraId="157A1482"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وتُحدِّد المادة </w:t>
      </w:r>
      <w:r>
        <w:rPr>
          <w:rStyle w:val="None"/>
          <w:rFonts w:ascii="Times New Roman" w:hAnsi="Times New Roman"/>
          <w:sz w:val="24"/>
          <w:szCs w:val="24"/>
        </w:rPr>
        <w:t>L. 716-4</w:t>
      </w:r>
      <w:r>
        <w:rPr>
          <w:rStyle w:val="None"/>
          <w:rFonts w:cs="Times New Roman"/>
          <w:sz w:val="24"/>
          <w:szCs w:val="24"/>
          <w:rtl/>
          <w:lang w:val="ar-SA"/>
        </w:rPr>
        <w:t xml:space="preserve"> من قانون الملكية الفكرية الفرنسي عقوبات انتهاك العلامة التجارية</w:t>
      </w:r>
      <w:r>
        <w:rPr>
          <w:rStyle w:val="None"/>
          <w:rFonts w:ascii="Times New Roman" w:hAnsi="Times New Roman"/>
          <w:sz w:val="24"/>
          <w:szCs w:val="24"/>
          <w:rtl/>
          <w:lang w:val="ar-SA"/>
        </w:rPr>
        <w:t>.</w:t>
      </w:r>
    </w:p>
    <w:p w14:paraId="0771696A" w14:textId="77777777" w:rsidR="00454428" w:rsidRDefault="00C464EC">
      <w:pPr>
        <w:pStyle w:val="ListParagraph"/>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براءات الاختراع</w:t>
      </w:r>
      <w:r>
        <w:rPr>
          <w:rStyle w:val="None"/>
          <w:rFonts w:ascii="Times New Roman" w:hAnsi="Times New Roman"/>
          <w:b/>
          <w:bCs/>
          <w:sz w:val="24"/>
          <w:szCs w:val="24"/>
          <w:rtl/>
          <w:lang w:val="ar-SA"/>
        </w:rPr>
        <w:t>:</w:t>
      </w:r>
    </w:p>
    <w:p w14:paraId="24E5C51A"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توضح المادة </w:t>
      </w:r>
      <w:r>
        <w:rPr>
          <w:rStyle w:val="None"/>
          <w:rFonts w:ascii="Times New Roman" w:hAnsi="Times New Roman"/>
          <w:sz w:val="24"/>
          <w:szCs w:val="24"/>
        </w:rPr>
        <w:t>L. 613-3</w:t>
      </w:r>
      <w:r>
        <w:rPr>
          <w:rStyle w:val="None"/>
          <w:rFonts w:cs="Times New Roman"/>
          <w:sz w:val="24"/>
          <w:szCs w:val="24"/>
          <w:rtl/>
          <w:lang w:val="ar-SA"/>
        </w:rPr>
        <w:t xml:space="preserve"> من قانون براءات الاختراع الأفعال التي تُشكّل انتهاكًا لبراءة الاختراع</w:t>
      </w:r>
      <w:r>
        <w:rPr>
          <w:rStyle w:val="None"/>
          <w:rFonts w:ascii="Times New Roman" w:hAnsi="Times New Roman"/>
          <w:sz w:val="24"/>
          <w:szCs w:val="24"/>
          <w:rtl/>
          <w:lang w:val="ar-SA"/>
        </w:rPr>
        <w:t>.</w:t>
      </w:r>
    </w:p>
    <w:p w14:paraId="1DC735C3"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وتفصل المادة </w:t>
      </w:r>
      <w:r>
        <w:rPr>
          <w:rStyle w:val="None"/>
          <w:rFonts w:ascii="Times New Roman" w:hAnsi="Times New Roman"/>
          <w:sz w:val="24"/>
          <w:szCs w:val="24"/>
        </w:rPr>
        <w:t>L. 615-1</w:t>
      </w:r>
      <w:r>
        <w:rPr>
          <w:rStyle w:val="None"/>
          <w:rFonts w:cs="Times New Roman"/>
          <w:sz w:val="24"/>
          <w:szCs w:val="24"/>
          <w:rtl/>
          <w:lang w:val="ar-SA"/>
        </w:rPr>
        <w:t xml:space="preserve"> من قانون براءات الاختراع عقوبات انتهاك براءة الاختراع</w:t>
      </w:r>
      <w:r>
        <w:rPr>
          <w:rStyle w:val="None"/>
          <w:rFonts w:ascii="Times New Roman" w:hAnsi="Times New Roman"/>
          <w:sz w:val="24"/>
          <w:szCs w:val="24"/>
          <w:rtl/>
          <w:lang w:val="ar-SA"/>
        </w:rPr>
        <w:t>.</w:t>
      </w:r>
    </w:p>
    <w:p w14:paraId="7E663FF8" w14:textId="77777777" w:rsidR="00454428" w:rsidRDefault="00C464EC">
      <w:pPr>
        <w:pStyle w:val="ListParagraph"/>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التصميم والنماذج</w:t>
      </w:r>
      <w:r>
        <w:rPr>
          <w:rStyle w:val="None"/>
          <w:rFonts w:ascii="Times New Roman" w:hAnsi="Times New Roman"/>
          <w:b/>
          <w:bCs/>
          <w:sz w:val="24"/>
          <w:szCs w:val="24"/>
          <w:rtl/>
          <w:lang w:val="ar-SA"/>
        </w:rPr>
        <w:t>:</w:t>
      </w:r>
    </w:p>
    <w:p w14:paraId="33B10DE6"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تُجرم المادة </w:t>
      </w:r>
      <w:r>
        <w:rPr>
          <w:rStyle w:val="None"/>
          <w:rFonts w:ascii="Times New Roman" w:hAnsi="Times New Roman"/>
          <w:sz w:val="24"/>
          <w:szCs w:val="24"/>
        </w:rPr>
        <w:t>L. 513-4</w:t>
      </w:r>
      <w:r>
        <w:rPr>
          <w:rStyle w:val="None"/>
          <w:rFonts w:cs="Times New Roman"/>
          <w:sz w:val="24"/>
          <w:szCs w:val="24"/>
          <w:rtl/>
          <w:lang w:val="ar-SA"/>
        </w:rPr>
        <w:t xml:space="preserve"> من قانون براءات الاختراع الاستخدام غير المُصرّح به لتصميم أو نموذج محمي</w:t>
      </w:r>
      <w:r>
        <w:rPr>
          <w:rStyle w:val="None"/>
          <w:rFonts w:ascii="Times New Roman" w:hAnsi="Times New Roman"/>
          <w:sz w:val="24"/>
          <w:szCs w:val="24"/>
          <w:rtl/>
          <w:lang w:val="ar-SA"/>
        </w:rPr>
        <w:t>.</w:t>
      </w:r>
    </w:p>
    <w:p w14:paraId="2A6EED53"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تحدد المادة </w:t>
      </w:r>
      <w:r>
        <w:rPr>
          <w:rStyle w:val="None"/>
          <w:rFonts w:ascii="Times New Roman" w:hAnsi="Times New Roman"/>
          <w:sz w:val="24"/>
          <w:szCs w:val="24"/>
        </w:rPr>
        <w:t>L. 521-1</w:t>
      </w:r>
      <w:r>
        <w:rPr>
          <w:rStyle w:val="None"/>
          <w:rFonts w:cs="Times New Roman"/>
          <w:sz w:val="24"/>
          <w:szCs w:val="24"/>
          <w:rtl/>
          <w:lang w:val="ar-SA"/>
        </w:rPr>
        <w:t xml:space="preserve"> من قانون براءات الاختراع العقوبات المُطبقة في حالات انتهاك التصميم</w:t>
      </w:r>
      <w:r>
        <w:rPr>
          <w:rStyle w:val="None"/>
          <w:rFonts w:ascii="Times New Roman" w:hAnsi="Times New Roman"/>
          <w:sz w:val="24"/>
          <w:szCs w:val="24"/>
          <w:rtl/>
          <w:lang w:val="ar-SA"/>
        </w:rPr>
        <w:t>.</w:t>
      </w:r>
    </w:p>
    <w:p w14:paraId="7C93488A" w14:textId="77777777" w:rsidR="00454428" w:rsidRDefault="00C464EC">
      <w:pPr>
        <w:pStyle w:val="ListParagraph"/>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حقوق الطبع والنشر والحقوق المُجاورة</w:t>
      </w:r>
      <w:r>
        <w:rPr>
          <w:rStyle w:val="None"/>
          <w:rFonts w:ascii="Times New Roman" w:hAnsi="Times New Roman"/>
          <w:b/>
          <w:bCs/>
          <w:sz w:val="24"/>
          <w:szCs w:val="24"/>
          <w:rtl/>
          <w:lang w:val="ar-SA"/>
        </w:rPr>
        <w:t>:</w:t>
      </w:r>
    </w:p>
    <w:p w14:paraId="3952C999"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تحظر المادة </w:t>
      </w:r>
      <w:r>
        <w:rPr>
          <w:rStyle w:val="None"/>
          <w:rFonts w:ascii="Times New Roman" w:hAnsi="Times New Roman"/>
          <w:sz w:val="24"/>
          <w:szCs w:val="24"/>
        </w:rPr>
        <w:t>L. 122-4</w:t>
      </w:r>
      <w:r>
        <w:rPr>
          <w:rStyle w:val="None"/>
          <w:rFonts w:cs="Times New Roman"/>
          <w:sz w:val="24"/>
          <w:szCs w:val="24"/>
          <w:rtl/>
          <w:lang w:val="ar-SA"/>
        </w:rPr>
        <w:t xml:space="preserve"> من قانون براءات الاختراع إعادة إنتاج أو تمثيل أي عمل دون إذن المؤلف</w:t>
      </w:r>
      <w:r>
        <w:rPr>
          <w:rStyle w:val="None"/>
          <w:rFonts w:ascii="Times New Roman" w:hAnsi="Times New Roman"/>
          <w:sz w:val="24"/>
          <w:szCs w:val="24"/>
          <w:rtl/>
          <w:lang w:val="ar-SA"/>
        </w:rPr>
        <w:t>.</w:t>
      </w:r>
    </w:p>
    <w:p w14:paraId="380CC8FA"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تنص المادة </w:t>
      </w:r>
      <w:r>
        <w:rPr>
          <w:rStyle w:val="None"/>
          <w:rFonts w:ascii="Times New Roman" w:hAnsi="Times New Roman"/>
          <w:sz w:val="24"/>
          <w:szCs w:val="24"/>
        </w:rPr>
        <w:t>L. 335-2</w:t>
      </w:r>
      <w:r>
        <w:rPr>
          <w:rStyle w:val="None"/>
          <w:rFonts w:cs="Times New Roman"/>
          <w:sz w:val="24"/>
          <w:szCs w:val="24"/>
          <w:rtl/>
          <w:lang w:val="ar-SA"/>
        </w:rPr>
        <w:t xml:space="preserve"> من قانون براءات الاختراع على عقوبات جنائية في حالات انتهاك حقوق الطبع والنشر</w:t>
      </w:r>
      <w:r>
        <w:rPr>
          <w:rStyle w:val="None"/>
          <w:rFonts w:ascii="Times New Roman" w:hAnsi="Times New Roman"/>
          <w:sz w:val="24"/>
          <w:szCs w:val="24"/>
          <w:rtl/>
          <w:lang w:val="ar-SA"/>
        </w:rPr>
        <w:t>.</w:t>
      </w:r>
    </w:p>
    <w:p w14:paraId="5D86E2DB" w14:textId="77777777" w:rsidR="00454428" w:rsidRDefault="00C464EC">
      <w:pPr>
        <w:pStyle w:val="ListParagraph"/>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أسماء النطاقات والعلامات المميزة الأخرى</w:t>
      </w:r>
      <w:r>
        <w:rPr>
          <w:rStyle w:val="None"/>
          <w:rFonts w:ascii="Times New Roman" w:hAnsi="Times New Roman"/>
          <w:sz w:val="24"/>
          <w:szCs w:val="24"/>
          <w:rtl/>
          <w:lang w:val="ar-SA"/>
        </w:rPr>
        <w:t xml:space="preserve">: </w:t>
      </w:r>
      <w:r>
        <w:rPr>
          <w:rStyle w:val="None"/>
          <w:rFonts w:cs="Times New Roman"/>
          <w:sz w:val="24"/>
          <w:szCs w:val="24"/>
          <w:rtl/>
          <w:lang w:val="ar-SA"/>
        </w:rPr>
        <w:t>إذا كان استخدام اسم نطاق، أو اسم شركة، أو اسم تجاري ينتهك حقًا محميًا سابقًا، يُمكن أيضًا النظر في دعوى المنافسة غير العادلة إلى جانب دعوى انتهاك براءة اختراع بشرط ثبوت انتهاك واضح</w:t>
      </w:r>
      <w:r>
        <w:rPr>
          <w:rStyle w:val="None"/>
          <w:rFonts w:ascii="Times New Roman" w:hAnsi="Times New Roman"/>
          <w:sz w:val="24"/>
          <w:szCs w:val="24"/>
          <w:rtl/>
          <w:lang w:val="ar-SA"/>
        </w:rPr>
        <w:t>.</w:t>
      </w:r>
    </w:p>
    <w:p w14:paraId="1AB9C2B4" w14:textId="77777777" w:rsidR="00454428" w:rsidRDefault="00C464EC" w:rsidP="00C72BA8">
      <w:pPr>
        <w:pStyle w:val="NormalWeb"/>
        <w:bidi/>
        <w:spacing w:before="120" w:after="120" w:line="360" w:lineRule="auto"/>
        <w:ind w:firstLine="720"/>
        <w:jc w:val="both"/>
        <w:rPr>
          <w:rFonts w:hint="default"/>
          <w:rtl/>
        </w:rPr>
      </w:pPr>
      <w:r>
        <w:rPr>
          <w:rStyle w:val="None"/>
          <w:rtl/>
          <w:lang w:val="ar-SA"/>
        </w:rPr>
        <w:t>وجدير بالذكر</w:t>
      </w:r>
      <w:r>
        <w:rPr>
          <w:rStyle w:val="None"/>
          <w:rFonts w:ascii="Times New Roman" w:hAnsi="Times New Roman"/>
          <w:rtl/>
          <w:lang w:val="ar-SA"/>
        </w:rPr>
        <w:t xml:space="preserve">: </w:t>
      </w:r>
      <w:r>
        <w:rPr>
          <w:rStyle w:val="None"/>
          <w:rtl/>
          <w:lang w:val="ar-SA"/>
        </w:rPr>
        <w:t xml:space="preserve">أنَّه من بين الدعاوى المدنية المتاحة أنَّه يمكن للمحكمة أنْ تأمر بأي إجراء متناسب يهدف إلى منع أو إنهاء انتهاك لحقوق الملكية، ولا سيما في العصر الرقمي، مع فرض غرامة في حال عدم الامتثال، وتنص المادة الجديدة </w:t>
      </w:r>
      <w:r>
        <w:rPr>
          <w:rStyle w:val="None"/>
          <w:rFonts w:ascii="Times New Roman" w:hAnsi="Times New Roman"/>
        </w:rPr>
        <w:t>L. 152-5</w:t>
      </w:r>
      <w:r>
        <w:rPr>
          <w:rStyle w:val="None"/>
          <w:rtl/>
          <w:lang w:val="ar-SA"/>
        </w:rPr>
        <w:t xml:space="preserve"> من قانون التجارة الفرنسي على أنَّه بدلًا من الإجراءات التي تسمح بوقف انتهاك السر التجاري، ويجوز للمحكمة، بِناءً على طلب المخالف، أنْ تأمر بدفع تعويض للضحية، وفي هذه الحالة، يتعين على المخالف إثبات </w:t>
      </w:r>
      <w:r>
        <w:rPr>
          <w:rStyle w:val="None"/>
          <w:rFonts w:ascii="Times New Roman" w:hAnsi="Times New Roman"/>
          <w:rtl/>
          <w:lang w:val="ar-SA"/>
        </w:rPr>
        <w:t>(</w:t>
      </w:r>
      <w:r>
        <w:rPr>
          <w:rStyle w:val="None"/>
          <w:rtl/>
          <w:lang w:val="ar-SA"/>
        </w:rPr>
        <w:t>أ</w:t>
      </w:r>
      <w:r>
        <w:rPr>
          <w:rStyle w:val="None"/>
          <w:rFonts w:ascii="Times New Roman" w:hAnsi="Times New Roman"/>
          <w:rtl/>
          <w:lang w:val="ar-SA"/>
        </w:rPr>
        <w:t xml:space="preserve">) </w:t>
      </w:r>
      <w:r>
        <w:rPr>
          <w:rStyle w:val="None"/>
          <w:rtl/>
          <w:lang w:val="ar-SA"/>
        </w:rPr>
        <w:t xml:space="preserve">أنَّه لم يكن يعلم أنَّ السر قد تم الحصول عليه بطريقة غير مشروعة؛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 xml:space="preserve">) </w:t>
      </w:r>
      <w:r>
        <w:rPr>
          <w:rStyle w:val="None"/>
          <w:rtl/>
          <w:lang w:val="ar-SA"/>
        </w:rPr>
        <w:t xml:space="preserve">وأنَّ إجراءات الحظر أو الأمر القضائي ستسبب للمخالف ضررًا غير متناسب؛ ويُحدد مبلغ هذا التعويض، وبالمثل ينصّ البند </w:t>
      </w:r>
      <w:r>
        <w:rPr>
          <w:rStyle w:val="None"/>
          <w:rFonts w:ascii="Times New Roman" w:hAnsi="Times New Roman" w:hint="default"/>
          <w:rtl/>
          <w:lang w:val="ar-SA"/>
        </w:rPr>
        <w:t>§</w:t>
      </w:r>
      <w:r>
        <w:rPr>
          <w:rStyle w:val="None"/>
          <w:rFonts w:ascii="Times New Roman" w:hAnsi="Times New Roman"/>
        </w:rPr>
        <w:t>L. 152-6</w:t>
      </w:r>
      <w:r>
        <w:rPr>
          <w:rStyle w:val="None"/>
          <w:rtl/>
          <w:lang w:val="ar-SA"/>
        </w:rPr>
        <w:t xml:space="preserve"> على منح تعويضات تُقدّر بِناءً على</w:t>
      </w:r>
      <w:r>
        <w:rPr>
          <w:rStyle w:val="None"/>
          <w:rFonts w:ascii="Times New Roman" w:hAnsi="Times New Roman"/>
          <w:rtl/>
          <w:lang w:val="ar-SA"/>
        </w:rPr>
        <w:t>:</w:t>
      </w:r>
    </w:p>
    <w:p w14:paraId="636F3061" w14:textId="77777777" w:rsidR="00454428" w:rsidRDefault="00C464EC">
      <w:pPr>
        <w:pStyle w:val="NormalWeb"/>
        <w:numPr>
          <w:ilvl w:val="0"/>
          <w:numId w:val="168"/>
        </w:numPr>
        <w:bidi/>
        <w:spacing w:before="120" w:after="120" w:line="360" w:lineRule="auto"/>
        <w:ind w:hanging="303"/>
        <w:jc w:val="both"/>
        <w:rPr>
          <w:rFonts w:hint="default"/>
          <w:rtl/>
          <w:lang w:val="ar-SA"/>
        </w:rPr>
      </w:pPr>
      <w:r>
        <w:rPr>
          <w:rStyle w:val="None"/>
          <w:rtl/>
          <w:lang w:val="ar-SA"/>
        </w:rPr>
        <w:t>العواقب الاقتصادية السلبية لانتهاك السر التجاري</w:t>
      </w:r>
      <w:r>
        <w:rPr>
          <w:rStyle w:val="None"/>
          <w:rFonts w:ascii="Times New Roman" w:hAnsi="Times New Roman"/>
          <w:rtl/>
          <w:lang w:val="ar-SA"/>
        </w:rPr>
        <w:t>.</w:t>
      </w:r>
    </w:p>
    <w:p w14:paraId="3B9FF3E6" w14:textId="77777777" w:rsidR="00454428" w:rsidRDefault="00C464EC">
      <w:pPr>
        <w:pStyle w:val="NormalWeb"/>
        <w:numPr>
          <w:ilvl w:val="0"/>
          <w:numId w:val="168"/>
        </w:numPr>
        <w:bidi/>
        <w:spacing w:before="120" w:after="120" w:line="360" w:lineRule="auto"/>
        <w:ind w:hanging="303"/>
        <w:jc w:val="both"/>
        <w:rPr>
          <w:rFonts w:hint="default"/>
          <w:rtl/>
          <w:lang w:val="ar-SA"/>
        </w:rPr>
      </w:pPr>
      <w:r>
        <w:rPr>
          <w:rStyle w:val="None"/>
          <w:rtl/>
          <w:lang w:val="ar-SA"/>
        </w:rPr>
        <w:t>الضرر المعنوي</w:t>
      </w:r>
      <w:r>
        <w:rPr>
          <w:rStyle w:val="None"/>
          <w:rFonts w:ascii="Times New Roman" w:hAnsi="Times New Roman"/>
          <w:rtl/>
          <w:lang w:val="ar-SA"/>
        </w:rPr>
        <w:t>.</w:t>
      </w:r>
    </w:p>
    <w:p w14:paraId="025C7F4C" w14:textId="77777777" w:rsidR="00454428" w:rsidRDefault="00C464EC">
      <w:pPr>
        <w:pStyle w:val="NormalWeb"/>
        <w:numPr>
          <w:ilvl w:val="0"/>
          <w:numId w:val="168"/>
        </w:numPr>
        <w:bidi/>
        <w:spacing w:before="120" w:after="120" w:line="360" w:lineRule="auto"/>
        <w:ind w:hanging="303"/>
        <w:jc w:val="both"/>
        <w:rPr>
          <w:rFonts w:hint="default"/>
          <w:rtl/>
          <w:lang w:val="ar-SA"/>
        </w:rPr>
      </w:pPr>
      <w:r>
        <w:rPr>
          <w:rStyle w:val="None"/>
          <w:rtl/>
          <w:lang w:val="ar-SA"/>
        </w:rPr>
        <w:t>الأرباح التي حققها المُنتهك، بما في ذلك</w:t>
      </w:r>
      <w:r>
        <w:rPr>
          <w:rStyle w:val="None"/>
          <w:rFonts w:ascii="Times New Roman" w:hAnsi="Times New Roman"/>
          <w:rtl/>
          <w:lang w:val="ar-SA"/>
        </w:rPr>
        <w:t xml:space="preserve">: </w:t>
      </w:r>
      <w:r>
        <w:rPr>
          <w:rStyle w:val="None"/>
          <w:rtl/>
          <w:lang w:val="ar-SA"/>
        </w:rPr>
        <w:t xml:space="preserve">المكاسب من خلال الاستثمارات الفكرية والملموسة والترويجية؛ نتيجةً للانتهاك </w:t>
      </w:r>
      <w:r>
        <w:rPr>
          <w:rStyle w:val="None"/>
          <w:rFonts w:ascii="Times New Roman" w:hAnsi="Times New Roman"/>
          <w:vertAlign w:val="superscript"/>
          <w:rtl/>
          <w:lang w:val="ar-SA"/>
        </w:rPr>
        <w:t>(</w:t>
      </w:r>
      <w:r>
        <w:rPr>
          <w:rStyle w:val="None"/>
          <w:vertAlign w:val="superscript"/>
          <w:lang w:val="ar-SA"/>
        </w:rPr>
        <w:footnoteReference w:id="424"/>
      </w:r>
      <w:r>
        <w:rPr>
          <w:rStyle w:val="None"/>
          <w:rFonts w:ascii="Times New Roman" w:hAnsi="Times New Roman"/>
          <w:vertAlign w:val="superscript"/>
          <w:rtl/>
          <w:lang w:val="ar-SA"/>
        </w:rPr>
        <w:t>)</w:t>
      </w:r>
      <w:r>
        <w:rPr>
          <w:rStyle w:val="None"/>
          <w:rFonts w:ascii="Times New Roman" w:hAnsi="Times New Roman"/>
          <w:rtl/>
          <w:lang w:val="ar-SA"/>
        </w:rPr>
        <w:t>.</w:t>
      </w:r>
    </w:p>
    <w:p w14:paraId="318C37B0" w14:textId="77777777" w:rsidR="00454428" w:rsidRDefault="00C464EC" w:rsidP="00C72BA8">
      <w:pPr>
        <w:pStyle w:val="NormalWeb"/>
        <w:bidi/>
        <w:spacing w:before="120" w:after="120" w:line="360" w:lineRule="auto"/>
        <w:ind w:firstLine="720"/>
        <w:jc w:val="both"/>
        <w:rPr>
          <w:rStyle w:val="None"/>
          <w:rFonts w:hint="default"/>
          <w:rtl/>
        </w:rPr>
      </w:pPr>
      <w:r>
        <w:rPr>
          <w:rStyle w:val="None"/>
          <w:rtl/>
          <w:lang w:val="ar-SA"/>
        </w:rPr>
        <w:t>كما نصت المادة</w:t>
      </w:r>
      <w:r>
        <w:rPr>
          <w:rStyle w:val="None"/>
          <w:rFonts w:ascii="Times New Roman" w:hAnsi="Times New Roman"/>
        </w:rPr>
        <w:t xml:space="preserve"> (L331-1-3) </w:t>
      </w:r>
      <w:r>
        <w:rPr>
          <w:rStyle w:val="None"/>
          <w:rtl/>
          <w:lang w:val="ar-SA"/>
        </w:rPr>
        <w:t>من قانون الملكية الفكرية الفرنسي على نقطة تُعتبر حجر الأساس لتحديد التعويض المناسب عن انتهاك الملكية الفكرية الرقمية، ويحدد النص القانوني بوضوح المعايير التي يجب على القضاة اعتبارها عند تحديد تكلفة الأضرار والفوائد، وتنقسم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5"/>
      </w:r>
      <w:r>
        <w:rPr>
          <w:rStyle w:val="None"/>
          <w:rFonts w:ascii="Times New Roman" w:hAnsi="Times New Roman"/>
          <w:vertAlign w:val="superscript"/>
          <w:rtl/>
          <w:lang w:val="ar-SA"/>
        </w:rPr>
        <w:t>)</w:t>
      </w:r>
    </w:p>
    <w:p w14:paraId="6B4133CD" w14:textId="77777777" w:rsidR="00454428" w:rsidRDefault="00C464EC">
      <w:pPr>
        <w:pStyle w:val="NormalWeb"/>
        <w:numPr>
          <w:ilvl w:val="0"/>
          <w:numId w:val="170"/>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rtl/>
          <w:lang w:val="ar-SA"/>
        </w:rPr>
        <w:t xml:space="preserve">: </w:t>
      </w:r>
      <w:r>
        <w:rPr>
          <w:rStyle w:val="None"/>
          <w:rtl/>
          <w:lang w:val="ar-SA"/>
        </w:rPr>
        <w:t>حيث يأخذ القاضي في الاعتبار الخسارة التي تكبدها الطرف المتضرر والأرباح التي فقدها، ويشمل ذلك أي خسارة مالية مباشرة أو غير مباشرة ناجمة عن التقليد</w:t>
      </w:r>
      <w:r>
        <w:rPr>
          <w:rStyle w:val="None"/>
          <w:rFonts w:ascii="Times New Roman" w:hAnsi="Times New Roman"/>
          <w:rtl/>
          <w:lang w:val="ar-SA"/>
        </w:rPr>
        <w:t>.</w:t>
      </w:r>
    </w:p>
    <w:p w14:paraId="3F6D40A6" w14:textId="77777777" w:rsidR="00454428" w:rsidRDefault="00C464EC">
      <w:pPr>
        <w:pStyle w:val="NormalWeb"/>
        <w:numPr>
          <w:ilvl w:val="0"/>
          <w:numId w:val="170"/>
        </w:numPr>
        <w:bidi/>
        <w:spacing w:before="120" w:after="120" w:line="360" w:lineRule="auto"/>
        <w:jc w:val="both"/>
        <w:rPr>
          <w:rFonts w:hint="default"/>
          <w:rtl/>
          <w:lang w:val="ar-SA"/>
        </w:rPr>
      </w:pPr>
      <w:r>
        <w:rPr>
          <w:rStyle w:val="None"/>
          <w:b/>
          <w:bCs/>
          <w:rtl/>
          <w:lang w:val="ar-SA"/>
        </w:rPr>
        <w:lastRenderedPageBreak/>
        <w:t>الفوائد التي يجنيها الطرف المُنتهك</w:t>
      </w:r>
      <w:r>
        <w:rPr>
          <w:rStyle w:val="None"/>
          <w:rFonts w:ascii="Times New Roman" w:hAnsi="Times New Roman"/>
          <w:rtl/>
          <w:lang w:val="ar-SA"/>
        </w:rPr>
        <w:t xml:space="preserve">: </w:t>
      </w:r>
      <w:r>
        <w:rPr>
          <w:rStyle w:val="None"/>
          <w:rtl/>
          <w:lang w:val="ar-SA"/>
        </w:rPr>
        <w:t>حيث تُؤخذ أيضًا في الاعتبار الأرباح التي حققها الطرف المخالف من خلال أفعاله غير القانونية، والهدف هو منع المخالف من تحقيق أي مكاسب مالية من الانتهاك</w:t>
      </w:r>
      <w:r>
        <w:rPr>
          <w:rStyle w:val="None"/>
          <w:rFonts w:ascii="Times New Roman" w:hAnsi="Times New Roman"/>
          <w:rtl/>
          <w:lang w:val="ar-SA"/>
        </w:rPr>
        <w:t>.</w:t>
      </w:r>
    </w:p>
    <w:p w14:paraId="5D55FFD6" w14:textId="77777777" w:rsidR="00454428" w:rsidRDefault="00C464EC">
      <w:pPr>
        <w:pStyle w:val="NormalWeb"/>
        <w:numPr>
          <w:ilvl w:val="0"/>
          <w:numId w:val="170"/>
        </w:numPr>
        <w:bidi/>
        <w:spacing w:before="120" w:after="120" w:line="360" w:lineRule="auto"/>
        <w:jc w:val="both"/>
        <w:rPr>
          <w:rFonts w:hint="default"/>
          <w:rtl/>
          <w:lang w:val="ar-SA"/>
        </w:rPr>
      </w:pPr>
      <w:r>
        <w:rPr>
          <w:rStyle w:val="None"/>
          <w:b/>
          <w:bCs/>
          <w:rtl/>
          <w:lang w:val="ar-SA"/>
        </w:rPr>
        <w:t>الضرر المعنوي</w:t>
      </w:r>
      <w:r>
        <w:rPr>
          <w:rStyle w:val="None"/>
          <w:rFonts w:ascii="Times New Roman" w:hAnsi="Times New Roman"/>
          <w:rtl/>
          <w:lang w:val="ar-SA"/>
        </w:rPr>
        <w:t xml:space="preserve">: </w:t>
      </w:r>
      <w:r>
        <w:rPr>
          <w:rStyle w:val="None"/>
          <w:rtl/>
          <w:lang w:val="ar-SA"/>
        </w:rPr>
        <w:t>حيث يجب على القاضي مراعاة الضرر المعنوي، الذي لحق بصاحب الحقوق، ويشمل ذلك الإضرار بسمعة العمل، أو المؤلف، أو الفنان، وهو عنصر مهم في التعويض</w:t>
      </w:r>
      <w:r>
        <w:rPr>
          <w:rStyle w:val="None"/>
          <w:rFonts w:ascii="Times New Roman" w:hAnsi="Times New Roman"/>
          <w:rtl/>
          <w:lang w:val="ar-SA"/>
        </w:rPr>
        <w:t>.</w:t>
      </w:r>
    </w:p>
    <w:p w14:paraId="4744A549" w14:textId="77777777" w:rsidR="00454428" w:rsidRDefault="00C464EC">
      <w:pPr>
        <w:pStyle w:val="NormalWeb"/>
        <w:numPr>
          <w:ilvl w:val="0"/>
          <w:numId w:val="170"/>
        </w:numPr>
        <w:bidi/>
        <w:spacing w:before="120" w:after="120" w:line="360" w:lineRule="auto"/>
        <w:jc w:val="both"/>
        <w:rPr>
          <w:rFonts w:hint="default"/>
          <w:rtl/>
          <w:lang w:val="ar-SA"/>
        </w:rPr>
      </w:pPr>
      <w:r>
        <w:rPr>
          <w:rStyle w:val="None"/>
          <w:rtl/>
          <w:lang w:val="ar-SA"/>
        </w:rPr>
        <w:t>بالإضافة إلى العوامل الأساسية المذكورة أعلاه، قد يأخذ القاضي في الاعتبار عناصر أخرى عند تحديد التعويض</w:t>
      </w:r>
      <w:r>
        <w:rPr>
          <w:rStyle w:val="None"/>
          <w:rFonts w:ascii="Times New Roman" w:hAnsi="Times New Roman"/>
        </w:rPr>
        <w:t>:</w:t>
      </w:r>
    </w:p>
    <w:p w14:paraId="2F85B49E" w14:textId="77777777" w:rsidR="00454428" w:rsidRDefault="00C464EC">
      <w:pPr>
        <w:pStyle w:val="NormalWeb"/>
        <w:numPr>
          <w:ilvl w:val="0"/>
          <w:numId w:val="172"/>
        </w:numPr>
        <w:bidi/>
        <w:spacing w:before="120" w:after="120" w:line="360" w:lineRule="auto"/>
        <w:ind w:left="707"/>
        <w:jc w:val="both"/>
        <w:rPr>
          <w:rFonts w:hint="default"/>
          <w:rtl/>
          <w:lang w:val="ar-SA"/>
        </w:rPr>
      </w:pPr>
      <w:r>
        <w:rPr>
          <w:rStyle w:val="None"/>
          <w:b/>
          <w:bCs/>
          <w:rtl/>
          <w:lang w:val="ar-SA"/>
        </w:rPr>
        <w:t>خطورة الخطأ</w:t>
      </w:r>
      <w:r>
        <w:rPr>
          <w:rStyle w:val="None"/>
          <w:rFonts w:ascii="Times New Roman" w:hAnsi="Times New Roman"/>
          <w:rtl/>
          <w:lang w:val="ar-SA"/>
        </w:rPr>
        <w:t xml:space="preserve">: </w:t>
      </w:r>
      <w:r>
        <w:rPr>
          <w:rStyle w:val="None"/>
          <w:rtl/>
          <w:lang w:val="ar-SA"/>
        </w:rPr>
        <w:t>كلما زادت خطورة الانتهاك زاد التعويض، على سبيل المثال</w:t>
      </w:r>
      <w:r>
        <w:rPr>
          <w:rStyle w:val="None"/>
          <w:rFonts w:ascii="Times New Roman" w:hAnsi="Times New Roman"/>
          <w:rtl/>
          <w:lang w:val="ar-SA"/>
        </w:rPr>
        <w:t xml:space="preserve">: </w:t>
      </w:r>
      <w:r>
        <w:rPr>
          <w:rStyle w:val="None"/>
          <w:rtl/>
          <w:lang w:val="ar-SA"/>
        </w:rPr>
        <w:t>قد يؤدي التزوير الذي يتم على نطاق واسع وبشكل منظم إلى عقوبات أشد</w:t>
      </w:r>
      <w:r>
        <w:rPr>
          <w:rStyle w:val="None"/>
          <w:rFonts w:ascii="Times New Roman" w:hAnsi="Times New Roman"/>
          <w:rtl/>
          <w:lang w:val="ar-SA"/>
        </w:rPr>
        <w:t>.</w:t>
      </w:r>
    </w:p>
    <w:p w14:paraId="376ED5BC" w14:textId="77777777" w:rsidR="00454428" w:rsidRDefault="00C464EC">
      <w:pPr>
        <w:pStyle w:val="NormalWeb"/>
        <w:numPr>
          <w:ilvl w:val="0"/>
          <w:numId w:val="172"/>
        </w:numPr>
        <w:bidi/>
        <w:spacing w:before="120" w:after="120" w:line="360" w:lineRule="auto"/>
        <w:ind w:left="707"/>
        <w:jc w:val="both"/>
        <w:rPr>
          <w:rFonts w:hint="default"/>
          <w:color w:val="FF0000"/>
          <w:rtl/>
          <w:lang w:val="ar-SA"/>
        </w:rPr>
      </w:pPr>
      <w:r>
        <w:rPr>
          <w:rStyle w:val="None"/>
          <w:b/>
          <w:bCs/>
          <w:rtl/>
          <w:lang w:val="ar-SA"/>
        </w:rPr>
        <w:t>سوء نية المخالف</w:t>
      </w:r>
      <w:r>
        <w:rPr>
          <w:rStyle w:val="None"/>
          <w:rFonts w:ascii="Times New Roman" w:hAnsi="Times New Roman"/>
          <w:rtl/>
          <w:lang w:val="ar-SA"/>
        </w:rPr>
        <w:t xml:space="preserve">: </w:t>
      </w:r>
      <w:r>
        <w:rPr>
          <w:rStyle w:val="None"/>
          <w:rtl/>
          <w:lang w:val="ar-SA"/>
        </w:rPr>
        <w:t>إذا كان المخالف مدركًا تمامًا لانتهاكه حقوق الآخرين، وأصر على أفعاله عمدًا، فقد يؤثر ذلك على قرار القاضي ويزيد من قيمة التعويض</w:t>
      </w:r>
      <w:r>
        <w:rPr>
          <w:rStyle w:val="None"/>
          <w:rFonts w:ascii="Times New Roman" w:hAnsi="Times New Roman"/>
          <w:rtl/>
          <w:lang w:val="ar-SA"/>
        </w:rPr>
        <w:t>.</w:t>
      </w:r>
    </w:p>
    <w:p w14:paraId="320A59F3" w14:textId="77777777" w:rsidR="00454428" w:rsidRDefault="00C464EC" w:rsidP="00C72BA8">
      <w:pPr>
        <w:pStyle w:val="NormalWeb"/>
        <w:bidi/>
        <w:spacing w:before="120" w:after="120" w:line="360" w:lineRule="auto"/>
        <w:ind w:firstLine="720"/>
        <w:jc w:val="both"/>
        <w:rPr>
          <w:rStyle w:val="None"/>
          <w:rFonts w:hint="default"/>
          <w:rtl/>
        </w:rPr>
      </w:pPr>
      <w:r>
        <w:rPr>
          <w:rStyle w:val="None"/>
          <w:rtl/>
          <w:lang w:val="ar-SA"/>
        </w:rPr>
        <w:t>يحدد النص القانوني بوضوح المعايير التي يجب على القضاة اعتبارها عند تحديد تكلفة الأضرار والفوائد، وفق المادة</w:t>
      </w:r>
      <w:r>
        <w:rPr>
          <w:rStyle w:val="None"/>
          <w:rFonts w:ascii="Times New Roman" w:hAnsi="Times New Roman"/>
        </w:rPr>
        <w:t xml:space="preserve"> (L331-1-3) </w:t>
      </w:r>
      <w:r>
        <w:rPr>
          <w:rStyle w:val="None"/>
          <w:rtl/>
          <w:lang w:val="ar-SA"/>
        </w:rPr>
        <w:t>من قانون الملكية الفكرية الفرنسي، وتنقسم تلك المعايير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6"/>
      </w:r>
      <w:r>
        <w:rPr>
          <w:rStyle w:val="None"/>
          <w:rFonts w:ascii="Times New Roman" w:hAnsi="Times New Roman"/>
          <w:vertAlign w:val="superscript"/>
          <w:rtl/>
          <w:lang w:val="ar-SA"/>
        </w:rPr>
        <w:t>)</w:t>
      </w:r>
    </w:p>
    <w:p w14:paraId="52299226" w14:textId="77777777" w:rsidR="00454428" w:rsidRDefault="00C464EC">
      <w:pPr>
        <w:pStyle w:val="NormalWeb"/>
        <w:numPr>
          <w:ilvl w:val="0"/>
          <w:numId w:val="174"/>
        </w:numPr>
        <w:bidi/>
        <w:spacing w:before="120" w:after="120" w:line="360" w:lineRule="auto"/>
        <w:jc w:val="both"/>
        <w:rPr>
          <w:rFonts w:hint="default"/>
          <w:rtl/>
          <w:lang w:val="ar-SA"/>
        </w:rPr>
      </w:pPr>
      <w:r>
        <w:rPr>
          <w:rStyle w:val="None"/>
          <w:b/>
          <w:bCs/>
          <w:rtl/>
          <w:lang w:val="ar-SA"/>
        </w:rPr>
        <w:t>العواقب الاقتصادية السلبية لانتهاك الحقوق</w:t>
      </w:r>
      <w:r>
        <w:rPr>
          <w:rStyle w:val="None"/>
          <w:rFonts w:ascii="Times New Roman" w:hAnsi="Times New Roman"/>
          <w:color w:val="FF0000"/>
          <w:u w:color="FF0000"/>
          <w:rtl/>
          <w:lang w:val="ar-SA"/>
        </w:rPr>
        <w:t>:</w:t>
      </w:r>
    </w:p>
    <w:p w14:paraId="1FD8919A" w14:textId="77777777" w:rsidR="00454428" w:rsidRDefault="00C464EC">
      <w:pPr>
        <w:pStyle w:val="NormalWeb"/>
        <w:numPr>
          <w:ilvl w:val="0"/>
          <w:numId w:val="172"/>
        </w:numPr>
        <w:bidi/>
        <w:spacing w:before="120" w:after="120" w:line="360" w:lineRule="auto"/>
        <w:ind w:left="720"/>
        <w:jc w:val="both"/>
        <w:rPr>
          <w:rFonts w:hint="default"/>
          <w:rtl/>
          <w:lang w:val="ar-SA"/>
        </w:rPr>
      </w:pPr>
      <w:r>
        <w:rPr>
          <w:rStyle w:val="None"/>
          <w:rtl/>
          <w:lang w:val="ar-SA"/>
        </w:rPr>
        <w:t xml:space="preserve">عند انتهاك الحقوق </w:t>
      </w:r>
      <w:r>
        <w:rPr>
          <w:rStyle w:val="None"/>
          <w:rFonts w:ascii="Times New Roman" w:hAnsi="Times New Roman"/>
          <w:rtl/>
          <w:lang w:val="ar-SA"/>
        </w:rPr>
        <w:t>-</w:t>
      </w:r>
      <w:r>
        <w:rPr>
          <w:rStyle w:val="None"/>
          <w:rtl/>
          <w:lang w:val="ar-SA"/>
        </w:rPr>
        <w:t>مثل</w:t>
      </w:r>
      <w:r>
        <w:rPr>
          <w:rStyle w:val="None"/>
          <w:rFonts w:ascii="Times New Roman" w:hAnsi="Times New Roman"/>
          <w:rtl/>
          <w:lang w:val="ar-SA"/>
        </w:rPr>
        <w:t xml:space="preserve">: </w:t>
      </w:r>
      <w:r>
        <w:rPr>
          <w:rStyle w:val="None"/>
          <w:rtl/>
          <w:lang w:val="ar-SA"/>
        </w:rPr>
        <w:t>التعدي على حقوق النشر، أو براءات الاختراع</w:t>
      </w:r>
      <w:r>
        <w:rPr>
          <w:rStyle w:val="None"/>
          <w:rFonts w:ascii="Times New Roman" w:hAnsi="Times New Roman"/>
          <w:rtl/>
          <w:lang w:val="ar-SA"/>
        </w:rPr>
        <w:t xml:space="preserve">- </w:t>
      </w:r>
      <w:r>
        <w:rPr>
          <w:rStyle w:val="None"/>
          <w:rtl/>
          <w:lang w:val="ar-SA"/>
        </w:rPr>
        <w:t>فإنَّ الطرف المتضرر أو مالك الحق الفكري لا يتمكن من الاستفادة الاقتصادية منها، وقد يؤدي ذلك إلى عدم قدرته على تحقيق أرباح أو حتى الاستمرار في المنافسة</w:t>
      </w:r>
      <w:r>
        <w:rPr>
          <w:rStyle w:val="None"/>
          <w:rFonts w:ascii="Times New Roman" w:hAnsi="Times New Roman"/>
          <w:rtl/>
          <w:lang w:val="ar-SA"/>
        </w:rPr>
        <w:t>.</w:t>
      </w:r>
    </w:p>
    <w:p w14:paraId="52567399" w14:textId="77777777" w:rsidR="00454428" w:rsidRDefault="00C464EC">
      <w:pPr>
        <w:pStyle w:val="NormalWeb"/>
        <w:numPr>
          <w:ilvl w:val="0"/>
          <w:numId w:val="172"/>
        </w:numPr>
        <w:bidi/>
        <w:spacing w:before="120" w:after="120" w:line="360" w:lineRule="auto"/>
        <w:ind w:left="720"/>
        <w:jc w:val="both"/>
        <w:rPr>
          <w:rFonts w:hint="default"/>
          <w:rtl/>
          <w:lang w:val="ar-SA"/>
        </w:rPr>
      </w:pPr>
      <w:r>
        <w:rPr>
          <w:rStyle w:val="None"/>
          <w:rtl/>
          <w:lang w:val="ar-SA"/>
        </w:rPr>
        <w:t>كما أنَّ تلك المخافة قد تتسبب في حرمان صاحب الحق من الحصول على فرص استثمارية أو دخل، كان من الممكن تحقيقه لو لم يتم انتهاك حقه</w:t>
      </w:r>
      <w:r>
        <w:rPr>
          <w:rStyle w:val="None"/>
          <w:rFonts w:ascii="Times New Roman" w:hAnsi="Times New Roman"/>
          <w:rtl/>
          <w:lang w:val="ar-SA"/>
        </w:rPr>
        <w:t>.</w:t>
      </w:r>
    </w:p>
    <w:p w14:paraId="599D8654" w14:textId="77777777" w:rsidR="00454428" w:rsidRDefault="00C464EC">
      <w:pPr>
        <w:pStyle w:val="NormalWeb"/>
        <w:numPr>
          <w:ilvl w:val="0"/>
          <w:numId w:val="175"/>
        </w:numPr>
        <w:bidi/>
        <w:spacing w:before="120" w:after="120" w:line="360" w:lineRule="auto"/>
        <w:jc w:val="both"/>
        <w:rPr>
          <w:rFonts w:hint="default"/>
          <w:rtl/>
          <w:lang w:val="ar-SA"/>
        </w:rPr>
      </w:pPr>
      <w:r>
        <w:rPr>
          <w:rStyle w:val="None"/>
          <w:b/>
          <w:bCs/>
          <w:rtl/>
          <w:lang w:val="ar-SA"/>
        </w:rPr>
        <w:t>العواقب المعنوية</w:t>
      </w:r>
      <w:r>
        <w:rPr>
          <w:rStyle w:val="None"/>
          <w:rFonts w:ascii="Times New Roman" w:hAnsi="Times New Roman"/>
          <w:rtl/>
          <w:lang w:val="ar-SA"/>
        </w:rPr>
        <w:t xml:space="preserve">: </w:t>
      </w:r>
      <w:r>
        <w:rPr>
          <w:rStyle w:val="None"/>
          <w:rtl/>
          <w:lang w:val="ar-SA"/>
        </w:rPr>
        <w:t>كمال يراعي القضاة أنَّ الانتهاك لا يسبب فقط أضرارًا اقتصادية، بل أيضًا أضرارًا معنوية لصاحب الحق، مثل</w:t>
      </w:r>
      <w:r>
        <w:rPr>
          <w:rStyle w:val="None"/>
          <w:rFonts w:ascii="Times New Roman" w:hAnsi="Times New Roman"/>
          <w:rtl/>
          <w:lang w:val="ar-SA"/>
        </w:rPr>
        <w:t xml:space="preserve">: </w:t>
      </w:r>
      <w:r>
        <w:rPr>
          <w:rStyle w:val="None"/>
          <w:rtl/>
          <w:lang w:val="ar-SA"/>
        </w:rPr>
        <w:t>الإضرار بسمعة المُنتهَك، أو القضاء على فرصه الإبداعية؛ حيث تؤخذ هذه الأضرار المعنوية في الاعتبار عند المطالبة بالتعويض</w:t>
      </w:r>
      <w:r>
        <w:rPr>
          <w:rStyle w:val="None"/>
          <w:rFonts w:ascii="Times New Roman" w:hAnsi="Times New Roman"/>
          <w:rtl/>
          <w:lang w:val="ar-SA"/>
        </w:rPr>
        <w:t>.</w:t>
      </w:r>
    </w:p>
    <w:p w14:paraId="0B3724E1" w14:textId="77777777" w:rsidR="00454428" w:rsidRDefault="00C464EC">
      <w:pPr>
        <w:pStyle w:val="NormalWeb"/>
        <w:numPr>
          <w:ilvl w:val="0"/>
          <w:numId w:val="174"/>
        </w:numPr>
        <w:bidi/>
        <w:spacing w:before="120" w:after="120" w:line="360" w:lineRule="auto"/>
        <w:jc w:val="both"/>
        <w:rPr>
          <w:rFonts w:hint="default"/>
          <w:b/>
          <w:bCs/>
          <w:rtl/>
          <w:lang w:val="ar-SA"/>
        </w:rPr>
      </w:pPr>
      <w:r>
        <w:rPr>
          <w:rStyle w:val="None"/>
          <w:b/>
          <w:bCs/>
          <w:rtl/>
          <w:lang w:val="ar-SA"/>
        </w:rPr>
        <w:t>التعويض القضائي</w:t>
      </w:r>
      <w:r>
        <w:rPr>
          <w:rStyle w:val="None"/>
          <w:rFonts w:ascii="Times New Roman" w:hAnsi="Times New Roman"/>
          <w:b/>
          <w:bCs/>
          <w:rtl/>
          <w:lang w:val="ar-SA"/>
        </w:rPr>
        <w:t xml:space="preserve">: </w:t>
      </w:r>
      <w:r>
        <w:rPr>
          <w:rStyle w:val="None"/>
          <w:rtl/>
          <w:lang w:val="ar-SA"/>
        </w:rPr>
        <w:t>يلتزم القضاة بإنصاف صاحب الحق؛ حيث إنَّه إذا لجأ المتضرر إلى القضاء، يمكن للمحكمة أنْ تُلزم الطرف المخالف بدفع تعويض، هذا التعويض قد يكون بديلًا عن الأضرار المادية والمعنوية التي سببها المخالف لصاحب الحق، كما أنَّ التعويض الذي يتم الحكم به قد يكون أعلى من قيمة الرسوم المعتادة؛ لأنَّه يشمل أيضًا الأضرار المادية والمعنوية، بينما يتم حساب التعويض عن الضرر المعنوي بشكل منفصل، فهو لا يدخل ضمن هذه الحسابات التعويضية المادية</w:t>
      </w:r>
      <w:r>
        <w:rPr>
          <w:rStyle w:val="None"/>
          <w:rFonts w:ascii="Times New Roman" w:hAnsi="Times New Roman"/>
          <w:rtl/>
          <w:lang w:val="ar-SA"/>
        </w:rPr>
        <w:t>.</w:t>
      </w:r>
    </w:p>
    <w:p w14:paraId="49C65DBC" w14:textId="77777777" w:rsidR="00645DEB" w:rsidRDefault="00645DEB">
      <w:pPr>
        <w:rPr>
          <w:rStyle w:val="None"/>
          <w:rFonts w:ascii="Arial Unicode MS" w:hAnsi="Arial Unicode MS"/>
          <w:color w:val="000000"/>
          <w:u w:color="000000"/>
          <w:rtl/>
          <w:lang w:val="ar-SA"/>
        </w:rPr>
      </w:pPr>
      <w:r>
        <w:rPr>
          <w:rStyle w:val="None"/>
          <w:rtl/>
          <w:lang w:val="ar-SA"/>
        </w:rPr>
        <w:lastRenderedPageBreak/>
        <w:br w:type="page"/>
      </w:r>
    </w:p>
    <w:p w14:paraId="5D8E6F7A" w14:textId="6386E9DB" w:rsidR="00454428" w:rsidRDefault="00C464EC" w:rsidP="00C72BA8">
      <w:pPr>
        <w:pStyle w:val="NormalWeb"/>
        <w:bidi/>
        <w:spacing w:before="120" w:after="120" w:line="360" w:lineRule="auto"/>
        <w:ind w:firstLine="720"/>
        <w:jc w:val="both"/>
        <w:rPr>
          <w:rStyle w:val="None"/>
          <w:rFonts w:hint="default"/>
          <w:rtl/>
        </w:rPr>
      </w:pPr>
      <w:r>
        <w:rPr>
          <w:rStyle w:val="None"/>
          <w:rtl/>
          <w:lang w:val="ar-SA"/>
        </w:rPr>
        <w:lastRenderedPageBreak/>
        <w:t xml:space="preserve">تناولت المادة </w:t>
      </w:r>
      <w:r>
        <w:rPr>
          <w:rStyle w:val="None"/>
          <w:rFonts w:ascii="Times New Roman" w:hAnsi="Times New Roman"/>
        </w:rPr>
        <w:t>L. 331-1-4</w:t>
      </w:r>
      <w:r>
        <w:rPr>
          <w:rStyle w:val="None"/>
          <w:rtl/>
          <w:lang w:val="ar-SA"/>
        </w:rPr>
        <w:t xml:space="preserve"> من قانون الملكية الفكرية الفرنسي الحقوق المجاورة </w:t>
      </w:r>
      <w:r>
        <w:rPr>
          <w:rStyle w:val="None"/>
          <w:rFonts w:ascii="Times New Roman" w:hAnsi="Times New Roman"/>
          <w:rtl/>
          <w:lang w:val="ar-SA"/>
        </w:rPr>
        <w:t>(</w:t>
      </w:r>
      <w:r>
        <w:rPr>
          <w:rStyle w:val="None"/>
          <w:rFonts w:ascii="Times New Roman" w:hAnsi="Times New Roman"/>
        </w:rPr>
        <w:t>droits voisins</w:t>
      </w:r>
      <w:r>
        <w:rPr>
          <w:rStyle w:val="None"/>
          <w:rFonts w:ascii="Times New Roman" w:hAnsi="Times New Roman"/>
          <w:rtl/>
          <w:lang w:val="ar-SA"/>
        </w:rPr>
        <w:t>)</w:t>
      </w:r>
      <w:r>
        <w:rPr>
          <w:rStyle w:val="None"/>
          <w:rtl/>
          <w:lang w:val="ar-SA"/>
        </w:rPr>
        <w:t>، وهي حقوق تتعلق بحقوق الطبع والنشر، وتنطبق على أشخاص، مثل</w:t>
      </w:r>
      <w:r>
        <w:rPr>
          <w:rStyle w:val="None"/>
          <w:rFonts w:ascii="Times New Roman" w:hAnsi="Times New Roman"/>
          <w:rtl/>
          <w:lang w:val="ar-SA"/>
        </w:rPr>
        <w:t xml:space="preserve">: </w:t>
      </w:r>
      <w:r>
        <w:rPr>
          <w:rStyle w:val="None"/>
          <w:rtl/>
          <w:lang w:val="ar-SA"/>
        </w:rPr>
        <w:t>الفنانين، ومنتجي التسجيلات الصوتية، ومنتجي الفيديو، وهيئات البث الإذاعي والتلفزيوني، وتحدد هذه المادة آليات تعويض انتهاك هذه الحقوق المجاورة؛ حيث تمنح المحاكم الفرنسية سلطة فرض عقوبات على من ينتهكون هذه الحقوق، ومن أبرز أحكامها</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7"/>
      </w:r>
      <w:r>
        <w:rPr>
          <w:rStyle w:val="None"/>
          <w:rFonts w:ascii="Times New Roman" w:hAnsi="Times New Roman"/>
          <w:vertAlign w:val="superscript"/>
          <w:rtl/>
          <w:lang w:val="ar-SA"/>
        </w:rPr>
        <w:t>)</w:t>
      </w:r>
    </w:p>
    <w:p w14:paraId="3C578DD0" w14:textId="77777777" w:rsidR="00454428" w:rsidRDefault="00C464EC">
      <w:pPr>
        <w:pStyle w:val="NormalWeb"/>
        <w:numPr>
          <w:ilvl w:val="0"/>
          <w:numId w:val="177"/>
        </w:numPr>
        <w:bidi/>
        <w:spacing w:before="120" w:after="120" w:line="360" w:lineRule="auto"/>
        <w:jc w:val="both"/>
        <w:rPr>
          <w:rFonts w:hint="default"/>
          <w:rtl/>
          <w:lang w:val="ar-SA"/>
        </w:rPr>
      </w:pPr>
      <w:r>
        <w:rPr>
          <w:rStyle w:val="None"/>
          <w:b/>
          <w:bCs/>
          <w:rtl/>
          <w:lang w:val="ar-SA"/>
        </w:rPr>
        <w:t>التعويض عن الخسائر</w:t>
      </w:r>
      <w:r>
        <w:rPr>
          <w:rStyle w:val="None"/>
          <w:rFonts w:ascii="Times New Roman" w:hAnsi="Times New Roman"/>
          <w:rtl/>
          <w:lang w:val="ar-SA"/>
        </w:rPr>
        <w:t xml:space="preserve">: </w:t>
      </w:r>
      <w:r>
        <w:rPr>
          <w:rStyle w:val="None"/>
          <w:rtl/>
          <w:lang w:val="ar-SA"/>
        </w:rPr>
        <w:t>تتيح هذه المادة للمحكمة تقدير التعويض، بِناءً على عدة عوامل، منها</w:t>
      </w:r>
      <w:r>
        <w:rPr>
          <w:rStyle w:val="None"/>
          <w:rFonts w:ascii="Times New Roman" w:hAnsi="Times New Roman"/>
          <w:rtl/>
          <w:lang w:val="ar-SA"/>
        </w:rPr>
        <w:t xml:space="preserve">: </w:t>
      </w:r>
      <w:r>
        <w:rPr>
          <w:rStyle w:val="None"/>
          <w:rtl/>
          <w:lang w:val="ar-SA"/>
        </w:rPr>
        <w:t>الأرباح التي حققها المنتهك، والخسائر التي تكبدها صاحب الحق، والضرر المعنوي</w:t>
      </w:r>
      <w:r>
        <w:rPr>
          <w:rStyle w:val="None"/>
          <w:rFonts w:ascii="Times New Roman" w:hAnsi="Times New Roman"/>
          <w:rtl/>
          <w:lang w:val="ar-SA"/>
        </w:rPr>
        <w:t>.</w:t>
      </w:r>
    </w:p>
    <w:p w14:paraId="05E82D06" w14:textId="77777777" w:rsidR="00454428" w:rsidRDefault="00C464EC">
      <w:pPr>
        <w:pStyle w:val="NormalWeb"/>
        <w:numPr>
          <w:ilvl w:val="0"/>
          <w:numId w:val="177"/>
        </w:numPr>
        <w:bidi/>
        <w:spacing w:before="120" w:after="120" w:line="360" w:lineRule="auto"/>
        <w:jc w:val="both"/>
        <w:rPr>
          <w:rFonts w:hint="default"/>
          <w:rtl/>
          <w:lang w:val="ar-SA"/>
        </w:rPr>
      </w:pPr>
      <w:r>
        <w:rPr>
          <w:rStyle w:val="None"/>
          <w:b/>
          <w:bCs/>
          <w:rtl/>
          <w:lang w:val="ar-SA"/>
        </w:rPr>
        <w:t>المصادرة</w:t>
      </w:r>
      <w:r>
        <w:rPr>
          <w:rStyle w:val="None"/>
          <w:rFonts w:ascii="Times New Roman" w:hAnsi="Times New Roman"/>
          <w:rtl/>
          <w:lang w:val="ar-SA"/>
        </w:rPr>
        <w:t xml:space="preserve">: </w:t>
      </w:r>
      <w:r>
        <w:rPr>
          <w:rStyle w:val="None"/>
          <w:rtl/>
          <w:lang w:val="ar-SA"/>
        </w:rPr>
        <w:t>يتاح للمحكمة أنْ تقوم بمصادرة الأرباح التي حققها المنتهك؛ بسبب استغلال حقوق الغير</w:t>
      </w:r>
      <w:r>
        <w:rPr>
          <w:rStyle w:val="None"/>
          <w:rFonts w:ascii="Times New Roman" w:hAnsi="Times New Roman"/>
          <w:rtl/>
          <w:lang w:val="ar-SA"/>
        </w:rPr>
        <w:t>.</w:t>
      </w:r>
    </w:p>
    <w:p w14:paraId="3713E518" w14:textId="77777777" w:rsidR="00454428" w:rsidRDefault="00C464EC">
      <w:pPr>
        <w:pStyle w:val="NormalWeb"/>
        <w:numPr>
          <w:ilvl w:val="0"/>
          <w:numId w:val="177"/>
        </w:numPr>
        <w:bidi/>
        <w:spacing w:before="120" w:after="120" w:line="360" w:lineRule="auto"/>
        <w:jc w:val="both"/>
        <w:rPr>
          <w:rFonts w:hint="default"/>
          <w:rtl/>
          <w:lang w:val="ar-SA"/>
        </w:rPr>
      </w:pPr>
      <w:r>
        <w:rPr>
          <w:rStyle w:val="None"/>
          <w:rtl/>
          <w:lang w:val="ar-SA"/>
        </w:rPr>
        <w:t>يمكن للمحكمة أنْ تأمر باتخاذ إجراءات تتعلق بتحسين سمعة المتضرر، من خلال نشر الحكم في المجلات، أو عبر وسائل الاتصال العامة على الإنترنت؛ وذلك لتخفيف الضرر المعنوي</w:t>
      </w:r>
      <w:r>
        <w:rPr>
          <w:rStyle w:val="None"/>
          <w:rFonts w:ascii="Times New Roman" w:hAnsi="Times New Roman"/>
          <w:rtl/>
          <w:lang w:val="ar-SA"/>
        </w:rPr>
        <w:t>.</w:t>
      </w:r>
    </w:p>
    <w:p w14:paraId="1148A01D" w14:textId="77777777" w:rsidR="00454428" w:rsidRDefault="00C464EC">
      <w:pPr>
        <w:pStyle w:val="NormalWeb"/>
        <w:numPr>
          <w:ilvl w:val="0"/>
          <w:numId w:val="177"/>
        </w:numPr>
        <w:bidi/>
        <w:spacing w:before="120" w:after="120" w:line="360" w:lineRule="auto"/>
        <w:jc w:val="both"/>
        <w:rPr>
          <w:rFonts w:hint="default"/>
          <w:rtl/>
          <w:lang w:val="ar-SA"/>
        </w:rPr>
      </w:pPr>
      <w:r>
        <w:rPr>
          <w:rStyle w:val="None"/>
          <w:rFonts w:ascii="Times New Roman" w:hAnsi="Times New Roman"/>
          <w:rtl/>
          <w:lang w:val="ar-SA"/>
        </w:rPr>
        <w:t xml:space="preserve"> </w:t>
      </w:r>
      <w:r>
        <w:rPr>
          <w:rStyle w:val="None"/>
          <w:b/>
          <w:bCs/>
          <w:rtl/>
          <w:lang w:val="ar-SA"/>
        </w:rPr>
        <w:t>التدابير الاحترازية</w:t>
      </w:r>
      <w:r>
        <w:rPr>
          <w:rStyle w:val="None"/>
          <w:rFonts w:ascii="Times New Roman" w:hAnsi="Times New Roman"/>
          <w:rtl/>
          <w:lang w:val="ar-SA"/>
        </w:rPr>
        <w:t xml:space="preserve">: </w:t>
      </w:r>
      <w:r>
        <w:rPr>
          <w:rStyle w:val="None"/>
          <w:rtl/>
          <w:lang w:val="ar-SA"/>
        </w:rPr>
        <w:t>تُخوّل هذه المادة المحكمة اتخاذ تدابير لمنع الضرر، من خلال حجب المحتوى المُنتهك على الإنترنت، أو مصادرة الأصول المصرفية للمُخالف</w:t>
      </w:r>
      <w:r>
        <w:rPr>
          <w:rStyle w:val="None"/>
          <w:rFonts w:ascii="Times New Roman" w:hAnsi="Times New Roman"/>
          <w:rtl/>
          <w:lang w:val="ar-SA"/>
        </w:rPr>
        <w:t>.</w:t>
      </w:r>
    </w:p>
    <w:p w14:paraId="2A333C92" w14:textId="77777777" w:rsidR="00454428" w:rsidRDefault="00C464EC" w:rsidP="00C72BA8">
      <w:pPr>
        <w:pStyle w:val="NormalWeb"/>
        <w:bidi/>
        <w:spacing w:before="120" w:after="120" w:line="360" w:lineRule="auto"/>
        <w:ind w:firstLine="720"/>
        <w:jc w:val="both"/>
        <w:rPr>
          <w:rStyle w:val="NoneA"/>
          <w:rFonts w:hint="default"/>
          <w:rtl/>
        </w:rPr>
      </w:pPr>
      <w:r>
        <w:rPr>
          <w:rStyle w:val="None"/>
          <w:rtl/>
          <w:lang w:val="ar-SA"/>
        </w:rPr>
        <w:t xml:space="preserve">وفقًا للمادة </w:t>
      </w:r>
      <w:r>
        <w:rPr>
          <w:rStyle w:val="None"/>
          <w:rFonts w:ascii="Times New Roman" w:hAnsi="Times New Roman"/>
        </w:rPr>
        <w:t>L. 331-1-3</w:t>
      </w:r>
      <w:r>
        <w:rPr>
          <w:rStyle w:val="None"/>
          <w:rtl/>
          <w:lang w:val="ar-SA"/>
        </w:rPr>
        <w:t xml:space="preserve"> من القانون الفرنسي لحقوق الملكية الفكرية يتم تقييم الأضرار التي نتجت عن انتهاك الملكية الفكرية، من خلال النظر في عدد العوامل</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8"/>
      </w:r>
      <w:r>
        <w:rPr>
          <w:rStyle w:val="None"/>
          <w:rFonts w:ascii="Times New Roman" w:hAnsi="Times New Roman"/>
          <w:vertAlign w:val="superscript"/>
          <w:rtl/>
          <w:lang w:val="ar-SA"/>
        </w:rPr>
        <w:t>)</w:t>
      </w:r>
    </w:p>
    <w:p w14:paraId="0AA7842F" w14:textId="77777777" w:rsidR="00454428" w:rsidRDefault="00C464EC">
      <w:pPr>
        <w:pStyle w:val="NormalWeb"/>
        <w:numPr>
          <w:ilvl w:val="0"/>
          <w:numId w:val="179"/>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b/>
          <w:bCs/>
          <w:rtl/>
          <w:lang w:val="ar-SA"/>
        </w:rPr>
        <w:t>:</w:t>
      </w:r>
      <w:r>
        <w:rPr>
          <w:rStyle w:val="None"/>
          <w:rtl/>
          <w:lang w:val="ar-SA"/>
        </w:rPr>
        <w:t xml:space="preserve"> وتشمل الأضرار التي يتكبدها صاحب الحق، مثل</w:t>
      </w:r>
      <w:r>
        <w:rPr>
          <w:rStyle w:val="None"/>
          <w:rFonts w:ascii="Times New Roman" w:hAnsi="Times New Roman"/>
          <w:rtl/>
          <w:lang w:val="ar-SA"/>
        </w:rPr>
        <w:t xml:space="preserve">: </w:t>
      </w:r>
      <w:r>
        <w:rPr>
          <w:rStyle w:val="None"/>
          <w:rtl/>
          <w:lang w:val="ar-SA"/>
        </w:rPr>
        <w:t>الأرباح الضائعة والأرباح التي حققها المُنتهك</w:t>
      </w:r>
      <w:r>
        <w:rPr>
          <w:rStyle w:val="None"/>
          <w:rFonts w:ascii="Times New Roman" w:hAnsi="Times New Roman"/>
          <w:rtl/>
          <w:lang w:val="ar-SA"/>
        </w:rPr>
        <w:t>.</w:t>
      </w:r>
    </w:p>
    <w:p w14:paraId="5786BC11" w14:textId="77777777" w:rsidR="00454428" w:rsidRDefault="00C464EC">
      <w:pPr>
        <w:pStyle w:val="NormalWeb"/>
        <w:numPr>
          <w:ilvl w:val="0"/>
          <w:numId w:val="179"/>
        </w:numPr>
        <w:bidi/>
        <w:spacing w:before="120" w:after="120" w:line="360" w:lineRule="auto"/>
        <w:jc w:val="both"/>
        <w:rPr>
          <w:rFonts w:hint="default"/>
          <w:rtl/>
          <w:lang w:val="ar-SA"/>
        </w:rPr>
      </w:pPr>
      <w:r>
        <w:rPr>
          <w:rStyle w:val="None"/>
          <w:b/>
          <w:bCs/>
          <w:rtl/>
          <w:lang w:val="ar-SA"/>
        </w:rPr>
        <w:t>الأذى المعنوي</w:t>
      </w:r>
      <w:r>
        <w:rPr>
          <w:rStyle w:val="None"/>
          <w:rFonts w:ascii="Times New Roman" w:hAnsi="Times New Roman"/>
          <w:b/>
          <w:bCs/>
          <w:rtl/>
          <w:lang w:val="ar-SA"/>
        </w:rPr>
        <w:t>:</w:t>
      </w:r>
      <w:r>
        <w:rPr>
          <w:rStyle w:val="None"/>
          <w:rtl/>
          <w:lang w:val="ar-SA"/>
        </w:rPr>
        <w:t xml:space="preserve"> ويتمثل في الخسائر المعنوية التي يتكبدها الشخص المعتدى عليه؛ نتيجة انتهاك حقه، والتي تتعلق بالسمعة، وفقدان الفرص الإبداعية</w:t>
      </w:r>
      <w:r>
        <w:rPr>
          <w:rStyle w:val="None"/>
          <w:rFonts w:ascii="Times New Roman" w:hAnsi="Times New Roman"/>
          <w:rtl/>
          <w:lang w:val="ar-SA"/>
        </w:rPr>
        <w:t>.</w:t>
      </w:r>
    </w:p>
    <w:p w14:paraId="66E9AC78" w14:textId="77777777" w:rsidR="00454428" w:rsidRDefault="00C464EC">
      <w:pPr>
        <w:pStyle w:val="NormalWeb"/>
        <w:numPr>
          <w:ilvl w:val="0"/>
          <w:numId w:val="179"/>
        </w:numPr>
        <w:bidi/>
        <w:spacing w:before="120" w:after="120" w:line="360" w:lineRule="auto"/>
        <w:jc w:val="both"/>
        <w:rPr>
          <w:rFonts w:hint="default"/>
          <w:rtl/>
          <w:lang w:val="ar-SA"/>
        </w:rPr>
      </w:pPr>
      <w:r>
        <w:rPr>
          <w:rStyle w:val="None"/>
          <w:b/>
          <w:bCs/>
          <w:rtl/>
          <w:lang w:val="ar-SA"/>
        </w:rPr>
        <w:t>المكاسب التي حصل عليها المخالف</w:t>
      </w:r>
      <w:r>
        <w:rPr>
          <w:rStyle w:val="None"/>
          <w:rFonts w:ascii="Times New Roman" w:hAnsi="Times New Roman"/>
          <w:b/>
          <w:bCs/>
          <w:rtl/>
          <w:lang w:val="ar-SA"/>
        </w:rPr>
        <w:t>:</w:t>
      </w:r>
      <w:r>
        <w:rPr>
          <w:rStyle w:val="None"/>
          <w:rtl/>
          <w:lang w:val="ar-SA"/>
        </w:rPr>
        <w:t xml:space="preserve"> وتتضمن الأرباح التي حصل عليها بشكل غير مستحق من خلال استغلال حقوق الغير، علاوةً على تكاليف الترخيص التي كان يجب عليه تقديمها للحصول على الحق بشكل قانوني</w:t>
      </w:r>
      <w:r>
        <w:rPr>
          <w:rStyle w:val="None"/>
          <w:rFonts w:ascii="Times New Roman" w:hAnsi="Times New Roman"/>
          <w:rtl/>
          <w:lang w:val="ar-SA"/>
        </w:rPr>
        <w:t>.</w:t>
      </w:r>
    </w:p>
    <w:p w14:paraId="2D8A5EB2" w14:textId="77777777" w:rsidR="00454428" w:rsidRDefault="00C464EC">
      <w:pPr>
        <w:pStyle w:val="NormalWeb"/>
        <w:numPr>
          <w:ilvl w:val="0"/>
          <w:numId w:val="179"/>
        </w:numPr>
        <w:bidi/>
        <w:spacing w:before="120" w:after="120" w:line="360" w:lineRule="auto"/>
        <w:jc w:val="both"/>
        <w:rPr>
          <w:rFonts w:hint="default"/>
          <w:rtl/>
          <w:lang w:val="ar-SA"/>
        </w:rPr>
      </w:pPr>
      <w:r>
        <w:rPr>
          <w:rStyle w:val="None"/>
          <w:b/>
          <w:bCs/>
          <w:rtl/>
          <w:lang w:val="ar-SA"/>
        </w:rPr>
        <w:t>التعويض البديل</w:t>
      </w:r>
      <w:r>
        <w:rPr>
          <w:rStyle w:val="None"/>
          <w:rFonts w:ascii="Times New Roman" w:hAnsi="Times New Roman"/>
          <w:b/>
          <w:bCs/>
          <w:rtl/>
          <w:lang w:val="ar-SA"/>
        </w:rPr>
        <w:t>:</w:t>
      </w:r>
      <w:r>
        <w:rPr>
          <w:rStyle w:val="None"/>
          <w:rtl/>
          <w:lang w:val="ar-SA"/>
        </w:rPr>
        <w:t xml:space="preserve"> تنص المادة أيضًا على أنَّه يجوز للقاضي أنْ يقوم بمنح صاحب الحق المسلوب تعويضًا إجماليًّا عن كافة الخسائر</w:t>
      </w:r>
      <w:r>
        <w:rPr>
          <w:rStyle w:val="None"/>
          <w:rFonts w:ascii="Times New Roman" w:hAnsi="Times New Roman"/>
          <w:rtl/>
          <w:lang w:val="ar-SA"/>
        </w:rPr>
        <w:t>.</w:t>
      </w:r>
    </w:p>
    <w:p w14:paraId="305FAA1B" w14:textId="77777777" w:rsidR="00454428" w:rsidRDefault="00C464EC" w:rsidP="00C72BA8">
      <w:pPr>
        <w:pStyle w:val="NormalWeb"/>
        <w:bidi/>
        <w:spacing w:before="120" w:after="120" w:line="360" w:lineRule="auto"/>
        <w:ind w:firstLine="720"/>
        <w:jc w:val="both"/>
        <w:rPr>
          <w:rStyle w:val="NoneA"/>
          <w:rFonts w:hint="default"/>
          <w:rtl/>
        </w:rPr>
      </w:pPr>
      <w:r>
        <w:rPr>
          <w:rStyle w:val="None"/>
          <w:rtl/>
          <w:lang w:val="ar-SA"/>
        </w:rPr>
        <w:lastRenderedPageBreak/>
        <w:t xml:space="preserve">وعليه فقد أقرت المادة </w:t>
      </w:r>
      <w:r>
        <w:rPr>
          <w:rStyle w:val="None"/>
          <w:rFonts w:ascii="Times New Roman" w:hAnsi="Times New Roman"/>
          <w:shd w:val="clear" w:color="auto" w:fill="FFFFFF"/>
        </w:rPr>
        <w:t>L335-2</w:t>
      </w:r>
      <w:r>
        <w:rPr>
          <w:rStyle w:val="None"/>
          <w:shd w:val="clear" w:color="auto" w:fill="FFFFFF"/>
          <w:rtl/>
          <w:lang w:val="ar-SA"/>
        </w:rPr>
        <w:t xml:space="preserve"> أنَّ استغلال أو نسخ</w:t>
      </w:r>
      <w:r>
        <w:rPr>
          <w:rStyle w:val="None"/>
          <w:rFonts w:ascii="Times New Roman" w:hAnsi="Times New Roman"/>
          <w:b/>
          <w:bCs/>
          <w:shd w:val="clear" w:color="auto" w:fill="FFFFFF"/>
          <w:rtl/>
          <w:lang w:val="ar-SA"/>
        </w:rPr>
        <w:t xml:space="preserve"> </w:t>
      </w:r>
      <w:r>
        <w:rPr>
          <w:rStyle w:val="None"/>
          <w:rtl/>
          <w:lang w:val="ar-SA"/>
        </w:rPr>
        <w:t xml:space="preserve">أي من الكتابات، أو المؤلفات الموسيقية، والرسومات، أو أي عمل آخر، سواء كان تناظريًّا أو رقميًّا يُعَدُّ انتهاكًا للحقوق الفكرية، وتكون عقوبتها السجن وتعويض بقيمة </w:t>
      </w:r>
      <w:r>
        <w:rPr>
          <w:rStyle w:val="None"/>
          <w:rFonts w:ascii="Times New Roman" w:hAnsi="Times New Roman"/>
          <w:rtl/>
          <w:lang w:val="ar-SA"/>
        </w:rPr>
        <w:t xml:space="preserve">300000 </w:t>
      </w:r>
      <w:r>
        <w:rPr>
          <w:rStyle w:val="None"/>
          <w:rtl/>
          <w:lang w:val="ar-SA"/>
        </w:rPr>
        <w:t>يورو للمحاكمة في فرنسا</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29"/>
      </w:r>
      <w:r>
        <w:rPr>
          <w:rStyle w:val="None"/>
          <w:rFonts w:ascii="Times New Roman" w:hAnsi="Times New Roman"/>
          <w:vertAlign w:val="superscript"/>
          <w:rtl/>
          <w:lang w:val="ar-SA"/>
        </w:rPr>
        <w:t>)</w:t>
      </w:r>
    </w:p>
    <w:p w14:paraId="610DA6AC" w14:textId="77777777" w:rsidR="00454428" w:rsidRDefault="00C464EC" w:rsidP="00C72BA8">
      <w:pPr>
        <w:pStyle w:val="NormalWeb"/>
        <w:bidi/>
        <w:spacing w:before="120" w:after="120" w:line="360" w:lineRule="auto"/>
        <w:ind w:firstLine="720"/>
        <w:jc w:val="both"/>
        <w:rPr>
          <w:rStyle w:val="None"/>
          <w:rFonts w:hint="default"/>
          <w:rtl/>
        </w:rPr>
      </w:pPr>
      <w:r>
        <w:rPr>
          <w:rStyle w:val="None"/>
          <w:rtl/>
          <w:lang w:val="ar-SA"/>
        </w:rPr>
        <w:t xml:space="preserve">كما حددت المادة </w:t>
      </w:r>
      <w:r>
        <w:rPr>
          <w:rStyle w:val="None"/>
          <w:rFonts w:ascii="Times New Roman" w:hAnsi="Times New Roman"/>
        </w:rPr>
        <w:t>L716-14</w:t>
      </w:r>
      <w:r>
        <w:rPr>
          <w:rStyle w:val="None"/>
          <w:rtl/>
          <w:lang w:val="ar-SA"/>
        </w:rPr>
        <w:t xml:space="preserve"> من قانون الملكية الفكرية الفرنسي التعويضات عن انتهاك العلامة التجارية، وهي تُشبه المادة </w:t>
      </w:r>
      <w:r>
        <w:rPr>
          <w:rStyle w:val="None"/>
          <w:rFonts w:ascii="Times New Roman" w:hAnsi="Times New Roman"/>
        </w:rPr>
        <w:t>L331-1-3</w:t>
      </w:r>
      <w:r>
        <w:rPr>
          <w:rStyle w:val="None"/>
          <w:rtl/>
          <w:lang w:val="ar-SA"/>
        </w:rPr>
        <w:t xml:space="preserve"> التي ناقشناها سابقًا، ولكنها تُطبق على العلامات التجارية، بدلًا من حقوق الطبع والنشر، وتُرسي هذه المادة المبادئ التي يجب على المحاكم الفرنسية اتباعها عند تحديد التعويضات عن انتهاك العلامة التجارية، والهدف هو ضمان أنْ يكون التعويض عادلًا وشاملًا؛ بحيث يغطي الأضرار المادية والمعنوية على حد سواء، ويحرم المُنتهك من أي مكاسب غير مشروعة، من خلال النظر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0"/>
      </w:r>
      <w:r>
        <w:rPr>
          <w:rStyle w:val="None"/>
          <w:rFonts w:ascii="Times New Roman" w:hAnsi="Times New Roman"/>
          <w:vertAlign w:val="superscript"/>
          <w:rtl/>
          <w:lang w:val="ar-SA"/>
        </w:rPr>
        <w:t>)</w:t>
      </w:r>
    </w:p>
    <w:p w14:paraId="63BFFEA8" w14:textId="77777777" w:rsidR="00454428" w:rsidRDefault="00C464EC">
      <w:pPr>
        <w:pStyle w:val="NormalWeb"/>
        <w:numPr>
          <w:ilvl w:val="0"/>
          <w:numId w:val="181"/>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rtl/>
          <w:lang w:val="ar-SA"/>
        </w:rPr>
        <w:t xml:space="preserve">: </w:t>
      </w:r>
      <w:r>
        <w:rPr>
          <w:rStyle w:val="None"/>
          <w:rtl/>
          <w:lang w:val="ar-SA"/>
        </w:rPr>
        <w:t>والتي تشمل الأرباح، التي خسرها الطرف المتضرر؛ نتيجة انتهاك العلامة التجارية، بالإضافة إلى الخسائر الأخرى المُتكبدة</w:t>
      </w:r>
      <w:r>
        <w:rPr>
          <w:rStyle w:val="None"/>
          <w:rFonts w:ascii="Times New Roman" w:hAnsi="Times New Roman"/>
          <w:rtl/>
          <w:lang w:val="ar-SA"/>
        </w:rPr>
        <w:t>.</w:t>
      </w:r>
    </w:p>
    <w:p w14:paraId="57995BA1" w14:textId="77777777" w:rsidR="00454428" w:rsidRDefault="00C464EC">
      <w:pPr>
        <w:pStyle w:val="NormalWeb"/>
        <w:numPr>
          <w:ilvl w:val="0"/>
          <w:numId w:val="181"/>
        </w:numPr>
        <w:bidi/>
        <w:spacing w:before="120" w:after="120" w:line="360" w:lineRule="auto"/>
        <w:jc w:val="both"/>
        <w:rPr>
          <w:rFonts w:hint="default"/>
          <w:rtl/>
          <w:lang w:val="ar-SA"/>
        </w:rPr>
      </w:pPr>
      <w:r>
        <w:rPr>
          <w:rStyle w:val="None"/>
          <w:b/>
          <w:bCs/>
          <w:rtl/>
          <w:lang w:val="ar-SA"/>
        </w:rPr>
        <w:t>الضرر المعنوي</w:t>
      </w:r>
      <w:r>
        <w:rPr>
          <w:rStyle w:val="None"/>
          <w:rFonts w:ascii="Times New Roman" w:hAnsi="Times New Roman"/>
          <w:rtl/>
          <w:lang w:val="ar-SA"/>
        </w:rPr>
        <w:t xml:space="preserve">: </w:t>
      </w:r>
      <w:r>
        <w:rPr>
          <w:rStyle w:val="None"/>
          <w:rtl/>
          <w:lang w:val="ar-SA"/>
        </w:rPr>
        <w:t>يجب على القاضي أنْ يأخذ في الاعتبار الضرر المعنوي الذي لحق بالطرف المتضرر، قد يشمل ذلك الإضرار بسمعة العلامة التجارية، أو تشويه صورتها في السوق</w:t>
      </w:r>
      <w:r>
        <w:rPr>
          <w:rStyle w:val="None"/>
          <w:rFonts w:ascii="Times New Roman" w:hAnsi="Times New Roman"/>
          <w:rtl/>
          <w:lang w:val="ar-SA"/>
        </w:rPr>
        <w:t>.</w:t>
      </w:r>
    </w:p>
    <w:p w14:paraId="315D1F35" w14:textId="77777777" w:rsidR="00454428" w:rsidRDefault="00C464EC">
      <w:pPr>
        <w:pStyle w:val="NormalWeb"/>
        <w:numPr>
          <w:ilvl w:val="0"/>
          <w:numId w:val="181"/>
        </w:numPr>
        <w:bidi/>
        <w:spacing w:before="120" w:after="120" w:line="360" w:lineRule="auto"/>
        <w:jc w:val="both"/>
        <w:rPr>
          <w:rFonts w:hint="default"/>
          <w:rtl/>
          <w:lang w:val="ar-SA"/>
        </w:rPr>
      </w:pPr>
      <w:r>
        <w:rPr>
          <w:rStyle w:val="None"/>
          <w:b/>
          <w:bCs/>
          <w:rtl/>
          <w:lang w:val="ar-SA"/>
        </w:rPr>
        <w:t>أرباح المنتهك</w:t>
      </w:r>
      <w:r>
        <w:rPr>
          <w:rStyle w:val="None"/>
          <w:rFonts w:ascii="Times New Roman" w:hAnsi="Times New Roman"/>
          <w:rtl/>
          <w:lang w:val="ar-SA"/>
        </w:rPr>
        <w:t xml:space="preserve">: </w:t>
      </w:r>
      <w:r>
        <w:rPr>
          <w:rStyle w:val="None"/>
          <w:rtl/>
          <w:lang w:val="ar-SA"/>
        </w:rPr>
        <w:t>تُحسب أيضًا الفوائد التي حققها الطرف المتعدي من خلال استخدام العلامة التجارية، ويشمل ذلك أي وفورات في تكاليف الإنتاج والتسويق لم يكن عليه تحملها؛ ممَّا يضمن عدم استفادة المنتهك من انتهاكه</w:t>
      </w:r>
      <w:r>
        <w:rPr>
          <w:rStyle w:val="None"/>
          <w:rFonts w:ascii="Times New Roman" w:hAnsi="Times New Roman"/>
          <w:rtl/>
          <w:lang w:val="ar-SA"/>
        </w:rPr>
        <w:t>.</w:t>
      </w:r>
    </w:p>
    <w:p w14:paraId="5C83076C" w14:textId="77777777" w:rsidR="00454428" w:rsidRDefault="00C464EC">
      <w:pPr>
        <w:pStyle w:val="NormalWeb"/>
        <w:numPr>
          <w:ilvl w:val="0"/>
          <w:numId w:val="181"/>
        </w:numPr>
        <w:bidi/>
        <w:spacing w:before="120" w:after="120" w:line="360" w:lineRule="auto"/>
        <w:jc w:val="both"/>
        <w:rPr>
          <w:rFonts w:hint="default"/>
          <w:rtl/>
          <w:lang w:val="ar-SA"/>
        </w:rPr>
      </w:pPr>
      <w:r>
        <w:rPr>
          <w:rStyle w:val="None"/>
          <w:b/>
          <w:bCs/>
          <w:rtl/>
          <w:lang w:val="ar-SA"/>
        </w:rPr>
        <w:t xml:space="preserve">التعويض البديل </w:t>
      </w:r>
      <w:r>
        <w:rPr>
          <w:rStyle w:val="None"/>
          <w:rFonts w:ascii="Times New Roman" w:hAnsi="Times New Roman"/>
          <w:b/>
          <w:bCs/>
          <w:rtl/>
          <w:lang w:val="ar-SA"/>
        </w:rPr>
        <w:t>(</w:t>
      </w:r>
      <w:r>
        <w:rPr>
          <w:rStyle w:val="None"/>
          <w:rFonts w:ascii="Times New Roman" w:hAnsi="Times New Roman"/>
          <w:b/>
          <w:bCs/>
        </w:rPr>
        <w:t>Forfaitaire</w:t>
      </w:r>
      <w:r>
        <w:rPr>
          <w:rStyle w:val="None"/>
          <w:rFonts w:ascii="Times New Roman" w:hAnsi="Times New Roman"/>
          <w:b/>
          <w:bCs/>
          <w:rtl/>
          <w:lang w:val="ar-SA"/>
        </w:rPr>
        <w:t>):</w:t>
      </w:r>
      <w:r>
        <w:rPr>
          <w:rStyle w:val="None"/>
          <w:rtl/>
          <w:lang w:val="ar-SA"/>
        </w:rPr>
        <w:t xml:space="preserve"> بِناءً على طلب الطرف المتضرر، يجوز للقاضي أنْ يُمنَحَ مبلغًا إجماليًا كتعويض بديل، يجب أنْ يكون هذا المبلغ أعلى من الرسوم أو الإتاوات التي كان المنتهك سيدفعها لو حصل على إذن قانوني باستخدام العلامة التجارية، ولا يُغني هذا المبلغ عن التعويض عن الأضرار المعنوية، بمعنى آخر</w:t>
      </w:r>
      <w:r>
        <w:rPr>
          <w:rStyle w:val="None"/>
          <w:rFonts w:ascii="Times New Roman" w:hAnsi="Times New Roman"/>
          <w:rtl/>
          <w:lang w:val="ar-SA"/>
        </w:rPr>
        <w:t xml:space="preserve">: </w:t>
      </w:r>
      <w:r>
        <w:rPr>
          <w:rStyle w:val="None"/>
          <w:rtl/>
          <w:lang w:val="ar-SA"/>
        </w:rPr>
        <w:t>يجوز للقاضي أنْ يمنح تعويضًا بديلًا عن الخسائر المادية، بالإضافة إلى تعويض منفصل عن الأضرار المعنوية</w:t>
      </w:r>
      <w:r>
        <w:rPr>
          <w:rStyle w:val="None"/>
          <w:rFonts w:ascii="Times New Roman" w:hAnsi="Times New Roman"/>
          <w:rtl/>
          <w:lang w:val="ar-SA"/>
        </w:rPr>
        <w:t>.</w:t>
      </w:r>
    </w:p>
    <w:p w14:paraId="29C0ABE7" w14:textId="77777777" w:rsidR="00454428" w:rsidRDefault="00C464EC" w:rsidP="00C72BA8">
      <w:pPr>
        <w:pStyle w:val="NormalWeb"/>
        <w:bidi/>
        <w:spacing w:before="120" w:after="120" w:line="360" w:lineRule="auto"/>
        <w:jc w:val="both"/>
        <w:rPr>
          <w:rStyle w:val="None"/>
          <w:rFonts w:hint="default"/>
          <w:sz w:val="28"/>
          <w:szCs w:val="28"/>
          <w:rtl/>
          <w:lang w:val="ar-SA"/>
        </w:rPr>
      </w:pPr>
      <w:r>
        <w:rPr>
          <w:rStyle w:val="None"/>
          <w:b/>
          <w:bCs/>
          <w:sz w:val="28"/>
          <w:szCs w:val="28"/>
          <w:rtl/>
          <w:lang w:val="ar-SA"/>
        </w:rPr>
        <w:t>ثانيًا</w:t>
      </w:r>
      <w:r>
        <w:rPr>
          <w:rStyle w:val="None"/>
          <w:rFonts w:ascii="Times New Roman" w:hAnsi="Times New Roman"/>
          <w:b/>
          <w:bCs/>
          <w:sz w:val="28"/>
          <w:szCs w:val="28"/>
          <w:rtl/>
          <w:lang w:val="ar-SA"/>
        </w:rPr>
        <w:t xml:space="preserve">: </w:t>
      </w:r>
      <w:r>
        <w:rPr>
          <w:rStyle w:val="None"/>
          <w:b/>
          <w:bCs/>
          <w:sz w:val="28"/>
          <w:szCs w:val="28"/>
          <w:rtl/>
          <w:lang w:val="ar-SA"/>
        </w:rPr>
        <w:t>التعويض عن الاعتداء على حقوق الملكية الفكرية في البيئة الرقمية في القانون الأمريكي</w:t>
      </w:r>
      <w:r>
        <w:rPr>
          <w:rStyle w:val="None"/>
          <w:rFonts w:ascii="Times New Roman" w:hAnsi="Times New Roman"/>
          <w:b/>
          <w:bCs/>
          <w:sz w:val="28"/>
          <w:szCs w:val="28"/>
          <w:rtl/>
          <w:lang w:val="ar-SA"/>
        </w:rPr>
        <w:t>:</w:t>
      </w:r>
    </w:p>
    <w:p w14:paraId="5F8F8572" w14:textId="77777777" w:rsidR="00454428" w:rsidRDefault="00C464EC" w:rsidP="00C72BA8">
      <w:pPr>
        <w:pStyle w:val="NormalWeb"/>
        <w:bidi/>
        <w:spacing w:before="120" w:after="120" w:line="360" w:lineRule="auto"/>
        <w:ind w:firstLine="720"/>
        <w:jc w:val="both"/>
        <w:rPr>
          <w:rStyle w:val="None"/>
          <w:rFonts w:hint="default"/>
          <w:rtl/>
        </w:rPr>
      </w:pPr>
      <w:r>
        <w:rPr>
          <w:rStyle w:val="None"/>
          <w:rtl/>
          <w:lang w:val="ar-SA"/>
        </w:rPr>
        <w:t xml:space="preserve">تُعَدُّ المادة </w:t>
      </w:r>
      <w:r>
        <w:rPr>
          <w:rStyle w:val="None"/>
          <w:rFonts w:ascii="Times New Roman" w:hAnsi="Times New Roman"/>
          <w:rtl/>
          <w:lang w:val="ar-SA"/>
        </w:rPr>
        <w:t xml:space="preserve">504 </w:t>
      </w:r>
      <w:r>
        <w:rPr>
          <w:rStyle w:val="None"/>
          <w:rtl/>
          <w:lang w:val="ar-SA"/>
        </w:rPr>
        <w:t>من قانون حقوق الطبع والنشر الأمريكي حجر الزاوية في تحديد التعويضات المالية عن انتهاك حقوق الطبع والنشر، وتنص تلك المادة على أنَّ منتهك حقوق الطبع والنشر مسئول عن دفع إحدى مجموعتين من التعويضات، والتي يختارها مالك حقوق الطبع والنشر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1"/>
      </w:r>
      <w:r>
        <w:rPr>
          <w:rStyle w:val="None"/>
          <w:rFonts w:ascii="Times New Roman" w:hAnsi="Times New Roman"/>
          <w:vertAlign w:val="superscript"/>
          <w:rtl/>
          <w:lang w:val="ar-SA"/>
        </w:rPr>
        <w:t>)</w:t>
      </w:r>
    </w:p>
    <w:p w14:paraId="1FFF6006" w14:textId="77777777" w:rsidR="00454428" w:rsidRDefault="00C464EC">
      <w:pPr>
        <w:pStyle w:val="ListParagraph"/>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تمنح المادة </w:t>
      </w:r>
      <w:r>
        <w:rPr>
          <w:rStyle w:val="None"/>
          <w:rFonts w:ascii="Times New Roman" w:hAnsi="Times New Roman"/>
          <w:sz w:val="24"/>
          <w:szCs w:val="24"/>
          <w:rtl/>
          <w:lang w:val="ar-SA"/>
        </w:rPr>
        <w:t>504(</w:t>
      </w:r>
      <w:r>
        <w:rPr>
          <w:rStyle w:val="None"/>
          <w:rFonts w:cs="Times New Roman"/>
          <w:sz w:val="24"/>
          <w:szCs w:val="24"/>
          <w:rtl/>
          <w:lang w:val="ar-SA"/>
        </w:rPr>
        <w:t>ب</w:t>
      </w:r>
      <w:r>
        <w:rPr>
          <w:rStyle w:val="None"/>
          <w:rFonts w:ascii="Times New Roman" w:hAnsi="Times New Roman"/>
          <w:sz w:val="24"/>
          <w:szCs w:val="24"/>
          <w:rtl/>
          <w:lang w:val="ar-SA"/>
        </w:rPr>
        <w:t xml:space="preserve">) </w:t>
      </w:r>
      <w:r>
        <w:rPr>
          <w:rStyle w:val="None"/>
          <w:rFonts w:cs="Times New Roman"/>
          <w:sz w:val="24"/>
          <w:szCs w:val="24"/>
          <w:rtl/>
          <w:lang w:val="ar-SA"/>
        </w:rPr>
        <w:t>لمالك حقوق الطبع والنشر الحق في استرداد الخسائر الفعلية التي تكبدها، بالإضافة إلى أي أرباح إضافية حققها المنتهك نتيجةً للانتهاك</w:t>
      </w:r>
      <w:r>
        <w:rPr>
          <w:rStyle w:val="None"/>
          <w:rFonts w:ascii="Times New Roman" w:hAnsi="Times New Roman"/>
          <w:sz w:val="24"/>
          <w:szCs w:val="24"/>
        </w:rPr>
        <w:t>.</w:t>
      </w:r>
    </w:p>
    <w:p w14:paraId="23139874" w14:textId="77777777" w:rsidR="00454428" w:rsidRDefault="00C464EC">
      <w:pPr>
        <w:pStyle w:val="ListParagraph"/>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التعويضات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حيث يعطي القانون المتضرر الحق في الحصول على التعويض القانوني، فبدلًا من محاولة إثبات الأضرار الفعلية والأرباح، وهو ما قد يكون صعبًا، يمكن لمالك حقوق الطبع والنشر أنْ يختار الحصول على التعويضات القانونية بموجب المادة </w:t>
      </w:r>
      <w:r>
        <w:rPr>
          <w:rStyle w:val="None"/>
          <w:rFonts w:ascii="Times New Roman" w:hAnsi="Times New Roman"/>
          <w:sz w:val="24"/>
          <w:szCs w:val="24"/>
          <w:rtl/>
          <w:lang w:val="ar-SA"/>
        </w:rPr>
        <w:t>504(</w:t>
      </w:r>
      <w:r>
        <w:rPr>
          <w:rStyle w:val="None"/>
          <w:rFonts w:cs="Times New Roman"/>
          <w:sz w:val="24"/>
          <w:szCs w:val="24"/>
          <w:rtl/>
          <w:lang w:val="ar-SA"/>
        </w:rPr>
        <w:t>ج</w:t>
      </w:r>
      <w:r>
        <w:rPr>
          <w:rStyle w:val="None"/>
          <w:rFonts w:ascii="Times New Roman" w:hAnsi="Times New Roman"/>
          <w:sz w:val="24"/>
          <w:szCs w:val="24"/>
          <w:rtl/>
          <w:lang w:val="ar-SA"/>
        </w:rPr>
        <w:t>)</w:t>
      </w:r>
      <w:r>
        <w:rPr>
          <w:rStyle w:val="None"/>
          <w:rFonts w:ascii="Times New Roman" w:hAnsi="Times New Roman"/>
          <w:sz w:val="24"/>
          <w:szCs w:val="24"/>
        </w:rPr>
        <w:t>.</w:t>
      </w:r>
    </w:p>
    <w:p w14:paraId="41CC5E8D" w14:textId="77777777" w:rsidR="00454428" w:rsidRDefault="00C464EC">
      <w:pPr>
        <w:pStyle w:val="ListParagraph"/>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مبلغ التعويض</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تتراوح التعويضات القانونية عادةً بين </w:t>
      </w:r>
      <w:r>
        <w:rPr>
          <w:rStyle w:val="None"/>
          <w:rFonts w:ascii="Times New Roman" w:hAnsi="Times New Roman"/>
          <w:sz w:val="24"/>
          <w:szCs w:val="24"/>
          <w:rtl/>
          <w:lang w:val="ar-SA"/>
        </w:rPr>
        <w:t xml:space="preserve">750 </w:t>
      </w:r>
      <w:r>
        <w:rPr>
          <w:rStyle w:val="None"/>
          <w:rFonts w:cs="Times New Roman"/>
          <w:sz w:val="24"/>
          <w:szCs w:val="24"/>
          <w:rtl/>
          <w:lang w:val="ar-SA"/>
        </w:rPr>
        <w:t>و</w:t>
      </w:r>
      <w:r>
        <w:rPr>
          <w:rStyle w:val="None"/>
          <w:rFonts w:ascii="Times New Roman" w:hAnsi="Times New Roman"/>
          <w:sz w:val="24"/>
          <w:szCs w:val="24"/>
          <w:rtl/>
          <w:lang w:val="ar-SA"/>
        </w:rPr>
        <w:t xml:space="preserve">30,000 </w:t>
      </w:r>
      <w:r>
        <w:rPr>
          <w:rStyle w:val="None"/>
          <w:rFonts w:cs="Times New Roman"/>
          <w:sz w:val="24"/>
          <w:szCs w:val="24"/>
          <w:rtl/>
          <w:lang w:val="ar-SA"/>
        </w:rPr>
        <w:t>دولارٍ لكل عمل تم انتهاكه، ويحددها القاضي</w:t>
      </w:r>
      <w:r>
        <w:rPr>
          <w:rStyle w:val="None"/>
          <w:rFonts w:ascii="Times New Roman" w:hAnsi="Times New Roman"/>
          <w:sz w:val="24"/>
          <w:szCs w:val="24"/>
          <w:rtl/>
          <w:lang w:val="ar-SA"/>
        </w:rPr>
        <w:t>.</w:t>
      </w:r>
    </w:p>
    <w:p w14:paraId="58541AD7" w14:textId="77777777" w:rsidR="00454428" w:rsidRDefault="00C464EC">
      <w:pPr>
        <w:pStyle w:val="ListParagraph"/>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ثبت أنَّ الانتهاك كان متعمدًا، يمكن أنْ يزيد مبلغ التعويضات القانونية إلى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لكل عمل</w:t>
      </w:r>
      <w:r>
        <w:rPr>
          <w:rStyle w:val="None"/>
          <w:rFonts w:ascii="Times New Roman" w:hAnsi="Times New Roman"/>
          <w:sz w:val="24"/>
          <w:szCs w:val="24"/>
          <w:rtl/>
          <w:lang w:val="ar-SA"/>
        </w:rPr>
        <w:t>.</w:t>
      </w:r>
    </w:p>
    <w:p w14:paraId="2D969F38" w14:textId="77777777" w:rsidR="00454428" w:rsidRDefault="00C464EC">
      <w:pPr>
        <w:pStyle w:val="ListParagraph"/>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غير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حالات الانتهاك غير المتعمد، يمكن أنْ يُخفض مبلغ التعويضات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w:t>
      </w:r>
      <w:r>
        <w:rPr>
          <w:rStyle w:val="None"/>
          <w:rFonts w:ascii="Times New Roman" w:hAnsi="Times New Roman"/>
          <w:sz w:val="24"/>
          <w:szCs w:val="24"/>
          <w:rtl/>
          <w:lang w:val="ar-SA"/>
        </w:rPr>
        <w:t>.</w:t>
      </w:r>
    </w:p>
    <w:p w14:paraId="0666FD84" w14:textId="77777777" w:rsidR="00454428" w:rsidRDefault="00C464EC" w:rsidP="00C72BA8">
      <w:pPr>
        <w:pStyle w:val="NormalWeb"/>
        <w:bidi/>
        <w:spacing w:before="120" w:after="120" w:line="360" w:lineRule="auto"/>
        <w:ind w:firstLine="720"/>
        <w:jc w:val="both"/>
        <w:rPr>
          <w:rStyle w:val="NoneA"/>
          <w:rFonts w:hint="default"/>
          <w:rtl/>
          <w:lang w:val="ar-SA"/>
        </w:rPr>
      </w:pPr>
      <w:r>
        <w:rPr>
          <w:rStyle w:val="None"/>
          <w:rtl/>
          <w:lang w:val="ar-SA"/>
        </w:rPr>
        <w:t>وبشكل عام يكون منتهك حقوق الملكية الفكرية الرقمية مسئولًا عن</w:t>
      </w:r>
      <w:r>
        <w:rPr>
          <w:rStyle w:val="None"/>
          <w:rFonts w:ascii="Times New Roman" w:hAnsi="Times New Roman"/>
          <w:rtl/>
          <w:lang w:val="ar-SA"/>
        </w:rPr>
        <w:t xml:space="preserve">: </w:t>
      </w:r>
      <w:r>
        <w:rPr>
          <w:rStyle w:val="None"/>
          <w:rtl/>
          <w:lang w:val="ar-SA"/>
        </w:rPr>
        <w:t xml:space="preserve">الأضرار الفعلية التي لحقت بمالك الحقوق وأي أرباح إضافية حققها، وفقًا لما هو منصوص عليه في الفقرة الفرعية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w:t>
      </w:r>
      <w:r>
        <w:rPr>
          <w:rStyle w:val="None"/>
          <w:rtl/>
          <w:lang w:val="ar-SA"/>
        </w:rPr>
        <w:t xml:space="preserve">، أو الأضرار القانونية، وفقًا لما هو منصوص عليه في الفقرة الفرعية </w:t>
      </w:r>
      <w:r>
        <w:rPr>
          <w:rStyle w:val="None"/>
          <w:rFonts w:ascii="Times New Roman" w:hAnsi="Times New Roman"/>
          <w:rtl/>
          <w:lang w:val="ar-SA"/>
        </w:rPr>
        <w:t>(</w:t>
      </w:r>
      <w:r>
        <w:rPr>
          <w:rStyle w:val="None"/>
          <w:rtl/>
          <w:lang w:val="ar-SA"/>
        </w:rPr>
        <w:t>ج</w:t>
      </w:r>
      <w:r>
        <w:rPr>
          <w:rStyle w:val="None"/>
          <w:rFonts w:ascii="Times New Roman" w:hAnsi="Times New Roman"/>
          <w:rtl/>
          <w:lang w:val="ar-SA"/>
        </w:rPr>
        <w:t>)</w:t>
      </w:r>
      <w:r>
        <w:rPr>
          <w:rStyle w:val="None"/>
          <w:rtl/>
          <w:lang w:val="ar-SA"/>
        </w:rPr>
        <w:t xml:space="preserve">، والأضرار والأرباح الفعلية، ويحق للمالك استرداد الأضرار الفعلية التي لحقت به نتيجةً للانتهاك، وأي أرباح حققها المخالف تُعزى إليه ولم تُؤخذ في الاعتبار عند حساب الأضرار الفعلية، كما يجوز للمالك في أي وقت قبل صدور الحكم النهائي، أنْ يختار </w:t>
      </w:r>
      <w:r>
        <w:rPr>
          <w:rStyle w:val="None"/>
          <w:rFonts w:ascii="Times New Roman" w:hAnsi="Times New Roman"/>
          <w:rtl/>
          <w:lang w:val="ar-SA"/>
        </w:rPr>
        <w:t>-</w:t>
      </w:r>
      <w:r>
        <w:rPr>
          <w:rStyle w:val="None"/>
          <w:rtl/>
          <w:lang w:val="ar-SA"/>
        </w:rPr>
        <w:t>بدلًا من التعويضات والأرباح الفعلية</w:t>
      </w:r>
      <w:r>
        <w:rPr>
          <w:rStyle w:val="None"/>
          <w:rFonts w:ascii="Times New Roman" w:hAnsi="Times New Roman"/>
          <w:rtl/>
          <w:lang w:val="ar-SA"/>
        </w:rPr>
        <w:t xml:space="preserve">- </w:t>
      </w:r>
      <w:r>
        <w:rPr>
          <w:rStyle w:val="None"/>
          <w:rtl/>
          <w:lang w:val="ar-SA"/>
        </w:rPr>
        <w:t xml:space="preserve">الحصول على تعويضات قانونية عن جميع الانتهاكات المتضمنة في الدعوى، فيما يتعلق بأي عمل واحد، بمبلغ لا يقل عن </w:t>
      </w:r>
      <w:r>
        <w:rPr>
          <w:rStyle w:val="None"/>
          <w:rFonts w:ascii="Times New Roman" w:hAnsi="Times New Roman"/>
          <w:rtl/>
          <w:lang w:val="ar-SA"/>
        </w:rPr>
        <w:t xml:space="preserve">750 </w:t>
      </w:r>
      <w:r>
        <w:rPr>
          <w:rStyle w:val="None"/>
          <w:rtl/>
          <w:lang w:val="ar-SA"/>
        </w:rPr>
        <w:t xml:space="preserve">دولارًا أمريكيًا، ولا يزيد عن </w:t>
      </w:r>
      <w:r>
        <w:rPr>
          <w:rStyle w:val="None"/>
          <w:rFonts w:ascii="Times New Roman" w:hAnsi="Times New Roman"/>
          <w:rtl/>
          <w:lang w:val="ar-SA"/>
        </w:rPr>
        <w:t xml:space="preserve">30,000 </w:t>
      </w:r>
      <w:r>
        <w:rPr>
          <w:rStyle w:val="None"/>
          <w:rtl/>
          <w:lang w:val="ar-SA"/>
        </w:rPr>
        <w:t>دولارٍ أمريكيٍّ، حسبما تراه المحكمة عادلًا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vertAlign w:val="superscript"/>
          <w:rtl/>
          <w:lang w:val="ar-SA"/>
        </w:rPr>
        <w:footnoteReference w:id="432"/>
      </w:r>
      <w:r>
        <w:rPr>
          <w:rStyle w:val="None"/>
          <w:rFonts w:ascii="Times New Roman" w:hAnsi="Times New Roman"/>
          <w:vertAlign w:val="superscript"/>
          <w:rtl/>
          <w:lang w:val="ar-SA"/>
        </w:rPr>
        <w:t>)</w:t>
      </w:r>
    </w:p>
    <w:p w14:paraId="3818601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يجوز للمالك في حالة كسب قضية انتهاك حقوقه الحصول على تعويضات قانونية؛ حيث يحصل على تعويضات تتراوح قيمتها بين </w:t>
      </w:r>
      <w:r>
        <w:rPr>
          <w:rStyle w:val="None"/>
          <w:rFonts w:ascii="Times New Roman" w:hAnsi="Times New Roman"/>
          <w:sz w:val="24"/>
          <w:szCs w:val="24"/>
          <w:rtl/>
          <w:lang w:val="ar-SA"/>
        </w:rPr>
        <w:t xml:space="preserve">750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30,000 </w:t>
      </w:r>
      <w:r>
        <w:rPr>
          <w:rStyle w:val="None"/>
          <w:rFonts w:ascii="Arial Unicode MS" w:hAnsi="Arial Unicode MS" w:cs="Times New Roman" w:hint="cs"/>
          <w:sz w:val="24"/>
          <w:szCs w:val="24"/>
          <w:rtl/>
          <w:lang w:val="ar-SA"/>
        </w:rPr>
        <w:t>دولارٍ أمريكي عن كل عمل مُنتهك، ويعتمد المبلغ الذي يحق للمبدع الحصول عليه على ما إذا كانت التعويضات القانونية للحق الرقمي تُعتبر انتهاكًا بريئًا أو متعمدًا، ويُعرَّف هذان النوعان من الانتهاك أدناه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33"/>
      </w:r>
      <w:r>
        <w:rPr>
          <w:rStyle w:val="None"/>
          <w:rFonts w:ascii="Times New Roman" w:hAnsi="Times New Roman"/>
          <w:sz w:val="24"/>
          <w:szCs w:val="24"/>
          <w:vertAlign w:val="superscript"/>
          <w:rtl/>
          <w:lang w:val="ar-SA"/>
        </w:rPr>
        <w:t>)</w:t>
      </w:r>
    </w:p>
    <w:p w14:paraId="1A2AE923" w14:textId="77777777" w:rsidR="00454428" w:rsidRDefault="00C464EC">
      <w:pPr>
        <w:pStyle w:val="ListParagraph"/>
        <w:numPr>
          <w:ilvl w:val="0"/>
          <w:numId w:val="18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البريء</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المنتهك إثبات عدم علمه بالنشاط، ولم يكن لديه ما يدعوه للاعتقاد بأنَّه يُشكل انتهاكًا، فقد تُقرر المحكمة وجود انتهاك بريء، ولن يُعفي صدور حكم بالانتهاك البريء المدعَى عليه من المسئولية عن الانتهاك، ولكنه قد يُؤدي إلى تخفيض التعويضات القانونية الممنوحة للمالك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 أمريكي كحد أدنى عن كل عمل مُنتهك</w:t>
      </w:r>
      <w:r>
        <w:rPr>
          <w:rStyle w:val="None"/>
          <w:rFonts w:ascii="Times New Roman" w:hAnsi="Times New Roman"/>
          <w:sz w:val="24"/>
          <w:szCs w:val="24"/>
          <w:rtl/>
          <w:lang w:val="ar-SA"/>
        </w:rPr>
        <w:t>.</w:t>
      </w:r>
    </w:p>
    <w:p w14:paraId="7B3E9F94" w14:textId="77777777" w:rsidR="00454428" w:rsidRDefault="00C464EC">
      <w:pPr>
        <w:pStyle w:val="ListParagraph"/>
        <w:numPr>
          <w:ilvl w:val="0"/>
          <w:numId w:val="185"/>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lastRenderedPageBreak/>
        <w:t xml:space="preserve"> </w:t>
      </w: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مالك الحقوق الرقمية إثبات أنَّ الانتهاك كان متعمدًا، يجوز للمحكمة زيادة التعويضات القانونية بحد أقصى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أمريكي لكل عمل مُنتهك، ويُعتبر الانتهاك متعمدًا إذا كان المُنتهك على علم بأنَّ النشاط يُشكل انتهاكًا</w:t>
      </w:r>
      <w:r>
        <w:rPr>
          <w:rStyle w:val="None"/>
          <w:rFonts w:ascii="Times New Roman" w:hAnsi="Times New Roman"/>
          <w:sz w:val="24"/>
          <w:szCs w:val="24"/>
          <w:rtl/>
          <w:lang w:val="ar-SA"/>
        </w:rPr>
        <w:t>.</w:t>
      </w:r>
    </w:p>
    <w:p w14:paraId="52F49B7F" w14:textId="77777777" w:rsidR="00645DEB" w:rsidRDefault="00645DEB">
      <w:pPr>
        <w:rPr>
          <w:rStyle w:val="None"/>
          <w:rFonts w:ascii="Arial Unicode MS" w:hAnsi="Arial Unicode MS"/>
          <w:color w:val="000000"/>
          <w:u w:color="000000"/>
          <w:rtl/>
          <w:lang w:val="ar-SA"/>
        </w:rPr>
      </w:pPr>
      <w:r>
        <w:rPr>
          <w:rStyle w:val="None"/>
          <w:rtl/>
          <w:lang w:val="ar-SA"/>
        </w:rPr>
        <w:br w:type="page"/>
      </w:r>
    </w:p>
    <w:p w14:paraId="2C7CF5FD" w14:textId="5A06D3B5" w:rsidR="00454428" w:rsidRDefault="00C464EC" w:rsidP="00C72BA8">
      <w:pPr>
        <w:pStyle w:val="NormalWeb"/>
        <w:bidi/>
        <w:spacing w:before="120" w:after="120" w:line="360" w:lineRule="auto"/>
        <w:ind w:firstLine="720"/>
        <w:jc w:val="both"/>
        <w:rPr>
          <w:rStyle w:val="None"/>
          <w:rFonts w:hint="default"/>
          <w:rtl/>
          <w:lang w:val="ar-SA"/>
        </w:rPr>
      </w:pPr>
      <w:r>
        <w:rPr>
          <w:rStyle w:val="None"/>
          <w:rtl/>
          <w:lang w:val="ar-SA"/>
        </w:rPr>
        <w:lastRenderedPageBreak/>
        <w:t>كما تجدر الإشارة إلى أنَّه يمكن استعراض تطوُّر</w:t>
      </w:r>
      <w:r>
        <w:rPr>
          <w:rStyle w:val="None"/>
          <w:rFonts w:ascii="Times New Roman" w:hAnsi="Times New Roman"/>
          <w:b/>
          <w:bCs/>
          <w:rtl/>
          <w:lang w:val="ar-SA"/>
        </w:rPr>
        <w:t xml:space="preserve"> </w:t>
      </w:r>
      <w:r>
        <w:rPr>
          <w:rStyle w:val="None"/>
          <w:rtl/>
          <w:lang w:val="ar-SA"/>
        </w:rPr>
        <w:t xml:space="preserve">التعويض عن الاعتداء على حقوق الملكية الفكرية في البيئة الرقمية في القانون الأمريكي، وفقًا لما أشار </w:t>
      </w:r>
      <w:r>
        <w:rPr>
          <w:rStyle w:val="None"/>
          <w:rFonts w:ascii="Times New Roman" w:hAnsi="Times New Roman"/>
          <w:vertAlign w:val="superscript"/>
          <w:rtl/>
          <w:lang w:val="ar-SA"/>
        </w:rPr>
        <w:t>(</w:t>
      </w:r>
      <w:r>
        <w:rPr>
          <w:rStyle w:val="None"/>
          <w:vertAlign w:val="superscript"/>
          <w:rtl/>
          <w:lang w:val="ar-SA"/>
        </w:rPr>
        <w:footnoteReference w:id="434"/>
      </w:r>
      <w:r>
        <w:rPr>
          <w:rStyle w:val="None"/>
          <w:rFonts w:ascii="Times New Roman" w:hAnsi="Times New Roman"/>
          <w:vertAlign w:val="superscript"/>
          <w:rtl/>
          <w:lang w:val="ar-SA"/>
        </w:rPr>
        <w:t>)</w:t>
      </w:r>
      <w:r>
        <w:rPr>
          <w:rStyle w:val="None"/>
          <w:rtl/>
          <w:lang w:val="ar-SA"/>
        </w:rPr>
        <w:t xml:space="preserve"> إليه، من خلال النقاط التالية</w:t>
      </w:r>
      <w:r>
        <w:rPr>
          <w:rStyle w:val="None"/>
          <w:rFonts w:ascii="Times New Roman" w:hAnsi="Times New Roman"/>
          <w:rtl/>
          <w:lang w:val="ar-SA"/>
        </w:rPr>
        <w:t xml:space="preserve">: </w:t>
      </w:r>
    </w:p>
    <w:p w14:paraId="50F5C31A"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صدر أول قانون عام </w:t>
      </w:r>
      <w:r>
        <w:rPr>
          <w:rStyle w:val="None"/>
          <w:rFonts w:ascii="Times New Roman" w:hAnsi="Times New Roman"/>
          <w:sz w:val="24"/>
          <w:szCs w:val="24"/>
          <w:rtl/>
          <w:lang w:val="ar-SA"/>
        </w:rPr>
        <w:t>1897</w:t>
      </w:r>
      <w:r>
        <w:rPr>
          <w:rStyle w:val="None"/>
          <w:rFonts w:cs="Times New Roman"/>
          <w:sz w:val="24"/>
          <w:szCs w:val="24"/>
          <w:rtl/>
          <w:lang w:val="ar-SA"/>
        </w:rPr>
        <w:t>، وكان أول تشريع يتضمن إنفاذًا جنائيًا لحماية حقوق الطبع والنشر، وقد جعل القانون التمثيلات العامة وأداء الأعمال الدرامية والموسيقية المحمية بحقوق الطبع والنشر جنحة عندما يكون السلوك المنتهك متعمدًا وبهدف الربح</w:t>
      </w:r>
      <w:r>
        <w:rPr>
          <w:rStyle w:val="None"/>
          <w:rFonts w:ascii="Times New Roman" w:hAnsi="Times New Roman"/>
          <w:sz w:val="24"/>
          <w:szCs w:val="24"/>
          <w:rtl/>
          <w:lang w:val="ar-SA"/>
        </w:rPr>
        <w:t>.</w:t>
      </w:r>
    </w:p>
    <w:p w14:paraId="7F4A8E43"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ثم تم تعديل الأحكام الجنائية لقانون حقوق الطبع والنشر بمرور الوقت؛ حيث أصبحت بعض الانتهاكات تُصنف على أنَّها جرائم جنائية</w:t>
      </w:r>
      <w:r>
        <w:rPr>
          <w:rStyle w:val="None"/>
          <w:rFonts w:ascii="Times New Roman" w:hAnsi="Times New Roman"/>
          <w:sz w:val="24"/>
          <w:szCs w:val="24"/>
          <w:rtl/>
          <w:lang w:val="ar-SA"/>
        </w:rPr>
        <w:t>.</w:t>
      </w:r>
    </w:p>
    <w:p w14:paraId="6A40AE07"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وفي أوائل التسعينيات، أدى النمو السريع لصناعة البرمجيات والزيادة الكبيرة في انتهاكات حقوق الطبع والنشر على نطاق واسع، إلى قيام الكونجرس بسن قانون جرائم حقوق الطبع والنشر لعام </w:t>
      </w:r>
      <w:r>
        <w:rPr>
          <w:rStyle w:val="None"/>
          <w:rFonts w:ascii="Times New Roman" w:hAnsi="Times New Roman"/>
          <w:sz w:val="24"/>
          <w:szCs w:val="24"/>
          <w:rtl/>
          <w:lang w:val="ar-SA"/>
        </w:rPr>
        <w:t>1992</w:t>
      </w:r>
      <w:r>
        <w:rPr>
          <w:rStyle w:val="None"/>
          <w:rFonts w:cs="Times New Roman"/>
          <w:sz w:val="24"/>
          <w:szCs w:val="24"/>
          <w:rtl/>
          <w:lang w:val="ar-SA"/>
        </w:rPr>
        <w:t>، والذي وسّع نطاق الأعمال التي يمكن أنْ يُصنف انتهاكها على أنَّه جرائم جنائية؛ ليشمل ليس فقط التسجيلات الصوتية، والأفلام السينمائية، والأعمال السمعية والبصرية، بل جميع الأعمال المحمية بحقوق الطبع والنشر</w:t>
      </w:r>
      <w:r>
        <w:rPr>
          <w:rStyle w:val="None"/>
          <w:rFonts w:ascii="Times New Roman" w:hAnsi="Times New Roman"/>
          <w:sz w:val="24"/>
          <w:szCs w:val="24"/>
          <w:rtl/>
          <w:lang w:val="ar-SA"/>
        </w:rPr>
        <w:t>.</w:t>
      </w:r>
    </w:p>
    <w:p w14:paraId="4E612EF7"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ثم تم  وضع قانون منع السرقة الإلكترونية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NET</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1997</w:t>
      </w:r>
      <w:r>
        <w:rPr>
          <w:rStyle w:val="None"/>
          <w:rFonts w:cs="Times New Roman"/>
          <w:sz w:val="24"/>
          <w:szCs w:val="24"/>
          <w:rtl/>
          <w:lang w:val="ar-SA"/>
        </w:rPr>
        <w:t xml:space="preserve">، والذي كان بمثابة رد فعل مباشر على المخاوف المتزايدة بشأن الانتهاكات الجسيمة لحقوق الطبع والنشر في المجال الرقمي، وقد وسع قانون </w:t>
      </w:r>
      <w:r>
        <w:rPr>
          <w:rStyle w:val="None"/>
          <w:rFonts w:ascii="Times New Roman" w:hAnsi="Times New Roman"/>
          <w:sz w:val="24"/>
          <w:szCs w:val="24"/>
        </w:rPr>
        <w:t>NET</w:t>
      </w:r>
      <w:r>
        <w:rPr>
          <w:rStyle w:val="None"/>
          <w:rFonts w:cs="Times New Roman"/>
          <w:sz w:val="24"/>
          <w:szCs w:val="24"/>
          <w:rtl/>
          <w:lang w:val="ar-SA"/>
        </w:rPr>
        <w:t xml:space="preserve"> نطاق تجريم انتهاك حقوق الطبع والنشر، من خلال السماح </w:t>
      </w:r>
      <w:r>
        <w:rPr>
          <w:rStyle w:val="None"/>
          <w:rFonts w:ascii="Times New Roman" w:hAnsi="Times New Roman"/>
          <w:sz w:val="24"/>
          <w:szCs w:val="24"/>
          <w:rtl/>
          <w:lang w:val="ar-SA"/>
        </w:rPr>
        <w:t>"</w:t>
      </w:r>
      <w:r>
        <w:rPr>
          <w:rStyle w:val="None"/>
          <w:rFonts w:cs="Times New Roman"/>
          <w:sz w:val="24"/>
          <w:szCs w:val="24"/>
          <w:rtl/>
          <w:lang w:val="ar-SA"/>
        </w:rPr>
        <w:t>بمقاضاة الأفراد الذين انتهكوا قوانين حقوق الطبع والنشر الرقمية عمدًا حتى مع عدم وجود أهداف ربحية واضحة بموجب أحكام الجنايات في قانون حقوق الطبع والنشر،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كان قانون </w:t>
      </w:r>
      <w:r>
        <w:rPr>
          <w:rStyle w:val="None"/>
          <w:rFonts w:ascii="Times New Roman" w:hAnsi="Times New Roman"/>
          <w:sz w:val="24"/>
          <w:szCs w:val="24"/>
        </w:rPr>
        <w:t>NET</w:t>
      </w:r>
      <w:r>
        <w:rPr>
          <w:rStyle w:val="None"/>
          <w:rFonts w:cs="Times New Roman"/>
          <w:sz w:val="24"/>
          <w:szCs w:val="24"/>
          <w:rtl/>
          <w:lang w:val="ar-SA"/>
        </w:rPr>
        <w:t xml:space="preserve"> يهدف إلى معالجة المشكلة المتزايدة المتمثلة في الانتهاكات الجسيمة عبر الإنترنت من قبل المستخدمين النهائيين</w:t>
      </w:r>
      <w:r>
        <w:rPr>
          <w:rStyle w:val="None"/>
          <w:rFonts w:ascii="Times New Roman" w:hAnsi="Times New Roman"/>
          <w:sz w:val="24"/>
          <w:szCs w:val="24"/>
          <w:rtl/>
          <w:lang w:val="ar-SA"/>
        </w:rPr>
        <w:t>.</w:t>
      </w:r>
    </w:p>
    <w:p w14:paraId="01538D34"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وقد شكل قانون الألفية الرقمية لحقوق الملكية الفكرية، الذي صدر في عام </w:t>
      </w:r>
      <w:r>
        <w:rPr>
          <w:rStyle w:val="None"/>
          <w:rFonts w:ascii="Times New Roman" w:hAnsi="Times New Roman"/>
          <w:sz w:val="24"/>
          <w:szCs w:val="24"/>
          <w:rtl/>
          <w:lang w:val="ar-SA"/>
        </w:rPr>
        <w:t>1998</w:t>
      </w:r>
      <w:r>
        <w:rPr>
          <w:rStyle w:val="None"/>
          <w:rFonts w:cs="Times New Roman"/>
          <w:sz w:val="24"/>
          <w:szCs w:val="24"/>
          <w:rtl/>
          <w:lang w:val="ar-SA"/>
        </w:rPr>
        <w:t>، خطوةً كبيرةً أخرى في تجريم انتهاك حقوق الطبع والنشر، وقد وسع هذا القانون نطاق العقوبات الجنائية على السلوك المتعلق بالانتهاك من خلال تجريم استخدام والاتجار بالتقنيات المستخدمة للتحايل على ضوابط الوصول المثبتة في بعض الأعمال المحمية بحقوق الطبع والنشر</w:t>
      </w:r>
      <w:r>
        <w:rPr>
          <w:rStyle w:val="None"/>
          <w:rFonts w:ascii="Times New Roman" w:hAnsi="Times New Roman"/>
          <w:sz w:val="24"/>
          <w:szCs w:val="24"/>
          <w:rtl/>
          <w:lang w:val="ar-SA"/>
        </w:rPr>
        <w:t>.</w:t>
      </w:r>
    </w:p>
    <w:p w14:paraId="7D5CC4B3"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واستمر اتجاه التجريم مع قانون تعديلات مكافحة التزوير لعام </w:t>
      </w:r>
      <w:r>
        <w:rPr>
          <w:rStyle w:val="None"/>
          <w:rFonts w:ascii="Times New Roman" w:hAnsi="Times New Roman"/>
          <w:sz w:val="24"/>
          <w:szCs w:val="24"/>
          <w:rtl/>
          <w:lang w:val="ar-SA"/>
        </w:rPr>
        <w:t>2004</w:t>
      </w:r>
      <w:r>
        <w:rPr>
          <w:rStyle w:val="None"/>
          <w:rFonts w:cs="Times New Roman"/>
          <w:sz w:val="24"/>
          <w:szCs w:val="24"/>
          <w:rtl/>
          <w:lang w:val="ar-SA"/>
        </w:rPr>
        <w:t>، الذي يُجرّم الاتجار بالملصقات المقلدة، وغير المشروعة المرفقة بالأعمال المحمية بحقوق الطبع والنشر</w:t>
      </w:r>
      <w:r>
        <w:rPr>
          <w:rStyle w:val="None"/>
          <w:rFonts w:ascii="Times New Roman" w:hAnsi="Times New Roman"/>
          <w:sz w:val="24"/>
          <w:szCs w:val="24"/>
          <w:rtl/>
          <w:lang w:val="ar-SA"/>
        </w:rPr>
        <w:t>.</w:t>
      </w:r>
    </w:p>
    <w:p w14:paraId="6AF30BCD"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وقانون الترفيه العائلي لعام </w:t>
      </w:r>
      <w:r>
        <w:rPr>
          <w:rStyle w:val="None"/>
          <w:rFonts w:ascii="Times New Roman" w:hAnsi="Times New Roman"/>
          <w:sz w:val="24"/>
          <w:szCs w:val="24"/>
          <w:rtl/>
          <w:lang w:val="ar-SA"/>
        </w:rPr>
        <w:t>2005</w:t>
      </w:r>
      <w:r>
        <w:rPr>
          <w:rStyle w:val="None"/>
          <w:rFonts w:cs="Times New Roman"/>
          <w:sz w:val="24"/>
          <w:szCs w:val="24"/>
          <w:rtl/>
          <w:lang w:val="ar-SA"/>
        </w:rPr>
        <w:t>، الذي يفرض عقوباتٍ جنائيةً على أي شخص يستخدم أجهزة التسجيل السمعي البصري في دور السينما</w:t>
      </w:r>
      <w:r>
        <w:rPr>
          <w:rStyle w:val="None"/>
          <w:rFonts w:ascii="Times New Roman" w:hAnsi="Times New Roman"/>
          <w:sz w:val="24"/>
          <w:szCs w:val="24"/>
          <w:rtl/>
          <w:lang w:val="ar-SA"/>
        </w:rPr>
        <w:t>.</w:t>
      </w:r>
    </w:p>
    <w:p w14:paraId="091897C2"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وقانون إعطاء الأولوية للموارد وتنظيم الملكية الفكرية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PRO-IP</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2008</w:t>
      </w:r>
      <w:r>
        <w:rPr>
          <w:rStyle w:val="None"/>
          <w:rFonts w:cs="Times New Roman"/>
          <w:sz w:val="24"/>
          <w:szCs w:val="24"/>
          <w:rtl/>
          <w:lang w:val="ar-SA"/>
        </w:rPr>
        <w:t xml:space="preserve">، الذي </w:t>
      </w:r>
      <w:r>
        <w:rPr>
          <w:rStyle w:val="None"/>
          <w:rFonts w:ascii="Times New Roman" w:hAnsi="Times New Roman"/>
          <w:sz w:val="24"/>
          <w:szCs w:val="24"/>
          <w:rtl/>
          <w:lang w:val="ar-SA"/>
        </w:rPr>
        <w:t>"</w:t>
      </w:r>
      <w:r>
        <w:rPr>
          <w:rStyle w:val="None"/>
          <w:rFonts w:cs="Times New Roman"/>
          <w:sz w:val="24"/>
          <w:szCs w:val="24"/>
          <w:rtl/>
          <w:lang w:val="ar-SA"/>
        </w:rPr>
        <w:t>يُصنّف انتهاك حقوق الطبع والنشر بأنَّه جناية</w:t>
      </w:r>
      <w:r>
        <w:rPr>
          <w:rStyle w:val="None"/>
          <w:rFonts w:ascii="Times New Roman" w:hAnsi="Times New Roman"/>
          <w:sz w:val="24"/>
          <w:szCs w:val="24"/>
          <w:rtl/>
          <w:lang w:val="ar-SA"/>
        </w:rPr>
        <w:t>".</w:t>
      </w:r>
    </w:p>
    <w:p w14:paraId="0F82B0B1" w14:textId="77777777" w:rsidR="00454428" w:rsidRDefault="00C464EC">
      <w:pPr>
        <w:pStyle w:val="ListParagraph"/>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واستمرت العقوبات الجنائية على انتهاك حقوق الطبع والنشر في الازدياد حتى ديسمبر </w:t>
      </w:r>
      <w:r>
        <w:rPr>
          <w:rStyle w:val="None"/>
          <w:rFonts w:ascii="Times New Roman" w:hAnsi="Times New Roman"/>
          <w:sz w:val="24"/>
          <w:szCs w:val="24"/>
          <w:rtl/>
          <w:lang w:val="ar-SA"/>
        </w:rPr>
        <w:t>2020</w:t>
      </w:r>
      <w:r>
        <w:rPr>
          <w:rStyle w:val="None"/>
          <w:rFonts w:cs="Times New Roman"/>
          <w:sz w:val="24"/>
          <w:szCs w:val="24"/>
          <w:rtl/>
          <w:lang w:val="ar-SA"/>
        </w:rPr>
        <w:t xml:space="preserve">، حين صنف قانون حماية البث القانوني </w:t>
      </w:r>
      <w:r>
        <w:rPr>
          <w:rStyle w:val="None"/>
          <w:rFonts w:ascii="Times New Roman" w:hAnsi="Times New Roman"/>
          <w:sz w:val="24"/>
          <w:szCs w:val="24"/>
          <w:rtl/>
          <w:lang w:val="ar-SA"/>
        </w:rPr>
        <w:t>("</w:t>
      </w:r>
      <w:r>
        <w:rPr>
          <w:rStyle w:val="None"/>
          <w:rFonts w:ascii="Times New Roman" w:hAnsi="Times New Roman"/>
          <w:sz w:val="24"/>
          <w:szCs w:val="24"/>
        </w:rPr>
        <w:t>PLSA</w:t>
      </w:r>
      <w:r>
        <w:rPr>
          <w:rStyle w:val="None"/>
          <w:rFonts w:ascii="Times New Roman" w:hAnsi="Times New Roman"/>
          <w:sz w:val="24"/>
          <w:szCs w:val="24"/>
          <w:rtl/>
          <w:lang w:val="ar-SA"/>
        </w:rPr>
        <w:t xml:space="preserve">") </w:t>
      </w:r>
      <w:r>
        <w:rPr>
          <w:rStyle w:val="None"/>
          <w:rFonts w:cs="Times New Roman"/>
          <w:sz w:val="24"/>
          <w:szCs w:val="24"/>
          <w:rtl/>
          <w:lang w:val="ar-SA"/>
        </w:rPr>
        <w:t>انتهاك حقوق الطبع والنشر، الذي يتم عبر البث باعتباره جنايةً وزاد بشكل كبير من العقوبات الجنائية لمثل هذا الانتهاك؛ لتشمل غرامات باهظة والسجن لمدة تصل إلى خمس سنواتٍ، وتصل إلى عشر سنواتٍ للمخالفين للمرة الثانية أو كليهما</w:t>
      </w:r>
      <w:r>
        <w:rPr>
          <w:rStyle w:val="None"/>
          <w:rFonts w:ascii="Times New Roman" w:hAnsi="Times New Roman"/>
          <w:sz w:val="24"/>
          <w:szCs w:val="24"/>
          <w:rtl/>
          <w:lang w:val="ar-SA"/>
        </w:rPr>
        <w:t>.</w:t>
      </w:r>
    </w:p>
    <w:p w14:paraId="23C12728" w14:textId="77777777" w:rsidR="00454428" w:rsidRDefault="00C464EC" w:rsidP="00C72BA8">
      <w:pPr>
        <w:pStyle w:val="NormalWeb"/>
        <w:bidi/>
        <w:spacing w:before="120" w:after="120" w:line="360" w:lineRule="auto"/>
        <w:ind w:firstLine="720"/>
        <w:jc w:val="both"/>
        <w:rPr>
          <w:rStyle w:val="NoneA"/>
          <w:rFonts w:hint="default"/>
          <w:rtl/>
          <w:lang w:val="ar-SA"/>
        </w:rPr>
      </w:pPr>
      <w:r>
        <w:rPr>
          <w:rStyle w:val="None"/>
          <w:rtl/>
          <w:lang w:val="ar-SA"/>
        </w:rPr>
        <w:t xml:space="preserve">حيث تم وضع قانون منع السرقة الإلكترونية، الذي اقترحه النائب بوب غودلات؛ حيث سيعاقب من ينتهك </w:t>
      </w:r>
      <w:r>
        <w:rPr>
          <w:rStyle w:val="None"/>
          <w:rFonts w:ascii="Times New Roman" w:hAnsi="Times New Roman"/>
          <w:rtl/>
          <w:lang w:val="ar-SA"/>
        </w:rPr>
        <w:t>"</w:t>
      </w:r>
      <w:r>
        <w:rPr>
          <w:rStyle w:val="None"/>
          <w:rtl/>
          <w:lang w:val="ar-SA"/>
        </w:rPr>
        <w:t>عمدًا</w:t>
      </w:r>
      <w:r>
        <w:rPr>
          <w:rStyle w:val="None"/>
          <w:rFonts w:ascii="Times New Roman" w:hAnsi="Times New Roman"/>
          <w:rtl/>
          <w:lang w:val="ar-SA"/>
        </w:rPr>
        <w:t xml:space="preserve">" </w:t>
      </w:r>
      <w:r>
        <w:rPr>
          <w:rStyle w:val="None"/>
          <w:rtl/>
          <w:lang w:val="ar-SA"/>
        </w:rPr>
        <w:t xml:space="preserve">مواد محمية بحقوق الطبع والنشر بقيمة لا تقل عن </w:t>
      </w:r>
      <w:r>
        <w:rPr>
          <w:rStyle w:val="None"/>
          <w:rFonts w:ascii="Times New Roman" w:hAnsi="Times New Roman"/>
          <w:rtl/>
          <w:lang w:val="ar-SA"/>
        </w:rPr>
        <w:t xml:space="preserve">1000 </w:t>
      </w:r>
      <w:r>
        <w:rPr>
          <w:rStyle w:val="None"/>
          <w:rtl/>
          <w:lang w:val="ar-SA"/>
        </w:rPr>
        <w:t>دولارٍ أمريكيٍّ، حتى لو لم يستفد من هذا النشاط، وينطبق القانون على التسجيلات الصوتية، والبرامج، والنصوص، وغيرها من المواد، وقد أكدت مجموعات البرمجيات والترفيه، بما في ذلك</w:t>
      </w:r>
      <w:r>
        <w:rPr>
          <w:rStyle w:val="None"/>
          <w:rFonts w:ascii="Times New Roman" w:hAnsi="Times New Roman"/>
          <w:rtl/>
          <w:lang w:val="ar-SA"/>
        </w:rPr>
        <w:t xml:space="preserve">: </w:t>
      </w:r>
      <w:r>
        <w:rPr>
          <w:rStyle w:val="None"/>
          <w:rtl/>
          <w:lang w:val="ar-SA"/>
        </w:rPr>
        <w:t>تحالف برمجيات الأعمال، وجمعية الأفلام الأمريكية، وجمعية الناشرين الأمريكيين، أنَّ هذا التغيير ضروري لحماية البرمجيات والتسجيلات الموسيقية وغيرها من المنتجات الإبداعية، التي يسهل قرصنتها عبر الإنترنت، ويتضمن القانون الجديد نطاقًا متدرجًا للعقوبات، حسب خطورة انتهاك حقوق النشر، ويتم توضيح ذلك كالآتي</w:t>
      </w:r>
      <w:r>
        <w:rPr>
          <w:rStyle w:val="None"/>
          <w:rFonts w:ascii="Times New Roman" w:hAnsi="Times New Roman"/>
          <w:vertAlign w:val="superscript"/>
          <w:rtl/>
          <w:lang w:val="ar-SA"/>
        </w:rPr>
        <w:t>(</w:t>
      </w:r>
      <w:r>
        <w:rPr>
          <w:rStyle w:val="None"/>
          <w:vertAlign w:val="superscript"/>
          <w:rtl/>
          <w:lang w:val="ar-SA"/>
        </w:rPr>
        <w:footnoteReference w:id="435"/>
      </w:r>
      <w:r>
        <w:rPr>
          <w:rStyle w:val="None"/>
          <w:rFonts w:ascii="Times New Roman" w:hAnsi="Times New Roman"/>
          <w:vertAlign w:val="superscript"/>
          <w:rtl/>
          <w:lang w:val="ar-SA"/>
        </w:rPr>
        <w:t>)</w:t>
      </w:r>
      <w:r>
        <w:rPr>
          <w:rStyle w:val="None"/>
          <w:rFonts w:ascii="Times New Roman" w:hAnsi="Times New Roman"/>
          <w:rtl/>
          <w:lang w:val="ar-SA"/>
        </w:rPr>
        <w:t>:</w:t>
      </w:r>
    </w:p>
    <w:p w14:paraId="4407ED7E" w14:textId="77777777" w:rsidR="00454428" w:rsidRDefault="00C464EC">
      <w:pPr>
        <w:pStyle w:val="ListParagraph"/>
        <w:numPr>
          <w:ilvl w:val="0"/>
          <w:numId w:val="18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حال إنتاج نسخة واحدة، أو أكثر بقيمة إجمالية للبيع بالتجزئة تتراوح بين </w:t>
      </w:r>
      <w:r>
        <w:rPr>
          <w:rStyle w:val="None"/>
          <w:rFonts w:ascii="Times New Roman" w:hAnsi="Times New Roman"/>
          <w:sz w:val="24"/>
          <w:szCs w:val="24"/>
          <w:rtl/>
          <w:lang w:val="ar-SA"/>
        </w:rPr>
        <w:t xml:space="preserve">1000 </w:t>
      </w:r>
      <w:r>
        <w:rPr>
          <w:rStyle w:val="None"/>
          <w:rFonts w:cs="Times New Roman"/>
          <w:sz w:val="24"/>
          <w:szCs w:val="24"/>
          <w:rtl/>
          <w:lang w:val="ar-SA"/>
        </w:rPr>
        <w:t>دولارٍ أمريكيٍّ، و</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يُعاقب المخالف بالسجن لمدة تصل إلى عام واحد وغرامة تصل إلى </w:t>
      </w:r>
      <w:r>
        <w:rPr>
          <w:rStyle w:val="None"/>
          <w:rFonts w:ascii="Times New Roman" w:hAnsi="Times New Roman"/>
          <w:sz w:val="24"/>
          <w:szCs w:val="24"/>
          <w:rtl/>
          <w:lang w:val="ar-SA"/>
        </w:rPr>
        <w:t xml:space="preserve">100,000 </w:t>
      </w:r>
      <w:r>
        <w:rPr>
          <w:rStyle w:val="None"/>
          <w:rFonts w:cs="Times New Roman"/>
          <w:sz w:val="24"/>
          <w:szCs w:val="24"/>
          <w:rtl/>
          <w:lang w:val="ar-SA"/>
        </w:rPr>
        <w:t>دولارٍ أمريكيٍّ</w:t>
      </w:r>
      <w:r>
        <w:rPr>
          <w:rStyle w:val="None"/>
          <w:rFonts w:ascii="Times New Roman" w:hAnsi="Times New Roman"/>
          <w:sz w:val="24"/>
          <w:szCs w:val="24"/>
          <w:rtl/>
          <w:lang w:val="ar-SA"/>
        </w:rPr>
        <w:t>.</w:t>
      </w:r>
    </w:p>
    <w:p w14:paraId="7F2ECAF1" w14:textId="77777777" w:rsidR="00454428" w:rsidRDefault="00C464EC">
      <w:pPr>
        <w:pStyle w:val="ListParagraph"/>
        <w:numPr>
          <w:ilvl w:val="0"/>
          <w:numId w:val="18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حال إنتاج نسخ بقيمة إجمالية للبيع بالتجزئة بقيمة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أو تزيد، يُعاقب المخالف بالسجن لمدة تصل إلى ثلاث سنواتٍ، وغرامة تصل إلى </w:t>
      </w:r>
      <w:r>
        <w:rPr>
          <w:rStyle w:val="None"/>
          <w:rFonts w:ascii="Times New Roman" w:hAnsi="Times New Roman"/>
          <w:sz w:val="24"/>
          <w:szCs w:val="24"/>
          <w:rtl/>
          <w:lang w:val="ar-SA"/>
        </w:rPr>
        <w:t xml:space="preserve">250,000 </w:t>
      </w:r>
      <w:r>
        <w:rPr>
          <w:rStyle w:val="None"/>
          <w:rFonts w:cs="Times New Roman"/>
          <w:sz w:val="24"/>
          <w:szCs w:val="24"/>
          <w:rtl/>
          <w:lang w:val="ar-SA"/>
        </w:rPr>
        <w:t>دولارٍ أمريكيٍّ، وقد يؤدي تكرار المخالفة إلى السجن لمدة تصل إلى ست سنواتٍ</w:t>
      </w:r>
      <w:r>
        <w:rPr>
          <w:rStyle w:val="None"/>
          <w:rFonts w:ascii="Times New Roman" w:hAnsi="Times New Roman"/>
          <w:sz w:val="24"/>
          <w:szCs w:val="24"/>
          <w:rtl/>
          <w:lang w:val="ar-SA"/>
        </w:rPr>
        <w:t>.</w:t>
      </w:r>
    </w:p>
    <w:p w14:paraId="412C8D64" w14:textId="77777777" w:rsidR="00454428" w:rsidRDefault="00C464EC" w:rsidP="00C72BA8">
      <w:pPr>
        <w:pStyle w:val="NormalWeb"/>
        <w:bidi/>
        <w:spacing w:before="120" w:after="120" w:line="360" w:lineRule="auto"/>
        <w:ind w:firstLine="720"/>
        <w:jc w:val="both"/>
        <w:rPr>
          <w:rStyle w:val="NoneA"/>
          <w:rFonts w:hint="default"/>
          <w:rtl/>
          <w:lang w:val="ar-SA"/>
        </w:rPr>
      </w:pPr>
      <w:r>
        <w:rPr>
          <w:rStyle w:val="None"/>
          <w:rtl/>
          <w:lang w:val="ar-SA"/>
        </w:rPr>
        <w:t>غير قانون منع السرقة الإلكترونية أسسَ انتهاك حقوق الطبع والنشر الجنائي جذريًا، فقبل هذا القانون، كان انتهاك حقوق الطبع والنشر الجنائي يستهدف المُنتهكين الذين يحققون أرباحًا، أما الآن، فيُركز القانون على خسائر أصحاب حقوق الطبع والنشر، مُعاملًا انتهاك حقوق الطبع والنشر الجنائي كنوع من السرقة، مثل</w:t>
      </w:r>
      <w:r>
        <w:rPr>
          <w:rStyle w:val="None"/>
          <w:rFonts w:ascii="Times New Roman" w:hAnsi="Times New Roman"/>
          <w:rtl/>
          <w:lang w:val="ar-SA"/>
        </w:rPr>
        <w:t xml:space="preserve">: </w:t>
      </w:r>
      <w:r>
        <w:rPr>
          <w:rStyle w:val="None"/>
          <w:rtl/>
          <w:lang w:val="ar-SA"/>
        </w:rPr>
        <w:t>سرقة المتاجر، كما أنَّه قبل هذا القانون، كان انتهاك حقوق الطبع والنشر الجنائي يشترط ارتكاب انتهاكات متعمدة؛ لتحقيق منفعة تجارية أو مكاسب مالية خاصة، وقد ساعد هذا القانون أصحاب حقوق الطبع والنشر بأربع طرقٍ رئيسيةٍ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6"/>
      </w:r>
      <w:r>
        <w:rPr>
          <w:rStyle w:val="None"/>
          <w:rFonts w:ascii="Times New Roman" w:hAnsi="Times New Roman"/>
          <w:vertAlign w:val="superscript"/>
          <w:rtl/>
          <w:lang w:val="ar-SA"/>
        </w:rPr>
        <w:t>)</w:t>
      </w:r>
    </w:p>
    <w:p w14:paraId="65390952" w14:textId="77777777" w:rsidR="00454428" w:rsidRDefault="00C464EC">
      <w:pPr>
        <w:pStyle w:val="ListParagraph"/>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تجريم انتهاك حقوق الملكية الفكرية للمنظمات غير الربحية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إنَّه قبل هذا القانون، كان من الصعب مقاضاة الأفراد الذين يمارسون القرصنة الإلكترونية على نطاق واسع طالما لم يستفيدوا منها بشكل مباشر، أما القانون </w:t>
      </w:r>
      <w:r>
        <w:rPr>
          <w:rStyle w:val="None"/>
          <w:rFonts w:cs="Times New Roman"/>
          <w:sz w:val="24"/>
          <w:szCs w:val="24"/>
          <w:rtl/>
          <w:lang w:val="ar-SA"/>
        </w:rPr>
        <w:lastRenderedPageBreak/>
        <w:t>الجديد</w:t>
      </w:r>
      <w:r>
        <w:rPr>
          <w:rStyle w:val="None"/>
          <w:rFonts w:ascii="Times New Roman" w:hAnsi="Times New Roman"/>
          <w:sz w:val="24"/>
          <w:szCs w:val="24"/>
          <w:rtl/>
          <w:lang w:val="ar-SA"/>
        </w:rPr>
        <w:t xml:space="preserve">: </w:t>
      </w:r>
      <w:r>
        <w:rPr>
          <w:rStyle w:val="None"/>
          <w:rFonts w:cs="Times New Roman"/>
          <w:sz w:val="24"/>
          <w:szCs w:val="24"/>
          <w:rtl/>
          <w:lang w:val="ar-SA"/>
        </w:rPr>
        <w:t>فقد جعل إعادة إنتاج، أو توزيع الأعمال المحمية بحقوق الطبع والنشر جريمة جنائية، حتى لو لم يكن القصد هو الربح المالي</w:t>
      </w:r>
      <w:r>
        <w:rPr>
          <w:rStyle w:val="None"/>
          <w:rFonts w:ascii="Times New Roman" w:hAnsi="Times New Roman"/>
          <w:sz w:val="24"/>
          <w:szCs w:val="24"/>
          <w:rtl/>
          <w:lang w:val="ar-SA"/>
        </w:rPr>
        <w:t>.</w:t>
      </w:r>
    </w:p>
    <w:p w14:paraId="58278061" w14:textId="77777777" w:rsidR="00454428" w:rsidRDefault="00C464EC">
      <w:pPr>
        <w:pStyle w:val="ListParagraph"/>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توسيع تعريف </w:t>
      </w:r>
      <w:r>
        <w:rPr>
          <w:rStyle w:val="None"/>
          <w:rFonts w:ascii="Times New Roman" w:hAnsi="Times New Roman"/>
          <w:b/>
          <w:bCs/>
          <w:sz w:val="24"/>
          <w:szCs w:val="24"/>
          <w:rtl/>
          <w:lang w:val="ar-SA"/>
        </w:rPr>
        <w:t>"</w:t>
      </w:r>
      <w:r>
        <w:rPr>
          <w:rStyle w:val="None"/>
          <w:rFonts w:cs="Times New Roman"/>
          <w:b/>
          <w:bCs/>
          <w:sz w:val="24"/>
          <w:szCs w:val="24"/>
          <w:rtl/>
          <w:lang w:val="ar-SA"/>
        </w:rPr>
        <w:t>الكسب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وسّع القانون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w:t>
      </w:r>
      <w:r>
        <w:rPr>
          <w:rStyle w:val="None"/>
          <w:rFonts w:cs="Times New Roman"/>
          <w:sz w:val="24"/>
          <w:szCs w:val="24"/>
          <w:rtl/>
          <w:lang w:val="ar-SA"/>
        </w:rPr>
        <w:t>؛ ليشمل أي شيء ذي قيمة،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تبادل الأعمال المحمية بحقوق الطبع والنشر، وكان هذا التغيير يستهدف تحديدًا مجتمعات </w:t>
      </w:r>
      <w:r>
        <w:rPr>
          <w:rStyle w:val="None"/>
          <w:rFonts w:ascii="Times New Roman" w:hAnsi="Times New Roman"/>
          <w:sz w:val="24"/>
          <w:szCs w:val="24"/>
          <w:rtl/>
          <w:lang w:val="ar-SA"/>
        </w:rPr>
        <w:t>"</w:t>
      </w:r>
      <w:r>
        <w:rPr>
          <w:rStyle w:val="None"/>
          <w:rFonts w:cs="Times New Roman"/>
          <w:sz w:val="24"/>
          <w:szCs w:val="24"/>
          <w:rtl/>
          <w:lang w:val="ar-SA"/>
        </w:rPr>
        <w:t>البرمجيات غير الهادفة للربح</w:t>
      </w:r>
      <w:r>
        <w:rPr>
          <w:rStyle w:val="None"/>
          <w:rFonts w:ascii="Times New Roman" w:hAnsi="Times New Roman"/>
          <w:sz w:val="24"/>
          <w:szCs w:val="24"/>
          <w:rtl/>
          <w:lang w:val="ar-SA"/>
        </w:rPr>
        <w:t>"</w:t>
      </w:r>
      <w:r>
        <w:rPr>
          <w:rStyle w:val="None"/>
          <w:rFonts w:cs="Times New Roman"/>
          <w:sz w:val="24"/>
          <w:szCs w:val="24"/>
          <w:rtl/>
          <w:lang w:val="ar-SA"/>
        </w:rPr>
        <w:t>؛ حيث يتبادل الأعضاء برامج مقرصنة دون مقابل، معتبرين هذا التبادل شكلًا من أشكال الربح</w:t>
      </w:r>
      <w:r>
        <w:rPr>
          <w:rStyle w:val="None"/>
          <w:rFonts w:ascii="Times New Roman" w:hAnsi="Times New Roman"/>
          <w:sz w:val="24"/>
          <w:szCs w:val="24"/>
          <w:rtl/>
          <w:lang w:val="ar-SA"/>
        </w:rPr>
        <w:t>.</w:t>
      </w:r>
    </w:p>
    <w:p w14:paraId="7E74F129" w14:textId="77777777" w:rsidR="00454428" w:rsidRDefault="00C464EC">
      <w:pPr>
        <w:pStyle w:val="ListParagraph"/>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تحديد حد أدنى للقيمة</w:t>
      </w:r>
      <w:r>
        <w:rPr>
          <w:rStyle w:val="None"/>
          <w:rFonts w:ascii="Times New Roman" w:hAnsi="Times New Roman"/>
          <w:b/>
          <w:bCs/>
          <w:sz w:val="24"/>
          <w:szCs w:val="24"/>
          <w:rtl/>
          <w:lang w:val="ar-SA"/>
        </w:rPr>
        <w:t>:</w:t>
      </w:r>
      <w:r>
        <w:rPr>
          <w:rStyle w:val="None"/>
          <w:rFonts w:cs="Times New Roman"/>
          <w:sz w:val="24"/>
          <w:szCs w:val="24"/>
          <w:rtl/>
          <w:lang w:val="ar-SA"/>
        </w:rPr>
        <w:t xml:space="preserve"> وضع القانون معيارًا واضحًا للانتهاك الجنائي؛ حيث نص على أنَّ إعادة إنتاج أو توزيع ما لا يقل عن عشر نسخٍ، أو أكثر، من عمل بقيمة إجمالية للبيع بالتجزئة تتجاوز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خلال فترة </w:t>
      </w:r>
      <w:r>
        <w:rPr>
          <w:rStyle w:val="None"/>
          <w:rFonts w:ascii="Times New Roman" w:hAnsi="Times New Roman"/>
          <w:sz w:val="24"/>
          <w:szCs w:val="24"/>
          <w:rtl/>
          <w:lang w:val="ar-SA"/>
        </w:rPr>
        <w:t xml:space="preserve">180 </w:t>
      </w:r>
      <w:r>
        <w:rPr>
          <w:rStyle w:val="None"/>
          <w:rFonts w:cs="Times New Roman"/>
          <w:sz w:val="24"/>
          <w:szCs w:val="24"/>
          <w:rtl/>
          <w:lang w:val="ar-SA"/>
        </w:rPr>
        <w:t>يومًا يعتبر انتهاكًا جنائيًا</w:t>
      </w:r>
      <w:r>
        <w:rPr>
          <w:rStyle w:val="None"/>
          <w:rFonts w:ascii="Times New Roman" w:hAnsi="Times New Roman"/>
          <w:sz w:val="24"/>
          <w:szCs w:val="24"/>
          <w:rtl/>
          <w:lang w:val="ar-SA"/>
        </w:rPr>
        <w:t>.</w:t>
      </w:r>
    </w:p>
    <w:p w14:paraId="6754AF9F" w14:textId="77777777" w:rsidR="00454428" w:rsidRDefault="00C464EC">
      <w:pPr>
        <w:pStyle w:val="ListParagraph"/>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تشديد العقوبات</w:t>
      </w:r>
      <w:r>
        <w:rPr>
          <w:rStyle w:val="None"/>
          <w:rFonts w:ascii="Times New Roman" w:hAnsi="Times New Roman"/>
          <w:b/>
          <w:bCs/>
          <w:sz w:val="24"/>
          <w:szCs w:val="24"/>
          <w:rtl/>
          <w:lang w:val="ar-SA"/>
        </w:rPr>
        <w:t>:</w:t>
      </w:r>
      <w:r>
        <w:rPr>
          <w:rStyle w:val="None"/>
          <w:rFonts w:cs="Times New Roman"/>
          <w:sz w:val="24"/>
          <w:szCs w:val="24"/>
          <w:rtl/>
          <w:lang w:val="ar-SA"/>
        </w:rPr>
        <w:t xml:space="preserve"> شدّد القانون العقوبات الجنائية على انتهاك حقوق النشر، ووجّه لجنة الأحكام الأمريكية لوضع إرشادات أكثر صرامةً لمثل هذه القضايا، ويستهدف القانون القرصنة عمومًا، مستشهدًا بتقديرات قطاع البرمجيات التي تُشير إلى أنَّ تقليد البرمجيات وقرصنتها كلفا أصحاب حقوق الطبع والنشر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مليار دولارٍ عام </w:t>
      </w:r>
      <w:r>
        <w:rPr>
          <w:rStyle w:val="None"/>
          <w:rFonts w:ascii="Times New Roman" w:hAnsi="Times New Roman"/>
          <w:sz w:val="24"/>
          <w:szCs w:val="24"/>
          <w:rtl/>
          <w:lang w:val="ar-SA"/>
        </w:rPr>
        <w:t xml:space="preserve">1996. </w:t>
      </w:r>
    </w:p>
    <w:p w14:paraId="36E25F06" w14:textId="77777777" w:rsidR="00454428" w:rsidRDefault="00C464EC" w:rsidP="00C72BA8">
      <w:pPr>
        <w:pStyle w:val="NormalWeb"/>
        <w:bidi/>
        <w:spacing w:before="120" w:after="120" w:line="360" w:lineRule="auto"/>
        <w:ind w:firstLine="720"/>
        <w:jc w:val="both"/>
        <w:rPr>
          <w:rStyle w:val="NoneA"/>
          <w:rFonts w:hint="default"/>
          <w:rtl/>
          <w:lang w:val="ar-SA"/>
        </w:rPr>
      </w:pPr>
      <w:r>
        <w:rPr>
          <w:rStyle w:val="None"/>
          <w:rtl/>
          <w:lang w:val="ar-SA"/>
        </w:rPr>
        <w:t xml:space="preserve">حيث إنَّ يوم الثلاثاء، الموافق </w:t>
      </w:r>
      <w:r>
        <w:rPr>
          <w:rStyle w:val="None"/>
          <w:rFonts w:ascii="Times New Roman" w:hAnsi="Times New Roman"/>
          <w:rtl/>
          <w:lang w:val="ar-SA"/>
        </w:rPr>
        <w:t xml:space="preserve">16 </w:t>
      </w:r>
      <w:r>
        <w:rPr>
          <w:rStyle w:val="None"/>
          <w:rtl/>
          <w:lang w:val="ar-SA"/>
        </w:rPr>
        <w:t xml:space="preserve">ديسمبر </w:t>
      </w:r>
      <w:r>
        <w:rPr>
          <w:rStyle w:val="None"/>
          <w:rFonts w:ascii="Times New Roman" w:hAnsi="Times New Roman"/>
          <w:rtl/>
          <w:lang w:val="ar-SA"/>
        </w:rPr>
        <w:t>1997</w:t>
      </w:r>
      <w:r>
        <w:rPr>
          <w:rStyle w:val="None"/>
          <w:rtl/>
          <w:lang w:val="ar-SA"/>
        </w:rPr>
        <w:t xml:space="preserve">، وقّع الرئيس على قانون </w:t>
      </w:r>
      <w:r>
        <w:rPr>
          <w:rStyle w:val="None"/>
          <w:rFonts w:ascii="Times New Roman" w:hAnsi="Times New Roman"/>
          <w:rtl/>
          <w:lang w:val="ar-SA"/>
        </w:rPr>
        <w:t>"</w:t>
      </w:r>
      <w:r>
        <w:rPr>
          <w:rStyle w:val="None"/>
          <w:rtl/>
          <w:lang w:val="ar-SA"/>
        </w:rPr>
        <w:t>منع السرقة الإلكترونية</w:t>
      </w:r>
      <w:r>
        <w:rPr>
          <w:rStyle w:val="None"/>
          <w:rFonts w:ascii="Times New Roman" w:hAnsi="Times New Roman"/>
          <w:rtl/>
          <w:lang w:val="ar-SA"/>
        </w:rPr>
        <w:t xml:space="preserve">" </w:t>
      </w:r>
      <w:r>
        <w:rPr>
          <w:rStyle w:val="None"/>
          <w:rtl/>
          <w:lang w:val="ar-SA"/>
        </w:rPr>
        <w:t xml:space="preserve">رقم </w:t>
      </w:r>
      <w:r>
        <w:rPr>
          <w:rStyle w:val="None"/>
          <w:rFonts w:ascii="Times New Roman" w:hAnsi="Times New Roman"/>
          <w:rtl/>
          <w:lang w:val="ar-SA"/>
        </w:rPr>
        <w:t>2265</w:t>
      </w:r>
      <w:r>
        <w:rPr>
          <w:rStyle w:val="None"/>
          <w:rtl/>
          <w:lang w:val="ar-SA"/>
        </w:rPr>
        <w:t xml:space="preserve">، ويُعزّز قانون منع السرقة الإلكترونية قوانين حقوق الطبع والنشر والعلامات التجارية، موفرًا حمايةً مُعزّزة في العصر الرقمي بطريقة دقيقة ومتوازنة؛ حيث عُدّلت الأحكام الجنائية المتعلقة بحقوق الطبع والنشر والعلامات التجارية في البابين </w:t>
      </w:r>
      <w:r>
        <w:rPr>
          <w:rStyle w:val="None"/>
          <w:rFonts w:ascii="Times New Roman" w:hAnsi="Times New Roman"/>
          <w:rtl/>
          <w:lang w:val="ar-SA"/>
        </w:rPr>
        <w:t xml:space="preserve">17 </w:t>
      </w:r>
      <w:r>
        <w:rPr>
          <w:rStyle w:val="None"/>
          <w:rtl/>
          <w:lang w:val="ar-SA"/>
        </w:rPr>
        <w:t>و</w:t>
      </w:r>
      <w:r>
        <w:rPr>
          <w:rStyle w:val="None"/>
          <w:rFonts w:ascii="Times New Roman" w:hAnsi="Times New Roman"/>
          <w:rtl/>
          <w:lang w:val="ar-SA"/>
        </w:rPr>
        <w:t xml:space="preserve">18 </w:t>
      </w:r>
      <w:r>
        <w:rPr>
          <w:rStyle w:val="None"/>
          <w:rtl/>
          <w:lang w:val="ar-SA"/>
        </w:rPr>
        <w:t>من قانون الولايات المتحدة على النحو التالي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7"/>
      </w:r>
      <w:r>
        <w:rPr>
          <w:rStyle w:val="None"/>
          <w:rFonts w:ascii="Times New Roman" w:hAnsi="Times New Roman"/>
          <w:vertAlign w:val="superscript"/>
          <w:rtl/>
          <w:lang w:val="ar-SA"/>
        </w:rPr>
        <w:t>)</w:t>
      </w:r>
    </w:p>
    <w:p w14:paraId="2564311D"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يسمح للوزارة بمقاضاة الأفراد بموجب أحكام الجنح أو الجنايات في القضايا التي تنطوي على إعادة إنتاج، أو توزيع غير قانوني واسع النطاق لأعمال محمية بحقوق الطبع والنشر؛ حيث يتصرف المُنتهكون عمدًا دون دافع ربحي واضح</w:t>
      </w:r>
      <w:r>
        <w:rPr>
          <w:rStyle w:val="None"/>
          <w:rFonts w:ascii="Times New Roman" w:hAnsi="Times New Roman"/>
          <w:sz w:val="24"/>
          <w:szCs w:val="24"/>
          <w:rtl/>
          <w:lang w:val="ar-SA"/>
        </w:rPr>
        <w:t>.</w:t>
      </w:r>
    </w:p>
    <w:p w14:paraId="0FBCE767"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الإعفاء من الملاحقة الجنائية في حال إعادة الإنتاج، أو التوزيع غير المتعمد، أو الذي يُشكل نسخًا غير تجاري على نطاق صغير بقيمة إجمالية للبيع بالتجزئة أقل من ١٠٠٠ دولارٍ أمريكيٍّ</w:t>
      </w:r>
      <w:r>
        <w:rPr>
          <w:rStyle w:val="None"/>
          <w:rFonts w:ascii="Times New Roman" w:hAnsi="Times New Roman"/>
          <w:sz w:val="24"/>
          <w:szCs w:val="24"/>
          <w:rtl/>
          <w:lang w:val="ar-SA"/>
        </w:rPr>
        <w:t>.</w:t>
      </w:r>
    </w:p>
    <w:p w14:paraId="5D0600EE"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يجب أنْ يتضمن الانتهاك المتعمد أدلةً تتجاوز مجرد إعادة الإنتاج أو التوزيع المتعمد للأعمال المحمية بحقوق الطبع والنشر</w:t>
      </w:r>
      <w:r>
        <w:rPr>
          <w:rStyle w:val="None"/>
          <w:rFonts w:ascii="Times New Roman" w:hAnsi="Times New Roman"/>
          <w:sz w:val="24"/>
          <w:szCs w:val="24"/>
          <w:rtl/>
          <w:lang w:val="ar-SA"/>
        </w:rPr>
        <w:t>.</w:t>
      </w:r>
    </w:p>
    <w:p w14:paraId="4A5E923C"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إعادة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قانون حقوق الطبع والنشر؛ ليشمل </w:t>
      </w:r>
      <w:r>
        <w:rPr>
          <w:rStyle w:val="None"/>
          <w:rFonts w:ascii="Times New Roman" w:hAnsi="Times New Roman"/>
          <w:sz w:val="24"/>
          <w:szCs w:val="24"/>
          <w:rtl/>
          <w:lang w:val="ar-SA"/>
        </w:rPr>
        <w:t>"</w:t>
      </w:r>
      <w:r>
        <w:rPr>
          <w:rStyle w:val="None"/>
          <w:rFonts w:cs="Times New Roman"/>
          <w:sz w:val="24"/>
          <w:szCs w:val="24"/>
          <w:rtl/>
          <w:lang w:val="ar-SA"/>
        </w:rPr>
        <w:t>استلام، أو توقع استلام، أي شيء ذي قيمة، من خلال استغلال أعمال محمية بحقوق الطبع والنشر</w:t>
      </w:r>
      <w:r>
        <w:rPr>
          <w:rStyle w:val="None"/>
          <w:rFonts w:ascii="Times New Roman" w:hAnsi="Times New Roman"/>
          <w:sz w:val="24"/>
          <w:szCs w:val="24"/>
          <w:rtl/>
          <w:lang w:val="ar-SA"/>
        </w:rPr>
        <w:t>"</w:t>
      </w:r>
      <w:r>
        <w:rPr>
          <w:rStyle w:val="None"/>
          <w:rFonts w:cs="Times New Roman"/>
          <w:sz w:val="24"/>
          <w:szCs w:val="24"/>
          <w:rtl/>
          <w:lang w:val="ar-SA"/>
        </w:rPr>
        <w:t>، وذلك لضمان شمول القانون للأشخاص الذين يتاجرون بشكل غير قانوني بالأعمال المحمية بحقوق الطبع والنشر باستخدام المقايضة بدلًا من النقد</w:t>
      </w:r>
      <w:r>
        <w:rPr>
          <w:rStyle w:val="None"/>
          <w:rFonts w:ascii="Times New Roman" w:hAnsi="Times New Roman"/>
          <w:sz w:val="24"/>
          <w:szCs w:val="24"/>
          <w:rtl/>
          <w:lang w:val="ar-SA"/>
        </w:rPr>
        <w:t>.</w:t>
      </w:r>
    </w:p>
    <w:p w14:paraId="291CF797"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التأكيد على أنَّ النسخ والتوزيع يشملان الوسائل الإلكترونية والملموسة</w:t>
      </w:r>
      <w:r>
        <w:rPr>
          <w:rStyle w:val="None"/>
          <w:rFonts w:ascii="Times New Roman" w:hAnsi="Times New Roman"/>
          <w:sz w:val="24"/>
          <w:szCs w:val="24"/>
          <w:rtl/>
          <w:lang w:val="ar-SA"/>
        </w:rPr>
        <w:t>.</w:t>
      </w:r>
    </w:p>
    <w:p w14:paraId="575335FE"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تمديد فترة التقادم من ثلاث إلى خمس سنواتٍ؛ ممَّا يجعل قانون حقوق الطبع والنشر الجنائي متسقًا مع معظم القوانين الجنائية الأخرى</w:t>
      </w:r>
      <w:r>
        <w:rPr>
          <w:rStyle w:val="None"/>
          <w:rFonts w:ascii="Times New Roman" w:hAnsi="Times New Roman"/>
          <w:sz w:val="24"/>
          <w:szCs w:val="24"/>
          <w:rtl/>
          <w:lang w:val="ar-SA"/>
        </w:rPr>
        <w:t>.</w:t>
      </w:r>
    </w:p>
    <w:p w14:paraId="2E4B3ED2"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وضع حكم خاص بتكرار الجريمة؛ حيث يتم تشديد العقوبات في حال ارتكاب جرائم حقوق الطبع والنشر للمرة الثانية أو لمرات لاحقة</w:t>
      </w:r>
      <w:r>
        <w:rPr>
          <w:rStyle w:val="None"/>
          <w:rFonts w:ascii="Times New Roman" w:hAnsi="Times New Roman"/>
          <w:sz w:val="24"/>
          <w:szCs w:val="24"/>
          <w:rtl/>
          <w:lang w:val="ar-SA"/>
        </w:rPr>
        <w:t>.</w:t>
      </w:r>
    </w:p>
    <w:p w14:paraId="17B5C732"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الاعتراف بحقوق الضحايا من خلال السماح للأطراف المالكة بتقديم بيان ضرر يوضح مدى الأذى الذي لحق بالضحية إلى المحكمة التي تصدر الحكم</w:t>
      </w:r>
      <w:r>
        <w:rPr>
          <w:rStyle w:val="None"/>
          <w:rFonts w:ascii="Times New Roman" w:hAnsi="Times New Roman"/>
          <w:sz w:val="24"/>
          <w:szCs w:val="24"/>
          <w:rtl/>
          <w:lang w:val="ar-SA"/>
        </w:rPr>
        <w:t>.</w:t>
      </w:r>
    </w:p>
    <w:p w14:paraId="33A798E4" w14:textId="77777777" w:rsidR="00454428" w:rsidRDefault="00C464EC">
      <w:pPr>
        <w:pStyle w:val="ListParagraph"/>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القوة الرادعة لقوانين حقوق الطبع والنشر الجنائية، من خلال توجيه لجنة إصدار الأحكام؛ لتعديل دليل إصدار الأحكام بشأن انتهاكات حقوق الطبع والنشر والعلامات التجارية، بما يسمح للمحاكم بالنظر في كمية السلع المخالفة وقيمتها التجارية</w:t>
      </w:r>
      <w:r>
        <w:rPr>
          <w:rStyle w:val="None"/>
          <w:rFonts w:ascii="Times New Roman" w:hAnsi="Times New Roman"/>
          <w:sz w:val="24"/>
          <w:szCs w:val="24"/>
          <w:rtl/>
          <w:lang w:val="ar-SA"/>
        </w:rPr>
        <w:t>.</w:t>
      </w:r>
    </w:p>
    <w:p w14:paraId="3FA1207F" w14:textId="77777777" w:rsidR="00454428" w:rsidRDefault="00C464EC" w:rsidP="00C72BA8">
      <w:pPr>
        <w:pStyle w:val="NormalWeb"/>
        <w:bidi/>
        <w:spacing w:before="120" w:after="120" w:line="360" w:lineRule="auto"/>
        <w:ind w:firstLine="720"/>
        <w:jc w:val="both"/>
        <w:rPr>
          <w:rStyle w:val="None"/>
          <w:rFonts w:hint="default"/>
          <w:rtl/>
        </w:rPr>
      </w:pPr>
      <w:r>
        <w:rPr>
          <w:rStyle w:val="None"/>
          <w:rtl/>
          <w:lang w:val="ar-SA"/>
        </w:rPr>
        <w:t xml:space="preserve">حيث إنَّ الفرد الذي يقوم بمخالفة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الخاصة بحماية الملكية الفكرية الأمريكية، يكون مسئولًا عن أحد أنواع التعويضات التالية، والتي يختارها الطرف المتضرر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8"/>
      </w:r>
      <w:r>
        <w:rPr>
          <w:rStyle w:val="None"/>
          <w:rFonts w:ascii="Times New Roman" w:hAnsi="Times New Roman"/>
          <w:vertAlign w:val="superscript"/>
          <w:rtl/>
          <w:lang w:val="ar-SA"/>
        </w:rPr>
        <w:t>)</w:t>
      </w:r>
    </w:p>
    <w:p w14:paraId="23686E6C" w14:textId="77777777" w:rsidR="00454428" w:rsidRDefault="00C464EC">
      <w:pPr>
        <w:pStyle w:val="ListParagraph"/>
        <w:numPr>
          <w:ilvl w:val="0"/>
          <w:numId w:val="19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حيث تمنح المحكمة للطرف المتضرر الحق في تعويض عن الأضرار الفعلية، التي تتمثل في الخسائر التي تكبدها نتيجة للانتهاك، فضلًا عن التعويض عن الأرباح الإضافية التي تحصل عليها المخالف بسبب الانتهاك</w:t>
      </w:r>
      <w:r>
        <w:rPr>
          <w:rStyle w:val="None"/>
          <w:rFonts w:ascii="Times New Roman" w:hAnsi="Times New Roman"/>
          <w:sz w:val="24"/>
          <w:szCs w:val="24"/>
          <w:rtl/>
          <w:lang w:val="ar-SA"/>
        </w:rPr>
        <w:t>.</w:t>
      </w:r>
    </w:p>
    <w:p w14:paraId="7860E73E" w14:textId="77777777" w:rsidR="00454428" w:rsidRDefault="00C464EC">
      <w:pPr>
        <w:pStyle w:val="ListParagraph"/>
        <w:numPr>
          <w:ilvl w:val="0"/>
          <w:numId w:val="19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يمكن للطرف المتضرر أنْ يختار الحصول على الأضرار القانونية في أي وقت قبل صدور الحكم النهائي، وتختلف المبالغ التي يتحصل عليها حسب نوع الانتهاك؛ حيث يتم دفع مبلغ لا يقل عن </w:t>
      </w:r>
      <w:r>
        <w:rPr>
          <w:rStyle w:val="None"/>
          <w:rFonts w:ascii="Times New Roman" w:hAnsi="Times New Roman"/>
          <w:sz w:val="24"/>
          <w:szCs w:val="24"/>
          <w:rtl/>
          <w:lang w:val="ar-SA"/>
        </w:rPr>
        <w:t xml:space="preserve">200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لكل فعل مخالف من النوع البريء، أو غير المتعمد، بينما يتم دفع مبلغ لا يقل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25,000 </w:t>
      </w:r>
      <w:r>
        <w:rPr>
          <w:rStyle w:val="None"/>
          <w:rFonts w:cs="Times New Roman"/>
          <w:sz w:val="24"/>
          <w:szCs w:val="24"/>
          <w:rtl/>
          <w:lang w:val="ar-SA"/>
        </w:rPr>
        <w:t>دولارٍ لكل انتهاك متعمد</w:t>
      </w:r>
      <w:r>
        <w:rPr>
          <w:rStyle w:val="None"/>
          <w:rFonts w:ascii="Times New Roman" w:hAnsi="Times New Roman"/>
          <w:sz w:val="24"/>
          <w:szCs w:val="24"/>
          <w:rtl/>
          <w:lang w:val="ar-SA"/>
        </w:rPr>
        <w:t>.</w:t>
      </w:r>
    </w:p>
    <w:p w14:paraId="389436B3" w14:textId="77777777" w:rsidR="00454428" w:rsidRDefault="00C464EC">
      <w:pPr>
        <w:pStyle w:val="ListParagraph"/>
        <w:numPr>
          <w:ilvl w:val="0"/>
          <w:numId w:val="195"/>
        </w:numPr>
        <w:spacing w:before="120" w:after="120" w:line="360" w:lineRule="auto"/>
        <w:jc w:val="both"/>
        <w:rPr>
          <w:rFonts w:cs="Times New Roman" w:hint="default"/>
          <w:color w:val="FF0000"/>
          <w:sz w:val="24"/>
          <w:szCs w:val="24"/>
          <w:rtl/>
          <w:lang w:val="ar-SA"/>
        </w:rPr>
      </w:pPr>
      <w:r>
        <w:rPr>
          <w:rStyle w:val="None"/>
          <w:rFonts w:cs="Times New Roman"/>
          <w:b/>
          <w:bCs/>
          <w:sz w:val="24"/>
          <w:szCs w:val="24"/>
          <w:rtl/>
          <w:lang w:val="ar-SA"/>
        </w:rPr>
        <w:t>الانتهاكات المتكررة</w:t>
      </w:r>
      <w:r>
        <w:rPr>
          <w:rStyle w:val="None"/>
          <w:rFonts w:ascii="Times New Roman" w:hAnsi="Times New Roman"/>
          <w:b/>
          <w:bCs/>
          <w:sz w:val="24"/>
          <w:szCs w:val="24"/>
          <w:rtl/>
          <w:lang w:val="ar-SA"/>
        </w:rPr>
        <w:t>:</w:t>
      </w:r>
      <w:r>
        <w:rPr>
          <w:rStyle w:val="None"/>
          <w:rFonts w:cs="Times New Roman"/>
          <w:sz w:val="24"/>
          <w:szCs w:val="24"/>
          <w:rtl/>
          <w:lang w:val="ar-SA"/>
        </w:rPr>
        <w:t xml:space="preserve"> وفي حال تكرار الانتهاك من خلال قيام شخص ما بانتهاك حقوق الملكية الفكرية المنصوص عليها في المادتين </w:t>
      </w:r>
      <w:r>
        <w:rPr>
          <w:rStyle w:val="None"/>
          <w:rFonts w:ascii="Times New Roman" w:hAnsi="Times New Roman"/>
          <w:sz w:val="24"/>
          <w:szCs w:val="24"/>
          <w:rtl/>
          <w:lang w:val="ar-SA"/>
        </w:rPr>
        <w:t xml:space="preserve">1201 </w:t>
      </w:r>
      <w:r>
        <w:rPr>
          <w:rStyle w:val="None"/>
          <w:rFonts w:cs="Times New Roman"/>
          <w:sz w:val="24"/>
          <w:szCs w:val="24"/>
          <w:rtl/>
          <w:lang w:val="ar-SA"/>
        </w:rPr>
        <w:t xml:space="preserve">أو </w:t>
      </w:r>
      <w:r>
        <w:rPr>
          <w:rStyle w:val="None"/>
          <w:rFonts w:ascii="Times New Roman" w:hAnsi="Times New Roman"/>
          <w:sz w:val="24"/>
          <w:szCs w:val="24"/>
          <w:rtl/>
          <w:lang w:val="ar-SA"/>
        </w:rPr>
        <w:t xml:space="preserve">1202 </w:t>
      </w:r>
      <w:r>
        <w:rPr>
          <w:rStyle w:val="None"/>
          <w:rFonts w:cs="Times New Roman"/>
          <w:sz w:val="24"/>
          <w:szCs w:val="24"/>
          <w:rtl/>
          <w:lang w:val="ar-SA"/>
        </w:rPr>
        <w:t>في غضون ثلاث سنواتٍ من صدور حكم نهائي ضده لارتكابه انتهاك سابق، يحق للمحكمة أنْ تزيد مبلغ التعويض، بما يصل إلى ثلاثة أضعافِ المبلغ الذي قد فُرض عليه في المرة الأولى</w:t>
      </w:r>
      <w:r>
        <w:rPr>
          <w:rStyle w:val="None"/>
          <w:rFonts w:ascii="Times New Roman" w:hAnsi="Times New Roman"/>
          <w:sz w:val="24"/>
          <w:szCs w:val="24"/>
          <w:rtl/>
          <w:lang w:val="ar-SA"/>
        </w:rPr>
        <w:t>.</w:t>
      </w:r>
    </w:p>
    <w:p w14:paraId="29035090" w14:textId="77777777" w:rsidR="00454428" w:rsidRDefault="00C464EC" w:rsidP="00C72BA8">
      <w:pPr>
        <w:pStyle w:val="NormalWeb"/>
        <w:bidi/>
        <w:spacing w:before="120" w:after="120" w:line="360" w:lineRule="auto"/>
        <w:ind w:firstLine="720"/>
        <w:jc w:val="both"/>
        <w:rPr>
          <w:rStyle w:val="NoneA"/>
          <w:rFonts w:hint="default"/>
          <w:rtl/>
          <w:lang w:val="ar-SA"/>
        </w:rPr>
      </w:pPr>
      <w:r>
        <w:rPr>
          <w:rStyle w:val="None"/>
          <w:rtl/>
          <w:lang w:val="ar-SA"/>
        </w:rPr>
        <w:lastRenderedPageBreak/>
        <w:t xml:space="preserve">ويسمح قانون حقوق الملكية الرقمية الأمريكي للمدعِي الذي قد سجل عمله بالفعل، وأبلغ عن الانتهاك، القدرة على اختيار الحصول على التعويضات القانونية بدلًا من الأضرار الفعلية، هذه التعويضات تتراوح بشكل واسع، وتُمنح بِناءً على تقدير المحكمة، وتتراوح تلك التعويضات بين </w:t>
      </w:r>
      <w:r>
        <w:rPr>
          <w:rStyle w:val="None"/>
          <w:rFonts w:ascii="Times New Roman" w:hAnsi="Times New Roman"/>
          <w:rtl/>
          <w:lang w:val="ar-SA"/>
        </w:rPr>
        <w:t xml:space="preserve">750 </w:t>
      </w:r>
      <w:r>
        <w:rPr>
          <w:rStyle w:val="None"/>
          <w:rtl/>
          <w:lang w:val="ar-SA"/>
        </w:rPr>
        <w:t>دولارًا و</w:t>
      </w:r>
      <w:r>
        <w:rPr>
          <w:rStyle w:val="None"/>
          <w:rFonts w:ascii="Times New Roman" w:hAnsi="Times New Roman"/>
          <w:rtl/>
          <w:lang w:val="ar-SA"/>
        </w:rPr>
        <w:t xml:space="preserve">30,000 </w:t>
      </w:r>
      <w:r>
        <w:rPr>
          <w:rStyle w:val="None"/>
          <w:rtl/>
          <w:lang w:val="ar-SA"/>
        </w:rPr>
        <w:t xml:space="preserve">دولارٍ لكل عمل تم انتهاكه، وفي حالات الانتهاك المتعمد، يمكن للمحكمة زيادة المبلغ بشكل كبير، ليصل إلى </w:t>
      </w:r>
      <w:r>
        <w:rPr>
          <w:rStyle w:val="None"/>
          <w:rFonts w:ascii="Times New Roman" w:hAnsi="Times New Roman"/>
          <w:rtl/>
          <w:lang w:val="ar-SA"/>
        </w:rPr>
        <w:t xml:space="preserve">150,000 </w:t>
      </w:r>
      <w:r>
        <w:rPr>
          <w:rStyle w:val="None"/>
          <w:rtl/>
          <w:lang w:val="ar-SA"/>
        </w:rPr>
        <w:t>دولارٍ لكل عمل، ومع ذلك</w:t>
      </w:r>
      <w:r>
        <w:rPr>
          <w:rStyle w:val="None"/>
          <w:rFonts w:ascii="Times New Roman" w:hAnsi="Times New Roman"/>
          <w:rtl/>
          <w:lang w:val="ar-SA"/>
        </w:rPr>
        <w:t xml:space="preserve">: </w:t>
      </w:r>
      <w:r>
        <w:rPr>
          <w:rStyle w:val="None"/>
          <w:rtl/>
          <w:lang w:val="ar-SA"/>
        </w:rPr>
        <w:t>تواجه المحاكم تحديًا كبيرًا في تطبيق هذا القانون؛ وذلك بسبب غياب الإرشادات؛ حيث إنَّه تفشل المحاكم في تطوير فقه قانوني ثابت يُرشد القضاة في تحديد قيمة التعويضات، والسبب الثاني يتمثل في النتائج الغير متسقة؛ حيث إنَّه بسبب هذا الغموض، غالبًا ما تكون قرارات المحاكم تعسفية وغير متسقة، وقد تصل في بعض الأحيان إلى مبالغ مفرطة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39"/>
      </w:r>
      <w:r>
        <w:rPr>
          <w:rStyle w:val="None"/>
          <w:rFonts w:ascii="Times New Roman" w:hAnsi="Times New Roman"/>
          <w:vertAlign w:val="superscript"/>
          <w:rtl/>
          <w:lang w:val="ar-SA"/>
        </w:rPr>
        <w:t>)</w:t>
      </w:r>
    </w:p>
    <w:p w14:paraId="7F366E7D" w14:textId="77777777" w:rsidR="00454428" w:rsidRDefault="00C464EC" w:rsidP="00C72BA8">
      <w:pPr>
        <w:pStyle w:val="NormalWeb"/>
        <w:bidi/>
        <w:spacing w:before="120" w:after="120" w:line="360" w:lineRule="auto"/>
        <w:ind w:firstLine="720"/>
        <w:jc w:val="both"/>
        <w:rPr>
          <w:rFonts w:hint="default"/>
          <w:rtl/>
        </w:rPr>
      </w:pPr>
      <w:r>
        <w:rPr>
          <w:rStyle w:val="None"/>
          <w:rtl/>
          <w:lang w:val="ar-SA"/>
        </w:rPr>
        <w:t xml:space="preserve">تُعَدُّ التعويضات القانونية هي خيار يُمنح لمالكي حقوق الملكية الفكرية بديلًا عن التعويضات التقليدية، والتي تتمثل في الأرباح المفقودة أو أرباح المنتهك، ويتراوح النطاق الطبيعي لتعويضات الأضرار القانونية في الولايات المتحدة بين </w:t>
      </w:r>
      <w:r>
        <w:rPr>
          <w:rStyle w:val="None"/>
          <w:rFonts w:ascii="Times New Roman" w:hAnsi="Times New Roman"/>
          <w:rtl/>
          <w:lang w:val="ar-SA"/>
        </w:rPr>
        <w:t xml:space="preserve">750 </w:t>
      </w:r>
      <w:r>
        <w:rPr>
          <w:rStyle w:val="None"/>
          <w:rtl/>
          <w:lang w:val="ar-SA"/>
        </w:rPr>
        <w:t>و</w:t>
      </w:r>
      <w:r>
        <w:rPr>
          <w:rStyle w:val="None"/>
          <w:rFonts w:ascii="Times New Roman" w:hAnsi="Times New Roman"/>
          <w:rtl/>
          <w:lang w:val="ar-SA"/>
        </w:rPr>
        <w:t xml:space="preserve">30,000 </w:t>
      </w:r>
      <w:r>
        <w:rPr>
          <w:rStyle w:val="None"/>
          <w:rtl/>
          <w:lang w:val="ar-SA"/>
        </w:rPr>
        <w:t>دولارٍ أمريكي لكل عمل مُنتهك، ولا يشترط تعويض الضرر القانوني أنْ يكون له أي علاقة بالخسائر الفعلية التي لحقت بالمتضرر، وقد المحاكم إلى هذا النوع من التعويضات لعدة مبررات أساسية</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40"/>
      </w:r>
      <w:r>
        <w:rPr>
          <w:rStyle w:val="None"/>
          <w:rFonts w:ascii="Times New Roman" w:hAnsi="Times New Roman"/>
          <w:vertAlign w:val="superscript"/>
          <w:rtl/>
          <w:lang w:val="ar-SA"/>
        </w:rPr>
        <w:t>)</w:t>
      </w:r>
    </w:p>
    <w:p w14:paraId="6639AADE" w14:textId="77777777" w:rsidR="00454428" w:rsidRDefault="00C464EC">
      <w:pPr>
        <w:pStyle w:val="NormalWeb"/>
        <w:numPr>
          <w:ilvl w:val="0"/>
          <w:numId w:val="197"/>
        </w:numPr>
        <w:bidi/>
        <w:spacing w:before="120" w:after="120" w:line="360" w:lineRule="auto"/>
        <w:jc w:val="both"/>
        <w:rPr>
          <w:rFonts w:hint="default"/>
          <w:rtl/>
          <w:lang w:val="ar-SA"/>
        </w:rPr>
      </w:pPr>
      <w:r>
        <w:rPr>
          <w:rStyle w:val="None"/>
          <w:b/>
          <w:bCs/>
          <w:rtl/>
          <w:lang w:val="ar-SA"/>
        </w:rPr>
        <w:t>صعوبة إثبات الضرر</w:t>
      </w:r>
      <w:r>
        <w:rPr>
          <w:rStyle w:val="None"/>
          <w:rFonts w:ascii="Times New Roman" w:hAnsi="Times New Roman"/>
          <w:b/>
          <w:bCs/>
          <w:rtl/>
          <w:lang w:val="ar-SA"/>
        </w:rPr>
        <w:t xml:space="preserve">: </w:t>
      </w:r>
      <w:r>
        <w:rPr>
          <w:rStyle w:val="None"/>
          <w:rtl/>
          <w:lang w:val="ar-SA"/>
        </w:rPr>
        <w:t>يُعَدُّ الهدف الأصلي من التعويضات القانونية هو مساعدة مالكي الحقوق في الحصول على تعويض عادل، خاصةً عندما يكون من الصعب أو المكلف جدًا إثبات حجم الخسائر الفعلية التي تكبدوها بسبب الانتهاك</w:t>
      </w:r>
      <w:r>
        <w:rPr>
          <w:rStyle w:val="None"/>
          <w:rFonts w:ascii="Times New Roman" w:hAnsi="Times New Roman"/>
        </w:rPr>
        <w:t>.</w:t>
      </w:r>
    </w:p>
    <w:p w14:paraId="4D5CF16C" w14:textId="77777777" w:rsidR="00454428" w:rsidRDefault="00C464EC">
      <w:pPr>
        <w:pStyle w:val="NormalWeb"/>
        <w:numPr>
          <w:ilvl w:val="0"/>
          <w:numId w:val="197"/>
        </w:numPr>
        <w:bidi/>
        <w:spacing w:before="120" w:after="120" w:line="360" w:lineRule="auto"/>
        <w:jc w:val="both"/>
        <w:rPr>
          <w:rFonts w:hint="default"/>
          <w:rtl/>
          <w:lang w:val="ar-SA"/>
        </w:rPr>
      </w:pPr>
      <w:r>
        <w:rPr>
          <w:rStyle w:val="None"/>
          <w:b/>
          <w:bCs/>
          <w:rtl/>
          <w:lang w:val="ar-SA"/>
        </w:rPr>
        <w:t>التغلب على تكاليف التقاضي</w:t>
      </w:r>
      <w:r>
        <w:rPr>
          <w:rStyle w:val="None"/>
          <w:rFonts w:ascii="Times New Roman" w:hAnsi="Times New Roman"/>
          <w:b/>
          <w:bCs/>
          <w:rtl/>
          <w:lang w:val="ar-SA"/>
        </w:rPr>
        <w:t xml:space="preserve">: </w:t>
      </w:r>
      <w:r>
        <w:rPr>
          <w:rStyle w:val="None"/>
          <w:rtl/>
          <w:lang w:val="ar-SA"/>
        </w:rPr>
        <w:t>كما تم تطوير هذا القانون لاحقًا لمواجهة حالات الانتهاكات الصغيرة، التي قد لا تكون الأضرار المادية فيها كبيرة، لكن تكاليف رفع الدعوى قد تتجاوز المبلغ الذي يمكن استرداده، وبالتالي</w:t>
      </w:r>
      <w:r>
        <w:rPr>
          <w:rStyle w:val="None"/>
          <w:rFonts w:ascii="Times New Roman" w:hAnsi="Times New Roman"/>
          <w:rtl/>
          <w:lang w:val="ar-SA"/>
        </w:rPr>
        <w:t xml:space="preserve">: </w:t>
      </w:r>
      <w:r>
        <w:rPr>
          <w:rStyle w:val="None"/>
          <w:rtl/>
          <w:lang w:val="ar-SA"/>
        </w:rPr>
        <w:t>تُمكن التعويضات القانونية مالك الحق من الدفاع عن حقوقه، دون أنْ تُشكّل تكاليف التقاضي عبئًا ماليًا كبيرًا</w:t>
      </w:r>
      <w:r>
        <w:rPr>
          <w:rStyle w:val="None"/>
          <w:rFonts w:ascii="Times New Roman" w:hAnsi="Times New Roman"/>
        </w:rPr>
        <w:t>.</w:t>
      </w:r>
    </w:p>
    <w:p w14:paraId="01A68FDC" w14:textId="77777777" w:rsidR="00454428" w:rsidRDefault="00C464EC">
      <w:pPr>
        <w:pStyle w:val="NormalWeb"/>
        <w:numPr>
          <w:ilvl w:val="0"/>
          <w:numId w:val="197"/>
        </w:numPr>
        <w:bidi/>
        <w:spacing w:before="120" w:after="120" w:line="360" w:lineRule="auto"/>
        <w:jc w:val="both"/>
        <w:rPr>
          <w:rFonts w:hint="default"/>
          <w:rtl/>
          <w:lang w:val="ar-SA"/>
        </w:rPr>
      </w:pPr>
      <w:r>
        <w:rPr>
          <w:rStyle w:val="None"/>
          <w:b/>
          <w:bCs/>
          <w:rtl/>
          <w:lang w:val="ar-SA"/>
        </w:rPr>
        <w:t>وظيفة رادعة</w:t>
      </w:r>
      <w:r>
        <w:rPr>
          <w:rStyle w:val="None"/>
          <w:rFonts w:ascii="Times New Roman" w:hAnsi="Times New Roman"/>
          <w:b/>
          <w:bCs/>
          <w:rtl/>
          <w:lang w:val="ar-SA"/>
        </w:rPr>
        <w:t>:</w:t>
      </w:r>
      <w:r>
        <w:rPr>
          <w:rStyle w:val="None"/>
          <w:rFonts w:ascii="Times New Roman" w:hAnsi="Times New Roman"/>
        </w:rPr>
        <w:t xml:space="preserve"> </w:t>
      </w:r>
      <w:r>
        <w:rPr>
          <w:rStyle w:val="None"/>
          <w:rtl/>
          <w:lang w:val="ar-SA"/>
        </w:rPr>
        <w:t>كما أصبحت التعويضات القانونية أداةً رادعةً قويةً ضد الانتهاكات المستقبلية؛ حيث تفرض غرامات مالية كبيرة على المنتهكين؛ ممَّا يثنيهم عن تكرار المخالفة</w:t>
      </w:r>
      <w:r>
        <w:rPr>
          <w:rStyle w:val="None"/>
          <w:rFonts w:ascii="Times New Roman" w:hAnsi="Times New Roman"/>
        </w:rPr>
        <w:t>.</w:t>
      </w:r>
    </w:p>
    <w:p w14:paraId="6DE9934E" w14:textId="77777777" w:rsidR="00454428" w:rsidRDefault="00C464EC" w:rsidP="00C72BA8">
      <w:pPr>
        <w:pStyle w:val="NormalWeb"/>
        <w:bidi/>
        <w:spacing w:before="120" w:after="120" w:line="360" w:lineRule="auto"/>
        <w:ind w:firstLine="720"/>
        <w:jc w:val="both"/>
        <w:rPr>
          <w:rFonts w:hint="default"/>
          <w:rtl/>
          <w:lang w:val="ar-SA"/>
        </w:rPr>
      </w:pPr>
      <w:r>
        <w:rPr>
          <w:rStyle w:val="None"/>
          <w:rtl/>
          <w:lang w:val="ar-SA"/>
        </w:rPr>
        <w:t xml:space="preserve">يحق لأي شخص تضرر من انتهاك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 xml:space="preserve">رفع دعوى قضائية مدنية أمام المحكمة الفيدرالية، وللمحكمة سلطة تقديرية؛ لمنح تعويضات عادلة ومالية، مشابهة لما هو متاح في قضايا حقوق النشر، وتشمل هذه التعويضات </w:t>
      </w:r>
      <w:r>
        <w:rPr>
          <w:rStyle w:val="None"/>
          <w:rFonts w:ascii="Times New Roman" w:hAnsi="Times New Roman"/>
          <w:rtl/>
          <w:lang w:val="ar-SA"/>
        </w:rPr>
        <w:t>"</w:t>
      </w:r>
      <w:r>
        <w:rPr>
          <w:rStyle w:val="None"/>
          <w:rtl/>
          <w:lang w:val="ar-SA"/>
        </w:rPr>
        <w:t>التعويضات القانونية</w:t>
      </w:r>
      <w:r>
        <w:rPr>
          <w:rStyle w:val="None"/>
          <w:rFonts w:ascii="Times New Roman" w:hAnsi="Times New Roman"/>
          <w:rtl/>
          <w:lang w:val="ar-SA"/>
        </w:rPr>
        <w:t>"</w:t>
      </w:r>
      <w:r>
        <w:rPr>
          <w:rStyle w:val="None"/>
          <w:rtl/>
          <w:lang w:val="ar-SA"/>
        </w:rPr>
        <w:t xml:space="preserve">، التي تسمح للمحكمة بتحديد مبلغ التعويض دون الحاجة إلى إثبات الضرر الفعلي، وللمحكمة سلطة تخفيض أو إلغاء التعويضات إذا أثبت المخالف أنَّه لم يكن على علم أو لم يكن لديه سبب للاعتقاد بأنَّ أفعاله كانت تشكل انتهاكًا، ويعتبر انتهاك المادتين جريمةً جنائيةً فقط في حالة ارتكابه </w:t>
      </w:r>
      <w:r>
        <w:rPr>
          <w:rStyle w:val="None"/>
          <w:rFonts w:ascii="Times New Roman" w:hAnsi="Times New Roman"/>
          <w:rtl/>
          <w:lang w:val="ar-SA"/>
        </w:rPr>
        <w:t>"</w:t>
      </w:r>
      <w:r>
        <w:rPr>
          <w:rStyle w:val="None"/>
          <w:rtl/>
          <w:lang w:val="ar-SA"/>
        </w:rPr>
        <w:t xml:space="preserve">عمدًا ولأغراض تحقيق منفعة </w:t>
      </w:r>
      <w:r>
        <w:rPr>
          <w:rStyle w:val="None"/>
          <w:rtl/>
          <w:lang w:val="ar-SA"/>
        </w:rPr>
        <w:lastRenderedPageBreak/>
        <w:t>تجارية أو مكاسب مالية خاصة، وتُعفى المكتبات، والمحفوظات، والمؤسسات التعليمية غير الربحية تمامًا من المسئولية الجنائية، وتتمثل العقوبات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41"/>
      </w:r>
      <w:r>
        <w:rPr>
          <w:rStyle w:val="None"/>
          <w:rFonts w:ascii="Times New Roman" w:hAnsi="Times New Roman"/>
          <w:vertAlign w:val="superscript"/>
          <w:rtl/>
          <w:lang w:val="ar-SA"/>
        </w:rPr>
        <w:t>)</w:t>
      </w:r>
    </w:p>
    <w:p w14:paraId="34C513DE" w14:textId="77777777" w:rsidR="00454428" w:rsidRDefault="00C464EC">
      <w:pPr>
        <w:pStyle w:val="NormalWeb"/>
        <w:numPr>
          <w:ilvl w:val="0"/>
          <w:numId w:val="199"/>
        </w:numPr>
        <w:bidi/>
        <w:spacing w:before="120" w:after="120" w:line="360" w:lineRule="auto"/>
        <w:jc w:val="both"/>
        <w:rPr>
          <w:rFonts w:hint="default"/>
          <w:rtl/>
          <w:lang w:val="ar-SA"/>
        </w:rPr>
      </w:pPr>
      <w:r>
        <w:rPr>
          <w:rStyle w:val="None"/>
          <w:b/>
          <w:bCs/>
          <w:rtl/>
          <w:lang w:val="ar-SA"/>
        </w:rPr>
        <w:t>المخالفة الأولى</w:t>
      </w:r>
      <w:r>
        <w:rPr>
          <w:rStyle w:val="None"/>
          <w:rFonts w:ascii="Times New Roman" w:hAnsi="Times New Roman"/>
          <w:b/>
          <w:bCs/>
          <w:rtl/>
          <w:lang w:val="ar-SA"/>
        </w:rPr>
        <w:t xml:space="preserve">: </w:t>
      </w:r>
      <w:r>
        <w:rPr>
          <w:rStyle w:val="None"/>
          <w:rtl/>
          <w:lang w:val="ar-SA"/>
        </w:rPr>
        <w:t xml:space="preserve">غرامة تصل إلى </w:t>
      </w:r>
      <w:r>
        <w:rPr>
          <w:rStyle w:val="None"/>
          <w:rFonts w:ascii="Times New Roman" w:hAnsi="Times New Roman"/>
          <w:rtl/>
          <w:lang w:val="ar-SA"/>
        </w:rPr>
        <w:t>500000</w:t>
      </w:r>
      <w:r>
        <w:rPr>
          <w:rStyle w:val="None"/>
          <w:rFonts w:ascii="Times New Roman" w:hAnsi="Times New Roman"/>
        </w:rPr>
        <w:t xml:space="preserve"> </w:t>
      </w:r>
      <w:r>
        <w:rPr>
          <w:rStyle w:val="None"/>
          <w:rtl/>
          <w:lang w:val="ar-SA"/>
        </w:rPr>
        <w:t>دولارٍ، أو السجن لمدة تصل إلى خمس سنواتٍ</w:t>
      </w:r>
      <w:r>
        <w:rPr>
          <w:rStyle w:val="None"/>
          <w:rFonts w:ascii="Times New Roman" w:hAnsi="Times New Roman"/>
          <w:rtl/>
          <w:lang w:val="ar-SA"/>
        </w:rPr>
        <w:t>.</w:t>
      </w:r>
    </w:p>
    <w:p w14:paraId="07980CAF" w14:textId="77777777" w:rsidR="00454428" w:rsidRDefault="00C464EC">
      <w:pPr>
        <w:pStyle w:val="NormalWeb"/>
        <w:numPr>
          <w:ilvl w:val="0"/>
          <w:numId w:val="199"/>
        </w:numPr>
        <w:bidi/>
        <w:spacing w:before="120" w:after="120" w:line="360" w:lineRule="auto"/>
        <w:jc w:val="both"/>
        <w:rPr>
          <w:rFonts w:hint="default"/>
          <w:rtl/>
          <w:lang w:val="ar-SA"/>
        </w:rPr>
      </w:pPr>
      <w:r>
        <w:rPr>
          <w:rStyle w:val="None"/>
          <w:b/>
          <w:bCs/>
          <w:rtl/>
          <w:lang w:val="ar-SA"/>
        </w:rPr>
        <w:t>المخالفات في حال تكرار الانتهاك</w:t>
      </w:r>
      <w:r>
        <w:rPr>
          <w:rStyle w:val="None"/>
          <w:rFonts w:ascii="Times New Roman" w:hAnsi="Times New Roman"/>
          <w:b/>
          <w:bCs/>
          <w:rtl/>
          <w:lang w:val="ar-SA"/>
        </w:rPr>
        <w:t xml:space="preserve">: </w:t>
      </w:r>
      <w:r>
        <w:rPr>
          <w:rStyle w:val="None"/>
          <w:rtl/>
          <w:lang w:val="ar-SA"/>
        </w:rPr>
        <w:t>غرامة تصل إلى مليون دولارٍ، أو السجن لمدة تصل إلى عشر سنواتٍ في حال تكرار نفس المخافة في وقت لاحق</w:t>
      </w:r>
      <w:r>
        <w:rPr>
          <w:rStyle w:val="None"/>
          <w:rFonts w:ascii="Times New Roman" w:hAnsi="Times New Roman"/>
        </w:rPr>
        <w:t>.</w:t>
      </w:r>
    </w:p>
    <w:p w14:paraId="112ABBA8" w14:textId="77777777" w:rsidR="00645DEB" w:rsidRDefault="00645DEB">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6F2B51AA" w14:textId="0CFE41B0" w:rsidR="00454428" w:rsidRDefault="00C464EC" w:rsidP="00C72BA8">
      <w:pPr>
        <w:pStyle w:val="a"/>
        <w:rPr>
          <w:rStyle w:val="None"/>
          <w:rtl/>
          <w:lang w:val="ar-SA"/>
        </w:rPr>
      </w:pPr>
      <w:bookmarkStart w:id="242" w:name="_Toc227251136"/>
      <w:bookmarkStart w:id="243" w:name="_Toc232260693"/>
      <w:r>
        <w:rPr>
          <w:rStyle w:val="None"/>
          <w:rFonts w:ascii="Arial Unicode MS" w:eastAsia="Arial Unicode MS" w:hAnsi="Arial Unicode MS" w:hint="cs"/>
          <w:rtl/>
          <w:lang w:val="ar-SA"/>
        </w:rPr>
        <w:lastRenderedPageBreak/>
        <w:t>المبحث الثاني</w:t>
      </w:r>
      <w:bookmarkEnd w:id="242"/>
      <w:bookmarkEnd w:id="243"/>
    </w:p>
    <w:p w14:paraId="6BE8DA85" w14:textId="77777777" w:rsidR="00454428" w:rsidRDefault="00C464EC" w:rsidP="00C72BA8">
      <w:pPr>
        <w:pStyle w:val="a"/>
        <w:rPr>
          <w:rStyle w:val="None"/>
          <w:rtl/>
          <w:lang w:val="ar-SA"/>
        </w:rPr>
      </w:pPr>
      <w:bookmarkStart w:id="244" w:name="_Toc227251137"/>
      <w:bookmarkStart w:id="245" w:name="_Toc232260694"/>
      <w:r>
        <w:rPr>
          <w:rStyle w:val="None"/>
          <w:rFonts w:ascii="Arial Unicode MS" w:eastAsia="Arial Unicode MS" w:hAnsi="Arial Unicode MS" w:hint="cs"/>
          <w:rtl/>
          <w:lang w:val="ar-SA"/>
        </w:rPr>
        <w:t>الحماية الجنائية والتجريم الرقمي</w:t>
      </w:r>
      <w:bookmarkEnd w:id="244"/>
      <w:bookmarkEnd w:id="245"/>
    </w:p>
    <w:p w14:paraId="5F14129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التطوُّر الهائل في تقنيات المعلومات والاتصالات، شهد العالم تحولاتٍ جذريةً في طرق إنتاج وتبادل المعرفة، فأصبحت البيئة الرقمية فضاءً مفتوحًا لنشر المصنفات والابتكارات على نطاق واسع، ورغم ما يتيحه هذا الانفتاح من فرص للإبداع والابتكار إلا أنَّه أدى إلى ظهور أنماط جديدة من الاعتداءات على الملكية الفكرية، اتسمت بالسرعة والانتشار والعابر للحدود؛ ممَّا جعل من الضروري إيجاد آليات قانونية فعَّالة لمواجهتها، ومع تعقيد الجرائم في هذا المجال أصبحت الحماية المدنية غير كافية؛ ممَّا استدعى اللجوء إلى الحماية الجنائية كأداة لردع وحماية الحقوق</w:t>
      </w:r>
      <w:r>
        <w:rPr>
          <w:rStyle w:val="None"/>
          <w:rFonts w:ascii="Times New Roman" w:hAnsi="Times New Roman"/>
          <w:sz w:val="24"/>
          <w:szCs w:val="24"/>
          <w:rtl/>
          <w:lang w:val="ar-SA"/>
        </w:rPr>
        <w:t>.</w:t>
      </w:r>
    </w:p>
    <w:p w14:paraId="2019B81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الحماية الجنائية والتجريم الرقمي وضع نصوص نظامية تجرم الأفعال التي تنتهك الملكية الفكرية في الفضاء الرقمي، وفرض عقوبات رادعة على مرتكبيها، سواء كانت هذه الأفعال تتمثل في نسخ، أو توزيع، أو تعديل، أو قرصنة المحتوى المحمي، فيأتي النظام السعودي في هذا الإطار منسجمًا مع الاتفاقيات الدولية، من خلال دمج النصوص المجرمة للاعتداءات الرقمية، وسنتناول ذلك على النحو التالي</w:t>
      </w:r>
      <w:r>
        <w:rPr>
          <w:rStyle w:val="None"/>
          <w:rFonts w:ascii="Times New Roman" w:hAnsi="Times New Roman"/>
          <w:sz w:val="24"/>
          <w:szCs w:val="24"/>
          <w:rtl/>
          <w:lang w:val="ar-SA"/>
        </w:rPr>
        <w:t>:</w:t>
      </w:r>
    </w:p>
    <w:p w14:paraId="15B93683" w14:textId="77777777" w:rsidR="00454428" w:rsidRDefault="00C464EC">
      <w:pPr>
        <w:pStyle w:val="ListParagraph"/>
        <w:numPr>
          <w:ilvl w:val="0"/>
          <w:numId w:val="20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 السعودي</w:t>
      </w:r>
      <w:r>
        <w:rPr>
          <w:rStyle w:val="None"/>
          <w:rFonts w:ascii="Times New Roman" w:hAnsi="Times New Roman"/>
          <w:sz w:val="24"/>
          <w:szCs w:val="24"/>
          <w:rtl/>
          <w:lang w:val="ar-SA"/>
        </w:rPr>
        <w:t>.</w:t>
      </w:r>
    </w:p>
    <w:p w14:paraId="7D6CEA5F" w14:textId="77777777" w:rsidR="00454428" w:rsidRDefault="00C464EC">
      <w:pPr>
        <w:pStyle w:val="ListParagraph"/>
        <w:numPr>
          <w:ilvl w:val="0"/>
          <w:numId w:val="20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النظامين الفَرنسي والأمريكي</w:t>
      </w:r>
      <w:r>
        <w:rPr>
          <w:rStyle w:val="None"/>
          <w:rFonts w:ascii="Times New Roman" w:hAnsi="Times New Roman"/>
          <w:sz w:val="24"/>
          <w:szCs w:val="24"/>
          <w:rtl/>
          <w:lang w:val="ar-SA"/>
        </w:rPr>
        <w:t>.</w:t>
      </w:r>
    </w:p>
    <w:p w14:paraId="566833D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ACC2C6E"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22EF5DB4" w14:textId="77777777" w:rsidR="00645DEB" w:rsidRDefault="00645DEB">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5D13A59" w14:textId="2F6DD0C8" w:rsidR="00454428" w:rsidRDefault="00C464EC" w:rsidP="00C72BA8">
      <w:pPr>
        <w:pStyle w:val="a"/>
        <w:rPr>
          <w:rStyle w:val="None"/>
          <w:rtl/>
          <w:lang w:val="ar-SA"/>
        </w:rPr>
      </w:pPr>
      <w:bookmarkStart w:id="246" w:name="_Toc227251138"/>
      <w:bookmarkStart w:id="247" w:name="_Toc232260695"/>
      <w:r>
        <w:rPr>
          <w:rStyle w:val="None"/>
          <w:rFonts w:ascii="Arial Unicode MS" w:eastAsia="Arial Unicode MS" w:hAnsi="Arial Unicode MS" w:hint="cs"/>
          <w:rtl/>
          <w:lang w:val="ar-SA"/>
        </w:rPr>
        <w:lastRenderedPageBreak/>
        <w:t>المطلب الأول</w:t>
      </w:r>
      <w:bookmarkEnd w:id="246"/>
      <w:bookmarkEnd w:id="247"/>
    </w:p>
    <w:p w14:paraId="06B83FA1" w14:textId="77777777" w:rsidR="00454428" w:rsidRDefault="00C464EC" w:rsidP="00C72BA8">
      <w:pPr>
        <w:pStyle w:val="a"/>
        <w:rPr>
          <w:rStyle w:val="None"/>
          <w:rtl/>
          <w:lang w:val="ar-SA"/>
        </w:rPr>
      </w:pPr>
      <w:bookmarkStart w:id="248" w:name="_Toc227251139"/>
      <w:bookmarkStart w:id="249" w:name="_Toc232260696"/>
      <w:r>
        <w:rPr>
          <w:rStyle w:val="None"/>
          <w:rFonts w:ascii="Arial Unicode MS" w:eastAsia="Arial Unicode MS" w:hAnsi="Arial Unicode MS" w:hint="cs"/>
          <w:rtl/>
          <w:lang w:val="ar-SA"/>
        </w:rPr>
        <w:t>الحماية الجنائية للملكية الفكرية في البيئة الرقمية في النظام السعودي</w:t>
      </w:r>
      <w:bookmarkEnd w:id="248"/>
      <w:bookmarkEnd w:id="249"/>
    </w:p>
    <w:p w14:paraId="656DA80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تطوُّرًا تقنيًّا غير مسبوق، أدى إلى انتشار البيئة الرقمية في مختلف جوانب الحياة، فأصبح تداول المعلومات والابتكارات يتم عبر شبكات إلكترونية عالمية، متجاوزة الحدود الجغرافية والزمنية، ورغم الفرص الهائلة التي وفرتها هذه البيئة لتعزيز الإبداع ونشر المعرفة، إلا أنَّها أوجدت تحديات قانونية معقدة، أبرزها الاعتداء على الملكية الفكرية بطرق رقمية يصعب رصدها أو السيطرة عليها بالأساليب التقليدية، وقد تزايدت هذه الاعتداءات؛ نتيجة سهولة نسخ وتوزيع المصنفات الرقمية وانتشار القرصنة الإلكترونية؛ ممَّا أدى إلى الحاجة لمنظومة حماية أكثر صرامةً وفاعليةً</w:t>
      </w:r>
      <w:r>
        <w:rPr>
          <w:rStyle w:val="None"/>
          <w:rFonts w:ascii="Times New Roman" w:hAnsi="Times New Roman"/>
          <w:sz w:val="24"/>
          <w:szCs w:val="24"/>
          <w:rtl/>
          <w:lang w:val="ar-SA"/>
        </w:rPr>
        <w:t>.</w:t>
      </w:r>
    </w:p>
    <w:p w14:paraId="3AD4ED2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برزت الحاجة الجنائية كأداة أساسية لمواجهة التعديات الرقمية للملكية الفكرية، من خلال تجريم الأفعال التي تمس الحقوق المحمية، وفرض عقوبات رادعة لتحقيق الردع العام والخاص، وقد أولى النظام السعودي أهميةً كبيرةً لهذا الجانب؛ بهدف إقامة بيئة رقمية آمنة تحافظ على الحقوق وتدعم مسيرة الابتكار</w:t>
      </w:r>
      <w:r>
        <w:rPr>
          <w:rStyle w:val="None"/>
          <w:rFonts w:ascii="Times New Roman" w:hAnsi="Times New Roman"/>
          <w:sz w:val="24"/>
          <w:szCs w:val="24"/>
          <w:rtl/>
          <w:lang w:val="ar-SA"/>
        </w:rPr>
        <w:t xml:space="preserve">. </w:t>
      </w:r>
    </w:p>
    <w:p w14:paraId="159A3F9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فقد وضع المنظم السعودي نظامَ حماية 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 xml:space="preserve">رجب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2003</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شوال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p>
    <w:p w14:paraId="59856E13"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الجزاء</w:t>
      </w:r>
      <w:r>
        <w:rPr>
          <w:rStyle w:val="None"/>
          <w:rFonts w:ascii="Times New Roman" w:hAnsi="Times New Roman"/>
          <w:b/>
          <w:bCs/>
          <w:sz w:val="28"/>
          <w:szCs w:val="28"/>
          <w:rtl/>
          <w:lang w:val="ar-SA"/>
        </w:rPr>
        <w:t>:</w:t>
      </w:r>
    </w:p>
    <w:p w14:paraId="6EDCA4E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الجزاء أحد الأعمدة الأساسية في النظم القانونية؛ حيث يمثل الأداة التي يعتمد عليها المنظم لضمان احترام القواعد والنصوص القانونية، ويمثل رادعًا للمخالفين عن ارتكاب الأفعال المجرمة، فالجزاء ليس هدفًا بحد ذاته، بل هو وسيلة لتحقيق الانضباط الاجتماعي، وحماية الحقوق والمصالح التي يسعى القانون إلى حمايتها</w:t>
      </w:r>
      <w:r>
        <w:rPr>
          <w:rStyle w:val="None"/>
          <w:rFonts w:ascii="Times New Roman" w:hAnsi="Times New Roman"/>
          <w:sz w:val="24"/>
          <w:szCs w:val="24"/>
          <w:rtl/>
          <w:lang w:val="ar-SA"/>
        </w:rPr>
        <w:t>.</w:t>
      </w:r>
    </w:p>
    <w:p w14:paraId="21AFB94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الجزاء الجنائي ذلك الأثر الذي يترتب قانونًا على سلوك يُعَدُّ جريمة، وإعماله هو النتيجة القانونية المترتبة على مخالفة نصوص التجريم الواردة في قانون العقوبات، أو غيره من القوانين المكملة، فقد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إجراء يقرره القانون ويوقعه القاضي على شخص ثبتت مسئوليته عن 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فالجزاء الجنائي هو رد الفعل الاجتماعي الذي يوقعه المجتمع بواسطة سلطاته العامة على من اقترف الجريمة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6437B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الجزاء يرتبط بالتجريم تمام الارتباط؛ حيث إنَّه لا جريمة بدون جزاء؛ ولذلك يأخذ الجزاء وضعه القانوني من كونه المقابل للواقعة التي جرمها القانون، ويتمثل مضمون الجزاء في أثر معين يلحق بالمحكوم عليه، وهو إيلامه عن طريق الانتقاص من حقوقه أو مصالحه، وقد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ينص عليه القانون ليلحق المجرم بسبب ارتكابه الجريمة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B9DCD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أشار جانب من الفقه إلى تعريف الجزاء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يقرره المنظم ويوقعه القاضي على من تثبت مسئوليته في ارتكاب جريمة، ويتمثل الجزاء في إيلام الجاني بالإنقاص من بعض حقوقه الشخصية وأهمها في الحق في الحياة والحق في الحرية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5A05E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الجزاء الجنائي يُعَدُّ الأداة القانونية التي يعبر بها المجتمع عن رد فعله تجاه الأفعال المجرمة، من خلال فرض عقوبة تتناسب مع خطورة الفعل ودرجة إجرام الجاني، فهو نتيجة طبيعية لارتكاب الجريمة وثبوت المسئولية، ويهدف هذا الجزاء إلى إيلام الجاني من خلال تقييد بعض حقوقه أو حرياته؛ ممَّا يشكل رسالةً واضحةً بأنَّ انتهاك القواعد الجنائية يترتب عليه حتمًا إجراء قانوني يعزّز هيبة القانون، ويضمن أمن المجتمع واستقراره</w:t>
      </w:r>
      <w:r>
        <w:rPr>
          <w:rStyle w:val="None"/>
          <w:rFonts w:ascii="Times New Roman" w:hAnsi="Times New Roman"/>
          <w:sz w:val="24"/>
          <w:szCs w:val="24"/>
          <w:rtl/>
          <w:lang w:val="ar-SA"/>
        </w:rPr>
        <w:t xml:space="preserve">. </w:t>
      </w:r>
    </w:p>
    <w:p w14:paraId="11A0B0E1"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أهداف الجزاءات</w:t>
      </w:r>
      <w:r>
        <w:rPr>
          <w:rStyle w:val="None"/>
          <w:rFonts w:ascii="Times New Roman" w:hAnsi="Times New Roman"/>
          <w:b/>
          <w:bCs/>
          <w:sz w:val="28"/>
          <w:szCs w:val="28"/>
          <w:rtl/>
          <w:lang w:val="ar-SA"/>
        </w:rPr>
        <w:t>:</w:t>
      </w:r>
    </w:p>
    <w:p w14:paraId="5CAE724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تسعى الجزاءات في جوهرها إلى تحقيق أهداف أسمى تتجاوز مجرد معاقبة الجاني، فهي أداة ينظم بها المجتمع سلوك أفراده ويضمن استقراره وأمنه، ويهدف الجزاء إلى حماية القيم والمصالح التي يسعى القانون إلى صونها، وردع الأفراد عن ارتكاب الأفعال المجرمة، سواء من خلال ردعهم شخصيًا، أو ردع الآخرين عن التفكير في ارتكاب الجريمة، كما يساهم الجزاء في إصلاح الجاني وإعادة تأهيله ليصبح فردًا صالحًا في المجتمع</w:t>
      </w:r>
      <w:r>
        <w:rPr>
          <w:rStyle w:val="None"/>
          <w:rFonts w:ascii="Times New Roman" w:hAnsi="Times New Roman"/>
          <w:sz w:val="24"/>
          <w:szCs w:val="24"/>
          <w:rtl/>
          <w:lang w:val="ar-SA"/>
        </w:rPr>
        <w:t>.</w:t>
      </w:r>
    </w:p>
    <w:p w14:paraId="2B6376D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الهدف الأصلي لاختيار الجزاء هو تقويم سلوك المجرم وإصلاحه، والتنفيذ الجزائي هو المرحلة التي يتحقق فيها الهدف من هذا الاختيار، ولا يمكن تحقيق هذا الهدف ما لم تعمل السلطة القائمة على تنفيذ العقوبة على تحقيق، فالتنفيذ ليس مجرد حرمان المحكوم عليه من حريته أو إيلامه بقدر معين ولمدة معينة، وإنما هو إعادة تربية المجرم؛ لتأهيله للحياة الاجتماعية الشريفة بعيدًا عن خطر التردي في الإجرام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1D22C6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تحتل وظيفة الردع مكانًا مرموقًا في اختيار المنظم للعقوبات، الأمر الذي يفسر اختياره أشد العقوبات للأعمال التي تتسبب في الاضطرابات الاجتماعية الأكثر خطورة، والتي تثير استياءً أكبر لدى الرأي العام، فقد عرف جانب من الفقه الردع الخاص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إيلام الجاني بالقدر اللازم الذي يمنعه من التفكير في العودة إلى ارتكاب الجريمة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الردع العام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فيقصد به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تحذير باقي أفراد المجتمع الذين تراودهم فكرة ارتكاب الجريمة من أنَّهم سينالون نفس الجزاء الذي يوقع على المجرم الذي ارتكبها فعلًا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D7A2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وبذلك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الغاية من الجزاء لا يقتصر على إيلام الجاني، بل يهدف إلى إصلاحه ومنع تكرار سلوكه بالإضافة إلى ردع الآخرين من ارتكاب نفس الجريمة، فالاعتداء على المصنفات الفكرية يؤثر على النظام الاقتصادي، والاجتماعي، ويضعف الثقة في بيئة الابتكار والإبداع؛ لذا فإنَّ توقيع الجزاءات على المعتدين على حقوق المؤلف يسعى لحماية المصالح العامة، وتعزيز مكانة الملكية الفكرية كعنصر أساسي في البناء الاقتصادي</w:t>
      </w:r>
      <w:r>
        <w:rPr>
          <w:rStyle w:val="None"/>
          <w:rFonts w:ascii="Times New Roman" w:hAnsi="Times New Roman"/>
          <w:sz w:val="24"/>
          <w:szCs w:val="24"/>
          <w:rtl/>
          <w:lang w:val="ar-SA"/>
        </w:rPr>
        <w:t>.</w:t>
      </w:r>
    </w:p>
    <w:p w14:paraId="15430541" w14:textId="77777777" w:rsidR="00454428" w:rsidRDefault="00C464EC">
      <w:pPr>
        <w:pStyle w:val="ListParagraph"/>
        <w:numPr>
          <w:ilvl w:val="0"/>
          <w:numId w:val="2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الردع الخاص</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إنَّ الجزاء يهدف إلى التأثير في السلوك الإنساني داخل المجتمع؛ حتى يتلاءم مع الأوامر والنواهي الاجتماعية التي تنطوي عليها قواعد التجريم، وهي في حالتها الساكنة في النص تهدف إلى التأثير في سلوك جميع الأفراد المخاطبين بأحكام القانون، عن طريق التهديد بما تنطوي عليه من جسامة معينة، وهو ما </w:t>
      </w:r>
      <w:r>
        <w:rPr>
          <w:rStyle w:val="None"/>
          <w:rFonts w:cs="Times New Roman"/>
          <w:sz w:val="24"/>
          <w:szCs w:val="24"/>
          <w:rtl/>
          <w:lang w:val="ar-SA"/>
        </w:rPr>
        <w:lastRenderedPageBreak/>
        <w:t xml:space="preserve">يسمى بالردع العام، أما في حالتها الديناميكية عند تطبيقها بواسطة القضاء، فإنَّها تهدف أساسًا إلى التأثير في سلوك المحكوم عليه حتى يتطابق مستقبلًا مع قواعد القانون، وهو ما يسمى بالردع الخاص، أو الإصلاح، أو إعادة التأهيل الاجتماعي، ويقتضي هذا الهدف أنْ تتوافر لدى المحكوم عليه خطورة إجرامية معينة، أي استعداد نحو ارتكاب الجريمة مستقبلًا، فإذا قلت هذه الخطورة أو انعدمت قل شأن الهدف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2D4A1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يعني الردع الخاص أنَّه علاج الخطورة الإجرامية الكامنة في شخص المجرم، وللردع الخاص طابع فردي؛ إذ يتجه إلى شخص معين يغير من معالم شخصيته، ويحقق التآلف بينها وبين القيم الاجتماعية، وهو من ناحية أخرى يعتد بالظروف الخاصة للفرد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80D03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ناحية أخرى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يفترض الاعتداد بالظروف الفردية، ويجتهد في الملائمة بين أساليبه وهذه الظروف، وللردع الخاص صلة وثيقة بنظرية الخطورة الجرمية باعتبارها موضوع أساليبه؛ ولذلك كان كل منهما واضعًا في اعتباره السلوك المستقبل للمجرم، فإذا كانت الخطورة الجرمية هي احتمال إقدام المجرم على جريمة تالية، فإنَّ هدف الردع الخاص هو القضاء على هذا الاحتمال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BBFAE3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الردع الخاص يعمل على حماية الملكية الفكرية؛ حيث إنَّ الاعتداء على حقوق المؤلف أو المصنفات الفكرية لا يقتصر أثره على صاحب الحق فحسب، بل يهدد الثقة في بيئة الإبداع والاقتصاد المعرفي، ومِنْ ثَمَّ فإنَّ توجيه الجزاء نحو إصلاح المعتدي وردعه بشكل فردي يساهم في تقليل احتمالية تكرار جرائم الاعتداء على الملكية الفكرية</w:t>
      </w:r>
      <w:r>
        <w:rPr>
          <w:rStyle w:val="None"/>
          <w:rFonts w:ascii="Times New Roman" w:hAnsi="Times New Roman"/>
          <w:sz w:val="24"/>
          <w:szCs w:val="24"/>
          <w:rtl/>
          <w:lang w:val="ar-SA"/>
        </w:rPr>
        <w:t>.</w:t>
      </w:r>
    </w:p>
    <w:p w14:paraId="038C03C0" w14:textId="77777777" w:rsidR="00454428" w:rsidRDefault="00C464EC">
      <w:pPr>
        <w:pStyle w:val="ListParagraph"/>
        <w:numPr>
          <w:ilvl w:val="0"/>
          <w:numId w:val="20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الردع العام</w:t>
      </w:r>
      <w:r>
        <w:rPr>
          <w:rStyle w:val="None"/>
          <w:rFonts w:ascii="Times New Roman" w:hAnsi="Times New Roman"/>
          <w:b/>
          <w:bCs/>
          <w:sz w:val="24"/>
          <w:szCs w:val="24"/>
          <w:rtl/>
          <w:lang w:val="ar-SA"/>
        </w:rPr>
        <w:t xml:space="preserve">: </w:t>
      </w:r>
      <w:r>
        <w:rPr>
          <w:rStyle w:val="None"/>
          <w:rFonts w:cs="Times New Roman"/>
          <w:sz w:val="24"/>
          <w:szCs w:val="24"/>
          <w:rtl/>
          <w:lang w:val="ar-SA"/>
        </w:rPr>
        <w:t>لا يعني الردع الخاص مطلقًا إسقاط الردع العام من الاعتبار، وإنما يعني مجرد وضعه في المرتبة التالية، فاختيار العقوبة من أجل إصلاح المجرم يعني الاعتماد على مطلق شخصية المجرم، فهي وحدها الخاضعة لهذا الإصلاح، أما الردع العام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فإنَّه يتحقق ضمنًا من خلال الإيلام المستفاد من الجزاء الموقع على المجرم مهما اختلف قدره وكيفيته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8890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وتحقيق الردع العام كأحد أغراض العقوبة يواجه الدوافع الإجرامية بأخرى مضادة للإجرام؛ حتى تتوازن معها أو ترجع عليها فلا تتولد الجريمة، وهو أمر يتحقق بمجرد وضع النصوص التي تجرم سلوكًا معينًا وتقرر له قدر من الجزاء الذي يجدر إنزاله بفاعله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42DDF2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وللردع العام أهمية أساسية؛ حيث إنَّ الدوافع الإجرامية تتوافر لدى أغلب الناس، وهي بقايا نوازع نفسية تنبع عن الطبيعة البدائية للإنسان، وكانت للإنسان الأول أهم أسلحته في اجتياز طريقه العسير إلى إشباع حاجاته، وكانت من هذه الوجهة ذات نفع له، وإذا كانت المدنية قد جعلت الإنسان الحديث في غير حاجة مشروعة إليها، فإنَّ ذلك لا ينفي </w:t>
      </w:r>
      <w:r>
        <w:rPr>
          <w:rStyle w:val="None"/>
          <w:rFonts w:ascii="Arial Unicode MS" w:hAnsi="Arial Unicode MS" w:cs="Times New Roman" w:hint="cs"/>
          <w:sz w:val="24"/>
          <w:szCs w:val="24"/>
          <w:rtl/>
          <w:lang w:val="ar-SA"/>
        </w:rPr>
        <w:lastRenderedPageBreak/>
        <w:t xml:space="preserve">وجودها، وهذه الدوافع تخلق في المجتمع والتطوُّر العادي لهذا النوع من الإجرام هو أنْ يتحول إلى إجرام فعلي، ويُعَدُّ الجزاء بأنَّه الحائل دون هذا التحول، ولها من هذه الوجهة دور اجتماعي أساسي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D6E6E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فرض الجزاءات الرادعة على المعتدين على حقوق المؤلف والمصنفات الفكرية، يؤدي إلى حماية هذه الحقوق ليس فقط لصالح المؤلف المعتدى على مصنفه، وإنما أيضًا لصالح المجتمع كله، من خلال احترام القواعد القانونية وتشجيع الالتزام بها، وبهذا يصبح الردع العام أداءً أساسية لحماية بيئة الإبداع والابتكار</w:t>
      </w:r>
      <w:r>
        <w:rPr>
          <w:rStyle w:val="None"/>
          <w:rFonts w:ascii="Times New Roman" w:hAnsi="Times New Roman"/>
          <w:sz w:val="24"/>
          <w:szCs w:val="24"/>
          <w:rtl/>
          <w:lang w:val="ar-SA"/>
        </w:rPr>
        <w:t>.</w:t>
      </w:r>
    </w:p>
    <w:p w14:paraId="45654944"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أهمية الحماية الجنائية للملكية الفكرية</w:t>
      </w:r>
      <w:r>
        <w:rPr>
          <w:rStyle w:val="None"/>
          <w:rFonts w:ascii="Times New Roman" w:hAnsi="Times New Roman"/>
          <w:b/>
          <w:bCs/>
          <w:sz w:val="28"/>
          <w:szCs w:val="28"/>
          <w:rtl/>
          <w:lang w:val="ar-SA"/>
        </w:rPr>
        <w:t>:</w:t>
      </w:r>
    </w:p>
    <w:p w14:paraId="59B8A0A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تكتسب الحماية الجنائية للملكية الفكرية أهميةً كبيرةً في ظل التطوُّر المعرفي والتكنولوجي المتسارع الذي تشهده المجتمعات المعاصرة، وتمثل هذه الحماية خط الدفاع الأول ضد الاعتداءات على حقوق المبدعين والمخترعين والمؤلفين، سواء في الواقع التقليدي أو في الفضاء الرقمي، ويُعَدُّ التجريم والعقاب أداةً فعَّالةً للحد من الانتهاكات، ويعكسان حرص المنظم على حماية حقوق الملكية الفكرية، التي تعتبر من أهم مقومات الابتكار والتنمية الاقتصادية، وتساهم هذه الحماية في ضمان بيئة قانونية آمنة تشجع على الإبداع والاستثمار في المعرفة</w:t>
      </w:r>
      <w:r>
        <w:rPr>
          <w:rStyle w:val="None"/>
          <w:rFonts w:ascii="Times New Roman" w:hAnsi="Times New Roman"/>
          <w:sz w:val="24"/>
          <w:szCs w:val="24"/>
          <w:rtl/>
          <w:lang w:val="ar-SA"/>
        </w:rPr>
        <w:t>.</w:t>
      </w:r>
    </w:p>
    <w:p w14:paraId="1AF6FBA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فالمعلومة هي إحدى ثمرات فكر الإنسان، والتي تتحول فيما بعد إلى رصيد معرفي تستفيد منه البشرية لتسيير حياتهم؛ ممَّا استوجب الاعتراف بالملكية الفكرية للأشياء المبتكرة؛ ونظرًا لأهمية الأفكار، ومع تزايد الوعي الإنساني والتطوُّر العلمي لدى الأمم، ومدى تأثير تلك الأفكار على الأنظمة الاقتصادية، وعلى رفع المستوى الثقافي والحضاري للشعوب والدول، هذا ما جعل الدول تسعى إلى حماية حقوق الملكية الفكرية وردها إلى أصحابها، بحكم أنَّ قوة الأمم تقاس بحجم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222F1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تطوُّر الوسائل التكنولوجية الحديثة، وما رافقها من جمع وتخزين للبيانات الشخصية سهل الاعتداء على حرمة الحياة الخاصة، من خلال التعامل غير المشروع مع هذه البيانات واستغلالها بدون وجه حق، وهو ما شكل تهديدًا حقيقيًا للحق في الحياة الخاصة في البيئة الرقمية، وأثر على موقف الفقه والقانون من مفهوم هذا الحق، وأدى إلى تطوُّر في مظاهر الحماية القانونية له ومنها الحماية الجنائية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A750F8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تحديث السياسات والقوانين بسرعة لمواكبة التطوُّرات التكنولوجية الجديدة أساسيًا؛ لضمان فاعلية الإطار القانوني في حماية حقوق الأفراد ومواجهة التحديات الجديدة، التي تطرأ من خلال مراجعة دورية للقوانين والسياسات؛ لضمان توافقها مع التطوُّرات التكنولوجية الجديدة والتحديات المستجدة، كما ينبغي إنشاء آليات مرنة وسريعة تمكن من تعديل القوانين بسرعة ومرونة؛ لتضمين التحديات والفرص الجديدة التي تطرأ نتيجة للتطوُّرات التكنولوجية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E23C4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فتُعَدُّ قضية حماية الملكية الفكرية الرقمية من أهم المسائل المستحدثة في العصر الحاضر، تتعرض له من نقد، وسرقات، وانتهاكات يومية متكررة؛ بسبب الطبيعة العالمية لشبكة الإنترنت التي تُعَدُّ قوةً إيجابيةً لانتشار المؤلفات والمصنفات، غير أنَّها تُعَدُّ خطرًا كبيرًا يواجه حقوق أصحاب المصنفات لما سبق عرضه من استحالة السيطرة الكاملة على شبكة الإنترنت أو مستخدميها، وهو ما فرض على أصحاب الحقوق المتضررين والدول اتخاذ الاحتياطات التي يمكن بها حماية الملكية الفكرية من أي انتهاكات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30835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حماية الملكية الفكرية في البيئة الرقمية لم تَعُدْ خيارًا إضافيًا، بل أصبحت ضرورةً ملحةً تفرضها التحديات الناتجة عن التطوُّر التكنولوجي وتسارع الابتكار، مع اتساع نطاق تداول المعلومات والمصنفات عبر الإنترنت زادت الاعتداءات والسرقات الفكرية؛ ممَّا يهدد الحقوق الفردية، ويؤثر سلبًا على مكانة الدول الاقتصادية والحضارية؛ ولضمان فاعلية هذه الحماية يجب اعتماد إطار قانوني مرن وقابل للتجديد لمواكبة المستجدات التقنية، كما ينبغي تعزيز الحماية الجنائية كأداة ردع أساسية؛ ممَّا يضمن التوازن بين إتاحة المعرفة وحماية حقوق أصحابها، ويساهم في ترسيخ بيئة رقمية آمنة تدعم الإبداع والتنمية المستدامة</w:t>
      </w:r>
      <w:r>
        <w:rPr>
          <w:rStyle w:val="None"/>
          <w:rFonts w:ascii="Times New Roman" w:hAnsi="Times New Roman"/>
          <w:sz w:val="24"/>
          <w:szCs w:val="24"/>
          <w:rtl/>
          <w:lang w:val="ar-SA"/>
        </w:rPr>
        <w:t>.</w:t>
      </w:r>
    </w:p>
    <w:p w14:paraId="592C200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فالحماية هي تأمين الحق من التعدي في جميع صوره ممن لا صلة لهم به، وتعني الدعوة لحماية حقوق الملكية الفكرية أنَّ هذه الحقوق أصبحت موقفًا يشكل درجةً متقدمةً من خطورة التعدي، يلزم مواجهته بشتى السبل، وسرعة الاتفاق حول صيغة قادرة على الحماية والردع، ويقصد بحماية حقوق الملكية الفكرية منع الدول أو الأفراد المستوردين للمنتجات والتكنولوجيا من استعمال تلك الحقوق دون موافقة أصحابها، وبصفة خاصة براءات الاختراع، باعتبار أنَّ الاختراعات في وقتنا الحالي تمثل الأساس لإقامة الصناعات الحديثة في مجالات التنمية القائمة على التكنولوجيا والتقنيات المتقدمة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D5DB4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لا بُدَّ من حماية حقوق المؤلف والحقوق المجاورة في البيئة الرقمية؛ وذلك من خلال العمل على نشر الوعي القانوني بهذه الحقوق بين المؤلفين ومستخدمي شبكة الإنترنت، وتفعيل الحماية القانونية من خلال إصدار تشريعات خاصة لحماية الحقوق في البيئة الرقمية، بالإضافة إلى وضع أنظمة موحدة تتبنى التدابير التقنية بمنع التحايل على وسائل الحماية الإلكترونية، كما ينبغي أيضًا الحد من النسخ غير المشروع للمصنفات الرقمية، وتفعيل العقود الإلكترونية؛ كوسيلة لحماية أصحاب الحقوق، وتحديد قانون واجب التطبيق والاختصاص القضائي للمؤلف في المنازعات الرقمية</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458"/>
      </w:r>
      <w:r>
        <w:rPr>
          <w:rStyle w:val="None"/>
          <w:rFonts w:ascii="Times New Roman" w:hAnsi="Times New Roman"/>
          <w:vertAlign w:val="superscript"/>
          <w:rtl/>
          <w:lang w:val="ar-SA"/>
        </w:rPr>
        <w:t>)</w:t>
      </w:r>
      <w:r>
        <w:rPr>
          <w:rStyle w:val="None"/>
          <w:rFonts w:ascii="Times New Roman" w:hAnsi="Times New Roman"/>
          <w:sz w:val="24"/>
          <w:szCs w:val="24"/>
          <w:rtl/>
          <w:lang w:val="ar-SA"/>
        </w:rPr>
        <w:t>.</w:t>
      </w:r>
    </w:p>
    <w:p w14:paraId="0349FCC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حماية حقوق الملكية الفكرية خاصةً في البيئة الرقمية، أصبحت ضرورةً استراتيجيةً تفرضها التحديات المعاصرة، الناتجة عن الانفتاح المعلوماتي وسهولة تداول المحتوى عبر الإنترنت، فإنَّ الاعتداءات المتكررة وصعوبة ملاحقة مرتبكيها بالوسائل التقليدية تتطلب إطارًا قانونيًا وتقنيًا متكاملًا يجمع بين نشر الوعي، وتفعيل الحماية القانونية، كما يجب تبني تدابير تقنية فعَّالة لمنع التحايل على الحقوق، فإنَّ وضع أنظمة موحدة وتحديد الاختصاص </w:t>
      </w:r>
      <w:r>
        <w:rPr>
          <w:rStyle w:val="None"/>
          <w:rFonts w:ascii="Arial Unicode MS" w:hAnsi="Arial Unicode MS" w:cs="Times New Roman" w:hint="cs"/>
          <w:sz w:val="24"/>
          <w:szCs w:val="24"/>
          <w:rtl/>
          <w:lang w:val="ar-SA"/>
        </w:rPr>
        <w:lastRenderedPageBreak/>
        <w:t>القضائي، بالإضافة إلى إنشاء هيئات متخصصة، يمثل أساسًا؛ لضمان حماية فعَّالة وردع الانتهاكات، فمن شأن هذه الجهود أنْ تحقق التوازن بين إتاحة المعرفة وتشجيع الابتكار، وصون الحقوق في فضاء رقمي آمن ومتطوِّر</w:t>
      </w:r>
      <w:r>
        <w:rPr>
          <w:rStyle w:val="None"/>
          <w:rFonts w:ascii="Times New Roman" w:hAnsi="Times New Roman"/>
          <w:sz w:val="24"/>
          <w:szCs w:val="24"/>
          <w:rtl/>
          <w:lang w:val="ar-SA"/>
        </w:rPr>
        <w:t>.</w:t>
      </w:r>
    </w:p>
    <w:p w14:paraId="39253867" w14:textId="77777777" w:rsidR="00645DEB" w:rsidRDefault="00645DEB" w:rsidP="00C72BA8">
      <w:pPr>
        <w:pStyle w:val="Body"/>
        <w:spacing w:before="120" w:after="120" w:line="360" w:lineRule="auto"/>
        <w:jc w:val="both"/>
        <w:rPr>
          <w:rStyle w:val="None"/>
          <w:rFonts w:ascii="Arial Unicode MS" w:hAnsi="Arial Unicode MS" w:cs="Times New Roman"/>
          <w:b/>
          <w:bCs/>
          <w:sz w:val="28"/>
          <w:szCs w:val="28"/>
          <w:rtl/>
          <w:lang w:val="ar-SA"/>
        </w:rPr>
      </w:pPr>
    </w:p>
    <w:p w14:paraId="48720FF1" w14:textId="62E2FD88"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للحماية الجنائية</w:t>
      </w:r>
      <w:r>
        <w:rPr>
          <w:rStyle w:val="None"/>
          <w:rFonts w:ascii="Times New Roman" w:hAnsi="Times New Roman"/>
          <w:b/>
          <w:bCs/>
          <w:sz w:val="28"/>
          <w:szCs w:val="28"/>
          <w:rtl/>
          <w:lang w:val="ar-SA"/>
        </w:rPr>
        <w:t>:</w:t>
      </w:r>
    </w:p>
    <w:p w14:paraId="5ADA614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تستند الحماية الجنائية في أي نظام قانوني إلى نصوص نظامية محددة تضع الإطار القانوني؛ لتجريم الأفعال التي تمس المصالح المحمية وفرض العقوبات المناسبة، وتمثل هذه النصوص الأساس القانوني الذي يحدد نطاق الحماية، ويبين صور السلوك المجرم والجزاء المقرر له؛ ممَّا يضمن وضوح القاعدة الجنائية وفاعليتها في الردع في مجال حماية الملكية الفكرية، ويكتسب من وجود نصوص نظامية دقيقة أهميةً مضاعفةً، خاصةً في البيئة الرقمية التي تتسم بسرعة التطوُّر وتعدد وسائل الاعتداء</w:t>
      </w:r>
      <w:r>
        <w:rPr>
          <w:rStyle w:val="None"/>
          <w:rFonts w:ascii="Times New Roman" w:hAnsi="Times New Roman"/>
          <w:sz w:val="24"/>
          <w:szCs w:val="24"/>
          <w:rtl/>
          <w:lang w:val="ar-SA"/>
        </w:rPr>
        <w:t xml:space="preserve">. </w:t>
      </w:r>
    </w:p>
    <w:p w14:paraId="06D1B6C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أوضح المنظم السعودي العقوبات الخاصة حقوق المؤلف من خلال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يعاقب كل من خالف حكمًا من أحكام هذا النظام بعقوبة أو أكثر من العقوبات الآتية</w:t>
      </w:r>
      <w:r>
        <w:rPr>
          <w:rStyle w:val="None"/>
          <w:rFonts w:ascii="Times New Roman" w:hAnsi="Times New Roman"/>
          <w:sz w:val="24"/>
          <w:szCs w:val="24"/>
          <w:rtl/>
          <w:lang w:val="ar-SA"/>
        </w:rPr>
        <w:t>:</w:t>
      </w:r>
    </w:p>
    <w:p w14:paraId="365DEB07" w14:textId="77777777" w:rsidR="00454428" w:rsidRDefault="00C464EC">
      <w:pPr>
        <w:pStyle w:val="ListParagraph"/>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الإنذار</w:t>
      </w:r>
      <w:r>
        <w:rPr>
          <w:rStyle w:val="None"/>
          <w:rFonts w:ascii="Times New Roman" w:hAnsi="Times New Roman"/>
          <w:sz w:val="24"/>
          <w:szCs w:val="24"/>
          <w:rtl/>
          <w:lang w:val="ar-SA"/>
        </w:rPr>
        <w:t>.</w:t>
      </w:r>
    </w:p>
    <w:p w14:paraId="4C0E3340" w14:textId="77777777" w:rsidR="00454428" w:rsidRDefault="00C464EC">
      <w:pPr>
        <w:pStyle w:val="ListParagraph"/>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غرامة مالية لا تزيد على مائتين وخمسين ألف ريالٍ</w:t>
      </w:r>
      <w:r>
        <w:rPr>
          <w:rStyle w:val="None"/>
          <w:rFonts w:ascii="Times New Roman" w:hAnsi="Times New Roman"/>
          <w:sz w:val="24"/>
          <w:szCs w:val="24"/>
          <w:rtl/>
          <w:lang w:val="ar-SA"/>
        </w:rPr>
        <w:t>.</w:t>
      </w:r>
    </w:p>
    <w:p w14:paraId="57D0F192" w14:textId="77777777" w:rsidR="00454428" w:rsidRDefault="00C464EC">
      <w:pPr>
        <w:pStyle w:val="ListParagraph"/>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إغلاق المنشأة المتعدية أو التي ساهمت في الاعتداء على حق المؤلف مدة لا تزيد على شهرين</w:t>
      </w:r>
      <w:r>
        <w:rPr>
          <w:rStyle w:val="None"/>
          <w:rFonts w:ascii="Times New Roman" w:hAnsi="Times New Roman"/>
          <w:sz w:val="24"/>
          <w:szCs w:val="24"/>
          <w:rtl/>
          <w:lang w:val="ar-SA"/>
        </w:rPr>
        <w:t>.</w:t>
      </w:r>
    </w:p>
    <w:p w14:paraId="05D04748" w14:textId="77777777" w:rsidR="00454428" w:rsidRDefault="00C464EC">
      <w:pPr>
        <w:pStyle w:val="ListParagraph"/>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مصادرة جميع نسخ المصنف، وكذا المواد المخصصة أو المستخدمة في ارتكاب التعدي على حق المؤلف</w:t>
      </w:r>
      <w:r>
        <w:rPr>
          <w:rStyle w:val="None"/>
          <w:rFonts w:ascii="Times New Roman" w:hAnsi="Times New Roman"/>
          <w:sz w:val="24"/>
          <w:szCs w:val="24"/>
          <w:rtl/>
          <w:lang w:val="ar-SA"/>
        </w:rPr>
        <w:t>.</w:t>
      </w:r>
    </w:p>
    <w:p w14:paraId="224B5572" w14:textId="77777777" w:rsidR="00454428" w:rsidRDefault="00C464EC">
      <w:pPr>
        <w:pStyle w:val="ListParagraph"/>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السجن مدة لا تزيد على ستة أشهرٍ</w:t>
      </w:r>
      <w:r>
        <w:rPr>
          <w:rStyle w:val="None"/>
          <w:rFonts w:ascii="Times New Roman" w:hAnsi="Times New Roman"/>
          <w:sz w:val="24"/>
          <w:szCs w:val="24"/>
          <w:rtl/>
          <w:lang w:val="ar-SA"/>
        </w:rPr>
        <w:t>.</w:t>
      </w:r>
    </w:p>
    <w:p w14:paraId="3F19CA69" w14:textId="77777777" w:rsidR="00454428" w:rsidRPr="00645DEB"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ثانيًا: في حالة تكرار التعدي على المصنف نفسه أو غيره تجوز مضاعفة الحد الأعلى للعقوبة والغرامة والإغلاق.</w:t>
      </w:r>
    </w:p>
    <w:p w14:paraId="5B76E95F" w14:textId="77777777" w:rsidR="00454428" w:rsidRPr="00645DEB"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ثالثًا: إذا رأت اللجنة أنَّ المخالفة تستوجب عقوبة السجن أو غرامة مالية تزيد على مائة ألف ريالٍ، أو تستوجب شطب الترخيص، ترفع الموضوع للمجلس لإحالته إلى ديوان المظالم.</w:t>
      </w:r>
    </w:p>
    <w:p w14:paraId="7BE3C96F" w14:textId="77777777" w:rsidR="00454428" w:rsidRPr="00645DEB"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رابعًا: يجوز للجنة أنْ تقرر تعويضًا ماليًا لصاحب حق المؤلف المعتدى عليه الذي يتقدم بالشكوى، ويكون التعويض متناسبًا مع حجم الاعتداء والضرر الذي لحق به.</w:t>
      </w:r>
    </w:p>
    <w:p w14:paraId="6CB3A50D" w14:textId="77777777" w:rsidR="00454428" w:rsidRPr="00645DEB"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خامسًا: يجوز للجنة أنْ تضمن قرارها عقوبة التشهير بحق المعتدي، ويكون النشر على نفقته وبالطريقة التي تراها اللجنة مناسبة.</w:t>
      </w:r>
    </w:p>
    <w:p w14:paraId="42CFDBFC" w14:textId="77777777" w:rsidR="00454428" w:rsidRPr="00645DEB"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سادسًا: يجوز للجنة أنْ تضمن قرارها في تعليق مشاركة المنشأة المعتدية في الأنشطة، أو المناسبات، أو المعارض، إذا ضبطت المخالفة في مناسبة تجارية، على ألا تزيد مدة التعليق على عامين.</w:t>
      </w:r>
    </w:p>
    <w:p w14:paraId="3B371A8E" w14:textId="77777777" w:rsidR="00454428" w:rsidRPr="00645DEB"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lastRenderedPageBreak/>
        <w:t xml:space="preserve">سابعًا: يجوز للجنة أنْ تصدر قرارًا مؤقتًا بوقف طبع المصنف المعتدى عليه، أو إنتاجه، أو نشره، أو توزيعه، وإجراء الحجز التحفظي على النسخ، والمواد، والصور التي استخرجت منه، أو القيام بأي إجراء مؤقت تراه ضروريًا لحماية حق المؤلف، وذلك إلى حين الفصل النهائي في الشكوى أو التظلم </w:t>
      </w:r>
      <w:r w:rsidRPr="00645DEB">
        <w:rPr>
          <w:rStyle w:val="None"/>
          <w:rFonts w:ascii="Times New Roman" w:hAnsi="Times New Roman" w:cs="Times New Roman"/>
          <w:sz w:val="24"/>
          <w:szCs w:val="24"/>
          <w:vertAlign w:val="superscript"/>
          <w:rtl/>
          <w:lang w:val="ar-SA"/>
        </w:rPr>
        <w:t>(</w:t>
      </w:r>
      <w:r w:rsidRPr="00645DEB">
        <w:rPr>
          <w:rStyle w:val="None"/>
          <w:rFonts w:ascii="Times New Roman" w:eastAsia="Times New Roman" w:hAnsi="Times New Roman" w:cs="Times New Roman"/>
          <w:sz w:val="24"/>
          <w:szCs w:val="24"/>
          <w:vertAlign w:val="superscript"/>
          <w:lang w:val="ar-SA"/>
        </w:rPr>
        <w:footnoteReference w:id="459"/>
      </w:r>
      <w:r w:rsidRPr="00645DEB">
        <w:rPr>
          <w:rStyle w:val="None"/>
          <w:rFonts w:ascii="Times New Roman" w:hAnsi="Times New Roman" w:cs="Times New Roman"/>
          <w:sz w:val="24"/>
          <w:szCs w:val="24"/>
          <w:vertAlign w:val="superscript"/>
          <w:rtl/>
          <w:lang w:val="ar-SA"/>
        </w:rPr>
        <w:t>)</w:t>
      </w:r>
      <w:r w:rsidRPr="00645DEB">
        <w:rPr>
          <w:rStyle w:val="None"/>
          <w:rFonts w:ascii="Times New Roman" w:hAnsi="Times New Roman" w:cs="Times New Roman"/>
          <w:sz w:val="24"/>
          <w:szCs w:val="24"/>
          <w:rtl/>
          <w:lang w:val="ar-SA"/>
        </w:rPr>
        <w:t>.</w:t>
      </w:r>
    </w:p>
    <w:p w14:paraId="4C02826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أنشأ نظامًا متكاملًا لحماية حقوق المؤلف، يجمع بين العقوبات المالية والبدنية والتدابير؛ بما يحقق الردع العام والخاص، ويضمن صون الحقوق الفكرية، كما أتاح النص إمكانية تشديد العقوبة في حالات التكرار، ومنح اللجنة المختصة صلاحيات واسعة لاتخاذ إجراءات تحفظية أو مؤقتة؛ لحماية المصنفات من أي اعتداء حتى يتم البت في النزاع، ويمثل هذا الإطار القانوني خطوةً مهمةً في تعزيز الحماية الجنائية للملكية الفكرية، ومواكبة التحديات التي تفرضها البيئة الرقمية؛ ممَّا يساعد على خلق بيئة إبداعية آمنة تدعم الابتكار وتحترم حقوق المبدعين</w:t>
      </w:r>
      <w:r>
        <w:rPr>
          <w:rStyle w:val="None"/>
          <w:rFonts w:ascii="Times New Roman" w:hAnsi="Times New Roman"/>
          <w:sz w:val="24"/>
          <w:szCs w:val="24"/>
          <w:rtl/>
          <w:lang w:val="ar-SA"/>
        </w:rPr>
        <w:t>.</w:t>
      </w:r>
    </w:p>
    <w:p w14:paraId="17520BA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وضح المنظم السعودي العقوبات الخاصة بالعلامات التجارية في المادة </w:t>
      </w:r>
      <w:r>
        <w:rPr>
          <w:rStyle w:val="None"/>
          <w:rFonts w:ascii="Times New Roman" w:hAnsi="Times New Roman"/>
          <w:sz w:val="24"/>
          <w:szCs w:val="24"/>
          <w:rtl/>
          <w:lang w:val="ar-SA"/>
        </w:rPr>
        <w:t xml:space="preserve">(42)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w:t>
      </w:r>
    </w:p>
    <w:p w14:paraId="4194E147" w14:textId="77777777" w:rsidR="00454428" w:rsidRDefault="00C464EC">
      <w:pPr>
        <w:pStyle w:val="ListParagraph"/>
        <w:numPr>
          <w:ilvl w:val="0"/>
          <w:numId w:val="207"/>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ثلاث سنواتٍ وبغرامة لا تقل عن خمسة آلاف ريالٍ سعوديٍّ، أو ما يعادلها بعملات دول المجلس، ولا تزيد على مليون ريال أو بإحدى هاتين العقوبتين</w:t>
      </w:r>
      <w:r>
        <w:rPr>
          <w:rStyle w:val="None"/>
          <w:rFonts w:ascii="Times New Roman" w:hAnsi="Times New Roman"/>
          <w:sz w:val="24"/>
          <w:szCs w:val="24"/>
          <w:rtl/>
          <w:lang w:val="ar-SA"/>
        </w:rPr>
        <w:t>:</w:t>
      </w:r>
    </w:p>
    <w:p w14:paraId="079326B4" w14:textId="77777777" w:rsidR="00454428" w:rsidRDefault="00C464EC">
      <w:pPr>
        <w:pStyle w:val="ListParagraph"/>
        <w:numPr>
          <w:ilvl w:val="0"/>
          <w:numId w:val="20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زوَّر علامةً تم تسجيلها طبقًا لهذا النظام، أو قلدها بطريقة تدعو إلى تضليل الجمهور، وكل من استعمل وهو سيء النية علامة مزورة أو مقلدة</w:t>
      </w:r>
      <w:r>
        <w:rPr>
          <w:rStyle w:val="None"/>
          <w:rFonts w:ascii="Times New Roman" w:hAnsi="Times New Roman"/>
          <w:sz w:val="24"/>
          <w:szCs w:val="24"/>
          <w:rtl/>
          <w:lang w:val="ar-SA"/>
        </w:rPr>
        <w:t>.</w:t>
      </w:r>
    </w:p>
    <w:p w14:paraId="33408CED" w14:textId="77777777" w:rsidR="00454428" w:rsidRDefault="00C464EC">
      <w:pPr>
        <w:pStyle w:val="ListParagraph"/>
        <w:numPr>
          <w:ilvl w:val="0"/>
          <w:numId w:val="20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وضع وهو سيء النية على سلعة أو استعمل فيما يتعلق بخدماته علامة مملوكة لغيره</w:t>
      </w:r>
      <w:r>
        <w:rPr>
          <w:rStyle w:val="None"/>
          <w:rFonts w:ascii="Times New Roman" w:hAnsi="Times New Roman"/>
          <w:sz w:val="24"/>
          <w:szCs w:val="24"/>
          <w:rtl/>
          <w:lang w:val="ar-SA"/>
        </w:rPr>
        <w:t>.</w:t>
      </w:r>
    </w:p>
    <w:p w14:paraId="4E6B2927" w14:textId="77777777" w:rsidR="00454428" w:rsidRDefault="00C464EC">
      <w:pPr>
        <w:pStyle w:val="ListParagraph"/>
        <w:numPr>
          <w:ilvl w:val="0"/>
          <w:numId w:val="210"/>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سنة، وبغرامة لا تقل عن ألف ريالٍ سعوديٍّ، أو ما يعادلها بعملات دول المجلس ولا تزيد على مائة ألف ريال أو بإحدى هاتين العقوبتين</w:t>
      </w:r>
      <w:r>
        <w:rPr>
          <w:rStyle w:val="None"/>
          <w:rFonts w:ascii="Times New Roman" w:hAnsi="Times New Roman"/>
          <w:sz w:val="24"/>
          <w:szCs w:val="24"/>
          <w:rtl/>
          <w:lang w:val="ar-SA"/>
        </w:rPr>
        <w:t>:</w:t>
      </w:r>
    </w:p>
    <w:p w14:paraId="00169AD5" w14:textId="77777777" w:rsidR="00454428" w:rsidRDefault="00C464EC">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باع، أو عرض للبيع، أو للتداول أو حاز بقصد البيع سلعًا عليها علامة مزورة؛ أو مقلدة، أو موضوعة، أو مستعملة بغير حق مع علمه بذلك، وكذلك كل من عرض خدمات في ظل هذه العلامة</w:t>
      </w:r>
      <w:r>
        <w:rPr>
          <w:rStyle w:val="None"/>
          <w:rFonts w:ascii="Times New Roman" w:hAnsi="Times New Roman"/>
          <w:sz w:val="24"/>
          <w:szCs w:val="24"/>
          <w:rtl/>
          <w:lang w:val="ar-SA"/>
        </w:rPr>
        <w:t>.</w:t>
      </w:r>
    </w:p>
    <w:p w14:paraId="7E3E92CD" w14:textId="77777777" w:rsidR="00454428" w:rsidRDefault="00C464EC">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كلُّ من استعمل علامةً غير مسجلة في الأحوال المنصوص عليها في البنود </w:t>
      </w:r>
      <w:r>
        <w:rPr>
          <w:rStyle w:val="None"/>
          <w:rFonts w:ascii="Times New Roman" w:hAnsi="Times New Roman"/>
          <w:sz w:val="24"/>
          <w:szCs w:val="24"/>
          <w:rtl/>
          <w:lang w:val="ar-SA"/>
        </w:rPr>
        <w:t>(</w:t>
      </w:r>
      <w:r>
        <w:rPr>
          <w:rStyle w:val="None"/>
          <w:rFonts w:cs="Times New Roman"/>
          <w:sz w:val="24"/>
          <w:szCs w:val="24"/>
          <w:rtl/>
          <w:lang w:val="ar-SA"/>
        </w:rPr>
        <w:t xml:space="preserve">من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من المادة </w:t>
      </w:r>
      <w:r>
        <w:rPr>
          <w:rStyle w:val="None"/>
          <w:rFonts w:ascii="Times New Roman" w:hAnsi="Times New Roman"/>
          <w:sz w:val="24"/>
          <w:szCs w:val="24"/>
          <w:rtl/>
          <w:lang w:val="ar-SA"/>
        </w:rPr>
        <w:t>(3).</w:t>
      </w:r>
    </w:p>
    <w:p w14:paraId="4192AFDF" w14:textId="77777777" w:rsidR="00454428" w:rsidRDefault="00C464EC">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دوَّن بغير حق على علامته، أو أوراقه، أو مستنداته التجارية ما يؤدي إلى الاعتقاد بحصول تسجيل العلامة</w:t>
      </w:r>
      <w:r>
        <w:rPr>
          <w:rStyle w:val="None"/>
          <w:rFonts w:ascii="Times New Roman" w:hAnsi="Times New Roman"/>
          <w:sz w:val="24"/>
          <w:szCs w:val="24"/>
          <w:rtl/>
          <w:lang w:val="ar-SA"/>
        </w:rPr>
        <w:t>.</w:t>
      </w:r>
    </w:p>
    <w:p w14:paraId="3371C69E" w14:textId="77777777" w:rsidR="00454428" w:rsidRDefault="00C464EC">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تعمد وهو سيء النية إغفال وضع علامته التجارية المسجلة على السلع أو الخدمات التي تميزها</w:t>
      </w:r>
      <w:r>
        <w:rPr>
          <w:rStyle w:val="None"/>
          <w:rFonts w:ascii="Times New Roman" w:hAnsi="Times New Roman"/>
          <w:sz w:val="24"/>
          <w:szCs w:val="24"/>
          <w:rtl/>
          <w:lang w:val="ar-SA"/>
        </w:rPr>
        <w:t>.</w:t>
      </w:r>
    </w:p>
    <w:p w14:paraId="2EDD759D" w14:textId="77777777" w:rsidR="00454428" w:rsidRDefault="00C464EC">
      <w:pPr>
        <w:pStyle w:val="ListParagraph"/>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كلُّ من حاز أدوات أو مواد بقصد استعمالها في تقليد أو تزوير العلامات التجارية المسجلة أو المشهورة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0F5D63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أرسى نظامًا صارمًا لحماية العلامات التجارية؛ يهدف إلى مواجهة جميع أشكال التزوير والتقليد والاستعمال غير المشروع، سواء في مراحل الإنتاج أو العرض أو التداول، وقد جمع النص بين الجزاءات السالبة للحرية والعقوبات المالية، مع تشديدها في حالات سوء النية؛ ممَّا يحقق ردعًا فعَّالًا، ويحافظ على الثقة في السوق، ويحمي المستهلكين من التضليل، كما أنَّ هذه العقوبات تأخذ في الاعتبار خطورة الفعل وتأثيره على المنافسة المشروعة؛ ممَّا يجعلها أداةً أساسيةً لتعزيز بيئة تجارية نزيهة وحماية حقوق أصحاب العلامات تجاه التحديات التقليدية والرقمية على حد سواء</w:t>
      </w:r>
      <w:r>
        <w:rPr>
          <w:rStyle w:val="None"/>
          <w:rFonts w:ascii="Times New Roman" w:hAnsi="Times New Roman"/>
          <w:sz w:val="24"/>
          <w:szCs w:val="24"/>
          <w:rtl/>
          <w:lang w:val="ar-SA"/>
        </w:rPr>
        <w:t xml:space="preserve">. </w:t>
      </w:r>
    </w:p>
    <w:p w14:paraId="7226B43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عقوبةَ العود من خلال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حالة العود يعاقب العائد بعقوبة لا تزيد عن ضعف الحد الأقصى للعقوبة المقررة للمخالفة، مع إغلاق المحل التجاري أو المشروع لمدة لا تقل عن خمسة عشر يومًا، ولا تزيد عن ستة أشهرٍ، مع نشر الحكم على نفقة المخالف وفقًا للإجراءات التي تحددها اللائحة التنفيذية</w:t>
      </w:r>
      <w:r>
        <w:rPr>
          <w:rStyle w:val="None"/>
          <w:rFonts w:ascii="Times New Roman" w:hAnsi="Times New Roman"/>
          <w:sz w:val="24"/>
          <w:szCs w:val="24"/>
          <w:rtl/>
          <w:lang w:val="ar-SA"/>
        </w:rPr>
        <w:t>.</w:t>
      </w:r>
    </w:p>
    <w:p w14:paraId="51DCBEC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عائدًا في تطبيق أحكام هذا النظام من حكم عليه في مخالفة من المخالفات المنصوص عليه فيه وعاد إلى ارتكاب مخالفةً أخرى مماثلةً خلال ثلاث سنواتٍ من تاريخ الحكم عليه نهائيًا في المخالفة السابقة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90D0C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شدد الجزاء في حالة العود؛ وذلك إدراكًا منه لخطورة تكرار المخالفة، وما تمثله من استخفاف بالقوانين والأنظمة، فقد أتاح النص مضاعفة الحد الأقصى للعقوبة المقررة، بالإضافة إلى إمكانية إغلاق المحل التجاري أو المشروع لفترة محددة، مع نشر الحكم على نفقة المخالف؛ ممَّا يعزّز من الردع العام والخاص، كما حدد النظام مفهوم العود بدقة؛ لضمان وضوع التطبيق؛ ممَّا يعكس حرص المشرع على مواجهة المخالفات الممنهجة وحماية بيئة التجارة من الممارسات غير المشروعة</w:t>
      </w:r>
      <w:r>
        <w:rPr>
          <w:rStyle w:val="None"/>
          <w:rFonts w:ascii="Times New Roman" w:hAnsi="Times New Roman"/>
          <w:sz w:val="24"/>
          <w:szCs w:val="24"/>
          <w:rtl/>
          <w:lang w:val="ar-SA"/>
        </w:rPr>
        <w:t>.</w:t>
      </w:r>
    </w:p>
    <w:p w14:paraId="7AA7653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ورغم ذلك لا زالت العقوبات المقررة على انتهاك حق المؤلف غير كافية لتحقيق الردع الفعلي مع الوضع في الاعتبار صعوبة مطاردة منتهكي حقوق الملكية خصوصا إن كانت الاعتداء واقع في دولة أخرى، الأمر ا لذي يتطلب تشديد العقوبات المقررة على الجرائم المتعلقة بانتهاك حقوق الملكية الفكرية</w:t>
      </w:r>
      <w:r>
        <w:rPr>
          <w:rStyle w:val="None"/>
          <w:rFonts w:ascii="Times New Roman" w:hAnsi="Times New Roman"/>
          <w:sz w:val="24"/>
          <w:szCs w:val="24"/>
          <w:rtl/>
          <w:lang w:val="ar-SA"/>
        </w:rPr>
        <w:t>.</w:t>
      </w:r>
    </w:p>
    <w:p w14:paraId="02E3154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CB2EE1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7660C1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0EB476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D1FA50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31772636" w14:textId="77777777" w:rsidR="00454428" w:rsidRDefault="00C464EC" w:rsidP="00C72BA8">
      <w:pPr>
        <w:pStyle w:val="a"/>
        <w:rPr>
          <w:rStyle w:val="None"/>
          <w:rtl/>
          <w:lang w:val="ar-SA"/>
        </w:rPr>
      </w:pPr>
      <w:bookmarkStart w:id="250" w:name="_Toc227251140"/>
      <w:bookmarkStart w:id="251" w:name="_Toc232260697"/>
      <w:r>
        <w:rPr>
          <w:rStyle w:val="None"/>
          <w:rFonts w:ascii="Arial Unicode MS" w:eastAsia="Arial Unicode MS" w:hAnsi="Arial Unicode MS" w:hint="cs"/>
          <w:rtl/>
          <w:lang w:val="ar-SA"/>
        </w:rPr>
        <w:lastRenderedPageBreak/>
        <w:t>المطلب الثاني</w:t>
      </w:r>
      <w:bookmarkEnd w:id="250"/>
      <w:bookmarkEnd w:id="251"/>
    </w:p>
    <w:p w14:paraId="4301AF7F" w14:textId="77777777" w:rsidR="00454428" w:rsidRDefault="00C464EC" w:rsidP="00C72BA8">
      <w:pPr>
        <w:pStyle w:val="a"/>
        <w:rPr>
          <w:rStyle w:val="None"/>
          <w:rtl/>
          <w:lang w:val="ar-SA"/>
        </w:rPr>
      </w:pPr>
      <w:bookmarkStart w:id="252" w:name="_Toc227251141"/>
      <w:bookmarkStart w:id="253" w:name="_Toc232260698"/>
      <w:r>
        <w:rPr>
          <w:rStyle w:val="None"/>
          <w:rFonts w:ascii="Arial Unicode MS" w:eastAsia="Arial Unicode MS" w:hAnsi="Arial Unicode MS" w:hint="cs"/>
          <w:rtl/>
          <w:lang w:val="ar-SA"/>
        </w:rPr>
        <w:t>الحماية الجنائية للملكية الفكرية في البيئة الرقمية في النظامين الفَرنسي والأمريكي</w:t>
      </w:r>
      <w:bookmarkEnd w:id="252"/>
      <w:bookmarkEnd w:id="253"/>
    </w:p>
    <w:p w14:paraId="32B678B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تشكيل مجتمع المعلومات إلى إزالة الطابع المادي لحماية حقوق الملكية الفكرية، وتكتسب الكيانات العاملة في البيئة الرقمية وضعًا قانونيًا معينًا كمشاركين فرديين في هذه العلاقات القانونية، ويعود ذلك إلى تعديلات قانون حقوق التأليف والنشر، وقد أدى تطبيق الرقمنة حتمًا إلى تحول جذري؛ ممَّا تطلب تعديل الإطار القانوني لحقوق التأليف والنشر، الذي كان قائمًا سابقًا على الأصول الملموسة، ويتضمن قانون الملكية الفكرية مجموعةً من قواعد القانون المدني وقانون المعلومات التي تنظم علاقة الاعتراف بالتأليف وحماية أعمال العلوم، والأدب، والفنون، وتتزايد أهمية حماية الملكية الفكرية من الجريمة بشكل خاص مع تطوُّر السوق العالمية للتقنيات المتقدمة؛ ممَّا يتطلب توفير الحماية الجنائية للملكية الفكرية</w:t>
      </w:r>
      <w:r>
        <w:rPr>
          <w:rStyle w:val="None"/>
          <w:rFonts w:ascii="Times New Roman" w:hAnsi="Times New Roman"/>
          <w:sz w:val="24"/>
          <w:szCs w:val="24"/>
          <w:rtl/>
          <w:lang w:val="ar-SA"/>
        </w:rPr>
        <w:t>.</w:t>
      </w:r>
      <w:r w:rsidRPr="00645DEB">
        <w:rPr>
          <w:rStyle w:val="None"/>
          <w:rFonts w:ascii="Times New Roman" w:hAnsi="Times New Roman"/>
          <w:sz w:val="20"/>
          <w:szCs w:val="20"/>
          <w:vertAlign w:val="superscript"/>
          <w:rtl/>
          <w:lang w:val="ar-SA"/>
        </w:rPr>
        <w:t>(</w:t>
      </w:r>
      <w:r w:rsidRPr="00645DEB">
        <w:rPr>
          <w:rStyle w:val="None"/>
          <w:rFonts w:ascii="Times New Roman" w:eastAsia="Times New Roman" w:hAnsi="Times New Roman" w:cs="Times New Roman"/>
          <w:sz w:val="20"/>
          <w:szCs w:val="20"/>
          <w:vertAlign w:val="superscript"/>
          <w:lang w:val="ar-SA"/>
        </w:rPr>
        <w:footnoteReference w:id="462"/>
      </w:r>
      <w:r w:rsidRPr="00645DEB">
        <w:rPr>
          <w:rStyle w:val="None"/>
          <w:rFonts w:ascii="Times New Roman" w:hAnsi="Times New Roman"/>
          <w:sz w:val="20"/>
          <w:szCs w:val="20"/>
          <w:vertAlign w:val="superscript"/>
          <w:rtl/>
          <w:lang w:val="ar-SA"/>
        </w:rPr>
        <w:t>)</w:t>
      </w:r>
    </w:p>
    <w:p w14:paraId="1D422607" w14:textId="77777777" w:rsidR="00454428" w:rsidRDefault="00C464EC"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وتُوفر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النشر، وبراءات الاختراع، والعلامات التجارية، وما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الحماية القانونية التي يعتمد عليها المؤلفون، والمخترعون، والشركات، والباحثون، وغيرهم لحماية إبداعاتهم، وتُحدد حقوق الملكية الفكرية الاستخدام القانوني للعمل الإبداعي،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ضرورية لضمان مكافأة المؤلفين على جهودهم،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أثار ظهور الإنترنت تحديًا جديدًا وغير متوقع؛ ممَّا زاد من صعوبة تحقيق التوازن، وعزّز بيئةً شديدة الحماية تُعتبر فيها الأعمال مماثلةً للخصائص المادية، مع منح أصحاب الحقوق سيطرةً واسعةً عليها، وهو ما تطلب توفير الحماية الجنائية للملكية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3"/>
      </w:r>
      <w:r>
        <w:rPr>
          <w:rStyle w:val="None"/>
          <w:rFonts w:ascii="Times New Roman" w:hAnsi="Times New Roman"/>
          <w:sz w:val="24"/>
          <w:szCs w:val="24"/>
          <w:vertAlign w:val="superscript"/>
          <w:rtl/>
          <w:lang w:val="ar-SA"/>
        </w:rPr>
        <w:t>)</w:t>
      </w:r>
    </w:p>
    <w:p w14:paraId="0DB9A5B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جميع حقوق الملكية الفكرية إلى ثلاث فئاتٍ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وتُعَدُّ حقوق الطبع والنشر من أصعب المفاهيم فهمًا في العالم الرقمي، وذلك لسببين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تسمح الوسائط الرقمية بطبيعتها بإعادة إنتاج مثالية ومنخفضة التكلفة للمواد المحمية بحقوق الطبع والنشر،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تستند معظم نماذج الأعمال المتعلقة بالبيانات الرقمية إلى افتراض أنَّ</w:t>
      </w:r>
      <w:r>
        <w:rPr>
          <w:rStyle w:val="None"/>
          <w:rFonts w:ascii="Times New Roman" w:hAnsi="Times New Roman"/>
          <w:sz w:val="24"/>
          <w:szCs w:val="24"/>
          <w:rtl/>
          <w:lang w:val="ar-SA"/>
        </w:rPr>
        <w:t xml:space="preserve">: </w:t>
      </w:r>
      <w:r w:rsidRPr="00645DEB">
        <w:rPr>
          <w:rStyle w:val="None"/>
          <w:rFonts w:ascii="Times New Roman" w:hAnsi="Times New Roman"/>
          <w:sz w:val="20"/>
          <w:szCs w:val="20"/>
          <w:vertAlign w:val="superscript"/>
          <w:rtl/>
          <w:lang w:val="ar-SA"/>
        </w:rPr>
        <w:t>(1)</w:t>
      </w:r>
      <w:r w:rsidRPr="00645DEB">
        <w:rPr>
          <w:rStyle w:val="None"/>
          <w:rFonts w:ascii="Times New Roman" w:hAnsi="Times New Roman"/>
          <w:sz w:val="20"/>
          <w:szCs w:val="20"/>
          <w:rtl/>
          <w:lang w:val="ar-SA"/>
        </w:rPr>
        <w:t xml:space="preserve"> </w:t>
      </w:r>
      <w:r>
        <w:rPr>
          <w:rStyle w:val="None"/>
          <w:rFonts w:ascii="Arial Unicode MS" w:hAnsi="Arial Unicode MS" w:cs="Times New Roman" w:hint="cs"/>
          <w:sz w:val="24"/>
          <w:szCs w:val="24"/>
          <w:rtl/>
          <w:lang w:val="ar-SA"/>
        </w:rPr>
        <w:t xml:space="preserve">المنتج يمتلك حقوق الطبع والنشر على بعض أو كل البيانات، </w:t>
      </w:r>
      <w:r w:rsidRPr="00645DEB">
        <w:rPr>
          <w:rStyle w:val="None"/>
          <w:rFonts w:ascii="Times New Roman" w:hAnsi="Times New Roman"/>
          <w:sz w:val="20"/>
          <w:szCs w:val="20"/>
          <w:vertAlign w:val="superscript"/>
          <w:rtl/>
          <w:lang w:val="ar-SA"/>
        </w:rPr>
        <w:t>(2)</w:t>
      </w:r>
      <w:r w:rsidRPr="00645DEB">
        <w:rPr>
          <w:rStyle w:val="None"/>
          <w:rFonts w:ascii="Times New Roman" w:hAnsi="Times New Roman"/>
          <w:sz w:val="20"/>
          <w:szCs w:val="20"/>
          <w:rtl/>
          <w:lang w:val="ar-SA"/>
        </w:rPr>
        <w:t xml:space="preserve"> </w:t>
      </w:r>
      <w:r>
        <w:rPr>
          <w:rStyle w:val="None"/>
          <w:rFonts w:ascii="Arial Unicode MS" w:hAnsi="Arial Unicode MS" w:cs="Times New Roman" w:hint="cs"/>
          <w:sz w:val="24"/>
          <w:szCs w:val="24"/>
          <w:rtl/>
          <w:lang w:val="ar-SA"/>
        </w:rPr>
        <w:t>يمكن لمالك البيانات المحمية بحقوق الطبع والنشر إنشاء شبكة من العقود التي تُحيط بالبيانات نفسها وأدوات عرضها وتعديلها،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يجب أنْ يُدرك مُصمم الملكية الرقمية أنَّه يتمتع بحرية اختيار إعلان العمل المُنتج كحقوق طبع ونشر، ولكل نوع من أنواع الملكية الفكرية قواعد مُختلفة تُنظم إصداره ومدته وانتهاكه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4"/>
      </w:r>
      <w:r>
        <w:rPr>
          <w:rStyle w:val="None"/>
          <w:rFonts w:ascii="Times New Roman" w:hAnsi="Times New Roman"/>
          <w:sz w:val="24"/>
          <w:szCs w:val="24"/>
          <w:vertAlign w:val="superscript"/>
          <w:rtl/>
          <w:lang w:val="ar-SA"/>
        </w:rPr>
        <w:t>)</w:t>
      </w:r>
    </w:p>
    <w:p w14:paraId="26167EA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480475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6E12E9C5"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فقد تُقسّم حقوق الملكية الفكرية عادةً إلى قسمين رئيسيين</w:t>
      </w:r>
      <w:r>
        <w:rPr>
          <w:rStyle w:val="None"/>
          <w:rFonts w:ascii="Times New Roman" w:hAnsi="Times New Roman"/>
          <w:b/>
          <w:bCs/>
          <w:sz w:val="24"/>
          <w:szCs w:val="24"/>
          <w:rtl/>
          <w:lang w:val="ar-SA"/>
        </w:rPr>
        <w:t>:</w:t>
      </w:r>
      <w:r>
        <w:rPr>
          <w:rStyle w:val="None"/>
          <w:rFonts w:ascii="Times New Roman" w:hAnsi="Times New Roman"/>
          <w:b/>
          <w:bCs/>
          <w:sz w:val="24"/>
          <w:szCs w:val="24"/>
          <w:vertAlign w:val="superscript"/>
          <w:rtl/>
          <w:lang w:val="ar-SA"/>
        </w:rPr>
        <w:t xml:space="preserve"> (</w:t>
      </w:r>
      <w:r>
        <w:rPr>
          <w:rStyle w:val="None"/>
          <w:rFonts w:ascii="Times New Roman" w:eastAsia="Times New Roman" w:hAnsi="Times New Roman" w:cs="Times New Roman"/>
          <w:b/>
          <w:bCs/>
          <w:sz w:val="24"/>
          <w:szCs w:val="24"/>
          <w:vertAlign w:val="superscript"/>
          <w:lang w:val="ar-SA"/>
        </w:rPr>
        <w:footnoteReference w:id="465"/>
      </w:r>
      <w:r>
        <w:rPr>
          <w:rStyle w:val="None"/>
          <w:rFonts w:ascii="Times New Roman" w:hAnsi="Times New Roman"/>
          <w:b/>
          <w:bCs/>
          <w:sz w:val="24"/>
          <w:szCs w:val="24"/>
          <w:vertAlign w:val="superscript"/>
          <w:rtl/>
          <w:lang w:val="ar-SA"/>
        </w:rPr>
        <w:t>)</w:t>
      </w:r>
    </w:p>
    <w:p w14:paraId="669F1C61" w14:textId="77777777" w:rsidR="00454428" w:rsidRDefault="00C464EC">
      <w:pPr>
        <w:pStyle w:val="ListParagraph"/>
        <w:numPr>
          <w:ilvl w:val="0"/>
          <w:numId w:val="21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المؤلف والحقوق المرتبطة به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تتمتع حقوق مؤلفي الأعمال الأدبية والفنية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الأخرى، والمقطوعات الموسيقية، واللوحات، والمنحوتات، وبرامج الحاسوب، والأفلام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بالحماية بموجب حق المؤلف، لمدة لا تقل عن </w:t>
      </w:r>
      <w:r>
        <w:rPr>
          <w:rStyle w:val="None"/>
          <w:rFonts w:ascii="Times New Roman" w:hAnsi="Times New Roman"/>
          <w:sz w:val="24"/>
          <w:szCs w:val="24"/>
          <w:rtl/>
          <w:lang w:val="ar-SA"/>
        </w:rPr>
        <w:t xml:space="preserve">50 </w:t>
      </w:r>
      <w:r>
        <w:rPr>
          <w:rStyle w:val="None"/>
          <w:rFonts w:cs="Times New Roman"/>
          <w:sz w:val="24"/>
          <w:szCs w:val="24"/>
          <w:rtl/>
          <w:lang w:val="ar-SA"/>
        </w:rPr>
        <w:t xml:space="preserve">عامًا بعد وفاة المؤلف، كما يتمتع فنانو الأداء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الممثلين، والمغنين، والموسيقيين</w:t>
      </w:r>
      <w:r>
        <w:rPr>
          <w:rStyle w:val="None"/>
          <w:rFonts w:ascii="Times New Roman" w:hAnsi="Times New Roman"/>
          <w:sz w:val="24"/>
          <w:szCs w:val="24"/>
          <w:rtl/>
          <w:lang w:val="ar-SA"/>
        </w:rPr>
        <w:t>)</w:t>
      </w:r>
      <w:r>
        <w:rPr>
          <w:rStyle w:val="None"/>
          <w:rFonts w:cs="Times New Roman"/>
          <w:sz w:val="24"/>
          <w:szCs w:val="24"/>
          <w:rtl/>
          <w:lang w:val="ar-SA"/>
        </w:rPr>
        <w:t xml:space="preserve">، ومنتجو التسجيلات الصوتية </w:t>
      </w:r>
      <w:r>
        <w:rPr>
          <w:rStyle w:val="None"/>
          <w:rFonts w:ascii="Times New Roman" w:hAnsi="Times New Roman"/>
          <w:sz w:val="24"/>
          <w:szCs w:val="24"/>
          <w:rtl/>
          <w:lang w:val="ar-SA"/>
        </w:rPr>
        <w:t>(</w:t>
      </w:r>
      <w:r>
        <w:rPr>
          <w:rStyle w:val="None"/>
          <w:rFonts w:cs="Times New Roman"/>
          <w:sz w:val="24"/>
          <w:szCs w:val="24"/>
          <w:rtl/>
          <w:lang w:val="ar-SA"/>
        </w:rPr>
        <w:t>التسجيلات الصوتية</w:t>
      </w:r>
      <w:r>
        <w:rPr>
          <w:rStyle w:val="None"/>
          <w:rFonts w:ascii="Times New Roman" w:hAnsi="Times New Roman"/>
          <w:sz w:val="24"/>
          <w:szCs w:val="24"/>
          <w:rtl/>
          <w:lang w:val="ar-SA"/>
        </w:rPr>
        <w:t>)</w:t>
      </w:r>
      <w:r>
        <w:rPr>
          <w:rStyle w:val="None"/>
          <w:rFonts w:cs="Times New Roman"/>
          <w:sz w:val="24"/>
          <w:szCs w:val="24"/>
          <w:rtl/>
          <w:lang w:val="ar-SA"/>
        </w:rPr>
        <w:t>، وهيئات البث بالحماية بموجب حق المؤلف والحقوق المجاورة، ويتمثل الهدف الاجتماعي الرئيسي لحماية حق المؤلف والحقوق المرتبطة به في تشجيع العمل الإبداعي ومكافأته</w:t>
      </w:r>
      <w:r>
        <w:rPr>
          <w:rStyle w:val="None"/>
          <w:rFonts w:ascii="Times New Roman" w:hAnsi="Times New Roman"/>
          <w:sz w:val="24"/>
          <w:szCs w:val="24"/>
          <w:rtl/>
          <w:lang w:val="ar-SA"/>
        </w:rPr>
        <w:t>.</w:t>
      </w:r>
    </w:p>
    <w:p w14:paraId="0110B226" w14:textId="77777777" w:rsidR="00454428" w:rsidRDefault="00C464EC">
      <w:pPr>
        <w:pStyle w:val="ListParagraph"/>
        <w:numPr>
          <w:ilvl w:val="0"/>
          <w:numId w:val="21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الملكية الصناعية</w:t>
      </w:r>
      <w:r>
        <w:rPr>
          <w:rStyle w:val="None"/>
          <w:rFonts w:ascii="Times New Roman" w:hAnsi="Times New Roman"/>
          <w:b/>
          <w:bCs/>
          <w:sz w:val="24"/>
          <w:szCs w:val="24"/>
          <w:rtl/>
          <w:lang w:val="ar-SA"/>
        </w:rPr>
        <w:t>:</w:t>
      </w:r>
      <w:r>
        <w:rPr>
          <w:rStyle w:val="None"/>
          <w:rFonts w:cs="Times New Roman"/>
          <w:sz w:val="24"/>
          <w:szCs w:val="24"/>
          <w:rtl/>
          <w:lang w:val="ar-SA"/>
        </w:rPr>
        <w:t xml:space="preserve"> يمكن تقسيم الملكية الصناعية إلى مجالين رئيسيين</w:t>
      </w:r>
      <w:r>
        <w:rPr>
          <w:rStyle w:val="None"/>
          <w:rFonts w:ascii="Times New Roman" w:hAnsi="Times New Roman"/>
          <w:sz w:val="24"/>
          <w:szCs w:val="24"/>
          <w:rtl/>
          <w:lang w:val="ar-SA"/>
        </w:rPr>
        <w:t xml:space="preserve">: </w:t>
      </w:r>
      <w:r>
        <w:rPr>
          <w:rStyle w:val="None"/>
          <w:rFonts w:cs="Times New Roman"/>
          <w:sz w:val="24"/>
          <w:szCs w:val="24"/>
          <w:rtl/>
          <w:lang w:val="ar-SA"/>
        </w:rPr>
        <w:t>يُعرّف المجال الأول بأنَّه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حماية العلامات المميزة، وتحديدًا العلامات التجارية </w:t>
      </w:r>
      <w:r>
        <w:rPr>
          <w:rStyle w:val="None"/>
          <w:rFonts w:ascii="Times New Roman" w:hAnsi="Times New Roman"/>
          <w:sz w:val="24"/>
          <w:szCs w:val="24"/>
          <w:rtl/>
          <w:lang w:val="ar-SA"/>
        </w:rPr>
        <w:t>(</w:t>
      </w:r>
      <w:r>
        <w:rPr>
          <w:rStyle w:val="None"/>
          <w:rFonts w:cs="Times New Roman"/>
          <w:sz w:val="24"/>
          <w:szCs w:val="24"/>
          <w:rtl/>
          <w:lang w:val="ar-SA"/>
        </w:rPr>
        <w:t>التي تُميّز سلع أو خدمات منشأة ما عن سلع أو خدمات منشآت أخرى</w:t>
      </w:r>
      <w:r>
        <w:rPr>
          <w:rStyle w:val="None"/>
          <w:rFonts w:ascii="Times New Roman" w:hAnsi="Times New Roman"/>
          <w:sz w:val="24"/>
          <w:szCs w:val="24"/>
          <w:rtl/>
          <w:lang w:val="ar-SA"/>
        </w:rPr>
        <w:t>)</w:t>
      </w:r>
      <w:r>
        <w:rPr>
          <w:rStyle w:val="None"/>
          <w:rFonts w:cs="Times New Roman"/>
          <w:sz w:val="24"/>
          <w:szCs w:val="24"/>
          <w:rtl/>
          <w:lang w:val="ar-SA"/>
        </w:rPr>
        <w:t xml:space="preserve">، والمؤشرات الجغرافية </w:t>
      </w:r>
      <w:r>
        <w:rPr>
          <w:rStyle w:val="None"/>
          <w:rFonts w:ascii="Times New Roman" w:hAnsi="Times New Roman"/>
          <w:sz w:val="24"/>
          <w:szCs w:val="24"/>
          <w:rtl/>
          <w:lang w:val="ar-SA"/>
        </w:rPr>
        <w:t>(</w:t>
      </w:r>
      <w:r>
        <w:rPr>
          <w:rStyle w:val="None"/>
          <w:rFonts w:cs="Times New Roman"/>
          <w:sz w:val="24"/>
          <w:szCs w:val="24"/>
          <w:rtl/>
          <w:lang w:val="ar-SA"/>
        </w:rPr>
        <w:t>التي تُعرّف السلعة بأنَّها صادرة من مكان تُعزى فيه سمة مُحددة للسلعة أساسًا إلى منشأها الجغرافي</w:t>
      </w:r>
      <w:r>
        <w:rPr>
          <w:rStyle w:val="None"/>
          <w:rFonts w:ascii="Times New Roman" w:hAnsi="Times New Roman"/>
          <w:sz w:val="24"/>
          <w:szCs w:val="24"/>
          <w:rtl/>
          <w:lang w:val="ar-SA"/>
        </w:rPr>
        <w:t>)</w:t>
      </w:r>
      <w:r>
        <w:rPr>
          <w:rStyle w:val="None"/>
          <w:rFonts w:cs="Times New Roman"/>
          <w:sz w:val="24"/>
          <w:szCs w:val="24"/>
          <w:rtl/>
          <w:lang w:val="ar-SA"/>
        </w:rPr>
        <w:t>، وتهدف حماية هذه العلامات المميزة إلى تحفيز وضمان المنافسة العادلة، وحماية المستهلكين، من خلال تمكينهم من اتخاذ خياراتٍ مدروسةٍ بين مختلف السلع والخدمات، ويجوز أنْ تستمر الحماية لأجل غير مسمى، شريطة أنْ تظل العلامة المعنية مميزةً</w:t>
      </w:r>
      <w:r>
        <w:rPr>
          <w:rStyle w:val="None"/>
          <w:rFonts w:ascii="Times New Roman" w:hAnsi="Times New Roman"/>
          <w:sz w:val="24"/>
          <w:szCs w:val="24"/>
          <w:rtl/>
          <w:lang w:val="ar-SA"/>
        </w:rPr>
        <w:t>.</w:t>
      </w:r>
    </w:p>
    <w:p w14:paraId="788F076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الملكية الفكرية جميع أنواع الإبداعات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الاختراعات الصناعية، والأعمال الأدبية والفنية، والتصاميم الصناعية، أو الرموز والأسماء والصور المميزة المستخدمة في التجارة، وتتمتع الملكية الفكرية بحماية قانونية بموجب حقوق حصرية، وتنقسم هذه الحقوق عادةً إلى فئتين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وحقوق التأليف والنشر، 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براءات الاختراع، والعلامات التجارية، والتصاميم الصناعية، أما حقوق التأليف والنشر، فتشمل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جميع أنواع الأعمال الفنية،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الكتابات، والموسيقى، والأفلام، واللوحات، والمنحوتات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6"/>
      </w:r>
      <w:r>
        <w:rPr>
          <w:rStyle w:val="None"/>
          <w:rFonts w:ascii="Times New Roman" w:hAnsi="Times New Roman"/>
          <w:sz w:val="24"/>
          <w:szCs w:val="24"/>
          <w:vertAlign w:val="superscript"/>
          <w:rtl/>
          <w:lang w:val="ar-SA"/>
        </w:rPr>
        <w:t>)</w:t>
      </w:r>
    </w:p>
    <w:p w14:paraId="14ABAEEF" w14:textId="6816D9CA" w:rsidR="00454428" w:rsidRPr="00C72BA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تخضع الملكية الفكرية في البيئات الرقمية وأنظمة الحاسوب أيضًا للحماية القانونية، وتحظى هذه الحقوق بالحماية بشكل رئيسي بموجب قانون حقوق الملكية، ويمكن لبعضها أنْ يحظى أيضًا بحماية براءات الاختراع، وقد تتمتع الخصائص التقنية لبرامج الحاسوب، أي مزيج الأجهزة والبرمجيات، بحماية قانونية بموجب براءات الاختراع، ويخضع برنامج الحاسوب، باعتباره ترتيبًا للأحرف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الأصفار والآحاد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للحماية كعمل أدبي وحماية بموجب قانون حقوق النشر، كما تتمتع بعض عناصر الملكية الفكرية في البيئة الرقمية بحماية خاصة، والتي يمكن استخدامها كحماية مستقلة أو مكملة </w:t>
      </w:r>
      <w:r>
        <w:rPr>
          <w:rStyle w:val="None"/>
          <w:rFonts w:ascii="Arial Unicode MS" w:hAnsi="Arial Unicode MS" w:cs="Times New Roman" w:hint="cs"/>
          <w:sz w:val="24"/>
          <w:szCs w:val="24"/>
          <w:rtl/>
          <w:lang w:val="ar-SA"/>
        </w:rPr>
        <w:lastRenderedPageBreak/>
        <w:t>لقانون حقوق النشر، ويتحقق الربح المادي لعناصر الملكية الفكرية في البيئة الرقمية من خلال إدارة الحقوق على هذه العناصر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7"/>
      </w:r>
      <w:r>
        <w:rPr>
          <w:rStyle w:val="None"/>
          <w:rFonts w:ascii="Times New Roman" w:hAnsi="Times New Roman"/>
          <w:sz w:val="24"/>
          <w:szCs w:val="24"/>
          <w:vertAlign w:val="superscript"/>
          <w:rtl/>
          <w:lang w:val="ar-SA"/>
        </w:rPr>
        <w:t>)</w:t>
      </w:r>
    </w:p>
    <w:p w14:paraId="79AC7C88" w14:textId="77777777" w:rsidR="00645DEB" w:rsidRDefault="00645DEB" w:rsidP="00C72BA8">
      <w:pPr>
        <w:pStyle w:val="Body"/>
        <w:spacing w:before="120" w:after="120" w:line="360" w:lineRule="auto"/>
        <w:jc w:val="both"/>
        <w:rPr>
          <w:rStyle w:val="None"/>
          <w:rFonts w:ascii="Arial Unicode MS" w:hAnsi="Arial Unicode MS" w:cs="Times New Roman"/>
          <w:b/>
          <w:bCs/>
          <w:sz w:val="24"/>
          <w:szCs w:val="24"/>
          <w:rtl/>
          <w:lang w:val="ar-SA"/>
        </w:rPr>
      </w:pPr>
    </w:p>
    <w:p w14:paraId="1962B402" w14:textId="37314EE5" w:rsidR="00454428" w:rsidRDefault="00C464EC"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الحماية الجنائية للملكية الفكرية في البيئة الرقمية في النظام الأمريكي</w:t>
      </w:r>
      <w:r>
        <w:rPr>
          <w:rStyle w:val="None"/>
          <w:rFonts w:ascii="Times New Roman" w:hAnsi="Times New Roman"/>
          <w:b/>
          <w:bCs/>
          <w:sz w:val="24"/>
          <w:szCs w:val="24"/>
          <w:rtl/>
          <w:lang w:val="ar-SA"/>
        </w:rPr>
        <w:t>:</w:t>
      </w:r>
    </w:p>
    <w:p w14:paraId="7AA0788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ساهم التقدم التكنولوجي وتغيرات البيئة الاقتصادية في تطوُّر حقوق الملكية الفكرية في الولايات المتحدة الأمريكية؛ حيث توسع نطاق حماية حقوق النشر ليشمل الوسائط الرقمية؛ ممَّا يعكس الأهمية المتزايدة للمحتوى الرقمي، وشهدت طلبات براءات الاختراع المتعلقة بالابتكارات التكنولوجية والبرمجية زيادة ملحوظة؛ ممَّا يُبرز دور براءات الاختراع في حماية التقدم التكنولوجي، كما شهدت تسجيلات العلامات التجارية ارتفاعًا ملحوظًا؛ نتيجةً لعولمة الأسواق المتزايدة وظهور التجارة الإلكترونية؛ ممَّا يؤكد أهمية حماية العلامات التجارية، وتُؤكد هذه التطوُّرات على ضرورة تكييف حقوق الملكية الفكرية لمواكبة التقنيات الناشئة وبيئات العمل المتغيرة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8"/>
      </w:r>
      <w:r>
        <w:rPr>
          <w:rStyle w:val="None"/>
          <w:rFonts w:ascii="Times New Roman" w:hAnsi="Times New Roman"/>
          <w:sz w:val="24"/>
          <w:szCs w:val="24"/>
          <w:vertAlign w:val="superscript"/>
          <w:rtl/>
          <w:lang w:val="ar-SA"/>
        </w:rPr>
        <w:t>)</w:t>
      </w:r>
    </w:p>
    <w:p w14:paraId="793BED8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إنشاء نظام براءات الاختراع الحديث أحد أهمّ الإنجازات في تاريخ حماية الملكية الفكرية، ففي عام </w:t>
      </w:r>
      <w:r>
        <w:rPr>
          <w:rStyle w:val="None"/>
          <w:rFonts w:ascii="Times New Roman" w:hAnsi="Times New Roman"/>
          <w:sz w:val="24"/>
          <w:szCs w:val="24"/>
          <w:rtl/>
          <w:lang w:val="ar-SA"/>
        </w:rPr>
        <w:t>1790</w:t>
      </w:r>
      <w:r>
        <w:rPr>
          <w:rStyle w:val="None"/>
          <w:rFonts w:ascii="Arial Unicode MS" w:hAnsi="Arial Unicode MS" w:cs="Times New Roman" w:hint="cs"/>
          <w:sz w:val="24"/>
          <w:szCs w:val="24"/>
          <w:rtl/>
          <w:lang w:val="ar-SA"/>
        </w:rPr>
        <w:t xml:space="preserve">، أصدرت الولايات المتحدة قانون براءات الاختراع، وشهد قانون حقوق الطبع والنشر تحولاتٍ جوهريةً منذ نشأته، وكان قانون حقوق الطبع والنشر لعام </w:t>
      </w:r>
      <w:r>
        <w:rPr>
          <w:rStyle w:val="None"/>
          <w:rFonts w:ascii="Times New Roman" w:hAnsi="Times New Roman"/>
          <w:sz w:val="24"/>
          <w:szCs w:val="24"/>
          <w:rtl/>
          <w:lang w:val="ar-SA"/>
        </w:rPr>
        <w:t xml:space="preserve">1909 </w:t>
      </w:r>
      <w:r>
        <w:rPr>
          <w:rStyle w:val="None"/>
          <w:rFonts w:ascii="Arial Unicode MS" w:hAnsi="Arial Unicode MS" w:cs="Times New Roman" w:hint="cs"/>
          <w:sz w:val="24"/>
          <w:szCs w:val="24"/>
          <w:rtl/>
          <w:lang w:val="ar-SA"/>
        </w:rPr>
        <w:t xml:space="preserve">في الولايات المتحدة إنجازًا بارزًا؛ إذْ اعترف بحقوق المؤلفين والملحنين وغيرهم من المبدعين، ولقد جلب العصر الرقمي تحدياتٍ جديدةً لقانون حقوق الطبع والنشر، ومع سهولة مشاركة الملفات عبر الإنترنت، ازداد خطر انتهاك حقوق الطبع والنشر بشكل ملحوظ، ولمعالجة هذه المشكلة،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في الولايات المتحدة؛ ممَّا مكّن مالكي المحتوى من طلب إزالة المحتوى المُنتهك عبر الإنترنت، واليوم لا يزال قانون حقوق الطبع والنشر يتكيّف مع التطوُّرات، مع استمرار النقاشات حول موضوعات،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الاستخدام العادل، والقرصنة الإلكترونية، وحماية الأعمال الإبداعية في العصر الرقمي </w:t>
      </w:r>
      <w:r>
        <w:rPr>
          <w:rStyle w:val="None"/>
          <w:rFonts w:ascii="Times New Roman" w:hAnsi="Times New Roman"/>
          <w:sz w:val="24"/>
          <w:szCs w:val="24"/>
        </w:rPr>
        <w:t>(CIO Hub, 2025)</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0B13B626" w14:textId="77777777" w:rsidR="00454428" w:rsidRDefault="00C464EC"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كان لدى الولايات المتحدة مفهومٌ لحقوق الملكية الفكرية، ونظامٌ رسميٌّ لحمايتها</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منذ نشأتها، وقد شجّع جورج واشنطن، في خطابه الافتتاحي الأول، على نظامٍ لحماية المخترعين، وكان أبراهام لينكولن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الرئيس الأمريكي الوحيد الذي حصل على براءة 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 أشدّ المؤيدين لحقوق الملكية الفكرية، وتضمّن دستور الولايات المتحدة، المُعتمد عام </w:t>
      </w:r>
      <w:r>
        <w:rPr>
          <w:rStyle w:val="None"/>
          <w:rFonts w:ascii="Times New Roman" w:hAnsi="Times New Roman"/>
          <w:sz w:val="24"/>
          <w:szCs w:val="24"/>
          <w:rtl/>
          <w:lang w:val="ar-SA"/>
        </w:rPr>
        <w:lastRenderedPageBreak/>
        <w:t>1787</w:t>
      </w:r>
      <w:r>
        <w:rPr>
          <w:rStyle w:val="None"/>
          <w:rFonts w:ascii="Arial Unicode MS" w:hAnsi="Arial Unicode MS" w:cs="Times New Roman" w:hint="cs"/>
          <w:sz w:val="24"/>
          <w:szCs w:val="24"/>
          <w:rtl/>
          <w:lang w:val="ar-SA"/>
        </w:rPr>
        <w:t xml:space="preserve">، بندًا لحماية حقوق الملكية الفكرية في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والذي ينص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للكونغرس سلطة 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0"/>
      </w:r>
      <w:r>
        <w:rPr>
          <w:rStyle w:val="None"/>
          <w:rFonts w:ascii="Times New Roman" w:hAnsi="Times New Roman"/>
          <w:sz w:val="24"/>
          <w:szCs w:val="24"/>
          <w:vertAlign w:val="superscript"/>
          <w:rtl/>
          <w:lang w:val="ar-SA"/>
        </w:rPr>
        <w:t>)</w:t>
      </w:r>
    </w:p>
    <w:p w14:paraId="0E3F978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أصبح الإنترنت قضيةً مثيرةً للجدل، وتُمكّن تسميات أسماء النطاقات من إيصال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حزم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المُرسلة عبر الإنترنت إلى وجهاتها المقصودة، كما يُساعد الطابع التذكيري لأسماء النطاقات  المستهلكين على تحديد مواقع الشركات القائمة على الإنترنت، ومع نمو النشاط التجاري على الإنترنت، ازدادت قيمة أسماء النطاقات المُثيرة للاهتمام، وتضاعفت الصراعات عليها، لا سيما نتيجةً لأنشطة ما يُسمى بقراصنة الإنترنت</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الذين سجلوا أسماء نطاقات شائعة؛ بهدف بيعها للشركات بأرباح طائلة، وفي عام </w:t>
      </w:r>
      <w:r>
        <w:rPr>
          <w:rStyle w:val="None"/>
          <w:rFonts w:ascii="Times New Roman" w:hAnsi="Times New Roman"/>
          <w:sz w:val="24"/>
          <w:szCs w:val="24"/>
          <w:rtl/>
          <w:lang w:val="ar-SA"/>
        </w:rPr>
        <w:t xml:space="preserve">1999 </w:t>
      </w:r>
      <w:r>
        <w:rPr>
          <w:rStyle w:val="None"/>
          <w:rFonts w:ascii="Arial Unicode MS" w:hAnsi="Arial Unicode MS" w:cs="Times New Roman" w:hint="cs"/>
          <w:sz w:val="24"/>
          <w:szCs w:val="24"/>
          <w:rtl/>
          <w:lang w:val="ar-SA"/>
        </w:rPr>
        <w:t xml:space="preserve">أنشأت الولايات المتحدة نظامًا وطنيًا، يُعرف باسم قانون حماية المستهلك لمكافحة التطفل الإلكتروني، والذي تُديره المحاكم الفيدرالية، وبموجب هذا القانون، يُمكن تغريم الأفراد ما يصل إلى </w:t>
      </w:r>
      <w:r>
        <w:rPr>
          <w:rStyle w:val="None"/>
          <w:rFonts w:ascii="Times New Roman" w:hAnsi="Times New Roman"/>
          <w:sz w:val="24"/>
          <w:szCs w:val="24"/>
          <w:rtl/>
          <w:lang w:val="ar-SA"/>
        </w:rPr>
        <w:t xml:space="preserve">100 </w:t>
      </w:r>
      <w:r>
        <w:rPr>
          <w:rStyle w:val="None"/>
          <w:rFonts w:ascii="Arial Unicode MS" w:hAnsi="Arial Unicode MS" w:cs="Times New Roman" w:hint="cs"/>
          <w:sz w:val="24"/>
          <w:szCs w:val="24"/>
          <w:rtl/>
          <w:lang w:val="ar-SA"/>
        </w:rPr>
        <w:t>ألف دولارٍ أمريكي في حال قرصنة المواقع، وجادل المدافعون عن القانون بأنَّه ضروري لحماية القيمة التجارية للعلامات التجارية وحماية الشركات من الابتزاز</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1"/>
      </w:r>
      <w:r>
        <w:rPr>
          <w:rStyle w:val="None"/>
          <w:rFonts w:ascii="Times New Roman" w:hAnsi="Times New Roman"/>
          <w:sz w:val="24"/>
          <w:szCs w:val="24"/>
          <w:vertAlign w:val="superscript"/>
          <w:rtl/>
          <w:lang w:val="ar-SA"/>
        </w:rPr>
        <w:t>)</w:t>
      </w:r>
    </w:p>
    <w:p w14:paraId="38A44FE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xml:space="preserve">، 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دخل القانون حيز التنفيذ في أكتوبر </w:t>
      </w:r>
      <w:r>
        <w:rPr>
          <w:rStyle w:val="None"/>
          <w:rFonts w:ascii="Times New Roman" w:hAnsi="Times New Roman"/>
          <w:sz w:val="24"/>
          <w:szCs w:val="24"/>
          <w:rtl/>
          <w:lang w:val="ar-SA"/>
        </w:rPr>
        <w:t>2000</w:t>
      </w:r>
      <w:r>
        <w:rPr>
          <w:rStyle w:val="None"/>
          <w:rFonts w:ascii="Arial Unicode MS" w:hAnsi="Arial Unicode MS" w:cs="Times New Roman" w:hint="cs"/>
          <w:sz w:val="24"/>
          <w:szCs w:val="24"/>
          <w:rtl/>
          <w:lang w:val="ar-SA"/>
        </w:rPr>
        <w:t xml:space="preserve">، وأُدمج في قانون حقوق الطبع والنشر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الباب </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من القانون الأمريكي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حدّث هذا التشريع التاريخي قانون حقوق الطبع والنشر الأمريكي لتلبية متطلبات العصر الرقمي، ولجعله متوافقًا مع متطلبات المنظمة العالمية للملكية الفكرية </w:t>
      </w:r>
      <w:r>
        <w:rPr>
          <w:rStyle w:val="None"/>
          <w:rFonts w:ascii="Times New Roman" w:hAnsi="Times New Roman"/>
          <w:sz w:val="24"/>
          <w:szCs w:val="24"/>
          <w:rtl/>
          <w:lang w:val="ar-SA"/>
        </w:rPr>
        <w:t>(</w:t>
      </w:r>
      <w:r>
        <w:rPr>
          <w:rStyle w:val="None"/>
          <w:rFonts w:ascii="Times New Roman" w:hAnsi="Times New Roman"/>
          <w:sz w:val="24"/>
          <w:szCs w:val="24"/>
        </w:rPr>
        <w:t>WIPO</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والمعاهدات التي وقّعتها الولايات المتحدة، وبالإضافة إلى وضع قواعد جديدة للمواد الرقمية، يُلزم قانون الألفية الرقمية مكتب حقوق الطبع والنشر الأمريكي بإجراء العديد من الدراسات والتقارير المهمة، ويحدد الأطر الزمنية لإتمامها، كما يُقسَّم قانون الألفية الرقمية لحقوق الطبع والنشر إلى خمسة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بنودٍ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ومن بين أحكامه العديدة، ينص القانون على ما يلي</w:t>
      </w:r>
      <w:r>
        <w:rPr>
          <w:rStyle w:val="None"/>
          <w:rFonts w:ascii="Times New Roman" w:hAnsi="Times New Roman"/>
          <w:sz w:val="24"/>
          <w:szCs w:val="24"/>
          <w:rtl/>
          <w:lang w:val="ar-SA"/>
        </w:rPr>
        <w:t>:</w:t>
      </w:r>
    </w:p>
    <w:p w14:paraId="129A76E3" w14:textId="77777777" w:rsidR="00454428" w:rsidRDefault="00C464EC">
      <w:pPr>
        <w:pStyle w:val="ListParagraph"/>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يفرض القانون قواعد تحظر التحايل على تدابير الحماية التكنولوجية</w:t>
      </w:r>
      <w:r>
        <w:rPr>
          <w:rStyle w:val="None"/>
          <w:rFonts w:ascii="Times New Roman" w:hAnsi="Times New Roman"/>
          <w:sz w:val="24"/>
          <w:szCs w:val="24"/>
          <w:rtl/>
          <w:lang w:val="ar-SA"/>
        </w:rPr>
        <w:t>.</w:t>
      </w:r>
    </w:p>
    <w:p w14:paraId="4ACFA2C1" w14:textId="77777777" w:rsidR="00454428" w:rsidRDefault="00C464EC">
      <w:pPr>
        <w:pStyle w:val="ListParagraph"/>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يضع قيودًا على مسئولية انتهاك حقوق الطبع والنشر لمقدمي الخدمات عبر الإنترنت</w:t>
      </w:r>
      <w:r>
        <w:rPr>
          <w:rStyle w:val="None"/>
          <w:rFonts w:ascii="Times New Roman" w:hAnsi="Times New Roman"/>
          <w:sz w:val="24"/>
          <w:szCs w:val="24"/>
          <w:rtl/>
          <w:lang w:val="ar-SA"/>
        </w:rPr>
        <w:t>.</w:t>
      </w:r>
    </w:p>
    <w:p w14:paraId="1AA39A1C" w14:textId="77777777" w:rsidR="00454428" w:rsidRDefault="00C464EC">
      <w:pPr>
        <w:pStyle w:val="ListParagraph"/>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يوسع نطاق الإعفاء الحالي لنسخ برامج الحاسوب</w:t>
      </w:r>
      <w:r>
        <w:rPr>
          <w:rStyle w:val="None"/>
          <w:rFonts w:ascii="Times New Roman" w:hAnsi="Times New Roman"/>
          <w:sz w:val="24"/>
          <w:szCs w:val="24"/>
          <w:rtl/>
          <w:lang w:val="ar-SA"/>
        </w:rPr>
        <w:t>.</w:t>
      </w:r>
    </w:p>
    <w:p w14:paraId="115BEF67" w14:textId="77777777" w:rsidR="00454428" w:rsidRDefault="00C464EC">
      <w:pPr>
        <w:pStyle w:val="ListParagraph"/>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يُقدم تحديثًا مهمًّا للقواعد والإجراءات المتعلقة بحفظ الأرشيف</w:t>
      </w:r>
      <w:r>
        <w:rPr>
          <w:rStyle w:val="None"/>
          <w:rFonts w:ascii="Times New Roman" w:hAnsi="Times New Roman"/>
          <w:sz w:val="24"/>
          <w:szCs w:val="24"/>
          <w:rtl/>
          <w:lang w:val="ar-SA"/>
        </w:rPr>
        <w:t>.</w:t>
      </w:r>
    </w:p>
    <w:p w14:paraId="0EFC03FC" w14:textId="77777777" w:rsidR="00454428" w:rsidRDefault="00C464EC">
      <w:pPr>
        <w:pStyle w:val="ListParagraph"/>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يُلزم بدراسة آثار قواعد حماية مكافحة التحايل على مبدأ </w:t>
      </w:r>
      <w:r>
        <w:rPr>
          <w:rStyle w:val="None"/>
          <w:rFonts w:ascii="Times New Roman" w:hAnsi="Times New Roman"/>
          <w:sz w:val="24"/>
          <w:szCs w:val="24"/>
          <w:rtl/>
          <w:lang w:val="ar-SA"/>
        </w:rPr>
        <w:t>"</w:t>
      </w:r>
      <w:r>
        <w:rPr>
          <w:rStyle w:val="None"/>
          <w:rFonts w:cs="Times New Roman"/>
          <w:sz w:val="24"/>
          <w:szCs w:val="24"/>
          <w:rtl/>
          <w:lang w:val="ar-SA"/>
        </w:rPr>
        <w:t>البيع الأول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2"/>
      </w:r>
      <w:r>
        <w:rPr>
          <w:rStyle w:val="None"/>
          <w:rFonts w:ascii="Times New Roman" w:hAnsi="Times New Roman"/>
          <w:sz w:val="24"/>
          <w:szCs w:val="24"/>
          <w:vertAlign w:val="superscript"/>
          <w:rtl/>
          <w:lang w:val="ar-SA"/>
        </w:rPr>
        <w:t>)</w:t>
      </w:r>
    </w:p>
    <w:p w14:paraId="75318B8C"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الأدوات القليلة المتاحة لإزالة المحتوى غير المطبوع، وقد صدر هذا القانون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xml:space="preserve">، ويلزم مواقع الويب الأمريكية باحترام حقوق الطبع والنشر الرقمية، وحماية </w:t>
      </w:r>
      <w:r>
        <w:rPr>
          <w:rStyle w:val="None"/>
          <w:rFonts w:ascii="Arial Unicode MS" w:hAnsi="Arial Unicode MS" w:cs="Times New Roman" w:hint="cs"/>
          <w:sz w:val="24"/>
          <w:szCs w:val="24"/>
          <w:rtl/>
          <w:lang w:val="ar-SA"/>
        </w:rPr>
        <w:lastRenderedPageBreak/>
        <w:t>الأعمال الإبداعية من خلال السماح لأصحاب حقوق الطبع والنشر بطلب إزالة المحتوى المخالف، ويُستخدم هذا القانون على نطاق واسع من قِبل الناشرين وشركات الإعلام والفنانين؛ ممَّا يؤدي إلى إزالة كميات كبيرة من المحتوى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3"/>
      </w:r>
      <w:r>
        <w:rPr>
          <w:rStyle w:val="None"/>
          <w:rFonts w:ascii="Times New Roman" w:hAnsi="Times New Roman"/>
          <w:sz w:val="24"/>
          <w:szCs w:val="24"/>
          <w:vertAlign w:val="superscript"/>
          <w:rtl/>
          <w:lang w:val="ar-SA"/>
        </w:rPr>
        <w:t>)</w:t>
      </w:r>
    </w:p>
    <w:p w14:paraId="08C3721F"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كقانون لمكافحة القرصنة؛ ممَّا يُجرّم فعليًا التحايل على حماية حقوق النسخ المصممة؛ لمنع القراصنة من نسخ الأعمال الرقمية المحمية بحقوق الطبع والنشر، وبيعها، أو توزيعها بحرية، كما يُجرّم تصنيع أو توزيع أدوات أو تقنيات للتحايل على ضوابط النسخ، ويتضمن قانون حقوق الطبع والنشر الرقمي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بندين شديدَيْ الأهميةِ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1201</w:t>
      </w:r>
      <w:r>
        <w:rPr>
          <w:rStyle w:val="None"/>
          <w:rFonts w:ascii="Arial Unicode MS" w:hAnsi="Arial Unicode MS" w:cs="Times New Roman" w:hint="cs"/>
          <w:sz w:val="24"/>
          <w:szCs w:val="24"/>
          <w:rtl/>
          <w:lang w:val="ar-SA"/>
        </w:rPr>
        <w:t xml:space="preserve">، الذي يتناول التحايل على حماية حقوق النشر، والبند </w:t>
      </w:r>
      <w:r>
        <w:rPr>
          <w:rStyle w:val="None"/>
          <w:rFonts w:ascii="Times New Roman" w:hAnsi="Times New Roman"/>
          <w:sz w:val="24"/>
          <w:szCs w:val="24"/>
          <w:rtl/>
          <w:lang w:val="ar-SA"/>
        </w:rPr>
        <w:t>512</w:t>
      </w:r>
      <w:r>
        <w:rPr>
          <w:rStyle w:val="None"/>
          <w:rFonts w:ascii="Arial Unicode MS" w:hAnsi="Arial Unicode MS" w:cs="Times New Roman" w:hint="cs"/>
          <w:sz w:val="24"/>
          <w:szCs w:val="24"/>
          <w:rtl/>
          <w:lang w:val="ar-SA"/>
        </w:rPr>
        <w:t>، الذي يسمح لصاحب حقوق الطبع والنشر بإرسال ما يسمى بإشعار الإزالة إلى مواقع الويب وغيرها ممن يُعتقد أنَّهم ينتهكون حقوق الطبع والنشر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4"/>
      </w:r>
      <w:r>
        <w:rPr>
          <w:rStyle w:val="None"/>
          <w:rFonts w:ascii="Times New Roman" w:hAnsi="Times New Roman"/>
          <w:sz w:val="24"/>
          <w:szCs w:val="24"/>
          <w:vertAlign w:val="superscript"/>
          <w:rtl/>
          <w:lang w:val="ar-SA"/>
        </w:rPr>
        <w:t>)</w:t>
      </w:r>
    </w:p>
    <w:p w14:paraId="4CFDD744"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تم سنّ قانون الألفية الرقمية لحقوق الطبع والنشر لعام </w:t>
      </w:r>
      <w:r>
        <w:rPr>
          <w:rStyle w:val="None"/>
          <w:rFonts w:ascii="Times New Roman" w:hAnsi="Times New Roman"/>
          <w:sz w:val="24"/>
          <w:szCs w:val="24"/>
          <w:rtl/>
          <w:lang w:val="ar-SA"/>
        </w:rPr>
        <w:t>1998 (</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بهدف مواكبة قانون حقوق الطبع والنشر للعصر الرقمي، ومن خلال هذا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سعى الكونغرس إلى الموازنة بين مصالح أصحاب حقوق الطبع والنشر التقليديين ومصالح مزودي خدمات الإنترنت  من خلال الجمع بين الحماية الأساسية لحقوق الطبع والنشر الرقمي وسلسلة من إجراءات 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الملاذ الآمن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لمقدمي خدمات الإنترنت المؤهلين، على مدار العقد الماضي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أدت التفسيرات القضائية المتضاربة والمعقدة لأحكام الملاذ الآمن إلى معايير قانونية غير متسقة وانقسام عميق بين وسائل الإعلام التقليدية والتكنولوجيا الحديثة؛ ممَّا مهد لظهور هذا القانون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5"/>
      </w:r>
      <w:r>
        <w:rPr>
          <w:rStyle w:val="None"/>
          <w:rFonts w:ascii="Times New Roman" w:hAnsi="Times New Roman"/>
          <w:sz w:val="24"/>
          <w:szCs w:val="24"/>
          <w:vertAlign w:val="superscript"/>
          <w:rtl/>
          <w:lang w:val="ar-SA"/>
        </w:rPr>
        <w:t>)</w:t>
      </w:r>
    </w:p>
    <w:p w14:paraId="41383AE6"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تشريع حقوق الملكية جزءًا من مجموعة القوانين التي تحمي مصالح المبدعين بمنحهم حقوق ملكية على إبداعاتهم، وتُقرّ قوانين معظم الدول بحقوق الملكية هذه؛ بهدف تحفيز الإبداع الفكري البشري وإتاحة ثماره للجمهور، يحمي قانون حقوق الطبع والنشر الأعمال الأدبية والفنية، بالإضافة إلى الإبداعات في مجال ما يُسمى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الحقوق المجاورة، يمكن أنْ تكون هذه الأعمال في شكل تناظري أو رقمي، ويحمي قانون حقوق الطبع والنشر مالك حقوق الملكية الفكرية في الأعمال الأدبية والفنية، من نسخ، أو أخذ الشكل الذي عبّر به المؤلف عن العمل الأصلي، ويشهد قانون حقوق الطبع والنشر تغيرات سريعة، وقد فرضت رقمنة المحتوى ونمو الإنترنت العديد من التحديات على طريقة حماية المواد المحمية بحقوق الطبع والنشر، وترخيصها، وإدارتها، ويمكن استعراض مراحل تطوُّر قانون الملكية الفكرية في الولايات المتحدة من خلال النقاط التالية</w:t>
      </w:r>
      <w:r>
        <w:rPr>
          <w:rStyle w:val="None"/>
          <w:rFonts w:ascii="Times New Roman" w:hAnsi="Times New Roman"/>
          <w:sz w:val="24"/>
          <w:szCs w:val="24"/>
          <w:rtl/>
          <w:lang w:val="ar-SA"/>
        </w:rPr>
        <w:t>:</w:t>
      </w:r>
    </w:p>
    <w:p w14:paraId="25385250" w14:textId="77777777" w:rsidR="00454428" w:rsidRDefault="00C464EC">
      <w:pPr>
        <w:pStyle w:val="ListParagraph"/>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كانت اتفاقية برن، التي يعود تاريخها إلى عام </w:t>
      </w:r>
      <w:r>
        <w:rPr>
          <w:rStyle w:val="None"/>
          <w:rFonts w:ascii="Times New Roman" w:hAnsi="Times New Roman"/>
          <w:sz w:val="24"/>
          <w:szCs w:val="24"/>
          <w:rtl/>
          <w:lang w:val="ar-SA"/>
        </w:rPr>
        <w:t>1886</w:t>
      </w:r>
      <w:r>
        <w:rPr>
          <w:rStyle w:val="None"/>
          <w:rFonts w:cs="Times New Roman"/>
          <w:sz w:val="24"/>
          <w:szCs w:val="24"/>
          <w:rtl/>
          <w:lang w:val="ar-SA"/>
        </w:rPr>
        <w:t xml:space="preserve">، أول اتفاقية دولية رئيسية أرست مبدأ المعاملة الوطنية، </w:t>
      </w:r>
      <w:r>
        <w:rPr>
          <w:rStyle w:val="None"/>
          <w:rFonts w:cs="Times New Roman"/>
          <w:sz w:val="24"/>
          <w:szCs w:val="24"/>
          <w:rtl/>
          <w:lang w:val="ar-SA"/>
        </w:rPr>
        <w:lastRenderedPageBreak/>
        <w:t xml:space="preserve">وقد خضعت هذه الاتفاقية للمراجعة عدة مرات، لكنها لا تزال المعاهدة الدولية الرائدة، وقد وافقت الولايات المتحدة الأمريكية على اتفاقية برن عام </w:t>
      </w:r>
      <w:r>
        <w:rPr>
          <w:rStyle w:val="None"/>
          <w:rFonts w:ascii="Times New Roman" w:hAnsi="Times New Roman"/>
          <w:sz w:val="24"/>
          <w:szCs w:val="24"/>
          <w:rtl/>
          <w:lang w:val="ar-SA"/>
        </w:rPr>
        <w:t xml:space="preserve">1989. </w:t>
      </w:r>
    </w:p>
    <w:p w14:paraId="7CBA88D9" w14:textId="77777777" w:rsidR="00454428" w:rsidRDefault="00C464EC">
      <w:pPr>
        <w:pStyle w:val="ListParagraph"/>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وفي وقت لاحق، أدت تحديات الرقمنة إلى توقيع الولايات المتحدة على أحدث معاهدتين دوليتين لحقوق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الويبو بشأن حقوق الطبع والنشر، ومعاهدة الويبو بشأن الأداء والتسجيلات الصوتية، وقد صدر كلاهما في ديسمبر </w:t>
      </w:r>
      <w:r>
        <w:rPr>
          <w:rStyle w:val="None"/>
          <w:rFonts w:ascii="Times New Roman" w:hAnsi="Times New Roman"/>
          <w:sz w:val="24"/>
          <w:szCs w:val="24"/>
          <w:rtl/>
          <w:lang w:val="ar-SA"/>
        </w:rPr>
        <w:t>1996</w:t>
      </w:r>
      <w:r>
        <w:rPr>
          <w:rStyle w:val="None"/>
          <w:rFonts w:cs="Times New Roman"/>
          <w:sz w:val="24"/>
          <w:szCs w:val="24"/>
          <w:rtl/>
          <w:lang w:val="ar-SA"/>
        </w:rPr>
        <w:t xml:space="preserve">، وأعطت معاهدتا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الويبو</w:t>
      </w:r>
      <w:r>
        <w:rPr>
          <w:rStyle w:val="None"/>
          <w:rFonts w:ascii="Times New Roman" w:hAnsi="Times New Roman"/>
          <w:sz w:val="24"/>
          <w:szCs w:val="24"/>
          <w:rtl/>
          <w:lang w:val="ar-SA"/>
        </w:rPr>
        <w:t xml:space="preserve">) </w:t>
      </w:r>
      <w:r>
        <w:rPr>
          <w:rStyle w:val="None"/>
          <w:rFonts w:cs="Times New Roman"/>
          <w:sz w:val="24"/>
          <w:szCs w:val="24"/>
          <w:rtl/>
          <w:lang w:val="ar-SA"/>
        </w:rPr>
        <w:t>زخمًا تشريعيًا جديدًا للجهود المبذولة؛ لتكييف قانون حقوق الطبع والنشر ومواءمته مع تحديات مجتمع المعلومات</w:t>
      </w:r>
      <w:r>
        <w:rPr>
          <w:rStyle w:val="None"/>
          <w:rFonts w:ascii="Times New Roman" w:hAnsi="Times New Roman"/>
          <w:sz w:val="24"/>
          <w:szCs w:val="24"/>
          <w:rtl/>
          <w:lang w:val="ar-SA"/>
        </w:rPr>
        <w:t>.</w:t>
      </w:r>
    </w:p>
    <w:p w14:paraId="1B20D91B" w14:textId="77777777" w:rsidR="00454428" w:rsidRDefault="00C464EC">
      <w:pPr>
        <w:pStyle w:val="ListParagraph"/>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1998: </w:t>
      </w:r>
      <w:r>
        <w:rPr>
          <w:rStyle w:val="None"/>
          <w:rFonts w:cs="Times New Roman"/>
          <w:sz w:val="24"/>
          <w:szCs w:val="24"/>
          <w:rtl/>
          <w:lang w:val="ar-SA"/>
        </w:rPr>
        <w:t xml:space="preserve">أصدر الكونغرس الأمريكي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cs="Times New Roman"/>
          <w:sz w:val="24"/>
          <w:szCs w:val="24"/>
          <w:rtl/>
          <w:lang w:val="ar-SA"/>
        </w:rPr>
        <w:t>المثير للجدل، كان هذا القانون أكبر تعديل على قانون حقوق الطبع والنشر؛ حيث سعى إلى معالجة حقوق الطبع والنشر في البيئة الرقمية، ومن أهم ما يقوم به قانون الألفية الرقمية</w:t>
      </w:r>
      <w:r>
        <w:rPr>
          <w:rStyle w:val="None"/>
          <w:rFonts w:ascii="Times New Roman" w:hAnsi="Times New Roman"/>
          <w:sz w:val="24"/>
          <w:szCs w:val="24"/>
          <w:rtl/>
          <w:lang w:val="ar-SA"/>
        </w:rPr>
        <w:t xml:space="preserve">: </w:t>
      </w:r>
      <w:r>
        <w:rPr>
          <w:rStyle w:val="None"/>
          <w:rFonts w:cs="Times New Roman"/>
          <w:sz w:val="24"/>
          <w:szCs w:val="24"/>
          <w:rtl/>
          <w:lang w:val="ar-SA"/>
        </w:rPr>
        <w:t>توفير بعض الحماية لمقدمي خدمات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6"/>
      </w:r>
      <w:r>
        <w:rPr>
          <w:rStyle w:val="None"/>
          <w:rFonts w:ascii="Times New Roman" w:hAnsi="Times New Roman"/>
          <w:sz w:val="24"/>
          <w:szCs w:val="24"/>
          <w:vertAlign w:val="superscript"/>
          <w:rtl/>
          <w:lang w:val="ar-SA"/>
        </w:rPr>
        <w:t>)</w:t>
      </w:r>
    </w:p>
    <w:p w14:paraId="5635A66A"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ويُفاقم نمو التجارة الرقمية واستخدام سلاسل التوريد المعقدة أخطار انتهاك حقوق الملكية الفكرية وتحديات الإنفاذ، ويحظر قانون التجارة الأمريكي استيراد السلع التي تنتهك حقوق الملكية الفكرية، وفي السنة المالية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 أفادت هيئة الجمارك وحماية الحدود الأمريكية </w:t>
      </w:r>
      <w:r>
        <w:rPr>
          <w:rStyle w:val="None"/>
          <w:rFonts w:ascii="Times New Roman" w:hAnsi="Times New Roman"/>
          <w:sz w:val="24"/>
          <w:szCs w:val="24"/>
          <w:rtl/>
          <w:lang w:val="ar-SA"/>
        </w:rPr>
        <w:t>(</w:t>
      </w:r>
      <w:r>
        <w:rPr>
          <w:rStyle w:val="None"/>
          <w:rFonts w:ascii="Times New Roman" w:hAnsi="Times New Roman"/>
          <w:sz w:val="24"/>
          <w:szCs w:val="24"/>
          <w:lang w:val="pt-PT"/>
        </w:rPr>
        <w:t>CBP</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بمصادرة سلع منتهكة لحقوق الملكية الفكرية بقيمة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مليار دولارٍ أمريكي على الحدود الأمريكية، ومعظمها شحنات منخفضة القيمة مُعفاة من الرسوم الجمركية بموجب المادة </w:t>
      </w:r>
      <w:r>
        <w:rPr>
          <w:rStyle w:val="None"/>
          <w:rFonts w:ascii="Times New Roman" w:hAnsi="Times New Roman"/>
          <w:sz w:val="24"/>
          <w:szCs w:val="24"/>
          <w:rtl/>
          <w:lang w:val="ar-SA"/>
        </w:rPr>
        <w:t xml:space="preserve">321 </w:t>
      </w:r>
      <w:r>
        <w:rPr>
          <w:rStyle w:val="None"/>
          <w:rFonts w:ascii="Arial Unicode MS" w:hAnsi="Arial Unicode MS" w:cs="Times New Roman" w:hint="cs"/>
          <w:sz w:val="24"/>
          <w:szCs w:val="24"/>
          <w:rtl/>
          <w:lang w:val="ar-SA"/>
        </w:rPr>
        <w:t xml:space="preserve">من قانون التعريفات الجمركية لعام </w:t>
      </w:r>
      <w:r>
        <w:rPr>
          <w:rStyle w:val="None"/>
          <w:rFonts w:ascii="Times New Roman" w:hAnsi="Times New Roman"/>
          <w:sz w:val="24"/>
          <w:szCs w:val="24"/>
          <w:rtl/>
          <w:lang w:val="ar-SA"/>
        </w:rPr>
        <w:t>1930.</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7"/>
      </w:r>
      <w:r>
        <w:rPr>
          <w:rStyle w:val="None"/>
          <w:rFonts w:ascii="Times New Roman" w:hAnsi="Times New Roman"/>
          <w:sz w:val="24"/>
          <w:szCs w:val="24"/>
          <w:vertAlign w:val="superscript"/>
          <w:rtl/>
          <w:lang w:val="ar-SA"/>
        </w:rPr>
        <w:t>)</w:t>
      </w:r>
    </w:p>
    <w:p w14:paraId="6266F8BB" w14:textId="2579B372"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كان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أوائل القوانين من نوعها،  وقد سنّ الكونجرس قانون الألفية الرقمية لحقوق الطبع والنشر؛ إدراكًا للعلاقة سريعة التطوُّر بين قانون حقوق الطبع والنشر والإنترنت، وكان الغرض من هذا التشريع هو تعديل قانون حقوق الطبع والنشر الأمريكي؛ ليعكس التقدم التكنولوجي المحرز منذ ظهور الإنترنت في أواخر الثمانينيات، كما كان الهدف من قانون الألفية الرقمية هو توفير راحة البال لأصحاب حقوق الطبع والنشر، مع العلم أنَّ حقوقهم محمية ومعترف بها تمامًا،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الهدف من القانون هو توفير الحماية لمستخدمي الإنترنت من المسئولية بموجب أحكام الملاذ الآمن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8"/>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وفي 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عدّل قانون حقوق الطبع والنشر الأمريكي؛ لمعالجة جوانب مهمة من العلاقة بين حقوق الطبع والنشر والإنترنت، وشملت التحديثات الرئيسية الثلاثة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9"/>
      </w:r>
      <w:r>
        <w:rPr>
          <w:rStyle w:val="None"/>
          <w:rFonts w:ascii="Times New Roman" w:hAnsi="Times New Roman"/>
          <w:sz w:val="24"/>
          <w:szCs w:val="24"/>
          <w:vertAlign w:val="superscript"/>
          <w:rtl/>
          <w:lang w:val="ar-SA"/>
        </w:rPr>
        <w:t>)</w:t>
      </w:r>
    </w:p>
    <w:p w14:paraId="2360FA19" w14:textId="77777777" w:rsidR="00454428" w:rsidRDefault="00C464EC">
      <w:pPr>
        <w:pStyle w:val="ListParagraph"/>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توفير الحماية لمقدمي الخدمات عبر الإنترنت في حالات معينة في حال انتهاك مستخدميهم لحقوق الطبع والنشر،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إنشاء نظام الإشعار والحذف، الذي يسمح لأصحاب حقوق الطبع والنشر بإبلاغ مقدمي الخدمات </w:t>
      </w:r>
      <w:r>
        <w:rPr>
          <w:rStyle w:val="None"/>
          <w:rFonts w:cs="Times New Roman"/>
          <w:sz w:val="24"/>
          <w:szCs w:val="24"/>
          <w:rtl/>
          <w:lang w:val="ar-SA"/>
        </w:rPr>
        <w:lastRenderedPageBreak/>
        <w:t>عبر الإنترنت عن المواد المنتهكة لإزالتها</w:t>
      </w:r>
      <w:r>
        <w:rPr>
          <w:rStyle w:val="None"/>
          <w:rFonts w:ascii="Times New Roman" w:hAnsi="Times New Roman"/>
          <w:sz w:val="24"/>
          <w:szCs w:val="24"/>
          <w:rtl/>
          <w:lang w:val="ar-SA"/>
        </w:rPr>
        <w:t>.</w:t>
      </w:r>
    </w:p>
    <w:p w14:paraId="5A675497" w14:textId="77777777" w:rsidR="00454428" w:rsidRDefault="00C464EC">
      <w:pPr>
        <w:pStyle w:val="ListParagraph"/>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تشجيع أصحاب حقوق الطبع والنشر على إتاحة وصول أكبر لأعمالهم الرقمية، من خلال توفير الحماية القانونية لهم ضد الوصول غير المصرح به إلى أعمالهم، مثل</w:t>
      </w:r>
      <w:r>
        <w:rPr>
          <w:rStyle w:val="None"/>
          <w:rFonts w:ascii="Times New Roman" w:hAnsi="Times New Roman"/>
          <w:sz w:val="24"/>
          <w:szCs w:val="24"/>
          <w:rtl/>
          <w:lang w:val="ar-SA"/>
        </w:rPr>
        <w:t xml:space="preserve">: </w:t>
      </w:r>
      <w:r>
        <w:rPr>
          <w:rStyle w:val="None"/>
          <w:rFonts w:cs="Times New Roman"/>
          <w:sz w:val="24"/>
          <w:szCs w:val="24"/>
          <w:rtl/>
          <w:lang w:val="ar-SA"/>
        </w:rPr>
        <w:t>اختراق كلمات المرور، أو التحايل على التشفير</w:t>
      </w:r>
      <w:r>
        <w:rPr>
          <w:rStyle w:val="None"/>
          <w:rFonts w:ascii="Times New Roman" w:hAnsi="Times New Roman"/>
          <w:sz w:val="24"/>
          <w:szCs w:val="24"/>
          <w:rtl/>
          <w:lang w:val="ar-SA"/>
        </w:rPr>
        <w:t>.</w:t>
      </w:r>
    </w:p>
    <w:p w14:paraId="492517F2" w14:textId="77777777" w:rsidR="00454428" w:rsidRDefault="00C464EC">
      <w:pPr>
        <w:pStyle w:val="ListParagraph"/>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تجريم تقديم معلومات حقوق طبع ونشر زائفة، مثل</w:t>
      </w:r>
      <w:r>
        <w:rPr>
          <w:rStyle w:val="None"/>
          <w:rFonts w:ascii="Times New Roman" w:hAnsi="Times New Roman"/>
          <w:sz w:val="24"/>
          <w:szCs w:val="24"/>
          <w:rtl/>
          <w:lang w:val="ar-SA"/>
        </w:rPr>
        <w:t xml:space="preserve">: </w:t>
      </w:r>
      <w:r>
        <w:rPr>
          <w:rStyle w:val="None"/>
          <w:rFonts w:cs="Times New Roman"/>
          <w:sz w:val="24"/>
          <w:szCs w:val="24"/>
          <w:rtl/>
          <w:lang w:val="ar-SA"/>
        </w:rPr>
        <w:t>التزوير في أسماء المؤلفين وأصحاب حقوق الطبع والنشر، وعناوين الأعمال</w:t>
      </w:r>
      <w:r>
        <w:rPr>
          <w:rStyle w:val="None"/>
          <w:rFonts w:ascii="Times New Roman" w:hAnsi="Times New Roman"/>
          <w:sz w:val="24"/>
          <w:szCs w:val="24"/>
          <w:rtl/>
          <w:lang w:val="ar-SA"/>
        </w:rPr>
        <w:t>.</w:t>
      </w:r>
    </w:p>
    <w:p w14:paraId="2F1478C1"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جرائم الملكية الفكرية إلى انتهاك القوانين الجنائية التي تحمي حقوق النشر، وبراءات الاختراع، والعلامات التجارية، وغيرها من أشكال الملكية الفكرية والأسرار التجارية، سواءً في الولايات المتحدة أو خارجها، وقد جعلت وزارة العدل الأمريكية حماية الملكية الفكرية أولويةً رئيسيةً لإنفاذ القانون، وتدرك الوزارة أنَّ الابتكار ركيزة أساسية لاقتصادنا الوطني، وهو أمرٌ بالغ الأهمية؛ لتمكين الشركات الأمريكية من الحفاظ على قدرتها التنافسية في السوق العالمية، ويحتاج رواد الأعمال إلى الحماية من المجرمين  الذين يسعون إلى نسخ إبداعاتهم، كما أنَّ تحسين قدرة البلاد على التصدي لجرائم الملكية الفكرية أمرٌ بالغ الأهمية لحماية الجمهور الأمريكي من التعرض للسلع الخطرة والقاتلة،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الأدوية المقلدة، وقطع غيار السيارات دون المستوى المطلوب، والمجوهرات الملوثة بالرصاص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0"/>
      </w:r>
      <w:r>
        <w:rPr>
          <w:rStyle w:val="None"/>
          <w:rFonts w:ascii="Times New Roman" w:hAnsi="Times New Roman"/>
          <w:sz w:val="24"/>
          <w:szCs w:val="24"/>
          <w:vertAlign w:val="superscript"/>
          <w:rtl/>
          <w:lang w:val="ar-SA"/>
        </w:rPr>
        <w:t>)</w:t>
      </w:r>
    </w:p>
    <w:p w14:paraId="2AAE9337" w14:textId="77777777" w:rsidR="00D61DE9" w:rsidRDefault="00D61DE9" w:rsidP="00D61DE9">
      <w:pPr>
        <w:pStyle w:val="Body"/>
        <w:widowControl w:val="0"/>
        <w:spacing w:before="120" w:after="120" w:line="360" w:lineRule="auto"/>
        <w:ind w:firstLine="720"/>
        <w:jc w:val="both"/>
        <w:rPr>
          <w:rStyle w:val="None"/>
          <w:rFonts w:ascii="Arial Unicode MS" w:hAnsi="Arial Unicode MS" w:cs="Times New Roman"/>
          <w:sz w:val="24"/>
          <w:szCs w:val="24"/>
          <w:rtl/>
          <w:lang w:val="ar-SA"/>
        </w:rPr>
      </w:pPr>
    </w:p>
    <w:p w14:paraId="470CD969" w14:textId="3C33CF90"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ويُطوّر مكتب الولايات المتحدة لبراءات الاختراع والعلامات التجارية من عملياته، ويُقدّم برامج تدريبية في مجال إنفاذ حقوق الملكية الفكرية، وبرامج لبناء القدرات للمسئولين الحكوميين في جميع أنحاء العالم؛ حيث يقوم بتصميم برامج بناء القدرات لمعالجة جوانب مُحدّدة من إنفاذ حقوق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التحقيقات المدنية والجنائية، والملاحقات القضائية، وإنفاذ القوانين عبر الحدود، كما يُقدّم المكتب المساعدة الفنية للحكومات الأجنبية في القضايا المتعلقة بإنفاذ حقوق الملكية الفكرية، ويُشارك المكتب أيضًا بفاعلية في مجموعة واسعة من مناقشات سياسات إنفاذ حقوق الملكية الفكرية الدولية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1"/>
      </w:r>
      <w:r>
        <w:rPr>
          <w:rStyle w:val="None"/>
          <w:rFonts w:ascii="Times New Roman" w:hAnsi="Times New Roman"/>
          <w:sz w:val="24"/>
          <w:szCs w:val="24"/>
          <w:vertAlign w:val="superscript"/>
          <w:rtl/>
          <w:lang w:val="ar-SA"/>
        </w:rPr>
        <w:t>)</w:t>
      </w:r>
      <w:r w:rsidR="00645DEB">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تختلف إجراءات الحصول على حقوق الملكية الفكرية المختلفة لتشمل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2"/>
      </w:r>
      <w:r>
        <w:rPr>
          <w:rStyle w:val="None"/>
          <w:rFonts w:ascii="Times New Roman" w:hAnsi="Times New Roman"/>
          <w:sz w:val="24"/>
          <w:szCs w:val="24"/>
          <w:vertAlign w:val="superscript"/>
          <w:rtl/>
          <w:lang w:val="ar-SA"/>
        </w:rPr>
        <w:t>)</w:t>
      </w:r>
    </w:p>
    <w:p w14:paraId="52FD5F5E" w14:textId="77777777" w:rsidR="00454428" w:rsidRDefault="00C464EC">
      <w:pPr>
        <w:pStyle w:val="ListParagraph"/>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sz w:val="24"/>
          <w:szCs w:val="24"/>
          <w:rtl/>
          <w:lang w:val="ar-SA"/>
        </w:rPr>
        <w:t xml:space="preserve">: </w:t>
      </w:r>
      <w:r>
        <w:rPr>
          <w:rStyle w:val="None"/>
          <w:rFonts w:cs="Times New Roman"/>
          <w:sz w:val="24"/>
          <w:szCs w:val="24"/>
          <w:rtl/>
          <w:lang w:val="ar-SA"/>
        </w:rPr>
        <w:t>يقدم المخترعون طلبات تصف اختراعاتهم إلى مكاتب براءات الاختراع،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الاختراع والعلامات التجارية الأمريكي، يراجع الفاحصون التقنية لتقييم الجدة، وعدم البداهة، والفائدة، في حال الموافقة، تُمنح حقوق براءات الاختراع الحصرية لمدة تصل إلى </w:t>
      </w:r>
      <w:r>
        <w:rPr>
          <w:rStyle w:val="None"/>
          <w:rFonts w:ascii="Times New Roman" w:hAnsi="Times New Roman"/>
          <w:sz w:val="24"/>
          <w:szCs w:val="24"/>
          <w:rtl/>
          <w:lang w:val="ar-SA"/>
        </w:rPr>
        <w:t xml:space="preserve">20 </w:t>
      </w:r>
      <w:r>
        <w:rPr>
          <w:rStyle w:val="None"/>
          <w:rFonts w:cs="Times New Roman"/>
          <w:sz w:val="24"/>
          <w:szCs w:val="24"/>
          <w:rtl/>
          <w:lang w:val="ar-SA"/>
        </w:rPr>
        <w:t>عامًا من تاريخ التقديم</w:t>
      </w:r>
      <w:r>
        <w:rPr>
          <w:rStyle w:val="None"/>
          <w:rFonts w:ascii="Times New Roman" w:hAnsi="Times New Roman"/>
          <w:sz w:val="24"/>
          <w:szCs w:val="24"/>
          <w:rtl/>
          <w:lang w:val="ar-SA"/>
        </w:rPr>
        <w:t>.</w:t>
      </w:r>
    </w:p>
    <w:p w14:paraId="5D408B43" w14:textId="77777777" w:rsidR="00454428" w:rsidRDefault="00C464EC">
      <w:pPr>
        <w:pStyle w:val="ListParagraph"/>
        <w:widowControl w:val="0"/>
        <w:numPr>
          <w:ilvl w:val="0"/>
          <w:numId w:val="222"/>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t xml:space="preserve"> </w:t>
      </w:r>
      <w:r>
        <w:rPr>
          <w:rStyle w:val="None"/>
          <w:rFonts w:cs="Times New Roman"/>
          <w:b/>
          <w:bCs/>
          <w:sz w:val="24"/>
          <w:szCs w:val="24"/>
          <w:rtl/>
          <w:lang w:val="ar-SA"/>
        </w:rPr>
        <w:t>العلامات التجارية</w:t>
      </w:r>
      <w:r>
        <w:rPr>
          <w:rStyle w:val="None"/>
          <w:rFonts w:ascii="Times New Roman" w:hAnsi="Times New Roman"/>
          <w:sz w:val="24"/>
          <w:szCs w:val="24"/>
          <w:rtl/>
          <w:lang w:val="ar-SA"/>
        </w:rPr>
        <w:t xml:space="preserve">: </w:t>
      </w:r>
      <w:r>
        <w:rPr>
          <w:rStyle w:val="None"/>
          <w:rFonts w:cs="Times New Roman"/>
          <w:sz w:val="24"/>
          <w:szCs w:val="24"/>
          <w:rtl/>
          <w:lang w:val="ar-SA"/>
        </w:rPr>
        <w:t>يقدم مقدمو الطلبات علاماتٍ تعريفيةً إلى مكاتب العلامات التجارية،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w:t>
      </w:r>
      <w:r>
        <w:rPr>
          <w:rStyle w:val="None"/>
          <w:rFonts w:cs="Times New Roman"/>
          <w:sz w:val="24"/>
          <w:szCs w:val="24"/>
          <w:rtl/>
          <w:lang w:val="ar-SA"/>
        </w:rPr>
        <w:lastRenderedPageBreak/>
        <w:t xml:space="preserve">الاختراع والعلامات التجارية الأمريكي؛ حيث يُقيّم الفاحصون الطلب، ثم يتم تسجيل العلامات المقبولة مع التجديد كل </w:t>
      </w:r>
      <w:r>
        <w:rPr>
          <w:rStyle w:val="None"/>
          <w:rFonts w:ascii="Times New Roman" w:hAnsi="Times New Roman"/>
          <w:sz w:val="24"/>
          <w:szCs w:val="24"/>
          <w:rtl/>
          <w:lang w:val="ar-SA"/>
        </w:rPr>
        <w:t xml:space="preserve">10 </w:t>
      </w:r>
      <w:r>
        <w:rPr>
          <w:rStyle w:val="None"/>
          <w:rFonts w:cs="Times New Roman"/>
          <w:sz w:val="24"/>
          <w:szCs w:val="24"/>
          <w:rtl/>
          <w:lang w:val="ar-SA"/>
        </w:rPr>
        <w:t>سنواتٍ؛ للحفاظ على الحماية</w:t>
      </w:r>
      <w:r>
        <w:rPr>
          <w:rStyle w:val="None"/>
          <w:rFonts w:ascii="Times New Roman" w:hAnsi="Times New Roman"/>
          <w:sz w:val="24"/>
          <w:szCs w:val="24"/>
          <w:rtl/>
          <w:lang w:val="ar-SA"/>
        </w:rPr>
        <w:t>.</w:t>
      </w:r>
    </w:p>
    <w:p w14:paraId="102B7BAF" w14:textId="77777777" w:rsidR="00454428" w:rsidRDefault="00C464EC">
      <w:pPr>
        <w:pStyle w:val="ListParagraph"/>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تنشأ تلقائيًا عند إنشاء أعمال أصلية مثبتة على وسائط ملموسة؛ حيث يوفر التسجيل لدى مكتب حقوق الطبع والنشر الأمريكي مزايا، مثل</w:t>
      </w:r>
      <w:r>
        <w:rPr>
          <w:rStyle w:val="None"/>
          <w:rFonts w:ascii="Times New Roman" w:hAnsi="Times New Roman"/>
          <w:sz w:val="24"/>
          <w:szCs w:val="24"/>
          <w:rtl/>
          <w:lang w:val="ar-SA"/>
        </w:rPr>
        <w:t xml:space="preserve">: </w:t>
      </w:r>
      <w:r>
        <w:rPr>
          <w:rStyle w:val="None"/>
          <w:rFonts w:cs="Times New Roman"/>
          <w:sz w:val="24"/>
          <w:szCs w:val="24"/>
          <w:rtl/>
          <w:lang w:val="ar-SA"/>
        </w:rPr>
        <w:t>التعويضات القانونية في حالة الانتهاك</w:t>
      </w:r>
      <w:r>
        <w:rPr>
          <w:rStyle w:val="None"/>
          <w:rFonts w:ascii="Times New Roman" w:hAnsi="Times New Roman"/>
          <w:sz w:val="24"/>
          <w:szCs w:val="24"/>
          <w:rtl/>
          <w:lang w:val="ar-SA"/>
        </w:rPr>
        <w:t xml:space="preserve">. </w:t>
      </w:r>
    </w:p>
    <w:p w14:paraId="6F34A317" w14:textId="77777777" w:rsidR="00454428" w:rsidRDefault="00C464EC">
      <w:pPr>
        <w:pStyle w:val="ListParagraph"/>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sz w:val="24"/>
          <w:szCs w:val="24"/>
          <w:rtl/>
          <w:lang w:val="ar-SA"/>
        </w:rPr>
        <w:t xml:space="preserve">: </w:t>
      </w:r>
      <w:r>
        <w:rPr>
          <w:rStyle w:val="None"/>
          <w:rFonts w:cs="Times New Roman"/>
          <w:sz w:val="24"/>
          <w:szCs w:val="24"/>
          <w:rtl/>
          <w:lang w:val="ar-SA"/>
        </w:rPr>
        <w:t>حيث يتم الحصول على الحماية من خلال الحفاظ على السرية من خلال اتفاقيات عدم الإفصاح، وضوابط الوصول، والتشفير، وما إلى ذلك</w:t>
      </w:r>
      <w:r>
        <w:rPr>
          <w:rStyle w:val="None"/>
          <w:rFonts w:ascii="Times New Roman" w:hAnsi="Times New Roman"/>
          <w:sz w:val="24"/>
          <w:szCs w:val="24"/>
          <w:rtl/>
          <w:lang w:val="ar-SA"/>
        </w:rPr>
        <w:t>.</w:t>
      </w:r>
    </w:p>
    <w:p w14:paraId="5161A43D"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تشير إدارة الحقوق الرقمية إلى مجموعة من التقنيات المستخدمة للتحكم في الوصول إلى الوسائط الرقمية، ومع تحول المحتوى الترفيهي إلى الوسائط الرقمية، لجأ منتجو المحتوى، وأصحاب حقوق الطبع والنشر، وصانعو الأجهزة بشكل متزايد إلى إدارة الحقوق الرقمية كوسيلة لحماية محتواهم من الاستخدام غير المصرح به،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القرصنة، وللحفاظ على مصادر الدخل التقليدية، وبموجب القانون الدولي والفيدرالي، تُعتبر معظم البرامج التي تتحايل على قيود إدارة الحقوق الرقمية غير قانونية، وفي الولايات المتحدة، يُجرّم قانون الألفية الرقمية لحقوق الطبع والنشر، الصادر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نشر التقنيات التي تسمح للمستخدمين بالتحايل على إدارة الحقوق الرقمية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29E68DCE"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الوقائع القضائية التي جسّدت التطبيق العملي لقواعد مكافحة التحايل على أنظمة إدارة الحقوق الرقمية قضية </w:t>
      </w:r>
      <w:r>
        <w:rPr>
          <w:rStyle w:val="None"/>
          <w:rFonts w:ascii="Times New Roman" w:hAnsi="Times New Roman"/>
          <w:sz w:val="24"/>
          <w:szCs w:val="24"/>
          <w:lang w:val="it-IT"/>
        </w:rPr>
        <w:t>Universal City Studios, Inc. v. Reimerdes</w:t>
      </w:r>
      <w:r>
        <w:rPr>
          <w:rStyle w:val="None"/>
          <w:rFonts w:ascii="Times New Roman" w:hAnsi="Times New Roman"/>
          <w:sz w:val="24"/>
          <w:szCs w:val="24"/>
          <w:rtl/>
          <w:lang w:val="ar-SA"/>
        </w:rPr>
        <w:t xml:space="preserve"> (</w:t>
      </w:r>
      <w:r>
        <w:rPr>
          <w:rStyle w:val="None"/>
          <w:rFonts w:ascii="Times New Roman" w:hAnsi="Times New Roman"/>
          <w:sz w:val="24"/>
          <w:szCs w:val="24"/>
        </w:rPr>
        <w:t>2000</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فقد قضت محكمة المقاطعة الجنوبية في نيويورك، كما أيدت محكمة الاستئناف الدائرة الثانية، بعدم نشر برامج يستخدم لفك تشفير حماية أقراص </w:t>
      </w:r>
      <w:r>
        <w:rPr>
          <w:rStyle w:val="None"/>
          <w:rFonts w:ascii="Times New Roman" w:hAnsi="Times New Roman"/>
          <w:sz w:val="24"/>
          <w:szCs w:val="24"/>
          <w:rtl/>
          <w:lang w:val="ar-SA"/>
        </w:rPr>
        <w:t>(</w:t>
      </w:r>
      <w:r>
        <w:rPr>
          <w:rStyle w:val="None"/>
          <w:rFonts w:ascii="Times New Roman" w:hAnsi="Times New Roman"/>
          <w:sz w:val="24"/>
          <w:szCs w:val="24"/>
        </w:rPr>
        <w:t>css</w:t>
      </w:r>
      <w:r>
        <w:rPr>
          <w:rStyle w:val="None"/>
          <w:rFonts w:ascii="Times New Roman" w:hAnsi="Times New Roman"/>
          <w:sz w:val="24"/>
          <w:szCs w:val="24"/>
          <w:rtl/>
          <w:lang w:val="ar-SA"/>
        </w:rPr>
        <w:t xml:space="preserve">) </w:t>
      </w:r>
      <w:r>
        <w:rPr>
          <w:rStyle w:val="None"/>
          <w:rFonts w:ascii="Times New Roman" w:hAnsi="Times New Roman"/>
          <w:sz w:val="24"/>
          <w:szCs w:val="24"/>
        </w:rPr>
        <w:t>DVD</w:t>
      </w:r>
      <w:r>
        <w:rPr>
          <w:rStyle w:val="None"/>
          <w:rFonts w:ascii="Arial Unicode MS" w:hAnsi="Arial Unicode MS" w:cs="Times New Roman" w:hint="cs"/>
          <w:sz w:val="24"/>
          <w:szCs w:val="24"/>
          <w:rtl/>
          <w:lang w:val="ar-SA"/>
        </w:rPr>
        <w:t xml:space="preserve">، واعتبرت ذلك خرقًا واضحًا للمادة </w:t>
      </w:r>
      <w:r>
        <w:rPr>
          <w:rStyle w:val="None"/>
          <w:rFonts w:ascii="Times New Roman" w:hAnsi="Times New Roman"/>
          <w:sz w:val="24"/>
          <w:szCs w:val="24"/>
          <w:rtl/>
          <w:lang w:val="ar-SA"/>
        </w:rPr>
        <w:t xml:space="preserve">1201 </w:t>
      </w:r>
      <w:r>
        <w:rPr>
          <w:rStyle w:val="None"/>
          <w:rFonts w:ascii="Arial Unicode MS" w:hAnsi="Arial Unicode MS" w:cs="Times New Roman" w:hint="cs"/>
          <w:sz w:val="24"/>
          <w:szCs w:val="24"/>
          <w:rtl/>
          <w:lang w:val="ar-SA"/>
        </w:rPr>
        <w:t xml:space="preserve">من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جرم تصنيع أو تداول أدوات التحايل على أنظمة الحماية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4"/>
      </w:r>
      <w:r>
        <w:rPr>
          <w:rStyle w:val="None"/>
          <w:rFonts w:ascii="Times New Roman" w:hAnsi="Times New Roman"/>
          <w:sz w:val="24"/>
          <w:szCs w:val="24"/>
          <w:vertAlign w:val="superscript"/>
          <w:rtl/>
          <w:lang w:val="ar-SA"/>
        </w:rPr>
        <w:t>)</w:t>
      </w:r>
    </w:p>
    <w:p w14:paraId="0CDAE2EB"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قواعد الملكية الفكرية هي تلك القوانين التي تنظم  الاعتداءات على الحقوق التقليدية والرقمية، ومن أبرز هذه المعالجات الجنائية تجريم فعل القرصنة، الذي يمثل الصورة الأبرز في الاعتداءات المتعلقة بالملكية الفكرية التقليدية،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تلك الموجودة في البيئة الإلكترونية، وقد نُظمت تلك الحقوق بموجب قانون حقوق النشر الأمريكي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وقد اعتُبر انتهاك حقوق الملكية الفكرية قرصنة اتحادية، أما فيما يتعلق بالنسخ الإلكتروني أو انتهاك حقوق الطبع والنشر في البيئة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نظمه المشرع الأمريكي في قانون الانتحال الإلكتروني </w:t>
      </w:r>
      <w:r>
        <w:rPr>
          <w:rStyle w:val="None"/>
          <w:rFonts w:ascii="Times New Roman" w:hAnsi="Times New Roman"/>
          <w:sz w:val="24"/>
          <w:szCs w:val="24"/>
          <w:rtl/>
          <w:lang w:val="ar-SA"/>
        </w:rPr>
        <w:t xml:space="preserve">(1997) </w:t>
      </w:r>
      <w:r>
        <w:rPr>
          <w:rStyle w:val="None"/>
          <w:rFonts w:ascii="Arial Unicode MS" w:hAnsi="Arial Unicode MS" w:cs="Times New Roman" w:hint="cs"/>
          <w:sz w:val="24"/>
          <w:szCs w:val="24"/>
          <w:rtl/>
          <w:lang w:val="ar-SA"/>
        </w:rPr>
        <w:t xml:space="preserve">وقانون حماية حقوق المستهلك من القرصنة </w:t>
      </w:r>
      <w:r>
        <w:rPr>
          <w:rStyle w:val="None"/>
          <w:rFonts w:ascii="Times New Roman" w:hAnsi="Times New Roman"/>
          <w:sz w:val="24"/>
          <w:szCs w:val="24"/>
          <w:rtl/>
          <w:lang w:val="ar-SA"/>
        </w:rPr>
        <w:t>(1999).</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5"/>
      </w:r>
      <w:r>
        <w:rPr>
          <w:rStyle w:val="None"/>
          <w:rFonts w:ascii="Times New Roman" w:hAnsi="Times New Roman"/>
          <w:sz w:val="24"/>
          <w:szCs w:val="24"/>
          <w:vertAlign w:val="superscript"/>
          <w:rtl/>
          <w:lang w:val="ar-SA"/>
        </w:rPr>
        <w:t>)</w:t>
      </w:r>
    </w:p>
    <w:p w14:paraId="444004FF" w14:textId="77777777" w:rsidR="00454428" w:rsidRDefault="00C464EC" w:rsidP="00D61DE9">
      <w:pPr>
        <w:pStyle w:val="Body"/>
        <w:widowControl w:val="0"/>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الحماية الجنائية للملكية الفكرية في البيئة الرقمية في النظام الفرنسي</w:t>
      </w:r>
      <w:r>
        <w:rPr>
          <w:rStyle w:val="None"/>
          <w:rFonts w:ascii="Times New Roman" w:hAnsi="Times New Roman"/>
          <w:b/>
          <w:bCs/>
          <w:sz w:val="24"/>
          <w:szCs w:val="24"/>
          <w:rtl/>
          <w:lang w:val="ar-SA"/>
        </w:rPr>
        <w:t>:</w:t>
      </w:r>
    </w:p>
    <w:p w14:paraId="670C8A3E"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تزداد انتهاكات حقوق الملكية الفكرية انتشارًا بشكل غير مسبوق، وبفضل عولمة الاقتصاد والبيئة الرقمية الجديدة، وفي مواجهة هذه الانتهاكات، يمكن للضحايا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بموجب القانون الفرنسي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المطالبة بعقوبات جنائية وعقوبات مدنية 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مصادرة السلع المخالفة، وإتلافها، ونشر قرار الإدانة، والإنصاف القضائي، والتعويضات، ويخضع التعويض لقانون المسئولية التقصيرية، وتحديدًا للمادتين </w:t>
      </w:r>
      <w:r>
        <w:rPr>
          <w:rStyle w:val="None"/>
          <w:rFonts w:ascii="Times New Roman" w:hAnsi="Times New Roman"/>
          <w:sz w:val="24"/>
          <w:szCs w:val="24"/>
          <w:rtl/>
          <w:lang w:val="ar-SA"/>
        </w:rPr>
        <w:t xml:space="preserve">1382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1383 </w:t>
      </w:r>
      <w:r>
        <w:rPr>
          <w:rStyle w:val="None"/>
          <w:rFonts w:ascii="Arial Unicode MS" w:hAnsi="Arial Unicode MS" w:cs="Times New Roman" w:hint="cs"/>
          <w:sz w:val="24"/>
          <w:szCs w:val="24"/>
          <w:rtl/>
          <w:lang w:val="ar-SA"/>
        </w:rPr>
        <w:t>من قانون الإجراءات المدنية الفرنسي، اللتين تشترطان وجود خطأ أو ضرر، ورابطة سببية بينهما، وبشكل 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يُثبت الخطأ تلقائيًا عند وجود انتهاك لحقوق الملكية الفكرية؛ إذْ يُعتبر هذا الانتهاك خطأً مدنيًا، ويُعَدُّ تحليل الضرر أكثر صعوبةً؛ نظرًا لخضوعه لمبدأ التعويض الكامل، الذي ينص على وجوب مراعاة التكافؤ التام بين الضرر والتعويض، وتقييم الأضرار بالرجوع إلى الضحية فقط لا إلى المُنتهِك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6"/>
      </w:r>
      <w:r>
        <w:rPr>
          <w:rStyle w:val="None"/>
          <w:rFonts w:ascii="Times New Roman" w:hAnsi="Times New Roman"/>
          <w:sz w:val="24"/>
          <w:szCs w:val="24"/>
          <w:vertAlign w:val="superscript"/>
          <w:rtl/>
          <w:lang w:val="ar-SA"/>
        </w:rPr>
        <w:t>)</w:t>
      </w:r>
    </w:p>
    <w:p w14:paraId="60AA7C3E" w14:textId="06379856" w:rsidR="00454428" w:rsidRPr="00D61DE9" w:rsidRDefault="00C464EC" w:rsidP="00D61DE9">
      <w:pPr>
        <w:pStyle w:val="NormalWeb"/>
        <w:widowControl w:val="0"/>
        <w:bidi/>
        <w:spacing w:before="120" w:after="120" w:line="360" w:lineRule="auto"/>
        <w:ind w:firstLine="720"/>
        <w:jc w:val="both"/>
        <w:rPr>
          <w:rStyle w:val="None"/>
          <w:rFonts w:cs="Arial Unicode MS" w:hint="default"/>
          <w:rtl/>
          <w:lang w:val="ar-SA"/>
        </w:rPr>
      </w:pPr>
      <w:r>
        <w:rPr>
          <w:rStyle w:val="None"/>
          <w:rtl/>
          <w:lang w:val="ar-SA"/>
        </w:rPr>
        <w:t xml:space="preserve">ويعتبر الانتهاك جريمة وفقًا للقانون رقم </w:t>
      </w:r>
      <w:r>
        <w:rPr>
          <w:rStyle w:val="None"/>
          <w:rFonts w:ascii="Times New Roman" w:hAnsi="Times New Roman"/>
          <w:rtl/>
          <w:lang w:val="ar-SA"/>
        </w:rPr>
        <w:t xml:space="preserve">94-102 </w:t>
      </w:r>
      <w:r>
        <w:rPr>
          <w:rStyle w:val="None"/>
          <w:rtl/>
          <w:lang w:val="ar-SA"/>
        </w:rPr>
        <w:t xml:space="preserve">الصادر في </w:t>
      </w:r>
      <w:r>
        <w:rPr>
          <w:rStyle w:val="None"/>
          <w:rFonts w:ascii="Times New Roman" w:hAnsi="Times New Roman"/>
          <w:rtl/>
          <w:lang w:val="ar-SA"/>
        </w:rPr>
        <w:t xml:space="preserve">5 </w:t>
      </w:r>
      <w:r>
        <w:rPr>
          <w:rStyle w:val="None"/>
          <w:rtl/>
          <w:lang w:val="ar-SA"/>
        </w:rPr>
        <w:t xml:space="preserve">فبراير </w:t>
      </w:r>
      <w:r>
        <w:rPr>
          <w:rStyle w:val="None"/>
          <w:rFonts w:ascii="Times New Roman" w:hAnsi="Times New Roman"/>
          <w:rtl/>
          <w:lang w:val="ar-SA"/>
        </w:rPr>
        <w:t xml:space="preserve">1994 </w:t>
      </w:r>
      <w:r>
        <w:rPr>
          <w:rStyle w:val="None"/>
          <w:rtl/>
          <w:lang w:val="ar-SA"/>
        </w:rPr>
        <w:t xml:space="preserve">في المادة الأولى، والقانون رقم </w:t>
      </w:r>
      <w:r>
        <w:rPr>
          <w:rStyle w:val="None"/>
          <w:rFonts w:ascii="Times New Roman" w:hAnsi="Times New Roman"/>
          <w:rtl/>
          <w:lang w:val="ar-SA"/>
        </w:rPr>
        <w:t xml:space="preserve">98-536 </w:t>
      </w:r>
      <w:r>
        <w:rPr>
          <w:rStyle w:val="None"/>
          <w:rtl/>
          <w:lang w:val="ar-SA"/>
        </w:rPr>
        <w:t xml:space="preserve">الصادر في </w:t>
      </w:r>
      <w:r>
        <w:rPr>
          <w:rStyle w:val="None"/>
          <w:rFonts w:ascii="Times New Roman" w:hAnsi="Times New Roman"/>
          <w:rtl/>
          <w:lang w:val="ar-SA"/>
        </w:rPr>
        <w:t xml:space="preserve">1 </w:t>
      </w:r>
      <w:r>
        <w:rPr>
          <w:rStyle w:val="None"/>
          <w:rtl/>
          <w:lang w:val="ar-SA"/>
        </w:rPr>
        <w:t xml:space="preserve">يوليو </w:t>
      </w:r>
      <w:r>
        <w:rPr>
          <w:rStyle w:val="None"/>
          <w:rFonts w:ascii="Times New Roman" w:hAnsi="Times New Roman"/>
          <w:rtl/>
          <w:lang w:val="ar-SA"/>
        </w:rPr>
        <w:t xml:space="preserve">1998 </w:t>
      </w:r>
      <w:r>
        <w:rPr>
          <w:rStyle w:val="None"/>
          <w:rtl/>
          <w:lang w:val="ar-SA"/>
        </w:rPr>
        <w:t xml:space="preserve">في المادة الرابعة، والأمر رقم </w:t>
      </w:r>
      <w:r>
        <w:rPr>
          <w:rStyle w:val="None"/>
          <w:rFonts w:ascii="Times New Roman" w:hAnsi="Times New Roman"/>
          <w:rtl/>
          <w:lang w:val="ar-SA"/>
        </w:rPr>
        <w:t xml:space="preserve">2004-916 </w:t>
      </w:r>
      <w:r>
        <w:rPr>
          <w:rStyle w:val="None"/>
          <w:rtl/>
          <w:lang w:val="ar-SA"/>
        </w:rPr>
        <w:t xml:space="preserve">الصادر في </w:t>
      </w:r>
      <w:r>
        <w:rPr>
          <w:rStyle w:val="None"/>
          <w:rFonts w:ascii="Times New Roman" w:hAnsi="Times New Roman"/>
          <w:rtl/>
          <w:lang w:val="ar-SA"/>
        </w:rPr>
        <w:t xml:space="preserve">19 </w:t>
      </w:r>
      <w:r>
        <w:rPr>
          <w:rStyle w:val="None"/>
          <w:rtl/>
          <w:lang w:val="ar-SA"/>
        </w:rPr>
        <w:t xml:space="preserve">سبتمبر </w:t>
      </w:r>
      <w:r>
        <w:rPr>
          <w:rStyle w:val="None"/>
          <w:rFonts w:ascii="Times New Roman" w:hAnsi="Times New Roman"/>
          <w:rtl/>
          <w:lang w:val="ar-SA"/>
        </w:rPr>
        <w:t>2000</w:t>
      </w:r>
      <w:r>
        <w:rPr>
          <w:rStyle w:val="None"/>
          <w:rtl/>
          <w:lang w:val="ar-SA"/>
        </w:rPr>
        <w:t xml:space="preserve">، المادة </w:t>
      </w:r>
      <w:r>
        <w:rPr>
          <w:rStyle w:val="None"/>
          <w:rFonts w:ascii="Times New Roman" w:hAnsi="Times New Roman"/>
          <w:rtl/>
          <w:lang w:val="ar-SA"/>
        </w:rPr>
        <w:t>3</w:t>
      </w:r>
      <w:r>
        <w:rPr>
          <w:rStyle w:val="None"/>
          <w:rtl/>
          <w:lang w:val="ar-SA"/>
        </w:rPr>
        <w:t xml:space="preserve">، والذي دخل حيز التنفيذ في </w:t>
      </w:r>
      <w:r>
        <w:rPr>
          <w:rStyle w:val="None"/>
          <w:rFonts w:ascii="Times New Roman" w:hAnsi="Times New Roman"/>
          <w:rtl/>
          <w:lang w:val="ar-SA"/>
        </w:rPr>
        <w:t xml:space="preserve">1 </w:t>
      </w:r>
      <w:r>
        <w:rPr>
          <w:rStyle w:val="None"/>
          <w:rtl/>
          <w:lang w:val="ar-SA"/>
        </w:rPr>
        <w:t xml:space="preserve">يناير </w:t>
      </w:r>
      <w:r>
        <w:rPr>
          <w:rStyle w:val="None"/>
          <w:rFonts w:ascii="Times New Roman" w:hAnsi="Times New Roman"/>
          <w:rtl/>
          <w:lang w:val="ar-SA"/>
        </w:rPr>
        <w:t>2002</w:t>
      </w:r>
      <w:r>
        <w:rPr>
          <w:rStyle w:val="None"/>
          <w:rtl/>
          <w:lang w:val="ar-SA"/>
        </w:rPr>
        <w:t xml:space="preserve">، والقانون رقم </w:t>
      </w:r>
      <w:r>
        <w:rPr>
          <w:rStyle w:val="None"/>
          <w:rFonts w:ascii="Times New Roman" w:hAnsi="Times New Roman"/>
          <w:rtl/>
          <w:lang w:val="ar-SA"/>
        </w:rPr>
        <w:t xml:space="preserve">2004-204 </w:t>
      </w:r>
      <w:r>
        <w:rPr>
          <w:rStyle w:val="None"/>
          <w:rtl/>
          <w:lang w:val="ar-SA"/>
        </w:rPr>
        <w:t xml:space="preserve">الصادر في </w:t>
      </w:r>
      <w:r>
        <w:rPr>
          <w:rStyle w:val="None"/>
          <w:rFonts w:ascii="Times New Roman" w:hAnsi="Times New Roman"/>
          <w:rtl/>
          <w:lang w:val="ar-SA"/>
        </w:rPr>
        <w:t xml:space="preserve">9 </w:t>
      </w:r>
      <w:r>
        <w:rPr>
          <w:rStyle w:val="None"/>
          <w:rtl/>
          <w:lang w:val="ar-SA"/>
        </w:rPr>
        <w:t xml:space="preserve">مارس </w:t>
      </w:r>
      <w:r>
        <w:rPr>
          <w:rStyle w:val="None"/>
          <w:rFonts w:ascii="Times New Roman" w:hAnsi="Times New Roman"/>
          <w:rtl/>
          <w:lang w:val="ar-SA"/>
        </w:rPr>
        <w:t>2004</w:t>
      </w:r>
      <w:r>
        <w:rPr>
          <w:rStyle w:val="None"/>
          <w:rtl/>
          <w:lang w:val="ar-SA"/>
        </w:rPr>
        <w:t xml:space="preserve">، المادة </w:t>
      </w:r>
      <w:r>
        <w:rPr>
          <w:rStyle w:val="None"/>
          <w:rFonts w:ascii="Times New Roman" w:hAnsi="Times New Roman"/>
          <w:rtl/>
          <w:lang w:val="ar-SA"/>
        </w:rPr>
        <w:t xml:space="preserve">34 </w:t>
      </w:r>
      <w:r>
        <w:rPr>
          <w:rStyle w:val="None"/>
          <w:rtl/>
          <w:lang w:val="ar-SA"/>
        </w:rPr>
        <w:t xml:space="preserve">ط؛ حيث يُعتبر أي نشر للكتابات، أو المؤلفات الموسيقية، أو الرسومات، أو غيرها من الأعمال الحصرية انتهاكًا، ويُعتبر أي انتهاك جريمة، ويُعاقب كل من يُخالف أحكام هذا القانون في فرنسا، سواءً أكان منشورًا في فرنسا أم خارجها، بالسجن لمدة ثلاث سنواتٍ، وغرامة قدرها </w:t>
      </w:r>
      <w:r>
        <w:rPr>
          <w:rStyle w:val="None"/>
          <w:rFonts w:ascii="Times New Roman" w:hAnsi="Times New Roman"/>
          <w:rtl/>
          <w:lang w:val="ar-SA"/>
        </w:rPr>
        <w:t xml:space="preserve">300,000 </w:t>
      </w:r>
      <w:r>
        <w:rPr>
          <w:rStyle w:val="None"/>
          <w:rtl/>
          <w:lang w:val="ar-SA"/>
        </w:rPr>
        <w:t xml:space="preserve">يورو، ويُعاقب كل من يبيع أو يُصدر أو يُستورد الأعمال المُخالفة بنفس العقوبات، وفي حال ارتكاب جماعة إجرامية منظمة للجرائم المنصوص عليها في هذه المادة، تُشدد العقوبة إلى السجن لمدة خمس سنواتٍ، وغرامة قدرها </w:t>
      </w:r>
      <w:r>
        <w:rPr>
          <w:rStyle w:val="None"/>
          <w:rFonts w:ascii="Times New Roman" w:hAnsi="Times New Roman"/>
          <w:rtl/>
          <w:lang w:val="ar-SA"/>
        </w:rPr>
        <w:t xml:space="preserve">500,000 </w:t>
      </w:r>
      <w:r>
        <w:rPr>
          <w:rStyle w:val="None"/>
          <w:rtl/>
          <w:lang w:val="ar-SA"/>
        </w:rPr>
        <w:t>يورو</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87"/>
      </w:r>
      <w:r>
        <w:rPr>
          <w:rStyle w:val="None"/>
          <w:rFonts w:ascii="Times New Roman" w:hAnsi="Times New Roman"/>
          <w:vertAlign w:val="superscript"/>
          <w:rtl/>
          <w:lang w:val="ar-SA"/>
        </w:rPr>
        <w:t>)</w:t>
      </w:r>
      <w:r w:rsidR="00D61DE9">
        <w:rPr>
          <w:rStyle w:val="None"/>
          <w:rFonts w:ascii="Times New Roman" w:hAnsi="Times New Roman"/>
          <w:vertAlign w:val="superscript"/>
          <w:rtl/>
          <w:lang w:val="ar-SA"/>
        </w:rPr>
        <w:t xml:space="preserve"> </w:t>
      </w:r>
      <w:r>
        <w:rPr>
          <w:rStyle w:val="None"/>
          <w:rtl/>
          <w:lang w:val="ar-SA"/>
        </w:rPr>
        <w:t xml:space="preserve">وفقًا للمادة </w:t>
      </w:r>
      <w:r>
        <w:rPr>
          <w:rStyle w:val="None"/>
          <w:rFonts w:ascii="Times New Roman" w:hAnsi="Times New Roman"/>
        </w:rPr>
        <w:t>L121-1</w:t>
      </w:r>
      <w:r>
        <w:rPr>
          <w:rStyle w:val="None"/>
          <w:rtl/>
          <w:lang w:val="ar-SA"/>
        </w:rPr>
        <w:t xml:space="preserve"> من قانون الملكية الفكرية الفرنسي، يتمتع المؤلف بحق احترام اسمه وأهليته وعمله، هذا الحق مرتبط بشخصه، وهو دائم وغير قابل للتصرف أو التقادم، وينتقل هذا الحق عند وفاته إلى ورثته، ويجوز منح ممارسته لطرف ثالث بموجب أحكام الوصية، ويتمتع المؤلف بالحق الحصري، ويتمتع هذا الحق بالسمات التالية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rFonts w:ascii="Times New Roman" w:eastAsia="Times New Roman" w:hAnsi="Times New Roman"/>
          <w:vertAlign w:val="superscript"/>
          <w:lang w:val="ar-SA"/>
        </w:rPr>
        <w:footnoteReference w:id="488"/>
      </w:r>
      <w:r>
        <w:rPr>
          <w:rStyle w:val="None"/>
          <w:rFonts w:ascii="Times New Roman" w:hAnsi="Times New Roman"/>
          <w:vertAlign w:val="superscript"/>
          <w:rtl/>
          <w:lang w:val="ar-SA"/>
        </w:rPr>
        <w:t>)</w:t>
      </w:r>
    </w:p>
    <w:p w14:paraId="076D419A" w14:textId="77777777" w:rsidR="00454428" w:rsidRDefault="00C464EC">
      <w:pPr>
        <w:pStyle w:val="ListParagraph"/>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يرتبط هذا الحق بشخص المؤلف</w:t>
      </w:r>
      <w:r>
        <w:rPr>
          <w:rStyle w:val="None"/>
          <w:rFonts w:ascii="Times New Roman" w:hAnsi="Times New Roman"/>
          <w:sz w:val="24"/>
          <w:szCs w:val="24"/>
          <w:rtl/>
          <w:lang w:val="ar-SA"/>
        </w:rPr>
        <w:t>.</w:t>
      </w:r>
    </w:p>
    <w:p w14:paraId="057A53B7" w14:textId="77777777" w:rsidR="00454428" w:rsidRDefault="00C464EC">
      <w:pPr>
        <w:pStyle w:val="ListParagraph"/>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يعتبر هذا الحق دائم وغير قابل للتصرف أو التقادم</w:t>
      </w:r>
      <w:r>
        <w:rPr>
          <w:rStyle w:val="None"/>
          <w:rFonts w:ascii="Times New Roman" w:hAnsi="Times New Roman"/>
          <w:sz w:val="24"/>
          <w:szCs w:val="24"/>
          <w:rtl/>
          <w:lang w:val="ar-SA"/>
        </w:rPr>
        <w:t>.</w:t>
      </w:r>
    </w:p>
    <w:p w14:paraId="40EA51BF" w14:textId="77777777" w:rsidR="00454428" w:rsidRDefault="00C464EC">
      <w:pPr>
        <w:pStyle w:val="ListParagraph"/>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وينتقل هذا الحق عند وفاته إلى ورثته</w:t>
      </w:r>
      <w:r>
        <w:rPr>
          <w:rStyle w:val="None"/>
          <w:rFonts w:ascii="Times New Roman" w:hAnsi="Times New Roman"/>
          <w:sz w:val="24"/>
          <w:szCs w:val="24"/>
          <w:rtl/>
          <w:lang w:val="ar-SA"/>
        </w:rPr>
        <w:t>.</w:t>
      </w:r>
    </w:p>
    <w:p w14:paraId="784EE40D" w14:textId="77777777" w:rsidR="00454428" w:rsidRDefault="00C464EC">
      <w:pPr>
        <w:pStyle w:val="ListParagraph"/>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ويجوز منح ممارسته لطرف ثالث بموجب أحكام الوصية</w:t>
      </w:r>
      <w:r>
        <w:rPr>
          <w:rStyle w:val="None"/>
          <w:rFonts w:ascii="Times New Roman" w:hAnsi="Times New Roman"/>
          <w:sz w:val="24"/>
          <w:szCs w:val="24"/>
          <w:rtl/>
          <w:lang w:val="ar-SA"/>
        </w:rPr>
        <w:t>.</w:t>
      </w:r>
    </w:p>
    <w:p w14:paraId="058FB47F"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يهدف قانون الجمهورية الرقمية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قانون رقم </w:t>
      </w:r>
      <w:r>
        <w:rPr>
          <w:rStyle w:val="None"/>
          <w:rFonts w:ascii="Times New Roman" w:hAnsi="Times New Roman"/>
          <w:sz w:val="24"/>
          <w:szCs w:val="24"/>
          <w:rtl/>
          <w:lang w:val="ar-SA"/>
        </w:rPr>
        <w:t xml:space="preserve">2016-1321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 xml:space="preserve">2016) </w:t>
      </w:r>
      <w:r>
        <w:rPr>
          <w:rStyle w:val="None"/>
          <w:rFonts w:ascii="Arial Unicode MS" w:hAnsi="Arial Unicode MS" w:cs="Times New Roman" w:hint="cs"/>
          <w:sz w:val="24"/>
          <w:szCs w:val="24"/>
          <w:rtl/>
          <w:lang w:val="ar-SA"/>
        </w:rPr>
        <w:t>إلى تعزيز إتاحة البيانات والمعرفة وتداولها، وضمان بيئة رقمية مفتوحة تحترم خصوصية مستخدمي الإنترنت، وتسهيل وصول المواطنين إلى المعلومات الرقمية، وينص القانون على أحكام محددة تتعلق بالوصول المفتوح إلى المنشورات العلمية،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فترات حظر محددة، تُمكّن هذه الأحكام المؤلفين من إيداع أعمالهم في مستودعات الوصول المفتوح بعد انقضاء فترات الحظر المحددة، حتى في حال منحهم حقوقًا حصرية للناشر، معزّزةً الوصول المفتوح مع مراعاة فترات الحظر المحددة في التشريع، والتي تحمي حقوق الملكية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9"/>
      </w:r>
      <w:r>
        <w:rPr>
          <w:rStyle w:val="None"/>
          <w:rFonts w:ascii="Times New Roman" w:hAnsi="Times New Roman"/>
          <w:sz w:val="24"/>
          <w:szCs w:val="24"/>
          <w:vertAlign w:val="superscript"/>
          <w:rtl/>
          <w:lang w:val="ar-SA"/>
        </w:rPr>
        <w:t>)</w:t>
      </w:r>
    </w:p>
    <w:p w14:paraId="750C23A8"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المصدر الرئيسي لتشريعات حقوق الملكية الفكرية في فرنسا هو قانون الملكية الفكرية، الصادر بموجب قانون صادر في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وقت صدور هذا القانون، كان قانون حقوق الطبع والنشر الفرنسي خاضعًا لقانون صادر 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xml:space="preserve">، والذي عُدِّل بقانون صادر في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1985</w:t>
      </w:r>
      <w:r>
        <w:rPr>
          <w:rStyle w:val="None"/>
          <w:rFonts w:ascii="Arial Unicode MS" w:hAnsi="Arial Unicode MS" w:cs="Times New Roman" w:hint="cs"/>
          <w:sz w:val="24"/>
          <w:szCs w:val="24"/>
          <w:rtl/>
          <w:lang w:val="ar-SA"/>
        </w:rPr>
        <w:t xml:space="preserve">، والذي تم دمج أحكامه في قانون الملكية الفكرية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ولأنَّ فرنسا عضو في الاتحاد الأوروبي، يجب أنْ يُقرأ تفسير وتطبيق التشريعات الفرنسية من قِبل السلطة القضائية وفقًا للتوجيهات واللوائح الأوروبية ذات الأثر المباشر،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غالبًا ما تُحيل المحاكم الفرنسية والمحاكم الوطنية الأخرى في الاتحاد الأوروبي المسائل القانونية إلى محكمة العدل الأوروبية، التي تُلزم قراراتها المحاكم الوطنية، ونتيجةً لذلك يُضاف ويُحدَّث قانون حقوق الطبع والنشر الفرنسي باستمرار من مصادر داخلية وخارجية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0"/>
      </w:r>
      <w:r>
        <w:rPr>
          <w:rStyle w:val="None"/>
          <w:rFonts w:ascii="Times New Roman" w:hAnsi="Times New Roman"/>
          <w:sz w:val="24"/>
          <w:szCs w:val="24"/>
          <w:vertAlign w:val="superscript"/>
          <w:rtl/>
          <w:lang w:val="ar-SA"/>
        </w:rPr>
        <w:t>)</w:t>
      </w:r>
    </w:p>
    <w:p w14:paraId="6DC0D4B9" w14:textId="77777777"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ناحية أخرى؛ تفتخر فرنسا بإطار قانوني متطوِّر وشامل لحماية الملكية الفكرية، يتماشى مع توجيهات الاتحاد الأوروبي والمعايير الدولية، ويتجلَّى التزام الدولة بتعزيز الابتكار والإبداع في قوانينها الصارمة، التي تنظم براءات الاختراع، والعلامات التجارية، وحقوق التأليف والنشر، والمؤشرات الجغرافية، وتُدار براءات الاختراع في فرنسا من قِبل المعهد الوطني الفرنسي للملكية الصناعية، الذي يلعب دورًا محوريًا في فحص ومنح براءات الاختراع؛ حيث يوفر المعهد منصةً لتسجيل براءات الاختراع؛ ممَّا يضمن حماية حقوق المخترعين، وبصفتها مشاركة في المحكمة الموحدة لبراءات الاختراع، تُساهم فرنسا في نظام موحد للتقاضي بشأن براءات الاختراع في جميع دول الاتحاد الأوروبي، تُعزّز المحكمة الموحدة للبراءات اليقين القانوني، والاتساق في منازعات براءات الاختراع، كما يحمي قانون حقوق التأليف والنشر، الذي يحكمه قانون الملكية الفكرية الفرنسي، حقوق المؤلفين والمبدعين، ويشمل القانون مجموعةً واسعةً من الأعمال الإبداعية، بما في ذلك الإبداعات الأدبية والفنية والبرمجيات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1"/>
      </w:r>
      <w:r>
        <w:rPr>
          <w:rStyle w:val="None"/>
          <w:rFonts w:ascii="Times New Roman" w:hAnsi="Times New Roman"/>
          <w:sz w:val="24"/>
          <w:szCs w:val="24"/>
          <w:vertAlign w:val="superscript"/>
          <w:rtl/>
          <w:lang w:val="ar-SA"/>
        </w:rPr>
        <w:t>)</w:t>
      </w:r>
    </w:p>
    <w:p w14:paraId="700296AB" w14:textId="69648CAC" w:rsidR="00454428"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وتُلزم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w:t>
      </w:r>
      <w:r>
        <w:rPr>
          <w:rStyle w:val="None"/>
          <w:rFonts w:ascii="Times New Roman" w:hAnsi="Times New Roman"/>
          <w:sz w:val="24"/>
          <w:szCs w:val="24"/>
          <w:rtl/>
          <w:lang w:val="ar-SA"/>
        </w:rPr>
        <w:t>(</w:t>
      </w:r>
      <w:r>
        <w:rPr>
          <w:rStyle w:val="None"/>
          <w:rFonts w:ascii="Times New Roman" w:hAnsi="Times New Roman"/>
          <w:sz w:val="24"/>
          <w:szCs w:val="24"/>
          <w:lang w:val="fr-FR"/>
        </w:rPr>
        <w:t>TRIPS</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والتي وقعت عليها فرنسا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أعضاءَ منظمة التجارة العالمية  بالنص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تطبيق إجراءات وعقوبات جنائية، على الأقل في حالات التقليد المتعمد للعلامات التجارية أو قرصنة حقوق الطبع والنشر على نطاق تجاري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يجوز لأعضاء منظمة التجارة العالمية تجاوز هذا الالتزام؛ حيث تنص الجملة الأخيرة من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على أنَّ أعضاء منظمة التجارة العالمية يتمتعون بالحرية في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تطبيق إجراءات وعقوبات جنائية في حالات عديدة من انتهاك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2"/>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Pr>
        <w:t>L121-1</w:t>
      </w:r>
      <w:r>
        <w:rPr>
          <w:rStyle w:val="None"/>
          <w:rFonts w:ascii="Arial Unicode MS" w:hAnsi="Arial Unicode MS" w:cs="Times New Roman" w:hint="cs"/>
          <w:sz w:val="24"/>
          <w:szCs w:val="24"/>
          <w:rtl/>
          <w:lang w:val="ar-SA"/>
        </w:rPr>
        <w:t xml:space="preserve"> من قانون الملكية الفكرية الفرنسي، على أنَّ المؤلف يتمتع بحق احترام اسمه وأهليته وعمله؛ بحيث يصبح هذا الحق مرتبطًا بشخصه دون عن غيره، ولا يحق لأي فرد استغلال ذلك الحق دون الإذن من صاحبه،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غير قابل للتصرف أو التقادم، كما يتم توريث هذا الحق إلى ورثة المالك بعد وفاته، ويجوز منح ممارسته لطرف ثالث بموجب أحكام الوصية، ويتمتع المؤلف بالحق الحصري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3"/>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تنقسم الحقوق وفقًا للمادة</w:t>
      </w:r>
      <w:r>
        <w:rPr>
          <w:rStyle w:val="None"/>
          <w:rFonts w:ascii="Times New Roman" w:hAnsi="Times New Roman"/>
          <w:sz w:val="24"/>
          <w:szCs w:val="24"/>
        </w:rPr>
        <w:t xml:space="preserve"> L121-1</w:t>
      </w:r>
      <w:r>
        <w:rPr>
          <w:rStyle w:val="None"/>
          <w:rFonts w:ascii="Arial Unicode MS" w:hAnsi="Arial Unicode MS" w:cs="Times New Roman" w:hint="cs"/>
          <w:sz w:val="24"/>
          <w:szCs w:val="24"/>
          <w:rtl/>
          <w:lang w:val="ar-SA"/>
        </w:rPr>
        <w:t xml:space="preserve"> من قانون الملكية الفكرية الفرنسي إلى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94"/>
      </w:r>
      <w:r>
        <w:rPr>
          <w:rStyle w:val="None"/>
          <w:rFonts w:ascii="Times New Roman" w:hAnsi="Times New Roman"/>
          <w:sz w:val="24"/>
          <w:szCs w:val="24"/>
          <w:vertAlign w:val="superscript"/>
          <w:rtl/>
          <w:lang w:val="ar-SA"/>
        </w:rPr>
        <w:t>)</w:t>
      </w:r>
    </w:p>
    <w:p w14:paraId="2E5B0C31" w14:textId="77777777" w:rsidR="00454428" w:rsidRDefault="00C464EC">
      <w:pPr>
        <w:pStyle w:val="ListParagraph"/>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المعنوي</w:t>
      </w:r>
      <w:r>
        <w:rPr>
          <w:rStyle w:val="None"/>
          <w:rFonts w:ascii="Times New Roman" w:hAnsi="Times New Roman"/>
          <w:sz w:val="24"/>
          <w:szCs w:val="24"/>
          <w:rtl/>
          <w:lang w:val="ar-SA"/>
        </w:rPr>
        <w:t xml:space="preserve">: </w:t>
      </w:r>
      <w:r>
        <w:rPr>
          <w:rStyle w:val="None"/>
          <w:rFonts w:cs="Times New Roman"/>
          <w:sz w:val="24"/>
          <w:szCs w:val="24"/>
          <w:rtl/>
          <w:lang w:val="ar-SA"/>
        </w:rPr>
        <w:t>تُرسّخ حقوق المؤلفين الرابطة الوثيقة بين المؤلفين وإبداعهم، باعتباره تعبيرًا شخصيًا عنهم، من خلال منحهم امتيازاتٍ معنويةً على أعمالهم، وترتبط هذه الحقوق مباشرةً بالمؤلف كشخص، وهي دائمة، غير قابلة للتصرف، ولا تسقط بالتقادم، كما تظل الحقوق المعنوية ساريةً بعد وفاة المؤلف، وحتى بعد انقضاء الحقوق المادية، ويجوز لورثة المؤلف ممارسة هذه الحقوق</w:t>
      </w:r>
      <w:r>
        <w:rPr>
          <w:rStyle w:val="None"/>
          <w:rFonts w:ascii="Times New Roman" w:hAnsi="Times New Roman"/>
          <w:sz w:val="24"/>
          <w:szCs w:val="24"/>
          <w:rtl/>
          <w:lang w:val="ar-SA"/>
        </w:rPr>
        <w:t>.</w:t>
      </w:r>
    </w:p>
    <w:p w14:paraId="75EF8731" w14:textId="77777777" w:rsidR="00454428" w:rsidRDefault="00C464EC">
      <w:pPr>
        <w:pStyle w:val="ListParagraph"/>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صلاحيات المؤلف</w:t>
      </w:r>
      <w:r>
        <w:rPr>
          <w:rStyle w:val="None"/>
          <w:rFonts w:ascii="Times New Roman" w:hAnsi="Times New Roman"/>
          <w:sz w:val="24"/>
          <w:szCs w:val="24"/>
          <w:rtl/>
          <w:lang w:val="ar-SA"/>
        </w:rPr>
        <w:t xml:space="preserve">: </w:t>
      </w:r>
      <w:r>
        <w:rPr>
          <w:rStyle w:val="None"/>
          <w:rFonts w:cs="Times New Roman"/>
          <w:sz w:val="24"/>
          <w:szCs w:val="24"/>
          <w:rtl/>
          <w:lang w:val="ar-SA"/>
        </w:rPr>
        <w:t>ينص قانون الملكية الفكرية الفرنسي على أنَّ للمؤلف وحده الحق في الإفصاح عن عمله؛ حيث يُقر قانون الملكية الفكرية الفرنسي بأنَّه وحده من يملك الحق في نشر عمله أو عدم نشره، كما يحق لأي مؤلف لعمل ما أنْ يربط اسمه بهذا العمل، وللمؤلف الحق في الاعتراض على أي تغيير، أو حذف، أو إضافة من شأنها أنْ تُغير العمل الأصلي، كما يتمتع المؤلف بالحق في تعديل العمل، أو التوقف عن استخدامه في أي وقت طوال مدة عقده، ودون أي التزام بتبرير هذا القرار</w:t>
      </w:r>
      <w:r>
        <w:rPr>
          <w:rStyle w:val="None"/>
          <w:rFonts w:ascii="Times New Roman" w:hAnsi="Times New Roman"/>
          <w:sz w:val="24"/>
          <w:szCs w:val="24"/>
          <w:rtl/>
          <w:lang w:val="ar-SA"/>
        </w:rPr>
        <w:t>.</w:t>
      </w:r>
    </w:p>
    <w:p w14:paraId="01226960" w14:textId="77777777" w:rsidR="00454428" w:rsidRDefault="00C464EC">
      <w:pPr>
        <w:pStyle w:val="ListParagraph"/>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الاقتصادية</w:t>
      </w:r>
      <w:r>
        <w:rPr>
          <w:rStyle w:val="None"/>
          <w:rFonts w:ascii="Times New Roman" w:hAnsi="Times New Roman"/>
          <w:sz w:val="24"/>
          <w:szCs w:val="24"/>
          <w:rtl/>
          <w:lang w:val="ar-SA"/>
        </w:rPr>
        <w:t xml:space="preserve">: </w:t>
      </w:r>
      <w:r>
        <w:rPr>
          <w:rStyle w:val="None"/>
          <w:rFonts w:cs="Times New Roman"/>
          <w:sz w:val="24"/>
          <w:szCs w:val="24"/>
          <w:rtl/>
          <w:lang w:val="ar-SA"/>
        </w:rPr>
        <w:t>حيث يحق للمؤلفين إعادة إنتاج أعمالهم، والحصول على أجر مقابل ذلك، وتُعَدُّ الحقوق الاقتصادية حصريةً، وللمؤلف وحده تحديد شروط استخدام العمل، لا سيما عند ترخيص الآخرين باستخدامه، وتعتبر الحقوق الاقتصادية محدودة زمنيًا، على عكس الحقوق المعنوية التي تُعتبر أبدية</w:t>
      </w:r>
      <w:r>
        <w:rPr>
          <w:rStyle w:val="None"/>
          <w:rFonts w:ascii="Times New Roman" w:hAnsi="Times New Roman"/>
          <w:sz w:val="24"/>
          <w:szCs w:val="24"/>
          <w:rtl/>
          <w:lang w:val="ar-SA"/>
        </w:rPr>
        <w:t>.</w:t>
      </w:r>
    </w:p>
    <w:p w14:paraId="2031440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5BDEAEFE" w14:textId="77777777" w:rsidR="00323404" w:rsidRDefault="00323404">
      <w:pPr>
        <w:rPr>
          <w:rStyle w:val="None"/>
          <w:rFonts w:ascii="Arial Unicode MS" w:hAnsi="Arial Unicode MS"/>
          <w:b/>
          <w:bCs/>
          <w:color w:val="000000"/>
          <w:sz w:val="32"/>
          <w:szCs w:val="32"/>
          <w:u w:color="000000"/>
          <w:rtl/>
          <w:lang w:val="ar-SA"/>
          <w14:textOutline w14:w="0" w14:cap="flat" w14:cmpd="sng" w14:algn="ctr">
            <w14:noFill/>
            <w14:prstDash w14:val="solid"/>
            <w14:bevel/>
          </w14:textOutline>
        </w:rPr>
      </w:pPr>
      <w:bookmarkStart w:id="254" w:name="_Toc232260699"/>
      <w:r>
        <w:rPr>
          <w:rStyle w:val="None"/>
          <w:rFonts w:ascii="Arial Unicode MS" w:hAnsi="Arial Unicode MS"/>
          <w:b/>
          <w:bCs/>
          <w:sz w:val="32"/>
          <w:szCs w:val="32"/>
          <w:rtl/>
          <w:lang w:val="ar-SA"/>
        </w:rPr>
        <w:br w:type="page"/>
      </w:r>
    </w:p>
    <w:p w14:paraId="745C731B" w14:textId="2E430334"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r>
        <w:rPr>
          <w:rStyle w:val="None"/>
          <w:rFonts w:ascii="Arial Unicode MS" w:hAnsi="Arial Unicode MS" w:cs="Times New Roman" w:hint="cs"/>
          <w:b/>
          <w:bCs/>
          <w:sz w:val="32"/>
          <w:szCs w:val="32"/>
          <w:rtl/>
          <w:lang w:val="ar-SA"/>
        </w:rPr>
        <w:t>الفصل الرابع</w:t>
      </w:r>
      <w:bookmarkEnd w:id="254"/>
    </w:p>
    <w:p w14:paraId="19B8CBF8"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55" w:name="_Toc232260700"/>
      <w:r>
        <w:rPr>
          <w:rStyle w:val="None"/>
          <w:rFonts w:ascii="Arial Unicode MS" w:hAnsi="Arial Unicode MS" w:cs="Times New Roman" w:hint="cs"/>
          <w:b/>
          <w:bCs/>
          <w:sz w:val="32"/>
          <w:szCs w:val="32"/>
          <w:rtl/>
          <w:lang w:val="ar-SA"/>
        </w:rPr>
        <w:t>الحماية الإجرائية للملكية الفكرية في البيئة الرقمية</w:t>
      </w:r>
      <w:bookmarkEnd w:id="255"/>
    </w:p>
    <w:p w14:paraId="6175B7F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الإجرائية للملكية الفكرية في البيئة الرقمية تقوم على مجموعة من الإجراءات القانونية، التي تضمن حقوق أصحاب المصنفات الرقمية من الانتهاكات، كما تعمل على تمكين أصحاب الحقوق اللجوء إلى القضاء للمطالبة بحقهم من هذه الانتهاكات، والمطالبة بالتعويض المناسب من جراء التعدي؛ لذا تم تقسيم هذا الفصل إلى مبحثين وهما</w:t>
      </w:r>
      <w:r>
        <w:rPr>
          <w:rStyle w:val="None"/>
          <w:rFonts w:ascii="Times New Roman" w:hAnsi="Times New Roman"/>
          <w:sz w:val="24"/>
          <w:szCs w:val="24"/>
          <w:rtl/>
          <w:lang w:val="ar-SA"/>
        </w:rPr>
        <w:t>:</w:t>
      </w:r>
    </w:p>
    <w:p w14:paraId="7C206F60" w14:textId="77777777" w:rsidR="00454428" w:rsidRDefault="00C464EC">
      <w:pPr>
        <w:pStyle w:val="Body"/>
        <w:numPr>
          <w:ilvl w:val="0"/>
          <w:numId w:val="228"/>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الإجراءات القانونية لحماية الملكية الفكرية في البيئة الرقمية</w:t>
      </w:r>
      <w:r>
        <w:rPr>
          <w:rStyle w:val="None"/>
          <w:rFonts w:ascii="Times New Roman" w:hAnsi="Times New Roman"/>
          <w:sz w:val="24"/>
          <w:szCs w:val="24"/>
          <w:rtl/>
          <w:lang w:val="ar-SA"/>
        </w:rPr>
        <w:t>.</w:t>
      </w:r>
    </w:p>
    <w:p w14:paraId="035DA97E" w14:textId="77777777" w:rsidR="00454428" w:rsidRDefault="00C464EC">
      <w:pPr>
        <w:pStyle w:val="Body"/>
        <w:numPr>
          <w:ilvl w:val="0"/>
          <w:numId w:val="228"/>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 xml:space="preserve">المبحث الثاني </w:t>
      </w:r>
      <w:r>
        <w:rPr>
          <w:rStyle w:val="None"/>
          <w:rFonts w:ascii="Arial Unicode MS" w:hAnsi="Arial Unicode MS" w:cs="Times New Roman" w:hint="cs"/>
          <w:sz w:val="24"/>
          <w:szCs w:val="24"/>
          <w:rtl/>
          <w:lang w:val="ar-SA"/>
        </w:rPr>
        <w:t>الإجراءات التقنية لحماية الملكية الفكرية في البيئة الرقمية</w:t>
      </w:r>
      <w:r>
        <w:rPr>
          <w:rStyle w:val="None"/>
          <w:rFonts w:ascii="Times New Roman" w:hAnsi="Times New Roman"/>
          <w:sz w:val="24"/>
          <w:szCs w:val="24"/>
          <w:rtl/>
          <w:lang w:val="ar-SA"/>
        </w:rPr>
        <w:t>.</w:t>
      </w:r>
    </w:p>
    <w:p w14:paraId="3B3C04B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88EA8D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3EF31D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A56FB3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5F1249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F16392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29B8E2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4A805E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CF6D25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3F16F7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04ED43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B31337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98FB65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9521EB6"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E710B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1D0303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AD74D4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0BBA03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8FD28B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31058DD"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56" w:name="_Toc232260701"/>
      <w:r>
        <w:rPr>
          <w:rStyle w:val="None"/>
          <w:rFonts w:ascii="Arial Unicode MS" w:hAnsi="Arial Unicode MS" w:cs="Times New Roman" w:hint="cs"/>
          <w:b/>
          <w:bCs/>
          <w:sz w:val="32"/>
          <w:szCs w:val="32"/>
          <w:rtl/>
          <w:lang w:val="ar-SA"/>
        </w:rPr>
        <w:t>المبحث الأول</w:t>
      </w:r>
      <w:bookmarkEnd w:id="256"/>
    </w:p>
    <w:p w14:paraId="752DE256"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57" w:name="_Toc232260702"/>
      <w:r>
        <w:rPr>
          <w:rStyle w:val="None"/>
          <w:rFonts w:ascii="Arial Unicode MS" w:hAnsi="Arial Unicode MS" w:cs="Times New Roman" w:hint="cs"/>
          <w:b/>
          <w:bCs/>
          <w:sz w:val="32"/>
          <w:szCs w:val="32"/>
          <w:rtl/>
          <w:lang w:val="ar-SA"/>
        </w:rPr>
        <w:t>الإجراءات القانونية لحماية الملكية الفكرية في البيئة الرقمية</w:t>
      </w:r>
      <w:bookmarkEnd w:id="257"/>
    </w:p>
    <w:p w14:paraId="7C50E51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يلزم لها ضوابط لحمايتها من التلاعب من قبل الأشخاص الذين يريدون أنْ تعدل في محتوى المصنف الإلكتروني أو براءة الاختراع لدى الآخرين وتغير معلوماته الإلكترونية حتى تنسبه لنفسها، وذلك عن طريق وضع ضوابط واضحة لمن يتعدى على حقوق الغير، وتوضيح الترخيص الإجباري للغير، وطرق التصرف في حالته، ونقله، وأحقية التصرف في البيئة الإلكترونية</w:t>
      </w:r>
      <w:r>
        <w:rPr>
          <w:rStyle w:val="None"/>
          <w:rFonts w:ascii="Times New Roman" w:hAnsi="Times New Roman"/>
          <w:sz w:val="24"/>
          <w:szCs w:val="24"/>
          <w:rtl/>
          <w:lang w:val="ar-SA"/>
        </w:rPr>
        <w:t>.</w:t>
      </w:r>
    </w:p>
    <w:p w14:paraId="46719A1E" w14:textId="77777777" w:rsidR="00454428" w:rsidRDefault="00C464EC">
      <w:pPr>
        <w:pStyle w:val="Body"/>
        <w:numPr>
          <w:ilvl w:val="0"/>
          <w:numId w:val="26"/>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الترخيص الإجباري</w:t>
      </w:r>
      <w:r>
        <w:rPr>
          <w:rStyle w:val="None"/>
          <w:rFonts w:ascii="Times New Roman" w:hAnsi="Times New Roman"/>
          <w:sz w:val="24"/>
          <w:szCs w:val="24"/>
          <w:rtl/>
          <w:lang w:val="ar-SA"/>
        </w:rPr>
        <w:t>.</w:t>
      </w:r>
    </w:p>
    <w:p w14:paraId="0F3246FF" w14:textId="77777777" w:rsidR="00454428" w:rsidRDefault="00C464EC">
      <w:pPr>
        <w:pStyle w:val="Body"/>
        <w:numPr>
          <w:ilvl w:val="0"/>
          <w:numId w:val="26"/>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الإثبات والتحقيق والضبط الفني في البيئة الرقمية</w:t>
      </w:r>
      <w:r>
        <w:rPr>
          <w:rStyle w:val="None"/>
          <w:rFonts w:ascii="Times New Roman" w:hAnsi="Times New Roman"/>
          <w:sz w:val="24"/>
          <w:szCs w:val="24"/>
          <w:rtl/>
          <w:lang w:val="ar-SA"/>
        </w:rPr>
        <w:t>.</w:t>
      </w:r>
    </w:p>
    <w:p w14:paraId="16DA4CC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FC115B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D6BAF2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72B4D8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34AE0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A995CF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890DBC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84B726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17093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6D6F37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F47A40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A6D75E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451812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5D390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065E83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089D8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34096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FE0625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E290C4D"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58" w:name="_Toc232260703"/>
      <w:r>
        <w:rPr>
          <w:rStyle w:val="None"/>
          <w:rFonts w:ascii="Arial Unicode MS" w:hAnsi="Arial Unicode MS" w:cs="Times New Roman" w:hint="cs"/>
          <w:b/>
          <w:bCs/>
          <w:sz w:val="32"/>
          <w:szCs w:val="32"/>
          <w:rtl/>
          <w:lang w:val="ar-SA"/>
        </w:rPr>
        <w:t>المطلب الأول</w:t>
      </w:r>
      <w:bookmarkEnd w:id="258"/>
    </w:p>
    <w:p w14:paraId="37C9D35E"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59" w:name="_Toc232260704"/>
      <w:r>
        <w:rPr>
          <w:rStyle w:val="None"/>
          <w:rFonts w:ascii="Arial Unicode MS" w:hAnsi="Arial Unicode MS" w:cs="Times New Roman" w:hint="cs"/>
          <w:b/>
          <w:bCs/>
          <w:sz w:val="32"/>
          <w:szCs w:val="32"/>
          <w:rtl/>
          <w:lang w:val="ar-SA"/>
        </w:rPr>
        <w:t>الترخيص الإجباري</w:t>
      </w:r>
      <w:bookmarkEnd w:id="259"/>
    </w:p>
    <w:p w14:paraId="54BE9E7B"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rtl/>
          <w:lang w:val="ar-SA"/>
        </w:rPr>
        <w:tab/>
      </w:r>
      <w:r>
        <w:rPr>
          <w:rStyle w:val="None"/>
          <w:rFonts w:ascii="Arial Unicode MS" w:hAnsi="Arial Unicode MS" w:cs="Times New Roman" w:hint="cs"/>
          <w:sz w:val="24"/>
          <w:szCs w:val="24"/>
          <w:rtl/>
          <w:lang w:val="ar-SA"/>
        </w:rPr>
        <w:t>إنَّ المخترع منح حق استغلال براءة الاختراع حصريًا، كنتيجة للموازنة بين منفعة المجتمع من هذا الاختراع، وحق المخترع باستغلال الاختراع حصريًا والتصرف به ضمن مدة محددة، إلا أنَّه في حال اختلال هذه الموازنة يستدعى ذلك تدخل الجهة المختصة</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 xml:space="preserve">بإصدار الترخيص الإجباري قانونيًا؛ لإعادة هذا التوازن، ويقع الترخيص الإجباري على مالك براءة الاختراع، ضمن قيود معينة حددها المشرع الدولي وأخذت بها القوانين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D2ACA7"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الترخيص الإجباري</w:t>
      </w:r>
      <w:r>
        <w:rPr>
          <w:rStyle w:val="None"/>
          <w:rFonts w:ascii="Times New Roman" w:hAnsi="Times New Roman"/>
          <w:b/>
          <w:bCs/>
          <w:sz w:val="28"/>
          <w:szCs w:val="28"/>
          <w:rtl/>
          <w:lang w:val="ar-SA"/>
        </w:rPr>
        <w:t>:</w:t>
      </w:r>
    </w:p>
    <w:p w14:paraId="40363F96"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rtl/>
          <w:lang w:val="ar-SA"/>
        </w:rPr>
        <w:tab/>
      </w:r>
      <w:r>
        <w:rPr>
          <w:rStyle w:val="None"/>
          <w:rFonts w:ascii="Arial Unicode MS" w:hAnsi="Arial Unicode MS" w:cs="Times New Roman" w:hint="cs"/>
          <w:sz w:val="24"/>
          <w:szCs w:val="24"/>
          <w:rtl/>
          <w:lang w:val="ar-SA"/>
        </w:rPr>
        <w:t>يُعَدُّ الترخيص من أدوات نقل التكنولوجيا المهمة في العصر الحالي، وهو أمر استلزمته العدالة والموازنة بين حق المجتمع وحق المخترع أو المؤلف؛ حيث إنَّ حق المخترع باستغلال اختراع يعتبر غير مطلق، وإنْ كان المنظم أعطاه بعض المزايا لكونه هو صاحب الفضل في وجود الاختراع للمجتمع إلا أنَّه قد يكون ملزمًا بالترخيص، وتنقسم التراخيص إلى نوعين، اختيار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وهو يكون بين رضا الأطراف، وهذا ورد مسماه في النظام السعودي تحت مسمى الترخيص الاتفاق، أما الترخيص الإجباري، الذي تقوم به جهة الإدارة بدون رضا أطرافه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C322AD1"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rtl/>
          <w:lang w:val="ar-SA"/>
        </w:rPr>
        <w:tab/>
      </w:r>
      <w:r>
        <w:rPr>
          <w:rStyle w:val="None"/>
          <w:rFonts w:ascii="Arial Unicode MS" w:hAnsi="Arial Unicode MS" w:cs="Times New Roman" w:hint="cs"/>
          <w:sz w:val="24"/>
          <w:szCs w:val="24"/>
          <w:rtl/>
          <w:lang w:val="ar-SA"/>
        </w:rPr>
        <w:t xml:space="preserve">فقد عرفت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الترخيص الإجباري من نظام براءات الاختراع والتصميمات التخطيطية للدارات المتكاملة، والأصناف النباتية، والنماذج الصناعية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الإذن للغير باستغلال موضوع حماية، دون موافقة مالك وثيقة الحماية، وفقًا للأحكام المنصوص عليها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جاءت بتعريف الترخيص التعاقدي أيضًا؛ لما له ارتباط بالترخيص الإجباري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عقد يخول بمقتضاه مالك وثيقة الحماية طرفًا آخر بعض أو جميع حقوقه في استغلال تلك الوثيقة، مدة معينة لقاء أجر محدد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A17F26"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وأشار هذا التعريف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يمنح من قبل جهة مختصة في حال سوء استعمال البراءة، شريطة توافر المقدرة لدى طالب الترخيص لاستغلال الاختراع، إلا أنَّه قصر الترخيص الإجباري على حالة سوء استعمال البراءة، فلم يتطرق إلى حالات وقوع الترخيص الإجباري في حالات الطوارئ، أو الأمن القومي، أو المصلحة العامة، كما أكتفى بذكر شرط وحيد للترخيص الإجباري، وهو المقدرة على استغلال الاختراع وأهمل باقي الشروط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97ABF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يجوز لطرف جديد أنْ يستعمل مزايا الاختراع، دون الخضوع؛ لموافقة صاحب براءة الاختراع مع ضوابط معينة وتنظم تلك الضوابط طبقًا للنصوص الواردة في النظام السعودي، والترخيص التعاقدي هنا يعتبر هو اتفاق يتم بين صاحب وثيقة الحماية وشخص آخر، ومن هذا الاتفاق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لهذا الشخص من خلال ذلك الاتفاق أنْ يستعمل مدى حق التصرف في الوثيقة</w:t>
      </w:r>
      <w:r>
        <w:rPr>
          <w:rStyle w:val="None"/>
          <w:rFonts w:ascii="Times New Roman" w:hAnsi="Times New Roman"/>
          <w:sz w:val="24"/>
          <w:szCs w:val="24"/>
          <w:rtl/>
          <w:lang w:val="ar-SA"/>
        </w:rPr>
        <w:t>.</w:t>
      </w:r>
    </w:p>
    <w:p w14:paraId="6EAC4644"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لا بُدَّ من توضيح اختلاف الترخيص الإجباري لبراءة الاختراع عن الترخيص الاتفاقي لبراءة الاختراع، قبل التطرق لتعريف الترخيص الاجباري؛ حيث إنَّ الترخيص باستغلال الاختراعات هو مفهوم أوسع من أنْ يقتصر على مفهوم الترخيص لإجباري؛ حيث إنَّه يشمل الترخيص الإجباري لبراءة الاختراع، كما يشمل الترخيص الاتفاقي لبراءة الاختراع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10995C"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الأساس القانوني للترخيص الإجباري</w:t>
      </w:r>
      <w:r>
        <w:rPr>
          <w:rStyle w:val="None"/>
          <w:rFonts w:ascii="Times New Roman" w:hAnsi="Times New Roman"/>
          <w:b/>
          <w:bCs/>
          <w:sz w:val="28"/>
          <w:szCs w:val="28"/>
          <w:rtl/>
          <w:lang w:val="ar-SA"/>
        </w:rPr>
        <w:t>:</w:t>
      </w:r>
    </w:p>
    <w:p w14:paraId="31D8459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بقصد ببراءة الاختراع تلك الشهادة التي تمنحها الجهة المختصة للمخترع، الذي يتقدم باختراع جديد قابل للتطبيق الصناعي، ويمثل خطوةً إبداعيةً، سواء أكان الاختراع متعلقًا بمنتجات صناعية جديدة، أم بطرق صناعية مستحدثة، أم بتطبيق جديد لطرق صناعية معروفة، كما تمنح تلك الشهادة عن كل تعديل، أو تحسين، أو إضافة ترد على اختراع سبق أنْ منحت عنه براءة اختراع، إذا توافرت فيه شروط الجدة، والإبداع، والقابلية للتطبيق الصناعي، ويكون منح تلك الشهادة لصاحب التعديل أو التحسين أو الإضافة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F2DCF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(23) </w:t>
      </w:r>
      <w:r>
        <w:rPr>
          <w:rStyle w:val="None"/>
          <w:rFonts w:ascii="Arial Unicode MS" w:hAnsi="Arial Unicode MS" w:cs="Times New Roman" w:hint="cs"/>
          <w:sz w:val="24"/>
          <w:szCs w:val="24"/>
          <w:rtl/>
          <w:lang w:val="ar-SA"/>
        </w:rPr>
        <w:t>من نظام الملكية الفكرية السعودية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يترتب على الترخيص أحقية المرخص له في القيام بجميع الأعمال والامتيازات المقررة لمالك وثيقة الحماية، والمتعلقة بموضوع الحماية في جميع أنحاء المملكة طوال مدة سريان الحماية، ما لم ينص في عقد الترخيص على خلاف ذلك، وليس للمرخص له أنْ يتنازل عن الحقوق والامتيازات التي رخص له بها مالك الوثيقة، ما لم ينص عقد الترخيص على ذلك صراحةً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4D105"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rtl/>
          <w:lang w:val="ar-SA"/>
        </w:rPr>
        <w:tab/>
      </w:r>
      <w:r>
        <w:rPr>
          <w:rStyle w:val="None"/>
          <w:rFonts w:ascii="Arial Unicode MS" w:hAnsi="Arial Unicode MS" w:cs="Times New Roman" w:hint="cs"/>
          <w:sz w:val="24"/>
          <w:szCs w:val="24"/>
          <w:rtl/>
          <w:lang w:val="ar-SA"/>
        </w:rPr>
        <w:t>إنَّ الترخيص يعطي للشخص المرخص له الحق القانوني الكامل في التصرف، من خلال تلك الرخصة، وتتمتع هذه الرخصة بالحماية الكاملة خلال المدة المتفق عليها في النظام السعودي، ولا يجوز للمرخص له أنْ يتنازل لطرف آخر عن الامتيازات التي يتمتع بها، في حين أنَّه لم يذكر أنَّ له الحق لتخويل الامتيازات في عقد التصريح</w:t>
      </w:r>
      <w:r>
        <w:rPr>
          <w:rStyle w:val="None"/>
          <w:rFonts w:ascii="Times New Roman" w:hAnsi="Times New Roman"/>
          <w:sz w:val="24"/>
          <w:szCs w:val="24"/>
          <w:rtl/>
          <w:lang w:val="ar-SA"/>
        </w:rPr>
        <w:t>.</w:t>
      </w:r>
    </w:p>
    <w:p w14:paraId="09A3710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وهنا يشير إلى ضوابط واضحة بشأن الترخيص الإجباري للغير، وكيفية استعمال الحقوق الخاصة بالمصنف أو ببراءة الاختراع، فيكون العقد المبرم بين صاحب الاختراع أو صاحب المصنف مع الشخص المخول له حق استعمال براءة الاختراع، وتحديد المدة التي يكون له الحق في استعمال المصنف، وعدم تخويل أحقية استعماله لشخص آخر، وذلك في حالة الاتفاق على ذلك في العقد المبرم، ومن هنا يكون للشخص الآخر الذي خول حق استعمال براءة الاختراع سواء في حالة اتفاقه مع صاحب الاختراع، أو عن طريق الترخيص الإجباري، فيمكن له أنْ يمارس أحقية استغلال الاختراع إلكترونية والاستفادة منه في البيئة الرقمية</w:t>
      </w:r>
      <w:r>
        <w:rPr>
          <w:rStyle w:val="None"/>
          <w:rFonts w:ascii="Times New Roman" w:hAnsi="Times New Roman"/>
          <w:sz w:val="24"/>
          <w:szCs w:val="24"/>
          <w:rtl/>
          <w:lang w:val="ar-SA"/>
        </w:rPr>
        <w:t>.</w:t>
      </w:r>
    </w:p>
    <w:p w14:paraId="5E32F21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فالترخيص الإجباري هنا يعمل على إثبات الحق للمخترع أو المؤلف الذي يثبت أنَّه صاحب ذلك المحتوى، وله الحق القانوني الكامل في التصرف فيه مع الحق الكامل للدولة في استعمال ذلك الاختراع، في حالة عدم موافقة صاحب الاختراع؛ وذلك لما يعود بالنفع على المصلحة العامة، وكيفية التصرف من خلاله في البيئة الرقمية، وتعتبر المعاهدات الدولية هي السند القانون للكثير من الأنظمة، وهذا الأمر ممتد؛ ليشمل براءة الاختراع وجميع أحكامها، ومنها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الترخيص الإجباري للبراءات، وتعتبر أهم معاهدتين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معاهدة تربس، ومعاهدة برن</w:t>
      </w:r>
      <w:r>
        <w:rPr>
          <w:rStyle w:val="None"/>
          <w:rFonts w:ascii="Times New Roman" w:hAnsi="Times New Roman"/>
          <w:sz w:val="24"/>
          <w:szCs w:val="24"/>
          <w:rtl/>
          <w:lang w:val="ar-SA"/>
        </w:rPr>
        <w:t>.</w:t>
      </w:r>
    </w:p>
    <w:p w14:paraId="637DC460" w14:textId="77777777" w:rsidR="00454428" w:rsidRDefault="00C464EC">
      <w:pPr>
        <w:pStyle w:val="Body"/>
        <w:numPr>
          <w:ilvl w:val="0"/>
          <w:numId w:val="22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برن</w:t>
      </w:r>
      <w:r>
        <w:rPr>
          <w:rStyle w:val="None"/>
          <w:rFonts w:ascii="Times New Roman" w:hAnsi="Times New Roman"/>
          <w:b/>
          <w:bCs/>
          <w:sz w:val="28"/>
          <w:szCs w:val="28"/>
          <w:rtl/>
          <w:lang w:val="ar-SA"/>
        </w:rPr>
        <w:t>:</w:t>
      </w:r>
    </w:p>
    <w:p w14:paraId="6AE39248"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rtl/>
          <w:lang w:val="ar-SA"/>
        </w:rPr>
        <w:tab/>
      </w:r>
      <w:r>
        <w:rPr>
          <w:rStyle w:val="None"/>
          <w:rFonts w:ascii="Arial Unicode MS" w:hAnsi="Arial Unicode MS" w:cs="Times New Roman" w:hint="cs"/>
          <w:sz w:val="24"/>
          <w:szCs w:val="24"/>
          <w:rtl/>
          <w:lang w:val="ar-SA"/>
        </w:rPr>
        <w:t xml:space="preserve">قبل إبرام اتفاق تربس كانت اتفاقية برن هي أبرز اتفاقيات الملكية الصناعية؛ لما تحتويه من نصوص تسهم في توحيد أحكام حماية حقوق الملكية الصناعية بين الدول المختلفة وتسهيل مهمة مالكي هذه الحقوق فيما يتعلق بحمايتها دوليًا، ألزمت اتفاقية برن بموجب المادة </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الدول الأعضاء بمبدأ المعاملة الوطنية، والذي هو حجز الزاوية في حماية حقوق الملكية الصناعية، بموجب هذا المبدأ يتمتع رعايا كل دولة من دول الاتحاد في جميع دول الاتحاد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لحماية الملكية الصناعية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بالمزايا التي تمنحها حاليًا، أو قد تمنحها مستقبلًا قوانين تلك الدول للمواطنين، ولهم نفس الحماية وطرق الطعن المتاحة للمواطنين، ولكن اتفاقية برن لم تتضمن حدًا أدنى من الحماية لحقوق الملكية الصناعية في الدول الأعضاء، وعليه ما لم تمنحه الدولة العضو لمواطنيها لا تلتزم بمنحه للأجانب</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6FB437"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وتعتبر اتفاقية برن دستورَ الحماية الدولية لحقوق الملكية الصناعية؛ لأنَّها تشتمل على قواعد حماية لكل عناصر الملكية الصناعية، 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قبل ظهور نظام الترخيص الإجباري كان جزاء عدم استغلال براءة الاختراع، أو إخلال مالك البراءة باستغلالها هو سقوط براءة الاختراع، بعد ذلك ظهرت اتفاقية برن لتخفف من هذا الجزاء نتيجة للمعارضات التي تلقتها، وكانت بدايات فكرة الترخيص الإجباري تتبلور بإقامة عدة مؤتمرات لتطوير نصوصها، وبالأخص نص المادة الخامسة المختص بالترخيص الإجباري، والذي كان يفيد أنَّه عند إخلال صاحب البراءة بالاستغلال يترتب عليه السقوط كجزاء، ومن هذه المؤتمرات التي ساعدت على تنظيم وتطوير المادة الخامسة، المتعلقة بفكرة الترخيص الإجباري؛ لتتناسب مع تطوُّر المجتمع والتكنولوجيا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61769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م أبرمت اتفاقية برن لحماية المصنفات الأدبية والفنية، وهي تعتبر الدستور للملكية الفكرية، ولم تتعرض هذا الاتفاقية إلى الترخيص الإجباري، وإنما جعلت السقوط هو الجزاء المقرر على الإخلال بالالتزام، وقد عارض البلدان هذه المادة المتمثلة في المادة الخامسة؛ حيث يترتب على ذلك ضياع حق المخترع، الأمر الذي رتب بعد ذلك عقد مؤتمر لمراجعة أحكام الاتفاقية، وما يهمنا من هذه التعديلات التي أسفرت في البداية عن ظهور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0EC203"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rtl/>
          <w:lang w:val="ar-SA"/>
        </w:rPr>
        <w:tab/>
      </w:r>
      <w:r>
        <w:rPr>
          <w:rStyle w:val="None"/>
          <w:rFonts w:ascii="Arial Unicode MS" w:hAnsi="Arial Unicode MS" w:cs="Times New Roman" w:hint="cs"/>
          <w:sz w:val="24"/>
          <w:szCs w:val="24"/>
          <w:rtl/>
          <w:lang w:val="ar-SA"/>
        </w:rPr>
        <w:t>وفي ذلك الوقت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عد إدخال نظام الترخيص الإجباري، وإنْ لم يكن إلزاميًا كبديل عن نظام سقوط براءة الاختراع، كجزاء للمخترع الذي لا يستغل اختراعه، وانتصار للدول المتقدمة التي كانت تعارض سقوط البراءة كجزاء؛ ممَّا يعني نجاح الدول المتقدمة في استبدال نظام سقوط براءة الاختراع بالترخيص الإجباري، ومؤتمر بروكسل </w:t>
      </w:r>
      <w:r>
        <w:rPr>
          <w:rStyle w:val="None"/>
          <w:rFonts w:ascii="Times New Roman" w:hAnsi="Times New Roman"/>
          <w:sz w:val="24"/>
          <w:szCs w:val="24"/>
          <w:rtl/>
          <w:lang w:val="ar-SA"/>
        </w:rPr>
        <w:t>1900</w:t>
      </w:r>
      <w:r>
        <w:rPr>
          <w:rStyle w:val="None"/>
          <w:rFonts w:ascii="Arial Unicode MS" w:hAnsi="Arial Unicode MS" w:cs="Times New Roman" w:hint="cs"/>
          <w:sz w:val="24"/>
          <w:szCs w:val="24"/>
          <w:rtl/>
          <w:lang w:val="ar-SA"/>
        </w:rPr>
        <w:t>، والذي هو أيضًا لم يلزم الدول على التقيد بالترخيص الإجباري إلا أنَّه قيد جزاء سقوط البراءة بأمرين، وهما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صاحب البراءة في المهلة القانونية، وتقديم الأسباب في حالة عدم الاستغلال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35DA6A"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rtl/>
          <w:lang w:val="ar-SA"/>
        </w:rPr>
        <w:tab/>
      </w:r>
      <w:r>
        <w:rPr>
          <w:rStyle w:val="None"/>
          <w:rFonts w:ascii="Arial Unicode MS" w:hAnsi="Arial Unicode MS" w:cs="Times New Roman" w:hint="cs"/>
          <w:sz w:val="24"/>
          <w:szCs w:val="24"/>
          <w:rtl/>
          <w:lang w:val="ar-SA"/>
        </w:rPr>
        <w:t>ونستنتج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تهدف إلى توفير الحماية للملكية الفكرية لبراءة الاختراع، سواء كان صاحب الاختراع من المواطنين، أو أجنبي عن تلك الدولة، التي يقدم فيها براءة الاختراع؛ حيث تعمل على الموازنة بين حقوق صاحب براءة الاختراع وبين الصالح العام، ويُعَدُّ الترخيص الإجباري هنا طريقة من طرق الحفاظ على الصالح العام، والاستفادة بقدر الإمكان من الاختراعات مع مراعات حقوق صاحبها، وكيفية استخدام حقوق النشر والطباعة في البيئة الرقمية</w:t>
      </w:r>
      <w:r>
        <w:rPr>
          <w:rStyle w:val="None"/>
          <w:rFonts w:ascii="Times New Roman" w:hAnsi="Times New Roman"/>
          <w:sz w:val="24"/>
          <w:szCs w:val="24"/>
          <w:rtl/>
          <w:lang w:val="ar-SA"/>
        </w:rPr>
        <w:t>.</w:t>
      </w:r>
    </w:p>
    <w:p w14:paraId="1F08C883" w14:textId="77777777" w:rsidR="00454428" w:rsidRDefault="00C464EC">
      <w:pPr>
        <w:pStyle w:val="Body"/>
        <w:numPr>
          <w:ilvl w:val="0"/>
          <w:numId w:val="22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تربس</w:t>
      </w:r>
      <w:r>
        <w:rPr>
          <w:rStyle w:val="None"/>
          <w:rFonts w:ascii="Times New Roman" w:hAnsi="Times New Roman"/>
          <w:b/>
          <w:bCs/>
          <w:sz w:val="28"/>
          <w:szCs w:val="28"/>
          <w:rtl/>
          <w:lang w:val="ar-SA"/>
        </w:rPr>
        <w:t>:</w:t>
      </w:r>
    </w:p>
    <w:p w14:paraId="2F00FF51"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rtl/>
          <w:lang w:val="ar-SA"/>
        </w:rPr>
        <w:tab/>
      </w:r>
      <w:r>
        <w:rPr>
          <w:rStyle w:val="None"/>
          <w:rFonts w:ascii="Arial Unicode MS" w:hAnsi="Arial Unicode MS" w:cs="Times New Roman" w:hint="cs"/>
          <w:sz w:val="24"/>
          <w:szCs w:val="24"/>
          <w:rtl/>
          <w:lang w:val="ar-SA"/>
        </w:rPr>
        <w:t>تعتبر اتفاقية تربس من أهم الاتفاقية التي قررت قواعد الملكية الفكرية، وهي تمثل أهم الصراعات الخفية بين الدول والصناعية في حقوق الملكية الفكرية، وقد انعكس هذا الصراع على العديد من القواعد المنظمة داخل الاتفاقية، وتعتبر الاتفاقية مكملة لاتفاقية برن التي أبرمت بشأن الملكية الصناعية، وقد ورد موضوع براءات الاتفاق من ضمن الموضوعات التي نظمتها الاتفاقية، وقد قامت اتفاقية تربس على أمرين رئيسين،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وجود حقوق تستوجب الحماية، واتخاذ إجراءات تجعل من الحماية موضع التطبيق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4F82F8"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rtl/>
          <w:lang w:val="ar-SA"/>
        </w:rPr>
        <w:tab/>
      </w:r>
      <w:r>
        <w:rPr>
          <w:rStyle w:val="None"/>
          <w:rFonts w:ascii="Arial Unicode MS" w:hAnsi="Arial Unicode MS" w:cs="Times New Roman" w:hint="cs"/>
          <w:sz w:val="24"/>
          <w:szCs w:val="24"/>
          <w:rtl/>
          <w:lang w:val="ar-SA"/>
        </w:rPr>
        <w:t>فتهدف اتفاقية تربس إلى تشجيع الابتكار التكنولوجي، ونقل التكنولوجيا بشكل يحقق المنفعة المشتركة لكل من منتج التكنولوجيا، ومستخدمها، والموازنة بين حقوق وواجبات كل منها، ومن مبادئ اتفاقية تربس حماية الصحة العامة والتغذية، وتحقيق المصلحة العامة في القطاعات المهمة للتنمية الاقتصادية، والاجتماعية، والتكنولوجية، وتلك الأهداف والمبادئ تتحقق من خلال استغلال الاختراع، أو في حالة منح التراخيص الإجبارية عند تحقق إحدى حالاته، وبِناءً على انسجام أهداف الترخيص الإجباري مع أهداف ومبادئ اتفاقية تربس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منحت الاتفاقية الدول الأعضاء استثناءات من الحقوق المطلقة لمالك البراءة، مع مراعاة عدة شروط عند استخدام هذه الاستثناءات، مثل أنْ يتم استخدامها بشكل لا يتعارض بصورة غير معقولة، مع الاستخدام العادي للبراءة، وأيضًا عدم الإخلال بالمصالح المشروعة لصاحب البراءة، ومراعاة مصالح المرخص 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96034F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ويجب أنْ تكون المقدرة لا تعني توافر الإمكانيات المادية والتكنولوجية لدى طالب الترخيص، والتي تؤهله لاستغلال اختراعه بنفسه، وإنما يعني هذا الشرط المقدرة على توفير المنتوج موضوع البراءة في السوق المحلية، سواء كان هذا عن طريق الإنتاج، أم عن طريق الاستيراد، ويجيز للبلدان الأعضاء استخدام الاختراع لأغراض توفير المنتج في الأسواق المحلية فيها، فالهدف من منح الترخيص الإجباري هو معالجة المنظم لمسألة عدم استغلال الاختراع من قبل المالك على النحو المطلوب قانونيًا؛ لذلك يعتبر الشخص الذي يمنح هذا الترخيص هو البديل للمالك في القيام بمهمة الاستغلال،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يجب أنْ يكون قادرًا فنيًا وماليًا على استغلال المناط به بموجب الترخيص، من أجل توفير المنتوج في السوق المحلي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DBDB0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نرى أنَّ اتفاقية تربس هدفت إلى تشجيع براءة الاختراع؛ حتى يعمل تحسين الوضع العام بشكل عام، واستخدمت البيئة الرقمية كوسيلة لنقل المنفعة بين المخترع والمستخدم أو الجمهور، ونلاحظ هنا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يتماشى مع أهداف الاتفاقية، وهذا ما نصت عليه المادة </w:t>
      </w:r>
      <w:r>
        <w:rPr>
          <w:rStyle w:val="None"/>
          <w:rFonts w:ascii="Times New Roman" w:hAnsi="Times New Roman"/>
          <w:sz w:val="24"/>
          <w:szCs w:val="24"/>
          <w:rtl/>
          <w:lang w:val="ar-SA"/>
        </w:rPr>
        <w:t xml:space="preserve">31 </w:t>
      </w:r>
      <w:r>
        <w:rPr>
          <w:rStyle w:val="None"/>
          <w:rFonts w:ascii="Arial Unicode MS" w:hAnsi="Arial Unicode MS" w:cs="Times New Roman" w:hint="cs"/>
          <w:sz w:val="24"/>
          <w:szCs w:val="24"/>
          <w:rtl/>
          <w:lang w:val="ar-SA"/>
        </w:rPr>
        <w:t>من الاتفاقية على حقوق صاحب براءة الاختراع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له الحق الكامل في التصرف في اختراعه  ولكن ألا تضر هذه الحرية بالصالح العام، ولذلك وضع حدودًا لحرية صاحب الاختراع في التصرف باختراعه؛ حتى لا يخفيه أو يمنعه عن المصلحة العامة وخدمة الجمهور، وهنا يظهر دور الترخيص الإجباري، الذي يأتي مساند للمصلحة العامة، وتماشيه أيضًا عن طريق البيئة الرقمية التي لها عامل كبير في حلقة الوصل بين صاحب الاختراع والجمهور</w:t>
      </w:r>
      <w:r>
        <w:rPr>
          <w:rStyle w:val="None"/>
          <w:rFonts w:ascii="Times New Roman" w:hAnsi="Times New Roman"/>
          <w:sz w:val="24"/>
          <w:szCs w:val="24"/>
          <w:rtl/>
          <w:lang w:val="ar-SA"/>
        </w:rPr>
        <w:t>.</w:t>
      </w:r>
    </w:p>
    <w:p w14:paraId="6F6DFDA5"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الجهة المختصة بإصدار الترخيص الإجباري</w:t>
      </w:r>
      <w:r>
        <w:rPr>
          <w:rStyle w:val="None"/>
          <w:rFonts w:ascii="Times New Roman" w:hAnsi="Times New Roman"/>
          <w:b/>
          <w:bCs/>
          <w:sz w:val="28"/>
          <w:szCs w:val="28"/>
          <w:rtl/>
          <w:lang w:val="ar-SA"/>
        </w:rPr>
        <w:t>:</w:t>
      </w:r>
    </w:p>
    <w:p w14:paraId="69A890E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اختلفت السلطات القانونية فيما يخص الأخذ بجهة قانونية مختصة؛ لإصدار الترخيص الإجباري، فمنهم من ذهب إلى الأخذ بنظام السلطة التنفيذية، ومنهم من أخذ بنظام السلطة القضائية، ويرجع ذلك إلى الخلاف حول مدى فاعلية كل نظام في إحقاق الترخيص الإجباري ومتطلباته، والنظر في إمكانية وقوعه أو منحه، وهناك نظامان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أحدهما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يعطي السلطة التنفيذية، ممثلة في إدارة براءات الاختراع إصدار التراخيص الإجبارية؛ كونها لاحتياجات السوق وأدرى بحال المخترع، أما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فيعطي الاختصاص بإصدار الترخيص الإجباري للسلطة القضائية؛ كونها الضمانات الكافية لأصحاب البراءات من حيث مدى لزوم منح التراخيص الإجبارية، ومن حيث تقدير المقابل الذي يحصل عليه مالك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D138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ولإصدار الترخيص الإجباري يلزم جهات وسلطات تصدق على هذا القرار؛ حتى يمكن تطبيقه بالشكل القانوني السليم، وتماشى مع نظام المملكة، ومن هنا سوف نوضح أهم الجهات المختصة بإصدار الترخيص الإجباري</w:t>
      </w:r>
      <w:r>
        <w:rPr>
          <w:rStyle w:val="None"/>
          <w:rFonts w:ascii="Times New Roman" w:hAnsi="Times New Roman"/>
          <w:sz w:val="24"/>
          <w:szCs w:val="24"/>
          <w:rtl/>
          <w:lang w:val="ar-SA"/>
        </w:rPr>
        <w:t>:</w:t>
      </w:r>
    </w:p>
    <w:p w14:paraId="1073727F" w14:textId="77777777" w:rsidR="00454428" w:rsidRDefault="00C464EC">
      <w:pPr>
        <w:pStyle w:val="Body"/>
        <w:numPr>
          <w:ilvl w:val="0"/>
          <w:numId w:val="23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التنفيذية بإصدار الترخيص الإجباري</w:t>
      </w:r>
      <w:r>
        <w:rPr>
          <w:rStyle w:val="None"/>
          <w:rFonts w:ascii="Times New Roman" w:hAnsi="Times New Roman"/>
          <w:sz w:val="28"/>
          <w:szCs w:val="28"/>
          <w:rtl/>
          <w:lang w:val="ar-SA"/>
        </w:rPr>
        <w:t>:</w:t>
      </w:r>
    </w:p>
    <w:p w14:paraId="37FC320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الأخذ بهذا النظام هو الأكثر نجاحًا؛ كون السلطة الإدارية تمتلك المقدرة على معرفة احتياجات السوق، ومطلعة على الأسرار الصناعية، وسرعتها بالفصل في الطلبات المتعلقة بالترخيص الإجباري بحكم عملها؛ لذلك أنَّها الأقدر على تحديد ضرورة منح الترخيص الإجباري من عدمه، ويختلف ممثلو هذه السلطة بحسب نظام كل دولة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190B3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الجهة الإدارية في كونها الأقدر على منح التراخيص الإجباري؛ بسبب أنَّها من أصدرت براءة الاختراع،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تكون هي الأقدر على معرفة تفاصيل الاختراع؛ كونها الأكثر اطلاعًا على احتياجات السوق والأسرار الصناعية، وعلى علم بتفاصيل الاختراع والمخترعين التي تجعل منها قادرة على الفصل بسرعة في الإجراءات الإدارية، وكذلك تعتبر حلقة وصل بين أصحاب الاختراع أجهزة الإنتاج في الدولة، على أنَّه يجوز الالتجاء للقضاء في الفصل فيما ينتج عن ذلك من نزاع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8D1204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فالسلطة التنفيذية تكون جديرة بالتعرف على احتياجات السوق المحلي لكل دولة، ونظام التجارة والصناعة الذي يتماشى مع كل دولة؛ ممَّا يعطيها القدرة والرؤية اللازمة لإعطاء قرار الترخيص الإجباري أم لا، ومعرفة التوقيت المناسب لذلك، ويتم تعين السلطة التنفيذية المسئولين عن ذلك على حسب كل دولة؛ ونظرًا للقرارات التي تتخذها السلطة التنفيذية يمكن أن يحدث بعض النزاع بين صاحب براءة الاختراع، والأجهزة الإدارية في الدولة؛ لذلك يمكن الالتجاء للقضاء، وهنا نوضح دور القضاء في ذلك</w:t>
      </w:r>
      <w:r>
        <w:rPr>
          <w:rStyle w:val="None"/>
          <w:rFonts w:ascii="Times New Roman" w:hAnsi="Times New Roman"/>
          <w:sz w:val="24"/>
          <w:szCs w:val="24"/>
          <w:rtl/>
          <w:lang w:val="ar-SA"/>
        </w:rPr>
        <w:t>.</w:t>
      </w:r>
    </w:p>
    <w:p w14:paraId="29D09DC3" w14:textId="77777777" w:rsidR="00454428" w:rsidRDefault="00C464EC">
      <w:pPr>
        <w:pStyle w:val="Body"/>
        <w:numPr>
          <w:ilvl w:val="0"/>
          <w:numId w:val="23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القضائية بإصدار الترخيص الإجباري</w:t>
      </w:r>
      <w:r>
        <w:rPr>
          <w:rStyle w:val="None"/>
          <w:rFonts w:ascii="Times New Roman" w:hAnsi="Times New Roman"/>
          <w:sz w:val="28"/>
          <w:szCs w:val="28"/>
          <w:rtl/>
          <w:lang w:val="ar-SA"/>
        </w:rPr>
        <w:t>:</w:t>
      </w:r>
    </w:p>
    <w:p w14:paraId="4341046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بموجب هذا النظام السلطة القضائية تكون مختصةً بالنظر في طلبات الترخيص الإجباري، وفحص مدى توافق هذه الطلبات مع النصوص النظامية والدولية، قبل إصدار القرار بالرفض أو المنح، ويتم توزيع صلاحيات منح الترخيص الإجباري بين الجهتين الإدارة والقضاء معًا، ومثال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تمنح الجهة الإدارية سلطةَ إصدار الترخيص الإجباري في حالات معينة مع ترك بقية الحالات لتختص بها السلطة القضائية، ومنح الترخيص من اختصاصات المحكمة على شكل تقديم طلب الترخيص الإجباري في صورة دعوى يختصم بها مالك البراءة وطالب الترخيص الإجباري، وتمنح المحكمة مهلة للطرفين للوصول إلى اتفاق فيما بينم مع إمكانية مد المهلة إذا رأت المحكمة حاجةً لذلك، وعند انقضاء هذه المدة تنظر المحكمة بالطلب وتقرر الرفض أو المنح مع تحديد شروطه، ويتم إعلان الحكم إلى الطرف الآخر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51BC1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وفقًا لمن سار على هذا المنهج، فإنَّ إصدار الترخيص الإجباري يكون من اختصاص المحكمة؛ إذ هي من تقوم بفحص طلبات الترخيص الإجباري المقدمة ومدى توافقها مع النصوص وهل توافرت مع الشروط والحالات حتى يتم منح الترخيص أم لا؟ وسندهم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الجهة القضائية تحقق الضمانات الكافية لأصحاب براءة الاختراع في الأصل، يعتبر تعديًا على حق مالك البراءة الحصري، ومِنْ ثَمَّ تقوم الجهة القضائية بتقدير التعويض العادل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AA1A7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ونظرًا للنزاعات التي تتم بين صاحب براءة الاختراع والجهات الإدارية، يتم اللجوء إلى القضاء للفصل في النزاع القائم على إعطاء الترخيص الإجباري، فتعمل الجهة القضائية على فحص حالة الترخيص التي نشأ عليها النزاع، والظروف، والأساس القانوني، الذي قام عليه طلب الترخيص الإجباري وتفصل في صحته أم إلغائه، ومن هنا تكون الجهة القضائية مشتركة مع الجهة التنفيذية في إصدار قرار الترخيص الإجباري</w:t>
      </w:r>
      <w:r>
        <w:rPr>
          <w:rStyle w:val="None"/>
          <w:rFonts w:ascii="Times New Roman" w:hAnsi="Times New Roman"/>
          <w:sz w:val="24"/>
          <w:szCs w:val="24"/>
          <w:rtl/>
          <w:lang w:val="ar-SA"/>
        </w:rPr>
        <w:t>.</w:t>
      </w:r>
    </w:p>
    <w:p w14:paraId="7AC746EF"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حالات منح الترخيص الإجباري باستغلال براءة الاختراع</w:t>
      </w:r>
      <w:r>
        <w:rPr>
          <w:rStyle w:val="None"/>
          <w:rFonts w:ascii="Times New Roman" w:hAnsi="Times New Roman"/>
          <w:b/>
          <w:bCs/>
          <w:sz w:val="28"/>
          <w:szCs w:val="28"/>
          <w:rtl/>
          <w:lang w:val="ar-SA"/>
        </w:rPr>
        <w:t>:</w:t>
      </w:r>
    </w:p>
    <w:p w14:paraId="49F945FF"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rtl/>
          <w:lang w:val="ar-SA"/>
        </w:rPr>
        <w:tab/>
      </w:r>
      <w:r>
        <w:rPr>
          <w:rStyle w:val="None"/>
          <w:rFonts w:ascii="Arial Unicode MS" w:hAnsi="Arial Unicode MS" w:cs="Times New Roman" w:hint="cs"/>
          <w:sz w:val="24"/>
          <w:szCs w:val="24"/>
          <w:rtl/>
          <w:lang w:val="ar-SA"/>
        </w:rPr>
        <w:t>تتعد حالات إعطاء الترخيص الإجباري وذلك لتعدد متطلبات منح الترخيص الإجباري، كما تختلف شروط كل حالة عن الأخرى، فقد يقع الترخيص الإجباري لأهمية الاختراع وتأثيره بالمجتمع بما يخدم المصلحة العامة، كما قد يمنح ترخيص للغير بالاستغلال المخترع لاختراعه أو لتقصير من المخترع بنقص استغلال اختراعه، كما قد يقع على المخترع لفعله غير المشروع، كما أنَّه من 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وإنْ كانت اتفاقية تربس قد نصت صراحةً على الحالات التي يتعين بموجبها منح تراخيص إجبارية، إلا أنَّه من الفقهاء من يرى أنَّ اتفاقية تربس لم تحد من حق الدول الأعضاء في تحديد حالات أخرى، والأصح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بأنَّ غايات الترخيص الإجباري محددة حصرًا، فهي لا تخرج عن ثلاثة أهداف كالتالي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المصلحة العامة، أو التعسف في استغلال مالك البراءة، أو لمنافسة غير المشروعة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AFF152F"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rtl/>
          <w:lang w:val="ar-SA"/>
        </w:rPr>
        <w:tab/>
      </w:r>
      <w:r>
        <w:rPr>
          <w:rStyle w:val="None"/>
          <w:rFonts w:ascii="Arial Unicode MS" w:hAnsi="Arial Unicode MS" w:cs="Times New Roman" w:hint="cs"/>
          <w:sz w:val="24"/>
          <w:szCs w:val="24"/>
          <w:rtl/>
          <w:lang w:val="ar-SA"/>
        </w:rPr>
        <w:t>فعند طلب إعطاء الترخيص الإجباري يكون له عدة حالات من خلالها يمكن الحصول على الترخيص الإجباري، ومن أهم تلك الحالات سنقوم بعرضها</w:t>
      </w:r>
      <w:r>
        <w:rPr>
          <w:rStyle w:val="None"/>
          <w:rFonts w:ascii="Times New Roman" w:hAnsi="Times New Roman"/>
          <w:sz w:val="24"/>
          <w:szCs w:val="24"/>
          <w:rtl/>
          <w:lang w:val="ar-SA"/>
        </w:rPr>
        <w:t>:</w:t>
      </w:r>
    </w:p>
    <w:p w14:paraId="26DCAC34" w14:textId="77777777" w:rsidR="00454428" w:rsidRDefault="00C464EC">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تتطلب ترخيص إجباري لأهمية وحساسيتها بالمجتمع</w:t>
      </w:r>
      <w:r>
        <w:rPr>
          <w:rStyle w:val="None"/>
          <w:rFonts w:ascii="Times New Roman" w:hAnsi="Times New Roman"/>
          <w:sz w:val="28"/>
          <w:szCs w:val="28"/>
          <w:rtl/>
          <w:lang w:val="ar-SA"/>
        </w:rPr>
        <w:t>:</w:t>
      </w:r>
    </w:p>
    <w:p w14:paraId="7AC7119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الطبيعة القانونية للترخيص الإجباري ترتبط بتكييف براءة الاختراع أساسًا، فيعود التزام المخترع باستغلال اختراعه إلى نظرية العقد الاجتماعي التي تفيد بأنَّ المخترع عندما يتقدم بطلب للحصول على براءة اختراع، ويمنح البراءة، فهو يدخل في عقد مع الجماعة مضمونه أنْ يحصل صاحب البراءة على حماية الاختراع مقابل إفشاء إسرار هذا الاختراع، وهذا العقد يولد التزامات متقابلة بين أطرافه على رأسها التزام المخترع باستغلال اختراعه، وأنَّ الترخيص الإجباري يعتبر فسخ لعقد البراءة المبرم بين صاحب</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البراءة وإدارة براءات الاختراع؛ بسبب مخالفة صاحب البراءة لالتزامه باستغلال الاختراع، ويضيف صاحب وجهة النظر هذه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في حالتي الاختراعات المرتبطة وعدم كفاية الاستغلال يكون عقد جديد يبرم بين السلطة العامة والمرخص له إجباريًا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1FAD1B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اللائحة التنفيذية لنظام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يتضمن طلب الترخيص الإجباري المقدم من قِبل أي جهة حكومية، باستغلال الاختراع بيانًا باعتبار المصلحة العامة التي اقتضت ذلك، وينص على هذه الاعتبارات في قرار منح الترخيص</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7"/>
      </w:r>
      <w:r>
        <w:rPr>
          <w:rStyle w:val="None"/>
          <w:rFonts w:ascii="Times New Roman" w:hAnsi="Times New Roman"/>
          <w:sz w:val="24"/>
          <w:szCs w:val="24"/>
          <w:vertAlign w:val="superscript"/>
          <w:rtl/>
          <w:lang w:val="ar-SA"/>
        </w:rPr>
        <w:t>)</w:t>
      </w:r>
      <w:r>
        <w:rPr>
          <w:rStyle w:val="None"/>
          <w:rFonts w:ascii="Times New Roman" w:hAnsi="Times New Roman"/>
          <w:b/>
          <w:bCs/>
          <w:sz w:val="24"/>
          <w:szCs w:val="24"/>
          <w:rtl/>
          <w:lang w:val="ar-SA"/>
        </w:rPr>
        <w:t>.</w:t>
      </w:r>
    </w:p>
    <w:p w14:paraId="4E4CC0C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وعند منح الترخيص الإجباري لاستغلال براءة الاختراع غير المستغلة، أو التي يكون استغلالها غير كاف، فإنَّ ذلك يؤدي إلى إنعاش الاقتصادي المحلي للدولة، ودعم النشاط التجاري، من خلال طرحها بالسوق بأسعار تتناسب مع دخل الفرد، والحفاظ على رؤوس الأموال وعدم إخراجها، ومن خلال أيضًا المساعدة على الحفاظ على الصحة، وتشغيل اليد العاملة والتخفيف نوعًا ما من ظاهرة البطالة، والأصل أنْ يتم منح الاختراع براءة؛ ليتم استغلالها وإفادة المجتمع والدولة من المنتج</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8CAE4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الترخيص الإجباري يهدف إلى المصلحة العامة، وهذا رأي فقهي بأنْ يكون الترخيص الإجباري يؤثر على الصالح العامة، من خلال استعمال براءة الاختراع فيما ينفع الجمهور وتأثيره على التطوُّر في جميع المجالات، سواء كانت صناعيةً، أو زراعيةً، أو أي مجال يخدم الجمهور، وخصوصًا في وجود البيئة الرقمية التي تساعد على انتشار المعرفة بين المخترع والجمهور وسرعة انتشار العلم</w:t>
      </w:r>
      <w:r>
        <w:rPr>
          <w:rStyle w:val="None"/>
          <w:rFonts w:ascii="Times New Roman" w:hAnsi="Times New Roman"/>
          <w:sz w:val="24"/>
          <w:szCs w:val="24"/>
          <w:rtl/>
          <w:lang w:val="ar-SA"/>
        </w:rPr>
        <w:t>.</w:t>
      </w:r>
    </w:p>
    <w:p w14:paraId="3D0753D4" w14:textId="77777777" w:rsidR="00454428" w:rsidRDefault="00C464EC">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تستدعي إعطاء ترخيص إجباري لعدم استغلال البراءة</w:t>
      </w:r>
      <w:r>
        <w:rPr>
          <w:rStyle w:val="None"/>
          <w:rFonts w:ascii="Times New Roman" w:hAnsi="Times New Roman"/>
          <w:sz w:val="28"/>
          <w:szCs w:val="28"/>
          <w:rtl/>
          <w:lang w:val="ar-SA"/>
        </w:rPr>
        <w:t>:</w:t>
      </w:r>
    </w:p>
    <w:p w14:paraId="5D27CB1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أجاز المنظم لإدارة براءات الاختراع الترخيص الإجباري باستغلال البراءة في هذه الحالة للغير الراغب في استغلال الاختراع، وأنْ يقدم شروطًا تجاريةً معقولةً، خلال مدة معقولة للحصول على ترخيص اختياري، أجاز اتفاق تربس أيضًا الترخيص الإجباري في هذه الحالة إذا بذل طالب الترخيص الإجباري جهودًا؛ للحصول على ترخيص من صاحب الحق في البراءة بأسعار وشروط تجارية معقولة، وأنَّ هذه الجهود لم تكلل بالنجاح في غضون فترة زمنية معقولة، والسماح بالترخيص الإجباري في هذه الحالة يهدف إلى تشجيع استغلال الاختراع بجميع تطبيقاته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A76B2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تنظيم الدول ضمن تشريعاتها الترخيص الإجباري؛ ليبقى تهديدًا لأصحاب الاختراع؛ لاستغلال اختراعهم، وطرحه بالأسواق بأسعار مناسبة، ومنح التراخيص الاتفاقية، وفي نفس الوقت يعتبر الترخيص الإجباري سلاحًا فعَّالًا، وأداةً رادعةً للممارسات التعسفية، التي يقوم بها مالك البراءة، وتضر المجتمع والدولة؛ لأنَّه في حالة عدم استغلال الاختراع مثلًا، فإنَّ ذلك يرجع بالضرر على كل من الشعب في حالة كان الاختراع دواني ومتعلق بصحتهم وأرواحهم حتى لو كان الاختراع غير دواني يرجع بالضرر على الأطراف، ويرجع بالضرر على الدولة من الناحية الاقتصادية، ومن ناحية عدم دعم الصناعات الوطنية؛ بسبب عدم استغلالها وإفادة المجتمع منها، ومن الأمثلة على الحالات التي استخدمت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C7892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فامتناع مالك البراءة عن استغلال اختراعه، أو استغلال الاختراع استغلال لا يفي بحاجة المجتمع يُعَدُّ تعسفًا في استعمال حق الاحتكار الذي منحه إياه القانون؛ لتحقيق غايات اقتصادية واجتماعية؛ ممَّا يجيز للمنظم التدخل، وفرض الترخيص الإجباري؛ لضمان تحقيق مصلحة المجتمع في الانتفاع من ذلك الاختراع، فهذه الحالة جديرة بالالتفات إليه والتوقف عنده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فهو يقدم تفسيرًا منطقيًا للطبيعة القانونية للترخيص الإجباري، وينتقد جانب من الفقه هذه الحالة علة أنَّه لا يأصل لطبيعة الترخيص الإجباري بقدر تأصيله للسبب من منحه، متمثلًا في التعسف في استعمال الحق، كما أنَّه يصور منح الترخيص الإجباري، وكأنَّه جزاء تفرضه السلطة العامة على مالك البراءة؛ لتجاوزه مضمون حقه أو خروجه عنه وهو ما لا يستقيم قانونًا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E61F1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أحيانًا قد لا يستغل صاحب براءة الاختراع الإفادة التي تنتج من الاختراع الذي توصل إليه، وهنا يكون قصر في حق نفسه والمجتمع، وتعتبر هذه الحالة من أهم الحالات التي تعطي الحق في الترخيص الإجباري؛ لعدم استغلال البراءة، ويستطيع أشخاص أخرى استغلال ذلك الاختراع في الاستفادة منه في شتى المجالات، التي تعود بالنفع على المصلحة العامة؛ ممَّا يسهل ذلك ارتباطها بالبيئة الرقمية وسرعة انتشار المعلومات</w:t>
      </w:r>
      <w:r>
        <w:rPr>
          <w:rStyle w:val="None"/>
          <w:rFonts w:ascii="Times New Roman" w:hAnsi="Times New Roman"/>
          <w:sz w:val="24"/>
          <w:szCs w:val="24"/>
          <w:rtl/>
          <w:lang w:val="ar-SA"/>
        </w:rPr>
        <w:t>.</w:t>
      </w:r>
    </w:p>
    <w:p w14:paraId="324B4047" w14:textId="77777777" w:rsidR="00454428" w:rsidRDefault="00C464EC">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حالات تستدعي إعطاء ترخيص إجباري للمنافسة غير المشروعة من قبل المخترع</w:t>
      </w:r>
      <w:r>
        <w:rPr>
          <w:rStyle w:val="None"/>
          <w:rFonts w:ascii="Times New Roman" w:hAnsi="Times New Roman"/>
          <w:sz w:val="28"/>
          <w:szCs w:val="28"/>
          <w:rtl/>
          <w:lang w:val="ar-SA"/>
        </w:rPr>
        <w:t>:</w:t>
      </w:r>
    </w:p>
    <w:p w14:paraId="0BEDB55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التزام صاحب البراءة بنقل الأسرار والمعارف التكنولوجية للمرخص له، هو التزام يقتضيه التزام المرخص له باستغلال البراءة، إذ قد تكون هناك صعوبة في استغلال البراءة دون تدخل صاحب البراءة؛ حيث يكون من الصعب أحيانًا استغلال أي براءة اختراع دون التدخل الإيجابي لمالكها، ومشاركته الفعلية فيها، فغالبًا ما تكون المعلومات التي تنشر عن الاختراع في وثيقة البراءة غير كافية بذاتها لاستغلاله، وأنَّ تسليم مالك البراءة للمرخص له الوثائق الفنية والتقنية لبراءة الاختراع، لا تُعَدُّ كافيةً لقيام المرخص له بعرض منتجات ذات جودة، إلا إذا رافق ذلك نقل كافة المعارف الفنية السرية المكملة لبراءة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951AFE1" w14:textId="77777777" w:rsidR="00454428" w:rsidRDefault="00C464EC" w:rsidP="00C72BA8">
      <w:pPr>
        <w:pStyle w:val="Body"/>
        <w:spacing w:before="120" w:after="120" w:line="360" w:lineRule="auto"/>
        <w:ind w:left="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يحظر على المنشأة أو المنشآت التي تتمتع بوضع مهيمن، أي ممارسة تحد من المنافسة بين المنشآت، وفقًا للشروط والضوابط المبينة في اللائحة، وبخاصة ما يأتي</w:t>
      </w:r>
      <w:r>
        <w:rPr>
          <w:rStyle w:val="None"/>
          <w:rFonts w:ascii="Times New Roman" w:hAnsi="Times New Roman"/>
          <w:sz w:val="24"/>
          <w:szCs w:val="24"/>
          <w:rtl/>
          <w:lang w:val="ar-SA"/>
        </w:rPr>
        <w:t>:</w:t>
      </w:r>
    </w:p>
    <w:p w14:paraId="0DD52135"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التحكم في أسعار السلع والخدمات المعدة للبيع بالزيادة، أو الخفض، أو التثبيت، أو بأي صورة أخرى تضر المنافسة المشروعية</w:t>
      </w:r>
      <w:r>
        <w:rPr>
          <w:rStyle w:val="None"/>
          <w:rFonts w:ascii="Times New Roman" w:hAnsi="Times New Roman"/>
          <w:sz w:val="24"/>
          <w:szCs w:val="24"/>
          <w:rtl/>
          <w:lang w:val="ar-SA"/>
        </w:rPr>
        <w:t>.</w:t>
      </w:r>
    </w:p>
    <w:p w14:paraId="4467B942"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الحد من حرية تدفق السلع والخدمات إلى الأسواق، أو إخراجها منها بصفة كلية أو جزئية، وذلك من خلال إخفائها، أو تخزينها دون وجه حق، أو الامتناع عن التعامل فيها</w:t>
      </w:r>
      <w:r>
        <w:rPr>
          <w:rStyle w:val="None"/>
          <w:rFonts w:ascii="Times New Roman" w:hAnsi="Times New Roman"/>
          <w:sz w:val="24"/>
          <w:szCs w:val="24"/>
          <w:rtl/>
          <w:lang w:val="ar-SA"/>
        </w:rPr>
        <w:t>.</w:t>
      </w:r>
    </w:p>
    <w:p w14:paraId="5A3AEBFF"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افتعال وفرة مفاجئة في السلع والخدمات؛ بحيث يؤدي تداولها إلى سعر غير حقيقي، يؤثر في باقي المتعاملين في السوق</w:t>
      </w:r>
      <w:r>
        <w:rPr>
          <w:rStyle w:val="None"/>
          <w:rFonts w:ascii="Times New Roman" w:hAnsi="Times New Roman"/>
          <w:sz w:val="24"/>
          <w:szCs w:val="24"/>
          <w:rtl/>
          <w:lang w:val="ar-SA"/>
        </w:rPr>
        <w:t>.</w:t>
      </w:r>
    </w:p>
    <w:p w14:paraId="217C795E"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منع أي منشأة من استخدام حقها في دخول السوق، أو الخروج منه، أو عرقلة ذلك في أي وقت</w:t>
      </w:r>
      <w:r>
        <w:rPr>
          <w:rStyle w:val="None"/>
          <w:rFonts w:ascii="Times New Roman" w:hAnsi="Times New Roman"/>
          <w:sz w:val="24"/>
          <w:szCs w:val="24"/>
          <w:rtl/>
          <w:lang w:val="ar-SA"/>
        </w:rPr>
        <w:t>.</w:t>
      </w:r>
    </w:p>
    <w:p w14:paraId="3F48DBEC"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حجب السلع والخدمات المتاحة في السوق بصفة كلية أو جزئية عن منشأة أو منشآت معينة</w:t>
      </w:r>
      <w:r>
        <w:rPr>
          <w:rStyle w:val="None"/>
          <w:rFonts w:ascii="Times New Roman" w:hAnsi="Times New Roman"/>
          <w:sz w:val="24"/>
          <w:szCs w:val="24"/>
          <w:rtl/>
          <w:lang w:val="ar-SA"/>
        </w:rPr>
        <w:t>.</w:t>
      </w:r>
    </w:p>
    <w:p w14:paraId="6929BF3A"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تقسيم الأسواق لبيع أو شراء السلع والخدمات أو التخصيصات</w:t>
      </w:r>
      <w:r>
        <w:rPr>
          <w:rStyle w:val="None"/>
          <w:rFonts w:ascii="Times New Roman" w:hAnsi="Times New Roman"/>
          <w:sz w:val="24"/>
          <w:szCs w:val="24"/>
          <w:rtl/>
          <w:lang w:val="ar-SA"/>
        </w:rPr>
        <w:t>.</w:t>
      </w:r>
    </w:p>
    <w:p w14:paraId="019A13C1"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التأثير في السعر الطبيعي لعروض بيع السلع والخدمات، أو شرائها، أو توريدها، سواء في المنافسات، أو المزايدات الحكومية أو غير الحكومية</w:t>
      </w:r>
      <w:r>
        <w:rPr>
          <w:rStyle w:val="None"/>
          <w:rFonts w:ascii="Times New Roman" w:hAnsi="Times New Roman"/>
          <w:sz w:val="24"/>
          <w:szCs w:val="24"/>
          <w:rtl/>
          <w:lang w:val="ar-SA"/>
        </w:rPr>
        <w:t>.</w:t>
      </w:r>
    </w:p>
    <w:p w14:paraId="0EF47403" w14:textId="77777777" w:rsidR="00454428"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تجميد عمليات التصنيع، والتطوير، والتوزيع، والتسويق، وجميع أوجه الاستثمار الأخرى، أو الحد من ذلك</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13409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أ</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أنْ يمنح الترخيص الإجباري أساسًا لأجل توفير الاختراع أو التصميم في الأسواق المحلية، ويستثنى من هذا الحكم إذا كانت الغاية من الترخيص المنع أو الحد من ممارسات صدر بشأنها قرار، أو حكم يقضي بأنَّها من أعمال المنافسة غير الشرعية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A22B0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فيجب أنْ يمنح الترخيص الإجباري للأشخاص الذين يكون غايتهم في منفعة الصالح العام، وعدم استغلال الترخيص الإجباري في المنافسات غير المشروعة؛ حتى لا يضر بالسوق المحلي وإلحاق الضرر بتجارة الأشخاص</w:t>
      </w:r>
      <w:r>
        <w:rPr>
          <w:rStyle w:val="None"/>
          <w:rFonts w:ascii="Times New Roman" w:hAnsi="Times New Roman"/>
          <w:sz w:val="24"/>
          <w:szCs w:val="24"/>
          <w:rtl/>
          <w:lang w:val="ar-SA"/>
        </w:rPr>
        <w:t xml:space="preserve">. </w:t>
      </w:r>
    </w:p>
    <w:p w14:paraId="7C5A5E7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ويلاحظ أنَّه لم يرد في النظام السعودي تحدٍّ لهذه القواعد غير المشروعة، كذلك يلاحظ أنَّ المنظم السعودي لم يستثنِ هذه الحالة من شرط التفاوض المسبق مع صاحب البراءة، الذي ورد في ذات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الفقرة الثانية، وبخلاف اتفاقية تربس التي استثنت هذه الحالة من التفاوض المسبق مع مالك البراءة، ومِنْ ثَمَّ كان المنظم السعودي أكثر تشددًا من تربس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E63B9E" w14:textId="77777777" w:rsidR="00454428" w:rsidRDefault="00C464EC">
      <w:pPr>
        <w:pStyle w:val="Body"/>
        <w:numPr>
          <w:ilvl w:val="0"/>
          <w:numId w:val="236"/>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الترخيص الإجباري في حالات البراءة المترابطة</w:t>
      </w:r>
      <w:r>
        <w:rPr>
          <w:rStyle w:val="None"/>
          <w:rFonts w:ascii="Times New Roman" w:hAnsi="Times New Roman"/>
          <w:sz w:val="28"/>
          <w:szCs w:val="28"/>
          <w:rtl/>
          <w:lang w:val="ar-SA"/>
        </w:rPr>
        <w:t>:</w:t>
      </w:r>
    </w:p>
    <w:p w14:paraId="6889EE2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حالات البراءة المترابطة في الترخيص الإجباري قائمة على التكملة، فيمكن لمن منح له الترخيص الإجباري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استغلال براءة الاختراع بالشكل المناسب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يطلب استخدام براءة اختبار في حالة تكملته للاختراع الأول؛ حيث يكمل كل منهما الآخر؛ حتى يستطيع لمن صرح له استخدام البراءة المترابطة خدمة المرفق العام</w:t>
      </w:r>
      <w:r>
        <w:rPr>
          <w:rStyle w:val="None"/>
          <w:rFonts w:ascii="Times New Roman" w:hAnsi="Times New Roman"/>
          <w:sz w:val="24"/>
          <w:szCs w:val="24"/>
          <w:rtl/>
          <w:lang w:val="ar-SA"/>
        </w:rPr>
        <w:t>.</w:t>
      </w:r>
    </w:p>
    <w:p w14:paraId="0E81E1C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بالنص على أنَّه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6"/>
      </w:r>
      <w:r>
        <w:rPr>
          <w:rStyle w:val="None"/>
          <w:rFonts w:ascii="Times New Roman" w:hAnsi="Times New Roman"/>
          <w:sz w:val="24"/>
          <w:szCs w:val="24"/>
          <w:vertAlign w:val="superscript"/>
          <w:rtl/>
          <w:lang w:val="ar-SA"/>
        </w:rPr>
        <w:t>)</w:t>
      </w:r>
    </w:p>
    <w:p w14:paraId="27C03F94" w14:textId="77777777" w:rsidR="00454428" w:rsidRDefault="00C464EC">
      <w:pPr>
        <w:pStyle w:val="Body"/>
        <w:numPr>
          <w:ilvl w:val="0"/>
          <w:numId w:val="23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يجوز للهيئة أنْ تمنح ترخيصًا إجباريًا للغير باستغلال الاختراع المشمول بالبراءة، أو التصميم التخطيطي للدارة المتكاملة المشمول بشهادة التصميم بِناءًً على طلب يقدمه إليها، وفقًا لما يأتي</w:t>
      </w:r>
      <w:r>
        <w:rPr>
          <w:rStyle w:val="None"/>
          <w:rFonts w:ascii="Times New Roman" w:hAnsi="Times New Roman"/>
          <w:sz w:val="24"/>
          <w:szCs w:val="24"/>
          <w:rtl/>
          <w:lang w:val="ar-SA"/>
        </w:rPr>
        <w:t>:</w:t>
      </w:r>
    </w:p>
    <w:p w14:paraId="1553DCE5" w14:textId="77777777" w:rsidR="00454428"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يتم تقديم الطلب بعد مضي أربع سنواتٍ من تاريخ إيداع طلب براءة الاختراع، أو ثلاث سنواتٍ من تاريخ منحها، أيهما ينقضي متأخرًا، دون أنْ يقوم مالك البراءة باستغلال اختراعه، أو يكون استغله على نحو غير كافٍ ما لم يبرر ذلك بعذر مشروع</w:t>
      </w:r>
      <w:r>
        <w:rPr>
          <w:rStyle w:val="None"/>
          <w:rFonts w:ascii="Times New Roman" w:hAnsi="Times New Roman"/>
          <w:sz w:val="24"/>
          <w:szCs w:val="24"/>
          <w:rtl/>
          <w:lang w:val="ar-SA"/>
        </w:rPr>
        <w:t>.</w:t>
      </w:r>
    </w:p>
    <w:p w14:paraId="4D4E05A6" w14:textId="77777777" w:rsidR="00454428"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يثبت طالب الترخيص الإجباري أنَّه قد بذل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مدة معقولة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جهودًا في سبيل الحصول على ترخيص تعاقدي، وفقًا لشروط تجارية معقولة، ومقابل مادي معقول، ويستثنى من هذا الحكم ومن حكم الفقرة السابقة إذا كان طالب الترخيص جهةً حكوميةً، أو شخصًا مخولًا من قبلها، وكانت الغاية منه تحقيق المصلحة العامة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وخاصة الأمن، أو الصحة، أو التغذية، أو تنمية قطاعات حيوية أخرى من الاقتصاد الوطني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 مواجهة حالة طوارئ، أو أوضاع أخرى ملحة جدًا، أو كانت الغاية منه أغراضًا عامةً غير تجارية، وفي الحالة الأخيرة وعند العلم بوجود براءة اختراع أو شهادة 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يتم إبلاغ مالكها فورًا</w:t>
      </w:r>
      <w:r>
        <w:rPr>
          <w:rStyle w:val="None"/>
          <w:rFonts w:ascii="Times New Roman" w:hAnsi="Times New Roman"/>
          <w:sz w:val="24"/>
          <w:szCs w:val="24"/>
          <w:rtl/>
          <w:lang w:val="ar-SA"/>
        </w:rPr>
        <w:t>.</w:t>
      </w:r>
    </w:p>
    <w:p w14:paraId="453B7D95" w14:textId="77777777" w:rsidR="00454428"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يحدد قرار الترخيص نطاق الترخيص، ومدته بما يقتضيه الغرض الذي منح من أجله، ويكون الترخيص خاضعًا للإنهاء إذا انتهت الأوضاع التي من أجلها منح الترخيص، ولم يكن من المرجح تكرار حدوثها، مع مراعاة المصالح المشروعة للمرخص له</w:t>
      </w:r>
      <w:r>
        <w:rPr>
          <w:rStyle w:val="None"/>
          <w:rFonts w:ascii="Times New Roman" w:hAnsi="Times New Roman"/>
          <w:sz w:val="24"/>
          <w:szCs w:val="24"/>
          <w:rtl/>
          <w:lang w:val="ar-SA"/>
        </w:rPr>
        <w:t>.</w:t>
      </w:r>
    </w:p>
    <w:p w14:paraId="164D9386" w14:textId="77777777" w:rsidR="00454428"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ألا يكون الترخيص حصرًا على من منح له</w:t>
      </w:r>
      <w:r>
        <w:rPr>
          <w:rStyle w:val="None"/>
          <w:rFonts w:ascii="Times New Roman" w:hAnsi="Times New Roman"/>
          <w:sz w:val="24"/>
          <w:szCs w:val="24"/>
          <w:rtl/>
          <w:lang w:val="ar-SA"/>
        </w:rPr>
        <w:t>.</w:t>
      </w:r>
    </w:p>
    <w:p w14:paraId="39213FB7" w14:textId="77777777" w:rsidR="00454428"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يبتَّ في كل طلب على حدة</w:t>
      </w:r>
      <w:r>
        <w:rPr>
          <w:rStyle w:val="None"/>
          <w:rFonts w:ascii="Times New Roman" w:hAnsi="Times New Roman"/>
          <w:sz w:val="24"/>
          <w:szCs w:val="24"/>
          <w:rtl/>
          <w:lang w:val="ar-SA"/>
        </w:rPr>
        <w:t>.</w:t>
      </w:r>
    </w:p>
    <w:p w14:paraId="4B96269F" w14:textId="77777777" w:rsidR="00454428"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يعوض مالك براءة الاختراع أو شهادة التصميم تعويضًا عادلًا، وتتولى اللجنة تحديد مقدار التعويض، على أنْ يلتزم المرخص له بالوفاء به</w:t>
      </w:r>
      <w:r>
        <w:rPr>
          <w:rStyle w:val="None"/>
          <w:rFonts w:ascii="Times New Roman" w:hAnsi="Times New Roman"/>
          <w:sz w:val="24"/>
          <w:szCs w:val="24"/>
          <w:rtl/>
          <w:lang w:val="ar-SA"/>
        </w:rPr>
        <w:t>.</w:t>
      </w:r>
    </w:p>
    <w:p w14:paraId="5A54851E" w14:textId="77777777" w:rsidR="00454428" w:rsidRDefault="00C464EC">
      <w:pPr>
        <w:pStyle w:val="Body"/>
        <w:numPr>
          <w:ilvl w:val="0"/>
          <w:numId w:val="24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p>
    <w:p w14:paraId="7783A431" w14:textId="77777777" w:rsidR="00454428" w:rsidRDefault="00C464EC">
      <w:pPr>
        <w:pStyle w:val="Body"/>
        <w:numPr>
          <w:ilvl w:val="0"/>
          <w:numId w:val="24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كانت براءة الاختراع تنطوي على تطوُّر تقني مهم ذي قيمة اقتصادية كبيرة، ولا يمكن استغلالها دون استغلال براءة اختراع أخرى، فإنَّه يجوز للهيئة منح مالك تلك البراءة ترخيصًا إجباريًا باستغلال البراءة الأخرى، ولا يجوز في هذه الحالة التنازل عن الترخيص الإجباري إلا بالتنازل عن البراءة الأخرى، ويكون لصاحب البراءة الأخرى الحق في الحصول على ترخيص مقابل من المرخص له إجباريًا، وفقًا لشروط معقولة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3ED2E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يمكننا أنْ نلاحظ</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جمع الأحكام المختلفة التي تحكم الترخيص الإجباري باستغلال الاختراع في مادة واحدة، ولاحظ على هذه المادة أنَّها طويلة جدًا، وكان من الممكن تقسيمها إلى أربع أو خمس موادَّ، ضمن المنظم جميع الأحكام الخاصة بالترخيص الإجباري في النظام؛ ولذلك نجد أنَّ اللائحة التنفيذية أشارت إلى مسألة واحد فقط تتعلق بضرورة بيان اعتبارات المصلحة العامة عند الترخيص ببراءة الاختراع لجهة حكومية، وهذه المادة تتناول حالات، وشروط، وآثار الترخيص الإجباري في وقت واحد، وكان من الأجدى لو نظمت صياغة المادة بشكل يفضل بين حالات الترخيص الإجباري وشروطه؛ منعًا لوقوع أي لبس وزيادة في التوضيح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52DBF5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ذلك يمكن لمن صرح له بالترخيص الإجباري وعمل على ربط براءة اختراع ببراءة أخرى ليكونوا مكملين لبعض؛ حتى يمكن الاستفادة منه عمليًا، فيمكن للمستخدم نشر المعلومات أو استغلال المواقع الإلكترونية؛ نظرًا لأهمية البيئة الرقمية في العصر الحديث</w:t>
      </w:r>
      <w:r>
        <w:rPr>
          <w:rStyle w:val="None"/>
          <w:rFonts w:ascii="Times New Roman" w:hAnsi="Times New Roman"/>
          <w:sz w:val="24"/>
          <w:szCs w:val="24"/>
          <w:rtl/>
          <w:lang w:val="ar-SA"/>
        </w:rPr>
        <w:t>.</w:t>
      </w:r>
    </w:p>
    <w:p w14:paraId="57130549" w14:textId="77777777" w:rsidR="00454428" w:rsidRDefault="00C464EC">
      <w:pPr>
        <w:pStyle w:val="Body"/>
        <w:numPr>
          <w:ilvl w:val="0"/>
          <w:numId w:val="244"/>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الترخيص الإجباري عندما يتعلق بتقنية أشباه الموصلات</w:t>
      </w:r>
      <w:r>
        <w:rPr>
          <w:rStyle w:val="None"/>
          <w:rFonts w:ascii="Times New Roman" w:hAnsi="Times New Roman"/>
          <w:sz w:val="28"/>
          <w:szCs w:val="28"/>
          <w:rtl/>
          <w:lang w:val="ar-SA"/>
        </w:rPr>
        <w:t>:</w:t>
      </w:r>
    </w:p>
    <w:p w14:paraId="0FBEABB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بالاختراعات المتعلقة بأشباه الموصلات، ما يتعلق بمادتي السيلكون والجرمانيوم، وهما من المواد التي ليست موصلًا جيدًا للحرارة، وليست في الوقت ذاته عازلةً للحرارة، فهي مركز وسط على أنَّه يمكن تغيير خواص هذه المواد؛ لتصبح موصلًا جيدًا للحرارة في ظروف تكنولوجية معينة، ويصبح لها وظيفة إلكترونية عند تحويل خواصها، والإفادة منها في الصناعات الدقيقة، ومن يتوصل إلى هذه التكنولوجيا في تغيير خواص واستخدامات أشباه الموصلات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0CD8DE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وأجاز نظام براءة الاختراع منح ترخيص إجباري للاختراعات المتعلقة بتقنية أشباه الموصلات، وأشباه الموصلات هي مواد،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ولكنها تتميز بعزلها للحرارة كالزجاج، وتزيد قدرة أشباه الموصلات على توصيل التيار بارتفاع درجة حرارتها على عكس المواد المعروفة كالنحاس، التي تنخفض قدرتها على التوصيل بزيادة درجة حرارتها، تُعَدُّ قدرة أشباه الموصلات على توصيل التيار بارتفاع درجة حرارتها على عكس المواد المعروفة كالنحاس التي تنخفض قدرتها على التوصيل بزيادة درجة حرارتها، وتُعَدُّ أشباه الموصلات أساس صناعة الأجهزة الإلكترونية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أجهزة التلفزيون الرقيقة، وشاشات البلازما، وخلايا الطاقة الشمسية، وأشباه الموصلات لها تطبيقات صناعية كثيرة في مجال صناعة الأجهزة الحديثة والحصول على براءة اختراع فيها تدر أرباح كبيرة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C9A04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16709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حالة ارتباط براءة الاختراع بتقنية أشباه الموصلات مع الترخيص الإجباري يمكن أنْ يضيف التطوُّر المطلوب في استعمال المواد الخام والتنوع بينها؛ لذلك يجب الحرص على عدم استغلال الترخيص الإجباري في المنافسة غير العادلة التي تضر مصالح المملكة</w:t>
      </w:r>
      <w:r>
        <w:rPr>
          <w:rStyle w:val="None"/>
          <w:rFonts w:ascii="Times New Roman" w:hAnsi="Times New Roman"/>
          <w:sz w:val="24"/>
          <w:szCs w:val="24"/>
          <w:rtl/>
          <w:lang w:val="ar-SA"/>
        </w:rPr>
        <w:t>.</w:t>
      </w:r>
    </w:p>
    <w:p w14:paraId="09EA8F4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وهنا نستنتج أنَّه يجوز الترخيص الإجباري عندما يتعلق بتقنية أشباه الموصلات؛ نظرًا لأهميتها الكبيرة في الصناعة والتكنولوجيا،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وهنا يكون براءة الاختراع لها دور كبير في تقدم الصناعة وتنوعها وإيجاد حلول مبتكرة جديدة، ويمكن ترويجها عن طريق البيئة الرقمية، ومن خلال الوسائل الإلكترونية يمكن توفير البدائل المتطوِّرة والجديدة للعدد المناسب من الجمهور</w:t>
      </w:r>
      <w:r>
        <w:rPr>
          <w:rStyle w:val="None"/>
          <w:rFonts w:ascii="Times New Roman" w:hAnsi="Times New Roman"/>
          <w:sz w:val="24"/>
          <w:szCs w:val="24"/>
          <w:rtl/>
          <w:lang w:val="ar-SA"/>
        </w:rPr>
        <w:t>.</w:t>
      </w:r>
    </w:p>
    <w:p w14:paraId="068652C9" w14:textId="77777777" w:rsidR="00454428" w:rsidRDefault="00C464EC">
      <w:pPr>
        <w:pStyle w:val="Body"/>
        <w:numPr>
          <w:ilvl w:val="0"/>
          <w:numId w:val="233"/>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حماية الترخيص الإجباري للملكية الفكرية في البيئة الرقمية</w:t>
      </w:r>
      <w:r>
        <w:rPr>
          <w:rStyle w:val="None"/>
          <w:rFonts w:ascii="Times New Roman" w:hAnsi="Times New Roman"/>
          <w:b/>
          <w:bCs/>
          <w:sz w:val="28"/>
          <w:szCs w:val="28"/>
          <w:rtl/>
          <w:lang w:val="ar-SA"/>
        </w:rPr>
        <w:t>:</w:t>
      </w:r>
    </w:p>
    <w:p w14:paraId="6A2295E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للترخيص الإجباري في البيئة الرقمية تعمل على الحفاظ على حقوق المؤلف أو صاحب الاختراع، وفي نفس الوقت المحافظة على المصلحة العامة، فالترخيص الإجباري يعطي الإفادة الكاملة للمصلحة العامة، والاستفادة الكاملة من براءة الاختراع؛ حتى ينتفع به الجمهور بسهولة الوصل إليه عن طريق البيئة الرقمية</w:t>
      </w:r>
      <w:r>
        <w:rPr>
          <w:rStyle w:val="None"/>
          <w:rFonts w:ascii="Times New Roman" w:hAnsi="Times New Roman"/>
          <w:sz w:val="24"/>
          <w:szCs w:val="24"/>
          <w:rtl/>
          <w:lang w:val="ar-SA"/>
        </w:rPr>
        <w:t>.</w:t>
      </w:r>
    </w:p>
    <w:p w14:paraId="4BDD9130" w14:textId="77777777" w:rsidR="00454428" w:rsidRDefault="00C464EC"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وجاءت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الالتزامات المتعلقة بالمعلومات الضرورية لإدارة الحقوق بالنص على أنَّه</w:t>
      </w:r>
      <w:r>
        <w:rPr>
          <w:rStyle w:val="None"/>
          <w:rFonts w:ascii="Times New Roman" w:hAnsi="Times New Roman"/>
          <w:sz w:val="24"/>
          <w:szCs w:val="24"/>
          <w:rtl/>
          <w:lang w:val="ar-SA"/>
        </w:rPr>
        <w:t xml:space="preserve">: </w:t>
      </w:r>
    </w:p>
    <w:p w14:paraId="0E17C937" w14:textId="77777777" w:rsidR="00454428" w:rsidRDefault="00C464EC">
      <w:pPr>
        <w:pStyle w:val="Body"/>
        <w:numPr>
          <w:ilvl w:val="0"/>
          <w:numId w:val="24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على الأطراف المتعاقدة أنْ تنص في قوانينها على جزاءات مناسبة وفعَّالة توقع على أي شخص يباشر عن علم أيًا من الأعمال التالية، أو لديه أسباب كافية ليعلم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إلى الجزاءات المدنية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تلك الأعمال تحمل على ارتكاب تَعَدٍّ على أي حق من الحقوق التي تشملها هذه المعاهدة، أو اتفاقية برن، أو تمكن من ذلك، أو تسهل ذلك، أو تخفيه</w:t>
      </w:r>
      <w:r>
        <w:rPr>
          <w:rStyle w:val="None"/>
          <w:rFonts w:ascii="Times New Roman" w:hAnsi="Times New Roman"/>
          <w:sz w:val="24"/>
          <w:szCs w:val="24"/>
          <w:rtl/>
          <w:lang w:val="ar-SA"/>
        </w:rPr>
        <w:t>:</w:t>
      </w:r>
    </w:p>
    <w:p w14:paraId="418EF03D" w14:textId="77777777" w:rsidR="00454428" w:rsidRDefault="00C464EC">
      <w:pPr>
        <w:pStyle w:val="Body"/>
        <w:numPr>
          <w:ilvl w:val="0"/>
          <w:numId w:val="24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23A322E9" w14:textId="77777777" w:rsidR="00454428" w:rsidRDefault="00C464EC">
      <w:pPr>
        <w:pStyle w:val="Body"/>
        <w:numPr>
          <w:ilvl w:val="0"/>
          <w:numId w:val="24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وأنْ يوزع أو يستورد لأغراض التوزيع، أو يذيع، أو ينقل إلى الجمهور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مصنفاتٍ أو نُسخًا عن مصنفات،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447F1AD0" w14:textId="77777777" w:rsidR="00454428" w:rsidRDefault="00C464EC">
      <w:pPr>
        <w:pStyle w:val="Body"/>
        <w:numPr>
          <w:ilvl w:val="0"/>
          <w:numId w:val="24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يقصد بعبارة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الضرورية لإدارة الحقوق</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كما وردت في هذه المادة، المعلومات التي تسمح بتعريف المصنف، ومؤلف المصنف، وملك أي حق في المصنف، أو المعلومات المتعلقة بشروط الانتفاع بالمصنف، وأي أرقام أو شفرات ترمز إلى تلك المعلومات، ومتى كان أي عنصر من تلك المعلومات مقترنًا بنسخة عن المصنف أو ظاهرًا لدى نقل المصنف إلى الجمهور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34730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وتوضح المادة السابقة الالتزامات التي يجب أنْ يلتزم بها أطراف التعاقد، وهي التزامات متعلقة بالمعلومات الضرورية لإدارة الحقوق، ومن هذه الالتزامات اسم المؤلف أو صاحب براءة الاختراع وشروط استخدام المصنف، ويوجد عقوبات رادعة لمن يخالف تلك الالتزامات التي ينص عليها القانون، ومن يوزع أو ينقل معلومات عن طريق البيئة الرقمية، بمعنى استخدام نقل الحقوق أو تغيرها أو نشرها إلكتروني، فلممارسة تلك الحقوق من شخص آخر يلزم تصريح لذلك، وتشير المعلومات الضرورية لإدارة الحقوق إلى كل ما يخص المصنف ومؤلفه ومن له الحق في التصرف في ذلك المصنف الإلكتروني، وتوضح أيضًا تلك المعلومات من له حق الانتفاع من المصنف، ويظهر دور المعلومات الضرورية لإدارة الحقوق في حفظ حق المؤلف أو صاحب الاختراع من أي تلاعب قد يتم من خلال معلومات المحتوى في البيئة الرقمية الخاصة بحقوق الملكية الفكرية</w:t>
      </w:r>
      <w:r>
        <w:rPr>
          <w:rStyle w:val="None"/>
          <w:rFonts w:ascii="Times New Roman" w:hAnsi="Times New Roman"/>
          <w:sz w:val="24"/>
          <w:szCs w:val="24"/>
          <w:rtl/>
          <w:lang w:val="ar-SA"/>
        </w:rPr>
        <w:t>.</w:t>
      </w:r>
    </w:p>
    <w:p w14:paraId="062EC39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4B125A16"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1A16DCDB"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7A236F62"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3C74FAC9"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6EC5D85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37099451" w14:textId="6403EC0F" w:rsidR="003D5B07" w:rsidRDefault="003D5B07">
      <w:pPr>
        <w:rPr>
          <w:rStyle w:val="None"/>
          <w:rFonts w:eastAsia="Times New Roman"/>
          <w:color w:val="000000"/>
          <w:sz w:val="24"/>
          <w:szCs w:val="24"/>
          <w:u w:color="000000"/>
          <w:rtl/>
          <w:lang w:val="ar-SA"/>
          <w14:textOutline w14:w="0" w14:cap="flat" w14:cmpd="sng" w14:algn="ctr">
            <w14:noFill/>
            <w14:prstDash w14:val="solid"/>
            <w14:bevel/>
          </w14:textOutline>
        </w:rPr>
      </w:pPr>
      <w:r>
        <w:rPr>
          <w:rStyle w:val="None"/>
          <w:rFonts w:eastAsia="Times New Roman"/>
          <w:sz w:val="24"/>
          <w:szCs w:val="24"/>
          <w:rtl/>
          <w:lang w:val="ar-SA"/>
        </w:rPr>
        <w:br w:type="page"/>
      </w:r>
    </w:p>
    <w:p w14:paraId="0583DFB5"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520FC80C"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60" w:name="_Toc232260705"/>
      <w:r>
        <w:rPr>
          <w:rStyle w:val="None"/>
          <w:rFonts w:ascii="Arial Unicode MS" w:hAnsi="Arial Unicode MS" w:cs="Times New Roman" w:hint="cs"/>
          <w:b/>
          <w:bCs/>
          <w:sz w:val="32"/>
          <w:szCs w:val="32"/>
          <w:rtl/>
          <w:lang w:val="ar-SA"/>
        </w:rPr>
        <w:t>المطلب الثاني</w:t>
      </w:r>
      <w:bookmarkEnd w:id="260"/>
    </w:p>
    <w:p w14:paraId="427A5026"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61" w:name="_Toc232260706"/>
      <w:r>
        <w:rPr>
          <w:rStyle w:val="None"/>
          <w:rFonts w:ascii="Arial Unicode MS" w:hAnsi="Arial Unicode MS" w:cs="Times New Roman" w:hint="cs"/>
          <w:b/>
          <w:bCs/>
          <w:sz w:val="32"/>
          <w:szCs w:val="32"/>
          <w:rtl/>
          <w:lang w:val="ar-SA"/>
        </w:rPr>
        <w:t>الإثبات والتحقيق والضبط الفني في البيئة الرقمية</w:t>
      </w:r>
      <w:bookmarkEnd w:id="261"/>
    </w:p>
    <w:p w14:paraId="696188D6"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الإثبات الرقمي</w:t>
      </w:r>
      <w:r>
        <w:rPr>
          <w:rStyle w:val="None"/>
          <w:rFonts w:ascii="Times New Roman" w:hAnsi="Times New Roman"/>
          <w:b/>
          <w:bCs/>
          <w:sz w:val="28"/>
          <w:szCs w:val="28"/>
          <w:rtl/>
          <w:lang w:val="ar-SA"/>
        </w:rPr>
        <w:t>:</w:t>
      </w:r>
    </w:p>
    <w:p w14:paraId="5DCB5B1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الإثبات ووسائله أحد أهم مرتكزات حماية الحقوق والدفاع عنها؛ إذْ لا تتصور دعوى خالية من وسيلة من وسائل الإثبات وهو أحد أكثر المشتركات الإنسانية التي عرفتها البشرية على مر العصور وفي مختلف الأقاليم، واكتسبت نظرية الإثبات أهميتها الكبرى؛ لكونها أساس جُل الدعاوي سواء كانت مدنيةً أو تجاريةً، ولا تخلو دعوى إلا وبها واحدة من تلك الوسائل، وفي خضم هذا التطوُّر والصحوة الإلكترونية التي ساهمت بتفعيل دور المستخدمين باختلاف أماكنهم وثقافاتهم بتبادل المعلومات والبيانات بسهولة عبر شبكة الإنترنت من كل أنحاء العالم وقد أثار ذلك تساؤلات عديدة عن قدرة المنظمين في إيجاد حلول تواكب التطوُّر التقني في المجال القانوني وعلى رأسه الدليل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71BFD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فالإثبات في البيئة الرقمية يكون معتمدًا على الدليل الرقمي في حماية الحقوق للأفراد والحفاظ عليها، ومن هنا سوف نتعرف على الدليل الرقمي؛ وذلك لما له من أهمية كبيرة في دور الإثبات الرقمي</w:t>
      </w:r>
      <w:r>
        <w:rPr>
          <w:rStyle w:val="None"/>
          <w:rFonts w:ascii="Times New Roman" w:hAnsi="Times New Roman"/>
          <w:sz w:val="24"/>
          <w:szCs w:val="24"/>
          <w:rtl/>
          <w:lang w:val="ar-SA"/>
        </w:rPr>
        <w:t>.</w:t>
      </w:r>
    </w:p>
    <w:p w14:paraId="6FDA8AED" w14:textId="77777777" w:rsidR="00454428" w:rsidRDefault="00C464EC">
      <w:pPr>
        <w:pStyle w:val="Body"/>
        <w:numPr>
          <w:ilvl w:val="0"/>
          <w:numId w:val="25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الدليل الرقمي</w:t>
      </w:r>
      <w:r>
        <w:rPr>
          <w:rStyle w:val="None"/>
          <w:rFonts w:ascii="Times New Roman" w:hAnsi="Times New Roman"/>
          <w:b/>
          <w:bCs/>
          <w:sz w:val="28"/>
          <w:szCs w:val="28"/>
          <w:rtl/>
          <w:lang w:val="ar-SA"/>
        </w:rPr>
        <w:t>:</w:t>
      </w:r>
    </w:p>
    <w:p w14:paraId="2E1099C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عرَّفه المنظم السعودي بأنَّه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كل دليل مستمد من أي بيانات تنشأ، أو تصدر، أو تسلم، أو تحفظ، أو تبلغ بوسيلة رقمية، وتكون قابلةً للاسترجاع أو الحصول عليها بصورة يمكن فهمها، ويؤخذ من التعرُّف أنَّ الدلة الرقمية هي أشبه بالوعاء لعموم الأدلة ما دامت واردةً في شكل رقمي، ويظهر الارتباط بين المعنى اللغوي والاصطلاحي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 أنَّ الأدلة الرقمية بمعناها الاصطلاحي هي مسفرة وموضحة لما تدل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E89F3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للدليل الرقمي تعاريف كثيرة منها ما نصت عليه المنظمة العالمية لدليل الكمبيوتر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ذات القيمة المحملة والمخزنة، أو المنقولة في صورة رقمية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ومن التعاريف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الدليل المأخوذ من أجهزة الكمبيوتر، ويكون في شكل مجالات، أو نبضات مغناطيسية أو كهربائية، يمكن تجميعها وتحليلها باستخدام برامج وتطبيقات وتكنولوجيا خاصة، وهو مكون رقمي لتقديم معلومات في أشكال 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النصوص المكتوبة، أو الصور، والأصوات، والأشكال، والرسوم، ومنهم من عرَّفه بأنَّه دليل ذو طابع رقمي سواء كانت نصوصًا، أو صورًا، أو أصواتًا ورسوماتٍ، والذي تم ضبطه بالوسائل المشروعة من أجهزة ذات طبيعة رقمية، والتي يمكن تجميعها وتحليلها باستخدام برامج خاصة من قبل المختصين لتحليلها بغرض تقديمه إثبات أمام القضاء المختص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31E49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53 </w:t>
      </w:r>
      <w:r>
        <w:rPr>
          <w:rStyle w:val="None"/>
          <w:rFonts w:ascii="Arial Unicode MS" w:hAnsi="Arial Unicode MS" w:cs="Times New Roman" w:hint="cs"/>
          <w:sz w:val="24"/>
          <w:szCs w:val="24"/>
          <w:rtl/>
          <w:lang w:val="ar-SA"/>
        </w:rPr>
        <w:t>من نظام الإثبات على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دليلًا رقميًا كل دليل مستمد من أي بيانات تنشأ، أو تصدر، أو تسلم، أو تحفظ، أو تبلغ بوسيلة رقمية، وتكون قابلةً للاسترجاع، أو الحصول عليها بصورة يمكن فهمها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6"/>
      </w:r>
      <w:r>
        <w:rPr>
          <w:rStyle w:val="None"/>
          <w:rFonts w:ascii="Times New Roman" w:hAnsi="Times New Roman"/>
          <w:sz w:val="24"/>
          <w:szCs w:val="24"/>
          <w:vertAlign w:val="superscript"/>
          <w:rtl/>
          <w:lang w:val="ar-SA"/>
        </w:rPr>
        <w:t>)</w:t>
      </w:r>
    </w:p>
    <w:p w14:paraId="451B513E"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rtl/>
          <w:lang w:val="ar-SA"/>
        </w:rPr>
        <w:tab/>
      </w:r>
      <w:r>
        <w:rPr>
          <w:rStyle w:val="None"/>
          <w:rFonts w:ascii="Arial Unicode MS" w:hAnsi="Arial Unicode MS" w:cs="Times New Roman" w:hint="cs"/>
          <w:sz w:val="24"/>
          <w:szCs w:val="24"/>
          <w:rtl/>
          <w:lang w:val="ar-SA"/>
        </w:rPr>
        <w:t>ويمكننا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معلومات ذات قيمة يمكن إثباتها وتكون مخزنةً سواء على الحاسب الآلي أو الشبكات الإلكترونية، ويمكن جمعها وتحليلها سواء ببرامج أو بأدوات لاستخدمها كدليل قانوني</w:t>
      </w:r>
      <w:r>
        <w:rPr>
          <w:rStyle w:val="None"/>
          <w:rFonts w:ascii="Times New Roman" w:hAnsi="Times New Roman"/>
          <w:sz w:val="24"/>
          <w:szCs w:val="24"/>
          <w:rtl/>
          <w:lang w:val="ar-SA"/>
        </w:rPr>
        <w:t>".</w:t>
      </w:r>
    </w:p>
    <w:p w14:paraId="4408900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ويعتبر الدليل الرقمي كل فعل ينشأ على أجهزة الكمبيوتر، ويمكن استرجاعها لاحقًا، فالفرق بين تعريف الدليل الرقمي في النظام السعودي والفقهاء في أنَّ النظام قد حدد الدليل الرقمي، وحدد أي وسيلة نشأت على الحاسب الآلي يمكن استخدمها كدليل إثبات، أما الفقهاء</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حددوا أي مستندات، أو أي بيانات تنشأ عن طريق الشبكات الإلكترونية، وكذا التطبيقات، أو الصور، أو الصوت، وهو ما يجعل تعريفتا الفقهاء أعمق من في التعريف</w:t>
      </w:r>
      <w:r>
        <w:rPr>
          <w:rStyle w:val="None"/>
          <w:rFonts w:ascii="Times New Roman" w:hAnsi="Times New Roman"/>
          <w:sz w:val="24"/>
          <w:szCs w:val="24"/>
          <w:rtl/>
          <w:lang w:val="ar-SA"/>
        </w:rPr>
        <w:t xml:space="preserve">. </w:t>
      </w:r>
    </w:p>
    <w:p w14:paraId="1789B0C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 السابقة فإنها توضح أن المشرع السعودي قد بين أن الدليل الرقمي هو كل ما يستمد من بيانات رقمية قابلة للاسترجاع فهو دليل صالح للإثبات، وهذا يعكس ملائمة طبيعة الانتهاكات الرقمية المعقدة خاصة في مجال الملكية الفكرية في البيئة الرقمية فلا يمكن الاعتماد على الدليل التقليدي</w:t>
      </w:r>
      <w:r>
        <w:rPr>
          <w:rStyle w:val="None"/>
          <w:rFonts w:ascii="Times New Roman" w:hAnsi="Times New Roman"/>
          <w:sz w:val="24"/>
          <w:szCs w:val="24"/>
          <w:rtl/>
          <w:lang w:val="ar-SA"/>
        </w:rPr>
        <w:t>.</w:t>
      </w:r>
    </w:p>
    <w:p w14:paraId="184FE5DD" w14:textId="77777777" w:rsidR="00454428" w:rsidRDefault="00C464EC">
      <w:pPr>
        <w:pStyle w:val="Body"/>
        <w:numPr>
          <w:ilvl w:val="0"/>
          <w:numId w:val="251"/>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الشروط اللازمة للإثبات بالدليل الرقمي</w:t>
      </w:r>
      <w:r>
        <w:rPr>
          <w:rStyle w:val="None"/>
          <w:rFonts w:ascii="Times New Roman" w:hAnsi="Times New Roman"/>
          <w:b/>
          <w:bCs/>
          <w:sz w:val="28"/>
          <w:szCs w:val="28"/>
          <w:rtl/>
          <w:lang w:val="ar-SA"/>
        </w:rPr>
        <w:t>:</w:t>
      </w:r>
    </w:p>
    <w:p w14:paraId="4C3216C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قبل معرفة شروط الدليل الرقمي لا بُدَّ من معرفة أنواع الدليل الرقمي، فقد نص النظام في المادة </w:t>
      </w:r>
      <w:r>
        <w:rPr>
          <w:rStyle w:val="None"/>
          <w:rFonts w:ascii="Times New Roman" w:hAnsi="Times New Roman"/>
          <w:sz w:val="24"/>
          <w:szCs w:val="24"/>
          <w:rtl/>
          <w:lang w:val="ar-SA"/>
        </w:rPr>
        <w:t xml:space="preserve">(54) </w:t>
      </w:r>
      <w:r>
        <w:rPr>
          <w:rStyle w:val="None"/>
          <w:rFonts w:ascii="Arial Unicode MS" w:hAnsi="Arial Unicode MS" w:cs="Times New Roman" w:hint="cs"/>
          <w:sz w:val="24"/>
          <w:szCs w:val="24"/>
          <w:rtl/>
          <w:lang w:val="ar-SA"/>
        </w:rPr>
        <w:t>من نظام الإثبات السعودي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يشمل الدليل الرقمي الآتي</w:t>
      </w:r>
      <w:r>
        <w:rPr>
          <w:rStyle w:val="None"/>
          <w:rFonts w:ascii="Times New Roman" w:hAnsi="Times New Roman"/>
          <w:sz w:val="24"/>
          <w:szCs w:val="24"/>
          <w:rtl/>
          <w:lang w:val="ar-SA"/>
        </w:rPr>
        <w:t>:</w:t>
      </w:r>
    </w:p>
    <w:p w14:paraId="38A041FC" w14:textId="77777777" w:rsidR="00454428" w:rsidRDefault="00C464EC">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السجل الرقمي</w:t>
      </w:r>
      <w:r>
        <w:rPr>
          <w:rStyle w:val="None"/>
          <w:rFonts w:ascii="Times New Roman" w:hAnsi="Times New Roman"/>
          <w:sz w:val="24"/>
          <w:szCs w:val="24"/>
          <w:rtl/>
          <w:lang w:val="ar-SA"/>
        </w:rPr>
        <w:t>.</w:t>
      </w:r>
    </w:p>
    <w:p w14:paraId="77101FC9" w14:textId="77777777" w:rsidR="00454428" w:rsidRDefault="00C464EC">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المحرر الرقمي</w:t>
      </w:r>
      <w:r>
        <w:rPr>
          <w:rStyle w:val="None"/>
          <w:rFonts w:ascii="Times New Roman" w:hAnsi="Times New Roman"/>
          <w:sz w:val="24"/>
          <w:szCs w:val="24"/>
          <w:rtl/>
          <w:lang w:val="ar-SA"/>
        </w:rPr>
        <w:t>.</w:t>
      </w:r>
    </w:p>
    <w:p w14:paraId="40A0478C" w14:textId="77777777" w:rsidR="00454428" w:rsidRDefault="00C464EC">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التوقيع الرقمي</w:t>
      </w:r>
      <w:r>
        <w:rPr>
          <w:rStyle w:val="None"/>
          <w:rFonts w:ascii="Times New Roman" w:hAnsi="Times New Roman"/>
          <w:sz w:val="24"/>
          <w:szCs w:val="24"/>
          <w:rtl/>
          <w:lang w:val="ar-SA"/>
        </w:rPr>
        <w:t>.</w:t>
      </w:r>
    </w:p>
    <w:p w14:paraId="5FE5A47E" w14:textId="77777777" w:rsidR="00454428" w:rsidRDefault="00C464EC">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المراسلات الرقمية بما فيها البريد الرقمي</w:t>
      </w:r>
      <w:r>
        <w:rPr>
          <w:rStyle w:val="None"/>
          <w:rFonts w:ascii="Times New Roman" w:hAnsi="Times New Roman"/>
          <w:sz w:val="24"/>
          <w:szCs w:val="24"/>
          <w:rtl/>
          <w:lang w:val="ar-SA"/>
        </w:rPr>
        <w:t>.</w:t>
      </w:r>
    </w:p>
    <w:p w14:paraId="07E45F6D" w14:textId="77777777" w:rsidR="00454428" w:rsidRDefault="00C464EC">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وسائل الاتصال</w:t>
      </w:r>
      <w:r>
        <w:rPr>
          <w:rStyle w:val="None"/>
          <w:rFonts w:ascii="Times New Roman" w:hAnsi="Times New Roman"/>
          <w:sz w:val="24"/>
          <w:szCs w:val="24"/>
          <w:rtl/>
          <w:lang w:val="ar-SA"/>
        </w:rPr>
        <w:t>.</w:t>
      </w:r>
    </w:p>
    <w:p w14:paraId="5F2D906B" w14:textId="77777777" w:rsidR="00454428" w:rsidRDefault="00C464EC">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الوسائل الرقمية</w:t>
      </w:r>
      <w:r>
        <w:rPr>
          <w:rStyle w:val="None"/>
          <w:rFonts w:ascii="Times New Roman" w:hAnsi="Times New Roman"/>
          <w:sz w:val="24"/>
          <w:szCs w:val="24"/>
          <w:rtl/>
          <w:lang w:val="ar-SA"/>
        </w:rPr>
        <w:t>.</w:t>
      </w:r>
    </w:p>
    <w:p w14:paraId="720A3F12" w14:textId="77777777" w:rsidR="00454428" w:rsidRDefault="00C464EC">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أي دليل رقني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E228C7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الدليل الرقمي أصلًا بذاته عندما تستخدم طرق ووسائل فنية تؤكد سلامة المعلومات الواردة في الدليل الرقمي، ويسمح بالاطلاع على المعلومات التي يتضمنها الدليل الرقمي متى ما طلبت ذلك، فالمعلومات الرقمية سواء كانت على شكل سجل إلكتروني، أو توقيع إلكتروني، أو محرر إلكتروني، أو غيره من صور الأدلة الرقمية، فيتعين عند الأخذ بالدليل الرقمي مراعاة بعض الشروط الواجب توافرها في الدليل الرقمي، وهذه الشروط دليل قبولها كوسيلة من وسائل الإثبات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E72FBC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أهم هذه الشروط لسلامة الدليل الرقمي، والتي نصت عليه المادة </w:t>
      </w:r>
      <w:r>
        <w:rPr>
          <w:rStyle w:val="None"/>
          <w:rFonts w:ascii="Times New Roman" w:hAnsi="Times New Roman"/>
          <w:sz w:val="24"/>
          <w:szCs w:val="24"/>
          <w:rtl/>
          <w:lang w:val="ar-SA"/>
        </w:rPr>
        <w:t xml:space="preserve">56 </w:t>
      </w:r>
      <w:r>
        <w:rPr>
          <w:rStyle w:val="None"/>
          <w:rFonts w:ascii="Arial Unicode MS" w:hAnsi="Arial Unicode MS" w:cs="Times New Roman" w:hint="cs"/>
          <w:sz w:val="24"/>
          <w:szCs w:val="24"/>
          <w:rtl/>
          <w:lang w:val="ar-SA"/>
        </w:rPr>
        <w:t>من نظام الإثبات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يكون للدليل الرقمي الرسمي الحجية المقررة للمحرَّر الرسمي، إذا استوفى الشروط المنصوص عليها في الفقرة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من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الخامسة والعشرين</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بما في ذلك ما يصدر آليًا من الأنظمة الرقمية للجهات العامة أو الجهات المكلفة بخدمة عامة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فنظام الإثبات السعودي وضع مواد قانونية توضح الاعتراف القانوني بالدليل الرقمي وحجية في الإثبات أمام القضاء</w:t>
      </w:r>
      <w:r>
        <w:rPr>
          <w:rStyle w:val="None"/>
          <w:rFonts w:ascii="Times New Roman" w:hAnsi="Times New Roman"/>
          <w:sz w:val="24"/>
          <w:szCs w:val="24"/>
          <w:rtl/>
          <w:lang w:val="ar-SA"/>
        </w:rPr>
        <w:t>.</w:t>
      </w:r>
    </w:p>
    <w:p w14:paraId="7C32FA7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تعريف هذه الأدلة الرقمية وبيان مفهومها كما يلي، السجل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خلال الأنظمة ذات الصلة يظهر أنَّ معنى السجل الرقمي هو أي بيانات تنشأ، أو تصدر، أو تستلم، أو تحفظ، أو تبلغ بوسيلة رقمية، وتكون قابلةً للاسترجاع أو الحصول عليها بشكل يمكن فهمه، والمحرر الرقمي يختلف عن السجل الرقمي بنشأته، فالمحرر هو ما نشأ ابتداءً بطريقة رقمية، والتوقيع الرقمي هو بيانات إلكترونية مدرجة في تعامل إلكتروني، أو مضاف إليه، أو مرتبط به منطقيًا تستخدم لإثبات هُوِيَّة الموقع وموافقته على التعامل الإلكتروني، والمراسلات الرقمية بما فيها البريد الرقمي هي وثيقة إلكترونية يوجهها شخص، وهو المرسل إلى آخر وهو المرسل إليه، وفي الغالب تذيل بتوقيع المرسل، وتعرف وسائل الاتصال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التخاطب والتجاور بين الأفراد من خلال وسائل الاتصال الحديثة وذلك بالمشافهة، فهي وسائل الاتصال التي تتم من خلال الموقع والبرامج التي تعتمد على شبكة الإنترنت؛ لتسهيل التواصل بين المستخدمين</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AC0290F" w14:textId="77777777" w:rsidR="00454428" w:rsidRDefault="00C464EC"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(9) </w:t>
      </w:r>
      <w:r>
        <w:rPr>
          <w:rStyle w:val="None"/>
          <w:rFonts w:ascii="Arial Unicode MS" w:hAnsi="Arial Unicode MS" w:cs="Times New Roman" w:hint="cs"/>
          <w:sz w:val="24"/>
          <w:szCs w:val="24"/>
          <w:rtl/>
          <w:lang w:val="ar-SA"/>
        </w:rPr>
        <w:t>من نظام التعاملات الإلكترونية السعودي التي تنص على أنَّه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1"/>
      </w:r>
      <w:r>
        <w:rPr>
          <w:rStyle w:val="None"/>
          <w:rFonts w:ascii="Times New Roman" w:hAnsi="Times New Roman"/>
          <w:sz w:val="24"/>
          <w:szCs w:val="24"/>
          <w:vertAlign w:val="superscript"/>
          <w:rtl/>
          <w:lang w:val="ar-SA"/>
        </w:rPr>
        <w:t>)</w:t>
      </w:r>
    </w:p>
    <w:p w14:paraId="48F3FF56" w14:textId="77777777" w:rsidR="00454428"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يقبل التعامل الإلكتروني أو التوقيع الإلكتروني دليلًا في الإثبات إذا استوفى سجله الإلكتروني 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53976CBE" w14:textId="77777777" w:rsidR="00454428"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يجوز قبول التعامل الإلكتروني أو التوقيع الإلكتروني قرينة في الإثبات، حتى وإنْ لم يستوفِ سجله الإلكتروني بمتطلبات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7333A171" w14:textId="77777777" w:rsidR="00454428"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يعهد كل من التعامل الإلكتروني، والتوقيع الإلكتروني، والسجل الإلكتروني حجةً يعتد بها في التعاملات، وأنَّ كلًا منها على أصله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لم يتغير منذ إنشائه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لم يظهر خلاف ذلك</w:t>
      </w:r>
      <w:r>
        <w:rPr>
          <w:rStyle w:val="None"/>
          <w:rFonts w:ascii="Times New Roman" w:hAnsi="Times New Roman"/>
          <w:sz w:val="24"/>
          <w:szCs w:val="24"/>
          <w:rtl/>
          <w:lang w:val="ar-SA"/>
        </w:rPr>
        <w:t>.</w:t>
      </w:r>
    </w:p>
    <w:p w14:paraId="1EC565E3" w14:textId="77777777" w:rsidR="00454428"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يراعي عند تقدير حجية التعامل الإلكتروني مدى الثقة في الآتي</w:t>
      </w:r>
      <w:r>
        <w:rPr>
          <w:rStyle w:val="None"/>
          <w:rFonts w:ascii="Times New Roman" w:hAnsi="Times New Roman"/>
          <w:sz w:val="24"/>
          <w:szCs w:val="24"/>
          <w:rtl/>
          <w:lang w:val="ar-SA"/>
        </w:rPr>
        <w:t>:</w:t>
      </w:r>
    </w:p>
    <w:p w14:paraId="15E27648" w14:textId="77777777" w:rsidR="00454428" w:rsidRDefault="00C464EC">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إنشاء السجل الإلكتروني أو تخزينه أو إبلاغه، وإمكان التعديل عليه</w:t>
      </w:r>
      <w:r>
        <w:rPr>
          <w:rStyle w:val="None"/>
          <w:rFonts w:ascii="Times New Roman" w:hAnsi="Times New Roman"/>
          <w:sz w:val="24"/>
          <w:szCs w:val="24"/>
          <w:rtl/>
          <w:lang w:val="ar-SA"/>
        </w:rPr>
        <w:t>.</w:t>
      </w:r>
    </w:p>
    <w:p w14:paraId="2BE06034" w14:textId="77777777" w:rsidR="00454428" w:rsidRDefault="00C464EC">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المحافظة على سلامة المعلومات</w:t>
      </w:r>
      <w:r>
        <w:rPr>
          <w:rStyle w:val="None"/>
          <w:rFonts w:ascii="Times New Roman" w:hAnsi="Times New Roman"/>
          <w:sz w:val="24"/>
          <w:szCs w:val="24"/>
          <w:rtl/>
          <w:lang w:val="ar-SA"/>
        </w:rPr>
        <w:t>.</w:t>
      </w:r>
    </w:p>
    <w:p w14:paraId="59D77FA2" w14:textId="77777777" w:rsidR="00454428" w:rsidRDefault="00C464EC">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حددت بها شخصية المنشئ</w:t>
      </w:r>
      <w:r>
        <w:rPr>
          <w:rStyle w:val="None"/>
          <w:rFonts w:ascii="Times New Roman" w:hAnsi="Times New Roman"/>
          <w:sz w:val="24"/>
          <w:szCs w:val="24"/>
          <w:rtl/>
          <w:lang w:val="ar-SA"/>
        </w:rPr>
        <w:t>.</w:t>
      </w:r>
    </w:p>
    <w:p w14:paraId="3B48546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تعترف الأنظمة بالأخذ بالأدلة الرقمية في الأثبات الإلكتروني، ويجب أنْ تكون تلك الأدلة مستوفيةً الشروط التي نصت عليها المادة الثامنة من نظام التعاملات الإلكترونية السعودية، ويمكن أيضًا الأخذ بالتعامل الإلكتروني والتوقيع الإلكتروني، إذا لم يتوافر فيه شروط المادة الثامنة، فالتعامل الإلكتروني، والتوقيع الإلكتروني، والسجل الإلكتروني يمكن الأخذ بهم أدلة إثبات في البيئة الرقمية وذلك في حالة عدم إثبات عدم صحتهم، وعند الأخذ بهذه الأدلة الرقمية يجب النظر إلى مدى موثوقية الوسائل التي استخدمت في إنشاء السجل الإلكتروني، أو تخزينه، أو إبلاغه، والتحقق أيضًا من الطريقة التي حافظة على صحة المعلومات، وكذلك منشئ السجل الإلكتروني</w:t>
      </w:r>
      <w:r>
        <w:rPr>
          <w:rStyle w:val="None"/>
          <w:rFonts w:ascii="Times New Roman" w:hAnsi="Times New Roman"/>
          <w:sz w:val="24"/>
          <w:szCs w:val="24"/>
          <w:rtl/>
          <w:lang w:val="ar-SA"/>
        </w:rPr>
        <w:t>.</w:t>
      </w:r>
    </w:p>
    <w:p w14:paraId="60DAB22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سوف نوضح نص المادة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نظام التعاملات الإلكتروني السعودي،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السجل الإلكتروني أصلًا بذاته عندما تستخدم وسائل وشروط فنية تؤكد سلامة المعلومات الواردة فيه، من الوقت الذي أنشئ فيه بشكله النهائي على أنَّه سجل إلكتروني، وتسمح بعرض المعلومات المطلوب تقديمها متى طلب ذلك، وتحدد اللائحة الوسائل والشروط الفنية المطلوبة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F09D77"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rtl/>
          <w:lang w:val="ar-SA"/>
        </w:rPr>
        <w:tab/>
      </w:r>
      <w:r>
        <w:rPr>
          <w:rStyle w:val="None"/>
          <w:rFonts w:ascii="Arial Unicode MS" w:hAnsi="Arial Unicode MS" w:cs="Times New Roman" w:hint="cs"/>
          <w:sz w:val="24"/>
          <w:szCs w:val="24"/>
          <w:rtl/>
          <w:lang w:val="ar-SA"/>
        </w:rPr>
        <w:t>فالسجل الإلكتروني يعتبر مرجع موثوق فيه، وذلك من خلال اتباع السجل التجاري جميع وسائل والشروط التي تؤكد سلامة البيانات التي يحتوي عليها؛ ممَّا يمكن الرجوع إليها كأدلة إثبات بعد ذلك ويمكن تقديمها؛ وذلك لحفاظ السجل الإلكتروني على اتخاذ وسائل الحماية اللازمة للتعامل الإلكتروني</w:t>
      </w:r>
      <w:r>
        <w:rPr>
          <w:rStyle w:val="None"/>
          <w:rFonts w:ascii="Times New Roman" w:hAnsi="Times New Roman"/>
          <w:sz w:val="24"/>
          <w:szCs w:val="24"/>
          <w:rtl/>
          <w:lang w:val="ar-SA"/>
        </w:rPr>
        <w:t>.</w:t>
      </w:r>
    </w:p>
    <w:p w14:paraId="69D5B34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فالاعتماد على الوسائل التقليدية للتعاون الدولي الرسمي في مسائل الجريمة السيبرانية، لا يكفي في الوقت الحاضر للاستجابة في الوقت المناسب لمقتضيات الحصول على أدلة إلكترونية سريعة الزوال والتغير، وبما أنَّ عددًا متزايدًا من الجرائم يشتمل أدلةً إلكترونيةً توجد في أماكن جغرافية متعددة، سيشكل ذلك مشكلةً ليس فقط بشأن الجريمة السيبرانية، وأنَّ القواعد التي تحكم الإثبات الجنائي تهدف جميعًا إلى تحقيق العدالة الجنائية، وذلك بالكشف عن الحقيقة التي تهم المجتمع، باعتبار أنَّ الجريمة ما هي إلا اعتداء على الجماعة، ويمكن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الإثبات هو عملية برهنة أو تدليل على حقيقة واقعة معينة، ويجب أنْ يكون كشف الحقيقة مبنيًّا على يقين وجزم بوقوع الجريمة من المتهم المسند إليه ومِنْ ثَمَّ إدانته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55AE40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فالإثبات هنا وسيلة لتأكيد الفعل الذي ارتكبه الشخص المعتدي على حقوق الغير، فمن خلال الإثبات يمكن تأكيد الفعل المخالف الذي قام به الشخص، فمن خلال ذلك يمكن استدعاء المخالف أو المتعدي على حقوق الغير للتحقيق معه</w:t>
      </w:r>
      <w:r>
        <w:rPr>
          <w:rStyle w:val="None"/>
          <w:rFonts w:ascii="Times New Roman" w:hAnsi="Times New Roman"/>
          <w:sz w:val="24"/>
          <w:szCs w:val="24"/>
          <w:rtl/>
          <w:lang w:val="ar-SA"/>
        </w:rPr>
        <w:t>.</w:t>
      </w:r>
    </w:p>
    <w:p w14:paraId="17E8FBC8"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التحقيق الرقمي</w:t>
      </w:r>
      <w:r>
        <w:rPr>
          <w:rStyle w:val="None"/>
          <w:rFonts w:ascii="Times New Roman" w:hAnsi="Times New Roman"/>
          <w:b/>
          <w:bCs/>
          <w:sz w:val="28"/>
          <w:szCs w:val="28"/>
          <w:rtl/>
          <w:lang w:val="ar-SA"/>
        </w:rPr>
        <w:t>:</w:t>
      </w:r>
    </w:p>
    <w:p w14:paraId="600FDBA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التحقيق الرقمي موضوعًا مهمًّا في صلب التحقيقات الجنائية؛ نظرًا لما له من طبيعة مختلفة عن نظيره التحقيق الجنائي التقليدي، وطريقة جمع للأدلة الرقمية، وخصوصًا مع تعاظم دور التقنيات في جميع مناحي الحياة؛ وإذ يكاد لا يخلو تحقيق جنائي اليوم من عمليات جمع لأدلة رقمية ضمن الحواسيب، أو الأجهزة النقالة، أو وسائط التخزين، وعلى الطرف الآخر تتعاظم النداءات التي تتحدث عن أهمية حماية الخصوية، والبيانات الشخصية للأفراد، وكيف أنَّ خصوصية الأفراد أصبحت عرضةً للتداول؟ نظرًا لضعف القوانين الناظمة لحماية البيانات من جهة، والتمادي في التعامل مع خصوصية الأفراد في معرض التحقيقات الجنائية أو الإجراءات الحكومية من جهة أخرى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sz w:val="24"/>
          <w:szCs w:val="24"/>
          <w:rtl/>
        </w:rPr>
        <w:t xml:space="preserve"> </w:t>
      </w:r>
    </w:p>
    <w:p w14:paraId="5B6A981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ويقع على عاتق المحقق الجنائي عدة التزامات لها أثر في الحد من هذه المعوقات، كوجوب احترام القواعد النظامية التي تحددها الأنظمة المختلفة للقيام بعملية الضبط والتحقيق، وأنْ يكون القائم بالتحقيق موضوعيًا متجردًا من كل ما يؤثر عليه في تحقيق الواقعة المرتكبة، بالإضافة إلى احترام حقوق المتهم في كل إجراءات التحقيق، كما أنَّه يؤثر في نجاح عملية التحقيق إنجاز المحقق مهام التحقيق بالسرعة والدقة اللازمة، كسرعة الانتقال إلى مسرح الجريمة، وسماع الشهود، وضبط المتهم، واستجوابه، والاستعانة بالمتخصصين في الحاسب الآلي؛ ليكونوا ضمن كوادر الأجهزة الأمنية والقضائية؛ 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لطريقة التحقيق في الجرائم الرقمية أثرًا كبيرًا في الحد من هذه المعوقات والوصول إلى الدليل؛ حيث إنَّ خبير الحاسب الآلي له دور مهم في الحصول على البيانات المخزنة في الحاسب الآلي، وملحقاته، والمتعلقة بالجريمة الرقمية، وعليه فإنَّه يجب على المحقق إجراء التحقيق بحضور الخبير، وتبادل المعلومات معه قبل البدء في التحقيق؛ وذلك لمعرفة الأبعاد الفنية والنقاط التي يجب استجلاؤها أثناء التحقيق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5A99C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نظام حماية حقوق المؤلف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يتولى الموظفون المختصون بالهيئة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 وتحدد اللائحة التنفيذية الإجراءات والقواعد التي يلتزم بها هؤلاء الموظفون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5CB44A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يعمل الموظفون التابعون لهيئة ضبط المخالفات على متابعة المنشآت الإعلامية، والتجارية، والمستودعات، والمؤسسات العامة والخاصة، والتأكد من أنَّهم يعملون على أحكام الحماية الفكرية الموضوعة من النظام ولوائحه، ويخوَّل لهم القضاء صفة الضبط عند عدم اتباع هذه المنشآت أحكام النظام وضوابطه، في الحدود التي رسمها النظام لشكل الضبط والإجراءات الازمة له</w:t>
      </w:r>
      <w:r>
        <w:rPr>
          <w:rStyle w:val="None"/>
          <w:rFonts w:ascii="Times New Roman" w:hAnsi="Times New Roman"/>
          <w:sz w:val="24"/>
          <w:szCs w:val="24"/>
          <w:rtl/>
          <w:lang w:val="ar-SA"/>
        </w:rPr>
        <w:t>.</w:t>
      </w:r>
    </w:p>
    <w:p w14:paraId="4216C70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ويتميز التحقيق الرقمي بضرورة تعامله مع بيئة الحاسب الآلي، وكل ما يتعلق بها؛ ولذلك فمن أهم خصائصه التعامل مع نوع متخصص من الجرائم، وهي الجرائم الرقمية التي ترتكب عبر نظام الحاسوب والشبكة العنكبوتية، تحقيق ما يسمى بالأدلة الرقمية المتعلقة ببيئة الحاسب الآلي والإنترنت، والتعامل مع الاتصال الشبكي، وأنواعه المختلفة، ومعرفة كيفية انتقال البيانات عبر الأجهزة المختلفة وعبر شبكة الإنترنت، والتعامل مع الأنظمة المختلفة لتشغيل الحاسب الآلي، مع صيغ الملفات الإلكترونية المختلفة، وتطبيقات الحاسوب الرئيسية، والتواصل مع خدمة الإنترنت كأداة لجمع البيانات والتحريات عن الجرائم الإلكترونية، والتعامل مع تقنيات أمن الحاسوب والإنترنت لإمكانية ربطها بمجريات التحقيق، واستخدام الأدوات الفنية التي تستخدم في بنية نظم المعلومات وأهمها البريد الإلكتروني وبرامج المحادثة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DE9FD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اللائحة التنفيذية لنظام حماية حقوق المؤلف بالنص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يتعين على مأموري الضبط سماع أقوال مَن تنسب إليهم مخالفة أي حكم من أحكام النظام واللائحة، أو مَن يمثلهم عند توفر دلائل ومؤشرات على وجود اعتداء، ولهم في سبيل ذلك</w:t>
      </w:r>
      <w:r>
        <w:rPr>
          <w:rStyle w:val="None"/>
          <w:rFonts w:ascii="Times New Roman" w:hAnsi="Times New Roman"/>
          <w:sz w:val="24"/>
          <w:szCs w:val="24"/>
          <w:rtl/>
          <w:lang w:val="ar-SA"/>
        </w:rPr>
        <w:t>:</w:t>
      </w:r>
    </w:p>
    <w:p w14:paraId="3DA64FA6" w14:textId="77777777" w:rsidR="00454428"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أولى بوجوب مراجعة الإدارة المختصة في الهيئة خلال مدة لا تتجاوز ثلاثة أيامِ عملٍ من تاريخ الاستدعاء</w:t>
      </w:r>
      <w:r>
        <w:rPr>
          <w:rStyle w:val="None"/>
          <w:rFonts w:ascii="Times New Roman" w:hAnsi="Times New Roman"/>
          <w:sz w:val="24"/>
          <w:szCs w:val="24"/>
          <w:rtl/>
          <w:lang w:val="ar-SA"/>
        </w:rPr>
        <w:t>.</w:t>
      </w:r>
    </w:p>
    <w:p w14:paraId="304A5FA8" w14:textId="77777777" w:rsidR="00454428"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نهائي بوجوب مراجعة الإدارة المختصة في الهيئة، خلال مدة لا تتجاوز خمسة أيامِ عملٍ من تاريخ الاستدعاء</w:t>
      </w:r>
      <w:r>
        <w:rPr>
          <w:rStyle w:val="None"/>
          <w:rFonts w:ascii="Times New Roman" w:hAnsi="Times New Roman"/>
          <w:sz w:val="24"/>
          <w:szCs w:val="24"/>
          <w:rtl/>
          <w:lang w:val="ar-SA"/>
        </w:rPr>
        <w:t>.</w:t>
      </w:r>
    </w:p>
    <w:p w14:paraId="30448D65" w14:textId="77777777" w:rsidR="00454428"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أنْ يشتمل محضر التحقيق على البيانات التالية</w:t>
      </w:r>
      <w:r>
        <w:rPr>
          <w:rStyle w:val="None"/>
          <w:rFonts w:ascii="Times New Roman" w:hAnsi="Times New Roman"/>
          <w:sz w:val="24"/>
          <w:szCs w:val="24"/>
          <w:rtl/>
          <w:lang w:val="ar-SA"/>
        </w:rPr>
        <w:t xml:space="preserve">: </w:t>
      </w:r>
    </w:p>
    <w:p w14:paraId="50F11B9B" w14:textId="77777777" w:rsidR="00454428"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ساعة ويوم وتاريخ ومكان سماع الأقوال</w:t>
      </w:r>
      <w:r>
        <w:rPr>
          <w:rStyle w:val="None"/>
          <w:rFonts w:ascii="Times New Roman" w:hAnsi="Times New Roman"/>
          <w:sz w:val="24"/>
          <w:szCs w:val="24"/>
          <w:rtl/>
          <w:lang w:val="ar-SA"/>
        </w:rPr>
        <w:t>.</w:t>
      </w:r>
    </w:p>
    <w:p w14:paraId="4CBCE0D3" w14:textId="77777777" w:rsidR="00454428"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مَن تنسب إليه المخالفة، ورقم هُوِيَّته، وعناوين الاتصال به</w:t>
      </w:r>
      <w:r>
        <w:rPr>
          <w:rStyle w:val="None"/>
          <w:rFonts w:ascii="Times New Roman" w:hAnsi="Times New Roman"/>
          <w:sz w:val="24"/>
          <w:szCs w:val="24"/>
          <w:rtl/>
          <w:lang w:val="ar-SA"/>
        </w:rPr>
        <w:t>.</w:t>
      </w:r>
    </w:p>
    <w:p w14:paraId="0509DE7D" w14:textId="77777777" w:rsidR="00454428"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مواجهته بالمخالفات المنسوبة إليه على وجه التحديد</w:t>
      </w:r>
      <w:r>
        <w:rPr>
          <w:rStyle w:val="None"/>
          <w:rFonts w:ascii="Times New Roman" w:hAnsi="Times New Roman"/>
          <w:sz w:val="24"/>
          <w:szCs w:val="24"/>
          <w:rtl/>
          <w:lang w:val="ar-SA"/>
        </w:rPr>
        <w:t>.</w:t>
      </w:r>
    </w:p>
    <w:p w14:paraId="66A92119" w14:textId="77777777" w:rsidR="00454428"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كامل إجابات من تنسب إليه المخالفة عن الأسئلة الموجهة إليه،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أوجه دفاعه</w:t>
      </w:r>
      <w:r>
        <w:rPr>
          <w:rStyle w:val="None"/>
          <w:rFonts w:ascii="Times New Roman" w:hAnsi="Times New Roman"/>
          <w:sz w:val="24"/>
          <w:szCs w:val="24"/>
          <w:rtl/>
          <w:lang w:val="ar-SA"/>
        </w:rPr>
        <w:t>.</w:t>
      </w:r>
    </w:p>
    <w:p w14:paraId="0167A510" w14:textId="77777777" w:rsidR="00454428" w:rsidRDefault="00C464EC">
      <w:pPr>
        <w:pStyle w:val="Body"/>
        <w:numPr>
          <w:ilvl w:val="0"/>
          <w:numId w:val="26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تتم مساءلة مَن تنسب له المخالفة عن المدة الزمنية، التي مارس خلالها اعتداءاته على المصنف، ومدى ما حققه من عوائد مالية</w:t>
      </w:r>
      <w:r>
        <w:rPr>
          <w:rStyle w:val="None"/>
          <w:rFonts w:ascii="Times New Roman" w:hAnsi="Times New Roman"/>
          <w:sz w:val="24"/>
          <w:szCs w:val="24"/>
          <w:rtl/>
          <w:lang w:val="ar-SA"/>
        </w:rPr>
        <w:t>.</w:t>
      </w:r>
    </w:p>
    <w:p w14:paraId="0033F649" w14:textId="77777777" w:rsidR="00454428"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لمأمور الضبط إذا اقتضى الحال استدعاء مَن يرى ضرورة سماع أقواله بشأن المخالفة وتدوينها بالمحضر</w:t>
      </w:r>
      <w:r>
        <w:rPr>
          <w:rStyle w:val="None"/>
          <w:rFonts w:ascii="Times New Roman" w:hAnsi="Times New Roman"/>
          <w:sz w:val="24"/>
          <w:szCs w:val="24"/>
          <w:rtl/>
          <w:lang w:val="ar-SA"/>
        </w:rPr>
        <w:t>.</w:t>
      </w:r>
    </w:p>
    <w:p w14:paraId="647C0D15" w14:textId="77777777" w:rsidR="00454428"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للإدارة المختصة في الهيئة الاستعانة بأهل الخبرة في كشف المخالفات، وفقًا للإجراءات الإدارية التي تحكم هذا العمل</w:t>
      </w:r>
      <w:r>
        <w:rPr>
          <w:rStyle w:val="None"/>
          <w:rFonts w:ascii="Times New Roman" w:hAnsi="Times New Roman"/>
          <w:sz w:val="24"/>
          <w:szCs w:val="24"/>
          <w:rtl/>
          <w:lang w:val="ar-SA"/>
        </w:rPr>
        <w:t>.</w:t>
      </w:r>
    </w:p>
    <w:p w14:paraId="060EDDAC" w14:textId="77777777" w:rsidR="00454428"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تقوم الإدارة المختصة برفع القضايا والمخالفات بكامل مستنداتها إلى اللجنة للنظر فيها</w:t>
      </w:r>
      <w:r>
        <w:rPr>
          <w:rStyle w:val="None"/>
          <w:rFonts w:ascii="Times New Roman" w:hAnsi="Times New Roman"/>
          <w:sz w:val="24"/>
          <w:szCs w:val="24"/>
          <w:rtl/>
          <w:lang w:val="ar-SA"/>
        </w:rPr>
        <w:t>.</w:t>
      </w:r>
    </w:p>
    <w:p w14:paraId="035AC0F1" w14:textId="77777777" w:rsidR="00454428"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 عدم حضور الشخص المنسوبة إليه المخالفة، أو من ينوب عنه خلال الفترة المحددة للاستدعاء، يتم إحالة أوراق القضية للجنة لإصدار القرار بشأنها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A88C8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يجب على مأمور الضبط المسئول عن التحقيق في المخالفات الخاصة لنظام حماية حقوق المؤلف بأنْ يستمع إلى من وجه إليه تهم المخالفة، فيجب على مأمور الضبط اتباع تلك الخطوات التي نص عليها النظام، بأنْ يستدعي مراجعة المخالفة التي حدثت في الإدارة خلال مدة من الزمن لا تتجاوز الثلاثة أيامٍ من تاريخ بدء الاستدعاء، ويكون الاستدعاء النهائي المختص بمراجعة الإدارية في مدة لا تتجاوز خمسة أيامٍ من تاريخ الاستدعاء، ويجب أنْ يحتوي محضر التحقيق على تاريخ سماع الأقوال بالتفصيل، واسم مَن اتهم بالمخالفة وتفاصيله بالكامل، وعرض المخالفات المنسوبة إليه، كما يجب أنْ تتم كتابة جميع أقوال المتهم الناتجة عن الأسئلة الموجهة إليه، ومعرفة توقيت ممارسة الاعتداء على المصنف ومعرفة إلى أي مدى حقق أرباح عن طريق ذلك، كما يجوز لمأمور الضبط التحقيق مع من يراه مناسبًا لوقعة الاعتداء على المصنف، ويمكن للإدارة أنْ تلجأ لأصحاب الخبرة في الكشف عن الاعتداء على المصنف الإلكتروني وفقًا للقواعد والقوانين، وفي حالة امتناع الشخص، أو ما ينوب عنه عن حضور التحقيق يتم اصدار القرار من قبل اللجنة المختصة</w:t>
      </w:r>
      <w:r>
        <w:rPr>
          <w:rStyle w:val="None"/>
          <w:rFonts w:ascii="Times New Roman" w:hAnsi="Times New Roman"/>
          <w:sz w:val="24"/>
          <w:szCs w:val="24"/>
          <w:rtl/>
          <w:lang w:val="ar-SA"/>
        </w:rPr>
        <w:t>.</w:t>
      </w:r>
    </w:p>
    <w:p w14:paraId="1C2412F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التحقيق الرقمي يهدف إلى جمع الأدلة الرقمية وحفظها من جميع الأجهزة والأنظمة الإلكترونية؛ حتى يمكن إثبات الواقعة من خلال تلك الأدلة التي تجمعها التحقيقات الرقمية، وتقوم التحقيقات على أساس علمي متطوِّر؛ حتى يتيح لها الفرصة في استرجاع البيانات أو المحذوفات، واستخدام البرامج المتطوِّرة في الكشف عن المخالفات الخاصة بانتهاك حقوق الآخرين، والجرائم الإلكترونية، مع مراعاة التوازن بين حماية الخصوصية وحماية الملكية الفكرية</w:t>
      </w:r>
      <w:r>
        <w:rPr>
          <w:rStyle w:val="None"/>
          <w:rFonts w:ascii="Times New Roman" w:hAnsi="Times New Roman"/>
          <w:sz w:val="24"/>
          <w:szCs w:val="24"/>
          <w:rtl/>
          <w:lang w:val="ar-SA"/>
        </w:rPr>
        <w:t>.</w:t>
      </w:r>
    </w:p>
    <w:p w14:paraId="2EF8C4EE" w14:textId="77777777" w:rsidR="00454428" w:rsidRDefault="00C464EC"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الضبط الفني</w:t>
      </w:r>
      <w:r>
        <w:rPr>
          <w:rStyle w:val="None"/>
          <w:rFonts w:ascii="Times New Roman" w:hAnsi="Times New Roman"/>
          <w:b/>
          <w:bCs/>
          <w:sz w:val="28"/>
          <w:szCs w:val="28"/>
          <w:rtl/>
          <w:lang w:val="ar-SA"/>
        </w:rPr>
        <w:t>:</w:t>
      </w:r>
    </w:p>
    <w:p w14:paraId="18A7BC9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محل الضبط في الجرائم المعلوماتية هو الدليل الرقمي، ويقصد بالدليل الرقمي كل بيانات يمكن إعدادها، أو تخزينها في شكل رقمي؛ بحيث تمكن الحاسوب من إنجاز مهمة ما، أو هو الدليل الذي يجد له أساسًا في العالم الافتراضي ويوقد إلى جريمة، أو هو عبارة عن معطيات مخزنة في نظام إلكتروني، أو معلوماتي يمكن استخدامها في قضية قانونية، ويختلف الضبط في الجرائم المعلوماتية عن الضبط في الجرائم التقليدية من حيث المحل؛ وذلك بسبب أنَّ الضبط الإلكتروني يرد على أشياء ذات طبيعة معنوية وهي البيانات، والضبط التقليدي يرد على أشياء مادية، ففي جريمة القتل مثلًا يتم ضبط أداة الجريمة، وفي جرائم المخدرات يتم ضبط المخدر نفسه، بينما في الجرائم المعلوماتية يمكن أنْ يكون محل الضبط المعلومات الكائنة في جهاز الحاسوب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FA0C4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الحماية التي يكفلها المنظم للاتصالات العادية لا يقتصر نطاقها على هذا النوع من الاتصالات فحسب، بل تمتد هذه الحماية إلى الاتصالات الإلكترونية عبر الإنترنت من باب أولى بحسبان أنَّ الغاية من وراء هذه الحماية هي حماية الحياة الخاصة للإنسان بحماية مستودع أسراره الشخصية، وهذه الأسرار تكون أكثر انتهاكا إذا ما استخدمت الوسائل الإلكترونية في الوصول إليها، ومن ثَمَّ فإنَّها تكون في حاجة إلى حماية أكثر من تلك الحماية التي تحتاجها الاتصالات العادية، وإذا اقتضت ضرورة التحقيق مراقبة هذه الاتصالات وتسجيلها، فسنتبع حينها الضمانات نفسها المقررة للمحادثات التليفونية، مع مراعاة خصوصية هذه الاتصالات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AE1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(18)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يكون ضبط ما يقع من مخالفات لأحكام النظام واللائحة في أي من الحالات التالية</w:t>
      </w:r>
      <w:r>
        <w:rPr>
          <w:rStyle w:val="None"/>
          <w:rFonts w:ascii="Times New Roman" w:hAnsi="Times New Roman"/>
          <w:sz w:val="24"/>
          <w:szCs w:val="24"/>
          <w:rtl/>
          <w:lang w:val="ar-SA"/>
        </w:rPr>
        <w:t>:</w:t>
      </w:r>
    </w:p>
    <w:p w14:paraId="18E4D8AA" w14:textId="77777777" w:rsidR="00454428" w:rsidRDefault="00C464EC">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شكوى مقدمة من أصحاب الحقوق أو من يمثلهم</w:t>
      </w:r>
      <w:r>
        <w:rPr>
          <w:rStyle w:val="None"/>
          <w:rFonts w:ascii="Times New Roman" w:hAnsi="Times New Roman"/>
          <w:sz w:val="24"/>
          <w:szCs w:val="24"/>
          <w:rtl/>
          <w:lang w:val="ar-SA"/>
        </w:rPr>
        <w:t>.</w:t>
      </w:r>
    </w:p>
    <w:p w14:paraId="1E58B499" w14:textId="77777777" w:rsidR="00454428" w:rsidRDefault="00C464EC">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البلاغات الواردة وفق النماذج المعدة لذلك</w:t>
      </w:r>
      <w:r>
        <w:rPr>
          <w:rStyle w:val="None"/>
          <w:rFonts w:ascii="Times New Roman" w:hAnsi="Times New Roman"/>
          <w:sz w:val="24"/>
          <w:szCs w:val="24"/>
          <w:rtl/>
          <w:lang w:val="ar-SA"/>
        </w:rPr>
        <w:t>.</w:t>
      </w:r>
    </w:p>
    <w:p w14:paraId="4C1505F5" w14:textId="77777777" w:rsidR="00454428" w:rsidRDefault="00C464EC">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الزيارات الميدانية لمأموري الضبط على المنشآت العامة، والمحلات التجارية التي تستخدم في نشاط أيٍّ من المصنفات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92609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يتم ضبط المخالفات الواقعة على حقوق الغير من خلال الشكوى المقدمة من أصحاب تلك الحقوق أو من ينوب عنهم، أو تقديم البلاغات عن طريق النماذج المخصصة للشكوى، وزيارة مأمور الضبط على كل من المنشآت العامة والمحلات التجارية تعمل على ضبط مخالفات الملكية الفكرية</w:t>
      </w:r>
      <w:r>
        <w:rPr>
          <w:rStyle w:val="None"/>
          <w:rFonts w:ascii="Times New Roman" w:hAnsi="Times New Roman"/>
          <w:sz w:val="24"/>
          <w:szCs w:val="24"/>
          <w:rtl/>
          <w:lang w:val="ar-SA"/>
        </w:rPr>
        <w:t>.</w:t>
      </w:r>
    </w:p>
    <w:p w14:paraId="538F8F5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commentRangeStart w:id="262"/>
      <w:r w:rsidRPr="00323404">
        <w:rPr>
          <w:rStyle w:val="None"/>
          <w:rFonts w:ascii="Arial Unicode MS" w:hAnsi="Arial Unicode MS" w:cs="Times New Roman" w:hint="cs"/>
          <w:sz w:val="24"/>
          <w:szCs w:val="24"/>
          <w:highlight w:val="yellow"/>
          <w:rtl/>
          <w:lang w:val="ar-SA"/>
        </w:rPr>
        <w:t>فالأهم</w:t>
      </w:r>
      <w:commentRangeEnd w:id="262"/>
      <w:r w:rsidR="00323404">
        <w:rPr>
          <w:rStyle w:val="CommentReference"/>
          <w:rFonts w:ascii="Times New Roman" w:hAnsi="Times New Roman" w:cs="Times New Roman"/>
          <w:color w:val="auto"/>
          <w:rtl/>
          <w14:textOutline w14:w="0" w14:cap="rnd" w14:cmpd="sng" w14:algn="ctr">
            <w14:noFill/>
            <w14:prstDash w14:val="solid"/>
            <w14:bevel/>
          </w14:textOutline>
        </w:rPr>
        <w:commentReference w:id="262"/>
      </w:r>
      <w:r w:rsidRPr="00323404">
        <w:rPr>
          <w:rStyle w:val="None"/>
          <w:rFonts w:ascii="Arial Unicode MS" w:hAnsi="Arial Unicode MS" w:cs="Times New Roman" w:hint="cs"/>
          <w:sz w:val="24"/>
          <w:szCs w:val="24"/>
          <w:highlight w:val="yellow"/>
          <w:rtl/>
          <w:lang w:val="ar-SA"/>
        </w:rPr>
        <w:t xml:space="preserve"> بشأن الضبط تظهر حينما يتعين ضبط المعطيات المخزنة على أي وسيط من وسائط التخزين دون توافر إمكانية ضبط الدعامة المادية المخزن عليها هذه المعطيات، كذلك ليس بالإمكان ضبط النظام كله، أو الشبكات المتصلة به عندما تظهر أهمية ذلك في إثبات الجريمة؛ حيث إنَّ إعمال مبدأ التناسب يقتضي قصر الضبط على الأدلة التي تفيد في كشف الحقيقة دون أنْ يؤدي ذلك إلى تعطيل العمل كله في النظام أو في الشبكات المتصلة به؛ لذا يظهر أنَّ النسخ الأسلوب الأمثل الذي يمكن استخدامه في ضبط المعطيات الإلكترونية </w:t>
      </w:r>
      <w:r w:rsidRPr="00323404">
        <w:rPr>
          <w:rStyle w:val="None"/>
          <w:rFonts w:ascii="Times New Roman" w:hAnsi="Times New Roman"/>
          <w:sz w:val="24"/>
          <w:szCs w:val="24"/>
          <w:highlight w:val="yellow"/>
          <w:vertAlign w:val="superscript"/>
          <w:rtl/>
          <w:lang w:val="ar-SA"/>
        </w:rPr>
        <w:t>(</w:t>
      </w:r>
      <w:r w:rsidRPr="00323404">
        <w:rPr>
          <w:rStyle w:val="None"/>
          <w:rFonts w:ascii="Times New Roman" w:eastAsia="Times New Roman" w:hAnsi="Times New Roman" w:cs="Times New Roman"/>
          <w:sz w:val="24"/>
          <w:szCs w:val="24"/>
          <w:highlight w:val="yellow"/>
          <w:vertAlign w:val="superscript"/>
          <w:lang w:val="ar-SA"/>
        </w:rPr>
        <w:footnoteReference w:id="552"/>
      </w:r>
      <w:r w:rsidRPr="00323404">
        <w:rPr>
          <w:rStyle w:val="None"/>
          <w:rFonts w:ascii="Times New Roman" w:hAnsi="Times New Roman"/>
          <w:sz w:val="24"/>
          <w:szCs w:val="24"/>
          <w:highlight w:val="yellow"/>
          <w:vertAlign w:val="superscript"/>
          <w:rtl/>
          <w:lang w:val="ar-SA"/>
        </w:rPr>
        <w:t>)</w:t>
      </w:r>
      <w:r w:rsidRPr="00323404">
        <w:rPr>
          <w:rStyle w:val="None"/>
          <w:rFonts w:ascii="Times New Roman" w:hAnsi="Times New Roman"/>
          <w:sz w:val="24"/>
          <w:szCs w:val="24"/>
          <w:highlight w:val="yellow"/>
          <w:rtl/>
          <w:lang w:val="ar-SA"/>
        </w:rPr>
        <w:t>.</w:t>
      </w:r>
    </w:p>
    <w:p w14:paraId="457ACF5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لمأموري الضبط عند قيامهم بمهام الضبط والتفتيش مباشرة الإجراءات التالية</w:t>
      </w:r>
      <w:r>
        <w:rPr>
          <w:rStyle w:val="None"/>
          <w:rFonts w:ascii="Times New Roman" w:hAnsi="Times New Roman"/>
          <w:sz w:val="24"/>
          <w:szCs w:val="24"/>
          <w:rtl/>
          <w:lang w:val="ar-SA"/>
        </w:rPr>
        <w:t xml:space="preserve">: </w:t>
      </w:r>
    </w:p>
    <w:p w14:paraId="13709160" w14:textId="77777777" w:rsidR="00454428" w:rsidRDefault="00C464EC">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دخول مقارِّ المنشآت التي تنتج، أو تعرض، أو توزع، أو تبيع، أو تستخدم أو تقدم خدمات الصيانة لأي من المصنفات المتمتعة بالحماية، بما في ذلك ملحقات وتوابع تلك المقار وتفتيشها</w:t>
      </w:r>
      <w:r>
        <w:rPr>
          <w:rStyle w:val="None"/>
          <w:rFonts w:ascii="Times New Roman" w:hAnsi="Times New Roman"/>
          <w:sz w:val="24"/>
          <w:szCs w:val="24"/>
          <w:rtl/>
          <w:lang w:val="ar-SA"/>
        </w:rPr>
        <w:t>.</w:t>
      </w:r>
    </w:p>
    <w:p w14:paraId="6085CAC4" w14:textId="77777777" w:rsidR="00454428" w:rsidRDefault="00C464EC">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ضبط وتحريز نسخ المصنفات والأجهزة، التي تقوم إزائها أسباب معقولة عند الفحص الأوَّلي على أنَّها محل اعتداء، وعلى المستندات المتعلقة بها عند الاقتضاء</w:t>
      </w:r>
      <w:r>
        <w:rPr>
          <w:rStyle w:val="None"/>
          <w:rFonts w:ascii="Times New Roman" w:hAnsi="Times New Roman"/>
          <w:sz w:val="24"/>
          <w:szCs w:val="24"/>
          <w:rtl/>
          <w:lang w:val="ar-SA"/>
        </w:rPr>
        <w:t>.</w:t>
      </w:r>
    </w:p>
    <w:p w14:paraId="07C0B891" w14:textId="77777777" w:rsidR="00454428" w:rsidRDefault="00C464EC">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إجراء مساءلة فورية مع من تنسب إليه المخالفة، أو أي من العاملين بالمنشأة وسماع أقوال مالكها، أو مَن يمثله إذا قدر ملاءمة ذلك</w:t>
      </w:r>
      <w:r>
        <w:rPr>
          <w:rStyle w:val="None"/>
          <w:rFonts w:ascii="Times New Roman" w:hAnsi="Times New Roman"/>
          <w:sz w:val="24"/>
          <w:szCs w:val="24"/>
          <w:rtl/>
          <w:lang w:val="ar-SA"/>
        </w:rPr>
        <w:t>.</w:t>
      </w:r>
    </w:p>
    <w:p w14:paraId="077553B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جميع الأحوال يتعين السماح لمن تنسب إليه المخالفة بتقديم دفوعه كتابية أو تدوينها وإرفاق ذلك بمحضر يُعَدُّ لهذا الغرض، إضافةً إلى ما يقدمه من وثائق ومستندات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19606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 لمأمور الضبط الدخول إلى مقرات المنشآت التي تنتج، أو توزع، أو تقدم خدمات الصبانة لأي من المصنفات المتمتعة بالحماية، وما يتبعها من مقرات خاصة بتلك المنشآت وله الصالحية في تفتيشها، وعند إيجاد أحد المخالفات المنصوص عيها يمكن لمأمور الضبط أنْ يصادر تلك الأجهزة والأدوات التي استخدمت في الاعتداء على حقوق الغير، وسماع أقوال المتواجدين في المنشاة خلال ذلك الضبط، ويسمح لمن تنسب إليه المخالفة بتقديم دفوعه كتابية وإرفاقها بالمحضر</w:t>
      </w:r>
      <w:r>
        <w:rPr>
          <w:rStyle w:val="None"/>
          <w:rFonts w:ascii="Times New Roman" w:hAnsi="Times New Roman"/>
          <w:sz w:val="24"/>
          <w:szCs w:val="24"/>
          <w:rtl/>
          <w:lang w:val="ar-SA"/>
        </w:rPr>
        <w:t>.</w:t>
      </w:r>
    </w:p>
    <w:p w14:paraId="57954AB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يختص رجال الضبط الجنائي بالتحري وجمع المعلومات في جريمة التنصت الإلكتروني؛ وذلك من خلال منصات البلاغات الإلكترونية، فإنَّ فحص البلاغات الواردة لمنصات البلاغات يقتضي جمع المعلومات المتعلقة بالواقعة الوارد بشأنها البلاغ عن طريق عدة وسائل؛ كون البلاغ خبر يحتمل الصحة والكذب، فضلًا أنَّ الاشتباه قد لا يكون له أساس من الوقائع، وقد منح المنظم الاختصاص الإجرائي فيما يتعلق بكشف هُوِيَّة المتنصت إلكترونيًا للمباحث الجنائية، ويتم ذلك من خلال تحرير البلاغ لإدارة مكافحة الجرائم المعلوماتية للإدارة العامة للتحريات والبحث الجنائي للأمن العام</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5FC711" w14:textId="77777777" w:rsidR="00454428" w:rsidRDefault="00C464EC"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w:t>
      </w:r>
    </w:p>
    <w:p w14:paraId="16648B54" w14:textId="77777777" w:rsidR="00454428" w:rsidRDefault="00C464EC">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تتولى الإدارة المختصة مهام ضبط المخالفات وتحريز الأدلة الثبوتية الدالة على وجود اعتداء على حق المؤلف من أجهزة، أو مصنفات، أو سلع</w:t>
      </w:r>
      <w:r>
        <w:rPr>
          <w:rStyle w:val="None"/>
          <w:rFonts w:ascii="Times New Roman" w:hAnsi="Times New Roman"/>
          <w:sz w:val="24"/>
          <w:szCs w:val="24"/>
          <w:rtl/>
          <w:lang w:val="ar-SA"/>
        </w:rPr>
        <w:t>.</w:t>
      </w:r>
    </w:p>
    <w:p w14:paraId="2A41D92D" w14:textId="77777777" w:rsidR="00454428" w:rsidRDefault="00C464EC">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يتم إثبات ما تم ضبطه أو تحريزه في محضر الضبط على أنْ يتم توقيعه من قبل مأمور الضبط وصاحب المنشأة، أو من يمثله، ويدخل في ذلك العاملون في المنشأة، ويدون فيه ما يتعلق بحالات الامتناع عن التوقيع أو الهروب من الموقع على أنَّه يتضمن المحضر المعلومات التالية</w:t>
      </w:r>
      <w:r>
        <w:rPr>
          <w:rStyle w:val="None"/>
          <w:rFonts w:ascii="Times New Roman" w:hAnsi="Times New Roman"/>
          <w:sz w:val="24"/>
          <w:szCs w:val="24"/>
          <w:rtl/>
          <w:lang w:val="ar-SA"/>
        </w:rPr>
        <w:t xml:space="preserve">: </w:t>
      </w:r>
    </w:p>
    <w:p w14:paraId="3B356E03" w14:textId="77777777" w:rsidR="00454428"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المنشأة وعنوانها والمعلومات الثبوتية الأساسية الخاصة بها</w:t>
      </w:r>
      <w:r>
        <w:rPr>
          <w:rStyle w:val="None"/>
          <w:rFonts w:ascii="Times New Roman" w:hAnsi="Times New Roman"/>
          <w:sz w:val="24"/>
          <w:szCs w:val="24"/>
          <w:rtl/>
          <w:lang w:val="ar-SA"/>
        </w:rPr>
        <w:t>.</w:t>
      </w:r>
    </w:p>
    <w:p w14:paraId="0BCA3AB1" w14:textId="77777777" w:rsidR="00454428"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موقع وتاريخ الضبط</w:t>
      </w:r>
      <w:r>
        <w:rPr>
          <w:rStyle w:val="None"/>
          <w:rFonts w:ascii="Times New Roman" w:hAnsi="Times New Roman"/>
          <w:sz w:val="24"/>
          <w:szCs w:val="24"/>
          <w:rtl/>
          <w:lang w:val="ar-SA"/>
        </w:rPr>
        <w:t>.</w:t>
      </w:r>
    </w:p>
    <w:p w14:paraId="683A445B" w14:textId="77777777" w:rsidR="00454428"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أسماء العاملين بالموقع</w:t>
      </w:r>
      <w:r>
        <w:rPr>
          <w:rStyle w:val="None"/>
          <w:rFonts w:ascii="Times New Roman" w:hAnsi="Times New Roman"/>
          <w:sz w:val="24"/>
          <w:szCs w:val="24"/>
          <w:rtl/>
          <w:lang w:val="ar-SA"/>
        </w:rPr>
        <w:t>.</w:t>
      </w:r>
    </w:p>
    <w:p w14:paraId="1E5D4FC5" w14:textId="77777777" w:rsidR="00454428"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وطبيعة المصنف محل المخالفة وكمية النسخ المضبوطة ومواصفاتها</w:t>
      </w:r>
      <w:r>
        <w:rPr>
          <w:rStyle w:val="None"/>
          <w:rFonts w:ascii="Times New Roman" w:hAnsi="Times New Roman"/>
          <w:sz w:val="24"/>
          <w:szCs w:val="24"/>
          <w:rtl/>
          <w:lang w:val="ar-SA"/>
        </w:rPr>
        <w:t>.</w:t>
      </w:r>
    </w:p>
    <w:p w14:paraId="7CCA03F1" w14:textId="77777777" w:rsidR="00454428"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نوع المخالفة ووقائعها وأسبابها وظروفها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62A6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تعمل الجهة الإدارية المختصة على ضبط المخالفات المتعلقة بحقوق المؤلف، ويحق لجهة الإدارة تحريز الأجهزة أو المصنفات التي تتعدي على الملكية الفكرية للمؤلف، ويتم ذكر ما تم ضبطه من أحراز في محضر رسمي ويتم التوقيع عليه من قبل صاحب المنشأة، أو من ينوب عنه والعاملين في المنشاة، كما يتم ذكر حالات الامتناع التي تتم في موقع الضبط، ويتضمن المحضر الرسمي اسم المنشاة، وعنونها، والمعلومات الأساسية الخاصة بها، وموقع وتاريخ الضبط، وأسماء العاملين بالموقع، واسم وطبيعة المصنف محل المخالفة، وكمية النسخ المضبوطة ومواصفاتها، ونوع المخالفة، ووقائعها، وأسبابها، وظروفها</w:t>
      </w:r>
      <w:r>
        <w:rPr>
          <w:rStyle w:val="None"/>
          <w:rFonts w:ascii="Times New Roman" w:hAnsi="Times New Roman"/>
          <w:b/>
          <w:bCs/>
          <w:sz w:val="24"/>
          <w:szCs w:val="24"/>
          <w:rtl/>
          <w:lang w:val="ar-SA"/>
        </w:rPr>
        <w:t>.</w:t>
      </w:r>
    </w:p>
    <w:p w14:paraId="2095F3B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وتتضمن إجراءات الضبط الجنائي الاختصاص الموضوعي لرجال الضبط الجنائي، وقد سبق الحديث عن مهامهم الإجرائية لضباط جرائم التنصت الإلكتروني في مطلب مهام رجال الضبط الجنائي، وفي هذا المطلب سيتم الحديث عن الإجراءات، الضبطية الملائمة لطبيعة جريمة التنصت الإلكتروني، واختصاص رجال الضبط الجنائي بتلقي البلاغات لجرائم التنصت، إلا أنَّ طبيعة الجرائم الإلكترونية، وجرائم التنصت بصفة خاصة تختلف عن بقية الجرائم التقليدية من حيث سرعة ارتكابها، وسهولة إزالة آثار الجريمة؛ ممَّا يجعل من الأهمية أنْ يتم توسيع دائرة الاختصاص في تلقي البلاغات في تلك الجرائم؛ لتشمل رجال الضبط الجنائي وغيرهم من الفنيين في الحاسب، والمختصين في الجرائم الإلكترونية؛ ليسهل مواكبة تطوُّر أساليب وصور جريمة التنصت الإلكتروني، خاصة أنَّ تلقي البلاغ يمكن أنْ يلحق الإجراء الذي يختص به رجل الضبط الجنائي دون غيره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كإجراء الكشف عن هُوِيَّة المجرم في جريمة التنصت الإلكتروني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B34072" w14:textId="77777777" w:rsidR="00454428" w:rsidRDefault="00C464EC" w:rsidP="004443D4">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p>
    <w:p w14:paraId="7EBC1925"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تتولى الإدارة المختصة مباشرة إجراءات ضبط المواقع الإلكترونية في شبكة الإنترنت العالمية عند وجود تَعَدٍّ على حق المؤلف وفق الإجراءات التالية</w:t>
      </w:r>
      <w:r>
        <w:rPr>
          <w:rStyle w:val="None"/>
          <w:rFonts w:ascii="Times New Roman" w:hAnsi="Times New Roman"/>
          <w:sz w:val="24"/>
          <w:szCs w:val="24"/>
          <w:rtl/>
          <w:lang w:val="ar-SA"/>
        </w:rPr>
        <w:t>:</w:t>
      </w:r>
    </w:p>
    <w:p w14:paraId="111DA870" w14:textId="77777777" w:rsidR="00454428" w:rsidRDefault="00C464EC">
      <w:pPr>
        <w:pStyle w:val="Body"/>
        <w:numPr>
          <w:ilvl w:val="0"/>
          <w:numId w:val="270"/>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القيام بإجراءات ضبط المخالفة عبر تحرير محضر ضبط يتضمن التالي</w:t>
      </w:r>
      <w:r>
        <w:rPr>
          <w:rStyle w:val="None"/>
          <w:rFonts w:ascii="Times New Roman" w:hAnsi="Times New Roman"/>
          <w:sz w:val="24"/>
          <w:szCs w:val="24"/>
          <w:rtl/>
          <w:lang w:val="ar-SA"/>
        </w:rPr>
        <w:t>:</w:t>
      </w:r>
    </w:p>
    <w:p w14:paraId="39D39E3D" w14:textId="77777777" w:rsidR="00454428" w:rsidRDefault="00C464EC">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سبب قيام عملية الضغط</w:t>
      </w:r>
      <w:r>
        <w:rPr>
          <w:rStyle w:val="None"/>
          <w:rFonts w:ascii="Times New Roman" w:hAnsi="Times New Roman"/>
          <w:sz w:val="24"/>
          <w:szCs w:val="24"/>
          <w:rtl/>
          <w:lang w:val="ar-SA"/>
        </w:rPr>
        <w:t>.</w:t>
      </w:r>
    </w:p>
    <w:p w14:paraId="066A63EE" w14:textId="77777777" w:rsidR="00454428" w:rsidRDefault="00C464EC">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النطاق أو عنوان بروتوكول الإنترنت للمواقع الإلكتروني</w:t>
      </w:r>
      <w:r>
        <w:rPr>
          <w:rStyle w:val="None"/>
          <w:rFonts w:ascii="Times New Roman" w:hAnsi="Times New Roman"/>
          <w:sz w:val="24"/>
          <w:szCs w:val="24"/>
          <w:rtl/>
          <w:lang w:val="ar-SA"/>
        </w:rPr>
        <w:t>.</w:t>
      </w:r>
    </w:p>
    <w:p w14:paraId="3A8845CD" w14:textId="77777777" w:rsidR="00454428" w:rsidRDefault="00C464EC">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مكان وقوع المخالفة داخل الموقع الإلكتروني</w:t>
      </w:r>
      <w:r>
        <w:rPr>
          <w:rStyle w:val="None"/>
          <w:rFonts w:ascii="Times New Roman" w:hAnsi="Times New Roman"/>
          <w:sz w:val="24"/>
          <w:szCs w:val="24"/>
          <w:rtl/>
          <w:lang w:val="ar-SA"/>
        </w:rPr>
        <w:t>.</w:t>
      </w:r>
    </w:p>
    <w:p w14:paraId="18EAA6FC" w14:textId="77777777" w:rsidR="00454428" w:rsidRDefault="00C464EC">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نوع المخالفة ووقائعها وأسبابها وظروفها</w:t>
      </w:r>
      <w:r>
        <w:rPr>
          <w:rStyle w:val="None"/>
          <w:rFonts w:ascii="Times New Roman" w:hAnsi="Times New Roman"/>
          <w:sz w:val="24"/>
          <w:szCs w:val="24"/>
          <w:rtl/>
          <w:lang w:val="ar-SA"/>
        </w:rPr>
        <w:t>.</w:t>
      </w:r>
    </w:p>
    <w:p w14:paraId="7D14DF65" w14:textId="77777777" w:rsidR="00454428" w:rsidRDefault="00C464EC">
      <w:pPr>
        <w:pStyle w:val="Body"/>
        <w:numPr>
          <w:ilvl w:val="0"/>
          <w:numId w:val="27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تُعِدُّ الإدارة المختصة تقريرًا فنيًا بشأن محضر الضبط، على أنْ يشمل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بحد أدنى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 المعلومات التالية</w:t>
      </w:r>
      <w:r>
        <w:rPr>
          <w:rStyle w:val="None"/>
          <w:rFonts w:ascii="Times New Roman" w:hAnsi="Times New Roman"/>
          <w:sz w:val="24"/>
          <w:szCs w:val="24"/>
          <w:rtl/>
          <w:lang w:val="ar-SA"/>
        </w:rPr>
        <w:t>:</w:t>
      </w:r>
    </w:p>
    <w:p w14:paraId="24CB1B55" w14:textId="77777777" w:rsidR="00454428" w:rsidRDefault="00C464EC">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المعلومات الأساسية لقيام عملية الضبط</w:t>
      </w:r>
      <w:r>
        <w:rPr>
          <w:rStyle w:val="None"/>
          <w:rFonts w:ascii="Times New Roman" w:hAnsi="Times New Roman"/>
          <w:sz w:val="24"/>
          <w:szCs w:val="24"/>
          <w:rtl/>
          <w:lang w:val="ar-SA"/>
        </w:rPr>
        <w:t>.</w:t>
      </w:r>
    </w:p>
    <w:p w14:paraId="1EE4461A" w14:textId="77777777" w:rsidR="00454428" w:rsidRDefault="00C464EC">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وصف تفصيلي عن الموقع الإلكتروني يتضمن نشاطه وخدماته</w:t>
      </w:r>
      <w:r>
        <w:rPr>
          <w:rStyle w:val="None"/>
          <w:rFonts w:ascii="Times New Roman" w:hAnsi="Times New Roman"/>
          <w:sz w:val="24"/>
          <w:szCs w:val="24"/>
          <w:rtl/>
          <w:lang w:val="ar-SA"/>
        </w:rPr>
        <w:t>.</w:t>
      </w:r>
    </w:p>
    <w:p w14:paraId="36620C18" w14:textId="77777777" w:rsidR="00454428" w:rsidRDefault="00C464EC">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المخالفات والاعتداءات التي يشتمل عليها الموقع الإلكتروني</w:t>
      </w:r>
      <w:r>
        <w:rPr>
          <w:rStyle w:val="None"/>
          <w:rFonts w:ascii="Times New Roman" w:hAnsi="Times New Roman"/>
          <w:sz w:val="24"/>
          <w:szCs w:val="24"/>
          <w:rtl/>
          <w:lang w:val="ar-SA"/>
        </w:rPr>
        <w:t>.</w:t>
      </w:r>
    </w:p>
    <w:p w14:paraId="6A76B47B" w14:textId="77777777" w:rsidR="00454428" w:rsidRDefault="00C464EC">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طريقة وأسلوب الاعتداء</w:t>
      </w:r>
      <w:r>
        <w:rPr>
          <w:rStyle w:val="None"/>
          <w:rFonts w:ascii="Times New Roman" w:hAnsi="Times New Roman"/>
          <w:sz w:val="24"/>
          <w:szCs w:val="24"/>
          <w:rtl/>
          <w:lang w:val="ar-SA"/>
        </w:rPr>
        <w:t>.</w:t>
      </w:r>
    </w:p>
    <w:p w14:paraId="66F6C2A0" w14:textId="77777777" w:rsidR="00454428" w:rsidRDefault="00C464EC">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أي معلومات أو حقائق فنية أخرى عن المصنف وطريقة الاعتداء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955C34" w14:textId="77777777" w:rsidR="00454428" w:rsidRDefault="00C464EC"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تعمل الإدارة المختصة على ضبط المواقع الإلكترونية المتعلقة بالتعدي على حق المؤلف وتتبع الإجراءات الأتية، ضبط المخالفة من خلال محضر رسمي يحتوي على اسم النطاق للمواقع الإلكتروني، وتحديد مكان وقوع المخالفة داخل الموقع الإلكتروني، ونوع المخالفة ووقائعها وأسببها، وتقوم الإدارة المختصة بكتابة تقرير فنيٍّ يحتوي على محضر الضبط، ويشمل ذلك التقرير ما يلي، المعلومات الأساسية لقيام عملية الضبط، ووصف تفصيلي عن المواقع الإلكترونية، وتحديد طريقة وأسلوب الاعتداء، وأي معلومات أو حقائق غنية أخرى عن المصنف وطريقة الاعتداء</w:t>
      </w:r>
      <w:r>
        <w:rPr>
          <w:rStyle w:val="None"/>
          <w:rFonts w:ascii="Times New Roman" w:hAnsi="Times New Roman"/>
          <w:sz w:val="24"/>
          <w:szCs w:val="24"/>
          <w:rtl/>
          <w:lang w:val="ar-SA"/>
        </w:rPr>
        <w:t>.</w:t>
      </w:r>
    </w:p>
    <w:p w14:paraId="33FEF5D5" w14:textId="77777777" w:rsidR="00454428" w:rsidRDefault="00C464EC"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يتبن أنَّ الضبط يقوم على جمع الأدلة والمعلومات الإلكترونية من خلال أجهزة والشبكات، مع الحرص على سلامة تلك المعلومات والبيانات التي تم ضبطها؛ حتى تكون صالحةً للاستخدام أمام الهيئة القضائية، ويعتبر الضبط الفني أداةً مهمةً جدًا؛ للحد من الجريمة الإلكترونية، والحفاظ على حقوق الغير من السرقة والأنشطة غير المشروعة على الإنترنت</w:t>
      </w:r>
      <w:r>
        <w:rPr>
          <w:rStyle w:val="None"/>
          <w:rFonts w:ascii="Times New Roman" w:hAnsi="Times New Roman"/>
          <w:sz w:val="24"/>
          <w:szCs w:val="24"/>
          <w:rtl/>
          <w:lang w:val="ar-SA"/>
        </w:rPr>
        <w:t xml:space="preserve">. </w:t>
      </w:r>
    </w:p>
    <w:p w14:paraId="76393FF2" w14:textId="77777777" w:rsidR="00454428" w:rsidRDefault="00C464EC" w:rsidP="004443D4">
      <w:pPr>
        <w:pStyle w:val="Body"/>
        <w:widowControl w:val="0"/>
        <w:spacing w:before="120" w:after="120" w:line="360" w:lineRule="auto"/>
        <w:jc w:val="both"/>
        <w:rPr>
          <w:rStyle w:val="None"/>
          <w:rFonts w:ascii="Times New Roman" w:eastAsia="Times New Roman" w:hAnsi="Times New Roman" w:cs="Times New Roman"/>
          <w:sz w:val="24"/>
          <w:szCs w:val="24"/>
          <w:rtl/>
          <w:lang w:val="ar-SA"/>
        </w:rPr>
      </w:pPr>
      <w:r w:rsidRPr="008036C1">
        <w:rPr>
          <w:rStyle w:val="None"/>
          <w:rFonts w:ascii="Arial Unicode MS" w:hAnsi="Arial Unicode MS" w:cs="Times New Roman" w:hint="cs"/>
          <w:b/>
          <w:bCs/>
          <w:sz w:val="24"/>
          <w:szCs w:val="24"/>
          <w:highlight w:val="yellow"/>
          <w:rtl/>
          <w:lang w:val="ar-SA"/>
        </w:rPr>
        <w:t xml:space="preserve">الاثبات الرقمي </w:t>
      </w:r>
      <w:r w:rsidRPr="008036C1">
        <w:rPr>
          <w:rStyle w:val="None"/>
          <w:rFonts w:ascii="Times New Roman" w:hAnsi="Times New Roman"/>
          <w:b/>
          <w:bCs/>
          <w:sz w:val="24"/>
          <w:szCs w:val="24"/>
          <w:highlight w:val="yellow"/>
          <w:rtl/>
          <w:lang w:val="ar-SA"/>
        </w:rPr>
        <w:t>(</w:t>
      </w:r>
      <w:r w:rsidRPr="008036C1">
        <w:rPr>
          <w:rStyle w:val="None"/>
          <w:rFonts w:ascii="Times New Roman" w:hAnsi="Times New Roman"/>
          <w:b/>
          <w:bCs/>
          <w:sz w:val="24"/>
          <w:szCs w:val="24"/>
          <w:highlight w:val="yellow"/>
        </w:rPr>
        <w:t>Blockchain</w:t>
      </w:r>
      <w:r w:rsidRPr="008036C1">
        <w:rPr>
          <w:rStyle w:val="None"/>
          <w:rFonts w:ascii="Times New Roman" w:hAnsi="Times New Roman"/>
          <w:b/>
          <w:bCs/>
          <w:sz w:val="24"/>
          <w:szCs w:val="24"/>
          <w:highlight w:val="yellow"/>
          <w:rtl/>
          <w:lang w:val="ar-SA"/>
        </w:rPr>
        <w:t>)</w:t>
      </w:r>
      <w:r>
        <w:rPr>
          <w:rStyle w:val="None"/>
          <w:rFonts w:ascii="Times New Roman" w:hAnsi="Times New Roman"/>
          <w:sz w:val="24"/>
          <w:szCs w:val="24"/>
          <w:rtl/>
          <w:lang w:val="ar-SA"/>
        </w:rPr>
        <w:t xml:space="preserve"> </w:t>
      </w:r>
    </w:p>
    <w:p w14:paraId="649E2EF8" w14:textId="4E2FBF68" w:rsidR="00454428" w:rsidRDefault="00C464EC"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تطور البيئة الرقمية، برزت تحديات جديدة في مجال الإثبات، حيث لم تعد وسائل الإثبات التقليدية كافية لإثبات الاعتداءات التي تقع على المصنفات الرقمية، الأمر الذي يستدعي تطوير وسائل إثبات تتناسب مع طبيعة هذه البيئة</w:t>
      </w:r>
      <w:r>
        <w:rPr>
          <w:rStyle w:val="None"/>
          <w:rFonts w:ascii="Times New Roman" w:hAnsi="Times New Roman"/>
          <w:sz w:val="24"/>
          <w:szCs w:val="24"/>
          <w:rtl/>
          <w:lang w:val="ar-SA"/>
        </w:rPr>
        <w:t>.</w:t>
      </w:r>
      <w:r w:rsidR="004443D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ومن بين التقنيات الحديثة التي يمكن الاستفادة منها تقنية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البلوكشين</w:t>
      </w:r>
      <w:r>
        <w:rPr>
          <w:rStyle w:val="None"/>
          <w:rFonts w:ascii="Times New Roman" w:hAnsi="Times New Roman"/>
          <w:sz w:val="24"/>
          <w:szCs w:val="24"/>
        </w:rPr>
        <w:t>”</w:t>
      </w:r>
      <w:r>
        <w:rPr>
          <w:rStyle w:val="None"/>
          <w:rFonts w:ascii="Arial Unicode MS" w:hAnsi="Arial Unicode MS" w:cs="Times New Roman" w:hint="cs"/>
          <w:sz w:val="24"/>
          <w:szCs w:val="24"/>
          <w:rtl/>
          <w:lang w:val="ar-SA"/>
        </w:rPr>
        <w:t>، والتي تعتمد على إنشاء سجل رقمي موزع يتميز بعدم القابلية للتعديل، مما يضمن موثوقية البيانات المسجلة</w:t>
      </w:r>
      <w:r>
        <w:rPr>
          <w:rStyle w:val="None"/>
          <w:rFonts w:ascii="Times New Roman" w:hAnsi="Times New Roman"/>
          <w:sz w:val="24"/>
          <w:szCs w:val="24"/>
          <w:rtl/>
        </w:rPr>
        <w:t>.</w:t>
      </w:r>
    </w:p>
    <w:p w14:paraId="6B3D977C" w14:textId="66AE0C80" w:rsidR="00454428" w:rsidRPr="004443D4" w:rsidRDefault="00C464EC" w:rsidP="004443D4">
      <w:pPr>
        <w:pStyle w:val="Body"/>
        <w:widowControl w:val="0"/>
        <w:spacing w:before="120" w:after="120" w:line="360" w:lineRule="auto"/>
        <w:ind w:firstLine="720"/>
        <w:jc w:val="both"/>
        <w:rPr>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وتكمن أهمية هذه التقنية في إمكانية استخدامها لتوثيق المصنفات الرقمية وتحديد تاريخ إنشائها، بما يسهم في إثبات ملكية المصنف وأسبقية الحق فيه</w:t>
      </w:r>
      <w:r>
        <w:rPr>
          <w:rStyle w:val="None"/>
          <w:rFonts w:ascii="Times New Roman" w:hAnsi="Times New Roman"/>
          <w:sz w:val="24"/>
          <w:szCs w:val="24"/>
          <w:rtl/>
        </w:rPr>
        <w:t>.</w:t>
      </w:r>
      <w:r w:rsidR="004443D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تتيح هذه التقنية تتبع تداول المصنفات الرقمية، مما يساعد في الكشف عن أي استخدام غير مشروع لها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إلا أن الاستفادة الفعلية من هذه التقنية تظل مرهونة بوجود إطار قانوني ينظم حجيتها في الإثبات، ويحدد مدى إمكانية الاعتماد عليها كدليل أمام القضاء، بما يضمن توظيفها بشكل فعال ضمن منظومة الإثبات الحديثة</w:t>
      </w:r>
      <w:r>
        <w:rPr>
          <w:rStyle w:val="None"/>
          <w:rFonts w:ascii="Times New Roman" w:hAnsi="Times New Roman"/>
          <w:sz w:val="24"/>
          <w:szCs w:val="24"/>
          <w:rtl/>
        </w:rPr>
        <w:t>.</w:t>
      </w:r>
      <w:r w:rsidR="004443D4">
        <w:rPr>
          <w:rStyle w:val="None"/>
          <w:rFonts w:ascii="Times New Roman" w:eastAsia="Times New Roman" w:hAnsi="Times New Roman" w:cs="Times New Roman" w:hint="cs"/>
          <w:sz w:val="24"/>
          <w:szCs w:val="24"/>
          <w:rtl/>
        </w:rPr>
        <w:t xml:space="preserve"> </w:t>
      </w:r>
      <w:r>
        <w:rPr>
          <w:rFonts w:ascii="Arial Unicode MS" w:hAnsi="Arial Unicode MS" w:cs="Times New Roman" w:hint="cs"/>
          <w:sz w:val="24"/>
          <w:szCs w:val="24"/>
          <w:rtl/>
          <w:lang w:val="ar-SA"/>
        </w:rPr>
        <w:t>في ضوء ما سبق من عرض لوسائل الإثبات في البيئة الرقمية، يبرز جانب مهم يتعلق بتهيئة القضاء للتعامل مع هذه الطبيعة الخاصة من المنازعات</w:t>
      </w:r>
      <w:r>
        <w:rPr>
          <w:rFonts w:ascii="Times New Roman" w:hAnsi="Times New Roman"/>
          <w:sz w:val="24"/>
          <w:szCs w:val="24"/>
          <w:rtl/>
          <w:lang w:val="ar-SA"/>
        </w:rPr>
        <w:t>.</w:t>
      </w:r>
    </w:p>
    <w:p w14:paraId="34E95367" w14:textId="24F97226" w:rsidR="00454428" w:rsidRDefault="00C464EC" w:rsidP="004443D4">
      <w:pPr>
        <w:pStyle w:val="Body"/>
        <w:widowControl w:val="0"/>
        <w:spacing w:before="120" w:after="120" w:line="360" w:lineRule="auto"/>
        <w:rPr>
          <w:rStyle w:val="None"/>
          <w:rFonts w:ascii="Times New Roman" w:eastAsia="Times New Roman" w:hAnsi="Times New Roman" w:cs="Times New Roman"/>
          <w:b/>
          <w:bCs/>
          <w:sz w:val="24"/>
          <w:szCs w:val="24"/>
          <w:rtl/>
          <w:lang w:val="ar-SA"/>
        </w:rPr>
      </w:pPr>
      <w:r>
        <w:rPr>
          <w:rFonts w:ascii="Times New Roman" w:hAnsi="Times New Roman" w:cs="Times New Roman" w:hint="cs"/>
          <w:b/>
          <w:bCs/>
          <w:sz w:val="24"/>
          <w:szCs w:val="24"/>
          <w:rtl/>
          <w:lang w:val="ar-SA"/>
        </w:rPr>
        <w:t xml:space="preserve"> دعم القضاة </w:t>
      </w:r>
      <w:r>
        <w:rPr>
          <w:rFonts w:ascii="Times New Roman" w:hAnsi="Times New Roman"/>
          <w:b/>
          <w:bCs/>
          <w:sz w:val="24"/>
          <w:szCs w:val="24"/>
          <w:rtl/>
          <w:lang w:val="ar-SA"/>
        </w:rPr>
        <w:t>(</w:t>
      </w:r>
      <w:r>
        <w:rPr>
          <w:rFonts w:ascii="Arial Unicode MS" w:hAnsi="Arial Unicode MS" w:cs="Times New Roman" w:hint="cs"/>
          <w:b/>
          <w:bCs/>
          <w:sz w:val="24"/>
          <w:szCs w:val="24"/>
          <w:rtl/>
          <w:lang w:val="ar-SA"/>
        </w:rPr>
        <w:t>تدريب القضاة</w:t>
      </w:r>
      <w:r>
        <w:rPr>
          <w:rFonts w:ascii="Times New Roman" w:hAnsi="Times New Roman"/>
          <w:b/>
          <w:bCs/>
          <w:sz w:val="24"/>
          <w:szCs w:val="24"/>
          <w:rtl/>
          <w:lang w:val="ar-SA"/>
        </w:rPr>
        <w:t xml:space="preserve">) </w:t>
      </w:r>
    </w:p>
    <w:p w14:paraId="60D7AF38" w14:textId="7C9644E9" w:rsidR="00454428" w:rsidRDefault="00C464EC" w:rsidP="004443D4">
      <w:pPr>
        <w:pStyle w:val="Body"/>
        <w:widowControl w:val="0"/>
        <w:spacing w:before="120" w:after="120" w:line="360" w:lineRule="auto"/>
        <w:ind w:firstLine="720"/>
        <w:jc w:val="both"/>
        <w:rPr>
          <w:rFonts w:ascii="Times New Roman" w:eastAsia="Times New Roman" w:hAnsi="Times New Roman" w:cs="Times New Roman"/>
          <w:sz w:val="24"/>
          <w:szCs w:val="24"/>
          <w:rtl/>
          <w:lang w:val="ar-SA"/>
        </w:rPr>
      </w:pPr>
      <w:r>
        <w:rPr>
          <w:rFonts w:ascii="Arial Unicode MS" w:hAnsi="Arial Unicode MS" w:cs="Times New Roman" w:hint="cs"/>
          <w:sz w:val="24"/>
          <w:szCs w:val="24"/>
          <w:rtl/>
          <w:lang w:val="ar-SA"/>
        </w:rPr>
        <w:t>تفرض المنازعات الرقمية تحديات خاصة على العمل القضائي، نظراً لارتباطها بعناصر تقنية معقدة، مما يتطلب تطوير قدرات القضاة في هذا المجال</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ولا يقتصر ذلك على التدريب النظري، بل يمتد ليشمل برامج تدريبية عملية تتناول كيفية التعامل مع الأدلة الرقمية، وفحص المواقع الإلكترونية، وتحليل البيانات، وفهم طبيعة الجرائم الإلكترونية</w:t>
      </w:r>
      <w:r>
        <w:rPr>
          <w:rFonts w:ascii="Times New Roman" w:hAnsi="Times New Roman"/>
          <w:sz w:val="24"/>
          <w:szCs w:val="24"/>
          <w:rtl/>
          <w:lang w:val="ar-SA"/>
        </w:rPr>
        <w:t>.</w:t>
      </w:r>
    </w:p>
    <w:p w14:paraId="719D4146" w14:textId="13916871" w:rsidR="00454428" w:rsidRPr="004443D4" w:rsidRDefault="00C464EC" w:rsidP="004443D4">
      <w:pPr>
        <w:pStyle w:val="Body"/>
        <w:widowControl w:val="0"/>
        <w:spacing w:before="120" w:after="120" w:line="360" w:lineRule="auto"/>
        <w:ind w:firstLine="720"/>
        <w:rPr>
          <w:rStyle w:val="None"/>
          <w:rFonts w:ascii="Times New Roman" w:eastAsia="Times New Roman" w:hAnsi="Times New Roman" w:cs="Times New Roman"/>
          <w:sz w:val="24"/>
          <w:szCs w:val="24"/>
          <w:rtl/>
          <w:lang w:val="ar-SA"/>
        </w:rPr>
      </w:pPr>
      <w:r>
        <w:rPr>
          <w:rFonts w:ascii="Arial Unicode MS" w:hAnsi="Arial Unicode MS" w:cs="Times New Roman" w:hint="cs"/>
          <w:sz w:val="24"/>
          <w:szCs w:val="24"/>
          <w:rtl/>
          <w:lang w:val="ar-SA"/>
        </w:rPr>
        <w:t>كما يبرز دور الخبرة الفنية في دعم القضاء، من خلال إنشاء وحدات متخصصة داخل المحاكم تتولى تحليل الأدلة الرقمية وتقديم الدعم الفني</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ويسهم ذلك في تعزيز كفاءة القضاء في التعامل مع المنازعات الرقمية وتحقيق العدالة بشكل أكثر دقة، ويُعد ذلك من المتطلبات الأساسية لتطوير المنظومة القضائية بما يتلاءم مع التحول الرقمي المتسارع</w:t>
      </w:r>
      <w:r>
        <w:rPr>
          <w:rFonts w:ascii="Times New Roman" w:hAnsi="Times New Roman"/>
          <w:sz w:val="24"/>
          <w:szCs w:val="24"/>
          <w:rtl/>
          <w:lang w:val="ar-SA"/>
        </w:rPr>
        <w:t>.</w:t>
      </w:r>
    </w:p>
    <w:p w14:paraId="38DE031B" w14:textId="6B6407D8" w:rsidR="00454428" w:rsidRDefault="00C464EC" w:rsidP="004443D4">
      <w:pPr>
        <w:pStyle w:val="Body"/>
        <w:widowControl w:val="0"/>
        <w:spacing w:before="120" w:after="120" w:line="360" w:lineRule="auto"/>
        <w:rPr>
          <w:rStyle w:val="None"/>
          <w:rFonts w:ascii="Times New Roman" w:eastAsia="Times New Roman" w:hAnsi="Times New Roman" w:cs="Times New Roman"/>
          <w:b/>
          <w:bCs/>
          <w:sz w:val="24"/>
          <w:szCs w:val="24"/>
          <w:rtl/>
          <w:lang w:val="ar-SA"/>
        </w:rPr>
      </w:pPr>
      <w:r>
        <w:rPr>
          <w:rStyle w:val="None"/>
          <w:rFonts w:ascii="Times New Roman" w:eastAsia="Times New Roman" w:hAnsi="Times New Roman" w:cs="Times New Roman"/>
          <w:b/>
          <w:bCs/>
          <w:sz w:val="24"/>
          <w:szCs w:val="24"/>
          <w:rtl/>
          <w:lang w:val="ar-SA"/>
        </w:rPr>
        <w:t xml:space="preserve">تحديد الاختصاص القضائي </w:t>
      </w:r>
    </w:p>
    <w:p w14:paraId="3C640E46" w14:textId="05CC4F63" w:rsidR="00454428" w:rsidRDefault="00C464EC" w:rsidP="004443D4">
      <w:pPr>
        <w:pStyle w:val="Body"/>
        <w:widowControl w:val="0"/>
        <w:spacing w:before="120" w:after="120" w:line="360" w:lineRule="auto"/>
        <w:ind w:firstLine="720"/>
        <w:jc w:val="both"/>
        <w:rPr>
          <w:rFonts w:ascii="Times New Roman" w:eastAsia="Times New Roman" w:hAnsi="Times New Roman" w:cs="Times New Roman"/>
          <w:sz w:val="24"/>
          <w:szCs w:val="24"/>
          <w:rtl/>
          <w:lang w:val="ar-SA"/>
        </w:rPr>
      </w:pPr>
      <w:r>
        <w:rPr>
          <w:rFonts w:ascii="Arial Unicode MS" w:hAnsi="Arial Unicode MS" w:cs="Times New Roman" w:hint="cs"/>
          <w:sz w:val="24"/>
          <w:szCs w:val="24"/>
          <w:rtl/>
          <w:lang w:val="ar-SA"/>
        </w:rPr>
        <w:t>تُعد مسألة تحديد الاختصاص القضائي في البيئة الرقمية من أبرز الإشكالات القانونية المعاصرة، وذلك نتيجة للطبيعة العابرة للحدود للفضاء الإلكتروني، حيث قد تتوزع عناصر العلاقة القانونية بين عدة دول، فيقع الفعل الضار في دولة، ويوجد الخادم الإلكتروني في دولة أخرى، بينما يقيم المتضرر في دولة ثالثة، الأمر الذي يؤدي إلى تداخل الاختصاصات القضائية وتعدد القوانين المحتملة التطبيق</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وفي هذا السياق، تختلف الأنظمة القانونية في تحديد الاختصاص القضائي، حيث تعتمد على معايير متعددة، من أهمها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معيار مكان وقوع الضرر، ومعيار مكان ارتكاب الفعل غير المشروع، ومعيار موطن المدعى عليه، إضافة إلى معيار موقع الخادم الإلكتروني</w:t>
      </w:r>
      <w:r>
        <w:rPr>
          <w:rFonts w:ascii="Times New Roman" w:hAnsi="Times New Roman"/>
          <w:sz w:val="24"/>
          <w:szCs w:val="24"/>
          <w:rtl/>
          <w:lang w:val="ar-SA"/>
        </w:rPr>
        <w:t>.</w:t>
      </w:r>
    </w:p>
    <w:p w14:paraId="13D85BBB" w14:textId="4BBD4941" w:rsidR="00454428" w:rsidRDefault="00C464EC"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tl/>
          <w:lang w:val="ar-SA"/>
        </w:rPr>
      </w:pPr>
      <w:r>
        <w:rPr>
          <w:rFonts w:ascii="Arial Unicode MS" w:hAnsi="Arial Unicode MS" w:cs="Times New Roman" w:hint="cs"/>
          <w:sz w:val="24"/>
          <w:szCs w:val="24"/>
          <w:rtl/>
          <w:lang w:val="ar-SA"/>
        </w:rPr>
        <w:t>إلا أن الاعتماد على موقع الخادم الإلكتروني لا يعد معياراً فعالاً في جميع الحالات، نظراً لإمكانية توزيع البيانات عبر خوادم متعددة في دول مختلفة، مما يحد من جدوى هذا المعيار</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في المقابل، يُعد معيار مكان تحقق الضرر من أكثر المعايير ملاءمة، لارتباطه المباشر بحقوق المتضرر، إذ يتيح له اللجوء إلى القضاء في الدولة التي تحقق فيها الضرر</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وبناءً على ذلك، يرى الباحث أهمية تبني معيار مرن يجمع بين مكان وقوع الضرر ومكان إقامة المدعى عليه، مع دعم التعاون القضائي الدولي، بما يحقق حماية فعالة للحقوق في البيئة الرقمية، كما يسهم هذا التوجه في الحد من تنازع الاختصاصات القضائية وتعزيز الاستقرار القانوني في المعاملات الرقمية</w:t>
      </w:r>
      <w:r>
        <w:rPr>
          <w:rFonts w:ascii="Times New Roman" w:hAnsi="Times New Roman"/>
          <w:sz w:val="24"/>
          <w:szCs w:val="24"/>
          <w:rtl/>
          <w:lang w:val="ar-SA"/>
        </w:rPr>
        <w:t>.</w:t>
      </w:r>
    </w:p>
    <w:p w14:paraId="1E5B07B9"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63" w:name="_Toc232260707"/>
      <w:r>
        <w:rPr>
          <w:rStyle w:val="None"/>
          <w:rFonts w:ascii="Arial Unicode MS" w:hAnsi="Arial Unicode MS" w:cs="Times New Roman" w:hint="cs"/>
          <w:b/>
          <w:bCs/>
          <w:sz w:val="28"/>
          <w:szCs w:val="28"/>
          <w:rtl/>
          <w:lang w:val="ar-SA"/>
        </w:rPr>
        <w:t>المبحث الثاني</w:t>
      </w:r>
      <w:bookmarkEnd w:id="263"/>
    </w:p>
    <w:p w14:paraId="2543FE5A"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64" w:name="_Toc232260708"/>
      <w:r>
        <w:rPr>
          <w:rStyle w:val="None"/>
          <w:rFonts w:ascii="Arial Unicode MS" w:hAnsi="Arial Unicode MS" w:cs="Times New Roman" w:hint="cs"/>
          <w:b/>
          <w:bCs/>
          <w:sz w:val="28"/>
          <w:szCs w:val="28"/>
          <w:rtl/>
          <w:lang w:val="ar-SA"/>
        </w:rPr>
        <w:t>الإجراءات التقنية لحماية الملكية الفكرية في البيئة الرقمية</w:t>
      </w:r>
      <w:bookmarkEnd w:id="264"/>
    </w:p>
    <w:p w14:paraId="3C819AB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الملكية الفكرية أحد الأسس الحيوية للاقتصاد المعرفي في العصر الحالي؛ حيث أصبحت الابتكارات والمصنفات الإبداعية تمثل رأس مال حقيقي للشركات والأفراد، ومع التقدم الكبير في تكنولوجيا المعلومات والاتصالات، زادت الحاجة إلى آليات فعَّالة؛ لحماية هذه الحقوق من الانتهاكات، سواء في البيئة التقليدية أو الرقمية</w:t>
      </w:r>
      <w:r>
        <w:rPr>
          <w:rStyle w:val="None"/>
          <w:rFonts w:ascii="Times New Roman" w:hAnsi="Times New Roman"/>
          <w:sz w:val="24"/>
          <w:szCs w:val="24"/>
          <w:rtl/>
          <w:lang w:val="ar-SA"/>
        </w:rPr>
        <w:t>.</w:t>
      </w:r>
    </w:p>
    <w:p w14:paraId="531A088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يظهر دور الرقابة على المواقع الإلكترونية كوسائل متقدمة لحماية المصنفات من القرصنة والنسخ غير المشروع، وضمان حقوق أصحابها في الاستغلال المشروع، كما تعمل هذه الإجراءات كخط دفاع أساسي مكمل للنظام القانوني؛ حيث لا تقتصر على الحماية النظرية فحسب، بل تقدم تطبيقات عملية تحد من الاعتداءات على حقوق الملكية الفكرية، وتشمل هذه الوسائل مجموعة متنوعة من الأدوات،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أنظمة التشفير، وإدارة الحقوق الرقمية، التي تهدف جميعها إلى منع النسخ غير المصرح به، وضمان وصول المصنفات للجمهور في إطار منظم، وسنتناول ذلك على النحو التالي</w:t>
      </w:r>
      <w:r>
        <w:rPr>
          <w:rStyle w:val="None"/>
          <w:rFonts w:ascii="Times New Roman" w:hAnsi="Times New Roman"/>
          <w:sz w:val="24"/>
          <w:szCs w:val="24"/>
          <w:rtl/>
          <w:lang w:val="ar-SA"/>
        </w:rPr>
        <w:t>:</w:t>
      </w:r>
    </w:p>
    <w:p w14:paraId="28C6AC11" w14:textId="77777777" w:rsidR="00454428" w:rsidRDefault="00C464EC">
      <w:pPr>
        <w:pStyle w:val="Body"/>
        <w:numPr>
          <w:ilvl w:val="0"/>
          <w:numId w:val="27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الرقابة على المواقع الإلكترونية</w:t>
      </w:r>
      <w:r>
        <w:rPr>
          <w:rStyle w:val="None"/>
          <w:rFonts w:ascii="Times New Roman" w:hAnsi="Times New Roman"/>
          <w:sz w:val="24"/>
          <w:szCs w:val="24"/>
          <w:rtl/>
          <w:lang w:val="ar-SA"/>
        </w:rPr>
        <w:t>.</w:t>
      </w:r>
    </w:p>
    <w:p w14:paraId="68C3CD68" w14:textId="77777777" w:rsidR="00454428" w:rsidRDefault="00C464EC">
      <w:pPr>
        <w:pStyle w:val="Body"/>
        <w:numPr>
          <w:ilvl w:val="0"/>
          <w:numId w:val="27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الحماية التكنولوجية للمنتجات الفكرية في البيئة الرقمية</w:t>
      </w:r>
      <w:r>
        <w:rPr>
          <w:rStyle w:val="None"/>
          <w:rFonts w:ascii="Times New Roman" w:hAnsi="Times New Roman"/>
          <w:sz w:val="24"/>
          <w:szCs w:val="24"/>
          <w:rtl/>
          <w:lang w:val="ar-SA"/>
        </w:rPr>
        <w:t>.</w:t>
      </w:r>
    </w:p>
    <w:p w14:paraId="3AAC08B1"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74D6361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58E59DE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7BE8159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1190234F"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61A75A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6C368215"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022945E9"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046BACE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6526B76C" w14:textId="77777777" w:rsidR="00454428" w:rsidRPr="00CC3E5F" w:rsidRDefault="00454428" w:rsidP="00C72BA8">
      <w:pPr>
        <w:pStyle w:val="Body"/>
        <w:spacing w:before="120" w:after="120" w:line="360" w:lineRule="auto"/>
        <w:jc w:val="both"/>
        <w:rPr>
          <w:rStyle w:val="None"/>
          <w:rFonts w:ascii="Times New Roman" w:eastAsia="Times New Roman" w:hAnsi="Times New Roman" w:cs="Times New Roman"/>
          <w:sz w:val="24"/>
          <w:szCs w:val="24"/>
        </w:rPr>
      </w:pPr>
    </w:p>
    <w:p w14:paraId="1475941E" w14:textId="77777777" w:rsidR="004443D4" w:rsidRDefault="004443D4">
      <w:pPr>
        <w:rPr>
          <w:rStyle w:val="None"/>
          <w:rFonts w:ascii="Arial Unicode MS" w:hAnsi="Arial Unicode MS"/>
          <w:b/>
          <w:bCs/>
          <w:color w:val="000000"/>
          <w:u w:color="000000"/>
          <w:rtl/>
          <w:lang w:val="ar-SA"/>
          <w14:textOutline w14:w="0" w14:cap="flat" w14:cmpd="sng" w14:algn="ctr">
            <w14:noFill/>
            <w14:prstDash w14:val="solid"/>
            <w14:bevel/>
          </w14:textOutline>
        </w:rPr>
      </w:pPr>
      <w:r>
        <w:rPr>
          <w:rStyle w:val="None"/>
          <w:rFonts w:ascii="Arial Unicode MS" w:hAnsi="Arial Unicode MS"/>
          <w:b/>
          <w:bCs/>
          <w:rtl/>
          <w:lang w:val="ar-SA"/>
        </w:rPr>
        <w:br w:type="page"/>
      </w:r>
    </w:p>
    <w:p w14:paraId="195787F9" w14:textId="2BDE9136"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65" w:name="_Toc232260709"/>
      <w:r>
        <w:rPr>
          <w:rStyle w:val="None"/>
          <w:rFonts w:ascii="Arial Unicode MS" w:hAnsi="Arial Unicode MS" w:cs="Times New Roman" w:hint="cs"/>
          <w:b/>
          <w:bCs/>
          <w:sz w:val="28"/>
          <w:szCs w:val="28"/>
          <w:rtl/>
          <w:lang w:val="ar-SA"/>
        </w:rPr>
        <w:t>المطلب الأول</w:t>
      </w:r>
      <w:bookmarkEnd w:id="265"/>
    </w:p>
    <w:p w14:paraId="4E0817D9"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66" w:name="_Toc232260710"/>
      <w:r>
        <w:rPr>
          <w:rStyle w:val="None"/>
          <w:rFonts w:ascii="Arial Unicode MS" w:hAnsi="Arial Unicode MS" w:cs="Times New Roman" w:hint="cs"/>
          <w:b/>
          <w:bCs/>
          <w:sz w:val="28"/>
          <w:szCs w:val="28"/>
          <w:rtl/>
          <w:lang w:val="ar-SA"/>
        </w:rPr>
        <w:t>الرقابة على المواقع الإلكترونية</w:t>
      </w:r>
      <w:bookmarkEnd w:id="266"/>
    </w:p>
    <w:p w14:paraId="2787C91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الرقابة على المواقع الإلكترونية أحد أهم القضايا التي فرضتها الثورة الرقمية؛ حيث أدى الانتشار الواسع للمحتوى عبر الإنترنت إلى ظهور تحديات تتعلق بحماية النظام العام، وصون القيم الاجتماعية، وحماية حقوق الملكية الفكرية من الانتهاك، فالفضاء الإلكتروني بميزاته من انفتاح وسرعة في نقل المعلومات، يتيح انتشار محتويات غير مشروعة أو مضللة؛ ممَّا يستدعي تدخل السلطات لوضع آليات للرقابة تحقق التوازن بين حرية التعبير من جهة، وحماية الحقوق والمصالح المشروعة من جهة أخرى</w:t>
      </w:r>
      <w:r>
        <w:rPr>
          <w:rStyle w:val="None"/>
          <w:rFonts w:ascii="Times New Roman" w:hAnsi="Times New Roman"/>
          <w:sz w:val="24"/>
          <w:szCs w:val="24"/>
          <w:rtl/>
          <w:lang w:val="ar-SA"/>
        </w:rPr>
        <w:t>.</w:t>
      </w:r>
    </w:p>
    <w:p w14:paraId="1F3AF284"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الرقابة الإلكترونية</w:t>
      </w:r>
      <w:r>
        <w:rPr>
          <w:rStyle w:val="None"/>
          <w:rFonts w:ascii="Times New Roman" w:hAnsi="Times New Roman"/>
          <w:b/>
          <w:bCs/>
          <w:sz w:val="28"/>
          <w:szCs w:val="28"/>
          <w:rtl/>
          <w:lang w:val="ar-SA"/>
        </w:rPr>
        <w:t>:</w:t>
      </w:r>
    </w:p>
    <w:p w14:paraId="3376866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مفهوم الرقابة الإلكترونية أحد الأسس المهمة في إدارة الفضاء الرقمي، وتنظيم استخدامه؛ حيث يشير إلى مجموعة التدابير والآليات المتبعة لمتابعة المحتوى المنشور عبر الوسائط الإلكترونية المختلفة؛ بهدف التحقق من توافقه مع القوانين والقيم المجتمعية، وتعتبر الرقابة الإلكترونية استجابةً طبيعية للتطوُّر التكنولوجي السريع الذي أدى إلى تدفق غير مسبوق للمعلومات</w:t>
      </w:r>
      <w:r>
        <w:rPr>
          <w:rStyle w:val="None"/>
          <w:rFonts w:ascii="Times New Roman" w:hAnsi="Times New Roman"/>
          <w:sz w:val="24"/>
          <w:szCs w:val="24"/>
          <w:rtl/>
          <w:lang w:val="ar-SA"/>
        </w:rPr>
        <w:t>.</w:t>
      </w:r>
    </w:p>
    <w:p w14:paraId="650EC5B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نتيجةً للتقنيات الرقمية في مجال المعلومات وسبل الاتصالات، وُجدت الوسائط الإلكترونية لتجوب المصنفات المحمية الفضاء الكوني، عبر مواقع الشبكة العنكبوتية، التي تتيح لمستخدميها تصفح المصنفات والاستفادة منها، غير أنَّ المستخدمين قد يتجاوزون هذا الغرض ويقومون بنسخ أية مصنفات منشورة إلكترونيًا سواء كانت نصوصًا مكتوبة، أو صورًا أو أفلامًا، وذلك لاستغلالها بشكل أو بآخر دون الحصول على تصريح مسبق من مؤلفي هذه المصنفات بوصفهم أصحاب الحقوق الأدبية والمالية عليها، فإنَّ في ذلك اعتداء على حقوقهم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4662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للرقابة الإلكترونية دورًا عظيمًا في حماية المصنفات الفكرية وتأمينها، ومنع الجرائم التي ترتكب في حق المؤلف، فالمواقع يستطيع الأفراد الوصول من خلالها إلى المؤلفات بسهولة وأمان، وتأمين تلك المواقع يجعل المؤلف مطمئن على حقه الفكري والإبداعي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38EFFF7"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الرقابة لغة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مصدر مشتق من الفعل رقب، فالراء، والقاف، والباء أصل واحد مطرد، يدل على انتصاب لمراعاة شيء، ومن ذلك الرقيب، وهو الحافظ، ويقال منه رقبت أرقب رقبة ورقبانًا، والمرقب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المكان العالي يقف عليه الناظر، 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الموكل في الميسر بالضريب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ورقيب القوم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حارسه، وهو الذي يشرف على مرقبة ليحرسهم، 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الحارس الحافظ، والرقابة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الرجل الوغد الذي يرقب للقوم رحلهم، إذا غابوا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FE89DC" w14:textId="77777777" w:rsidR="00454428" w:rsidRDefault="00C464EC" w:rsidP="004443D4">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المعنى المحوري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هو امتداد الشيء</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إلى أعلى</w:t>
      </w:r>
      <w:r>
        <w:rPr>
          <w:rStyle w:val="None"/>
          <w:rFonts w:ascii="Times New Roman" w:hAnsi="Times New Roman"/>
          <w:sz w:val="24"/>
          <w:szCs w:val="24"/>
        </w:rPr>
        <w:t> </w:t>
      </w:r>
      <w:r>
        <w:rPr>
          <w:rStyle w:val="None"/>
          <w:rFonts w:ascii="Arial Unicode MS" w:hAnsi="Arial Unicode MS" w:cs="Times New Roman" w:hint="cs"/>
          <w:sz w:val="24"/>
          <w:szCs w:val="24"/>
          <w:rtl/>
          <w:lang w:val="ar-SA"/>
        </w:rPr>
        <w:t xml:space="preserve">مع دقة نحافة أو انفراد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FBB9A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 جانب من الفقه الرقابة الإلكترونية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اعتماد النظام الرقابي على استخدام الحاسوب في ممارسة العملية الرقابية، وفق برامج حاسوبية تُعَدُّ خصيصًا لهذا الغرض، بما يحقق الاقتصاد في الجهد والوقت والتكلفة في الوصول إلى النتائج المطلوبة بأقل ما يمكن من الأخطار وبدقة أكبر، كما عُرِّفت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استخدام التكنولوجيا لمراقبة أداء الموظف والإشراف عليه وتقييمه بشكل مباشر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وتتم الرقابة الإلكترونية وفق أساليب متعددة منها مراقبة المكالمات الهاتفية ومراقبة الموظفين بأجهزة الفيديو، ومسح البريد الإلكتروني، وتتبع استخدام الإنترنت، كما توجد أنظمة يمكنها تتبع ضغطات المفاتيح على أطراف الكمبيوتر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0F0C3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أشار جانب من الفقه إلى تعريف الرقابة الإلكترونية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عملية تهدف إلى متابعة وملاحظة الأنشطة والمعاملات وأداء العاملين في المنظمة؛ بهدف كشف الانحرافات، من خلال استخدام الحاسوب والوسائل التكنولوجية الحديثة؛ لتحقيق الأهداف المنشودة؛ لإيجاد نظام عمل ذي ميزة تنافسية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55A408" w14:textId="6E904281"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وما أسفرت عنه من وسائط إلكترونية قد وفرت بيئةً ملائمةً لنشر المصنفات الفكرية وتداولها على نطاق عالمي، ومع ذلك فتحت هذه التغيرات المجال لصور متعددة من الاعتداءات على حقوق المؤلفين،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النسخ أو الاستخدام غير المشروع؛ لذا تبرز أهمية الرقابة الإلكترونية كأداة أساسية </w:t>
      </w:r>
      <w:r w:rsidR="0091199A">
        <w:rPr>
          <w:rStyle w:val="None"/>
          <w:rFonts w:ascii="Arial Unicode MS" w:hAnsi="Arial Unicode MS" w:cs="Times New Roman" w:hint="cs"/>
          <w:sz w:val="24"/>
          <w:szCs w:val="24"/>
          <w:rtl/>
          <w:lang w:val="ar-SA"/>
        </w:rPr>
        <w:t>ل</w:t>
      </w:r>
      <w:r>
        <w:rPr>
          <w:rStyle w:val="None"/>
          <w:rFonts w:ascii="Arial Unicode MS" w:hAnsi="Arial Unicode MS" w:cs="Times New Roman" w:hint="cs"/>
          <w:sz w:val="24"/>
          <w:szCs w:val="24"/>
          <w:rtl/>
          <w:lang w:val="ar-SA"/>
        </w:rPr>
        <w:t>لحقوق</w:t>
      </w:r>
      <w:r>
        <w:rPr>
          <w:rStyle w:val="None"/>
          <w:rFonts w:ascii="Times New Roman" w:hAnsi="Times New Roman"/>
          <w:sz w:val="24"/>
          <w:szCs w:val="24"/>
          <w:rtl/>
          <w:lang w:val="ar-SA"/>
        </w:rPr>
        <w:t>.</w:t>
      </w:r>
    </w:p>
    <w:p w14:paraId="1A8283E7"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أنواع المراقبة الإلكترونية</w:t>
      </w:r>
      <w:r>
        <w:rPr>
          <w:rStyle w:val="None"/>
          <w:rFonts w:ascii="Times New Roman" w:hAnsi="Times New Roman"/>
          <w:b/>
          <w:bCs/>
          <w:sz w:val="28"/>
          <w:szCs w:val="28"/>
          <w:rtl/>
          <w:lang w:val="ar-SA"/>
        </w:rPr>
        <w:t>:</w:t>
      </w:r>
    </w:p>
    <w:p w14:paraId="1C0AE2D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المراقبة الإلكترونية من أبرز الأدوات الحديثة التي نتجت عن التطوُّر التكنولوجي؛ حيث لم تَعُدْ تقتصر على شكل واحد، بل تنوعت صورها وفقًا للغرض المستهدف والوسائل المستخدمة، فقد تتخذ المراقبة طابعًا مسبقًا يهدف إلى الوقاية من الانتهاكات قبل حدوثها، أو طابعًا لاحقًا يركز على ضبط المخالفات بعد وقوعها، كما يمكن أنْ تكون المراقبة حكومية، تمارسها السلطات المختصة لحماية الأمن والحقوق، أو ذاتية يقوم بها الأفراد والمؤسسات لحماية مصالحهم الخاصة، ويعكس هذا التنوع مرونة الرقابة الإلكترونية وقدرتها على التكيف مع طبيعة الفضاء الرقمي، بما يضمن تحقيق التوازن بين الحرية المسئولة وحماية النظام القانوني والاجتماعي</w:t>
      </w:r>
      <w:r>
        <w:rPr>
          <w:rStyle w:val="None"/>
          <w:rFonts w:ascii="Times New Roman" w:hAnsi="Times New Roman"/>
          <w:sz w:val="24"/>
          <w:szCs w:val="24"/>
          <w:rtl/>
          <w:lang w:val="ar-SA"/>
        </w:rPr>
        <w:t>.</w:t>
      </w:r>
    </w:p>
    <w:p w14:paraId="68AD85EE" w14:textId="77777777" w:rsidR="00454428" w:rsidRDefault="00C464EC"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الرقابة الإلكترونية من الوسائل الحديثة التي ظهرت؛ نتيجةً للتقدم التكنولوجي المعاصر؛ حيث تلعب دورًا مهمًا وفعَّالًا في تحقيق أمن وسلامة المجتمع، وكشف الجرائم التي تقع فيه وتمس أفراده، وتؤثر بالسلب على تحقيق استقراره، وهذه الرقابة إنما تتم من خلال الوسائل المعاصرة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كالإنترنت، والكاميرات الرقمية، والهواتف الذكية، ويرها من الوسائل الأخرى التي يتم من خلالها تسجيل الأصوات، وحفظ الصور وتخزينها لحين استخدامها فيما أعدت لأجله، ولا يقتصر دورها على ذلك، بل يمتد ليكون دليلًا لإثبات الجرائم، ومنع المجرمين من ارتكاب جرائمهم التي تخل بالأمن العام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227E92" w14:textId="5E1AFCAA" w:rsidR="00454428" w:rsidRPr="00EC04AD" w:rsidRDefault="00C464EC">
      <w:pPr>
        <w:pStyle w:val="Body"/>
        <w:numPr>
          <w:ilvl w:val="0"/>
          <w:numId w:val="279"/>
        </w:numPr>
        <w:spacing w:before="120" w:after="120" w:line="360" w:lineRule="auto"/>
        <w:jc w:val="both"/>
        <w:rPr>
          <w:rStyle w:val="None"/>
          <w:rFonts w:ascii="Arial Unicode MS" w:hAnsi="Arial Unicode MS"/>
          <w:b/>
          <w:bCs/>
          <w:sz w:val="28"/>
          <w:szCs w:val="28"/>
          <w:rtl/>
          <w:lang w:val="ar-SA"/>
        </w:rPr>
      </w:pPr>
      <w:r>
        <w:rPr>
          <w:rStyle w:val="None"/>
          <w:rFonts w:ascii="Arial Unicode MS" w:hAnsi="Arial Unicode MS" w:cs="Times New Roman" w:hint="cs"/>
          <w:b/>
          <w:bCs/>
          <w:sz w:val="28"/>
          <w:szCs w:val="28"/>
          <w:rtl/>
          <w:lang w:val="ar-SA"/>
        </w:rPr>
        <w:t>الإنترنت</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يمثل الإنترنت بيئةً رقميةً شاملةً أوجدت أنماطًا جديدةً من المراقبة تتجاوز الحدود التقليدية؛ حيث أصبح وسيلةً رئيسيةً لمتابعة الأنشطة والتفاعلات البشرية في مختلف المجالات، كما يمكن من خلال الإنترنت نشر أعمال تخص بالملكية الفكرية وتكون هذه الأعمال محميةً، فلا بُدَّ أنْ تمتلك الجهات الرقابية القدرة على تتبع المحتوى المنشور، ورصد سلوكيات المستخدمين، وجمع البيانات المتعلقة بحركة الاتصال وتبادل المعلومات، ضد أي أعمال غير قانونية</w:t>
      </w:r>
      <w:r w:rsidRPr="00EC04AD">
        <w:rPr>
          <w:rStyle w:val="None"/>
          <w:rFonts w:ascii="Times New Roman" w:hAnsi="Times New Roman"/>
          <w:sz w:val="24"/>
          <w:szCs w:val="24"/>
          <w:rtl/>
          <w:lang w:val="ar-SA"/>
        </w:rPr>
        <w:t>.</w:t>
      </w:r>
    </w:p>
    <w:p w14:paraId="355E6AD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اهتمام الدول والمنظمات الحديثة ينصبُّ على حفظ الخصوصية لنقل البيانات عبر الإنترنت؛ وذلك لتوفير حماية لهذه البيانات وشبكة الاتصال، من خطر استخدامها غير المشروع؛ وذلك لأنَّ شبكة الإنترنت تصل جميع أنحاء العالم، فتقوم المنظمات الحديثة باتخاذ إجراءات وقائية لتأمين الحماية لمحتويات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35EF7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ساهمت شبكة الإنترنت بتغيير حياتنا اليومية بعدة طرق، وذلك على اعتبار أنَّ هذه الشبكة أضحت وسيلة الاتصال العالمية، فقد سمحت هذه الشبكة للأفراد والمؤسسات حول العالم بالمشاركة بالمعلومات، وبالتواصل، وتبادل رسائل البريد الإلكتروني؛ ممَّا جعل الاعتماد على شبكة الإنترنت أمرًا ملحًا ولا يمكن تفاديه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A2F3EA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الإنترنت بيئةً إلكترونيةً عالميةً يمكن من خلاله نشر أي محتويات أو بيانات؛ ممَّا يسهل وصول أي محتوى إلى الأفراد بشكل واسع، كما يمكن نسخ الأعمال المحمية بالملكية الفكرية، دون الحصول على إذن من صاحب الحق؛ لذا لا بُدَّ من وجود رقابة إلكترونية لمراقبة الأعمال غير المشروعة على شبكة الإنترنت</w:t>
      </w:r>
      <w:r>
        <w:rPr>
          <w:rStyle w:val="None"/>
          <w:rFonts w:ascii="Times New Roman" w:hAnsi="Times New Roman"/>
          <w:sz w:val="24"/>
          <w:szCs w:val="24"/>
          <w:rtl/>
          <w:lang w:val="ar-SA"/>
        </w:rPr>
        <w:t>.</w:t>
      </w:r>
    </w:p>
    <w:p w14:paraId="31846C6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لذا فإنَّ الرقابة الإلكترونية أكثر قدرةً على معرفة المتغيرات الخاصة بالتنفيذ أولًا بأول؛ من خلال رصدها الانحرافات خلال التنفيذ وإطلاع الإدارة عليها، ما يمكنها من التعرُّف على مواطن الخلل قبل وخلال التنفيذ، واتخاذ الإجراءات التصحيحية المناسبة، فتساهم شبكة الإنترنت التي تعمل كوسيلة آنية لنقل المعلومات بشكل فوري، على تجاوز فجوة الأداء المتوقعة؛ ممَّا يمكن الإدارة من معرفة التنفيذ، والاطلاع بالتالي على اتجاه النشاط خارج السيطرة؛ لاتخاذ ما يلزم من إجراءات التصحيح في نفس الوقت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46E231C" w14:textId="7DF0C77B" w:rsidR="00454428" w:rsidRDefault="00C464EC" w:rsidP="00EC04AD">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صمم الإنترنت كشبكة مفتوحة، تمتد في أنحاء العالم، تتدفق خلالها المعلومات في صيغة صريحة، فكل ما ينساب عبرها يمكن اعتراضه والاطلاع عليه بسهولة؛ لذا أصبح حفظ خصوصية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تناقلها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هاجسًا للدول والمنظمات المختلفة، وبهدف توفير الحماية للبيانات والأجهزة الملحقة وشبكات الاتصالات، من أخطار الاستخدام غير المشروع، فضلًا عن الإجراءات المتعلقة بالعاملين، توظف المنظمات المختلفة الإجراءات والتدابير الوقائية التي تهدف إلى حماية محتوى الإنترنت، وتختلف هذه الأساليب من منظمة لأخرى، بحسب طبيعة ونوع هذه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EC04AD">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الإنترنت رغم كونه وسيلةً عالميةً رائدةً لنقل المعلومات وتبادلها بشكل فوري، قد أوجد تحدياتٍ كبيرةً تتعلق بحماية الملكية الفكرية من أخطار الاستخدام غير المشروع، وهنا تبرز الرقابة الإلكترونية كأداة فعَّالة تمكن الدول والمنظمات من متابعة الأنشطة لحظة بلحظة، وكشف الانحرافات مبكرًا، واتخاذ الإجراءات التصحيحية المناسبة؛ لذا فإنَّ الجمع بين الإجراءات الوقائية والرقابة الإلكترونية يساهم في بناء بيئة رقمية أكثر أمانًا؛ لحماية حقوق الملكية الفكرية سواء للأفراد، أو المؤسسات من أي استغلال غير مشروع دون أخذ الأذن من صاحب الحق</w:t>
      </w:r>
      <w:r>
        <w:rPr>
          <w:rStyle w:val="None"/>
          <w:rFonts w:ascii="Times New Roman" w:hAnsi="Times New Roman"/>
          <w:sz w:val="24"/>
          <w:szCs w:val="24"/>
          <w:rtl/>
          <w:lang w:val="ar-SA"/>
        </w:rPr>
        <w:t>.</w:t>
      </w:r>
    </w:p>
    <w:p w14:paraId="40A307A6" w14:textId="5BB9875F" w:rsidR="00454428" w:rsidRPr="00EC04AD" w:rsidRDefault="00C464EC">
      <w:pPr>
        <w:pStyle w:val="Body"/>
        <w:numPr>
          <w:ilvl w:val="0"/>
          <w:numId w:val="279"/>
        </w:numPr>
        <w:spacing w:before="120" w:after="120" w:line="360" w:lineRule="auto"/>
        <w:jc w:val="both"/>
        <w:rPr>
          <w:rStyle w:val="None"/>
          <w:rFonts w:ascii="Arial Unicode MS" w:hAnsi="Arial Unicode MS"/>
          <w:b/>
          <w:bCs/>
          <w:sz w:val="28"/>
          <w:szCs w:val="28"/>
          <w:rtl/>
          <w:lang w:val="ar-SA"/>
        </w:rPr>
      </w:pPr>
      <w:r>
        <w:rPr>
          <w:rStyle w:val="None"/>
          <w:rFonts w:ascii="Arial Unicode MS" w:hAnsi="Arial Unicode MS" w:cs="Times New Roman" w:hint="cs"/>
          <w:b/>
          <w:bCs/>
          <w:sz w:val="28"/>
          <w:szCs w:val="28"/>
          <w:rtl/>
          <w:lang w:val="ar-SA"/>
        </w:rPr>
        <w:t>الكاميرا الرقمية</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أصبحت الكاميرات الرقمية من الأدوات التقنية الأساسية، التي تعتمد عليها الجهات المعنية؛ لتعزيز أساليب الرقابة الحديثة، فهي تتمتع بقدرة عالية على تسجيل الأحداث والأنشطة بدقة وموضوعية، وتخزينها في وسائط إلكترونية يمكن تحليلها ومراجعتها، وتتمثل أهميتها في كونها واحدةً من أشكال الرقابة الإلكترونية التي تساهم في حماية الحقوق، سواء من خلال كشف محاولات التلاعب بالبيانات أو توثيق الأدلة الرقمية عند حدوث اعتداءات على حقوق الملكية الفكرية</w:t>
      </w:r>
      <w:r w:rsidRPr="00EC04AD">
        <w:rPr>
          <w:rStyle w:val="None"/>
          <w:rFonts w:ascii="Times New Roman" w:hAnsi="Times New Roman"/>
          <w:sz w:val="24"/>
          <w:szCs w:val="24"/>
          <w:rtl/>
          <w:lang w:val="ar-SA"/>
        </w:rPr>
        <w:t>.</w:t>
      </w:r>
      <w:r w:rsidR="00EC04AD" w:rsidRPr="00EC04AD">
        <w:rPr>
          <w:rStyle w:val="None"/>
          <w:rFonts w:ascii="Times New Roman" w:eastAsia="Times New Roman" w:hAnsi="Times New Roman" w:cs="Times New Roman" w:hint="cs"/>
          <w:sz w:val="24"/>
          <w:szCs w:val="24"/>
          <w:rtl/>
        </w:rPr>
        <w:t xml:space="preserve"> </w:t>
      </w:r>
      <w:r w:rsidRPr="00EC04AD">
        <w:rPr>
          <w:rStyle w:val="None"/>
          <w:rFonts w:ascii="Arial Unicode MS" w:hAnsi="Arial Unicode MS" w:cs="Times New Roman" w:hint="cs"/>
          <w:sz w:val="24"/>
          <w:szCs w:val="24"/>
          <w:rtl/>
          <w:lang w:val="ar-SA"/>
        </w:rPr>
        <w:t xml:space="preserve">تستخدم كاميرا المراقبة والوسائل الإلكترونية الحديثة في التصوير والتسجيل؛ لإثبات تلك الجرائم والحد منها، ودفع العدوان الواقع على المجتمع؛ حيث يتم من خلال ذلك تغليب مصلحة المجتمع على مصلحة الأفراد، وذلك عند وجود دلائل كافية تدل على ارتكاب الجرائم من هؤلاء المجرمين؛ حتى لا يفلتون من العقاب؛ ولذا فإنَّ استخدامها وقصرها على الجرائم يعمل على تقليلها، وعدم وقوعها في المجتمع؛ لأنَّ المجرم إذا علم بأنَّه مراقب امتنع عن فعل تلك الجرائم، الأمر الذي يعمل على تقليلها، والبُعد عن الأخطار التي تهدد أمن وسلامة المجتمع </w:t>
      </w:r>
      <w:r w:rsidRPr="00EC04AD">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0"/>
      </w:r>
      <w:r w:rsidRPr="00EC04AD">
        <w:rPr>
          <w:rStyle w:val="None"/>
          <w:rFonts w:ascii="Times New Roman" w:hAnsi="Times New Roman"/>
          <w:sz w:val="24"/>
          <w:szCs w:val="24"/>
          <w:vertAlign w:val="superscript"/>
          <w:rtl/>
          <w:lang w:val="ar-SA"/>
        </w:rPr>
        <w:t>)</w:t>
      </w:r>
      <w:r w:rsidRPr="00EC04AD">
        <w:rPr>
          <w:rStyle w:val="None"/>
          <w:rFonts w:ascii="Times New Roman" w:hAnsi="Times New Roman"/>
          <w:sz w:val="24"/>
          <w:szCs w:val="24"/>
          <w:rtl/>
          <w:lang w:val="ar-SA"/>
        </w:rPr>
        <w:t>.</w:t>
      </w:r>
    </w:p>
    <w:p w14:paraId="4969430C"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استخدام الكاميرات الرقمية له أهمية بارزة في كافة مجالات الحياة، فعلى سبيل المثال</w:t>
      </w:r>
      <w:r>
        <w:rPr>
          <w:rStyle w:val="None"/>
          <w:rFonts w:ascii="Times New Roman" w:hAnsi="Times New Roman"/>
          <w:sz w:val="24"/>
          <w:szCs w:val="24"/>
          <w:rtl/>
          <w:lang w:val="ar-SA"/>
        </w:rPr>
        <w:t>:</w:t>
      </w:r>
    </w:p>
    <w:p w14:paraId="663DF1BB" w14:textId="77777777" w:rsidR="00454428" w:rsidRDefault="00C464EC">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يُعَدُّ التصوير عنصرًا مساعدًا لرجال الأمن في كشف بعض أنواع الجرائم وإقامة الدليل عليها، من خلال تمثيل الجاني للجريمة، والنحو الذي سلكه في تنفيذها</w:t>
      </w:r>
      <w:r>
        <w:rPr>
          <w:rStyle w:val="None"/>
          <w:rFonts w:ascii="Times New Roman" w:hAnsi="Times New Roman"/>
          <w:sz w:val="24"/>
          <w:szCs w:val="24"/>
          <w:rtl/>
          <w:lang w:val="ar-SA"/>
        </w:rPr>
        <w:t>.</w:t>
      </w:r>
    </w:p>
    <w:p w14:paraId="716F92FC" w14:textId="77777777" w:rsidR="00454428" w:rsidRDefault="00C464EC">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يعطي التصوير انطباع شامل لمسرح الجريمة؛ ممَّا يعمل على معالجة بعض الأخطاء البشرية، فيما قد يغفل عنه المحقق من ملاحظات، أو بيانات لها أهمية، أو يدور حولها بعض التساؤلات، فهو يعطي صورة طبق الأصل لمسرح الجريمة</w:t>
      </w:r>
      <w:r>
        <w:rPr>
          <w:rStyle w:val="None"/>
          <w:rFonts w:ascii="Times New Roman" w:hAnsi="Times New Roman"/>
          <w:sz w:val="24"/>
          <w:szCs w:val="24"/>
          <w:rtl/>
          <w:lang w:val="ar-SA"/>
        </w:rPr>
        <w:t>.</w:t>
      </w:r>
    </w:p>
    <w:p w14:paraId="6066B7A5" w14:textId="77777777" w:rsidR="00454428" w:rsidRDefault="00C464EC">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يمكن للتصوير أنْ ينشط ذاكرة الشاهد؛ لاستعادة التفاصيل المهمة التي قد ينساها عند الادلاء بشهادته</w:t>
      </w:r>
      <w:r>
        <w:rPr>
          <w:rStyle w:val="None"/>
          <w:rFonts w:ascii="Times New Roman" w:hAnsi="Times New Roman"/>
          <w:sz w:val="24"/>
          <w:szCs w:val="24"/>
          <w:rtl/>
          <w:lang w:val="ar-SA"/>
        </w:rPr>
        <w:t>.</w:t>
      </w:r>
    </w:p>
    <w:p w14:paraId="5FA01692" w14:textId="77777777" w:rsidR="00454428" w:rsidRDefault="00C464EC">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التصوير يمثل وسيلةً سريعةً ودقيقةً؛ لتوضيح وبيان واقع الحال، فهو يمنح صورة واقعية أو منظورة للمشاهد؛ ممَّا يقلل حاجة المحكمة إلى الانتقال إلى مسرح الجريمة</w:t>
      </w:r>
      <w:r>
        <w:rPr>
          <w:rStyle w:val="None"/>
          <w:rFonts w:ascii="Times New Roman" w:hAnsi="Times New Roman"/>
          <w:sz w:val="24"/>
          <w:szCs w:val="24"/>
          <w:rtl/>
          <w:lang w:val="ar-SA"/>
        </w:rPr>
        <w:t>.</w:t>
      </w:r>
    </w:p>
    <w:p w14:paraId="1B8ED2E1" w14:textId="77777777" w:rsidR="00454428" w:rsidRDefault="00C464EC">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يُعَدُّ التصوير الوسيلة المناسبة والأمثل لإعطاء أدق تفاصيل الحادث؛ حيث يتضمن عرضًا واقعيًا للجريمة دون أي مبالغة، أو تقليل عن جسامة 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3CD489" w14:textId="77777777" w:rsidR="00454428" w:rsidRDefault="00C464EC" w:rsidP="00EC04A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استخدام الكاميرات الرقمية والوسائل الإلكترونية الحديثة، لم يَعُدْ محصورًا في الجانب الأمني فقط، بل أصبح أداةً رقابيةً فعَّالةً تساهم في تحقيق العدالة وحماية حقوق الملكية الفكرية، فهي تتيح كشف الانتهاكات المتعلقة بالمصنفات، فتعتبر وسيلة ردع للانتهاكات المرتبطة بالملكية الفكرية، كما يمكن الاعتماد على الكاميرات والتقنيات المماثلة كوسائل إثبات في حالات الاعتداء على المصنفات أو سرقة الابتكارات الإلكترونية</w:t>
      </w:r>
      <w:r>
        <w:rPr>
          <w:rStyle w:val="None"/>
          <w:rFonts w:ascii="Times New Roman" w:hAnsi="Times New Roman"/>
          <w:sz w:val="24"/>
          <w:szCs w:val="24"/>
          <w:rtl/>
          <w:lang w:val="ar-SA"/>
        </w:rPr>
        <w:t xml:space="preserve">. </w:t>
      </w:r>
    </w:p>
    <w:p w14:paraId="25B25A99" w14:textId="77777777" w:rsidR="00454428" w:rsidRDefault="00C464EC" w:rsidP="00EC04AD">
      <w:pPr>
        <w:pStyle w:val="Body"/>
        <w:widowControl w:val="0"/>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مشروعية الرقابة الإلكترونية</w:t>
      </w:r>
      <w:r>
        <w:rPr>
          <w:rStyle w:val="None"/>
          <w:rFonts w:ascii="Times New Roman" w:hAnsi="Times New Roman"/>
          <w:b/>
          <w:bCs/>
          <w:sz w:val="28"/>
          <w:szCs w:val="28"/>
          <w:rtl/>
          <w:lang w:val="ar-SA"/>
        </w:rPr>
        <w:t>:</w:t>
      </w:r>
    </w:p>
    <w:p w14:paraId="464A565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الرقمية وتزايد استخدام التقنيات الحديثة في مجالات العمل والإدارة، أصبحت الحاجة المهمة لأدوات رقابية فعَّالة؛ لمواجهة التحديات الجديدة المتعلقة بحماية البيانات والمعلومات، ومن أبرز هذه الأدوات هي الرقابة الإلكترونية التي تعتمد على التكنولوجيا الحديثة؛ لضمان سلامة الأنشطة الإدارية وحماية الحقوق الفكرية، فتكتسب مشروعية هذه الرقابة أهميتها من قدرتها على حماية البيانات من التلاعب، 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حماية المصنفات الرقمية وبرامج الحاسوب من الاعتداءات غير المشروعة</w:t>
      </w:r>
      <w:r>
        <w:rPr>
          <w:rStyle w:val="None"/>
          <w:rFonts w:ascii="Times New Roman" w:hAnsi="Times New Roman"/>
          <w:sz w:val="24"/>
          <w:szCs w:val="24"/>
          <w:rtl/>
          <w:lang w:val="ar-SA"/>
        </w:rPr>
        <w:t>.</w:t>
      </w:r>
    </w:p>
    <w:p w14:paraId="2CDFB26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يساهم اعتماد الجهات المعنية بالحماية في نشاطها الرقابي على التقنيات والتكنولوجيا الحديثة في حماية البيانات والمعلومات الإدارية من التلاعب بها، وتغييرها من طرف الأفراد واستعمالها في أغراض شخصية،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الرقابة الإلكترونية كما تعمل باستخدام التكنولوجيات الحديثة على حماية البيانات والمعلومات الإدارية، فإنَّها تساعد أيضًا على اكتشاف مواطن الفساد ومعاقبة المتسببين فيه؛ حيث يتلازم وجود نظام الرقابة الإلكترونية الفعَّال في الإدارات العمومية، مع سرعة إنجاز المعاملات وزيادة دقة الأعمال المنجزة ورفع مستوى جودتها، وفي استغلال ساعات العمل في إنجاز المعاملات،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زيادة في مستوى انضباط العاملين، وسهولة اكتشاف الأخطاء والتجاوزات فور حدوثها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CD09D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معاهدة الويبو بشأن حق المؤلف بتوضيح الحماية على برامج الحاسوب، وذلك من خلال المادة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والتي نصت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تتمتع برامج الحاسوب بالحماية باعتبارها مصنفات أدبية بمعنى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وتطبق تلك الحماية على برامج الحاسوب أيًا كانت طريقة التعبير عنها أو شكلها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722B2E" w14:textId="3BBC0C98" w:rsidR="00454428" w:rsidRDefault="00C464EC" w:rsidP="00EC04A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المشرع الدولي قد حسم الجدل حول الطبيعة القانونية لبرامج الحاسوب؛ حيث أقر بأنَّها تتمتع بالحماية الكاملة كمصنفات أدبية، تمامًا كما هو الحال مع المصنفات المكتوبة الواردة في اتفاقية برن، وهذا يعني أنَّ الحماية لا تقتصر على الشكل التقليدي للكتابة أو أسلوب معين في التعبير، بل تمتد لتشمل أي صياغة أو لغة برمجية تعبر عن البرنامج،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يعتبر الاعتداء على برامج الحاسوب دون ترخيص انتهاكًا صريحًا لحقوق المؤلف؛ ممَّا يجعلها تحت مظلة الحماية القانونية الدولية، ويكفل للمؤلفين حقوقهم الأدبية والمالية على هذه البرامج</w:t>
      </w:r>
      <w:r>
        <w:rPr>
          <w:rStyle w:val="None"/>
          <w:rFonts w:ascii="Times New Roman" w:hAnsi="Times New Roman"/>
          <w:sz w:val="24"/>
          <w:szCs w:val="24"/>
          <w:rtl/>
          <w:lang w:val="ar-SA"/>
        </w:rPr>
        <w:t>.</w:t>
      </w:r>
      <w:r w:rsidR="00EC04AD">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وقد جاء المنظم السعودي بتوضيح الاعتداء على المصنفات الإلكترونية من خلال المادة </w:t>
      </w:r>
      <w:r>
        <w:rPr>
          <w:rStyle w:val="None"/>
          <w:rFonts w:ascii="Times New Roman" w:hAnsi="Times New Roman"/>
          <w:sz w:val="24"/>
          <w:szCs w:val="24"/>
          <w:rtl/>
          <w:lang w:val="ar-SA"/>
        </w:rPr>
        <w:t xml:space="preserve">(25)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74"/>
      </w:r>
      <w:r>
        <w:rPr>
          <w:rStyle w:val="None"/>
          <w:rFonts w:ascii="Times New Roman" w:hAnsi="Times New Roman"/>
          <w:sz w:val="24"/>
          <w:szCs w:val="24"/>
          <w:vertAlign w:val="superscript"/>
          <w:rtl/>
          <w:lang w:val="ar-SA"/>
        </w:rPr>
        <w:t>)</w:t>
      </w:r>
    </w:p>
    <w:p w14:paraId="39EF5DC7" w14:textId="77777777" w:rsidR="00454428" w:rsidRDefault="00C464EC">
      <w:pPr>
        <w:pStyle w:val="Body"/>
        <w:widowControl w:val="0"/>
        <w:numPr>
          <w:ilvl w:val="0"/>
          <w:numId w:val="318"/>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معتديًا على حق المؤلف كل مَن ثبت قيامه عبر المواقع الإلكترونية في شبكة الإنترنت العالمية بأي من المخالفات الواردة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2EED66F9" w14:textId="77777777" w:rsidR="00454428" w:rsidRDefault="00C464EC">
      <w:pPr>
        <w:pStyle w:val="Body"/>
        <w:widowControl w:val="0"/>
        <w:numPr>
          <w:ilvl w:val="0"/>
          <w:numId w:val="318"/>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تقع على المواقع الإلكترونية في شبكة الإنترنت العالمية مسئولية الاعتداء على حق المؤلف وفق المحتوى الداخلي للموقع، أو ما يبث من خلاله أو ما يرتبط عن طريقه برابط خارجي لموقع آخر تابع له في حالة ثبوت احتوائه على أي من المخالفات المنصوص عليها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2221713C" w14:textId="3472E6DE" w:rsidR="00454428" w:rsidRDefault="00C464EC" w:rsidP="004F34F3">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يتبين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أحاط المصنفات الإلكترونية بحماية خاصة من خلال إرساء مسئولية مزدوجة، فقد اعتبر كل من يقوم بالاعتداء المباشر على حقوق المؤلف عبر المواقع الإلكترونية مخالفًا للنظام، كما حمل هذه المواقع المسئولية عن المحتوى الذي تبثه أو ترتبط به، حتى لو كان عبر روابط خارجية،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وضع النص إطارًا رقابيًا محكمًا يضمن حماية المؤلفين من أشكال الاعتداءات الإلكترونية، ويؤكد في الوقت نفسه على دور المواقع في التحري والتدقيق بمحتواها؛ ممَّا يحقق التوازن بين الانفتاح الذي يتيحه الفضاء الرقمي، وحماية الحقوق الأدبية والمالية للمبدعين</w:t>
      </w:r>
      <w:r>
        <w:rPr>
          <w:rStyle w:val="None"/>
          <w:rFonts w:ascii="Times New Roman" w:hAnsi="Times New Roman"/>
          <w:sz w:val="24"/>
          <w:szCs w:val="24"/>
          <w:rtl/>
          <w:lang w:val="ar-SA"/>
        </w:rPr>
        <w:t>.</w:t>
      </w:r>
      <w:r w:rsidR="004F34F3">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مدى الالتزام بالرقابة من خلال المواقع الإلكترونية لحماية المصنفات الرقمية، واتخاذ إجراءات فعَّالة للتحقق من سلامة أي محتوى قبل بثه، ومتابعة ما يستجد بعد بث هذا المحتوى؛ لكي يتم تحقق التوازن بين حرية النشر وحماية الحقوق الفكرية</w:t>
      </w:r>
      <w:r>
        <w:rPr>
          <w:rStyle w:val="None"/>
          <w:rFonts w:ascii="Times New Roman" w:hAnsi="Times New Roman"/>
          <w:sz w:val="24"/>
          <w:szCs w:val="24"/>
          <w:rtl/>
          <w:lang w:val="ar-SA"/>
        </w:rPr>
        <w:t>.</w:t>
      </w:r>
    </w:p>
    <w:p w14:paraId="7801DEF0"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وسائل الرقابة على المواقع الإلكترونية</w:t>
      </w:r>
      <w:r>
        <w:rPr>
          <w:rStyle w:val="None"/>
          <w:rFonts w:ascii="Times New Roman" w:hAnsi="Times New Roman"/>
          <w:b/>
          <w:bCs/>
          <w:sz w:val="28"/>
          <w:szCs w:val="28"/>
          <w:rtl/>
          <w:lang w:val="ar-SA"/>
        </w:rPr>
        <w:t>:</w:t>
      </w:r>
    </w:p>
    <w:p w14:paraId="7AD29CB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تعددت الوسائل التي تستخدمها الدول والمؤسسات لممارسة الرقابة على المواقع الإلكترونية، في ظل التدفق الهائل للمعلومات وتنوع المحتوى المتداول في الفضاء الرقمي، فلم تقتصر الرقابة على المتابعة التقليدية، بل توسعت لتشمل أدوات تقنية متقدمة وأنظمة برمجية قادرة على رصد وتتبع الأنشطة الإلكترونية بشكل فوري، 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الأطر القانونية والتنظيمية التي تحدد معايير الاستخدام المشروع، وتنبع أهمية تلك الوسائل من قدرتها على الحد من الأخطار الناتجة عن انتشار المحتويات غير المشروعة أو المخالفة للقانون، مع السعي لتحقيق التوازن بين إتاحة المعلومات وحماية الحقوق والأمن العام في البيئة الرقمية</w:t>
      </w:r>
      <w:r>
        <w:rPr>
          <w:rStyle w:val="None"/>
          <w:rFonts w:ascii="Times New Roman" w:hAnsi="Times New Roman"/>
          <w:sz w:val="24"/>
          <w:szCs w:val="24"/>
          <w:rtl/>
          <w:lang w:val="ar-SA"/>
        </w:rPr>
        <w:t>.</w:t>
      </w:r>
    </w:p>
    <w:p w14:paraId="7CD2F829" w14:textId="77777777" w:rsidR="00454428" w:rsidRDefault="00C464EC" w:rsidP="004F34F3">
      <w:pPr>
        <w:pStyle w:val="Body"/>
        <w:widowControl w:val="0"/>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إنَّ استخدام وسائل المراقبة الإلكترونية الحديثة لأجل التوصل إلى الجناة، وكشف غموض الجرائم، والمحافظة على الأمن العام والخاص، أصبح من الأمور الضرورية التي لا غنى عنها في واقعنا المعاصر؛ ولخطورة هذا الأمر فلا بُدَّ أنْ تأذن به الجهات المختصة، أو الجهات القضائية؛ وذلك لأجل المحافظة على حقوق الآخرين، وعدم اختراق خصوصياتهم، أو مراقبتهم بدون حاجة، أو ضرورة تقتضي ذلك؛ ولضمان عدم التلاعب فيما تضمنه تلك الوسائل من أدلة أو معلومات، وكذا لأجل المحافظة على الأدلة ذاتها، وتجنب عدم استبعادها؛ بسبب عيب شاب طريقة جمعها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b/>
          <w:bCs/>
          <w:sz w:val="24"/>
          <w:szCs w:val="24"/>
          <w:rtl/>
          <w:lang w:val="ar-SA"/>
        </w:rPr>
        <w:t xml:space="preserve"> </w:t>
      </w:r>
    </w:p>
    <w:p w14:paraId="13007CAD" w14:textId="6E2D5A00" w:rsidR="00454428" w:rsidRPr="00EC04AD" w:rsidRDefault="00C464EC">
      <w:pPr>
        <w:pStyle w:val="Body"/>
        <w:numPr>
          <w:ilvl w:val="0"/>
          <w:numId w:val="283"/>
        </w:numPr>
        <w:spacing w:before="120" w:after="120" w:line="360" w:lineRule="auto"/>
        <w:jc w:val="both"/>
        <w:rPr>
          <w:rStyle w:val="None"/>
          <w:rFonts w:ascii="Arial Unicode MS" w:hAnsi="Arial Unicode MS"/>
          <w:b/>
          <w:bCs/>
          <w:sz w:val="28"/>
          <w:szCs w:val="28"/>
          <w:rtl/>
          <w:lang w:val="ar-SA"/>
        </w:rPr>
      </w:pPr>
      <w:r>
        <w:rPr>
          <w:rStyle w:val="None"/>
          <w:rFonts w:ascii="Arial Unicode MS" w:hAnsi="Arial Unicode MS" w:cs="Times New Roman" w:hint="cs"/>
          <w:b/>
          <w:bCs/>
          <w:sz w:val="28"/>
          <w:szCs w:val="28"/>
          <w:rtl/>
          <w:lang w:val="ar-SA"/>
        </w:rPr>
        <w:t>التشفير</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يُعَدُّ التشفير من أبرز الوسائل التقنية الحديثة، التي تعزّز حماية البيانات والمعلومات في البيئة الرقمية، فيعتمد التشفير على تحويل البيانات إلى رموز يصعب قراءاتها أو اختراقها إلا من قبل المصرح لهم بذلك، كما تزداد أهمية التشفير في ظل التطوُّرات السريعة في الجرائم الإلكترونية والاعتداءات على الحقوق الرقمية؛ حيث يوفر وسيلةً فعَّالةً؛ لضمان سرية المصنفات الرقمية، وحماية حقوق الملكية الفكرية من النسخ أو الاستغلال غير المشروع</w:t>
      </w:r>
      <w:r w:rsidRPr="00EC04AD">
        <w:rPr>
          <w:rStyle w:val="None"/>
          <w:rFonts w:ascii="Times New Roman" w:hAnsi="Times New Roman"/>
          <w:sz w:val="24"/>
          <w:szCs w:val="24"/>
          <w:rtl/>
          <w:lang w:val="ar-SA"/>
        </w:rPr>
        <w:t>.</w:t>
      </w:r>
    </w:p>
    <w:p w14:paraId="14BBC0C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commentRangeStart w:id="267"/>
      <w:r>
        <w:rPr>
          <w:rStyle w:val="None"/>
          <w:rFonts w:ascii="Arial Unicode MS" w:hAnsi="Arial Unicode MS" w:cs="Times New Roman" w:hint="cs"/>
          <w:sz w:val="24"/>
          <w:szCs w:val="24"/>
          <w:rtl/>
          <w:lang w:val="ar-SA"/>
        </w:rPr>
        <w:t>فالتشفير</w:t>
      </w:r>
      <w:commentRangeEnd w:id="267"/>
      <w:r w:rsidR="00D96269">
        <w:rPr>
          <w:rStyle w:val="CommentReference"/>
          <w:rFonts w:ascii="Times New Roman" w:hAnsi="Times New Roman" w:cs="Times New Roman"/>
          <w:color w:val="auto"/>
          <w:rtl/>
          <w14:textOutline w14:w="0" w14:cap="rnd" w14:cmpd="sng" w14:algn="ctr">
            <w14:noFill/>
            <w14:prstDash w14:val="solid"/>
            <w14:bevel/>
          </w14:textOutline>
        </w:rPr>
        <w:commentReference w:id="267"/>
      </w:r>
      <w:r>
        <w:rPr>
          <w:rStyle w:val="None"/>
          <w:rFonts w:ascii="Arial Unicode MS" w:hAnsi="Arial Unicode MS" w:cs="Times New Roman" w:hint="cs"/>
          <w:sz w:val="24"/>
          <w:szCs w:val="24"/>
          <w:rtl/>
          <w:lang w:val="ar-SA"/>
        </w:rPr>
        <w:t xml:space="preserve"> هو عملية تشكيل البيانات </w:t>
      </w:r>
      <w:r w:rsidRPr="00D96269">
        <w:rPr>
          <w:rStyle w:val="None"/>
          <w:rFonts w:ascii="Arial Unicode MS" w:hAnsi="Arial Unicode MS" w:cs="Times New Roman" w:hint="cs"/>
          <w:sz w:val="24"/>
          <w:szCs w:val="24"/>
          <w:highlight w:val="yellow"/>
          <w:rtl/>
          <w:lang w:val="ar-SA"/>
        </w:rPr>
        <w:t>باستخدام خوارزمية معينة تسمى المفتاح</w:t>
      </w:r>
      <w:r>
        <w:rPr>
          <w:rStyle w:val="None"/>
          <w:rFonts w:ascii="Arial Unicode MS" w:hAnsi="Arial Unicode MS" w:cs="Times New Roman" w:hint="cs"/>
          <w:sz w:val="24"/>
          <w:szCs w:val="24"/>
          <w:rtl/>
          <w:lang w:val="ar-SA"/>
        </w:rPr>
        <w:t xml:space="preserve">، تصبح بها غير قابلة للقراءة إلا بعد استخدام الخوارزمية لفكها، ويتم عادةً تشفير البيانات قبل إرسالها عبر الشبكة؛ وذلك لضمان سلامة وصولها دون التعرض لأي عمليات تجسس أو تحريف لمضمونها، على أنْ يتم فك الشفرة لدى مستقبل الرسالة باستخدام مفتاح فك الشفرة، وينبغي الحرص على تشفير البيانات عند الرغبة في إرسالها عبر الشبكة، وكلما كانت سرقة البيانات تمثل خطورةً كانت هناك ضرورة أكبر لتشفيرها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DF7A8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جاءت الهيئة الوطنية للأمن السيبراني بتوضيح ضوابط التشفير الذي يهدف إلى ضمان الاستخدام السليم والفعَّال؛ لحماية الأصول المعلوماتية الإلكترونية للجهة، وذلك وفقًا للسياسات والإجراءات التنظيمية للجهة، والمتطلبات التشريعية والتنظيمية ذات العلاقة، وقد أكدت على أهمية تحديد وتوثيق واعتماد متطلبات الأمن السيبراني للتشفير في الجهة، ويجب تطبيق متطلبات الأمن السيبراني للتشفير في الجهة، كما تجب مراجعة تطبيق متطلبات الأمن السيبراني للتشفير في الجهة دوريًا، بالإضافة إلى أنَّه يجب أنْ تعطى متطلبات الأمن السيبراني للتشفير بحد أدنى ما يلي</w:t>
      </w:r>
      <w:r>
        <w:rPr>
          <w:rStyle w:val="None"/>
          <w:rFonts w:ascii="Times New Roman" w:hAnsi="Times New Roman"/>
          <w:sz w:val="24"/>
          <w:szCs w:val="24"/>
          <w:rtl/>
          <w:lang w:val="ar-SA"/>
        </w:rPr>
        <w:t>:</w:t>
      </w:r>
    </w:p>
    <w:p w14:paraId="756C0D31" w14:textId="77777777" w:rsidR="00454428" w:rsidRDefault="00C464EC">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معايير حلول التشفير المعتمدة والقيود المطبقة عليها تقنيًا وتنظيميًا</w:t>
      </w:r>
      <w:r>
        <w:rPr>
          <w:rStyle w:val="None"/>
          <w:rFonts w:ascii="Times New Roman" w:hAnsi="Times New Roman"/>
          <w:sz w:val="24"/>
          <w:szCs w:val="24"/>
          <w:rtl/>
          <w:lang w:val="ar-SA"/>
        </w:rPr>
        <w:t>.</w:t>
      </w:r>
    </w:p>
    <w:p w14:paraId="4D42F894" w14:textId="77777777" w:rsidR="00454428" w:rsidRDefault="00C464EC">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الإدارة الآمنة لمفاتيح التشفير خلال عمليات دورة حياتها</w:t>
      </w:r>
      <w:r>
        <w:rPr>
          <w:rStyle w:val="None"/>
          <w:rFonts w:ascii="Times New Roman" w:hAnsi="Times New Roman"/>
          <w:sz w:val="24"/>
          <w:szCs w:val="24"/>
          <w:rtl/>
          <w:lang w:val="ar-SA"/>
        </w:rPr>
        <w:t>.</w:t>
      </w:r>
    </w:p>
    <w:p w14:paraId="1D472633" w14:textId="77777777" w:rsidR="00454428" w:rsidRDefault="00C464EC">
      <w:pPr>
        <w:pStyle w:val="Body"/>
        <w:numPr>
          <w:ilvl w:val="0"/>
          <w:numId w:val="285"/>
        </w:numPr>
        <w:spacing w:before="120" w:after="120" w:line="360" w:lineRule="auto"/>
        <w:jc w:val="both"/>
        <w:rPr>
          <w:rFonts w:ascii="Arial Unicode MS" w:hAnsi="Arial Unicode MS" w:cs="Times New Roman"/>
          <w:sz w:val="24"/>
          <w:szCs w:val="24"/>
          <w:rtl/>
          <w:lang w:val="ar-SA"/>
        </w:rPr>
      </w:pPr>
      <w:commentRangeStart w:id="268"/>
      <w:r>
        <w:rPr>
          <w:rStyle w:val="None"/>
          <w:rFonts w:ascii="Arial Unicode MS" w:hAnsi="Arial Unicode MS" w:cs="Times New Roman" w:hint="cs"/>
          <w:sz w:val="24"/>
          <w:szCs w:val="24"/>
          <w:rtl/>
          <w:lang w:val="ar-SA"/>
        </w:rPr>
        <w:t>تشفير</w:t>
      </w:r>
      <w:commentRangeEnd w:id="268"/>
      <w:r w:rsidR="00A12ECC">
        <w:rPr>
          <w:rStyle w:val="CommentReference"/>
          <w:rFonts w:ascii="Times New Roman" w:hAnsi="Times New Roman" w:cs="Times New Roman"/>
          <w:color w:val="auto"/>
          <w:rtl/>
          <w14:textOutline w14:w="0" w14:cap="rnd" w14:cmpd="sng" w14:algn="ctr">
            <w14:noFill/>
            <w14:prstDash w14:val="solid"/>
            <w14:bevel/>
          </w14:textOutline>
        </w:rPr>
        <w:commentReference w:id="268"/>
      </w:r>
      <w:r>
        <w:rPr>
          <w:rStyle w:val="None"/>
          <w:rFonts w:ascii="Arial Unicode MS" w:hAnsi="Arial Unicode MS" w:cs="Times New Roman" w:hint="cs"/>
          <w:sz w:val="24"/>
          <w:szCs w:val="24"/>
          <w:rtl/>
          <w:lang w:val="ar-SA"/>
        </w:rPr>
        <w:t xml:space="preserve"> البيانات أثناء النقل والتخزين بِناءً على </w:t>
      </w:r>
      <w:r w:rsidRPr="00A12ECC">
        <w:rPr>
          <w:rStyle w:val="None"/>
          <w:rFonts w:ascii="Arial Unicode MS" w:hAnsi="Arial Unicode MS" w:cs="Times New Roman" w:hint="cs"/>
          <w:sz w:val="24"/>
          <w:szCs w:val="24"/>
          <w:highlight w:val="yellow"/>
          <w:rtl/>
          <w:lang w:val="ar-SA"/>
        </w:rPr>
        <w:t>تصنيفها</w:t>
      </w:r>
      <w:r>
        <w:rPr>
          <w:rStyle w:val="None"/>
          <w:rFonts w:ascii="Arial Unicode MS" w:hAnsi="Arial Unicode MS" w:cs="Times New Roman" w:hint="cs"/>
          <w:sz w:val="24"/>
          <w:szCs w:val="24"/>
          <w:rtl/>
          <w:lang w:val="ar-SA"/>
        </w:rPr>
        <w:t xml:space="preserve"> وحسب المتطلبات التشريعية والتنظيمية ذات العلاقة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8DB32F3" w14:textId="15F0E4A4" w:rsidR="00454428" w:rsidRPr="00CC3E5F" w:rsidRDefault="00C464EC" w:rsidP="00CC3E5F">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قد وضعت إطارًا متكاملًا لضوابط التشفير، بوصفه أداةً أساسيةً لحماية الأصول المعلوماتية وضمان سرية البيانات وسلامتها، وقد أكدت على ضرورة توثيق واعتماد متطلبات التشفير في كل جهة، وتطبيقها بشكل مستمر مع مراجعتها دوريًا؛ لتحقيق الامتثال للمعايير التقنية والتنظيمية ذات الصلة، كما ركزت على عناصر جوهرية،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اعتماد حلول تشفير معترف بها، وضمان الإدارة الآمنة لمفاتيح التشفير طوال دورة حياتها، بالإضافة إلى تشفير البيانات أثناء نقلها أو تخزينها وفقًا لتصنيفها، وبذلك تعتبر هذه الضوابط خطوةً مهمةً لتعزيز الثقة الرقمية، وتوفير بيئة إلكترونية أكثر أمانًا</w:t>
      </w:r>
      <w:r>
        <w:rPr>
          <w:rStyle w:val="None"/>
          <w:rFonts w:ascii="Times New Roman" w:hAnsi="Times New Roman"/>
          <w:sz w:val="24"/>
          <w:szCs w:val="24"/>
          <w:rtl/>
          <w:lang w:val="ar-SA"/>
        </w:rPr>
        <w:t xml:space="preserve">. </w:t>
      </w:r>
    </w:p>
    <w:p w14:paraId="6C3E8378" w14:textId="77777777" w:rsidR="00454428" w:rsidRDefault="00C464EC" w:rsidP="0091199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من اتفاقية تريبس بتوضيح الحماية المخصصة للحاسب الآلي، وقد نصت على أنَّه</w:t>
      </w:r>
      <w:r>
        <w:rPr>
          <w:rStyle w:val="None"/>
          <w:rFonts w:ascii="Times New Roman" w:hAnsi="Times New Roman"/>
          <w:sz w:val="24"/>
          <w:szCs w:val="24"/>
          <w:rtl/>
          <w:lang w:val="ar-SA"/>
        </w:rPr>
        <w:t>:</w:t>
      </w:r>
    </w:p>
    <w:p w14:paraId="354681B7" w14:textId="77777777" w:rsidR="00454428" w:rsidRDefault="00C464EC">
      <w:pPr>
        <w:pStyle w:val="Body"/>
        <w:numPr>
          <w:ilvl w:val="0"/>
          <w:numId w:val="28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برامج الحاسب الآلي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الكمبيوتر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سواء أكانت بلُغة المصدر أو بلُغة الآلة، بالحماية باعتبارها أعمالًا أدبية بموجب معاهدة برن </w:t>
      </w:r>
      <w:r>
        <w:rPr>
          <w:rStyle w:val="None"/>
          <w:rFonts w:ascii="Times New Roman" w:hAnsi="Times New Roman"/>
          <w:sz w:val="24"/>
          <w:szCs w:val="24"/>
          <w:rtl/>
          <w:lang w:val="ar-SA"/>
        </w:rPr>
        <w:t>(1971).</w:t>
      </w:r>
    </w:p>
    <w:p w14:paraId="6CEB0B57" w14:textId="77777777" w:rsidR="00454428" w:rsidRDefault="00C464EC">
      <w:pPr>
        <w:pStyle w:val="Body"/>
        <w:numPr>
          <w:ilvl w:val="0"/>
          <w:numId w:val="28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بالحماية البيانات المجمعة أو المواد الأخرى، سواء أكانت في شكل مقروء آليًا أو أي شكل آخر، إذا كانت تشكل خلقًا فكريًا نتيجة انتقاء أو ترتيب محتوياتها، وهذه الحماية لا تشمل البيانات أو المواد في حد ذاتها، ولا تخل بحقوق المؤلف المتعلقة بهذه البيانات أو المواد ذاتها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EFBD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أنَّ اتفاقية تريبس قد أكدت على مكانة برامج الحاسوب كمصنفات أدبية تخضع للحماية، كما هو الحال مع المصنفات التقليدية؛ ممَّا يعزّز حماية المبدعين في المجال التقني والرقمي، كما وسعت الاتفاقية نطاق الحماية ليشمل قواعد البيانات والمجموعات المعلوماتية، متى توافرت فيها سمة الابتكار الفكري المبني على أسلوب الانتقاء أو الترتيب، وقد أكدت الاتفاقية أنَّ هذه الحماية لا تشمل البيانات أو المواد ذاتها في صورتها المجردة،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الاتفاقية قد أرست مبدأ التوازن بين حماية الجهد الفكري للمؤلف من جهة، وضمان وصول المعلومات إلى الجميع من جهة أخرى</w:t>
      </w:r>
      <w:r>
        <w:rPr>
          <w:rStyle w:val="None"/>
          <w:rFonts w:ascii="Times New Roman" w:hAnsi="Times New Roman"/>
          <w:sz w:val="24"/>
          <w:szCs w:val="24"/>
          <w:rtl/>
          <w:lang w:val="ar-SA"/>
        </w:rPr>
        <w:t>.</w:t>
      </w:r>
    </w:p>
    <w:p w14:paraId="7F8EBB50" w14:textId="72ED39C1" w:rsidR="00454428" w:rsidRPr="00EC04AD" w:rsidRDefault="00C464EC">
      <w:pPr>
        <w:pStyle w:val="Body"/>
        <w:numPr>
          <w:ilvl w:val="0"/>
          <w:numId w:val="288"/>
        </w:numPr>
        <w:spacing w:before="120" w:after="120" w:line="360" w:lineRule="auto"/>
        <w:jc w:val="both"/>
        <w:rPr>
          <w:rStyle w:val="None"/>
          <w:rFonts w:ascii="Arial Unicode MS" w:hAnsi="Arial Unicode MS"/>
          <w:sz w:val="28"/>
          <w:szCs w:val="28"/>
          <w:rtl/>
          <w:lang w:val="ar-SA"/>
        </w:rPr>
      </w:pPr>
      <w:r>
        <w:rPr>
          <w:rStyle w:val="None"/>
          <w:rFonts w:ascii="Arial Unicode MS" w:hAnsi="Arial Unicode MS" w:cs="Times New Roman" w:hint="cs"/>
          <w:b/>
          <w:bCs/>
          <w:sz w:val="28"/>
          <w:szCs w:val="28"/>
          <w:rtl/>
          <w:lang w:val="ar-SA"/>
        </w:rPr>
        <w:t>الهيئة الوطنية للأمن السيبراني كجهة مختصة</w:t>
      </w:r>
      <w:r>
        <w:rPr>
          <w:rStyle w:val="None"/>
          <w:rFonts w:ascii="Times New Roman" w:hAnsi="Times New Roman"/>
          <w:b/>
          <w:bCs/>
          <w:sz w:val="28"/>
          <w:szCs w:val="28"/>
          <w:rtl/>
          <w:lang w:val="ar-SA"/>
        </w:rPr>
        <w:t>:</w:t>
      </w:r>
      <w:r w:rsidR="00EC04AD">
        <w:rPr>
          <w:rFonts w:ascii="Arial Unicode MS" w:hAnsi="Arial Unicode MS" w:cs="Times New Roman" w:hint="cs"/>
          <w:sz w:val="28"/>
          <w:szCs w:val="28"/>
          <w:rtl/>
          <w:lang w:val="ar-SA"/>
        </w:rPr>
        <w:t xml:space="preserve"> </w:t>
      </w:r>
      <w:r w:rsidRPr="00EC04AD">
        <w:rPr>
          <w:rStyle w:val="None"/>
          <w:rFonts w:ascii="Arial Unicode MS" w:hAnsi="Arial Unicode MS" w:cs="Times New Roman" w:hint="cs"/>
          <w:sz w:val="24"/>
          <w:szCs w:val="24"/>
          <w:rtl/>
          <w:lang w:val="ar-SA"/>
        </w:rPr>
        <w:t>إنَّ الجهات المختصة بحماية الملكية الفكرية لها أهمية كبيرة؛ حيث إنَّها تمثل النقطة الأساسية في تطبيق القوانين والأنظمة المتعلقة بحقوق المؤلفين والمبدعين، فهي المسئولة عن الإشراف والرقابة، واتخاذ الإجراءات النظامية اللازمة؛ لمواجهة الاعتداءات على الحقوق الفكرية، سواء في صورها التقليدية أو في البيئة الرقمية، كما تلعب هذه الجهات دورًا تنظيميًا من خلال نشر الثقافة القانونية، وتعزيز الوعي المجتمعي بأهمية احترام الملكية الفكرية، بالإضافة إلى التنسيق مع المنظمات الدولية؛ لتحقيق حماية فعَّالة تتماشى مع المعايير العالمية</w:t>
      </w:r>
      <w:r w:rsidRPr="00EC04AD">
        <w:rPr>
          <w:rStyle w:val="None"/>
          <w:rFonts w:ascii="Times New Roman" w:hAnsi="Times New Roman"/>
          <w:sz w:val="24"/>
          <w:szCs w:val="24"/>
          <w:rtl/>
          <w:lang w:val="ar-SA"/>
        </w:rPr>
        <w:t>.</w:t>
      </w:r>
    </w:p>
    <w:p w14:paraId="21B4EC9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الهيئة الوطنية للأمن السيبراني إحدى أهم الجهات المعنية بحماية الفضاء الرقمي في المملكة العربية السعودية؛ حيث أنشئت لتكون المرجع الوطني المختص بكل ما يتعلق بشؤون الأمن السيبراني، وتكمن أهميتها في وضع السياسات والضوابط الاستراتيجية التي تهدف إلى حماية الشبكات، والأنظمة، والبيانات من التهديدات والهجمات الإلكترونية، بما يضمن تعزيز الثقة في البيئة الرقمية، ودعم التحول الرقمي الذي تشهده المملكة، كما تقوم الهيئة بدور محوري في توعية الجهات الحكومية والخاصة بأهمية الالتزامات بمتطلبات الأمن السيبراني، وتنسيق الجهود الوطنية؛ لضمان مستوى عالٍ من الحماية يواكب المعايير الدولية، ويعزّز حماية الأصول المعلوماتية</w:t>
      </w:r>
      <w:r>
        <w:rPr>
          <w:rStyle w:val="None"/>
          <w:rFonts w:ascii="Times New Roman" w:hAnsi="Times New Roman"/>
          <w:sz w:val="24"/>
          <w:szCs w:val="24"/>
          <w:rtl/>
          <w:lang w:val="ar-SA"/>
        </w:rPr>
        <w:t>.</w:t>
      </w:r>
    </w:p>
    <w:p w14:paraId="34E43DE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وجود بنية تحتية رقمية وطنية متكاملة وآمنة يُعَدُّ أحد أهم العوامل الممكنة للنمو والازدهار، إلا أنَّ التوسع في استخدام التقنية يفتح آفاقًا جديدةً للثغرات الأمنية والتهديدات الرقمية؛ ممَّا يستوجب تعزيز الأمن الرقمي لحماية الشبكات، وأنظمة تقنية المعلومات، وأنظمة التقنيات التشغيلية، ومكوناتها من أجهزة وبرمجيات، وحماية ما تقدمه من خدمات، وما تحويه من بيانات من أي اختراق، أو تعطيل، أو تعديل، أو دخول، أو استخدام أو استغلال، وكذلك لتعزيز الربط التقني الآمن بين الخدمات الحكومية، ودعم الاقتصاد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28C9B3"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تنظيم الهيئة الوطنية للأمن السيبراني بتوضيح مفهوم الأمن السيبراني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حماية الشبكات وأنظمة تقنية المعلومات، وأنظمة التقنيات التشغيلية، ومكوناتها من أجهزة وبرمجيات، وما تقدمه من خدمات، وما تحويه من بيانات، من أي اختراق، أو تعطيل، أو دخول، أو استخدام، أو استغلال غير مشروع، ويشمل مفهوم الأمن السيبراني أمن المعلومات، والأمن الإلكتروني، والأمن الرقمي ونحو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CEA3A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مفهوم الأمن السيبراني شامل وواسع؛ حيث يغطي مختلف عناصر البيئة الرقمية من شبكات، وأنظمة، وأجهزة، وبرمجيات، وبيانات؛ ممَّا يمنع أي استغلال أو استخدام غير مشروع لها، كما أنَّ هذا التعريف لا يقتصر على جوانب تقنية ضيقة، بل يمتد ليشمل أبعادًا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أمن المعلومات، والأمن الإلكتروني، والأمن الرقمي؛ ممَّا يعكس شمولية الرؤية الوطنية لحماية الفضاء السيبراني،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يشكل هذا المفهوم الأساس الذي تُبنى عليه السياسات والضوابط والإجراءات؛ لضمان تعزيز الثقة في البيئة الرقمية</w:t>
      </w:r>
      <w:r>
        <w:rPr>
          <w:rStyle w:val="None"/>
          <w:rFonts w:ascii="Times New Roman" w:hAnsi="Times New Roman"/>
          <w:sz w:val="24"/>
          <w:szCs w:val="24"/>
          <w:rtl/>
          <w:lang w:val="ar-SA"/>
        </w:rPr>
        <w:t xml:space="preserve">. </w:t>
      </w:r>
    </w:p>
    <w:p w14:paraId="18683BE5" w14:textId="77777777" w:rsidR="00454428" w:rsidRDefault="00C464EC" w:rsidP="0091199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من تنظيم الهيئة الوطنية للأمن السيبراني بتوضيح اختصاصات ومهمات الهيئة كالآتي</w:t>
      </w:r>
      <w:r>
        <w:rPr>
          <w:rStyle w:val="None"/>
          <w:rFonts w:ascii="Times New Roman" w:hAnsi="Times New Roman"/>
          <w:sz w:val="24"/>
          <w:szCs w:val="24"/>
          <w:rtl/>
          <w:lang w:val="ar-SA"/>
        </w:rPr>
        <w:t>:</w:t>
      </w:r>
    </w:p>
    <w:p w14:paraId="71CE82F3"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إعداد الاستراتيجية الوطنية للآمن السيبراني، والإشراف على تنفيذها، واقتراح تحديثها</w:t>
      </w:r>
      <w:r>
        <w:rPr>
          <w:rStyle w:val="None"/>
          <w:rFonts w:ascii="Times New Roman" w:hAnsi="Times New Roman"/>
          <w:sz w:val="24"/>
          <w:szCs w:val="24"/>
          <w:rtl/>
          <w:lang w:val="ar-SA"/>
        </w:rPr>
        <w:t>.</w:t>
      </w:r>
    </w:p>
    <w:p w14:paraId="1A829E6A"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وآليات الحوكمة، والأطر، والمعايير، والضوابط، والإرشادات المتعلقة بالأمن السيبراني، وتعميمها على الجهات ذات العلاقة، ومتابعة الالتزام بها، وتحديثها</w:t>
      </w:r>
      <w:r>
        <w:rPr>
          <w:rStyle w:val="None"/>
          <w:rFonts w:ascii="Times New Roman" w:hAnsi="Times New Roman"/>
          <w:sz w:val="24"/>
          <w:szCs w:val="24"/>
          <w:rtl/>
          <w:lang w:val="ar-SA"/>
        </w:rPr>
        <w:t>.</w:t>
      </w:r>
    </w:p>
    <w:p w14:paraId="2003FED5"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تصنيف وتحديد البنى التحتية الحساسة والجهات المرتبطة بها، وتحديد القطاعات والجهات ذات الأولية بالأمن السيبراني</w:t>
      </w:r>
      <w:r>
        <w:rPr>
          <w:rStyle w:val="None"/>
          <w:rFonts w:ascii="Times New Roman" w:hAnsi="Times New Roman"/>
          <w:sz w:val="24"/>
          <w:szCs w:val="24"/>
          <w:rtl/>
          <w:lang w:val="ar-SA"/>
        </w:rPr>
        <w:t>.</w:t>
      </w:r>
    </w:p>
    <w:p w14:paraId="5453FF4E"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إدارة الأخطار المتعلقة بالأمن السيبراني، ومتابعة الالتزام بها، وتحديثها</w:t>
      </w:r>
      <w:r>
        <w:rPr>
          <w:rStyle w:val="None"/>
          <w:rFonts w:ascii="Times New Roman" w:hAnsi="Times New Roman"/>
          <w:sz w:val="24"/>
          <w:szCs w:val="24"/>
          <w:rtl/>
          <w:lang w:val="ar-SA"/>
        </w:rPr>
        <w:t>.</w:t>
      </w:r>
    </w:p>
    <w:p w14:paraId="35762994"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إشعار الجهات المعنية بالأخطار والتهديدات ذات العلاقة بالأمن السيبراني</w:t>
      </w:r>
      <w:r>
        <w:rPr>
          <w:rStyle w:val="None"/>
          <w:rFonts w:ascii="Times New Roman" w:hAnsi="Times New Roman"/>
          <w:sz w:val="24"/>
          <w:szCs w:val="24"/>
          <w:rtl/>
          <w:lang w:val="ar-SA"/>
        </w:rPr>
        <w:t>.</w:t>
      </w:r>
    </w:p>
    <w:p w14:paraId="1125EF3B"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الاستجابة للحوادث المتعلقة بالأمن السيبراني، ومتابعة الالتزام بها، وتحديثها</w:t>
      </w:r>
      <w:r>
        <w:rPr>
          <w:rStyle w:val="None"/>
          <w:rFonts w:ascii="Times New Roman" w:hAnsi="Times New Roman"/>
          <w:sz w:val="24"/>
          <w:szCs w:val="24"/>
          <w:rtl/>
          <w:lang w:val="ar-SA"/>
        </w:rPr>
        <w:t>.</w:t>
      </w:r>
    </w:p>
    <w:p w14:paraId="77576373"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بناء مراكز العمليات الوطنية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وما في حكمها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بكافة أنواعها، بما في ذلك مراكز التحكم، والسيطرة، والاستطلاع، والرصد، وتبادل، وتحليل المعلومات، وكذلك بناء مراكز العمليات القطاعية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عند الحاجة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وبناء المنصات ذات العلاقة والإشراف عليها، وتشغيلها</w:t>
      </w:r>
      <w:r>
        <w:rPr>
          <w:rStyle w:val="None"/>
          <w:rFonts w:ascii="Times New Roman" w:hAnsi="Times New Roman"/>
          <w:sz w:val="24"/>
          <w:szCs w:val="24"/>
          <w:rtl/>
          <w:lang w:val="ar-SA"/>
        </w:rPr>
        <w:t>.</w:t>
      </w:r>
    </w:p>
    <w:p w14:paraId="6E8F3BBE"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القيام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بنفسها أو من خلال غيرها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بالأنشطة والعمليات المتعلقة بالأمن السيبراني</w:t>
      </w:r>
      <w:r>
        <w:rPr>
          <w:rStyle w:val="None"/>
          <w:rFonts w:ascii="Times New Roman" w:hAnsi="Times New Roman"/>
          <w:sz w:val="24"/>
          <w:szCs w:val="24"/>
          <w:rtl/>
          <w:lang w:val="ar-SA"/>
        </w:rPr>
        <w:t>.</w:t>
      </w:r>
    </w:p>
    <w:p w14:paraId="07F3E9BA"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تنظيم آلية مشاركة المعلومات والبيانات المرتبطة بالأمن السيبراني بين الجهات والقطاعات المختلفة في المملكة، والإشراف على ذلك</w:t>
      </w:r>
      <w:r>
        <w:rPr>
          <w:rStyle w:val="None"/>
          <w:rFonts w:ascii="Times New Roman" w:hAnsi="Times New Roman"/>
          <w:sz w:val="24"/>
          <w:szCs w:val="24"/>
          <w:rtl/>
          <w:lang w:val="ar-SA"/>
        </w:rPr>
        <w:t>.</w:t>
      </w:r>
    </w:p>
    <w:p w14:paraId="335A483B"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تقديم المساندة للجهات المختصة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 طلبها وفقًا للإمكانات المتاحة لدى الهيئة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خلال الاستدلال والتحقيق في الجرائم المتعلقة بالأمن السيبراني</w:t>
      </w:r>
      <w:r>
        <w:rPr>
          <w:rStyle w:val="None"/>
          <w:rFonts w:ascii="Times New Roman" w:hAnsi="Times New Roman"/>
          <w:sz w:val="24"/>
          <w:szCs w:val="24"/>
          <w:rtl/>
          <w:lang w:val="ar-SA"/>
        </w:rPr>
        <w:t>.</w:t>
      </w:r>
    </w:p>
    <w:p w14:paraId="2991DA19"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والمعايير الوطنية للتشفير، ومتابعة الالتزام بها، وتحديثها</w:t>
      </w:r>
      <w:r>
        <w:rPr>
          <w:rStyle w:val="None"/>
          <w:rFonts w:ascii="Times New Roman" w:hAnsi="Times New Roman"/>
          <w:sz w:val="24"/>
          <w:szCs w:val="24"/>
          <w:rtl/>
          <w:lang w:val="ar-SA"/>
        </w:rPr>
        <w:t>.</w:t>
      </w:r>
    </w:p>
    <w:p w14:paraId="5B68C2AD"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ما يلزم من معايير أو ضوابط للفسح والترخيص باستيراد وتصدير واستخدام الأجهزة والبرمجيات ذات الحساسية العالية للأمن السيبراني التي تحددها الهيئة، ومتابعة الالتزام بها، وتحديثها، وذلك دون إخلال بأي معايير أو ضوابط معتمدة لدى الجهات الأخرى ذات العلاقة</w:t>
      </w:r>
      <w:r>
        <w:rPr>
          <w:rStyle w:val="None"/>
          <w:rFonts w:ascii="Times New Roman" w:hAnsi="Times New Roman"/>
          <w:sz w:val="24"/>
          <w:szCs w:val="24"/>
          <w:rtl/>
          <w:lang w:val="ar-SA"/>
        </w:rPr>
        <w:t>.</w:t>
      </w:r>
    </w:p>
    <w:p w14:paraId="5D015FA1"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القدرات الوطنية المتخصصة في مجالات الأمن السيبراني، والمشاركة في إعداد البرامج التعليمية والتدريبية الخاصة بها، وإعداد المعايير المهنية والأطر وبناء وتنفيذ المقاييس والاختبارات القياسية المهنية ذات العلاقة</w:t>
      </w:r>
      <w:r>
        <w:rPr>
          <w:rStyle w:val="None"/>
          <w:rFonts w:ascii="Times New Roman" w:hAnsi="Times New Roman"/>
          <w:sz w:val="24"/>
          <w:szCs w:val="24"/>
          <w:rtl/>
          <w:lang w:val="ar-SA"/>
        </w:rPr>
        <w:t>.</w:t>
      </w:r>
    </w:p>
    <w:p w14:paraId="18BE9C33"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الترخيص بمزاولة الأفراد والجهات غير الحكومية للأنشطة والعمليات المتعلقة بالأمن السيبراني التي تحددها الهيئة</w:t>
      </w:r>
      <w:r>
        <w:rPr>
          <w:rStyle w:val="None"/>
          <w:rFonts w:ascii="Times New Roman" w:hAnsi="Times New Roman"/>
          <w:sz w:val="24"/>
          <w:szCs w:val="24"/>
          <w:rtl/>
          <w:lang w:val="ar-SA"/>
        </w:rPr>
        <w:t>.</w:t>
      </w:r>
    </w:p>
    <w:p w14:paraId="637B1BE7"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التواصل مع الجهات المماثلة خارج المملكة والجهات الخاصة لتبادل الخبرات وتأسيس آليات للتعاون والشراكة معها، وفقًا للإجراءات المتبعة</w:t>
      </w:r>
      <w:r>
        <w:rPr>
          <w:rStyle w:val="None"/>
          <w:rFonts w:ascii="Times New Roman" w:hAnsi="Times New Roman"/>
          <w:sz w:val="24"/>
          <w:szCs w:val="24"/>
          <w:rtl/>
          <w:lang w:val="ar-SA"/>
        </w:rPr>
        <w:t>.</w:t>
      </w:r>
    </w:p>
    <w:p w14:paraId="04EA62C9"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تبادل الإنتاج التقني والمعرفي وتبادل البيانات والمعلومات مع الجهات المماثلة خارج المملكة</w:t>
      </w:r>
      <w:r>
        <w:rPr>
          <w:rStyle w:val="None"/>
          <w:rFonts w:ascii="Times New Roman" w:hAnsi="Times New Roman"/>
          <w:sz w:val="24"/>
          <w:szCs w:val="24"/>
          <w:rtl/>
          <w:lang w:val="ar-SA"/>
        </w:rPr>
        <w:t>.</w:t>
      </w:r>
    </w:p>
    <w:p w14:paraId="2EDC61C8"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تمثيل المملكة في المنظمات، والهيئات، واللجان، والمجموعات الثنائية، والإقليمية، والدولية ذات الصلة، ومتابعة تنفيذ التزامات المملكة الدولية الخاصة بالأمن السيبراني</w:t>
      </w:r>
      <w:r>
        <w:rPr>
          <w:rStyle w:val="None"/>
          <w:rFonts w:ascii="Times New Roman" w:hAnsi="Times New Roman"/>
          <w:sz w:val="24"/>
          <w:szCs w:val="24"/>
          <w:rtl/>
          <w:lang w:val="ar-SA"/>
        </w:rPr>
        <w:t>.</w:t>
      </w:r>
    </w:p>
    <w:p w14:paraId="57A0084D"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رفع مستوى الوعي بالأمن السيبراني</w:t>
      </w:r>
      <w:r>
        <w:rPr>
          <w:rStyle w:val="None"/>
          <w:rFonts w:ascii="Times New Roman" w:hAnsi="Times New Roman"/>
          <w:sz w:val="24"/>
          <w:szCs w:val="24"/>
          <w:rtl/>
          <w:lang w:val="ar-SA"/>
        </w:rPr>
        <w:t>.</w:t>
      </w:r>
    </w:p>
    <w:p w14:paraId="316B593A"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تحفيز نمو قطاع الأمن السيبراني في المملكة، وتشجيع الابتكار والاستثمار فيه</w:t>
      </w:r>
      <w:r>
        <w:rPr>
          <w:rStyle w:val="None"/>
          <w:rFonts w:ascii="Times New Roman" w:hAnsi="Times New Roman"/>
          <w:sz w:val="24"/>
          <w:szCs w:val="24"/>
          <w:rtl/>
          <w:lang w:val="ar-SA"/>
        </w:rPr>
        <w:t>.</w:t>
      </w:r>
    </w:p>
    <w:p w14:paraId="7E4AC515"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إجراء الدراسات والبحوث والتطوير وعمليات التصنيع، ونقل التقنية وتطويرها، في الأمن السيبراني وما يرتبط به من مجالات</w:t>
      </w:r>
      <w:r>
        <w:rPr>
          <w:rStyle w:val="None"/>
          <w:rFonts w:ascii="Times New Roman" w:hAnsi="Times New Roman"/>
          <w:sz w:val="24"/>
          <w:szCs w:val="24"/>
          <w:rtl/>
          <w:lang w:val="ar-SA"/>
        </w:rPr>
        <w:t>.</w:t>
      </w:r>
    </w:p>
    <w:p w14:paraId="1577AD9E"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اقتراح آليات رفع كفاءة الإنفاق في مجالات الأمن السيبراني</w:t>
      </w:r>
      <w:r>
        <w:rPr>
          <w:rStyle w:val="None"/>
          <w:rFonts w:ascii="Times New Roman" w:hAnsi="Times New Roman"/>
          <w:sz w:val="24"/>
          <w:szCs w:val="24"/>
          <w:rtl/>
          <w:lang w:val="ar-SA"/>
        </w:rPr>
        <w:t>.</w:t>
      </w:r>
    </w:p>
    <w:p w14:paraId="2B4C4AF6"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تطوير مؤشرات قياس الأداء الخاصة بالأمن السيبراني، وإعداد التقارير الدورية حول حالة الأمن السيبراني في المملكة على المستويين الوطني والقطاعي</w:t>
      </w:r>
      <w:r>
        <w:rPr>
          <w:rStyle w:val="None"/>
          <w:rFonts w:ascii="Times New Roman" w:hAnsi="Times New Roman"/>
          <w:sz w:val="24"/>
          <w:szCs w:val="24"/>
          <w:rtl/>
          <w:lang w:val="ar-SA"/>
        </w:rPr>
        <w:t>.</w:t>
      </w:r>
    </w:p>
    <w:p w14:paraId="28E47A90" w14:textId="77777777" w:rsidR="00454428"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اقتراح إصدار وتعديل الأنظمة واللوائح والقرارات ذات الصلة بالأمن السيبراني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3EACD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تلعب دورًا استراتيجيًا وتنظيميًا يتمثل في إعداد الاستراتيجية الوطنية للأمن السيبراني، ووضع السياسات، والأطر، والمعايير، والضوابط ذات الصلة؛ ممَّا يضمن وجود إطار وطني موحد لحماية الفضاء السيبراني، وهذا يعكس توجه الدولة نحو بناء منظومة مؤسسية متكاملة قادرة على مواجهة التحديات الرقمية بأسس علمية ومنهجية</w:t>
      </w:r>
      <w:r>
        <w:rPr>
          <w:rStyle w:val="None"/>
          <w:rFonts w:ascii="Times New Roman" w:hAnsi="Times New Roman"/>
          <w:sz w:val="24"/>
          <w:szCs w:val="24"/>
          <w:rtl/>
          <w:lang w:val="ar-SA"/>
        </w:rPr>
        <w:t>.</w:t>
      </w:r>
    </w:p>
    <w:p w14:paraId="5F78CB3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الهيئة تظهر كجهة رقابية وتنفيذية، من خلال متابعة الالتزام بالسياسات والمعايير المعتمدة، وإشعار الجهات المعنية بالأخطار والتهديدات، بالإضافة إلى إنشاء مراكز العمليات الوطنية والقطاعية؛ لرصد التهديديات والاستجابة للحوادث الأمنية بشكل سريع، وهذا يعزّز قدرتها على مواجهة الأخطار السيبرانية بفاعلية، كما يتضح لنا الدور التنموي والمعرفي للهيئة؛ حيث أكدت على أهمية بناء القدرات الوطنية والمشاركة في البرامج التعليمية والتدريبية، وزيادة مستوى الوعي المجتمعي بالأمن السيبراني، كما أولت اهتمامًا خاصًا بتحفيز الاستثمار والابتكار في هذا المجال؛ ممَّا يساهم في تنمية قطاع الأمن السيبراني محليًا وتحقيق الاكتفاء الذاتي في التقنيات</w:t>
      </w:r>
      <w:r>
        <w:rPr>
          <w:rStyle w:val="None"/>
          <w:rFonts w:ascii="Times New Roman" w:hAnsi="Times New Roman"/>
          <w:sz w:val="24"/>
          <w:szCs w:val="24"/>
          <w:rtl/>
          <w:lang w:val="ar-SA"/>
        </w:rPr>
        <w:t>.</w:t>
      </w:r>
    </w:p>
    <w:p w14:paraId="38187EB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يتبين أنَّ للهيئة دورًا دوليًا وتعاونيًا يتمثل في تمثيل المملكة في المحافل الإقليمية والدولية ذات الصلة، وتبادل الخبرات والمعرفة مع الجهات المماثلة خارج المملكة، كما تهتم بمتابعة تنفيذ التزاماتها الدولية، وهذا يعكس إدراكًا بأنَّ الأمن السيبراني قضية عابرة للحدود، تتطلب تنسيقًا دوليًا وشراكاتٍ فعَّالةً</w:t>
      </w:r>
      <w:r>
        <w:rPr>
          <w:rStyle w:val="None"/>
          <w:rFonts w:ascii="Times New Roman" w:hAnsi="Times New Roman"/>
          <w:sz w:val="24"/>
          <w:szCs w:val="24"/>
          <w:rtl/>
          <w:lang w:val="ar-SA"/>
        </w:rPr>
        <w:t>.</w:t>
      </w:r>
    </w:p>
    <w:p w14:paraId="1EC1A0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0525D257"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17030F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6B6CD43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42FD1104"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69" w:name="_Toc232260711"/>
      <w:r>
        <w:rPr>
          <w:rStyle w:val="None"/>
          <w:rFonts w:ascii="Arial Unicode MS" w:hAnsi="Arial Unicode MS" w:cs="Times New Roman" w:hint="cs"/>
          <w:b/>
          <w:bCs/>
          <w:sz w:val="32"/>
          <w:szCs w:val="32"/>
          <w:rtl/>
          <w:lang w:val="ar-SA"/>
        </w:rPr>
        <w:t>المطلب الثاني</w:t>
      </w:r>
      <w:bookmarkEnd w:id="269"/>
    </w:p>
    <w:p w14:paraId="0182B0A1" w14:textId="77777777"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70" w:name="_Toc232260712"/>
      <w:r>
        <w:rPr>
          <w:rStyle w:val="None"/>
          <w:rFonts w:ascii="Arial Unicode MS" w:hAnsi="Arial Unicode MS" w:cs="Times New Roman" w:hint="cs"/>
          <w:b/>
          <w:bCs/>
          <w:sz w:val="32"/>
          <w:szCs w:val="32"/>
          <w:rtl/>
          <w:lang w:val="ar-SA"/>
        </w:rPr>
        <w:t>الحماية التكنولوجية للمنتجات الفكرية في البيئة الرقمية</w:t>
      </w:r>
      <w:bookmarkEnd w:id="270"/>
    </w:p>
    <w:p w14:paraId="0DBED2B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الحماية التكنولوجية للمنتجات الفكرية في البيئة الرقمية ضرورة ملحة في ظل الانتشار الواسع للتقنيات الحديثة؛ ممَّا يسهل نسخ، وتداول، واستغلال المصنفات بطرق غير قانونية، فمع تطوُّر البرمجيات والشبكات الرقمية ظهرت آليات تقنية متعددة تهدف إلى حماية حقوق المبدعين والمؤلفين، وتأتي هذه الحماية التكنولوجية كوسيلة تكميلية للتشريعات القانونية؛ حيث توفر ضمانًا عمليًا وسريعًا للحد من الانتهاكات</w:t>
      </w:r>
      <w:r>
        <w:rPr>
          <w:rStyle w:val="None"/>
          <w:rFonts w:ascii="Times New Roman" w:hAnsi="Times New Roman"/>
          <w:sz w:val="24"/>
          <w:szCs w:val="24"/>
          <w:rtl/>
          <w:lang w:val="ar-SA"/>
        </w:rPr>
        <w:t>.</w:t>
      </w:r>
    </w:p>
    <w:p w14:paraId="6CA6F2E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يُعَدُّ المصنف خلاصةَ جهد المؤلف وثمرة عمله، ومع التطوُّر السريع والمسامر في تكنولوجيا المعلومات ظهر ما يعرف باسم النشر الإلكتروني الذي أتاح النتاج الفكري البشري من خلال وسيط إلكتروني، أو على شبكة الإنترنت، ولكن مع تخوف الناشرين من نشر مصنفاتهم على شبكة الإنترنت؛ نتيجة عمليات النسخ غير المشروعة، أو القرصنة، أو السرقات، كل هذا جعل هناك إحجام بعض الشركات على الاستمرار في عمليات النشر الإلكتروني، وهو ما فرض ضرورة وضع تدابير إلكترونية لحماية هذه المصنفات البيئة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C24CC5" w14:textId="77777777"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استراتيجية الحماية بالتقنية</w:t>
      </w:r>
      <w:r>
        <w:rPr>
          <w:rStyle w:val="None"/>
          <w:rFonts w:ascii="Times New Roman" w:hAnsi="Times New Roman"/>
          <w:b/>
          <w:bCs/>
          <w:sz w:val="28"/>
          <w:szCs w:val="28"/>
          <w:rtl/>
          <w:lang w:val="ar-SA"/>
        </w:rPr>
        <w:t>:</w:t>
      </w:r>
    </w:p>
    <w:p w14:paraId="4807FB8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الاعتداء على الملكية الفكرية خطرًا عظيمًا على المستقبل الإبداعي للأمة؛ حيث إنَّه يحمل في طياته العديد من الجرائم، وهذا يؤدي بدوره إلى ضياع الحقوق، ولما كان للوسائل الإلكترونية الحديثة أهمية كبيرة في عملية الرقابة، والحماية، والحد من الجرائم، وكشفها عن طريق تسجيلها وإثباتها بالوسائل التقنية، فكان استخدامها أمرًا ضروريًا؛ لأنَّ المجرم أو المعتدي إذا علم أنَّ أفعاله مراقبة ومسجلة، فإنَّه لن يقدم على ارتكاب الجرائم خوفًا من الجزاء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4A5631" w14:textId="77777777" w:rsidR="00454428" w:rsidRDefault="00C464EC">
      <w:pPr>
        <w:pStyle w:val="Body"/>
        <w:numPr>
          <w:ilvl w:val="0"/>
          <w:numId w:val="292"/>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التوقيع الإلكتروني</w:t>
      </w:r>
      <w:r>
        <w:rPr>
          <w:rStyle w:val="None"/>
          <w:rFonts w:ascii="Times New Roman" w:hAnsi="Times New Roman"/>
          <w:b/>
          <w:bCs/>
          <w:sz w:val="28"/>
          <w:szCs w:val="28"/>
          <w:rtl/>
          <w:lang w:val="ar-SA"/>
        </w:rPr>
        <w:t>:</w:t>
      </w:r>
    </w:p>
    <w:p w14:paraId="3FD98D5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1C07C1">
        <w:rPr>
          <w:rStyle w:val="None"/>
          <w:rFonts w:ascii="Arial Unicode MS" w:hAnsi="Arial Unicode MS" w:cs="Times New Roman" w:hint="cs"/>
          <w:sz w:val="24"/>
          <w:szCs w:val="24"/>
          <w:highlight w:val="yellow"/>
          <w:rtl/>
          <w:lang w:val="ar-SA"/>
        </w:rPr>
        <w:t>يُعَدُّ التوقيع الإلكتروني من أبرز الوسائل التقنية الحديثة التي أصبحت ضروريةً في البيئة الرقمية؛ وذلك لما تقدمه من ضمانات تتعلق بسلامة المعاملات الإلكترونية، وحماية الحقوق المرتبطة بها، ولا يقتصر دوره على إثبات هُوِيَّة الأطراف المتعاملة، بل يمتد ليكون أداةً فعَّالةً في حماية الملكية الفكرية؛ حيث يتيح للمؤلفين والمبدعين توثيق نتاجهم وإثبات نسبته إليهم بوسيلة رقمية يصعب التلاعب بها أو إنكارها؛ لذا فإنَّ اعتماد التوقيع الإلكتروني في البيئة الرقمية يعزّز من الموثوقية في التعاملات المتعلقة بالمصنفات الفكرية</w:t>
      </w:r>
      <w:r w:rsidRPr="001C07C1">
        <w:rPr>
          <w:rStyle w:val="None"/>
          <w:rFonts w:ascii="Times New Roman" w:hAnsi="Times New Roman"/>
          <w:sz w:val="24"/>
          <w:szCs w:val="24"/>
          <w:highlight w:val="yellow"/>
          <w:rtl/>
          <w:lang w:val="ar-SA"/>
        </w:rPr>
        <w:t>.</w:t>
      </w:r>
    </w:p>
    <w:p w14:paraId="1343F537" w14:textId="7AEABC46" w:rsidR="00454428" w:rsidRDefault="00C464EC" w:rsidP="003C42D1">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التوقيع الإلكتروني مكافئًا رقميًّا للتوقيع بخط اليد، ويمكن استخدامه لمصادقة هُوِيَّة الموقع على المستند، وللتأكيد أيضًا على سلامة بيانات المستند، أو من أجل مصادقة هُوِيَّة المرسل والتأكد من أنَّ المحتوى الأصلي للرسالة أو المستند، الذي تم إرساله لم يتغير، ويستخدم لتوقيع وثيقة إلكترونيًا، ويمكن لأي شخص التحقق من التوقيع، وإذا تم استخدامه بشكل صحيح، فإنَّه يضمن سلامة الرسالة الموقعة وكذلك هُوِيَّة الموقع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3C42D1">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كما أنَّ أداة التوقيع الإلكتروني تفيد في توفير إمكانية توقيع المرسل للمعطيات المرسلة من قِبله إلكترونيًا؛ بحيث يمكن للمستقبل أنْ يتحقق من هذا التوقيع عند استلام المعطيات؛ للتأكد من هُوِيَّة المرسل، ويتم ذلك باستخدام المفتاح الخاص بالمرسل؛ لتوقيع المعطيات قبل إرسالها، ثم يستخدم المستقبل المفتاح العام للمرسل والمعروف من قبل الجميع للتحقق من صحة التوقيع على نفس المعطيات المستقبلة من قِبله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2303F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كما عرَّفه المنظم في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نظام التعاملات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بيانات إلكترونية مدرجة في تعامل إلكتروني، أو مضافة إليه، أو مرتبطة به منطقيًا تستخدم لإثبات هُوِيَّة الموقِّع وموافقته على التعامل الإلكتروني، واكتشاف أي تعديل يطرأ على هذا التعامل بعد التوقيع عليه</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أوضح المنظم السعودي التوقيع الإلكتروني في المادة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من ذات القانون، والتي نصت على</w:t>
      </w:r>
      <w:r>
        <w:rPr>
          <w:rStyle w:val="None"/>
          <w:rFonts w:ascii="Times New Roman" w:hAnsi="Times New Roman"/>
          <w:sz w:val="24"/>
          <w:szCs w:val="24"/>
          <w:rtl/>
          <w:lang w:val="ar-SA"/>
        </w:rPr>
        <w:t>:</w:t>
      </w:r>
    </w:p>
    <w:p w14:paraId="275CE5EA" w14:textId="77777777" w:rsidR="00454428" w:rsidRDefault="00C464EC">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اشترط وجود توقيع خطي على مستند، أو عقد، أو نحوه، فإنَّ 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يتم وفقًا لهذا النظام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يُعَدُّ مستوفيًا لهذا الشرط، ويُعَدُّ التوقيع الإلكتروني بمثابة التوقيع الخطي، وله الآثار النظامية نفسها</w:t>
      </w:r>
      <w:r>
        <w:rPr>
          <w:rStyle w:val="None"/>
          <w:rFonts w:ascii="Times New Roman" w:hAnsi="Times New Roman"/>
          <w:sz w:val="24"/>
          <w:szCs w:val="24"/>
          <w:rtl/>
          <w:lang w:val="ar-SA"/>
        </w:rPr>
        <w:t>.</w:t>
      </w:r>
    </w:p>
    <w:p w14:paraId="31ED1627" w14:textId="77777777" w:rsidR="00454428" w:rsidRDefault="00C464EC">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يرغب في إجراء توقيع إلكتروني أنْ يقوم بذلك وفقًا لأحكام هذا النظام والضوابط والشروط والمواصفات التي تحددها اللائحة</w:t>
      </w:r>
      <w:r>
        <w:rPr>
          <w:rStyle w:val="None"/>
          <w:rFonts w:ascii="Times New Roman" w:hAnsi="Times New Roman"/>
          <w:sz w:val="24"/>
          <w:szCs w:val="24"/>
          <w:rtl/>
          <w:lang w:val="ar-SA"/>
        </w:rPr>
        <w:t>.</w:t>
      </w:r>
    </w:p>
    <w:p w14:paraId="6F77AF54"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التوقيع الإلكتروني يعتبر وسيلةً مهمةً لحماية حقوق المؤلف والمبدعين عند تسجيل الأعمال، وإبرام العقود الخاصة بمحتوياتهم، أو عند تسجيل أعمالهم والحصول على الترخيص اللازم لحماية حقوقهم، فالتوقيع الإلكترونية له أهمية في الحفاظ على المحتويات من الانتهاكات غير القانونية</w:t>
      </w:r>
      <w:r>
        <w:rPr>
          <w:rStyle w:val="None"/>
          <w:rFonts w:ascii="Times New Roman" w:hAnsi="Times New Roman"/>
          <w:sz w:val="24"/>
          <w:szCs w:val="24"/>
          <w:rtl/>
          <w:lang w:val="ar-SA"/>
        </w:rPr>
        <w:t>.</w:t>
      </w:r>
    </w:p>
    <w:p w14:paraId="5D8E2F90" w14:textId="77777777" w:rsidR="00454428"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وعليه مراعاة ما يلي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86"/>
      </w:r>
      <w:r>
        <w:rPr>
          <w:rStyle w:val="None"/>
          <w:rFonts w:ascii="Times New Roman" w:hAnsi="Times New Roman"/>
          <w:sz w:val="24"/>
          <w:szCs w:val="24"/>
          <w:vertAlign w:val="superscript"/>
          <w:rtl/>
          <w:lang w:val="ar-SA"/>
        </w:rPr>
        <w:t>)</w:t>
      </w:r>
    </w:p>
    <w:p w14:paraId="32C37F81" w14:textId="77777777" w:rsidR="00454428" w:rsidRDefault="00C464EC">
      <w:pPr>
        <w:pStyle w:val="Body"/>
        <w:numPr>
          <w:ilvl w:val="0"/>
          <w:numId w:val="29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اتخاذ الاحتياطات اللازمة لتلافي أي استعمال غير مشروع لبيانات إنشاء التوقيع، أو المعدات الشخصية المتعلقة بتوقيعه، وتحدد اللائحة تلك الاحتياطات</w:t>
      </w:r>
      <w:r>
        <w:rPr>
          <w:rStyle w:val="None"/>
          <w:rFonts w:ascii="Times New Roman" w:hAnsi="Times New Roman"/>
          <w:sz w:val="24"/>
          <w:szCs w:val="24"/>
          <w:rtl/>
          <w:lang w:val="ar-SA"/>
        </w:rPr>
        <w:t>.</w:t>
      </w:r>
    </w:p>
    <w:p w14:paraId="10FF49B0" w14:textId="77777777" w:rsidR="00454428" w:rsidRDefault="00C464EC">
      <w:pPr>
        <w:pStyle w:val="Body"/>
        <w:numPr>
          <w:ilvl w:val="0"/>
          <w:numId w:val="29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إبلاغ مقدم خدمات التصديق عن أي استعمال غير مشروع؛ لتوقيعه وفق الإجراءات التي تحددها اللائحة</w:t>
      </w:r>
      <w:r>
        <w:rPr>
          <w:rStyle w:val="None"/>
          <w:rFonts w:ascii="Times New Roman" w:hAnsi="Times New Roman"/>
          <w:sz w:val="24"/>
          <w:szCs w:val="24"/>
          <w:rtl/>
          <w:lang w:val="ar-SA"/>
        </w:rPr>
        <w:t>.</w:t>
      </w:r>
    </w:p>
    <w:p w14:paraId="2CBAA5E7" w14:textId="77777777" w:rsidR="00454428" w:rsidRDefault="00C464EC">
      <w:pPr>
        <w:pStyle w:val="Body"/>
        <w:numPr>
          <w:ilvl w:val="0"/>
          <w:numId w:val="29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إذا قدم توقيع إلكتروني في أي إجراء شرعي أو نظامي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الأصل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ما لم يثبت العكس أو تتفق الأطراف المعنية على خلاف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صحة الأمور التالية</w:t>
      </w:r>
      <w:r>
        <w:rPr>
          <w:rStyle w:val="None"/>
          <w:rFonts w:ascii="Times New Roman" w:hAnsi="Times New Roman"/>
          <w:sz w:val="24"/>
          <w:szCs w:val="24"/>
          <w:rtl/>
          <w:lang w:val="ar-SA"/>
        </w:rPr>
        <w:t>:</w:t>
      </w:r>
    </w:p>
    <w:p w14:paraId="0F7B54E7" w14:textId="77777777" w:rsidR="00454428" w:rsidRDefault="00C464EC">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التوقيع الإلكتروني هو توقيع الشخص المحدد في شهادة التصديق الرقمي</w:t>
      </w:r>
      <w:r>
        <w:rPr>
          <w:rStyle w:val="None"/>
          <w:rFonts w:ascii="Times New Roman" w:hAnsi="Times New Roman"/>
          <w:sz w:val="24"/>
          <w:szCs w:val="24"/>
          <w:rtl/>
          <w:lang w:val="ar-SA"/>
        </w:rPr>
        <w:t>.</w:t>
      </w:r>
    </w:p>
    <w:p w14:paraId="0974EE6C" w14:textId="77777777" w:rsidR="00454428" w:rsidRDefault="00C464EC">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التوقيع الإلكتروني قد وضعه الشخص المحدد في شهادة التصديق الرقمي، وبحسب الغرض المحدد فيها</w:t>
      </w:r>
      <w:r>
        <w:rPr>
          <w:rStyle w:val="None"/>
          <w:rFonts w:ascii="Times New Roman" w:hAnsi="Times New Roman"/>
          <w:sz w:val="24"/>
          <w:szCs w:val="24"/>
          <w:rtl/>
          <w:lang w:val="ar-SA"/>
        </w:rPr>
        <w:t>.</w:t>
      </w:r>
    </w:p>
    <w:p w14:paraId="65EB6A2B" w14:textId="77777777" w:rsidR="00454428" w:rsidRDefault="00C464EC">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التعامل الإلكتروني لم يطرأ عليه تغيير منذ وضع التوقيع الإلكتروني عليه</w:t>
      </w:r>
      <w:r>
        <w:rPr>
          <w:rStyle w:val="None"/>
          <w:rFonts w:ascii="Times New Roman" w:hAnsi="Times New Roman"/>
          <w:sz w:val="24"/>
          <w:szCs w:val="24"/>
          <w:rtl/>
          <w:lang w:val="ar-SA"/>
        </w:rPr>
        <w:t>.</w:t>
      </w:r>
    </w:p>
    <w:p w14:paraId="1354D1A9" w14:textId="77777777" w:rsidR="00454428" w:rsidRDefault="00C464EC">
      <w:pPr>
        <w:pStyle w:val="Body"/>
        <w:numPr>
          <w:ilvl w:val="0"/>
          <w:numId w:val="30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لم يستوفِ التوقيع الإلكتروني الضوابط والشروط المحددة في هذا النظام واللائحة، فإنَّ أصل الصحة المقرر بموجب الفقرة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هذه المادة لا يقوم للتوقيع ولا للتعامل الإلكتروني المرتبط به</w:t>
      </w:r>
      <w:r>
        <w:rPr>
          <w:rStyle w:val="None"/>
          <w:rFonts w:ascii="Times New Roman" w:hAnsi="Times New Roman"/>
          <w:sz w:val="24"/>
          <w:szCs w:val="24"/>
          <w:rtl/>
          <w:lang w:val="ar-SA"/>
        </w:rPr>
        <w:t>.</w:t>
      </w:r>
    </w:p>
    <w:p w14:paraId="37FBF24C" w14:textId="77777777" w:rsidR="00454428" w:rsidRDefault="00C464EC">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يعتمد التوقيع الإلكتروني لشخص آخر أنْ يبذل العناية اللازمة للتحقق من صحة التوقيع، وذلك باستخدام بيانات التحقق من التوقيع الإلكتروني وفق الإجراءات التي تحددها اللائحة</w:t>
      </w:r>
      <w:r>
        <w:rPr>
          <w:rStyle w:val="None"/>
          <w:rFonts w:ascii="Times New Roman" w:hAnsi="Times New Roman"/>
          <w:sz w:val="24"/>
          <w:szCs w:val="24"/>
          <w:rtl/>
          <w:lang w:val="ar-SA"/>
        </w:rPr>
        <w:t>.</w:t>
      </w:r>
    </w:p>
    <w:p w14:paraId="578B266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التوقيع الإلكتروني يعتبر وسيلةً موثوقةً وفعَّالةً لإضافة الثقة في التعاملات الإلكترونية، بما يعادل التوقيع الخطي من حيث الآثار القانونية، فقد أوضح المنظم السعودي من خلال نظام التعاملات الإلكترونية إطارًا متكاملًا يضمن إثبات هُوِيَّة الموقِّع وحماية محتوى المستندات من أي تعديل أو تلاعب؛ ممَّا يعزّز موثوقية التعاملات الرقمية، كما يلعب التوقيع الإلكتروني دورًا مهمًّا في تعزيز الثقة في البيئة الرقمية، خاصةً في مجال حماية حقوق الملكية الفكرية، فهو يتيح لأصحاب الحقوق توثيق نتاجهم، وإثبات نسبته إليهم بوسيلة يصعب إنكارها أو التلاعب بها؛ ممَّا يساهم في حماية المصنفات الفكرية من الاعتداءات الرقمية</w:t>
      </w:r>
      <w:r>
        <w:rPr>
          <w:rStyle w:val="None"/>
          <w:rFonts w:ascii="Times New Roman" w:hAnsi="Times New Roman"/>
          <w:sz w:val="24"/>
          <w:szCs w:val="24"/>
          <w:rtl/>
          <w:lang w:val="ar-SA"/>
        </w:rPr>
        <w:t>.</w:t>
      </w:r>
    </w:p>
    <w:p w14:paraId="104CFA43" w14:textId="77777777" w:rsidR="00454428" w:rsidRDefault="00C464EC">
      <w:pPr>
        <w:pStyle w:val="Body"/>
        <w:numPr>
          <w:ilvl w:val="0"/>
          <w:numId w:val="301"/>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فرض أنظمة الحماية الرقمية</w:t>
      </w:r>
      <w:r>
        <w:rPr>
          <w:rStyle w:val="None"/>
          <w:rFonts w:ascii="Times New Roman" w:hAnsi="Times New Roman"/>
          <w:b/>
          <w:bCs/>
          <w:sz w:val="28"/>
          <w:szCs w:val="28"/>
          <w:rtl/>
          <w:lang w:val="ar-SA"/>
        </w:rPr>
        <w:t>:</w:t>
      </w:r>
    </w:p>
    <w:p w14:paraId="7429A2B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الكبير في استخدام التقنيات الرقمية إلى ظهور حاجة ملحة لفرض أنظمة حماية رقمية تضمن صون البيانات والمعلومات، ومنع التلاعب بها في بيئة يسهل فيها ارتكاب الانتهاجات، فتعمل هذه الأنظمة كأداة ردع؛ حيث تحمي المعاملات الإلكترونية والمنتجات الفكرية من الأخطار التي تهدد سلامتها</w:t>
      </w:r>
      <w:r>
        <w:rPr>
          <w:rStyle w:val="None"/>
          <w:rFonts w:ascii="Times New Roman" w:hAnsi="Times New Roman"/>
          <w:sz w:val="24"/>
          <w:szCs w:val="24"/>
          <w:rtl/>
          <w:lang w:val="ar-SA"/>
        </w:rPr>
        <w:t>.</w:t>
      </w:r>
    </w:p>
    <w:p w14:paraId="7C53760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عبارة عن أنظمة وبرمجيات معينة تعطي للجهاز الذي يقوم بتنزيل الملفات والمصنفات المحمية من الإنترنت كودًا أو كلمةَ سر معينة تسمح بفتح هذه المصنفات، والاستفادة منها فقط على الجهاز الذي تم تنزيلها عليه، وبذلك لا يتمكن المستفيد من نسخ هذه المصنفات التي قام بتنزيلها ولا حتى إعادة توزيعها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E3016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أنَّها تهدف إلى إعاقة الوصول إلى المصنف والاستفادة منه، إلا لمن يحمل ترخيصًا من صاحب الحق نفسه، وإحصاء جميع المصنفات المنشورة على الإنترنت ومعرفة تداولها ومراقبة كل نشر لها على أنْ يكون قد تم تسجيلها دوليًا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BA45D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أنَّها تهتم باستخدام شفرة معينة، أو كلمة مرور توضع على أجهزة الكمبيوتر، أو بعض البرامج فيه، أو على الأقراص المدمجة وما شابهها، أو على بعض مواقع الإنترنت، أو بعض الموضوعات والمصنفات المحمية فيها؛ لتَحُولَ بينَ، أو تعيق وصول أي شخص لها، أو للحيلولة دون إمكانية نسخ هذه البرامج أو المصنفات والتعديل عليها، أو توزيعها أو حتى طباعتها دون إذن من صاحب الحق فيها، بل تقوم بعض المواقع بإجراء استكمالي آخر، وهو نشر بيانات صاحب الحق بالمصنف الرقمي المحمي، وإتاحة الفرصة للراغبين بالاستفادة من هذه المصنفات المحمية بالاستفادة الفعلية منها بمقابل مادي معين يدفعه المستفيد بطرق عادية أو 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16B030"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تستخدم أنظمةً تتيح تتبُّع الأجهزة التي تم نقل مصنفات محمية لها بصورة غير شرعية أو تم من خلالها إحدى صور استغلال الملكية الفكرية، ومعرفة مزود الخدمة الرئيسي لهذا الجهاز؛ ممَّا يتيح ملاحقة صاحب هذا الجهاز قانونيًا، كما تمكن أنظمة التتبع هذه من تتبع جميع النسخ الإلكترونية لأي من المصنفات المحمية، ومتابعة ما يحدث لها من نسخ أو توزيع وما شابه ذلك؛ ممَّا يمكن صاحب الحق بهذه المصنفات المحمية من ملاحقة منتهكي حقوقه الفكرية، والتي تنتهك وتستغل أيًا من عناصر الملكية الفكرية، أو يتم من خلالها انتهاك عناصر الملكية الفكرية من خلال سماحها وسكوتها عن الاعتداءات التي تحدث لعناصر الملكية الفكرية في هذه المواقع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1DBCE"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مسئولية الاعتداء على حق المؤلف في البيئة الرقمية من خلال المادة </w:t>
      </w:r>
      <w:r>
        <w:rPr>
          <w:rStyle w:val="None"/>
          <w:rFonts w:ascii="Times New Roman" w:hAnsi="Times New Roman"/>
          <w:sz w:val="24"/>
          <w:szCs w:val="24"/>
          <w:rtl/>
          <w:lang w:val="ar-SA"/>
        </w:rPr>
        <w:t xml:space="preserve">(15)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يعتبر تعديًا على حق المؤلف كلُّ عمل يؤدي إلى إزالة المعلومات الاحترازية الأصلية من الأجهزة الإلكترونية التي أنتجها الصانع، ويُعَدُّ متعديًا كل من يسهل ذلك مثل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1"/>
      </w:r>
      <w:r>
        <w:rPr>
          <w:rStyle w:val="None"/>
          <w:rFonts w:ascii="Times New Roman" w:hAnsi="Times New Roman"/>
          <w:sz w:val="24"/>
          <w:szCs w:val="24"/>
          <w:vertAlign w:val="superscript"/>
          <w:rtl/>
          <w:lang w:val="ar-SA"/>
        </w:rPr>
        <w:t>)</w:t>
      </w:r>
    </w:p>
    <w:p w14:paraId="380A5AC8" w14:textId="77777777" w:rsidR="00454428" w:rsidRDefault="00C464EC">
      <w:pPr>
        <w:pStyle w:val="Body"/>
        <w:numPr>
          <w:ilvl w:val="0"/>
          <w:numId w:val="30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إزالة أو إضافة شرائح إلكترونية أو غير إلكترونية لأجهزة العرض والاستقبال بغرض تجاوز الحدود التي وضعها الصانع</w:t>
      </w:r>
      <w:r>
        <w:rPr>
          <w:rStyle w:val="None"/>
          <w:rFonts w:ascii="Times New Roman" w:hAnsi="Times New Roman"/>
          <w:sz w:val="24"/>
          <w:szCs w:val="24"/>
          <w:rtl/>
          <w:lang w:val="ar-SA"/>
        </w:rPr>
        <w:t>.</w:t>
      </w:r>
    </w:p>
    <w:p w14:paraId="0049888C" w14:textId="77777777" w:rsidR="00454428" w:rsidRDefault="00C464EC">
      <w:pPr>
        <w:pStyle w:val="Body"/>
        <w:numPr>
          <w:ilvl w:val="0"/>
          <w:numId w:val="30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إلغاء البرنامج الأصلي المشغل لأجهزة العرض، والاستقبال، وتحميلها ببرامج مزورة بغرض تجاوز الحدود والإمكانيات التي صمم لها الجهاز</w:t>
      </w:r>
      <w:r>
        <w:rPr>
          <w:rStyle w:val="None"/>
          <w:rFonts w:ascii="Times New Roman" w:hAnsi="Times New Roman"/>
          <w:sz w:val="24"/>
          <w:szCs w:val="24"/>
          <w:rtl/>
          <w:lang w:val="ar-SA"/>
        </w:rPr>
        <w:t>.</w:t>
      </w:r>
    </w:p>
    <w:p w14:paraId="200806D4" w14:textId="77777777" w:rsidR="00454428" w:rsidRDefault="00C464EC" w:rsidP="00C72BA8">
      <w:pPr>
        <w:pStyle w:val="Body"/>
        <w:spacing w:before="120" w:after="120" w:line="360" w:lineRule="auto"/>
        <w:ind w:left="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اتبع نهجًا صارمًا في مواجهة أي محاولة للتحايل على الأنظمة التقنية الموضوعة لحماية المصنفات الرقمية؛ حيث اعتبر أنَّ إزالة أو تعديل المعلومات الاحترازية الأصلية أو استبدال البرامج المشغلة للأجهزة يُعَدُّ تعديًا صريحًا على حق المؤلف، وهذا ما يعكس الوعي بخطورة هذه الأفعال التي قد تفتح المجال أمام نسخ أو استغلال غير مشروع للمصنفات؛ ممَّا يهدد حقوق أصحابها</w:t>
      </w:r>
      <w:r>
        <w:rPr>
          <w:rStyle w:val="None"/>
          <w:rFonts w:ascii="Times New Roman" w:hAnsi="Times New Roman"/>
          <w:sz w:val="24"/>
          <w:szCs w:val="24"/>
          <w:rtl/>
          <w:lang w:val="ar-SA"/>
        </w:rPr>
        <w:t>.</w:t>
      </w:r>
    </w:p>
    <w:p w14:paraId="6EFAADA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تنص المادة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أي تعديل بالأجهزة أو بالبرامج المخصصة للعرض والاستقبال؛ بهدف تجاوز الحدود التي وضعها الصانع يعتبر اعتداءً صريحًا على حقوق المؤلف، سواء بإضافة أو إزالة أي شرائح إلكترونية، أو تزويدها ببرامج مزورة، فمن خلال هذه المادة فقد حرص المنظم السعودي على حماية المصنفات الرقمية من الاستخدام غير القانوني</w:t>
      </w:r>
      <w:r>
        <w:rPr>
          <w:rStyle w:val="None"/>
          <w:rFonts w:ascii="Times New Roman" w:hAnsi="Times New Roman"/>
          <w:sz w:val="24"/>
          <w:szCs w:val="24"/>
          <w:rtl/>
          <w:lang w:val="ar-SA"/>
        </w:rPr>
        <w:t>.</w:t>
      </w:r>
    </w:p>
    <w:p w14:paraId="21E6036B"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اهتم المنظم السعودي بتوضيح الحماية التي تتمتع بها برامج الحاسب الآلي، من خلال المادة </w:t>
      </w:r>
      <w:r>
        <w:rPr>
          <w:rStyle w:val="None"/>
          <w:rFonts w:ascii="Times New Roman" w:hAnsi="Times New Roman"/>
          <w:sz w:val="24"/>
          <w:szCs w:val="24"/>
          <w:rtl/>
          <w:lang w:val="ar-SA"/>
        </w:rPr>
        <w:t xml:space="preserve">(16)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2"/>
      </w:r>
      <w:r>
        <w:rPr>
          <w:rStyle w:val="None"/>
          <w:rFonts w:ascii="Times New Roman" w:hAnsi="Times New Roman"/>
          <w:sz w:val="24"/>
          <w:szCs w:val="24"/>
          <w:vertAlign w:val="superscript"/>
          <w:rtl/>
          <w:lang w:val="ar-SA"/>
        </w:rPr>
        <w:t>)</w:t>
      </w:r>
    </w:p>
    <w:p w14:paraId="666C6A88" w14:textId="08CEB0A9" w:rsidR="00454428" w:rsidRPr="00CC3E5F" w:rsidRDefault="00C464EC">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تتمتع بالحماية برامج الحاسب الآلي وبرامج ألعاب الحاسوب، سواء كانت بلُغة المصدر، أو بلُغة الآلة باعتبارها أعمالًا أدبيةً</w:t>
      </w:r>
      <w:r>
        <w:rPr>
          <w:rStyle w:val="None"/>
          <w:rFonts w:ascii="Times New Roman" w:hAnsi="Times New Roman"/>
          <w:sz w:val="24"/>
          <w:szCs w:val="24"/>
          <w:rtl/>
          <w:lang w:val="ar-SA"/>
        </w:rPr>
        <w:t>.</w:t>
      </w:r>
    </w:p>
    <w:p w14:paraId="683FD7EB" w14:textId="77777777" w:rsidR="00454428" w:rsidRDefault="00C464EC">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تعديًا على حق المؤلف كل استخدام للبرامج يخالف الاستخدامات التي يحددها صاحب الحق، مثل</w:t>
      </w:r>
      <w:r>
        <w:rPr>
          <w:rStyle w:val="None"/>
          <w:rFonts w:ascii="Times New Roman" w:hAnsi="Times New Roman"/>
          <w:sz w:val="24"/>
          <w:szCs w:val="24"/>
          <w:rtl/>
          <w:lang w:val="ar-SA"/>
        </w:rPr>
        <w:t>:</w:t>
      </w:r>
    </w:p>
    <w:p w14:paraId="744B3D84" w14:textId="77777777" w:rsidR="00454428" w:rsidRDefault="00C464EC">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استنساخ البرامج وبرامج الألعاب</w:t>
      </w:r>
      <w:r>
        <w:rPr>
          <w:rStyle w:val="None"/>
          <w:rFonts w:ascii="Times New Roman" w:hAnsi="Times New Roman"/>
          <w:sz w:val="24"/>
          <w:szCs w:val="24"/>
          <w:rtl/>
          <w:lang w:val="ar-SA"/>
        </w:rPr>
        <w:t>.</w:t>
      </w:r>
    </w:p>
    <w:p w14:paraId="0583E76B" w14:textId="77777777" w:rsidR="00454428" w:rsidRDefault="00C464EC">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تأجير البرامج، أو برامج الألعاب، أو الترخيص بالاستخدام الجماعي لها بدون وجود وثائق تخول المؤجر بممارسة هذا الحق</w:t>
      </w:r>
      <w:r>
        <w:rPr>
          <w:rStyle w:val="None"/>
          <w:rFonts w:ascii="Times New Roman" w:hAnsi="Times New Roman"/>
          <w:sz w:val="24"/>
          <w:szCs w:val="24"/>
          <w:rtl/>
          <w:lang w:val="ar-SA"/>
        </w:rPr>
        <w:t>.</w:t>
      </w:r>
    </w:p>
    <w:p w14:paraId="3051AE17" w14:textId="77777777" w:rsidR="00454428" w:rsidRDefault="00C464EC">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تحميل الشبكات الداخلية، أو الأجهزة ببرامج مستنسخة</w:t>
      </w:r>
      <w:r>
        <w:rPr>
          <w:rStyle w:val="None"/>
          <w:rFonts w:ascii="Times New Roman" w:hAnsi="Times New Roman"/>
          <w:sz w:val="24"/>
          <w:szCs w:val="24"/>
          <w:rtl/>
          <w:lang w:val="ar-SA"/>
        </w:rPr>
        <w:t>.</w:t>
      </w:r>
    </w:p>
    <w:p w14:paraId="4890875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أقر بحماية شاملة لبرامج الحاسب الآلي وبرامج الألعاب؛ حيث اعتبرها أعمالًا أدبيةً تستفيد من كافة صور الحماية المقررة للملكية الفكرية، ويعكس هذه الإدراك لقيمتها الاقتصادية والفكرية في البيئة الرقمية، كما شدد على تجريم أي استخدام مخالف لحقوق صاحب البرنامج، سواء كان ذلك من خلال النسخ غير المشروع أو التأجير، أو الاستخدام الجماعي، أو التحميل غير المصرح به؛ بهدف منع استغلال هذه البرامج بطرق غير قانونية</w:t>
      </w:r>
      <w:r>
        <w:rPr>
          <w:rStyle w:val="None"/>
          <w:rFonts w:ascii="Times New Roman" w:hAnsi="Times New Roman"/>
          <w:sz w:val="24"/>
          <w:szCs w:val="24"/>
          <w:rtl/>
          <w:lang w:val="ar-SA"/>
        </w:rPr>
        <w:t>.</w:t>
      </w:r>
    </w:p>
    <w:p w14:paraId="6BA5E0E9" w14:textId="77777777" w:rsidR="00454428" w:rsidRDefault="00C464EC">
      <w:pPr>
        <w:pStyle w:val="Body"/>
        <w:numPr>
          <w:ilvl w:val="0"/>
          <w:numId w:val="306"/>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توقيف أو تجميد أو إلغاء اشتراك المواقع الإلكترونية</w:t>
      </w:r>
      <w:r>
        <w:rPr>
          <w:rStyle w:val="None"/>
          <w:rFonts w:ascii="Times New Roman" w:hAnsi="Times New Roman"/>
          <w:b/>
          <w:bCs/>
          <w:sz w:val="28"/>
          <w:szCs w:val="28"/>
          <w:rtl/>
          <w:lang w:val="ar-SA"/>
        </w:rPr>
        <w:t>:</w:t>
      </w:r>
    </w:p>
    <w:p w14:paraId="55B23A96"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توقيف المواقع الإلكترونية من أبرز الآليات لمواجهة الاعتداءات التي تتعرض لها حقوق الملكية الفكرية في البيئة الرقمية، فتكتسب هذه الوسيلة أهميتها؛ كونها إجراءً وقائيًّا وردعيًّا في نفس الوقت؛ حيث تُمكن أصحاب الحقوق من حماية مصنفاتهم من التداول غير المشروع</w:t>
      </w:r>
      <w:r>
        <w:rPr>
          <w:rStyle w:val="None"/>
          <w:rFonts w:ascii="Times New Roman" w:hAnsi="Times New Roman"/>
          <w:sz w:val="24"/>
          <w:szCs w:val="24"/>
          <w:rtl/>
          <w:lang w:val="ar-SA"/>
        </w:rPr>
        <w:t xml:space="preserve">. </w:t>
      </w:r>
    </w:p>
    <w:p w14:paraId="317E7492"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تتيح بعض المواقع إيقاف أو تجميد صلاحيات المشارك لفترة زمنية محددة إذا حدث إخلال من جهاز الحاسوب الذي يستخدمه للدخول، أو إلغاء اشتراكه بالمواقع الإلكترونية إذا كان هناك انتهاك واضح، أو تَعَدٍّ على أحد مكونات الملكية الفكرية، أو تنفيذ اعتداء لموقع الخدمة، وهذا بحسب نوع الحدث الناتج من المستخدم وبخاصة إذا تكرر منه، وبعض المواقع توقف حساب المستخدم مع تزايد عدد التحميلات عن الحد المحدد والمسموح به من قِبل الموقع لفترة زمنية، ثم تعيد فتح الحساب مرة أخرى، أما إذا كان التجاوز يُعَدُّ انتهاكًا يؤثر على الملكية الفكرية أو يتضمن اعتداءً على موقع الخدمة؛ فيكون إلغاء الاشتراك هو الجزاء المناسب، وقد يصل الأمر لملاحقة المشترك إذا أصاب الموقع ضررًا جرَّاء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4AC3FA"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commentRangeStart w:id="271"/>
      <w:r w:rsidRPr="00EA752A">
        <w:rPr>
          <w:rStyle w:val="None"/>
          <w:rFonts w:ascii="Arial Unicode MS" w:hAnsi="Arial Unicode MS" w:cs="Times New Roman" w:hint="cs"/>
          <w:sz w:val="24"/>
          <w:szCs w:val="24"/>
          <w:highlight w:val="yellow"/>
          <w:rtl/>
          <w:lang w:val="ar-SA"/>
        </w:rPr>
        <w:t>وقد</w:t>
      </w:r>
      <w:commentRangeEnd w:id="271"/>
      <w:r w:rsidR="007D1C0E">
        <w:rPr>
          <w:rStyle w:val="CommentReference"/>
          <w:rFonts w:ascii="Times New Roman" w:hAnsi="Times New Roman" w:cs="Times New Roman"/>
          <w:color w:val="auto"/>
          <w:rtl/>
          <w14:textOutline w14:w="0" w14:cap="rnd" w14:cmpd="sng" w14:algn="ctr">
            <w14:noFill/>
            <w14:prstDash w14:val="solid"/>
            <w14:bevel/>
          </w14:textOutline>
        </w:rPr>
        <w:commentReference w:id="271"/>
      </w:r>
      <w:r w:rsidRPr="00EA752A">
        <w:rPr>
          <w:rStyle w:val="None"/>
          <w:rFonts w:ascii="Arial Unicode MS" w:hAnsi="Arial Unicode MS" w:cs="Times New Roman" w:hint="cs"/>
          <w:sz w:val="24"/>
          <w:szCs w:val="24"/>
          <w:highlight w:val="yellow"/>
          <w:rtl/>
          <w:lang w:val="ar-SA"/>
        </w:rPr>
        <w:t xml:space="preserve"> أوضح المنظم السعودي إجراءات الحجب المؤقت والإحالة في المادة </w:t>
      </w:r>
      <w:r w:rsidRPr="00EA752A">
        <w:rPr>
          <w:rStyle w:val="None"/>
          <w:rFonts w:ascii="Times New Roman" w:hAnsi="Times New Roman"/>
          <w:sz w:val="24"/>
          <w:szCs w:val="24"/>
          <w:highlight w:val="yellow"/>
          <w:rtl/>
          <w:lang w:val="ar-SA"/>
        </w:rPr>
        <w:t xml:space="preserve">(28) </w:t>
      </w:r>
      <w:r w:rsidRPr="00EA752A">
        <w:rPr>
          <w:rStyle w:val="None"/>
          <w:rFonts w:ascii="Arial Unicode MS" w:hAnsi="Arial Unicode MS" w:cs="Times New Roman" w:hint="cs"/>
          <w:sz w:val="24"/>
          <w:szCs w:val="24"/>
          <w:highlight w:val="yellow"/>
          <w:rtl/>
          <w:lang w:val="ar-SA"/>
        </w:rPr>
        <w:t>من اللائحة التنفيذية لنظام حماية حقوق المؤلف، والتي نصت على أنَّه</w:t>
      </w:r>
      <w:r w:rsidRPr="00EA752A">
        <w:rPr>
          <w:rStyle w:val="None"/>
          <w:rFonts w:ascii="Times New Roman" w:hAnsi="Times New Roman"/>
          <w:sz w:val="24"/>
          <w:szCs w:val="24"/>
          <w:highlight w:val="yellow"/>
          <w:rtl/>
          <w:lang w:val="ar-SA"/>
        </w:rPr>
        <w:t>: "</w:t>
      </w:r>
      <w:r w:rsidRPr="00EA752A">
        <w:rPr>
          <w:rStyle w:val="None"/>
          <w:rFonts w:ascii="Arial Unicode MS" w:hAnsi="Arial Unicode MS" w:cs="Times New Roman" w:hint="cs"/>
          <w:sz w:val="24"/>
          <w:szCs w:val="24"/>
          <w:highlight w:val="yellow"/>
          <w:rtl/>
          <w:lang w:val="ar-SA"/>
        </w:rPr>
        <w:t xml:space="preserve">تتولى الإدارة المختصة في الهيئة مباشرة إجراءات الاستدعاء والحجب المؤقت للمواقع الإلكترونية في شبكة الإنترنت العالمية </w:t>
      </w:r>
      <w:r w:rsidRPr="00EA752A">
        <w:rPr>
          <w:rStyle w:val="None"/>
          <w:rFonts w:ascii="Times New Roman" w:hAnsi="Times New Roman"/>
          <w:sz w:val="24"/>
          <w:szCs w:val="24"/>
          <w:highlight w:val="yellow"/>
          <w:rtl/>
          <w:lang w:val="ar-SA"/>
        </w:rPr>
        <w:t>–</w:t>
      </w:r>
      <w:r w:rsidRPr="00EA752A">
        <w:rPr>
          <w:rStyle w:val="None"/>
          <w:rFonts w:ascii="Arial Unicode MS" w:hAnsi="Arial Unicode MS" w:cs="Times New Roman" w:hint="cs"/>
          <w:sz w:val="24"/>
          <w:szCs w:val="24"/>
          <w:highlight w:val="yellow"/>
          <w:rtl/>
          <w:lang w:val="ar-SA"/>
        </w:rPr>
        <w:t>حسب الإجراءات النظامية المتبعة</w:t>
      </w:r>
      <w:r w:rsidRPr="00EA752A">
        <w:rPr>
          <w:rStyle w:val="None"/>
          <w:rFonts w:ascii="Times New Roman" w:hAnsi="Times New Roman"/>
          <w:sz w:val="24"/>
          <w:szCs w:val="24"/>
          <w:highlight w:val="yellow"/>
          <w:rtl/>
          <w:lang w:val="ar-SA"/>
        </w:rPr>
        <w:t xml:space="preserve">– </w:t>
      </w:r>
      <w:r w:rsidRPr="00EA752A">
        <w:rPr>
          <w:rStyle w:val="None"/>
          <w:rFonts w:ascii="Arial Unicode MS" w:hAnsi="Arial Unicode MS" w:cs="Times New Roman" w:hint="cs"/>
          <w:sz w:val="24"/>
          <w:szCs w:val="24"/>
          <w:highlight w:val="yellow"/>
          <w:rtl/>
          <w:lang w:val="ar-SA"/>
        </w:rPr>
        <w:t>التي ثبت مخالفتها لأحكام النظام واللائحة، ولها في سبيل ذلك التالي</w:t>
      </w:r>
      <w:r w:rsidRPr="00EA752A">
        <w:rPr>
          <w:rStyle w:val="None"/>
          <w:rFonts w:ascii="Times New Roman" w:hAnsi="Times New Roman"/>
          <w:sz w:val="24"/>
          <w:szCs w:val="24"/>
          <w:highlight w:val="yellow"/>
          <w:vertAlign w:val="superscript"/>
          <w:rtl/>
          <w:lang w:val="ar-SA"/>
        </w:rPr>
        <w:t>(</w:t>
      </w:r>
      <w:r w:rsidRPr="00EA752A">
        <w:rPr>
          <w:rStyle w:val="None"/>
          <w:rFonts w:ascii="Times New Roman" w:eastAsia="Times New Roman" w:hAnsi="Times New Roman" w:cs="Times New Roman"/>
          <w:sz w:val="24"/>
          <w:szCs w:val="24"/>
          <w:highlight w:val="yellow"/>
          <w:vertAlign w:val="superscript"/>
          <w:lang w:val="ar-SA"/>
        </w:rPr>
        <w:footnoteReference w:id="594"/>
      </w:r>
      <w:r w:rsidRPr="00EA752A">
        <w:rPr>
          <w:rStyle w:val="None"/>
          <w:rFonts w:ascii="Times New Roman" w:hAnsi="Times New Roman"/>
          <w:sz w:val="24"/>
          <w:szCs w:val="24"/>
          <w:highlight w:val="yellow"/>
          <w:vertAlign w:val="superscript"/>
          <w:rtl/>
          <w:lang w:val="ar-SA"/>
        </w:rPr>
        <w:t>)</w:t>
      </w:r>
      <w:r w:rsidRPr="00EA752A">
        <w:rPr>
          <w:rStyle w:val="None"/>
          <w:rFonts w:ascii="Times New Roman" w:hAnsi="Times New Roman"/>
          <w:sz w:val="24"/>
          <w:szCs w:val="24"/>
          <w:highlight w:val="yellow"/>
          <w:rtl/>
          <w:lang w:val="ar-SA"/>
        </w:rPr>
        <w:t>:</w:t>
      </w:r>
    </w:p>
    <w:p w14:paraId="5E4D3DD6" w14:textId="77777777" w:rsidR="00454428"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استدعاء مالك الموقع الإلكتروني المنسوب له المخالفة لمراجعة الإدارة المختصة خلال يوم عمل من تاريخ الاستدعاء</w:t>
      </w:r>
      <w:r>
        <w:rPr>
          <w:rStyle w:val="None"/>
          <w:rFonts w:ascii="Times New Roman" w:hAnsi="Times New Roman"/>
          <w:sz w:val="24"/>
          <w:szCs w:val="24"/>
          <w:rtl/>
          <w:lang w:val="ar-SA"/>
        </w:rPr>
        <w:t>.</w:t>
      </w:r>
    </w:p>
    <w:p w14:paraId="544A29C9" w14:textId="77777777" w:rsidR="00454428"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في حالة عدم التجاوب مع الاستدعاء أو لم يتبين وجود قنوات محلية للتواصل مع مالك الموقع، يتم حجب الموقع الإلكتروني مؤقتًا، لحين مراجعة الإدارة المختصة، وتقديم ما يثبت نظامية عدم وجود التعدي محل المساءلة</w:t>
      </w:r>
      <w:r>
        <w:rPr>
          <w:rStyle w:val="None"/>
          <w:rFonts w:ascii="Times New Roman" w:hAnsi="Times New Roman"/>
          <w:sz w:val="24"/>
          <w:szCs w:val="24"/>
          <w:rtl/>
          <w:lang w:val="ar-SA"/>
        </w:rPr>
        <w:t>.</w:t>
      </w:r>
    </w:p>
    <w:p w14:paraId="3C31E534" w14:textId="77777777" w:rsidR="00454428"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للهيئة التنسيق مع مقدمي الخدمة والمواقع المستضيفة ومن في حكمهم؛ لتزويد الإدارة المختصة بالبيانات اللازمة للمواقع الإلكترونية، التي يشتبه مخالفاتها لحق المؤلف وفق ما يتوفر من دلائل أولية</w:t>
      </w:r>
      <w:r>
        <w:rPr>
          <w:rStyle w:val="None"/>
          <w:rFonts w:ascii="Times New Roman" w:hAnsi="Times New Roman"/>
          <w:sz w:val="24"/>
          <w:szCs w:val="24"/>
          <w:rtl/>
          <w:lang w:val="ar-SA"/>
        </w:rPr>
        <w:t>.</w:t>
      </w:r>
    </w:p>
    <w:p w14:paraId="6132C5EB" w14:textId="77777777" w:rsidR="00454428"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حالة توفر بيانات مالك الموقع الإلكتروني ولم يتم التجاوب مع الاستدعاء بعد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ثمانية أيامِ عملٍ من بداية الحجب المؤقت، تتم إحالة أوراق القضية إلى الجنة؛ لإصدار القرار بشأنها</w:t>
      </w:r>
      <w:r>
        <w:rPr>
          <w:rStyle w:val="None"/>
          <w:rFonts w:ascii="Times New Roman" w:hAnsi="Times New Roman"/>
          <w:sz w:val="24"/>
          <w:szCs w:val="24"/>
          <w:rtl/>
          <w:lang w:val="ar-SA"/>
        </w:rPr>
        <w:t>.</w:t>
      </w:r>
    </w:p>
    <w:p w14:paraId="73DFB3E4" w14:textId="77777777" w:rsidR="00454428"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الحجب المؤقت بشكل فوري للمواقع الإلكترونية المخالفة، على أنْ يحتوي الموقع الإلكتروني الذي يثبت مخالفته أيًا من العناصر التالي</w:t>
      </w:r>
      <w:r>
        <w:rPr>
          <w:rStyle w:val="None"/>
          <w:rFonts w:ascii="Times New Roman" w:hAnsi="Times New Roman"/>
          <w:sz w:val="24"/>
          <w:szCs w:val="24"/>
          <w:rtl/>
          <w:lang w:val="ar-SA"/>
        </w:rPr>
        <w:t>:</w:t>
      </w:r>
    </w:p>
    <w:p w14:paraId="680524C4" w14:textId="77777777" w:rsidR="00454428"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البث المباشر</w:t>
      </w:r>
      <w:r>
        <w:rPr>
          <w:rStyle w:val="None"/>
          <w:rFonts w:ascii="Times New Roman" w:hAnsi="Times New Roman"/>
          <w:sz w:val="24"/>
          <w:szCs w:val="24"/>
          <w:rtl/>
          <w:lang w:val="ar-SA"/>
        </w:rPr>
        <w:t>.</w:t>
      </w:r>
    </w:p>
    <w:p w14:paraId="28606578" w14:textId="77777777" w:rsidR="00454428"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إتاحة تحميل المصنف</w:t>
      </w:r>
      <w:r>
        <w:rPr>
          <w:rStyle w:val="None"/>
          <w:rFonts w:ascii="Times New Roman" w:hAnsi="Times New Roman"/>
          <w:sz w:val="24"/>
          <w:szCs w:val="24"/>
          <w:rtl/>
          <w:lang w:val="ar-SA"/>
        </w:rPr>
        <w:t>.</w:t>
      </w:r>
    </w:p>
    <w:p w14:paraId="15218683" w14:textId="77777777" w:rsidR="00454428"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توفر طرق السداد؛ ممَّا يدل على قيام هدف ربحي</w:t>
      </w:r>
      <w:r>
        <w:rPr>
          <w:rStyle w:val="None"/>
          <w:rFonts w:ascii="Times New Roman" w:hAnsi="Times New Roman"/>
          <w:sz w:val="24"/>
          <w:szCs w:val="24"/>
          <w:rtl/>
          <w:lang w:val="ar-SA"/>
        </w:rPr>
        <w:t>.</w:t>
      </w:r>
    </w:p>
    <w:p w14:paraId="423201DE" w14:textId="77777777" w:rsidR="00454428"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ظهور إعلانات دعائية</w:t>
      </w:r>
      <w:r>
        <w:rPr>
          <w:rStyle w:val="None"/>
          <w:rFonts w:ascii="Times New Roman" w:hAnsi="Times New Roman"/>
          <w:sz w:val="24"/>
          <w:szCs w:val="24"/>
          <w:rtl/>
          <w:lang w:val="ar-SA"/>
        </w:rPr>
        <w:t>.</w:t>
      </w:r>
    </w:p>
    <w:p w14:paraId="137E76EB" w14:textId="77777777" w:rsidR="00454428"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تعليقات للمستخدمين</w:t>
      </w:r>
      <w:r>
        <w:rPr>
          <w:rStyle w:val="None"/>
          <w:rFonts w:ascii="Times New Roman" w:hAnsi="Times New Roman"/>
          <w:sz w:val="24"/>
          <w:szCs w:val="24"/>
          <w:rtl/>
          <w:lang w:val="ar-SA"/>
        </w:rPr>
        <w:t>.</w:t>
      </w:r>
    </w:p>
    <w:p w14:paraId="75A4E3F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توقيف، أو تجميد، أو إلغاء اشتراك المواقع الإلكترونية يعتبر أداةً عمليةً وفعَّالةً؛ لمواجهة الانتهاكات التي تمس الملكية الفكرية في البيئة الرقمية؛ حيث تمنع استمرار الضرر الناتج عن الاستغلال غير المشروع للمصنفات، والحد من تكرار الاعتداءات، كما أنَّ النصوص النظامية السعودية قد وضعت آليةً دقيقةً للتعامل مع هذه المخالفات، وذلك حرصًا من المنظم السعودي على تحقيق توازن بين حماية حقوق المؤلف، وضمان عدم إساءة استخدام المصنفات الرقمية</w:t>
      </w:r>
      <w:r>
        <w:rPr>
          <w:rStyle w:val="None"/>
          <w:rFonts w:ascii="Times New Roman" w:hAnsi="Times New Roman"/>
          <w:sz w:val="24"/>
          <w:szCs w:val="24"/>
          <w:rtl/>
          <w:lang w:val="ar-SA"/>
        </w:rPr>
        <w:t>.</w:t>
      </w:r>
    </w:p>
    <w:p w14:paraId="08FBAAD4" w14:textId="77777777" w:rsidR="003C42D1" w:rsidRDefault="003C42D1">
      <w:pPr>
        <w:rPr>
          <w:rStyle w:val="None"/>
          <w:rFonts w:ascii="Arial Unicode MS" w:hAnsi="Arial Unicode MS"/>
          <w:b/>
          <w:bCs/>
          <w:color w:val="000000"/>
          <w:u w:color="000000"/>
          <w:rtl/>
          <w:lang w:val="ar-SA"/>
          <w14:textOutline w14:w="0" w14:cap="flat" w14:cmpd="sng" w14:algn="ctr">
            <w14:noFill/>
            <w14:prstDash w14:val="solid"/>
            <w14:bevel/>
          </w14:textOutline>
        </w:rPr>
      </w:pPr>
      <w:r>
        <w:rPr>
          <w:rStyle w:val="None"/>
          <w:rFonts w:ascii="Arial Unicode MS" w:hAnsi="Arial Unicode MS"/>
          <w:b/>
          <w:bCs/>
          <w:rtl/>
          <w:lang w:val="ar-SA"/>
        </w:rPr>
        <w:br w:type="page"/>
      </w:r>
    </w:p>
    <w:p w14:paraId="51CA8FB0" w14:textId="714541D6" w:rsidR="00454428"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الإطار القانوني للحماية التكنولوجية</w:t>
      </w:r>
      <w:r>
        <w:rPr>
          <w:rStyle w:val="None"/>
          <w:rFonts w:ascii="Times New Roman" w:hAnsi="Times New Roman"/>
          <w:b/>
          <w:bCs/>
          <w:sz w:val="28"/>
          <w:szCs w:val="28"/>
          <w:rtl/>
          <w:lang w:val="ar-SA"/>
        </w:rPr>
        <w:t>:</w:t>
      </w:r>
    </w:p>
    <w:p w14:paraId="62F730AC"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الإطار القانوني للحماية التكنولوجية من أساسيات ضمان فاعلية الوسائل التقنية المبتكرة في حماية حقوق الملكية الفكرية في البيئة الرقمية، فالأدوات التكنولوجية وحدها لا تكفي للحد من الاعتداءات ما لم تدعمها نصوص قانونية واضحة تجرم التحايل عليها</w:t>
      </w:r>
      <w:r>
        <w:rPr>
          <w:rStyle w:val="None"/>
          <w:rFonts w:ascii="Times New Roman" w:hAnsi="Times New Roman"/>
          <w:sz w:val="24"/>
          <w:szCs w:val="24"/>
          <w:rtl/>
          <w:lang w:val="ar-SA"/>
        </w:rPr>
        <w:t>.</w:t>
      </w:r>
    </w:p>
    <w:p w14:paraId="4013193D"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وضحت اتفاقية برن إمكانية مراقبة تداول المصنفات وتمثيلها وعرضها في المادة </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لا يمكن لأحكام هذه الاتفاقية أنْ تمس بأي شكل بحق حكومة كل دولة من دول الاتحاد في أنْ تسمح، أو تراقب، أو تمنع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 طريق التشريع أو إصدار اللوائح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تداولَ، أو تمثيلَ، أو عرضَ أيِّ مصنف أو إنتاج ترى السلطة المختصة ممارسة هذا الحق بالنسبة إليه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BC226F"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اتفاقية ويبو بتوضيح الالتزامات المتعلقة بالتدابير التكنولوجية في المادة </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81DE08"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كلًا من اتفاقية برن واتفاقية الويبو قد أكدوا على الدور الأساسي للتشريعات الوطنية في دعم الحماية التكنولوجية للمصنفات؛ حيث تُمكن هذه التشريعات الدول من مراقبة تداول المصنفات، وضبط استخدامها من جهة، وتفرض التزامات على الدول الأعضاء بتجريم أي محاولة؛ للتحايل على التدابير التقنية التي يعتمدها المؤلفون من جهة أخرى</w:t>
      </w:r>
      <w:r>
        <w:rPr>
          <w:rStyle w:val="None"/>
          <w:rFonts w:ascii="Times New Roman" w:hAnsi="Times New Roman"/>
          <w:sz w:val="24"/>
          <w:szCs w:val="24"/>
          <w:rtl/>
          <w:lang w:val="ar-SA"/>
        </w:rPr>
        <w:t>.</w:t>
      </w:r>
    </w:p>
    <w:p w14:paraId="5C2FAD59"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اتفاقية الويبو للأداء والتسجيل الصوتي بتوضيح الالتزامات المتعلقة بالمعلومات الضرورية لإدارة الحقوق، وذلك من خلال المادة </w:t>
      </w:r>
      <w:r>
        <w:rPr>
          <w:rStyle w:val="None"/>
          <w:rFonts w:ascii="Times New Roman" w:hAnsi="Times New Roman"/>
          <w:sz w:val="24"/>
          <w:szCs w:val="24"/>
          <w:rtl/>
          <w:lang w:val="ar-SA"/>
        </w:rPr>
        <w:t>(19)</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7"/>
      </w:r>
      <w:r>
        <w:rPr>
          <w:rStyle w:val="None"/>
          <w:rFonts w:ascii="Times New Roman" w:hAnsi="Times New Roman"/>
          <w:sz w:val="24"/>
          <w:szCs w:val="24"/>
          <w:vertAlign w:val="superscript"/>
          <w:rtl/>
          <w:lang w:val="ar-SA"/>
        </w:rPr>
        <w:t>)</w:t>
      </w:r>
    </w:p>
    <w:p w14:paraId="2C1A245F" w14:textId="77777777" w:rsidR="00454428" w:rsidRDefault="00C464EC">
      <w:pPr>
        <w:pStyle w:val="Body"/>
        <w:numPr>
          <w:ilvl w:val="0"/>
          <w:numId w:val="31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على الأطراف المتعاقدة أنْ تنص في قوانينها على توقيع جزاءات مناسبة وفعَّالة على أي شخص يباشر عن عِلْمٍ أيًا من الأعمال التالية وهو يعرف، أو فيما يتعلق بالجزاءات المدنية، وله أسباب كافية ليعرف أنَّ تلك الأعمال تحمل على ارتكاب تَعَدٍّ على أي حق من الحقوق التي تشملها هذه المعاهدة أو تمكن من ذلك أو تسهل ذلك أو تخفيه</w:t>
      </w:r>
      <w:r>
        <w:rPr>
          <w:rStyle w:val="None"/>
          <w:rFonts w:ascii="Times New Roman" w:hAnsi="Times New Roman"/>
          <w:sz w:val="24"/>
          <w:szCs w:val="24"/>
          <w:rtl/>
          <w:lang w:val="ar-SA"/>
        </w:rPr>
        <w:t>:</w:t>
      </w:r>
    </w:p>
    <w:p w14:paraId="01F21FB7" w14:textId="77777777" w:rsidR="00454428" w:rsidRDefault="00C464EC">
      <w:pPr>
        <w:pStyle w:val="Body"/>
        <w:numPr>
          <w:ilvl w:val="0"/>
          <w:numId w:val="31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40B762BB" w14:textId="77777777" w:rsidR="00454428" w:rsidRDefault="00C464EC">
      <w:pPr>
        <w:pStyle w:val="Body"/>
        <w:numPr>
          <w:ilvl w:val="0"/>
          <w:numId w:val="31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يوزع أو يستورد لأغراض التوزيع، أو يذيع، أو ينقل إلى الجمهور، أو يتيح له دون إذن أوجه أداء، أو نسخًا عن أوجه أداء مثبتة، أو تسجيلات صوتية،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56538311" w14:textId="77777777" w:rsidR="00454428" w:rsidRDefault="00C464EC">
      <w:pPr>
        <w:pStyle w:val="Body"/>
        <w:numPr>
          <w:ilvl w:val="0"/>
          <w:numId w:val="31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يقصد بعبارة المعلومات الضرورية لإدارة الحقوق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كما وردت في هذه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التي تسمح بتعريف فنان الأداء، وأدائه، ومنتج التسجيل الصوتي وتسجيله الصوتي، ومالك أي حق في الأداء أو التسجيل الصوتي، أو المعلومات المتعلقة بشروط الانتفاع بالأداء أو التسجيل الصوتي، وأي أرقام أو شفرات ترمز إلى تلك المعلومات، متى كان أي عنصر من تلك المعلومات مقترنًا بنسخة عن أداء مثبت، أو تسجيل صوتي، أو ظاهرًا لدى نقل أداء مثبت، أو تسجيل صوتي إلى الجمهور أو إتاحته له</w:t>
      </w:r>
      <w:r>
        <w:rPr>
          <w:rStyle w:val="None"/>
          <w:rFonts w:ascii="Times New Roman" w:hAnsi="Times New Roman"/>
          <w:sz w:val="24"/>
          <w:szCs w:val="24"/>
          <w:rtl/>
          <w:lang w:val="ar-SA"/>
        </w:rPr>
        <w:t>".</w:t>
      </w:r>
    </w:p>
    <w:p w14:paraId="5CD7F991" w14:textId="77777777" w:rsidR="00454428"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الويبو قد أولت أهميةً للمعلومات الضرورية لإدارة الحقوق، باعتبارها أداةً أساسيةً؛ لضمان التعريف الدقيق بأصحاب الحقوق، وتوضيح شروط الانتفاع بالمصنفات، كما شددت الاتفاقية على ضرورة تجريم أي مساس بهذه المعلومات، سواء كان ذلك بالحذف، أو التغيير، أو الاستغلال غير المشروع؛ ممَّا يعتبر اعتداءً على حقوق المؤدين ومنتجي التسجيلات الصوتية، كما يعكس هذه الوعي بالحاجة لحماية البنية التقنية والقانونية معًا؛ ممَّا يعزّز كفاءة منظومة الحماية الرقمية، ويحد من الممارسات التي قد تخل بالحقوق الفكرية في البيئة الرقمية</w:t>
      </w:r>
      <w:r>
        <w:rPr>
          <w:rStyle w:val="None"/>
          <w:rFonts w:ascii="Times New Roman" w:hAnsi="Times New Roman"/>
          <w:sz w:val="24"/>
          <w:szCs w:val="24"/>
          <w:rtl/>
          <w:lang w:val="ar-SA"/>
        </w:rPr>
        <w:t xml:space="preserve">. </w:t>
      </w:r>
    </w:p>
    <w:p w14:paraId="648E1A1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3A8B220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rPr>
      </w:pPr>
    </w:p>
    <w:p w14:paraId="268C5E9D"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63A323AB"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79AFC0C6"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Pr>
      </w:pPr>
    </w:p>
    <w:p w14:paraId="06A5E35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4306D2E5" w14:textId="77777777" w:rsidR="003C42D1" w:rsidRDefault="003C42D1">
      <w:pPr>
        <w:rPr>
          <w:rStyle w:val="None"/>
          <w:rFonts w:ascii="Arial Unicode MS" w:hAnsi="Arial Unicode MS"/>
          <w:b/>
          <w:bCs/>
          <w:color w:val="000000"/>
          <w:sz w:val="32"/>
          <w:szCs w:val="32"/>
          <w:u w:color="000000"/>
          <w:rtl/>
          <w:lang w:val="ar-SA"/>
          <w14:textOutline w14:w="0" w14:cap="flat" w14:cmpd="sng" w14:algn="ctr">
            <w14:noFill/>
            <w14:prstDash w14:val="solid"/>
            <w14:bevel/>
          </w14:textOutline>
        </w:rPr>
      </w:pPr>
      <w:r>
        <w:rPr>
          <w:rStyle w:val="None"/>
          <w:rFonts w:ascii="Arial Unicode MS" w:hAnsi="Arial Unicode MS"/>
          <w:b/>
          <w:bCs/>
          <w:sz w:val="32"/>
          <w:szCs w:val="32"/>
          <w:rtl/>
          <w:lang w:val="ar-SA"/>
        </w:rPr>
        <w:br w:type="page"/>
      </w:r>
    </w:p>
    <w:p w14:paraId="250FC7FE" w14:textId="39D532B3" w:rsidR="00454428"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72" w:name="_Toc232260713"/>
      <w:r>
        <w:rPr>
          <w:rStyle w:val="None"/>
          <w:rFonts w:ascii="Arial Unicode MS" w:hAnsi="Arial Unicode MS" w:cs="Times New Roman" w:hint="cs"/>
          <w:b/>
          <w:bCs/>
          <w:sz w:val="32"/>
          <w:szCs w:val="32"/>
          <w:rtl/>
          <w:lang w:val="ar-SA"/>
        </w:rPr>
        <w:t>الخاتمة</w:t>
      </w:r>
      <w:bookmarkEnd w:id="272"/>
    </w:p>
    <w:p w14:paraId="69781C02" w14:textId="77777777"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commentRangeStart w:id="273"/>
      <w:r w:rsidRPr="003C42D1">
        <w:rPr>
          <w:rStyle w:val="None"/>
          <w:rFonts w:ascii="Arial Unicode MS" w:hAnsi="Arial Unicode MS" w:cs="Times New Roman"/>
          <w:sz w:val="24"/>
          <w:szCs w:val="24"/>
          <w:rtl/>
          <w:lang w:val="ar-SA"/>
        </w:rPr>
        <w:t>خلصت</w:t>
      </w:r>
      <w:commentRangeEnd w:id="273"/>
      <w:r w:rsidR="006F1982">
        <w:rPr>
          <w:rStyle w:val="CommentReference"/>
          <w:rFonts w:ascii="Times New Roman" w:hAnsi="Times New Roman" w:cs="Times New Roman"/>
          <w:color w:val="auto"/>
          <w:rtl/>
          <w14:textOutline w14:w="0" w14:cap="rnd" w14:cmpd="sng" w14:algn="ctr">
            <w14:noFill/>
            <w14:prstDash w14:val="solid"/>
            <w14:bevel/>
          </w14:textOutline>
        </w:rPr>
        <w:commentReference w:id="273"/>
      </w:r>
      <w:r w:rsidRPr="003C42D1">
        <w:rPr>
          <w:rStyle w:val="None"/>
          <w:rFonts w:ascii="Arial Unicode MS" w:hAnsi="Arial Unicode MS" w:cs="Times New Roman"/>
          <w:sz w:val="24"/>
          <w:szCs w:val="24"/>
          <w:rtl/>
          <w:lang w:val="ar-SA"/>
        </w:rPr>
        <w:t xml:space="preserve"> هذه الدراسة إلى أن حماية حقوق الملكية الفكرية في البيئة الرقمية تمثل أحد أبرز التحديات القانونية المعاصرة، وذلك في ظل التطور التكنولوجي المتسارع الذي أفرز أنماطًا جديدة من المصنفات الرقمية، وسهّل في المقابل صور الاعتداء عليها، بما يفوق قدرة القواعد القانونية التقليدية على المواجهة الفعالة.</w:t>
      </w:r>
    </w:p>
    <w:p w14:paraId="3FD77688" w14:textId="77777777"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sz w:val="24"/>
          <w:szCs w:val="24"/>
          <w:rtl/>
          <w:lang w:val="ar-SA"/>
        </w:rPr>
        <w:t>وقد بيّنت الدراسة، من خلال التحليل والمقارنة، أن التشريعات الوطنية، رغم ما شهدته من تطور ملحوظ، لا تزال تعاني من قصور في استيعاب الخصائص التقنية للبيئة الرقمية، سواء من حيث تعريف المصنفات الرقمية، أو آليات الحماية المدنية والجنائية، أو وسائل الإثبات، أو سرعة الفصل في المنازعات ذات الطابع الرقمي.</w:t>
      </w:r>
    </w:p>
    <w:p w14:paraId="47EB1845" w14:textId="77777777"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sz w:val="24"/>
          <w:szCs w:val="24"/>
          <w:rtl/>
          <w:lang w:val="ar-SA"/>
        </w:rPr>
        <w:t>كما أظهرت الدراسة أن الاتفاقيات الدولية ذات الصلة، وعلى رأسها اتفاقية برن واتفاقية تريبس ومعاهدة الويبو بشأن حق المؤلف، أسهمت في إرساء إطار عام لحماية حقوق الملكية الفكرية، إلا أن هذا الإطار ما زال بحاجة إلى تطوير مستمر لمواكبة التحديات المستحدثة التي فرضتها البيئة الرقمية، ولا سيما ما يتعلق بالاعتداءات العابرة للحدود ودور المنصات الرقمية ومزودي خدمات الإنترنت.</w:t>
      </w:r>
    </w:p>
    <w:p w14:paraId="210EF93E" w14:textId="77777777"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sz w:val="24"/>
          <w:szCs w:val="24"/>
          <w:rtl/>
          <w:lang w:val="ar-SA"/>
        </w:rPr>
        <w:t>وانتهت الدراسة إلى أن تحقيق حماية فعالة لحقوق الملكية الفكرية في البيئة الرقمية لا يمكن أن يقتصر على الحلول التشريعية وحدها، بل يستلزم تبني مقاربة متكاملة تقوم على تضافر الحماية القانونية، والآليات التقنية، والتنسيق المؤسسي، والتعاون الدولي، إلى جانب نشر الوعي المجتمعي بثقافة احترام حقوق الملكية الفكرية.</w:t>
      </w:r>
    </w:p>
    <w:p w14:paraId="567C81C2" w14:textId="77777777"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sz w:val="24"/>
          <w:szCs w:val="24"/>
          <w:rtl/>
          <w:lang w:val="ar-SA"/>
        </w:rPr>
        <w:t>وفي هذا الإطار، تسهم هذه الدراسة في إثراء البحث القانوني من خلال تقديم معالجة تحليلية مقارنة لأوجه القصور التشريعي، واقتراح حلول عملية قابلة للتنفيذ، بما يحقق التوازن بين حماية حقوق المبدعين ومتطلبات إتاحة المعرفة، ويدعم الابتكار والاستثمار في العصر الرقمي.</w:t>
      </w:r>
    </w:p>
    <w:p w14:paraId="018ADF33" w14:textId="77777777" w:rsidR="00454428" w:rsidRDefault="00C464EC" w:rsidP="003C42D1">
      <w:pPr>
        <w:pStyle w:val="Body"/>
        <w:spacing w:before="120" w:after="120" w:line="360" w:lineRule="auto"/>
        <w:outlineLvl w:val="0"/>
        <w:rPr>
          <w:rStyle w:val="None"/>
          <w:rFonts w:ascii="Times New Roman" w:eastAsia="Times New Roman" w:hAnsi="Times New Roman" w:cs="Times New Roman"/>
          <w:b/>
          <w:bCs/>
          <w:sz w:val="32"/>
          <w:szCs w:val="32"/>
        </w:rPr>
      </w:pPr>
      <w:bookmarkStart w:id="274" w:name="_Toc232260714"/>
      <w:r>
        <w:rPr>
          <w:rStyle w:val="None"/>
          <w:rFonts w:ascii="Arial Unicode MS" w:hAnsi="Arial Unicode MS" w:cs="Times New Roman" w:hint="cs"/>
          <w:b/>
          <w:bCs/>
          <w:sz w:val="32"/>
          <w:szCs w:val="32"/>
          <w:rtl/>
          <w:lang w:val="ar-SA"/>
        </w:rPr>
        <w:t>النتائج والتوصيات</w:t>
      </w:r>
      <w:bookmarkEnd w:id="274"/>
    </w:p>
    <w:p w14:paraId="47A15456" w14:textId="77777777"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sz w:val="24"/>
          <w:szCs w:val="24"/>
          <w:rtl/>
          <w:lang w:val="ar-SA"/>
        </w:rPr>
        <w:t>في ضوء ما تناولته هذه الدراسة من تحليل للإطار المفاهيمي لحقوق الملكية الفكرية، وبيان خصائص البيئة الرقمية، واستعراض الإشكاليات القانونية والتقنية المرتبطة بحماية المصنفات الرقمية، إلى جانب المقارنة بين النظم القانونية الوطنية والمقارنة، أمكن استخلاص مجموعة من النتائج الجوهرية التي كشفت عن أوجه القصور التشريعي والإجرائي في حماية حقوق الملكية الفكرية في البيئة الرقمية.</w:t>
      </w:r>
    </w:p>
    <w:p w14:paraId="154E9D49" w14:textId="6683666F"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sz w:val="24"/>
          <w:szCs w:val="24"/>
          <w:rtl/>
          <w:lang w:val="ar-SA"/>
        </w:rPr>
        <w:t>وانطلاقًا من هذه النتائج، لم تقتصر الدراسة على عرض نتائج نظرية، وإنما سعت إلى تقديم توصيات عملية قابلة للتنفيذ، مقرونة بآليات واضحة للتطبيق، ومحددة بمدى زمني واقعي، بما يسهم في تطوير المنظومة القانونية والقضائية، وتعزيز فاعلية حماية حقوق الملكية الفكرية في العصر الرقمي، وذلك على النحو المبين فيما يأتي.</w:t>
      </w:r>
    </w:p>
    <w:p w14:paraId="5B6CD204" w14:textId="76289CC5" w:rsidR="00454428" w:rsidRPr="00C72BA8" w:rsidRDefault="00C464EC" w:rsidP="00C72BA8">
      <w:pPr>
        <w:pStyle w:val="Body"/>
        <w:spacing w:before="120" w:after="120" w:line="360" w:lineRule="auto"/>
        <w:outlineLvl w:val="0"/>
        <w:rPr>
          <w:rStyle w:val="None"/>
          <w:rFonts w:ascii="Times New Roman" w:eastAsia="Times New Roman" w:hAnsi="Times New Roman" w:cs="Times New Roman"/>
          <w:b/>
          <w:bCs/>
          <w:sz w:val="28"/>
          <w:szCs w:val="28"/>
          <w:rtl/>
          <w:lang w:val="ar-SA"/>
        </w:rPr>
      </w:pPr>
      <w:bookmarkStart w:id="275" w:name="_Toc232260715"/>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النتائج</w:t>
      </w:r>
      <w:bookmarkEnd w:id="275"/>
      <w:r>
        <w:rPr>
          <w:rStyle w:val="None"/>
          <w:rFonts w:ascii="Arial Unicode MS" w:hAnsi="Arial Unicode MS" w:cs="Times New Roman" w:hint="cs"/>
          <w:b/>
          <w:bCs/>
          <w:sz w:val="28"/>
          <w:szCs w:val="28"/>
          <w:rtl/>
          <w:lang w:val="ar-SA"/>
        </w:rPr>
        <w:t xml:space="preserve"> </w:t>
      </w:r>
    </w:p>
    <w:p w14:paraId="3DAF9F16" w14:textId="5F2C89F3"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أسفرت هذه الدراسة، في ضوء التحليل القانوني المقارن للإطار المنظم لحماية حقوق الملكية الفكرية في البيئة الرقمية، عن مجموعة من النتائج الجوهرية، من أبرزها</w:t>
      </w:r>
      <w:r w:rsidRPr="003C42D1">
        <w:rPr>
          <w:rStyle w:val="None"/>
          <w:rFonts w:ascii="Arial Unicode MS" w:hAnsi="Arial Unicode MS" w:cs="Times New Roman"/>
          <w:sz w:val="24"/>
          <w:szCs w:val="24"/>
          <w:rtl/>
          <w:lang w:val="ar-SA"/>
        </w:rPr>
        <w:t>:</w:t>
      </w:r>
    </w:p>
    <w:p w14:paraId="1576F6C5" w14:textId="6C162FEE"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أظهرت الدراسة أن القواعد القانونية التقليدية لم تعد كافية لمواجهة الاعتداءات في البيئة الرقمية، في ظل سهولة نسخ المصنفات وانتشارها عبر نطاق عابر للحدود</w:t>
      </w:r>
      <w:r w:rsidRPr="003C42D1">
        <w:rPr>
          <w:rStyle w:val="None"/>
          <w:rFonts w:ascii="Arial Unicode MS" w:hAnsi="Arial Unicode MS" w:cs="Times New Roman"/>
          <w:sz w:val="24"/>
          <w:szCs w:val="24"/>
          <w:rtl/>
          <w:lang w:val="ar-SA"/>
        </w:rPr>
        <w:t>.</w:t>
      </w:r>
    </w:p>
    <w:p w14:paraId="0FE5AD00" w14:textId="00C9DB91"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كشفت الدراسة عن وجود قصور تشريعي في تنظيم مسؤولية المنصات الرقمية ومزودي خدمات الإنترنت، خاصة فيما يتعلق بآليات إزالة المحتوى المخالف وحدود المسؤولية القانونية</w:t>
      </w:r>
      <w:r w:rsidRPr="003C42D1">
        <w:rPr>
          <w:rStyle w:val="None"/>
          <w:rFonts w:ascii="Arial Unicode MS" w:hAnsi="Arial Unicode MS" w:cs="Times New Roman"/>
          <w:sz w:val="24"/>
          <w:szCs w:val="24"/>
          <w:rtl/>
          <w:lang w:val="ar-SA"/>
        </w:rPr>
        <w:t>.</w:t>
      </w:r>
    </w:p>
    <w:p w14:paraId="792A8CC6" w14:textId="1AD88C94"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تبين عدم وجود تعريف قانوني دقيق للمصنف الرقمي في بعض التشريعات، مما يؤدي إلى غموض في نطاق الحماية القانونية المقررة له</w:t>
      </w:r>
      <w:r w:rsidRPr="003C42D1">
        <w:rPr>
          <w:rStyle w:val="None"/>
          <w:rFonts w:ascii="Arial Unicode MS" w:hAnsi="Arial Unicode MS" w:cs="Times New Roman"/>
          <w:sz w:val="24"/>
          <w:szCs w:val="24"/>
          <w:rtl/>
          <w:lang w:val="ar-SA"/>
        </w:rPr>
        <w:t>.</w:t>
      </w:r>
    </w:p>
    <w:p w14:paraId="70677579" w14:textId="0F5B193A"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أثبتت الدراسة وجود صعوبات عملية وقانونية في تحديد الاختصاص القضائي في المنازعات الرقمية، نتيجة لتعدد أطراف العلاقة القانونية وتوزعها بين أكثر من دولة</w:t>
      </w:r>
      <w:r w:rsidRPr="003C42D1">
        <w:rPr>
          <w:rStyle w:val="None"/>
          <w:rFonts w:ascii="Arial Unicode MS" w:hAnsi="Arial Unicode MS" w:cs="Times New Roman"/>
          <w:sz w:val="24"/>
          <w:szCs w:val="24"/>
          <w:rtl/>
          <w:lang w:val="ar-SA"/>
        </w:rPr>
        <w:t>.</w:t>
      </w:r>
    </w:p>
    <w:p w14:paraId="4C12923A" w14:textId="1866EE42"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أكدت الدراسة غياب معيار موحد لتحديد القانون الواجب التطبيق في النزاعات الرقمية ذات الطابع الدولي، مما يؤدي إلى تضارب الأحكام وإضعاف الحماية القانونية</w:t>
      </w:r>
      <w:r w:rsidRPr="003C42D1">
        <w:rPr>
          <w:rStyle w:val="None"/>
          <w:rFonts w:ascii="Arial Unicode MS" w:hAnsi="Arial Unicode MS" w:cs="Times New Roman"/>
          <w:sz w:val="24"/>
          <w:szCs w:val="24"/>
          <w:rtl/>
          <w:lang w:val="ar-SA"/>
        </w:rPr>
        <w:t>.</w:t>
      </w:r>
    </w:p>
    <w:p w14:paraId="7F808ADE" w14:textId="042309D0"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أظهرت النتائج قصور وسائل الإثبات التقليدية في التعامل مع الأدلة الرقمية، خاصة في ظل الطبيعة التقنية المعقدة لهذه الأدلة</w:t>
      </w:r>
      <w:r w:rsidRPr="003C42D1">
        <w:rPr>
          <w:rStyle w:val="None"/>
          <w:rFonts w:ascii="Arial Unicode MS" w:hAnsi="Arial Unicode MS" w:cs="Times New Roman"/>
          <w:sz w:val="24"/>
          <w:szCs w:val="24"/>
          <w:rtl/>
          <w:lang w:val="ar-SA"/>
        </w:rPr>
        <w:t>.</w:t>
      </w:r>
    </w:p>
    <w:p w14:paraId="015C51A6" w14:textId="52E0328D"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أبرزت الدراسة إمكانية الاستفادة من التقنيات الحديثة، مثل تقنية البلوكشين، في توثيق المصنفات الرقمية وإثبات ملكيتها، إلا أن ذلك لا يزال محدوداً في ظل غياب تنظيم تشريعي واضح يحدد حجيتها القانونية</w:t>
      </w:r>
      <w:r w:rsidRPr="003C42D1">
        <w:rPr>
          <w:rStyle w:val="None"/>
          <w:rFonts w:ascii="Arial Unicode MS" w:hAnsi="Arial Unicode MS" w:cs="Times New Roman"/>
          <w:sz w:val="24"/>
          <w:szCs w:val="24"/>
          <w:rtl/>
          <w:lang w:val="ar-SA"/>
        </w:rPr>
        <w:t>.</w:t>
      </w:r>
    </w:p>
    <w:p w14:paraId="4DB50F77" w14:textId="68F92D32"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كشفت الدراسة عن عدم وضوح المركز القانوني للمصنفات الناتجة عن تقنيات الذكاء الاصطناعي، مما يثير إشكالات تتعلق بصفة المؤلف وحدود الحماية</w:t>
      </w:r>
      <w:r w:rsidRPr="003C42D1">
        <w:rPr>
          <w:rStyle w:val="None"/>
          <w:rFonts w:ascii="Arial Unicode MS" w:hAnsi="Arial Unicode MS" w:cs="Times New Roman"/>
          <w:sz w:val="24"/>
          <w:szCs w:val="24"/>
          <w:rtl/>
          <w:lang w:val="ar-SA"/>
        </w:rPr>
        <w:t>.</w:t>
      </w:r>
    </w:p>
    <w:p w14:paraId="361F30FB" w14:textId="6D3B6F91" w:rsidR="00454428" w:rsidRPr="003C42D1" w:rsidRDefault="00C464EC">
      <w:pPr>
        <w:pStyle w:val="Body"/>
        <w:numPr>
          <w:ilvl w:val="0"/>
          <w:numId w:val="320"/>
        </w:numPr>
        <w:spacing w:before="120" w:after="120" w:line="360" w:lineRule="auto"/>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توصلت الدراسة إلى وجود فجوة واضحة بين التطور التكنولوجي المتسارع والإطار القانوني المنظم لحماية حقوق الملكية الفكرية في البيئة الرقمية</w:t>
      </w:r>
      <w:r w:rsidRPr="003C42D1">
        <w:rPr>
          <w:rStyle w:val="None"/>
          <w:rFonts w:ascii="Arial Unicode MS" w:hAnsi="Arial Unicode MS" w:cs="Times New Roman"/>
          <w:sz w:val="24"/>
          <w:szCs w:val="24"/>
          <w:rtl/>
          <w:lang w:val="ar-SA"/>
        </w:rPr>
        <w:t>.</w:t>
      </w:r>
    </w:p>
    <w:p w14:paraId="7157B6D8" w14:textId="749B9581" w:rsidR="00454428" w:rsidRPr="00C72BA8" w:rsidRDefault="00C464EC" w:rsidP="00C72BA8">
      <w:pPr>
        <w:pStyle w:val="Body"/>
        <w:spacing w:before="120" w:after="120" w:line="360" w:lineRule="auto"/>
        <w:outlineLvl w:val="0"/>
        <w:rPr>
          <w:rStyle w:val="None"/>
          <w:rFonts w:ascii="Times New Roman" w:eastAsia="Times New Roman" w:hAnsi="Times New Roman" w:cs="Times New Roman"/>
          <w:b/>
          <w:bCs/>
          <w:sz w:val="28"/>
          <w:szCs w:val="28"/>
        </w:rPr>
      </w:pPr>
      <w:bookmarkStart w:id="276" w:name="_Toc232260716"/>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التوصيات</w:t>
      </w:r>
      <w:bookmarkEnd w:id="276"/>
    </w:p>
    <w:p w14:paraId="4D0E7182" w14:textId="77777777" w:rsidR="00454428" w:rsidRPr="003C42D1" w:rsidRDefault="00C464EC" w:rsidP="003C42D1">
      <w:pPr>
        <w:pStyle w:val="Body"/>
        <w:spacing w:before="120" w:after="120" w:line="360" w:lineRule="auto"/>
        <w:ind w:firstLine="720"/>
        <w:jc w:val="both"/>
        <w:rPr>
          <w:rStyle w:val="None"/>
          <w:rFonts w:ascii="Arial Unicode MS" w:hAnsi="Arial Unicode MS"/>
          <w:sz w:val="24"/>
          <w:szCs w:val="24"/>
          <w:rtl/>
          <w:lang w:val="ar-SA"/>
        </w:rPr>
      </w:pPr>
      <w:r w:rsidRPr="003C42D1">
        <w:rPr>
          <w:rStyle w:val="None"/>
          <w:rFonts w:ascii="Arial Unicode MS" w:hAnsi="Arial Unicode MS" w:cs="Times New Roman" w:hint="cs"/>
          <w:sz w:val="24"/>
          <w:szCs w:val="24"/>
          <w:rtl/>
          <w:lang w:val="ar-SA"/>
        </w:rPr>
        <w:t>في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ضوء</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ما</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توصلت</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إليه</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الدراسة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من</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نتائج،</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وبهدف</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تعزيز</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الحماية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القانونية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لحقوق</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الملكية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الفكرية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في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البيئة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الرقمية،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يوصي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الباحث</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بمجموعة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من</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التدابير</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التشريعية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والقضائية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والتقنية،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وذلك</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على</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النحو</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الآتي</w:t>
      </w:r>
      <w:r w:rsidRPr="003C42D1">
        <w:rPr>
          <w:rStyle w:val="None"/>
          <w:rFonts w:ascii="Arial Unicode MS" w:hAnsi="Arial Unicode MS" w:cs="Times New Roman"/>
          <w:sz w:val="24"/>
          <w:szCs w:val="24"/>
          <w:rtl/>
          <w:lang w:val="ar-SA"/>
        </w:rPr>
        <w:t>:</w:t>
      </w:r>
    </w:p>
    <w:p w14:paraId="3E25576D" w14:textId="77777777" w:rsidR="00454428" w:rsidRDefault="00C464EC" w:rsidP="00C72BA8">
      <w:pPr>
        <w:pStyle w:val="BodyA"/>
        <w:spacing w:before="120" w:after="120" w:line="360" w:lineRule="auto"/>
        <w:rPr>
          <w:rFonts w:ascii="Times New Roman" w:eastAsia="Times New Roman" w:hAnsi="Times New Roman" w:cs="Times New Roman" w:hint="default"/>
          <w:b/>
          <w:bCs/>
          <w:sz w:val="24"/>
          <w:szCs w:val="24"/>
          <w:rtl/>
          <w:lang w:val="ar-SA"/>
        </w:rPr>
      </w:pPr>
      <w:r>
        <w:rPr>
          <w:rFonts w:cs="Times New Roman"/>
          <w:b/>
          <w:bCs/>
          <w:sz w:val="24"/>
          <w:szCs w:val="24"/>
          <w:rtl/>
          <w:lang w:val="ar-SA"/>
        </w:rPr>
        <w:t xml:space="preserve"> أولاً</w:t>
      </w:r>
      <w:r>
        <w:rPr>
          <w:rFonts w:ascii="Times New Roman" w:hAnsi="Times New Roman"/>
          <w:b/>
          <w:bCs/>
          <w:sz w:val="24"/>
          <w:szCs w:val="24"/>
          <w:rtl/>
          <w:lang w:val="ar-SA"/>
        </w:rPr>
        <w:t xml:space="preserve">: </w:t>
      </w:r>
      <w:r>
        <w:rPr>
          <w:rFonts w:cs="Times New Roman"/>
          <w:b/>
          <w:bCs/>
          <w:sz w:val="24"/>
          <w:szCs w:val="24"/>
          <w:rtl/>
          <w:lang w:val="ar-SA"/>
        </w:rPr>
        <w:t>التوصيات التشريعية</w:t>
      </w:r>
    </w:p>
    <w:p w14:paraId="3997CA36" w14:textId="09FA7D72" w:rsidR="00454428"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Pr>
          <w:rFonts w:cs="Times New Roman"/>
          <w:sz w:val="24"/>
          <w:szCs w:val="24"/>
          <w:rtl/>
          <w:lang w:val="ar-SA"/>
        </w:rPr>
        <w:t>إدراج تعريف قانوني صريح للمصنف الرقمي ضمن التشريعات الوطنية، بما يضمن وضوح نطاق الحماية القانونية</w:t>
      </w:r>
      <w:r>
        <w:rPr>
          <w:rFonts w:ascii="Times New Roman" w:hAnsi="Times New Roman"/>
          <w:sz w:val="24"/>
          <w:szCs w:val="24"/>
          <w:rtl/>
          <w:lang w:val="ar-SA"/>
        </w:rPr>
        <w:t>.</w:t>
      </w:r>
    </w:p>
    <w:p w14:paraId="0F355CC0" w14:textId="679A4A04" w:rsidR="00454428"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Pr>
          <w:rFonts w:cs="Times New Roman"/>
          <w:sz w:val="24"/>
          <w:szCs w:val="24"/>
          <w:rtl/>
          <w:lang w:val="ar-SA"/>
        </w:rPr>
        <w:t>استحداث تنظيم قانوني متكامل لمسؤولية المنصات الرقمية ومزودي خدمات الإنترنت، يتضمن آليات واضحة لإزالة المحتوى المخالف، مع تحديد حدود المسؤولية القانونية بشكل دقيق</w:t>
      </w:r>
      <w:r>
        <w:rPr>
          <w:rFonts w:ascii="Times New Roman" w:hAnsi="Times New Roman"/>
          <w:sz w:val="24"/>
          <w:szCs w:val="24"/>
          <w:rtl/>
          <w:lang w:val="ar-SA"/>
        </w:rPr>
        <w:t>.</w:t>
      </w:r>
    </w:p>
    <w:p w14:paraId="0D33F125" w14:textId="673A143D" w:rsidR="00454428"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Pr>
          <w:rFonts w:cs="Times New Roman"/>
          <w:sz w:val="24"/>
          <w:szCs w:val="24"/>
          <w:rtl/>
          <w:lang w:val="ar-SA"/>
        </w:rPr>
        <w:t>وضع قواعد قانونية خاصة بتنظيم الاختصاص القضائي في المنازعات الرقمية، مع اعتماد معيار مرن يجمع بين مكان وقوع الضرر ومكان إقامة المدعى عليه</w:t>
      </w:r>
      <w:r>
        <w:rPr>
          <w:rFonts w:ascii="Times New Roman" w:hAnsi="Times New Roman"/>
          <w:sz w:val="24"/>
          <w:szCs w:val="24"/>
          <w:rtl/>
          <w:lang w:val="ar-SA"/>
        </w:rPr>
        <w:t>.</w:t>
      </w:r>
    </w:p>
    <w:p w14:paraId="661AE9EF" w14:textId="77777777" w:rsidR="003C42D1"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Pr>
          <w:rFonts w:cs="Times New Roman"/>
          <w:sz w:val="24"/>
          <w:szCs w:val="24"/>
          <w:rtl/>
          <w:lang w:val="ar-SA"/>
        </w:rPr>
        <w:t xml:space="preserve">سنّ نصوص قانونية تنظم حجية الأدلة الرقمية، مع الاعتراف بالتقنيات الحديثة </w:t>
      </w:r>
      <w:r>
        <w:rPr>
          <w:rFonts w:ascii="Times New Roman" w:hAnsi="Times New Roman" w:hint="default"/>
          <w:sz w:val="24"/>
          <w:szCs w:val="24"/>
          <w:rtl/>
          <w:lang w:val="ar-SA"/>
        </w:rPr>
        <w:t xml:space="preserve">– </w:t>
      </w:r>
      <w:r>
        <w:rPr>
          <w:rFonts w:cs="Times New Roman"/>
          <w:sz w:val="24"/>
          <w:szCs w:val="24"/>
          <w:rtl/>
          <w:lang w:val="ar-SA"/>
        </w:rPr>
        <w:t xml:space="preserve">مثل البلوكشين </w:t>
      </w:r>
      <w:r>
        <w:rPr>
          <w:rFonts w:ascii="Times New Roman" w:hAnsi="Times New Roman" w:hint="default"/>
          <w:sz w:val="24"/>
          <w:szCs w:val="24"/>
          <w:rtl/>
          <w:lang w:val="ar-SA"/>
        </w:rPr>
        <w:t xml:space="preserve">– </w:t>
      </w:r>
      <w:r>
        <w:rPr>
          <w:rFonts w:cs="Times New Roman"/>
          <w:sz w:val="24"/>
          <w:szCs w:val="24"/>
          <w:rtl/>
          <w:lang w:val="ar-SA"/>
        </w:rPr>
        <w:t>كوسيلة إثبات معتبرة</w:t>
      </w:r>
      <w:r>
        <w:rPr>
          <w:rFonts w:ascii="Times New Roman" w:hAnsi="Times New Roman"/>
          <w:sz w:val="24"/>
          <w:szCs w:val="24"/>
          <w:rtl/>
          <w:lang w:val="ar-SA"/>
        </w:rPr>
        <w:t>.</w:t>
      </w:r>
    </w:p>
    <w:p w14:paraId="5679D5F9" w14:textId="4BDC8659" w:rsidR="00454428" w:rsidRPr="003C42D1"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sidRPr="003C42D1">
        <w:rPr>
          <w:rFonts w:cs="Times New Roman"/>
          <w:sz w:val="24"/>
          <w:szCs w:val="24"/>
          <w:rtl/>
          <w:lang w:val="ar-SA"/>
        </w:rPr>
        <w:t>تطوير إطار قانوني ينظم المصنفات الناتجة عن تقنيات الذكاء الاصطناعي، من حيث تحديد صفة المؤلف والحقوق المترتبة عليها</w:t>
      </w:r>
      <w:r w:rsidRPr="003C42D1">
        <w:rPr>
          <w:rFonts w:ascii="Times New Roman" w:hAnsi="Times New Roman"/>
          <w:sz w:val="24"/>
          <w:szCs w:val="24"/>
          <w:rtl/>
          <w:lang w:val="ar-SA"/>
        </w:rPr>
        <w:t>.</w:t>
      </w:r>
    </w:p>
    <w:p w14:paraId="1B128CB9" w14:textId="77777777" w:rsidR="00454428" w:rsidRDefault="00C464EC" w:rsidP="00C72BA8">
      <w:pPr>
        <w:pStyle w:val="BodyA"/>
        <w:spacing w:before="120" w:after="120" w:line="360" w:lineRule="auto"/>
        <w:rPr>
          <w:rFonts w:ascii="Times New Roman" w:eastAsia="Times New Roman" w:hAnsi="Times New Roman" w:cs="Times New Roman" w:hint="default"/>
          <w:b/>
          <w:bCs/>
          <w:sz w:val="24"/>
          <w:szCs w:val="24"/>
          <w:rtl/>
          <w:lang w:val="ar-SA"/>
        </w:rPr>
      </w:pPr>
      <w:r>
        <w:rPr>
          <w:rFonts w:cs="Times New Roman"/>
          <w:b/>
          <w:bCs/>
          <w:sz w:val="24"/>
          <w:szCs w:val="24"/>
          <w:rtl/>
          <w:lang w:val="ar-SA"/>
        </w:rPr>
        <w:t xml:space="preserve"> ثانياً</w:t>
      </w:r>
      <w:r>
        <w:rPr>
          <w:rFonts w:ascii="Times New Roman" w:hAnsi="Times New Roman"/>
          <w:b/>
          <w:bCs/>
          <w:sz w:val="24"/>
          <w:szCs w:val="24"/>
          <w:rtl/>
          <w:lang w:val="ar-SA"/>
        </w:rPr>
        <w:t xml:space="preserve">: </w:t>
      </w:r>
      <w:r>
        <w:rPr>
          <w:rFonts w:cs="Times New Roman"/>
          <w:b/>
          <w:bCs/>
          <w:sz w:val="24"/>
          <w:szCs w:val="24"/>
          <w:rtl/>
          <w:lang w:val="ar-SA"/>
        </w:rPr>
        <w:t>التوصيات القضائية والإجرائية</w:t>
      </w:r>
    </w:p>
    <w:p w14:paraId="31AD51D3" w14:textId="6C005B38" w:rsidR="00454428" w:rsidRPr="00D0796A" w:rsidRDefault="00C464EC">
      <w:pPr>
        <w:pStyle w:val="BodyA"/>
        <w:numPr>
          <w:ilvl w:val="0"/>
          <w:numId w:val="322"/>
        </w:numPr>
        <w:spacing w:before="120" w:after="120" w:line="360" w:lineRule="auto"/>
        <w:jc w:val="both"/>
        <w:rPr>
          <w:rFonts w:cs="Arial Unicode MS" w:hint="default"/>
          <w:sz w:val="24"/>
          <w:szCs w:val="24"/>
          <w:rtl/>
          <w:lang w:val="ar-SA"/>
        </w:rPr>
      </w:pPr>
      <w:r>
        <w:rPr>
          <w:rFonts w:cs="Times New Roman"/>
          <w:sz w:val="24"/>
          <w:szCs w:val="24"/>
          <w:rtl/>
          <w:lang w:val="ar-SA"/>
        </w:rPr>
        <w:t>إنشاء دوائر قضائية متخصصة في منازعات الملكية الفكرية الرقمية، بما يسهم في رفع كفاءة الفصل في هذا النوع من القضايا</w:t>
      </w:r>
      <w:r w:rsidRPr="00D0796A">
        <w:rPr>
          <w:rFonts w:cs="Times New Roman"/>
          <w:sz w:val="24"/>
          <w:szCs w:val="24"/>
          <w:rtl/>
          <w:lang w:val="ar-SA"/>
        </w:rPr>
        <w:t>.</w:t>
      </w:r>
    </w:p>
    <w:p w14:paraId="6128E377" w14:textId="1380503F" w:rsidR="00454428" w:rsidRPr="00D0796A" w:rsidRDefault="00C464EC">
      <w:pPr>
        <w:pStyle w:val="BodyA"/>
        <w:numPr>
          <w:ilvl w:val="0"/>
          <w:numId w:val="322"/>
        </w:numPr>
        <w:spacing w:before="120" w:after="120" w:line="360" w:lineRule="auto"/>
        <w:jc w:val="both"/>
        <w:rPr>
          <w:rFonts w:cs="Arial Unicode MS" w:hint="default"/>
          <w:sz w:val="24"/>
          <w:szCs w:val="24"/>
          <w:rtl/>
          <w:lang w:val="ar-SA"/>
        </w:rPr>
      </w:pPr>
      <w:r>
        <w:rPr>
          <w:rFonts w:cs="Times New Roman"/>
          <w:sz w:val="24"/>
          <w:szCs w:val="24"/>
          <w:rtl/>
          <w:lang w:val="ar-SA"/>
        </w:rPr>
        <w:t>إعداد برامج تدريبية متخصصة للقضاة في مجال الأدلة الرقمية، تشمل الجوانب التقنية والعملية المرتبطة بها</w:t>
      </w:r>
      <w:r w:rsidRPr="00D0796A">
        <w:rPr>
          <w:rFonts w:cs="Times New Roman"/>
          <w:sz w:val="24"/>
          <w:szCs w:val="24"/>
          <w:rtl/>
          <w:lang w:val="ar-SA"/>
        </w:rPr>
        <w:t>.</w:t>
      </w:r>
    </w:p>
    <w:p w14:paraId="5DF397C1" w14:textId="78776C7E" w:rsidR="00454428" w:rsidRPr="00D0796A" w:rsidRDefault="00C464EC">
      <w:pPr>
        <w:pStyle w:val="BodyA"/>
        <w:numPr>
          <w:ilvl w:val="0"/>
          <w:numId w:val="322"/>
        </w:numPr>
        <w:spacing w:before="120" w:after="120" w:line="360" w:lineRule="auto"/>
        <w:jc w:val="both"/>
        <w:rPr>
          <w:rFonts w:cs="Arial Unicode MS" w:hint="default"/>
          <w:sz w:val="24"/>
          <w:szCs w:val="24"/>
          <w:rtl/>
          <w:lang w:val="ar-SA"/>
        </w:rPr>
      </w:pPr>
      <w:r>
        <w:rPr>
          <w:rFonts w:cs="Times New Roman"/>
          <w:sz w:val="24"/>
          <w:szCs w:val="24"/>
          <w:rtl/>
          <w:lang w:val="ar-SA"/>
        </w:rPr>
        <w:t>إنشاء وحدات فنية متخصصة داخل المحاكم لدعم القضاة في تحليل الأدلة الرقمية وتقديم المشورة الفنية</w:t>
      </w:r>
      <w:r w:rsidRPr="00D0796A">
        <w:rPr>
          <w:rFonts w:cs="Times New Roman"/>
          <w:sz w:val="24"/>
          <w:szCs w:val="24"/>
          <w:rtl/>
          <w:lang w:val="ar-SA"/>
        </w:rPr>
        <w:t>.</w:t>
      </w:r>
    </w:p>
    <w:p w14:paraId="6511B196" w14:textId="77777777" w:rsidR="00454428" w:rsidRDefault="00C464EC" w:rsidP="00C72BA8">
      <w:pPr>
        <w:pStyle w:val="BodyA"/>
        <w:spacing w:before="120" w:after="120" w:line="360" w:lineRule="auto"/>
        <w:rPr>
          <w:rFonts w:ascii="Times New Roman" w:eastAsia="Times New Roman" w:hAnsi="Times New Roman" w:cs="Times New Roman" w:hint="default"/>
          <w:b/>
          <w:bCs/>
          <w:sz w:val="24"/>
          <w:szCs w:val="24"/>
          <w:rtl/>
          <w:lang w:val="ar-SA"/>
        </w:rPr>
      </w:pPr>
      <w:r>
        <w:rPr>
          <w:rFonts w:cs="Times New Roman"/>
          <w:b/>
          <w:bCs/>
          <w:sz w:val="24"/>
          <w:szCs w:val="24"/>
          <w:rtl/>
          <w:lang w:val="ar-SA"/>
        </w:rPr>
        <w:t xml:space="preserve"> ثالثاً</w:t>
      </w:r>
      <w:r>
        <w:rPr>
          <w:rFonts w:ascii="Times New Roman" w:hAnsi="Times New Roman"/>
          <w:b/>
          <w:bCs/>
          <w:sz w:val="24"/>
          <w:szCs w:val="24"/>
          <w:rtl/>
          <w:lang w:val="ar-SA"/>
        </w:rPr>
        <w:t xml:space="preserve">: </w:t>
      </w:r>
      <w:r>
        <w:rPr>
          <w:rFonts w:cs="Times New Roman"/>
          <w:b/>
          <w:bCs/>
          <w:sz w:val="24"/>
          <w:szCs w:val="24"/>
          <w:rtl/>
          <w:lang w:val="ar-SA"/>
        </w:rPr>
        <w:t>التوصيات التقنية والتنظيمية</w:t>
      </w:r>
    </w:p>
    <w:p w14:paraId="72D6A599" w14:textId="2123FF16" w:rsidR="00454428" w:rsidRPr="00D0796A" w:rsidRDefault="00C464EC">
      <w:pPr>
        <w:pStyle w:val="BodyA"/>
        <w:numPr>
          <w:ilvl w:val="0"/>
          <w:numId w:val="323"/>
        </w:numPr>
        <w:spacing w:before="120" w:after="120" w:line="360" w:lineRule="auto"/>
        <w:jc w:val="both"/>
        <w:rPr>
          <w:rFonts w:cs="Arial Unicode MS" w:hint="default"/>
          <w:sz w:val="24"/>
          <w:szCs w:val="24"/>
          <w:rtl/>
          <w:lang w:val="ar-SA"/>
        </w:rPr>
      </w:pPr>
      <w:r>
        <w:rPr>
          <w:rFonts w:cs="Times New Roman"/>
          <w:sz w:val="24"/>
          <w:szCs w:val="24"/>
          <w:rtl/>
          <w:lang w:val="ar-SA"/>
        </w:rPr>
        <w:t>تعزيز التعاون بين الجهات المختصة ومزودي خدمات الإنترنت، بما يسهم في الحد من الانتهاكات الرقمية</w:t>
      </w:r>
      <w:r w:rsidRPr="00D0796A">
        <w:rPr>
          <w:rFonts w:cs="Times New Roman"/>
          <w:sz w:val="24"/>
          <w:szCs w:val="24"/>
          <w:rtl/>
          <w:lang w:val="ar-SA"/>
        </w:rPr>
        <w:t>.</w:t>
      </w:r>
    </w:p>
    <w:p w14:paraId="2F9BE42E" w14:textId="2DC10B0F" w:rsidR="00454428" w:rsidRPr="00D0796A" w:rsidRDefault="00C464EC">
      <w:pPr>
        <w:pStyle w:val="BodyA"/>
        <w:numPr>
          <w:ilvl w:val="0"/>
          <w:numId w:val="323"/>
        </w:numPr>
        <w:spacing w:before="120" w:after="120" w:line="360" w:lineRule="auto"/>
        <w:jc w:val="both"/>
        <w:rPr>
          <w:rFonts w:cs="Arial Unicode MS" w:hint="default"/>
          <w:sz w:val="24"/>
          <w:szCs w:val="24"/>
          <w:rtl/>
          <w:lang w:val="ar-SA"/>
        </w:rPr>
      </w:pPr>
      <w:r>
        <w:rPr>
          <w:rFonts w:cs="Times New Roman"/>
          <w:sz w:val="24"/>
          <w:szCs w:val="24"/>
          <w:rtl/>
          <w:lang w:val="ar-SA"/>
        </w:rPr>
        <w:t>الاستفادة من التقنيات الحديثة، مثل البلوكشين، في إنشاء سجلات رقمية موثوقة لتوثيق المصنفات الفكرية</w:t>
      </w:r>
      <w:r w:rsidRPr="00D0796A">
        <w:rPr>
          <w:rFonts w:cs="Times New Roman"/>
          <w:sz w:val="24"/>
          <w:szCs w:val="24"/>
          <w:rtl/>
          <w:lang w:val="ar-SA"/>
        </w:rPr>
        <w:t>.</w:t>
      </w:r>
    </w:p>
    <w:p w14:paraId="0A8D8D75" w14:textId="2C2BBAB8" w:rsidR="00454428" w:rsidRPr="00D0796A" w:rsidRDefault="00C464EC">
      <w:pPr>
        <w:pStyle w:val="BodyA"/>
        <w:numPr>
          <w:ilvl w:val="0"/>
          <w:numId w:val="323"/>
        </w:numPr>
        <w:spacing w:before="120" w:after="120" w:line="360" w:lineRule="auto"/>
        <w:jc w:val="both"/>
        <w:rPr>
          <w:rFonts w:cs="Arial Unicode MS" w:hint="default"/>
          <w:sz w:val="24"/>
          <w:szCs w:val="24"/>
          <w:rtl/>
          <w:lang w:val="ar-SA"/>
        </w:rPr>
      </w:pPr>
      <w:r>
        <w:rPr>
          <w:rFonts w:cs="Times New Roman"/>
          <w:sz w:val="24"/>
          <w:szCs w:val="24"/>
          <w:rtl/>
          <w:lang w:val="ar-SA"/>
        </w:rPr>
        <w:t>تطوير آليات تقنية فعالة لرصد المحتوى المخالف وإزالته بشكل سريع</w:t>
      </w:r>
      <w:r w:rsidRPr="00D0796A">
        <w:rPr>
          <w:rFonts w:cs="Times New Roman"/>
          <w:sz w:val="24"/>
          <w:szCs w:val="24"/>
          <w:rtl/>
          <w:lang w:val="ar-SA"/>
        </w:rPr>
        <w:t>.</w:t>
      </w:r>
    </w:p>
    <w:p w14:paraId="4D7F9922" w14:textId="3617EAA7" w:rsidR="00C72BA8" w:rsidRPr="00C72BA8" w:rsidRDefault="00C464EC">
      <w:pPr>
        <w:pStyle w:val="BodyA"/>
        <w:numPr>
          <w:ilvl w:val="0"/>
          <w:numId w:val="323"/>
        </w:numPr>
        <w:spacing w:before="120" w:after="120" w:line="360" w:lineRule="auto"/>
        <w:jc w:val="both"/>
        <w:rPr>
          <w:rStyle w:val="None"/>
          <w:rFonts w:ascii="Times New Roman" w:hAnsi="Times New Roman" w:cs="Times New Roman" w:hint="default"/>
          <w:sz w:val="24"/>
          <w:szCs w:val="24"/>
          <w:rtl/>
          <w:lang w:val="ar-SA"/>
        </w:rPr>
      </w:pPr>
      <w:r>
        <w:rPr>
          <w:rFonts w:cs="Times New Roman"/>
          <w:sz w:val="24"/>
          <w:szCs w:val="24"/>
          <w:rtl/>
          <w:lang w:val="ar-SA"/>
        </w:rPr>
        <w:t>العمل على تطوير إطار وطني متكامل لحوكمة البيئة الرقمية، يحقق التوازن بين حماية حقوق الملكية الفكرية وتشجيع الابتكار</w:t>
      </w:r>
      <w:r>
        <w:rPr>
          <w:rFonts w:ascii="Times New Roman" w:hAnsi="Times New Roman"/>
          <w:sz w:val="24"/>
          <w:szCs w:val="24"/>
          <w:rtl/>
          <w:lang w:val="ar-SA"/>
        </w:rPr>
        <w:t>.</w:t>
      </w:r>
    </w:p>
    <w:p w14:paraId="198B985F" w14:textId="4E91CFB3" w:rsidR="00C72BA8" w:rsidRPr="00DB607F"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r w:rsidRPr="00DB607F">
        <w:rPr>
          <w:rStyle w:val="None"/>
          <w:rFonts w:ascii="Times New Roman" w:eastAsia="Times New Roman" w:hAnsi="Times New Roman" w:cs="Times New Roman"/>
          <w:b/>
          <w:bCs/>
          <w:sz w:val="24"/>
          <w:szCs w:val="24"/>
          <w:rtl/>
          <w:lang w:val="ar-SA"/>
        </w:rPr>
        <w:t>المقترحات التشريعية والتقنية المستخلصة من الدراسة:</w:t>
      </w:r>
    </w:p>
    <w:p w14:paraId="1B61345A" w14:textId="655F3C5D" w:rsidR="00C72BA8" w:rsidRPr="00FB3269" w:rsidRDefault="00C72BA8">
      <w:pPr>
        <w:pStyle w:val="BodyA"/>
        <w:numPr>
          <w:ilvl w:val="0"/>
          <w:numId w:val="324"/>
        </w:numPr>
        <w:spacing w:before="120" w:after="120" w:line="360" w:lineRule="auto"/>
        <w:jc w:val="both"/>
        <w:rPr>
          <w:rFonts w:cs="Times New Roman" w:hint="default"/>
          <w:b/>
          <w:bCs/>
          <w:sz w:val="24"/>
          <w:szCs w:val="24"/>
          <w:highlight w:val="yellow"/>
          <w:rtl/>
          <w:lang w:val="ar-SA"/>
        </w:rPr>
      </w:pPr>
      <w:r w:rsidRPr="00FB3269">
        <w:rPr>
          <w:rFonts w:cs="Times New Roman"/>
          <w:b/>
          <w:bCs/>
          <w:sz w:val="24"/>
          <w:szCs w:val="24"/>
          <w:highlight w:val="yellow"/>
          <w:rtl/>
          <w:lang w:val="ar-SA"/>
        </w:rPr>
        <w:t>⁠مقترح "تعريف المصنف الرقمي" (تعديل نظام حماية حقوق المؤلف)</w:t>
      </w:r>
    </w:p>
    <w:p w14:paraId="7B22313D" w14:textId="77777777" w:rsidR="00C72BA8" w:rsidRPr="00DB607F"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النص المقترح: "يُعدل نظام حماية حقوق المؤلف السعودي بإضافة تعريف للمصنف الرقمي في المادة الأولى كالتالي:</w:t>
      </w:r>
    </w:p>
    <w:p w14:paraId="69C7FB7A" w14:textId="77777777" w:rsidR="00C72BA8" w:rsidRPr="00DB607F"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 xml:space="preserve">المصنف الرقمي: هو كل عمل ابتكاري يتم إنشاؤه أو تثبيته أو نقله باستخدام وسائط تقنية، ويشمل ذلك المحتوى المولد برمجياً، وقواعد البيانات الرقمية، والمنشورات عبر المنصات الإلكترونية، وما يماثلها من صور رقمية."  </w:t>
      </w:r>
    </w:p>
    <w:p w14:paraId="38075D00" w14:textId="0CFA870E" w:rsidR="00C72BA8" w:rsidRPr="00FB3269" w:rsidRDefault="00C72BA8">
      <w:pPr>
        <w:pStyle w:val="BodyA"/>
        <w:numPr>
          <w:ilvl w:val="0"/>
          <w:numId w:val="324"/>
        </w:numPr>
        <w:spacing w:before="120" w:after="120" w:line="360" w:lineRule="auto"/>
        <w:jc w:val="both"/>
        <w:rPr>
          <w:rFonts w:cs="Times New Roman" w:hint="default"/>
          <w:b/>
          <w:bCs/>
          <w:sz w:val="24"/>
          <w:szCs w:val="24"/>
          <w:highlight w:val="yellow"/>
          <w:rtl/>
          <w:lang w:val="ar-SA"/>
        </w:rPr>
      </w:pPr>
      <w:r w:rsidRPr="00FB3269">
        <w:rPr>
          <w:rFonts w:cs="Times New Roman"/>
          <w:b/>
          <w:bCs/>
          <w:sz w:val="24"/>
          <w:szCs w:val="24"/>
          <w:highlight w:val="yellow"/>
          <w:rtl/>
          <w:lang w:val="ar-SA"/>
        </w:rPr>
        <w:t>⁠مقترح "مسؤولية مزود الخدمة (</w:t>
      </w:r>
      <w:r w:rsidRPr="00FB3269">
        <w:rPr>
          <w:rFonts w:cs="Arial Unicode MS"/>
          <w:b/>
          <w:bCs/>
          <w:sz w:val="24"/>
          <w:szCs w:val="24"/>
          <w:highlight w:val="yellow"/>
          <w:rtl/>
          <w:lang w:val="ar-SA"/>
        </w:rPr>
        <w:t>ISP</w:t>
      </w:r>
      <w:r w:rsidRPr="00FB3269">
        <w:rPr>
          <w:rFonts w:cs="Times New Roman"/>
          <w:b/>
          <w:bCs/>
          <w:sz w:val="24"/>
          <w:szCs w:val="24"/>
          <w:highlight w:val="yellow"/>
          <w:rtl/>
          <w:lang w:val="ar-SA"/>
        </w:rPr>
        <w:t>)" وآلية الإخطار والحذف</w:t>
      </w:r>
    </w:p>
    <w:p w14:paraId="248AE5CB" w14:textId="0165DE46"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النص المقترح: "إضافة مادة تنظم مسؤولية الوسيط التقني نصها:</w:t>
      </w:r>
      <w:r w:rsidR="000315C1">
        <w:rPr>
          <w:rStyle w:val="None"/>
          <w:rFonts w:ascii="Times New Roman" w:eastAsia="Times New Roman" w:hAnsi="Times New Roman" w:cs="Times New Roman"/>
          <w:sz w:val="24"/>
          <w:szCs w:val="24"/>
          <w:rtl/>
          <w:lang w:val="ar-SA"/>
        </w:rPr>
        <w:t xml:space="preserve"> </w:t>
      </w:r>
      <w:r w:rsidRPr="00DB607F">
        <w:rPr>
          <w:rStyle w:val="None"/>
          <w:rFonts w:ascii="Times New Roman" w:eastAsia="Times New Roman" w:hAnsi="Times New Roman" w:cs="Times New Roman"/>
          <w:sz w:val="24"/>
          <w:szCs w:val="24"/>
          <w:rtl/>
          <w:lang w:val="ar-SA"/>
        </w:rPr>
        <w:t xml:space="preserve">لا يُسأل مزود الخدمة عن المحتوى المنتهك لحقوق الملكية الفكرية الذي يتم نشره من قبل الغير، شريطة التزامه بآلية (الإخطار والحذف الفوري) فور تبلغه بوجود انتهاك مثبت </w:t>
      </w:r>
      <w:r w:rsidRPr="00323404">
        <w:rPr>
          <w:rStyle w:val="None"/>
          <w:rFonts w:ascii="Times New Roman" w:eastAsia="Times New Roman" w:hAnsi="Times New Roman" w:cs="Times New Roman"/>
          <w:sz w:val="24"/>
          <w:szCs w:val="24"/>
          <w:highlight w:val="yellow"/>
          <w:rtl/>
          <w:lang w:val="ar-SA"/>
        </w:rPr>
        <w:t>بالبصمة الرقمية</w:t>
      </w:r>
      <w:r w:rsidRPr="00DB607F">
        <w:rPr>
          <w:rStyle w:val="None"/>
          <w:rFonts w:ascii="Times New Roman" w:eastAsia="Times New Roman" w:hAnsi="Times New Roman" w:cs="Times New Roman"/>
          <w:sz w:val="24"/>
          <w:szCs w:val="24"/>
          <w:rtl/>
          <w:lang w:val="ar-SA"/>
        </w:rPr>
        <w:t xml:space="preserve">، ووفقاً للمعايير التقنية التي تحددها الهيئة السعودية للملكية الفكرية."  </w:t>
      </w:r>
    </w:p>
    <w:p w14:paraId="7F9E596F" w14:textId="7AA259AC" w:rsidR="00C72BA8" w:rsidRPr="00323404" w:rsidRDefault="00C72BA8">
      <w:pPr>
        <w:pStyle w:val="BodyA"/>
        <w:numPr>
          <w:ilvl w:val="0"/>
          <w:numId w:val="324"/>
        </w:numPr>
        <w:spacing w:before="120" w:after="120" w:line="360" w:lineRule="auto"/>
        <w:jc w:val="both"/>
        <w:rPr>
          <w:rFonts w:cs="Times New Roman" w:hint="default"/>
          <w:b/>
          <w:bCs/>
          <w:sz w:val="24"/>
          <w:szCs w:val="24"/>
          <w:highlight w:val="yellow"/>
          <w:rtl/>
          <w:lang w:val="ar-SA"/>
        </w:rPr>
      </w:pPr>
      <w:r w:rsidRPr="00323404">
        <w:rPr>
          <w:rFonts w:cs="Times New Roman"/>
          <w:b/>
          <w:bCs/>
          <w:sz w:val="24"/>
          <w:szCs w:val="24"/>
          <w:highlight w:val="yellow"/>
          <w:rtl/>
          <w:lang w:val="ar-SA"/>
        </w:rPr>
        <w:t>⁠مقترح "إثبات الانتهاكات عبر البلوكشين" (الجانب القضائي)</w:t>
      </w:r>
    </w:p>
    <w:p w14:paraId="5DB77F41" w14:textId="4394DA4A"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التوصية: "التوصية بتعديل اللائحة التنفيذية لنظام الإثبات لتشمل النص على:</w:t>
      </w:r>
      <w:r w:rsidR="000315C1">
        <w:rPr>
          <w:rStyle w:val="None"/>
          <w:rFonts w:ascii="Times New Roman" w:eastAsia="Times New Roman" w:hAnsi="Times New Roman" w:cs="Times New Roman"/>
          <w:sz w:val="24"/>
          <w:szCs w:val="24"/>
          <w:rtl/>
          <w:lang w:val="ar-SA"/>
        </w:rPr>
        <w:t xml:space="preserve"> </w:t>
      </w:r>
      <w:r w:rsidRPr="00DB607F">
        <w:rPr>
          <w:rStyle w:val="None"/>
          <w:rFonts w:ascii="Times New Roman" w:eastAsia="Times New Roman" w:hAnsi="Times New Roman" w:cs="Times New Roman"/>
          <w:sz w:val="24"/>
          <w:szCs w:val="24"/>
          <w:rtl/>
          <w:lang w:val="ar-SA"/>
        </w:rPr>
        <w:t xml:space="preserve">تُعد سجلات تقنية (البلوكشين) الموثقة دليلاً رقمياً معتبراً في إثبات أسبقية الابتكار وتاريخ النشر الرقمي أمام المحاكم التجارية، ويتم اعتمادها كـ 'معاينة فنية' متى ما استوفت المعايير التقنية للأمان."  </w:t>
      </w:r>
    </w:p>
    <w:p w14:paraId="6399BD99" w14:textId="654E3278" w:rsidR="00C72BA8" w:rsidRPr="000F0174" w:rsidRDefault="00C72BA8">
      <w:pPr>
        <w:pStyle w:val="BodyA"/>
        <w:numPr>
          <w:ilvl w:val="0"/>
          <w:numId w:val="324"/>
        </w:numPr>
        <w:spacing w:before="120" w:after="120" w:line="360" w:lineRule="auto"/>
        <w:jc w:val="both"/>
        <w:rPr>
          <w:rFonts w:cs="Times New Roman" w:hint="default"/>
          <w:b/>
          <w:bCs/>
          <w:sz w:val="24"/>
          <w:szCs w:val="24"/>
          <w:rtl/>
          <w:lang w:val="ar-SA"/>
        </w:rPr>
      </w:pPr>
      <w:r w:rsidRPr="000F0174">
        <w:rPr>
          <w:rFonts w:cs="Times New Roman"/>
          <w:b/>
          <w:bCs/>
          <w:sz w:val="24"/>
          <w:szCs w:val="24"/>
          <w:rtl/>
          <w:lang w:val="ar-SA"/>
        </w:rPr>
        <w:t>حل "المعضلة الإجرائية" (تنازع القوانين)</w:t>
      </w:r>
    </w:p>
    <w:p w14:paraId="1C0B8062" w14:textId="77777777"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 xml:space="preserve">التوصية: "نقترح تبني (قاعدة بلد المنشأ الرقمي) في تحديد القانون واجب التطبيق، بحيث ينعقد الاختصاص القضائي للمحكمة التي يقع في دائرتها مقر إقامة المؤلف أو مقر مزود الخدمة الذي استضاف المحتوى المنتهك أول مرة، مع تفعيل اتفاقيات التعاون القضائي الرقمي لتبادل البيانات فور حدوث الاعتداء."  </w:t>
      </w:r>
    </w:p>
    <w:p w14:paraId="0048F55D" w14:textId="01AAAF09" w:rsidR="00C72BA8" w:rsidRPr="000B6E77" w:rsidRDefault="00C72BA8">
      <w:pPr>
        <w:pStyle w:val="BodyA"/>
        <w:numPr>
          <w:ilvl w:val="0"/>
          <w:numId w:val="324"/>
        </w:numPr>
        <w:spacing w:before="120" w:after="120" w:line="360" w:lineRule="auto"/>
        <w:jc w:val="both"/>
        <w:rPr>
          <w:rFonts w:cs="Times New Roman" w:hint="default"/>
          <w:b/>
          <w:bCs/>
          <w:sz w:val="24"/>
          <w:szCs w:val="24"/>
          <w:highlight w:val="yellow"/>
          <w:rtl/>
          <w:lang w:val="ar-SA"/>
        </w:rPr>
      </w:pPr>
      <w:r w:rsidRPr="000B6E77">
        <w:rPr>
          <w:rFonts w:cs="Times New Roman"/>
          <w:b/>
          <w:bCs/>
          <w:sz w:val="24"/>
          <w:szCs w:val="24"/>
          <w:highlight w:val="yellow"/>
          <w:rtl/>
          <w:lang w:val="ar-SA"/>
        </w:rPr>
        <w:t>⁠معالجة "الذكاء الاصطناعي"</w:t>
      </w:r>
    </w:p>
    <w:p w14:paraId="71AD9603" w14:textId="09F9A863" w:rsidR="0045442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 xml:space="preserve">النتيجة المقترحة: "خلصت الدراسة إلى ضرورة منح الحماية القانونية للمصنفات المولدة عبر الذكاء الاصطناعي كحقوق مجاورة، مع تحديد مسؤولية قانونية تضامنية بين مبرمج الخوارزمية والمستخدم الذي وجه الذكاء الاصطناعي لإنتاج </w:t>
      </w:r>
      <w:commentRangeStart w:id="277"/>
      <w:r w:rsidRPr="00DB607F">
        <w:rPr>
          <w:rStyle w:val="None"/>
          <w:rFonts w:ascii="Times New Roman" w:eastAsia="Times New Roman" w:hAnsi="Times New Roman" w:cs="Times New Roman"/>
          <w:sz w:val="24"/>
          <w:szCs w:val="24"/>
          <w:rtl/>
          <w:lang w:val="ar-SA"/>
        </w:rPr>
        <w:t>العمل</w:t>
      </w:r>
      <w:commentRangeEnd w:id="277"/>
      <w:r w:rsidR="000B6E77">
        <w:rPr>
          <w:rStyle w:val="CommentReference"/>
          <w:rFonts w:ascii="Times New Roman" w:hAnsi="Times New Roman" w:cs="Times New Roman" w:hint="default"/>
          <w:color w:val="auto"/>
          <w14:textOutline w14:w="0" w14:cap="rnd" w14:cmpd="sng" w14:algn="ctr">
            <w14:noFill/>
            <w14:prstDash w14:val="solid"/>
            <w14:bevel/>
          </w14:textOutline>
        </w:rPr>
        <w:commentReference w:id="277"/>
      </w:r>
      <w:r w:rsidRPr="00DB607F">
        <w:rPr>
          <w:rStyle w:val="None"/>
          <w:rFonts w:ascii="Times New Roman" w:eastAsia="Times New Roman" w:hAnsi="Times New Roman" w:cs="Times New Roman"/>
          <w:sz w:val="24"/>
          <w:szCs w:val="24"/>
          <w:rtl/>
          <w:lang w:val="ar-SA"/>
        </w:rPr>
        <w:t>."</w:t>
      </w:r>
    </w:p>
    <w:p w14:paraId="2B60F2A4" w14:textId="77777777" w:rsidR="00454428" w:rsidRDefault="0045442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56A16CF3"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7992EEDC"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4D6E15F5" w14:textId="77777777" w:rsidR="00C72BA8" w:rsidRDefault="00C72BA8" w:rsidP="00B30BC9">
      <w:pPr>
        <w:pStyle w:val="BodyA"/>
        <w:bidi w:val="0"/>
        <w:spacing w:before="120" w:after="120" w:line="360" w:lineRule="auto"/>
        <w:rPr>
          <w:rStyle w:val="None"/>
          <w:rFonts w:ascii="Times New Roman" w:eastAsia="Times New Roman" w:hAnsi="Times New Roman" w:cs="Times New Roman" w:hint="default"/>
          <w:b/>
          <w:bCs/>
          <w:sz w:val="24"/>
          <w:szCs w:val="24"/>
        </w:rPr>
      </w:pPr>
    </w:p>
    <w:p w14:paraId="1A6D0370" w14:textId="77777777" w:rsidR="00DB607F" w:rsidRPr="00B30BC9" w:rsidRDefault="00DB607F" w:rsidP="00DB607F">
      <w:pPr>
        <w:pStyle w:val="BodyA"/>
        <w:bidi w:val="0"/>
        <w:spacing w:before="120" w:after="120" w:line="360" w:lineRule="auto"/>
        <w:rPr>
          <w:rStyle w:val="None"/>
          <w:rFonts w:ascii="Times New Roman" w:eastAsia="Times New Roman" w:hAnsi="Times New Roman" w:cs="Times New Roman" w:hint="default"/>
          <w:b/>
          <w:bCs/>
          <w:sz w:val="24"/>
          <w:szCs w:val="24"/>
        </w:rPr>
      </w:pPr>
    </w:p>
    <w:p w14:paraId="126346BF"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72F28E89" w14:textId="77777777" w:rsidR="000F0174" w:rsidRDefault="000F017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14959AA" w14:textId="50193AD3" w:rsidR="00454428" w:rsidRDefault="00C464EC" w:rsidP="00C72BA8">
      <w:pPr>
        <w:pStyle w:val="a"/>
        <w:rPr>
          <w:rStyle w:val="None"/>
          <w:b w:val="0"/>
          <w:bCs w:val="0"/>
          <w:rtl/>
          <w:lang w:val="ar-SA"/>
        </w:rPr>
      </w:pPr>
      <w:bookmarkStart w:id="278" w:name="_Toc227251142"/>
      <w:bookmarkStart w:id="279" w:name="_Toc232260717"/>
      <w:r>
        <w:rPr>
          <w:rStyle w:val="None"/>
          <w:rFonts w:ascii="Arial Unicode MS" w:eastAsia="Arial Unicode MS" w:hAnsi="Arial Unicode MS" w:hint="cs"/>
          <w:rtl/>
          <w:lang w:val="ar-SA"/>
        </w:rPr>
        <w:t>قائمة المراجع</w:t>
      </w:r>
      <w:bookmarkEnd w:id="278"/>
      <w:bookmarkEnd w:id="279"/>
      <w:r>
        <w:rPr>
          <w:rStyle w:val="None"/>
          <w:rFonts w:ascii="Arial Unicode MS" w:eastAsia="Arial Unicode MS" w:hAnsi="Arial Unicode MS" w:hint="cs"/>
          <w:rtl/>
          <w:lang w:val="ar-SA"/>
        </w:rPr>
        <w:t xml:space="preserve"> </w:t>
      </w:r>
    </w:p>
    <w:p w14:paraId="3601B1AA" w14:textId="77777777" w:rsidR="00454428" w:rsidRDefault="00C464EC" w:rsidP="00C72BA8">
      <w:pPr>
        <w:pStyle w:val="a"/>
        <w:jc w:val="left"/>
        <w:rPr>
          <w:rStyle w:val="None"/>
          <w:rtl/>
          <w:lang w:val="ar-SA"/>
        </w:rPr>
      </w:pPr>
      <w:bookmarkStart w:id="280" w:name="_Toc227251143"/>
      <w:bookmarkStart w:id="281" w:name="_Toc232260718"/>
      <w:r>
        <w:rPr>
          <w:rStyle w:val="None"/>
          <w:rFonts w:ascii="Arial Unicode MS" w:eastAsia="Arial Unicode MS" w:hAnsi="Arial Unicode MS" w:hint="cs"/>
          <w:rtl/>
          <w:lang w:val="ar-SA"/>
        </w:rPr>
        <w:t>أولًا</w:t>
      </w:r>
      <w:r>
        <w:rPr>
          <w:rStyle w:val="None"/>
          <w:rtl/>
          <w:lang w:val="ar-SA"/>
        </w:rPr>
        <w:t xml:space="preserve">: </w:t>
      </w:r>
      <w:r>
        <w:rPr>
          <w:rStyle w:val="None"/>
          <w:rFonts w:ascii="Arial Unicode MS" w:eastAsia="Arial Unicode MS" w:hAnsi="Arial Unicode MS" w:hint="cs"/>
          <w:rtl/>
          <w:lang w:val="ar-SA"/>
        </w:rPr>
        <w:t>المراجع العربية</w:t>
      </w:r>
      <w:r>
        <w:rPr>
          <w:rStyle w:val="None"/>
          <w:rtl/>
          <w:lang w:val="ar-SA"/>
        </w:rPr>
        <w:t>.</w:t>
      </w:r>
      <w:bookmarkEnd w:id="280"/>
      <w:bookmarkEnd w:id="281"/>
    </w:p>
    <w:p w14:paraId="7A09979A"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إبراهيم محمد إبراهيم المحيميد؛ علياء سعود الشطيطي، الملكية الفكرية للذكاء الاصطناعي، المجلة العلمية بكلية الآداب، ع</w:t>
      </w:r>
      <w:r>
        <w:rPr>
          <w:rStyle w:val="None"/>
          <w:rFonts w:ascii="Times New Roman" w:hAnsi="Times New Roman"/>
          <w:sz w:val="24"/>
          <w:szCs w:val="24"/>
          <w:rtl/>
          <w:lang w:val="ar-SA"/>
        </w:rPr>
        <w:t>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5D09EEC6"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اثير ذياب عباس الزهيري، دور الوسائل الرقمية في الكشف والإثبات الجنائي، مجلة الفارابي للعلوم الإنسانية،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119F71F"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إحسان طوير، حماية حقوق الملكية الفكرية على شبكة الإنترنت، رسالة دكتوراه، جامعة جيلالي لياس، سيدي بلعباس، رسالة منشورة، ٢٠٢١</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٢٠٢٢، ص ١٢</w:t>
      </w:r>
      <w:r>
        <w:rPr>
          <w:rStyle w:val="None"/>
          <w:rFonts w:ascii="Times New Roman" w:hAnsi="Times New Roman"/>
          <w:sz w:val="24"/>
          <w:szCs w:val="24"/>
          <w:rtl/>
          <w:lang w:val="ar-SA"/>
        </w:rPr>
        <w:t>.</w:t>
      </w:r>
    </w:p>
    <w:p w14:paraId="3C2A4E4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أحسن بوسقيعة، الوجيز في القانون الجزائي العام، الجزائر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هومه للطباعة والنشر والتوزيع، ط</w:t>
      </w:r>
      <w:r>
        <w:rPr>
          <w:rStyle w:val="None"/>
          <w:rFonts w:ascii="Times New Roman" w:hAnsi="Times New Roman"/>
          <w:sz w:val="24"/>
          <w:szCs w:val="24"/>
          <w:rtl/>
          <w:lang w:val="ar-SA"/>
        </w:rPr>
        <w:t>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E090654"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أحمد ابن حنبل،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مسند أحمد، مسند البصريين، حديث عمرو بن يثربي،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شعيب الأرنؤوط، عادل مرشد، وآخرون، إشراف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الله بن عبد المحسن التركي، مؤسسة الرسالة،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34/ 560</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(21082).</w:t>
      </w:r>
    </w:p>
    <w:p w14:paraId="7B44A1DF"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عبد اللاه عبد الحميد عبد الرحيم المراغي، المسؤولية الجنائية لمقدمي خدمات الإنترنت، مجلة حقوق حلوان للدراسات القانونية والاقتصادية، مج</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302F4A8"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أحمد عبد الله</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مصطفى، حقوق الملكية الفكرية والتأليف في بيئة الإنترنت</w:t>
      </w:r>
      <w:r>
        <w:rPr>
          <w:rStyle w:val="None"/>
          <w:rFonts w:ascii="Times New Roman" w:hAnsi="Times New Roman"/>
          <w:sz w:val="24"/>
          <w:szCs w:val="24"/>
          <w:rtl/>
          <w:lang w:val="ar-SA"/>
        </w:rPr>
        <w:t xml:space="preserve">. </w:t>
      </w:r>
      <w:r>
        <w:rPr>
          <w:rStyle w:val="None"/>
          <w:rFonts w:ascii="Times New Roman" w:hAnsi="Times New Roman"/>
          <w:sz w:val="24"/>
          <w:szCs w:val="24"/>
        </w:rPr>
        <w:t>Cybrarians Journal</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7370824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علي، المكتبة الرقمية الأسس والمفاهيم والتحديات التي تواجه المكتبات الرقمية العربية، مجلة جامعة دمشق، مج</w:t>
      </w:r>
      <w:r>
        <w:rPr>
          <w:rStyle w:val="None"/>
          <w:rFonts w:ascii="Times New Roman" w:hAnsi="Times New Roman"/>
          <w:sz w:val="24"/>
          <w:szCs w:val="24"/>
          <w:rtl/>
          <w:lang w:val="ar-SA"/>
        </w:rPr>
        <w:t>27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3E4204C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غنام، حقوق الملكية الفكرية المفهوم والأهداف، المعرفة، مج</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577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05BE283A"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فتحي سرور، الوسيط في قانون العقوبات القسم العام،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للنشر والتوزيع، ط</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6B19FC0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ماهر أبو سريع محمد رفاعي، تداخل الاختصاص بين أحكام التصميمات الصناعية أحكام حقوق المؤلف، المجلة العلمية للملكية الفكرية وإدارة الابتكار،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5EE78DC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محمد عبد المعبود أحمد، الجريمة الإلكترونية وآلية مكافحتها في ظل القانون الدولي، جامعة المنوفية،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436423C"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محمد علي علي الشريف،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097F42D"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أحمد نافع المدادحة، النشر الإلكتروني وحماية المعلومات،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صفاء للنشر والتوزيع،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p>
    <w:p w14:paraId="407F5045"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إرزيل الكاهنة، تأثر المستهلك بحماية حقوق الملكية الفكرية، مجلة الحقوق والحريات،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618-605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6F372C73"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أسعد المحاسن لحرش، الملكية الفكرية بين تشجيع الابتكار وتحريم الاحتكار، مجلة دراسات وأبحاث، </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109-86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32B11943"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لمين دباغين سطيف، الجزائر، </w:t>
      </w:r>
      <w:r>
        <w:rPr>
          <w:rStyle w:val="None"/>
          <w:rFonts w:ascii="Times New Roman" w:hAnsi="Times New Roman"/>
          <w:sz w:val="24"/>
          <w:szCs w:val="24"/>
          <w:rtl/>
          <w:lang w:val="ar-SA"/>
        </w:rPr>
        <w:t>(2024).</w:t>
      </w:r>
    </w:p>
    <w:p w14:paraId="4F22DEF4"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أكثم محمد القرعان، إثبات الجريمة الإلكترونية بالدليل الرقمي، رسالة ماجستير، </w:t>
      </w:r>
      <w:r>
        <w:rPr>
          <w:rStyle w:val="None"/>
          <w:rFonts w:ascii="Times New Roman" w:hAnsi="Times New Roman"/>
          <w:sz w:val="24"/>
          <w:szCs w:val="24"/>
          <w:rtl/>
          <w:lang w:val="ar-SA"/>
        </w:rPr>
        <w:t>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7D018A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آمال عبد الجبار حسوني، التعاقد عبر البريد الإلكتروني وإثباته، مجلة الحقوق،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277-294.</w:t>
      </w:r>
    </w:p>
    <w:p w14:paraId="554E624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أماني فوزي أحمد طه، الآثار الاقتصادية للتعدي على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واقع حقوق الملكية الفكرية في مصر ولبنان، المجلة العلمية للاقتصاد والتجارة،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p w14:paraId="3B1C6288"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أمل فوزي أحمد عوض، الملكية الرقمية في عصر الذكاء الاصطناعي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تحديات الواقع والمستقبل، ألمانيا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AFCCC1B"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أمير الخوري، أساسيات الملكية الفكرية، منشورات مكتب براءات الاختراع والعلامات التجارية للولايات المتحدة، بدون طبعة، ٢٠٠٥</w:t>
      </w:r>
      <w:r>
        <w:rPr>
          <w:rStyle w:val="None"/>
          <w:rFonts w:ascii="Times New Roman" w:hAnsi="Times New Roman"/>
          <w:sz w:val="24"/>
          <w:szCs w:val="24"/>
          <w:rtl/>
          <w:lang w:val="ar-SA"/>
        </w:rPr>
        <w:t>.</w:t>
      </w:r>
    </w:p>
    <w:p w14:paraId="5F2EF356"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أمينة يوسف عثمان البلغزي، الحماية القانونية للمصنفات الرقمية، مجلة الفرطاس،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73A07A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45651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إيمان نصر ذكي السيد، التعويض المستحق للمؤلف عن الاعتداء على مصنفه الإلكتروني، المجلة القانونية الاقتصادية، ع</w:t>
      </w:r>
      <w:r>
        <w:rPr>
          <w:rStyle w:val="None"/>
          <w:rFonts w:ascii="Times New Roman" w:hAnsi="Times New Roman"/>
          <w:sz w:val="24"/>
          <w:szCs w:val="24"/>
          <w:rtl/>
          <w:lang w:val="ar-SA"/>
        </w:rPr>
        <w:t>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19441D1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إيهاب خليفة، مجتمع ما بعد المعلومات تأثير الثورة الصناعية الرابعة على الأمن القومي، العربي للنشر والتوزيع، القاهرة، </w:t>
      </w:r>
      <w:r>
        <w:rPr>
          <w:rStyle w:val="None"/>
          <w:rFonts w:ascii="Times New Roman" w:hAnsi="Times New Roman"/>
          <w:sz w:val="24"/>
          <w:szCs w:val="24"/>
          <w:rtl/>
          <w:lang w:val="ar-SA"/>
        </w:rPr>
        <w:t>(2019).</w:t>
      </w:r>
    </w:p>
    <w:p w14:paraId="651DC1D1"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باره سعيدة، نظام مدريد كآلية للتسجيل الدولي للعلامات التجارية، المجلة الأكاديمية للبحث القانوني، مج</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41A1586D"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باسم عبد الرازق محمد الشيخ، براءة الاختراع وتطوُّر حمايتها في إطار القانون الدولي، مجلة كلية الشريعة والقانون،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w:t>
      </w:r>
    </w:p>
    <w:p w14:paraId="65CA1DD8"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بخوش عائشة؛ بن شريف الحسناء عائشة، البيئة الرقمية وأثرها على الأداء الوظيفي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ميدانية بجامعة زيان عاشور الجلفة، رسالة ماجستير غير منشورة، جامعة زيان عاشور بالجلفة، الجزائر، </w:t>
      </w:r>
      <w:r>
        <w:rPr>
          <w:rStyle w:val="None"/>
          <w:rFonts w:ascii="Times New Roman" w:hAnsi="Times New Roman"/>
          <w:sz w:val="24"/>
          <w:szCs w:val="24"/>
          <w:rtl/>
          <w:lang w:val="ar-SA"/>
        </w:rPr>
        <w:t>(2023).</w:t>
      </w:r>
    </w:p>
    <w:p w14:paraId="15E7D5EA"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بشاير سعيد عبد الله الوالي، التنظيم القانوني للأسماء التجارية المشهورة في القانون الإماراتي والقوانين المقارنة،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الشارقة، الإمارات</w:t>
      </w:r>
      <w:r>
        <w:rPr>
          <w:rStyle w:val="None"/>
          <w:rFonts w:ascii="Times New Roman" w:hAnsi="Times New Roman"/>
          <w:sz w:val="24"/>
          <w:szCs w:val="24"/>
          <w:rtl/>
          <w:lang w:val="ar-SA"/>
        </w:rPr>
        <w:t>.</w:t>
      </w:r>
    </w:p>
    <w:p w14:paraId="7A0641C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أبو بكر محمود الهوش، نحو حقوق الملكية الفكرية في العصر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الثالث عشر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إدارة المعلومات في البيئة الرقمية المعارف والكفاءات والجودة، المنعقد في أكتوبر، لبنان،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أكتوبر</w:t>
      </w:r>
      <w:r>
        <w:rPr>
          <w:rStyle w:val="None"/>
          <w:rFonts w:ascii="Times New Roman" w:hAnsi="Times New Roman"/>
          <w:sz w:val="24"/>
          <w:szCs w:val="24"/>
          <w:rtl/>
          <w:lang w:val="ar-SA"/>
        </w:rPr>
        <w:t>-2002).</w:t>
      </w:r>
    </w:p>
    <w:p w14:paraId="5D1766D5"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بلقاسمي كهينة، استقلالية النظام القانوني للملكية الفكرية، مذكرة من أجل الحصول على شهادة الماجستير في الحقوق، كلية الحقوق جامعة الجزائر بن يوسف بن خدة، ٢٠٠٨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٢٠٠٩</w:t>
      </w:r>
      <w:r>
        <w:rPr>
          <w:rStyle w:val="None"/>
          <w:rFonts w:ascii="Times New Roman" w:hAnsi="Times New Roman"/>
          <w:sz w:val="24"/>
          <w:szCs w:val="24"/>
          <w:rtl/>
          <w:lang w:val="ar-SA"/>
        </w:rPr>
        <w:t>.</w:t>
      </w:r>
    </w:p>
    <w:p w14:paraId="65D0E1E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ثامر علي النويران، الجرائم الإلكترونية وطرق الحد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تجربة الأردن، جامعة محمد بن سعود الإسلامي، </w:t>
      </w:r>
      <w:r>
        <w:rPr>
          <w:rStyle w:val="None"/>
          <w:rFonts w:ascii="Times New Roman" w:hAnsi="Times New Roman"/>
          <w:sz w:val="24"/>
          <w:szCs w:val="24"/>
          <w:rtl/>
          <w:lang w:val="ar-SA"/>
        </w:rPr>
        <w:t>174-183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97743AC"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F6BCE6A"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جابر بن مرهون فليفل، أهمية حماية الملكية الفكرية تواصل،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69-60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(2006).</w:t>
      </w:r>
    </w:p>
    <w:p w14:paraId="35DA837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جاسم محمد سعيد النقبي، دعوى التعويض عن القرارات الإدارية غير المشروعة، بحث نشر بجامعة الشارقة، </w:t>
      </w:r>
      <w:r>
        <w:rPr>
          <w:rStyle w:val="None"/>
          <w:rFonts w:ascii="Times New Roman" w:hAnsi="Times New Roman"/>
          <w:sz w:val="24"/>
          <w:szCs w:val="24"/>
          <w:rtl/>
          <w:lang w:val="ar-SA"/>
        </w:rPr>
        <w:t>(2021).</w:t>
      </w:r>
    </w:p>
    <w:p w14:paraId="1AF12BB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جبريل حسن العريشي؛ وفاتن سعيد مبارك بامفلح، نحو إنشاء مكتبة رقمية للدوريات العلمية العربية المحكمة، دراسات عربية في المكتبات وعلم المعلومات، مج</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3127D983"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بو جفجوف الزهرة، ملامح البيئة الرقمية في الجزائر بين الواقع والمأمول، مجلة أبحاث،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0D046FC"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جمال الخولي، إثبات الملكية في الوثائق العربية، الدار المصرية اللبنانية للنشر، الطبعة الأولي، القاهرة، ١٩٩٤</w:t>
      </w:r>
      <w:r>
        <w:rPr>
          <w:rStyle w:val="None"/>
          <w:rFonts w:ascii="Times New Roman" w:hAnsi="Times New Roman"/>
          <w:sz w:val="24"/>
          <w:szCs w:val="24"/>
          <w:rtl/>
          <w:lang w:val="ar-SA"/>
        </w:rPr>
        <w:t>.</w:t>
      </w:r>
    </w:p>
    <w:p w14:paraId="31402DE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حاتم أحمد محمد بطيخ، تطوُّر السياسة التشريعية في مجال مكافحة جرائم تقنية المعلومات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تحليلية مقارنة، مجلة الدراسات القانونية والاقتصادية،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2ECB05"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حازم أحمد شوقي محمد، الحماية القانونية لقواعد بيانات مراكز معلومات المؤسسات الإعلامية المرئية،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C2F4433"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بن حدو محمد،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الحميد بن باديس، الجزائر، </w:t>
      </w:r>
      <w:r>
        <w:rPr>
          <w:rStyle w:val="None"/>
          <w:rFonts w:ascii="Times New Roman" w:hAnsi="Times New Roman"/>
          <w:sz w:val="24"/>
          <w:szCs w:val="24"/>
          <w:rtl/>
          <w:lang w:val="ar-SA"/>
        </w:rPr>
        <w:t>(2017).</w:t>
      </w:r>
    </w:p>
    <w:p w14:paraId="4C583A0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حسام الدين صغير، المنظمة العالمية للملكية الفكرية </w:t>
      </w:r>
      <w:r>
        <w:rPr>
          <w:rStyle w:val="None"/>
          <w:rFonts w:ascii="Times New Roman" w:hAnsi="Times New Roman"/>
          <w:sz w:val="24"/>
          <w:szCs w:val="24"/>
        </w:rPr>
        <w:t>Wipo</w:t>
      </w:r>
      <w:r>
        <w:rPr>
          <w:rStyle w:val="None"/>
          <w:rFonts w:ascii="Arial Unicode MS" w:hAnsi="Arial Unicode MS" w:cs="Times New Roman" w:hint="cs"/>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w:t>
      </w:r>
      <w:r>
        <w:rPr>
          <w:rStyle w:val="None"/>
          <w:rFonts w:ascii="Times New Roman" w:hAnsi="Times New Roman"/>
          <w:sz w:val="24"/>
          <w:szCs w:val="24"/>
          <w:rtl/>
          <w:lang w:val="ar-SA"/>
        </w:rPr>
        <w:t>.</w:t>
      </w:r>
    </w:p>
    <w:p w14:paraId="6FB644A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w:t>
      </w:r>
      <w:r>
        <w:rPr>
          <w:rStyle w:val="None"/>
          <w:rFonts w:ascii="Times New Roman" w:hAnsi="Times New Roman"/>
          <w:sz w:val="24"/>
          <w:szCs w:val="24"/>
          <w:rtl/>
          <w:lang w:val="ar-SA"/>
        </w:rPr>
        <w:t>47-70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3E73AF8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حسن البدراوي، إنقاذ حقوق الملكية الفكرية، ملتقى تنظيم المنظمة العالمية للملكية الفكرية جنيف، في ١٨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١٩ جوان ٢٠٠٣</w:t>
      </w:r>
      <w:r>
        <w:rPr>
          <w:rStyle w:val="None"/>
          <w:rFonts w:ascii="Times New Roman" w:hAnsi="Times New Roman"/>
          <w:sz w:val="24"/>
          <w:szCs w:val="24"/>
          <w:rtl/>
          <w:lang w:val="ar-SA"/>
        </w:rPr>
        <w:t>.</w:t>
      </w:r>
    </w:p>
    <w:p w14:paraId="77219C31"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أبو الحسين مسلم، </w:t>
      </w:r>
      <w:r>
        <w:rPr>
          <w:rStyle w:val="None"/>
          <w:rFonts w:ascii="Times New Roman" w:hAnsi="Times New Roman"/>
          <w:sz w:val="24"/>
          <w:szCs w:val="24"/>
          <w:rtl/>
          <w:lang w:val="ar-SA"/>
        </w:rPr>
        <w:t>(1955</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صحيح مسلم، كتاب الإيمان، باب قول النبي </w:t>
      </w:r>
      <w:r>
        <w:rPr>
          <w:rStyle w:val="None"/>
          <w:rFonts w:ascii="Arial Unicode MS" w:hAnsi="Arial Unicode MS"/>
          <w:sz w:val="24"/>
          <w:szCs w:val="24"/>
          <w:rtl/>
          <w:lang w:val="ar-SA"/>
        </w:rPr>
        <w:t>ﷺ</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غشنا فليس منا</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محمد فؤاد عبد الباقي،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طبعة عيسى البابي الحلبي وشركاه، 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 </w:t>
      </w:r>
      <w:r>
        <w:rPr>
          <w:rStyle w:val="None"/>
          <w:rFonts w:ascii="Times New Roman" w:hAnsi="Times New Roman"/>
          <w:sz w:val="24"/>
          <w:szCs w:val="24"/>
          <w:rtl/>
          <w:lang w:val="ar-SA"/>
        </w:rPr>
        <w:t>1/ 99</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 xml:space="preserve">(102). </w:t>
      </w:r>
    </w:p>
    <w:p w14:paraId="5F71EEF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حسين دوحاجي، تشريعات المصنفات الرقمية في المغرب العربي، دراسة تحليلية لنماذج من القوانين في كل من الجزائر وتونس والمغرب،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(2022).</w:t>
      </w:r>
    </w:p>
    <w:p w14:paraId="30E8B06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231-251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241.</w:t>
      </w:r>
    </w:p>
    <w:p w14:paraId="69C33361"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حكيمة عطا وشاح؛ خالدة عبد الله، حقوق الملكية الفكرية وتأثيرها على أخلاقيات البحث العلمي في البيئة الرقمية، مجلة آداب المستنصرية، ع </w:t>
      </w:r>
      <w:r>
        <w:rPr>
          <w:rStyle w:val="None"/>
          <w:rFonts w:ascii="Times New Roman" w:hAnsi="Times New Roman"/>
          <w:sz w:val="24"/>
          <w:szCs w:val="24"/>
          <w:rtl/>
          <w:lang w:val="ar-SA"/>
        </w:rPr>
        <w:t>108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0970EA6"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حليمة بودن، القرصنة والملكية الفكرية، مجلة القانون المغربي، ع</w:t>
      </w:r>
      <w:r>
        <w:rPr>
          <w:rStyle w:val="None"/>
          <w:rFonts w:ascii="Times New Roman" w:hAnsi="Times New Roman"/>
          <w:sz w:val="24"/>
          <w:szCs w:val="24"/>
          <w:rtl/>
          <w:lang w:val="ar-SA"/>
        </w:rPr>
        <w:t>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3E1993D4"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نبيل، بدر الدين،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7648F538"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حنان محمد الحسيني، التحقيق الجنائي الرقمي، مجلة جامعة الملك سعود،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129-150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7F45C6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خالد توبي؛ وعمر كحل الراس، أثر العلامة التجارية على إدارة العلاقة مع الزبائن،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ماي قالمة، الجزائر، </w:t>
      </w:r>
      <w:r>
        <w:rPr>
          <w:rStyle w:val="None"/>
          <w:rFonts w:ascii="Times New Roman" w:hAnsi="Times New Roman"/>
          <w:sz w:val="24"/>
          <w:szCs w:val="24"/>
          <w:rtl/>
          <w:lang w:val="ar-SA"/>
        </w:rPr>
        <w:t>(2018).</w:t>
      </w:r>
    </w:p>
    <w:p w14:paraId="2489CD63"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61-95.</w:t>
      </w:r>
    </w:p>
    <w:p w14:paraId="55990D01"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خالد حسن أحمد، حقوق الملكية الفكرية دورها في حماية المصنفات الرقمية وأسماء النطاقات على شبكة الإنترنت، دار الفكر الجامعي، ۲۰۲۱، بدون طبعه</w:t>
      </w:r>
      <w:r>
        <w:rPr>
          <w:rStyle w:val="None"/>
          <w:rFonts w:ascii="Times New Roman" w:hAnsi="Times New Roman"/>
          <w:sz w:val="24"/>
          <w:szCs w:val="24"/>
          <w:rtl/>
          <w:lang w:val="ar-SA"/>
        </w:rPr>
        <w:t>.</w:t>
      </w:r>
    </w:p>
    <w:p w14:paraId="6B94C87C"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خالد زواتين، الذكاء الاصطناعي وحقوق الملكية الفكرية أي علاقة ترابطية؟، مجلة حقوق الإنسان والحريات العامة،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5DC372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خالد عبد المنعم إبراهيم مصطفى، الطبيعة القانونية للابتكارات الرقمية، المجلة القانونية،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C3DBC66"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خديجة</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حسان، حماية حق المؤلف رقميًا في إطار المعاهدات الدولية ذات الصلة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الفكر القانوني والسياسي، </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1037-1048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77162FB"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خضراوي الهادي؛ ايمان بو ناصر، الإطار القانوني للمسؤولية المدنية لمزودي الخدمة المعلوماتية دراسة مقارنة، مجلة البحوث القانونية والسياسية، ع</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33EF0D6D"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خوله محمد ناصر العبيد، الترخيص الإجباري باستغلال براءة الاختراع وفقا للنظام السعودي في ضوء اتفاقية تربس، مجلة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متخصصة في الدراسات والبحوث القانونية،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0758-2537.</w:t>
      </w:r>
    </w:p>
    <w:p w14:paraId="74E2EB0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دليلة خينش، صعوبات النشر الإلكتروني الجامعي المنصة الجزائرية للمجلات العلمية انموذجًا، مجلة دفاتر المخبر،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0607DD5"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ديما ناجح المجالي؛ أحمد عبد القادر المجالي، أثر الاقتصاد الرقمي على النشاط الاقتصادي في الدول العربية، مجلة الدراسات الاقتصادية،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0C8370F"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2BF51CC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رانا مصباح عبد المحسن عبد الرازق، الحماية الجنائية لحقوق التأليف في المملكة العربية السعودية على ضوء رؤية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مجلة الاجتهاد للدراسات القانونية والاقتصادية،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55CFDF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ربحي مصطفي عليان، المكتبات الإلكترونية والمكتبات الرقمية، دار صفاء للنشر والتوزيع، عمان،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B86DAA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رشيد بن راشد؛ حسنية بلحاج،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النظريات الإعلامية والميديا الجديدة، مجلة المعيار، مج</w:t>
      </w:r>
      <w:r>
        <w:rPr>
          <w:rStyle w:val="None"/>
          <w:rFonts w:ascii="Times New Roman" w:hAnsi="Times New Roman"/>
          <w:sz w:val="24"/>
          <w:szCs w:val="24"/>
          <w:rtl/>
          <w:lang w:val="ar-SA"/>
        </w:rPr>
        <w:t>13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F7DD7F5"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w:t>
      </w:r>
      <w:r>
        <w:rPr>
          <w:rStyle w:val="None"/>
          <w:rFonts w:ascii="Times New Roman" w:hAnsi="Times New Roman"/>
          <w:sz w:val="24"/>
          <w:szCs w:val="24"/>
          <w:rtl/>
          <w:lang w:val="ar-SA"/>
        </w:rPr>
        <w:t xml:space="preserve">22-23 </w:t>
      </w:r>
      <w:r>
        <w:rPr>
          <w:rStyle w:val="None"/>
          <w:rFonts w:ascii="Arial Unicode MS" w:hAnsi="Arial Unicode MS" w:cs="Times New Roman" w:hint="cs"/>
          <w:sz w:val="24"/>
          <w:szCs w:val="24"/>
          <w:rtl/>
          <w:lang w:val="ar-SA"/>
        </w:rPr>
        <w:t xml:space="preserve">ابريل </w:t>
      </w:r>
      <w:r>
        <w:rPr>
          <w:rStyle w:val="None"/>
          <w:rFonts w:ascii="Times New Roman" w:hAnsi="Times New Roman"/>
          <w:sz w:val="24"/>
          <w:szCs w:val="24"/>
          <w:rtl/>
          <w:lang w:val="ar-SA"/>
        </w:rPr>
        <w:t>2009.</w:t>
      </w:r>
    </w:p>
    <w:p w14:paraId="29D2B5CF"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رضوان حسان إسخيطة، التحقيق الجنائي الرقمي في ضوء قوانين حماية البيانات الشخصية، مجلة الندوة للدراسات القانونية،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3959DF1"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رمضان قنفود، المسائل القانونية المتعلقة بالبريد الإلكتروني، مجلة دراسات وأبحاث،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290-315.</w:t>
      </w:r>
    </w:p>
    <w:p w14:paraId="6DD8F4EC"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رياض بن ناصر الفريجي، تحولات البيئة الرقمية في مجتمع المعرفة وانعكاساتها على حقوق الملكية الفكرية بالمملكة العربية السعودية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Pr>
          <w:rStyle w:val="None"/>
          <w:rFonts w:ascii="Times New Roman" w:hAnsi="Times New Roman"/>
          <w:sz w:val="24"/>
          <w:szCs w:val="24"/>
          <w:rtl/>
          <w:lang w:val="ar-SA"/>
        </w:rPr>
        <w:t>(2020).</w:t>
      </w:r>
    </w:p>
    <w:p w14:paraId="373901CA"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w:t>
      </w:r>
      <w:r>
        <w:rPr>
          <w:rStyle w:val="None"/>
          <w:rFonts w:ascii="Times New Roman" w:hAnsi="Times New Roman"/>
          <w:sz w:val="24"/>
          <w:szCs w:val="24"/>
          <w:rtl/>
          <w:lang w:val="ar-SA"/>
        </w:rPr>
        <w:t>(2020).</w:t>
      </w:r>
    </w:p>
    <w:p w14:paraId="2106663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ريماني يونس؛ ورحيلة الشيخ، دور القضاء المدني الجزائري في حقوق الملكية الفكرية، رسالة ماجستير غير منشورة، جامعة بلحاح بوشعيب، الجزائر، </w:t>
      </w:r>
      <w:r>
        <w:rPr>
          <w:rStyle w:val="None"/>
          <w:rFonts w:ascii="Times New Roman" w:hAnsi="Times New Roman"/>
          <w:sz w:val="24"/>
          <w:szCs w:val="24"/>
          <w:rtl/>
          <w:lang w:val="ar-SA"/>
        </w:rPr>
        <w:t>2024.</w:t>
      </w:r>
    </w:p>
    <w:p w14:paraId="0D8B4E6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مجلة روح القوانين، ع</w:t>
      </w:r>
      <w:r>
        <w:rPr>
          <w:rStyle w:val="None"/>
          <w:rFonts w:ascii="Times New Roman" w:hAnsi="Times New Roman"/>
          <w:sz w:val="24"/>
          <w:szCs w:val="24"/>
          <w:rtl/>
          <w:lang w:val="ar-SA"/>
        </w:rPr>
        <w:t>106</w:t>
      </w:r>
      <w:r>
        <w:rPr>
          <w:rStyle w:val="None"/>
          <w:rFonts w:ascii="Arial Unicode MS" w:hAnsi="Arial Unicode MS" w:cs="Times New Roman" w:hint="cs"/>
          <w:sz w:val="24"/>
          <w:szCs w:val="24"/>
          <w:rtl/>
          <w:lang w:val="ar-SA"/>
        </w:rPr>
        <w:t>، 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44B8EC6"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مرجع سابق</w:t>
      </w:r>
      <w:r>
        <w:rPr>
          <w:rStyle w:val="None"/>
          <w:rFonts w:ascii="Times New Roman" w:hAnsi="Times New Roman"/>
          <w:sz w:val="24"/>
          <w:szCs w:val="24"/>
          <w:rtl/>
          <w:lang w:val="ar-SA"/>
        </w:rPr>
        <w:t>.</w:t>
      </w:r>
    </w:p>
    <w:p w14:paraId="51B11519"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الزبير بلهوشات؛ محمد رحايلي، حقوق المؤلف والحقوق المجاورة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الحالة الجزائرية، مجلة جامعة الأمير عبد القادر للعلوم الإسلامية،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18351C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75E3FB4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462BCC67"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194D5DC4"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زين الدين صلاح سلمان أسمر، الملكية الفكرية نشأتها ونطاقها وعناصرها وأهميتها، 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4812F395"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زينب جاب الله؛ فاطمة عثمان، أهمية التعاون الدولي في مجال تعزيز ودعم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1A176AA1"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سارة عدلي حسين، حماية الاسم التجاري وفقًا لأحكام القانون المصري،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F62719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سامية خوخي، حقوق المؤلفين الأجانب،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4EAD66A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سرباز سعيد رشيد، الحماية القانونية لحقوق الملكية الفكرية، رسالة ماجستير غير منشورة، جامعة الشرق الأردني، الأردن، </w:t>
      </w:r>
      <w:r>
        <w:rPr>
          <w:rStyle w:val="None"/>
          <w:rFonts w:ascii="Times New Roman" w:hAnsi="Times New Roman"/>
          <w:sz w:val="24"/>
          <w:szCs w:val="24"/>
          <w:rtl/>
          <w:lang w:val="ar-SA"/>
        </w:rPr>
        <w:t>2020.</w:t>
      </w:r>
    </w:p>
    <w:p w14:paraId="6D490876"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سعاد جواهره، حماية الملكية الفكرية في البيئة الرقمية من خلال التشريع الجزائري والقانون الدولي،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(2016).</w:t>
      </w:r>
    </w:p>
    <w:p w14:paraId="25D67C3F"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سعد بن علي بن تركي، الدليل الرقمي وأثره في الإثبات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تطبيقية مقارنة بالنظام السعودي، مجلة العلوم الشرعية، جامعة القصيم،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2384-2436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0694D96"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سعيد سعد عبد السلام، مصادر الالتزام المدني،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52D23F05"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سلمى عزت شاهين نبيل شاهين، دور قانون تشجيع الاستثمار في تنمية الابداعات في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2021.</w:t>
      </w:r>
    </w:p>
    <w:p w14:paraId="66C8804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سليمان بن ناصر محمد العجاجي، إجراءات الضبط والتحقيق في جريمة التنصت الإلكتروني، المجلة العربية للدراسات الشرعية والقانونية،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w:t>
      </w:r>
    </w:p>
    <w:p w14:paraId="34ED047F"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سليمان عبد الواحد عبدا لله أحمد محمد، التعاون الأمني لمواجهة الجريمة المنظمة، جامعة المنوفية،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1-45.</w:t>
      </w:r>
    </w:p>
    <w:p w14:paraId="03D24F89"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سمية بالعربي؛ حمو فرحات، الوساطة في الملكية الفكرية، دراسات،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641F49D"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سمير عبد السيد تناغو، مصادر الالتزام،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الوفاء القانونية،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1B520D92"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سميرة مسعودي، الحق المالي للمؤلف في ظل القانون الجزائري والقانون المقارن،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(2014).</w:t>
      </w:r>
    </w:p>
    <w:p w14:paraId="35DF480C" w14:textId="77777777" w:rsidR="00454428" w:rsidRDefault="00C464EC" w:rsidP="00903948">
      <w:pPr>
        <w:pStyle w:val="1"/>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السيد أحمد عبد الخالق، حماية حقوق الملكية الفكرية في ظل اتفاقية التريس والتشريعات الاقتصادية، الطبعة الأولى، دار الفكر والقانون للنشر بالقاهرة، </w:t>
      </w:r>
      <w:r>
        <w:rPr>
          <w:rStyle w:val="None"/>
          <w:rFonts w:ascii="Times New Roman" w:hAnsi="Times New Roman"/>
          <w:sz w:val="24"/>
          <w:szCs w:val="24"/>
          <w:rtl/>
          <w:lang w:val="ar-SA"/>
        </w:rPr>
        <w:t>2011.</w:t>
      </w:r>
    </w:p>
    <w:p w14:paraId="51DBBC11"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سيد عبد الله محمد خليلي، الحماية القانونية والشرعية لحق الترجمة دراسة مقارنة القانون المصري والنظام السعودي، مجلة كلية الشريعة والقانون،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CAAB7E"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السيد محمد ذكي حسن، الاقتصاد الرقمي، مجلة روح القوانين، ع</w:t>
      </w:r>
      <w:r>
        <w:rPr>
          <w:rStyle w:val="None"/>
          <w:rFonts w:ascii="Times New Roman" w:hAnsi="Times New Roman"/>
          <w:sz w:val="24"/>
          <w:szCs w:val="24"/>
          <w:rtl/>
          <w:lang w:val="ar-SA"/>
        </w:rPr>
        <w:t>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B22005F"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سيف حسين عوض آل سلطان القحطاني، الحماية المدنية لحقوق المؤلف في النظام السعودي، مجلة الاندلس للعلوم الإنسانية والاجتماعية،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6275499A"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شريف كامل شاهين، النشر التقليدي والإلكتروني في العالم العربي،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الجوهرة للنشر والتوزيع، </w:t>
      </w:r>
      <w:r>
        <w:rPr>
          <w:rStyle w:val="None"/>
          <w:rFonts w:ascii="Times New Roman" w:hAnsi="Times New Roman"/>
          <w:sz w:val="24"/>
          <w:szCs w:val="24"/>
          <w:rtl/>
          <w:lang w:val="ar-SA"/>
        </w:rPr>
        <w:t>(2014).</w:t>
      </w:r>
    </w:p>
    <w:p w14:paraId="489573FC"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شريهان ممدرح حسن أحمد، حماية حقوق الملكية الفكرية على المستوى الوطني والدولي مقارنة بين القانون المصري والنظام السعودي، المجلة القانونية،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288F58A0" w14:textId="77777777" w:rsidR="00454428" w:rsidRDefault="00C464EC" w:rsidP="00903948">
      <w:pPr>
        <w:pStyle w:val="FootnoteText"/>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شعبان فرج، التحكيم وأثره على الملكية الفكرية، الاقتصاد والمحاسبة، </w:t>
      </w:r>
      <w:r>
        <w:rPr>
          <w:rStyle w:val="None"/>
          <w:rFonts w:ascii="Times New Roman" w:hAnsi="Times New Roman"/>
          <w:sz w:val="24"/>
          <w:szCs w:val="24"/>
          <w:rtl/>
          <w:lang w:val="ar-SA"/>
        </w:rPr>
        <w:t>(636)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36-34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1E47AFF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شمامة بوترعة، الحماية الدولية للعلامات التجارية وفقًا لاتفاق مدريد للتسجيل الدولي للعاملات التجارية لعام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مجلة الحقوق والعلوم الإنسانية،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p>
    <w:p w14:paraId="3F3584C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شنوف معمر،  دور الهيئات الدولية لحماية المليكة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الحقوق والعلوم الإنسانية،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210-188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33359B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شهد عبد الرحمن الصبحي، مدى وعي طلبة الدراسات العليا بنظام مكافحة الجرائم المعلوماتية في ظل التحول الرقمي ضمن رؤية المملكة </w:t>
      </w:r>
      <w:r>
        <w:rPr>
          <w:rStyle w:val="None"/>
          <w:rFonts w:ascii="Times New Roman" w:hAnsi="Times New Roman"/>
          <w:sz w:val="24"/>
          <w:szCs w:val="24"/>
          <w:rtl/>
          <w:lang w:val="ar-SA"/>
        </w:rPr>
        <w:t xml:space="preserve">2030 </w:t>
      </w:r>
      <w:r>
        <w:rPr>
          <w:rStyle w:val="None"/>
          <w:rFonts w:ascii="Arial Unicode MS" w:hAnsi="Arial Unicode MS" w:cs="Times New Roman" w:hint="cs"/>
          <w:sz w:val="24"/>
          <w:szCs w:val="24"/>
          <w:rtl/>
          <w:lang w:val="ar-SA"/>
        </w:rPr>
        <w:t>دراسة مسحية لدى طلبة كلية الآداب والعلوم الإنسانية بجامعة الملك عبد العزيز بجدة، المجلة العربية للنشر العلمي، ع</w:t>
      </w:r>
      <w:r>
        <w:rPr>
          <w:rStyle w:val="None"/>
          <w:rFonts w:ascii="Times New Roman" w:hAnsi="Times New Roman"/>
          <w:sz w:val="24"/>
          <w:szCs w:val="24"/>
          <w:rtl/>
          <w:lang w:val="ar-SA"/>
        </w:rPr>
        <w:t>40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405039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شويرب خالد، الملكية الفكرية في ظل المنظمة العالمية للتجارة،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(2003).</w:t>
      </w:r>
    </w:p>
    <w:p w14:paraId="2F679059"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شيخة خليل إبراهيم الدرويش، حقوق المؤلف على المحتوى الرقمي في النظام القانوني القطري،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قطر، قطر، </w:t>
      </w:r>
      <w:r>
        <w:rPr>
          <w:rStyle w:val="None"/>
          <w:rFonts w:ascii="Times New Roman" w:hAnsi="Times New Roman"/>
          <w:sz w:val="24"/>
          <w:szCs w:val="24"/>
          <w:rtl/>
          <w:lang w:val="ar-SA"/>
        </w:rPr>
        <w:t>(2023).</w:t>
      </w:r>
    </w:p>
    <w:p w14:paraId="331984A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w:t>
      </w:r>
      <w:r>
        <w:rPr>
          <w:rStyle w:val="None"/>
          <w:rFonts w:ascii="Times New Roman" w:hAnsi="Times New Roman"/>
          <w:sz w:val="24"/>
          <w:szCs w:val="24"/>
          <w:rtl/>
          <w:lang w:val="ar-SA"/>
        </w:rPr>
        <w:t>(2020).</w:t>
      </w:r>
    </w:p>
    <w:p w14:paraId="750361E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DCF7CD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صابرين حناش، المسؤولية الجنائية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أولحاج، الجزائر، </w:t>
      </w:r>
      <w:r>
        <w:rPr>
          <w:rStyle w:val="None"/>
          <w:rFonts w:ascii="Times New Roman" w:hAnsi="Times New Roman"/>
          <w:sz w:val="24"/>
          <w:szCs w:val="24"/>
          <w:rtl/>
          <w:lang w:val="ar-SA"/>
        </w:rPr>
        <w:t>2023.</w:t>
      </w:r>
    </w:p>
    <w:p w14:paraId="3BF5E8B3"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صبرينة بلخير، الحماية الدولية لحقوق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الجزائر، </w:t>
      </w:r>
      <w:r>
        <w:rPr>
          <w:rStyle w:val="None"/>
          <w:rFonts w:ascii="Times New Roman" w:hAnsi="Times New Roman"/>
          <w:sz w:val="24"/>
          <w:szCs w:val="24"/>
          <w:rtl/>
          <w:lang w:val="ar-SA"/>
        </w:rPr>
        <w:t>(2020).</w:t>
      </w:r>
    </w:p>
    <w:p w14:paraId="63ED00A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صلاح الدوه جي، مقدمة في التشفير، سوريا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منشورات الجامعة الافتراضية السورية، </w:t>
      </w:r>
      <w:r>
        <w:rPr>
          <w:rStyle w:val="None"/>
          <w:rFonts w:ascii="Times New Roman" w:hAnsi="Times New Roman"/>
          <w:sz w:val="24"/>
          <w:szCs w:val="24"/>
          <w:rtl/>
          <w:lang w:val="ar-SA"/>
        </w:rPr>
        <w:t>(2018).</w:t>
      </w:r>
    </w:p>
    <w:p w14:paraId="163E060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صلاح الدين رجب فتح الباب صميدة، أثر استخدام تقنيات الذكاء الاصطناعي على النظام العام، الفكر الشرطي،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131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479A603"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صلاح سلمان أسمر زين الدين، الملكية الفكرية نشأتها ونطاقها وعناصرها وأهميتها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29E2A3C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صوفيا بومنينة، النشر الإلكتروني والحقوق الرقمية، مجلة الفقه والقانون، ع</w:t>
      </w:r>
      <w:r>
        <w:rPr>
          <w:rStyle w:val="None"/>
          <w:rFonts w:ascii="Times New Roman" w:hAnsi="Times New Roman"/>
          <w:sz w:val="24"/>
          <w:szCs w:val="24"/>
          <w:rtl/>
          <w:lang w:val="ar-SA"/>
        </w:rPr>
        <w:t>52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76B19EDF" w14:textId="188CB1DF"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صونية حقاص، حماية الملكية الفكرية الأدبية والفنية في البيئة الرقمية في ظل التشريع الجزائري، </w:t>
      </w:r>
      <w:r>
        <w:rPr>
          <w:rStyle w:val="None"/>
          <w:rFonts w:ascii="Times New Roman" w:hAnsi="Times New Roman"/>
          <w:sz w:val="24"/>
          <w:szCs w:val="24"/>
          <w:rtl/>
          <w:lang w:val="ar-SA"/>
        </w:rPr>
        <w:t>(</w:t>
      </w:r>
      <w:r w:rsidR="00903948">
        <w:rPr>
          <w:rStyle w:val="None"/>
          <w:rFonts w:ascii="Times New Roman" w:hAnsi="Times New Roman" w:hint="cs"/>
          <w:sz w:val="24"/>
          <w:szCs w:val="24"/>
          <w:rtl/>
          <w:lang w:val="ar-SA"/>
        </w:rPr>
        <w:t>ر</w:t>
      </w:r>
      <w:r>
        <w:rPr>
          <w:rStyle w:val="None"/>
          <w:rFonts w:ascii="Arial Unicode MS" w:hAnsi="Arial Unicode MS" w:cs="Times New Roman" w:hint="cs"/>
          <w:sz w:val="24"/>
          <w:szCs w:val="24"/>
          <w:rtl/>
          <w:lang w:val="ar-SA"/>
        </w:rPr>
        <w:t>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منتوري قسنطينة، الجزائر، </w:t>
      </w:r>
      <w:r>
        <w:rPr>
          <w:rStyle w:val="None"/>
          <w:rFonts w:ascii="Times New Roman" w:hAnsi="Times New Roman"/>
          <w:sz w:val="24"/>
          <w:szCs w:val="24"/>
          <w:rtl/>
          <w:lang w:val="ar-SA"/>
        </w:rPr>
        <w:t>(2012).</w:t>
      </w:r>
    </w:p>
    <w:p w14:paraId="1728B6D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بن ضيف الله فؤاد، الملكية الفكرية في ظل التقنيات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الرقمية العربية من خلال التشريع الجزائري، المؤتمر الحادي والعشرين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المكتبة الرقمية العربية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عربي أنا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الضرورة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الفرص والتحديات، المنعقد في أكتوبر، لبنان، </w:t>
      </w:r>
      <w:r>
        <w:rPr>
          <w:rStyle w:val="None"/>
          <w:rFonts w:ascii="Times New Roman" w:hAnsi="Times New Roman"/>
          <w:sz w:val="24"/>
          <w:szCs w:val="24"/>
          <w:rtl/>
          <w:lang w:val="ar-SA"/>
        </w:rPr>
        <w:t>(2010).</w:t>
      </w:r>
    </w:p>
    <w:p w14:paraId="0FFB2A4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طارق خالد فايق عيسى، دور التشريعات الدولية في مكافحة الجريمة الرقمية وحماية البيانات الشخصية، مجلة المجتمع العربي لنشر الدراسات العلمية، الإصدار </w:t>
      </w:r>
      <w:r>
        <w:rPr>
          <w:rStyle w:val="None"/>
          <w:rFonts w:ascii="Times New Roman" w:hAnsi="Times New Roman"/>
          <w:sz w:val="24"/>
          <w:szCs w:val="24"/>
          <w:rtl/>
          <w:lang w:val="ar-SA"/>
        </w:rPr>
        <w:t>43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190B26A" w14:textId="77777777" w:rsidR="00454428" w:rsidRDefault="00C464EC" w:rsidP="00903948">
      <w:pPr>
        <w:pStyle w:val="1"/>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2020.</w:t>
      </w:r>
    </w:p>
    <w:p w14:paraId="17196C3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عادل حماد عثمان، ضبط الأدلة في مجال الجريمة المعلوماتية، رابطة الأدب الحديث، ج</w:t>
      </w:r>
      <w:r>
        <w:rPr>
          <w:rStyle w:val="None"/>
          <w:rFonts w:ascii="Times New Roman" w:hAnsi="Times New Roman"/>
          <w:sz w:val="24"/>
          <w:szCs w:val="24"/>
          <w:rtl/>
          <w:lang w:val="ar-SA"/>
        </w:rPr>
        <w:t>113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179-247.</w:t>
      </w:r>
    </w:p>
    <w:p w14:paraId="45586BE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عادل محمد صفوت محمد علي، النظام القانوني لحماية حقوق الملكية الصناعية ومردودها الاقتصادي، مجلة روح القوانين، ع</w:t>
      </w:r>
      <w:r>
        <w:rPr>
          <w:rStyle w:val="None"/>
          <w:rFonts w:ascii="Times New Roman" w:hAnsi="Times New Roman"/>
          <w:sz w:val="24"/>
          <w:szCs w:val="24"/>
          <w:rtl/>
          <w:lang w:val="ar-SA"/>
        </w:rPr>
        <w:t>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C30E139"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عبد الخالق العاني، اتجاهات جديدة في الحصول على حقوق الملكية الفكرية في سوريا، برنامج الندوة الوطنية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حماية الملكية الفكرية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بدون طبعة، ٢٠١٠</w:t>
      </w:r>
      <w:r>
        <w:rPr>
          <w:rStyle w:val="None"/>
          <w:rFonts w:ascii="Times New Roman" w:hAnsi="Times New Roman"/>
          <w:sz w:val="24"/>
          <w:szCs w:val="24"/>
          <w:rtl/>
          <w:lang w:val="ar-SA"/>
        </w:rPr>
        <w:t>.</w:t>
      </w:r>
    </w:p>
    <w:p w14:paraId="2A3D332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عبد الرحمان زيرق؛ وجعيرن بشير، حقوق الملكية الفكرية والاستثمار على ضوء القانون </w:t>
      </w:r>
      <w:r>
        <w:rPr>
          <w:rStyle w:val="None"/>
          <w:rFonts w:ascii="Times New Roman" w:hAnsi="Times New Roman"/>
          <w:sz w:val="24"/>
          <w:szCs w:val="24"/>
          <w:rtl/>
          <w:lang w:val="ar-SA"/>
        </w:rPr>
        <w:t xml:space="preserve">22/18 </w:t>
      </w:r>
      <w:r>
        <w:rPr>
          <w:rStyle w:val="None"/>
          <w:rFonts w:ascii="Arial Unicode MS" w:hAnsi="Arial Unicode MS" w:cs="Times New Roman" w:hint="cs"/>
          <w:sz w:val="24"/>
          <w:szCs w:val="24"/>
          <w:rtl/>
          <w:lang w:val="ar-SA"/>
        </w:rPr>
        <w:t>المتعلق بالاستثمار، مجلة الدراسات القانونية والسياسية،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8E04B2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عبد القادر سرحاني، الضوابط القانونية للجزاء الجنائي في ضوء مستجدات التشريع الجزائري، مجلة معالم للدراسات القانونية والسياسية، مح</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FAF741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عبد القادر عميمر، الحماية الجنائية للحق في الحياة الخاصة في البيئة الرقمية، مجلة القانون والأعمال،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2905E2F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عبد الله إبراهيم محمود أبو عطية،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p>
    <w:p w14:paraId="61E1B9B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عبد الله الشريف، حقوق الملكية الفكرية وعصر تقنيات المعلومات والاتصالات، مجلة الجامعي،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284-261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2B9E3EA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70D5733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47B1DED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0DBDF00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عرارم جعفر، الضوابط القانونية لنقل التكنولوجيا في ظل قواعد حماية الملكية الفكرية، رسالة دكتوراه غير منشورة، جامعة محمد خيضر، بسكرة، </w:t>
      </w:r>
      <w:r>
        <w:rPr>
          <w:rStyle w:val="None"/>
          <w:rFonts w:ascii="Times New Roman" w:hAnsi="Times New Roman"/>
          <w:sz w:val="24"/>
          <w:szCs w:val="24"/>
          <w:rtl/>
          <w:lang w:val="ar-SA"/>
        </w:rPr>
        <w:t>(2021).</w:t>
      </w:r>
    </w:p>
    <w:p w14:paraId="4AAE69A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عز الدين عبد الغني محجوب، دور الإعلام في التوعية بقوانين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تطبيقية على إذاعة وتلفزيون السودان في الفترة من </w:t>
      </w:r>
      <w:r>
        <w:rPr>
          <w:rStyle w:val="None"/>
          <w:rFonts w:ascii="Times New Roman" w:hAnsi="Times New Roman"/>
          <w:sz w:val="24"/>
          <w:szCs w:val="24"/>
          <w:rtl/>
          <w:lang w:val="ar-SA"/>
        </w:rPr>
        <w:t>1991-2013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(2015).</w:t>
      </w:r>
    </w:p>
    <w:p w14:paraId="20170F9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بن عزة محمد حمزة، المسئولية القانونية لمتعاملي الإنترنت دراسة 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جيلالي ليابس، الجزائر، </w:t>
      </w:r>
      <w:r>
        <w:rPr>
          <w:rStyle w:val="None"/>
          <w:rFonts w:ascii="Times New Roman" w:hAnsi="Times New Roman"/>
          <w:sz w:val="24"/>
          <w:szCs w:val="24"/>
          <w:rtl/>
          <w:lang w:val="ar-SA"/>
        </w:rPr>
        <w:t>2019.</w:t>
      </w:r>
    </w:p>
    <w:p w14:paraId="2FBE0659"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عطية بدر الدين؛ ناجية قموح،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إشكالية المصطلح، أصله وأبعاده، أعلم،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28064CC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4BCADA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علي أحمد علي أحمد عبيد، شروط منح براءة الاختراع، المجلة العملية للملكية الفكرية وإدارة الابتكار،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55F02C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علي عبد المحسن حسن، مفهوم العلامة التجارية، مجلة الفكر القانون والاقتصادي، ع </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8FAC36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علي محمد؛ فتاحي محمد، مفهوم براءة الاختراع وآليات حمايتها في التشريع الجزائري، مجلة الحقيقة،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5727B703"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عماد بن محمد يوسف جان، مقدمة في الملكية الفكرية وتطوُّرها في المملكة العربية السعودية، مجلة البحوث الإسلامية، ع</w:t>
      </w:r>
      <w:r>
        <w:rPr>
          <w:rStyle w:val="None"/>
          <w:rFonts w:ascii="Times New Roman" w:hAnsi="Times New Roman"/>
          <w:sz w:val="24"/>
          <w:szCs w:val="24"/>
          <w:rtl/>
          <w:lang w:val="ar-SA"/>
        </w:rPr>
        <w:t>94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9A4D17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w:t>
      </w:r>
      <w:r>
        <w:rPr>
          <w:rStyle w:val="None"/>
          <w:rFonts w:ascii="Times New Roman" w:hAnsi="Times New Roman"/>
          <w:sz w:val="24"/>
          <w:szCs w:val="24"/>
          <w:rtl/>
          <w:lang w:val="ar-SA"/>
        </w:rPr>
        <w:t>(2011).</w:t>
      </w:r>
    </w:p>
    <w:p w14:paraId="3303D6B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عمر محمد ابن يونس، حقوق الملكية الفكرية عبر الإنترنت، ندوة الملكية الفكرية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تأثير الملكية الفكرية عبر الإنترنت على التطوُّرات السياسية والاقتصادية العالمية، المنعقد في أغسطس، أغسطس</w:t>
      </w:r>
      <w:r>
        <w:rPr>
          <w:rStyle w:val="None"/>
          <w:rFonts w:ascii="Times New Roman" w:hAnsi="Times New Roman"/>
          <w:sz w:val="24"/>
          <w:szCs w:val="24"/>
          <w:rtl/>
          <w:lang w:val="ar-SA"/>
        </w:rPr>
        <w:t>- 2006</w:t>
      </w:r>
      <w:r>
        <w:rPr>
          <w:rStyle w:val="None"/>
          <w:rFonts w:ascii="Arial Unicode MS" w:hAnsi="Arial Unicode MS" w:cs="Times New Roman" w:hint="cs"/>
          <w:sz w:val="24"/>
          <w:szCs w:val="24"/>
          <w:rtl/>
          <w:lang w:val="ar-SA"/>
        </w:rPr>
        <w:t>، مصر</w:t>
      </w:r>
      <w:r>
        <w:rPr>
          <w:rStyle w:val="None"/>
          <w:rFonts w:ascii="Times New Roman" w:hAnsi="Times New Roman"/>
          <w:sz w:val="24"/>
          <w:szCs w:val="24"/>
          <w:rtl/>
          <w:lang w:val="ar-SA"/>
        </w:rPr>
        <w:t>.</w:t>
      </w:r>
    </w:p>
    <w:p w14:paraId="3550C4D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عمر يوسف عبد الله، الإطار القانوني والمؤسساتي لمكافحة التقليد والقرصنة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وهران، الجزائر، </w:t>
      </w:r>
      <w:r>
        <w:rPr>
          <w:rStyle w:val="None"/>
          <w:rFonts w:ascii="Times New Roman" w:hAnsi="Times New Roman"/>
          <w:sz w:val="24"/>
          <w:szCs w:val="24"/>
          <w:rtl/>
          <w:lang w:val="ar-SA"/>
        </w:rPr>
        <w:t>(2022).</w:t>
      </w:r>
    </w:p>
    <w:p w14:paraId="769CDCFF"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w:t>
      </w:r>
      <w:r>
        <w:rPr>
          <w:rStyle w:val="None"/>
          <w:rFonts w:ascii="Times New Roman" w:hAnsi="Times New Roman"/>
          <w:sz w:val="24"/>
          <w:szCs w:val="24"/>
          <w:rtl/>
          <w:lang w:val="ar-SA"/>
        </w:rPr>
        <w:t>: 2022/ 2023.</w:t>
      </w:r>
    </w:p>
    <w:p w14:paraId="7AD721D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غادة عبد الكريم جاد، أثر حماية الملكية الفكرية على الاستثمار دراسة مقارنة، مجلة الدراسات القانونية والاقتصادية،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2A3B057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غسان فطوم، حقوق المؤلف والملكية الفكرية والحقوق المجاورة في العالم العربي والشرق الأوسط، الاتحاد الدولي للصحفيين منظمة من اتحاد الاتحاد، </w:t>
      </w:r>
      <w:r>
        <w:rPr>
          <w:rStyle w:val="None"/>
          <w:rFonts w:ascii="Times New Roman" w:hAnsi="Times New Roman"/>
          <w:sz w:val="24"/>
          <w:szCs w:val="24"/>
          <w:rtl/>
          <w:lang w:val="ar-SA"/>
        </w:rPr>
        <w:t>2020.</w:t>
      </w:r>
    </w:p>
    <w:p w14:paraId="354D422E"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فاتن سعيد مبارك، حماية أمن المعلومات في شبكة المكتبات بجامعة أم القرى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وقائع المؤتمر العربي الثاني عشر للاتحاد العربي للمكتبات والمعلومات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المكتبات العربية في مطلع الألفية الثالثة، الشارقة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الاتحاد العربي للمكتبات والمعلومات وجامعة الشارقة،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(2001).</w:t>
      </w:r>
    </w:p>
    <w:p w14:paraId="6FF0AF0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ابن فارس، </w:t>
      </w:r>
      <w:r>
        <w:rPr>
          <w:rStyle w:val="None"/>
          <w:rFonts w:ascii="Arial Unicode MS" w:hAnsi="Arial Unicode MS" w:cs="Times New Roman" w:hint="cs"/>
          <w:sz w:val="24"/>
          <w:szCs w:val="24"/>
          <w:shd w:val="clear" w:color="auto" w:fill="FFFFFF"/>
          <w:rtl/>
          <w:lang w:val="ar-SA"/>
        </w:rPr>
        <w:t>معجم مقاييس اللغة، تحقيق وضبط</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عبد السلام محمد هارون، مصر</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شركه مكتبة ومطبعة مصطفى البابي الحلبي وأولاده، ط</w:t>
      </w:r>
      <w:r>
        <w:rPr>
          <w:rStyle w:val="None"/>
          <w:rFonts w:ascii="Times New Roman" w:hAnsi="Times New Roman"/>
          <w:sz w:val="24"/>
          <w:szCs w:val="24"/>
          <w:shd w:val="clear" w:color="auto" w:fill="FFFFFF"/>
          <w:rtl/>
          <w:lang w:val="ar-SA"/>
        </w:rPr>
        <w:t>2</w:t>
      </w:r>
      <w:r>
        <w:rPr>
          <w:rStyle w:val="None"/>
          <w:rFonts w:ascii="Arial Unicode MS" w:hAnsi="Arial Unicode MS" w:cs="Times New Roman" w:hint="cs"/>
          <w:sz w:val="24"/>
          <w:szCs w:val="24"/>
          <w:shd w:val="clear" w:color="auto" w:fill="FFFFFF"/>
          <w:rtl/>
          <w:lang w:val="ar-SA"/>
        </w:rPr>
        <w:t xml:space="preserve">، </w:t>
      </w:r>
      <w:r>
        <w:rPr>
          <w:rStyle w:val="None"/>
          <w:rFonts w:ascii="Times New Roman" w:hAnsi="Times New Roman"/>
          <w:sz w:val="24"/>
          <w:szCs w:val="24"/>
          <w:shd w:val="clear" w:color="auto" w:fill="FFFFFF"/>
          <w:rtl/>
          <w:lang w:val="ar-SA"/>
        </w:rPr>
        <w:t>1972</w:t>
      </w:r>
      <w:r>
        <w:rPr>
          <w:rStyle w:val="None"/>
          <w:rFonts w:ascii="Arial Unicode MS" w:hAnsi="Arial Unicode MS" w:cs="Times New Roman" w:hint="cs"/>
          <w:sz w:val="24"/>
          <w:szCs w:val="24"/>
          <w:shd w:val="clear" w:color="auto" w:fill="FFFFFF"/>
          <w:rtl/>
          <w:lang w:val="ar-SA"/>
        </w:rPr>
        <w:t xml:space="preserve">م، </w:t>
      </w:r>
      <w:r>
        <w:rPr>
          <w:rStyle w:val="None"/>
          <w:rFonts w:ascii="Times New Roman" w:hAnsi="Times New Roman"/>
          <w:sz w:val="24"/>
          <w:szCs w:val="24"/>
          <w:shd w:val="clear" w:color="auto" w:fill="FFFFFF"/>
          <w:rtl/>
          <w:lang w:val="ar-SA"/>
        </w:rPr>
        <w:t>2/ 427.</w:t>
      </w:r>
    </w:p>
    <w:p w14:paraId="7F77BB5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فازية بو علوط، أثر الذكاء الاصطناعي على حقوق الملكية الفكرية، المجلة الأكاديمية للبحث القانوني،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F5A048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فاطمة الزهراء علي عبد العظيم، التحديات القانونية للحوكمة الرقمية في المؤسسات العامة، مجلة القانون والدراسات الاجتماعية،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B6D148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فاطمة حسن عبد الحسيني، الحماية الدولية للمصنفات المكتوبة،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ميسان، الجزائر، </w:t>
      </w:r>
      <w:r>
        <w:rPr>
          <w:rStyle w:val="None"/>
          <w:rFonts w:ascii="Times New Roman" w:hAnsi="Times New Roman"/>
          <w:sz w:val="24"/>
          <w:szCs w:val="24"/>
          <w:rtl/>
          <w:lang w:val="ar-SA"/>
        </w:rPr>
        <w:t>(2020).</w:t>
      </w:r>
    </w:p>
    <w:p w14:paraId="12BA26B7"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فاطمة لواعر، الملكية الفكرية في البيئة الرقمية، مجلة الحوكمة والقانون الاقتصادي، مج</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A6BE48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فاطمة مصفح؛ وزينة أيت علي، مفهوم الدفع الإلكتروني وتمييزه عن الدفع التقليدي، مجلة البحوث والدراسات القانونية والسياسية، مج</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82A71F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فاطيمة ربوح، الاستثمار والملكية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ابن خلدون، الجزائر، </w:t>
      </w:r>
      <w:r>
        <w:rPr>
          <w:rStyle w:val="None"/>
          <w:rFonts w:ascii="Times New Roman" w:hAnsi="Times New Roman"/>
          <w:sz w:val="24"/>
          <w:szCs w:val="24"/>
          <w:rtl/>
          <w:lang w:val="ar-SA"/>
        </w:rPr>
        <w:t>2023.</w:t>
      </w:r>
    </w:p>
    <w:p w14:paraId="3F63250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فيصل بن عبد الله بن عبد العزيز الطيار، الحماية الدولية التجارية غير التقليدية دراسة تحليلية، مجلة البحوث الفقهية والقانونية،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98FCFD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D25263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كاميليا صلاح الدين عبد الله كمال، حماية الصالح العام في ضوء أحكام الملكية الفكرية، مجلة الشريعة والقانون، </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1367-1429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15383E9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الكاهنة ارزيل، تأثر المستهلك بحماية حقوق الملكية الفكرية، مجلة الحقوق والحريات،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29C6C1B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كداوة عبد القادر، البحث الوثائقي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أنموذجا، مجلة حقول معرفية للعلوم الاجتماعية والإنسانية،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902313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كوثر مازوني؛ مبروك لمشونشي، نطاق الملكية الفكرية في البيئة الرقمية، مجلة العلوم الإنسانية لجامعة أم البواقي،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742608F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لحواطي عتيقة، استرجاع المعلومات العلمية والتقنية في ظل البيئة الرقمية ودوره في دعم الاتصال العلمي بين الباحثين، رسالة دكتوراه غير منشورة، جامعة قسنطينة </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الجزائر، </w:t>
      </w:r>
      <w:r>
        <w:rPr>
          <w:rStyle w:val="None"/>
          <w:rFonts w:ascii="Times New Roman" w:hAnsi="Times New Roman"/>
          <w:sz w:val="24"/>
          <w:szCs w:val="24"/>
          <w:rtl/>
          <w:lang w:val="ar-SA"/>
        </w:rPr>
        <w:t>(2013).</w:t>
      </w:r>
    </w:p>
    <w:p w14:paraId="7233596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لطيفة علي الكميشي، الكتاب في البيئة الرقمية، مجلة المكتبات والمعلومات، ع</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36F9A48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لطيفة علي الكميشي، تسويق المعلومات في البيئة الرقمية، المجلة العربية الدولية لدراسات المكتبات والمعلومات،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22A90DD" w14:textId="77777777" w:rsidR="00454428" w:rsidRDefault="00C464EC" w:rsidP="00903948">
      <w:pPr>
        <w:pStyle w:val="Body"/>
        <w:numPr>
          <w:ilvl w:val="0"/>
          <w:numId w:val="328"/>
        </w:numPr>
        <w:spacing w:before="120" w:after="120" w:line="360" w:lineRule="auto"/>
        <w:ind w:left="701"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لفقيه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فتح</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الله؛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وكريمة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كريم،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الجزائية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لقانون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الملكية الفكرية للمصنف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الإلكتروني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بيئة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الأنترنت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ومدى</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استفادة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الصحفي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هذه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مجلة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الصورة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والاتصال، ع</w:t>
      </w:r>
      <w:r>
        <w:rPr>
          <w:rStyle w:val="None"/>
          <w:rFonts w:ascii="Times New Roman" w:hAnsi="Times New Roman"/>
          <w:sz w:val="24"/>
          <w:szCs w:val="24"/>
          <w:rtl/>
          <w:lang w:val="ar-SA"/>
        </w:rPr>
        <w:t>(22)</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Times New Roman" w:hAnsi="Times New Roman"/>
          <w:sz w:val="24"/>
          <w:szCs w:val="24"/>
          <w:rtl/>
          <w:lang w:val="ar-SA"/>
        </w:rPr>
        <w:t>2018.</w:t>
      </w:r>
      <w:r>
        <w:rPr>
          <w:rStyle w:val="None"/>
          <w:rFonts w:ascii="Times New Roman" w:hAnsi="Times New Roman"/>
          <w:sz w:val="24"/>
          <w:szCs w:val="24"/>
          <w:rtl/>
        </w:rPr>
        <w:t xml:space="preserve"> </w:t>
      </w:r>
    </w:p>
    <w:p w14:paraId="5604276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لمى بنت عبد الرزاق بن حميد المحمدي، حماية الملكية الفكرية في مواقع التواصل الاجتماعي، المجلة الدولية لنشر البحوث والدراسات،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الإصدار </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679DCF"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لمياء صلاح الدين محمد إبراهيم، الإعلام الإلكتروني ودوره في تعزيز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الصحافة الإلكترونية السودانية الفترة من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 2014</w:t>
      </w:r>
      <w:r>
        <w:rPr>
          <w:rStyle w:val="None"/>
          <w:rFonts w:ascii="Arial Unicode MS" w:hAnsi="Arial Unicode MS" w:cs="Times New Roman" w:hint="cs"/>
          <w:sz w:val="24"/>
          <w:szCs w:val="24"/>
          <w:rtl/>
          <w:lang w:val="ar-SA"/>
        </w:rPr>
        <w:t xml:space="preserve">م، رسالة دكتوراه غير منشورة، جامعة أم درمان الإسلامية، السودان، </w:t>
      </w:r>
      <w:r>
        <w:rPr>
          <w:rStyle w:val="None"/>
          <w:rFonts w:ascii="Times New Roman" w:hAnsi="Times New Roman"/>
          <w:sz w:val="24"/>
          <w:szCs w:val="24"/>
          <w:rtl/>
          <w:lang w:val="ar-SA"/>
        </w:rPr>
        <w:t>(2014).</w:t>
      </w:r>
    </w:p>
    <w:p w14:paraId="3A1E0BC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لونيس انقراشن؛ سعيد أمقران حاج، حقوق الملكية الفكرية وحماية المستهلك،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تيزي وزو، الجزائر، </w:t>
      </w:r>
      <w:r>
        <w:rPr>
          <w:rStyle w:val="None"/>
          <w:rFonts w:ascii="Times New Roman" w:hAnsi="Times New Roman"/>
          <w:sz w:val="24"/>
          <w:szCs w:val="24"/>
          <w:rtl/>
          <w:lang w:val="ar-SA"/>
        </w:rPr>
        <w:t>(2018).</w:t>
      </w:r>
    </w:p>
    <w:p w14:paraId="2DB6BB9E"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لؤي الزغبي، الوسائط المتعددة، المشاع المبدع للنشر، سوريا، </w:t>
      </w:r>
      <w:r>
        <w:rPr>
          <w:rStyle w:val="None"/>
          <w:rFonts w:ascii="Times New Roman" w:hAnsi="Times New Roman"/>
          <w:sz w:val="24"/>
          <w:szCs w:val="24"/>
          <w:rtl/>
          <w:lang w:val="ar-SA"/>
        </w:rPr>
        <w:t>(2020).</w:t>
      </w:r>
    </w:p>
    <w:p w14:paraId="56486C9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مجلة الدراسات والبحوث القانونية، </w:t>
      </w:r>
      <w:r>
        <w:rPr>
          <w:rStyle w:val="None"/>
          <w:rFonts w:ascii="Times New Roman" w:hAnsi="Times New Roman"/>
          <w:sz w:val="24"/>
          <w:szCs w:val="24"/>
          <w:rtl/>
          <w:lang w:val="ar-SA"/>
        </w:rPr>
        <w:t>6(2)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396-379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37A048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مبارك بن محمد الخالدي، الإثبات بالدليل الرقمي وتطبيقاته القضائية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بنظام الإثبات السعودي، مجلة قضاء، جامعة الإمام محمد بن سعود الإسلامي،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329-416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B0C0FDF"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مبروك العديلي، التسويق الإلكتروني، دار أمجد للنشر والتوزيع، الأردن، </w:t>
      </w:r>
      <w:r>
        <w:rPr>
          <w:rStyle w:val="None"/>
          <w:rFonts w:ascii="Times New Roman" w:hAnsi="Times New Roman"/>
          <w:sz w:val="24"/>
          <w:szCs w:val="24"/>
          <w:rtl/>
          <w:lang w:val="ar-SA"/>
        </w:rPr>
        <w:t>2015.</w:t>
      </w:r>
    </w:p>
    <w:p w14:paraId="48C9C8A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مجمع اللغة العربية، المعجم الوسيط، مكتبة الشروق الدولية، القاهرة، بدون طبعة، ٢٠٠٤</w:t>
      </w:r>
      <w:r>
        <w:rPr>
          <w:rStyle w:val="None"/>
          <w:rFonts w:ascii="Times New Roman" w:hAnsi="Times New Roman"/>
          <w:sz w:val="24"/>
          <w:szCs w:val="24"/>
          <w:rtl/>
          <w:lang w:val="ar-SA"/>
        </w:rPr>
        <w:t>.</w:t>
      </w:r>
    </w:p>
    <w:p w14:paraId="0022DAF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5437606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أحمد آدم أبكر، حقوق الملكية الفكرية وتطبيقاتها الجنائية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2016.</w:t>
      </w:r>
    </w:p>
    <w:p w14:paraId="6B7ABA2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محمد الطيب حمدان، واقع حماية الملكية الفكرية في الاتفاقيات الدولية، مجلة الحقوق والحريات، </w:t>
      </w:r>
      <w:r>
        <w:rPr>
          <w:rStyle w:val="None"/>
          <w:rFonts w:ascii="Times New Roman" w:hAnsi="Times New Roman"/>
          <w:sz w:val="24"/>
          <w:szCs w:val="24"/>
          <w:rtl/>
          <w:lang w:val="ar-SA"/>
        </w:rPr>
        <w:t>10(1)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55-34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E44EEE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العايبي؛ هيبة كنيوة؛ عواطف دودي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الفكرية وحقوق المؤلف في ظل الثورة المعلوماتية والتطوُّر التكنولوجي، مجلة الإعلام والمجتمع،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58E8B69"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محمد بن حدو،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الحمدي ابن باديس، الجزائر، </w:t>
      </w:r>
      <w:r>
        <w:rPr>
          <w:rStyle w:val="None"/>
          <w:rFonts w:ascii="Times New Roman" w:hAnsi="Times New Roman"/>
          <w:sz w:val="24"/>
          <w:szCs w:val="24"/>
          <w:rtl/>
          <w:lang w:val="ar-SA"/>
        </w:rPr>
        <w:t>(2017).</w:t>
      </w:r>
    </w:p>
    <w:p w14:paraId="1886ED0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بن علي بن عبد الله، دور حماية الملكية الفكرية في التنمية الصناعية، التعاون الصناعي في الخليج العربي، مج</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0B40BE27"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حسن جبل، المعجم الاشتقاقي المؤصل لألفاظ القرآن الكريم،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الآداب،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2/ 838.</w:t>
      </w:r>
    </w:p>
    <w:p w14:paraId="4DCB9B0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حسين منصور، النظرية العامة للالتزام،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الجامعة الجديدة، </w:t>
      </w:r>
      <w:r>
        <w:rPr>
          <w:rStyle w:val="None"/>
          <w:rFonts w:ascii="Times New Roman" w:hAnsi="Times New Roman"/>
          <w:sz w:val="24"/>
          <w:szCs w:val="24"/>
          <w:rtl/>
          <w:lang w:val="ar-SA"/>
        </w:rPr>
        <w:t>(2005).</w:t>
      </w:r>
    </w:p>
    <w:p w14:paraId="17068873"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محمد رضا علي البوسراية، الحماية المدنية للحق المعنوي للمؤلف في التشريعين الأردني والعراقي،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رسالة ماجستير غير منشورة، جامعة الشرق الأوسط، الأردن، </w:t>
      </w:r>
      <w:r>
        <w:rPr>
          <w:rStyle w:val="None"/>
          <w:rFonts w:ascii="Times New Roman" w:hAnsi="Times New Roman"/>
          <w:sz w:val="24"/>
          <w:szCs w:val="24"/>
          <w:rtl/>
          <w:lang w:val="ar-SA"/>
        </w:rPr>
        <w:t>(2018).</w:t>
      </w:r>
    </w:p>
    <w:p w14:paraId="70AD6CC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سلمان محمود، الحماية الدولية لحقوق الملكية الفكرية الإلكترونية، مجلة كلية دجلة الجامعة،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4832252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w:t>
      </w:r>
      <w:r>
        <w:rPr>
          <w:rStyle w:val="None"/>
          <w:rFonts w:ascii="Times New Roman" w:hAnsi="Times New Roman"/>
          <w:sz w:val="24"/>
          <w:szCs w:val="24"/>
          <w:rtl/>
          <w:lang w:val="ar-SA"/>
        </w:rPr>
        <w:t>.</w:t>
      </w:r>
    </w:p>
    <w:p w14:paraId="46C8C29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لعقاب، الأنترنت وعصر ثورة المعلومات، دار هومة للنشر والتوزيع، الطبعة الأولى، ١٩٩٩، ص ٥٤</w:t>
      </w:r>
    </w:p>
    <w:p w14:paraId="1EDE81F0"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محمد القطب مسعد سعيد، دور قواعد الملكية الفكرية في مواجهة تحديات الذكاء الاصطناعي دراسة قانونية تحليلية مقارنة، مجلة البحوث القانونية والاقتصادية،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92B8E8E"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محمد محمد مصباح القاضي، علم العقاب،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بدون دار نشر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(2004).</w:t>
      </w:r>
    </w:p>
    <w:p w14:paraId="7708CA87"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محمد مصطفى محمد عمر، النظام القانوني لوسائل الدفع الإلكتروني في العمليات المصرفية، المجلة القانونية، 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74EA14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محمود احمد عبد الحميد مبارك، العلامة التجارية وطرق حمايتها وفق القوانين النافذة في فلسطين،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2006.</w:t>
      </w:r>
    </w:p>
    <w:p w14:paraId="0E8E84A7" w14:textId="77777777" w:rsidR="00454428" w:rsidRDefault="00C464EC" w:rsidP="00903948">
      <w:pPr>
        <w:pStyle w:val="1"/>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العدد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أغسطس </w:t>
      </w:r>
      <w:r>
        <w:rPr>
          <w:rStyle w:val="None"/>
          <w:rFonts w:ascii="Times New Roman" w:hAnsi="Times New Roman"/>
          <w:sz w:val="24"/>
          <w:szCs w:val="24"/>
          <w:rtl/>
          <w:lang w:val="ar-SA"/>
        </w:rPr>
        <w:t>2023.</w:t>
      </w:r>
    </w:p>
    <w:p w14:paraId="0C83BC4F"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محمود عبد الجواد عبد الهادي عبد الجواد، تطوُّر التكنولوجيا والابتكار التشريعي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رؤية مستقبلية لتحقيق التوازن بين الابتكار وحماية الحقوق، مجلة القانون والأعمال، ع</w:t>
      </w:r>
      <w:r>
        <w:rPr>
          <w:rStyle w:val="None"/>
          <w:rFonts w:ascii="Times New Roman" w:hAnsi="Times New Roman"/>
          <w:sz w:val="24"/>
          <w:szCs w:val="24"/>
          <w:rtl/>
          <w:lang w:val="ar-SA"/>
        </w:rPr>
        <w:t>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34DBDAAC"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محمود نجيب حسني، شرح قانون العقوبات اللبناني القسم العام، لبنان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منشورات الحلبي الحقوقية، ط</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(1998).</w:t>
      </w:r>
    </w:p>
    <w:p w14:paraId="7160C64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مروة زين العابدين سعد، التحكيم في منازعات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بين النظام العام ومبدأ سلطان الإرادة، جامعة عين شمس، كلية الحقوق، الناشر مجلة العلوم القانونية والاقتصادية مج</w:t>
      </w:r>
      <w:r>
        <w:rPr>
          <w:rStyle w:val="None"/>
          <w:rFonts w:ascii="Times New Roman" w:hAnsi="Times New Roman"/>
          <w:sz w:val="24"/>
          <w:szCs w:val="24"/>
          <w:rtl/>
          <w:lang w:val="ar-SA"/>
        </w:rPr>
        <w:t>66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مصر، يناير </w:t>
      </w:r>
      <w:r>
        <w:rPr>
          <w:rStyle w:val="None"/>
          <w:rFonts w:ascii="Times New Roman" w:hAnsi="Times New Roman"/>
          <w:sz w:val="24"/>
          <w:szCs w:val="24"/>
          <w:rtl/>
          <w:lang w:val="ar-SA"/>
        </w:rPr>
        <w:t>2024.</w:t>
      </w:r>
    </w:p>
    <w:p w14:paraId="28A2C0A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مريم زان، التجارة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المزايا والأخطار،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C55EB9"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مريم عبد الحكيم رمضان، مدى وعي الباحثين بحقوق الملكية الفكرية للمؤلف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طلاب الدراسات العليا بكلية الآداب جامعة جنوب الوادي نموذجًا، مجلة كلية الآداب، </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CCF9E7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مصطفي بن أحمد الحكيم؛ وخالد صلاح حنفي، كتاب المؤتمر الدولي المحكم الاتجاهات العالمية المعاصرة في العلوم الإنسانية والاجتماعية، </w:t>
      </w:r>
      <w:r>
        <w:rPr>
          <w:rStyle w:val="None"/>
          <w:rFonts w:ascii="Times New Roman" w:hAnsi="Times New Roman"/>
          <w:sz w:val="24"/>
          <w:szCs w:val="24"/>
          <w:rtl/>
          <w:lang w:val="ar-SA"/>
        </w:rPr>
        <w:t xml:space="preserve">6-7 </w:t>
      </w:r>
      <w:r>
        <w:rPr>
          <w:rStyle w:val="None"/>
          <w:rFonts w:ascii="Arial Unicode MS" w:hAnsi="Arial Unicode MS" w:cs="Times New Roman" w:hint="cs"/>
          <w:sz w:val="24"/>
          <w:szCs w:val="24"/>
          <w:rtl/>
          <w:lang w:val="ar-SA"/>
        </w:rPr>
        <w:t xml:space="preserve">نوفمبر تركيا، </w:t>
      </w:r>
      <w:r>
        <w:rPr>
          <w:rStyle w:val="None"/>
          <w:rFonts w:ascii="Times New Roman" w:hAnsi="Times New Roman"/>
          <w:sz w:val="24"/>
          <w:szCs w:val="24"/>
          <w:rtl/>
          <w:lang w:val="ar-SA"/>
        </w:rPr>
        <w:t>(2019).</w:t>
      </w:r>
    </w:p>
    <w:p w14:paraId="23FE60F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مصطفي رحبي؛ ويوسف حمين، الطبيعة القانونية لحق المؤلف والحقوق المجاورة، رسالة ماجستير غير منشورة، جامعة زيان عاشور بالحلفة، الجزائر، </w:t>
      </w:r>
      <w:r>
        <w:rPr>
          <w:rStyle w:val="None"/>
          <w:rFonts w:ascii="Times New Roman" w:hAnsi="Times New Roman"/>
          <w:sz w:val="24"/>
          <w:szCs w:val="24"/>
          <w:rtl/>
          <w:lang w:val="ar-SA"/>
        </w:rPr>
        <w:t>2015.</w:t>
      </w:r>
    </w:p>
    <w:p w14:paraId="70D9DC1C"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مصعب علي أبو صلاح، واقع الملكية الفكرية وأثره على الاستثمار قطاع تكنولوجيا المعلومات في فلسطين، رسالة ماجستير، جامعة النجاح الوطنية،٢٠١٦</w:t>
      </w:r>
      <w:r>
        <w:rPr>
          <w:rStyle w:val="None"/>
          <w:rFonts w:ascii="Times New Roman" w:hAnsi="Times New Roman"/>
          <w:sz w:val="24"/>
          <w:szCs w:val="24"/>
          <w:rtl/>
          <w:lang w:val="ar-SA"/>
        </w:rPr>
        <w:t>.</w:t>
      </w:r>
    </w:p>
    <w:p w14:paraId="70DE00D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مليكة شبيشب؛ وميمونة بن عروسي، واقع النشر الإلكتروني لدى الأساتذة الجامعيين،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65.</w:t>
      </w:r>
    </w:p>
    <w:p w14:paraId="0FD38D9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معاذ فيغو، حقوق المصنفات الفكرية الرقمية، مجلة عدالة للدراسات القانونية والقضائية، المركز المتوسطي للدراسات القانونية والقضائية، المغرب، ع </w:t>
      </w:r>
      <w:r>
        <w:rPr>
          <w:rStyle w:val="None"/>
          <w:rFonts w:ascii="Times New Roman" w:hAnsi="Times New Roman"/>
          <w:sz w:val="24"/>
          <w:szCs w:val="24"/>
          <w:rtl/>
          <w:lang w:val="ar-SA"/>
        </w:rPr>
        <w:t>(44) 2025.</w:t>
      </w:r>
    </w:p>
    <w:p w14:paraId="41EB2D4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منال جابر محمد عكاشة، وعي اختصاص المكتبات والمعلومات في مكتبة الملك عبد الله بجامعة أم القرص</w:t>
      </w:r>
      <w:r>
        <w:rPr>
          <w:rStyle w:val="None"/>
          <w:rFonts w:ascii="Times New Roman" w:hAnsi="Times New Roman"/>
          <w:sz w:val="24"/>
          <w:szCs w:val="24"/>
          <w:rtl/>
          <w:lang w:val="ar-SA"/>
        </w:rPr>
        <w:t>.</w:t>
      </w:r>
    </w:p>
    <w:p w14:paraId="7634AD5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ابن منظور، لسان العرب دار صادر، بيروت، لبنان، ط ٣، المجلد الخامس، ١٩٩٤</w:t>
      </w:r>
      <w:r>
        <w:rPr>
          <w:rStyle w:val="None"/>
          <w:rFonts w:ascii="Times New Roman" w:hAnsi="Times New Roman"/>
          <w:sz w:val="24"/>
          <w:szCs w:val="24"/>
          <w:rtl/>
          <w:lang w:val="ar-SA"/>
        </w:rPr>
        <w:t>.</w:t>
      </w:r>
    </w:p>
    <w:p w14:paraId="5DEAFDC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1B16C26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منى علي زهير؛ وعزوزي قويدر، معاهدة الويبو لحق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بالجلفة، الجزائر، </w:t>
      </w:r>
      <w:r>
        <w:rPr>
          <w:rStyle w:val="None"/>
          <w:rFonts w:ascii="Times New Roman" w:hAnsi="Times New Roman"/>
          <w:sz w:val="24"/>
          <w:szCs w:val="24"/>
          <w:rtl/>
          <w:lang w:val="ar-SA"/>
        </w:rPr>
        <w:t>(2017).</w:t>
      </w:r>
    </w:p>
    <w:p w14:paraId="532C3CE9"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منى غازي حسان إبراهيم، فاعلية السياسية الجنائية في مواجهة الجرائم المعلوماتية، مجلة الشريعة والقانون بالقاهرة،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63299487"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منى فنيح، الدراسات القانونية في ظل البيئة الرقمية، مجلة الندوة للدراسات القانونية،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D33EFBC"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مها بنت مخلد العتيبي، الابتكار في حقوق الملكية الأدبية والفنية، رسالة ماجستير غير منشورة، مجلة جامعة الملك عبد العزيز</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الآداب والعلوم الإنسانية، م</w:t>
      </w:r>
      <w:r>
        <w:rPr>
          <w:rStyle w:val="None"/>
          <w:rFonts w:ascii="Times New Roman" w:hAnsi="Times New Roman"/>
          <w:sz w:val="24"/>
          <w:szCs w:val="24"/>
          <w:rtl/>
          <w:lang w:val="ar-SA"/>
        </w:rPr>
        <w:t>29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C80E05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مؤيد زيدان، حقوق الملكية الفكرية، المشاع المبدع للنشر، سوريا، </w:t>
      </w:r>
      <w:r>
        <w:rPr>
          <w:rStyle w:val="None"/>
          <w:rFonts w:ascii="Times New Roman" w:hAnsi="Times New Roman"/>
          <w:sz w:val="24"/>
          <w:szCs w:val="24"/>
          <w:rtl/>
          <w:lang w:val="ar-SA"/>
        </w:rPr>
        <w:t>2020.</w:t>
      </w:r>
    </w:p>
    <w:p w14:paraId="572AD8F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مي أكرم ياسين، المكتبات الرقمية المفاهيم والتحديات، المجلة العربية للنشر العلمي، ع</w:t>
      </w:r>
      <w:r>
        <w:rPr>
          <w:rStyle w:val="None"/>
          <w:rFonts w:ascii="Times New Roman" w:hAnsi="Times New Roman"/>
          <w:sz w:val="24"/>
          <w:szCs w:val="24"/>
          <w:rtl/>
          <w:lang w:val="ar-SA"/>
        </w:rPr>
        <w:t>84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1D295DC"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ميسر طارق يوسف جرار، المسؤولية المدنية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72. / </w:t>
      </w:r>
      <w:r>
        <w:rPr>
          <w:rStyle w:val="None"/>
          <w:rFonts w:ascii="Arial Unicode MS" w:hAnsi="Arial Unicode MS" w:cs="Times New Roman" w:hint="cs"/>
          <w:sz w:val="24"/>
          <w:szCs w:val="24"/>
          <w:rtl/>
          <w:lang w:val="ar-SA"/>
        </w:rPr>
        <w:t>أنظر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الفتاح محمود كيلاني، مدى المسئولية القانونية لمقدمي خدمة الإنترنت</w:t>
      </w:r>
      <w:r>
        <w:rPr>
          <w:rStyle w:val="None"/>
          <w:rFonts w:ascii="Times New Roman" w:hAnsi="Times New Roman"/>
          <w:sz w:val="24"/>
          <w:szCs w:val="24"/>
          <w:rtl/>
          <w:lang w:val="ar-SA"/>
        </w:rPr>
        <w:t>.</w:t>
      </w:r>
    </w:p>
    <w:p w14:paraId="26CBE4C0"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نادية إبراهيم أحمد علي، تكنولوجيا المعلومات وقانون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وصفية تطبيقية على برامج الحاسوب والوسائط المتعددة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جامعة الناصر،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256-227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77136CB1"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نادية حدادو؛ وراضية بعوالي، النظام القانوني لقواعد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أمحمد بوقرة، الجزائر، </w:t>
      </w:r>
      <w:r>
        <w:rPr>
          <w:rStyle w:val="None"/>
          <w:rFonts w:ascii="Times New Roman" w:hAnsi="Times New Roman"/>
          <w:sz w:val="24"/>
          <w:szCs w:val="24"/>
          <w:rtl/>
          <w:lang w:val="ar-SA"/>
        </w:rPr>
        <w:t>(2023).</w:t>
      </w:r>
    </w:p>
    <w:p w14:paraId="3F3DC56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نادية زواني، الاعتداء على حق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التقليد والقرصنة، رسالة ماجستير غير منشورة، كلية الحقوق والعلوم الإدارية، جامعة الجزائر، الجزائر، </w:t>
      </w:r>
      <w:r>
        <w:rPr>
          <w:rStyle w:val="None"/>
          <w:rFonts w:ascii="Times New Roman" w:hAnsi="Times New Roman"/>
          <w:sz w:val="24"/>
          <w:szCs w:val="24"/>
          <w:rtl/>
          <w:lang w:val="ar-SA"/>
        </w:rPr>
        <w:t>(2002).</w:t>
      </w:r>
    </w:p>
    <w:p w14:paraId="3FCBBB7E"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ناصر بن محمد الشريف، أخلاقيات العمل وحقوق الملكية الفكرية، الطبعة الأولى، بدون ناشر، ١٤٤٤ هـ، ٢٠٢٣</w:t>
      </w:r>
      <w:r>
        <w:rPr>
          <w:rStyle w:val="None"/>
          <w:rFonts w:ascii="Times New Roman" w:hAnsi="Times New Roman"/>
          <w:sz w:val="24"/>
          <w:szCs w:val="24"/>
          <w:rtl/>
          <w:lang w:val="ar-SA"/>
        </w:rPr>
        <w:t>.</w:t>
      </w:r>
    </w:p>
    <w:p w14:paraId="05E4A2E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نايف عبد الله العمادي،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الزرقاء، الأردن، </w:t>
      </w:r>
      <w:r>
        <w:rPr>
          <w:rStyle w:val="None"/>
          <w:rFonts w:ascii="Times New Roman" w:hAnsi="Times New Roman"/>
          <w:sz w:val="24"/>
          <w:szCs w:val="24"/>
          <w:rtl/>
          <w:lang w:val="ar-SA"/>
        </w:rPr>
        <w:t xml:space="preserve">(2020). </w:t>
      </w:r>
    </w:p>
    <w:p w14:paraId="2F4A0807"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نبيل بدر الدين، 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4622D06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نبيلة بركان، الملكية الفكرية وتأثيرها في الاقتصاد العالمي، رسالة ماجستير غير منشورة، جامعة دالي إبراهيم، الجزائر، </w:t>
      </w:r>
      <w:r>
        <w:rPr>
          <w:rStyle w:val="None"/>
          <w:rFonts w:ascii="Times New Roman" w:hAnsi="Times New Roman"/>
          <w:sz w:val="24"/>
          <w:szCs w:val="24"/>
          <w:rtl/>
          <w:lang w:val="ar-SA"/>
        </w:rPr>
        <w:t>2010.</w:t>
      </w:r>
    </w:p>
    <w:p w14:paraId="40A1F3C8"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نجاة سامي هادف، إدارة وتسيير الموارد البشرية في البيئة الرقمية تحديات وآفاق، مجلة علوم الإنسان والمجتمع،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0121CDF"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نجم عبود نجم، إدارة اللاملموسات إدارة ما لا يقاس،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p>
    <w:p w14:paraId="71EA48FC"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نزيه محمد الصادق المهدي، آلية حماية حقوق الملكية الفكرية، كلية الحقوق جامعة القاهرة، دار النهضة العربية للنشر، القاهرة، الطبعة الثانية، </w:t>
      </w:r>
      <w:r>
        <w:rPr>
          <w:rStyle w:val="None"/>
          <w:rFonts w:ascii="Times New Roman" w:hAnsi="Times New Roman"/>
          <w:sz w:val="24"/>
          <w:szCs w:val="24"/>
          <w:rtl/>
          <w:lang w:val="ar-SA"/>
        </w:rPr>
        <w:t>2017.</w:t>
      </w:r>
    </w:p>
    <w:p w14:paraId="43FEF1A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نسرين إبراهيم محمد المرافي، النظام القانوني للترخيص الإجباري لبراءات الاختراع، رسالة ماجستير، جامعة الزرقاء، </w:t>
      </w:r>
      <w:r>
        <w:rPr>
          <w:rStyle w:val="None"/>
          <w:rFonts w:ascii="Times New Roman" w:hAnsi="Times New Roman"/>
          <w:sz w:val="24"/>
          <w:szCs w:val="24"/>
          <w:rtl/>
          <w:lang w:val="ar-SA"/>
        </w:rPr>
        <w:t>(2018).</w:t>
      </w:r>
    </w:p>
    <w:p w14:paraId="268A0C3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نسيمة فتحي،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الجزائر، </w:t>
      </w:r>
      <w:r>
        <w:rPr>
          <w:rStyle w:val="None"/>
          <w:rFonts w:ascii="Times New Roman" w:hAnsi="Times New Roman"/>
          <w:sz w:val="24"/>
          <w:szCs w:val="24"/>
          <w:rtl/>
          <w:lang w:val="ar-SA"/>
        </w:rPr>
        <w:t>(2012).</w:t>
      </w:r>
    </w:p>
    <w:p w14:paraId="190313F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نضال عطا بدوي الدويك، التعويض عن الأضرار المادية المستقبلية الناجمة عن الإصابات الجسدية، رسالة ماجستير غير منشورة، جامعة الشرق الأوسط، الأردن، </w:t>
      </w:r>
      <w:r>
        <w:rPr>
          <w:rStyle w:val="None"/>
          <w:rFonts w:ascii="Times New Roman" w:hAnsi="Times New Roman"/>
          <w:sz w:val="24"/>
          <w:szCs w:val="24"/>
          <w:rtl/>
          <w:lang w:val="ar-SA"/>
        </w:rPr>
        <w:t>(2016).</w:t>
      </w:r>
    </w:p>
    <w:p w14:paraId="2622965F"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نعيمة سحقي، الاقتصاد الرقمي في الجزائر الفرص والتحديات،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ولحاج، الجزائر، </w:t>
      </w:r>
      <w:r>
        <w:rPr>
          <w:rStyle w:val="None"/>
          <w:rFonts w:ascii="Times New Roman" w:hAnsi="Times New Roman"/>
          <w:sz w:val="24"/>
          <w:szCs w:val="24"/>
          <w:rtl/>
          <w:lang w:val="ar-SA"/>
        </w:rPr>
        <w:t>2015.</w:t>
      </w:r>
    </w:p>
    <w:p w14:paraId="17EF7C9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598BDB5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هبة الله ربحي الدويكات، الترخيص الإجباري في الاختراعات المتعلقة بالأدوية، رسالة ماجستير، جامعة الزرقاء، </w:t>
      </w:r>
      <w:r>
        <w:rPr>
          <w:rStyle w:val="None"/>
          <w:rFonts w:ascii="Times New Roman" w:hAnsi="Times New Roman"/>
          <w:sz w:val="24"/>
          <w:szCs w:val="24"/>
          <w:rtl/>
          <w:lang w:val="ar-SA"/>
        </w:rPr>
        <w:t>1-116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656B5A3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هديل علي أحمد فرج، التنظيم القانوني لحماية تصميم الدارة المتكاملة في ضوء النظام السعودي، المجلة الدولية للعلوم المالية والإدارية والاقتصادية، الإصدار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270211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هشام مسعودي، حماية الملكية الفكرية لحقوق المؤلف للمصنفات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قراءة في المدلول وسبل الحماية، مجلة الدراسات القانونية، مح</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02B1F23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هلال إبراهيم هلال الخطيب، القيود التي تحكم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مقارنة، رسالة ماجستير غير منشورة، جامعة آل البيت، الأردن، </w:t>
      </w:r>
      <w:r>
        <w:rPr>
          <w:rStyle w:val="None"/>
          <w:rFonts w:ascii="Times New Roman" w:hAnsi="Times New Roman"/>
          <w:sz w:val="24"/>
          <w:szCs w:val="24"/>
          <w:rtl/>
          <w:lang w:val="ar-SA"/>
        </w:rPr>
        <w:t>(2004).</w:t>
      </w:r>
    </w:p>
    <w:p w14:paraId="7FA58AF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هناء عودة خضري أحمد عودة، دليل ضوابط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دراسات في التعليم الجامعي، </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462-420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0CD1B414"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هند نجيب، ضبط الأدلة في الجرائم الإلكترونية بين الإجراءات التقليدية والإجراءات الحديثة، المجلة الجنائية القومية، مج</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87-127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63F61517"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وائل محمد رفعت إبراهيم علي، الحماية القانونية للتصميمات التخطيطية للدوائر المتكاملة، مجلة العلوم الاقتصادية والإدارية والقانونية،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2940B8A"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وثيقة الاستراتيجية الوطنية للأمن السيبراني، الهيئة الوطنية للأمن السيبراني، </w:t>
      </w:r>
      <w:r>
        <w:rPr>
          <w:rStyle w:val="None"/>
          <w:rFonts w:ascii="Times New Roman" w:hAnsi="Times New Roman"/>
          <w:sz w:val="24"/>
          <w:szCs w:val="24"/>
          <w:rtl/>
          <w:lang w:val="ar-SA"/>
        </w:rPr>
        <w:t>(2020).</w:t>
      </w:r>
    </w:p>
    <w:p w14:paraId="348B947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وثيقة الضوابط الأساسية للأمن السيبراني، الهيئة الوطنية للأمن السيبراني، </w:t>
      </w:r>
      <w:r>
        <w:rPr>
          <w:rStyle w:val="None"/>
          <w:rFonts w:ascii="Times New Roman" w:hAnsi="Times New Roman"/>
          <w:sz w:val="24"/>
          <w:szCs w:val="24"/>
          <w:rtl/>
          <w:lang w:val="ar-SA"/>
        </w:rPr>
        <w:t>(2018).</w:t>
      </w:r>
    </w:p>
    <w:p w14:paraId="69CB38EC"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وردة خلاف، دور الرقابة الإلكترونية في مكافحة الفساد الإداري، المجلة الجزائرية للدراسات التاريخية والقانونية،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453AF92"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ولاء الدين محمد إبراهيم، التحكيم في منازعات المليكة الفكرية، المجلة المصرية للقانون الدولي، </w:t>
      </w:r>
      <w:r>
        <w:rPr>
          <w:rStyle w:val="None"/>
          <w:rFonts w:ascii="Times New Roman" w:hAnsi="Times New Roman"/>
          <w:sz w:val="24"/>
          <w:szCs w:val="24"/>
          <w:rtl/>
          <w:lang w:val="ar-SA"/>
        </w:rPr>
        <w:t>72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384-428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098334DB"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w:t>
      </w:r>
      <w:r>
        <w:rPr>
          <w:rStyle w:val="None"/>
          <w:rFonts w:ascii="Times New Roman" w:hAnsi="Times New Roman"/>
          <w:sz w:val="24"/>
          <w:szCs w:val="24"/>
          <w:rtl/>
          <w:lang w:val="ar-SA"/>
        </w:rPr>
        <w:t>41</w:t>
      </w:r>
      <w:r>
        <w:rPr>
          <w:rStyle w:val="None"/>
          <w:rFonts w:ascii="Arial Unicode MS" w:hAnsi="Arial Unicode MS" w:cs="Times New Roman" w:hint="cs"/>
          <w:sz w:val="24"/>
          <w:szCs w:val="24"/>
          <w:rtl/>
          <w:lang w:val="ar-SA"/>
        </w:rPr>
        <w:t xml:space="preserve">، الإصدار الثاني، </w:t>
      </w:r>
      <w:r>
        <w:rPr>
          <w:rStyle w:val="None"/>
          <w:rFonts w:ascii="Times New Roman" w:hAnsi="Times New Roman"/>
          <w:sz w:val="24"/>
          <w:szCs w:val="24"/>
          <w:rtl/>
          <w:lang w:val="ar-SA"/>
        </w:rPr>
        <w:t>(2025).</w:t>
      </w:r>
    </w:p>
    <w:p w14:paraId="098F6D9C"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ولد سليمان عيسى عبيد ياسين، حماية حقوق المؤلف على الإنترنت وفق معاهدتي الويبو لسنة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عبد جامعة الرحمان ميرة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بجاية، الجزائر، </w:t>
      </w:r>
      <w:r>
        <w:rPr>
          <w:rStyle w:val="None"/>
          <w:rFonts w:ascii="Times New Roman" w:hAnsi="Times New Roman"/>
          <w:sz w:val="24"/>
          <w:szCs w:val="24"/>
          <w:rtl/>
          <w:lang w:val="ar-SA"/>
        </w:rPr>
        <w:t>(2018).</w:t>
      </w:r>
    </w:p>
    <w:p w14:paraId="5E6CA80D"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172-228.</w:t>
      </w:r>
    </w:p>
    <w:p w14:paraId="0977E546"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ياسر مناع العدوان؛ وأحمد أمين السرحان، أثر الرقابة الإلكترونية على مستوى أداء العاملين في مؤسسات التمويل الحكومية الأردنية، مجلة جرش للبحوث والدراسات، مج</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57A36D25"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يوسف بن نافلة، النشر الإلكتروني وأهميته في تحقيق البحوث العلمية والتعليمية، مجلة أدبيات،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39EFF8E" w14:textId="77777777" w:rsidR="00454428" w:rsidRDefault="00C464EC" w:rsidP="00903948">
      <w:pPr>
        <w:pStyle w:val="FootnoteText"/>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يوسفي علاء الدين؛ سي حمدي عبد المؤمن، الحماية القانونية لحقوق الملكية الفكرية في ظل تحديات البيئة الرقمية الراهنة، مجلة طبة، للدراسات العلمية الأكاديمية،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BEBFA0" w14:textId="77777777" w:rsidR="00454428" w:rsidRDefault="00C464EC" w:rsidP="00903948">
      <w:pPr>
        <w:pStyle w:val="a"/>
        <w:jc w:val="left"/>
        <w:rPr>
          <w:rStyle w:val="None"/>
          <w:rtl/>
          <w:lang w:val="ar-SA"/>
        </w:rPr>
      </w:pPr>
      <w:bookmarkStart w:id="282" w:name="_Toc227251144"/>
      <w:bookmarkStart w:id="283" w:name="_Toc232260719"/>
      <w:r>
        <w:rPr>
          <w:rStyle w:val="None"/>
          <w:rFonts w:ascii="Arial Unicode MS" w:eastAsia="Arial Unicode MS" w:hAnsi="Arial Unicode MS" w:hint="cs"/>
          <w:rtl/>
          <w:lang w:val="ar-SA"/>
        </w:rPr>
        <w:t>ثانيًا</w:t>
      </w:r>
      <w:r>
        <w:rPr>
          <w:rStyle w:val="None"/>
          <w:rtl/>
          <w:lang w:val="ar-SA"/>
        </w:rPr>
        <w:t xml:space="preserve">: </w:t>
      </w:r>
      <w:r>
        <w:rPr>
          <w:rStyle w:val="None"/>
          <w:rFonts w:ascii="Arial Unicode MS" w:eastAsia="Arial Unicode MS" w:hAnsi="Arial Unicode MS" w:hint="cs"/>
          <w:rtl/>
          <w:lang w:val="ar-SA"/>
        </w:rPr>
        <w:t>المراجع الأجنبية</w:t>
      </w:r>
      <w:r>
        <w:rPr>
          <w:rStyle w:val="None"/>
          <w:rtl/>
          <w:lang w:val="ar-SA"/>
        </w:rPr>
        <w:t>.</w:t>
      </w:r>
      <w:bookmarkEnd w:id="282"/>
      <w:bookmarkEnd w:id="283"/>
    </w:p>
    <w:p w14:paraId="31CA638C"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AIPPI International. (2025). A Century of Excellence: The French Legacy in Global Intellectual Property. Retrieved from </w:t>
      </w:r>
      <w:hyperlink r:id="rId15" w:history="1">
        <w:r w:rsidR="00454428">
          <w:rPr>
            <w:rStyle w:val="Hyperlink7"/>
            <w:rFonts w:eastAsia="Arial Unicode MS"/>
          </w:rPr>
          <w:t>https://www.aippi.org/news/a-century-of-excellence-the-french-legacy-in-global-intellectual-property/</w:t>
        </w:r>
      </w:hyperlink>
    </w:p>
    <w:p w14:paraId="3C59C674"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Ajakaye, O., &amp; Lawal, A. (2025). Digital Justice and IP Protection: A Transatlantic Approach to Regulating NFTs, Blockchain and Copyright Infringement. Engineering and Technology Journal, 10(9). </w:t>
      </w:r>
    </w:p>
    <w:p w14:paraId="5B1F2CC0"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al Dajeh, B</w:t>
      </w:r>
      <w:r>
        <w:rPr>
          <w:rStyle w:val="None"/>
          <w:rFonts w:ascii="Times New Roman" w:hAnsi="Times New Roman"/>
          <w:sz w:val="24"/>
          <w:szCs w:val="24"/>
          <w:rtl/>
          <w:lang w:val="ar-SA"/>
        </w:rPr>
        <w:t>.</w:t>
      </w:r>
      <w:r>
        <w:rPr>
          <w:rStyle w:val="None"/>
          <w:rFonts w:ascii="Times New Roman" w:hAnsi="Times New Roman"/>
          <w:sz w:val="24"/>
          <w:szCs w:val="24"/>
        </w:rPr>
        <w:t>, Aloun, D</w:t>
      </w:r>
      <w:r>
        <w:rPr>
          <w:rStyle w:val="None"/>
          <w:rFonts w:ascii="Times New Roman" w:hAnsi="Times New Roman"/>
          <w:sz w:val="24"/>
          <w:szCs w:val="24"/>
          <w:rtl/>
          <w:lang w:val="ar-SA"/>
        </w:rPr>
        <w:t>.</w:t>
      </w:r>
      <w:r>
        <w:rPr>
          <w:rStyle w:val="None"/>
          <w:rFonts w:ascii="Times New Roman" w:hAnsi="Times New Roman"/>
          <w:sz w:val="24"/>
          <w:szCs w:val="24"/>
        </w:rPr>
        <w:t xml:space="preserve"> &amp; Manaseer, S. (2024). Protecting digital intellectual property. Zarqa University (Jordan).</w:t>
      </w:r>
    </w:p>
    <w:p w14:paraId="5604AF12"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ALA. (2025). Digital Millennium Copyright Act. Retrieved from </w:t>
      </w:r>
      <w:hyperlink r:id="rId16" w:history="1">
        <w:r w:rsidR="00454428">
          <w:rPr>
            <w:rStyle w:val="Hyperlink7"/>
            <w:rFonts w:eastAsia="Arial Unicode MS"/>
          </w:rPr>
          <w:t>https://www.ala.org/advocacy/copyright/dmca?utm_source</w:t>
        </w:r>
      </w:hyperlink>
    </w:p>
    <w:p w14:paraId="0CBD1FE8"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Al-Musallamawi, F. A. R. A., &amp; Al-Dulaimi, M. M. K. A. Protecting Intellectual Property Rights in Civil Legislation: A Comparative Study Between French Civil Law and Iraqi Civil Law. 2024</w:t>
      </w:r>
      <w:r>
        <w:rPr>
          <w:rStyle w:val="None"/>
          <w:rFonts w:ascii="Times New Roman" w:hAnsi="Times New Roman"/>
          <w:color w:val="222222"/>
          <w:sz w:val="24"/>
          <w:szCs w:val="24"/>
          <w:u w:color="222222"/>
          <w:shd w:val="clear" w:color="auto" w:fill="FFFFFF"/>
          <w:rtl/>
          <w:lang w:val="ar-SA"/>
        </w:rPr>
        <w:t>.</w:t>
      </w:r>
    </w:p>
    <w:p w14:paraId="4E7DBD01"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(1), 13-22.</w:t>
      </w:r>
      <w:r>
        <w:rPr>
          <w:rStyle w:val="None"/>
          <w:rFonts w:ascii="Times New Roman" w:hAnsi="Times New Roman"/>
          <w:color w:val="222222"/>
          <w:sz w:val="24"/>
          <w:szCs w:val="24"/>
          <w:u w:color="222222"/>
          <w:shd w:val="clear" w:color="auto" w:fill="FFFFFF"/>
          <w:rtl/>
          <w:lang w:val="ar-SA"/>
        </w:rPr>
        <w:t xml:space="preserve"> </w:t>
      </w:r>
      <w:r>
        <w:rPr>
          <w:rStyle w:val="None"/>
          <w:rFonts w:ascii="Times New Roman" w:hAnsi="Times New Roman"/>
          <w:color w:val="222222"/>
          <w:sz w:val="24"/>
          <w:szCs w:val="24"/>
          <w:u w:color="222222"/>
          <w:shd w:val="clear" w:color="auto" w:fill="FFFFFF"/>
        </w:rPr>
        <w:t xml:space="preserve"> </w:t>
      </w:r>
    </w:p>
    <w:p w14:paraId="48C8B24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(1), 13-22. </w:t>
      </w:r>
    </w:p>
    <w:p w14:paraId="566BD1EA"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 xml:space="preserve">Balganesh, S. (Ed.). </w:t>
      </w:r>
      <w:r>
        <w:rPr>
          <w:rStyle w:val="None"/>
          <w:rFonts w:ascii="Times New Roman" w:hAnsi="Times New Roman"/>
          <w:i/>
          <w:iCs/>
          <w:color w:val="222222"/>
          <w:sz w:val="24"/>
          <w:szCs w:val="24"/>
          <w:u w:color="222222"/>
          <w:shd w:val="clear" w:color="auto" w:fill="FFFFFF"/>
        </w:rPr>
        <w:t>Intellectual property and the common law</w:t>
      </w:r>
      <w:r>
        <w:rPr>
          <w:rStyle w:val="None"/>
          <w:rFonts w:ascii="Times New Roman" w:hAnsi="Times New Roman"/>
          <w:color w:val="222222"/>
          <w:sz w:val="24"/>
          <w:szCs w:val="24"/>
          <w:u w:color="222222"/>
          <w:shd w:val="clear" w:color="auto" w:fill="FFFFFF"/>
        </w:rPr>
        <w:t xml:space="preserve">. Cambridge University Press. 2013, PP. </w:t>
      </w:r>
    </w:p>
    <w:p w14:paraId="0160D77A"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BENHAMOU, Yaniv. Compensation of Prejudice for Infringements of Intellectual Property Rights in France, under the Directive 2004/48/EC and Its Transposition Law: New Notions? International Review of Intellectual Property and Competition Law (IIC), 2009, no. 2</w:t>
      </w:r>
      <w:r>
        <w:rPr>
          <w:rStyle w:val="None"/>
          <w:rFonts w:ascii="Times New Roman" w:hAnsi="Times New Roman"/>
          <w:sz w:val="24"/>
          <w:szCs w:val="24"/>
          <w:rtl/>
          <w:lang w:val="ar-SA"/>
        </w:rPr>
        <w:t>.</w:t>
      </w:r>
    </w:p>
    <w:p w14:paraId="7B37122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Benvenuti, S., Macmillan, F., E &amp; Zolea, S. (2024). </w:t>
      </w:r>
      <w:r>
        <w:rPr>
          <w:rStyle w:val="None"/>
          <w:rFonts w:ascii="Times New Roman" w:hAnsi="Times New Roman"/>
          <w:i/>
          <w:iCs/>
          <w:sz w:val="24"/>
          <w:szCs w:val="24"/>
        </w:rPr>
        <w:t>INTELLECTUAL PROPERTY IN THE DIGITAL AGE</w:t>
      </w:r>
      <w:r>
        <w:rPr>
          <w:rStyle w:val="None"/>
          <w:rFonts w:ascii="Times New Roman" w:hAnsi="Times New Roman"/>
          <w:sz w:val="24"/>
          <w:szCs w:val="24"/>
        </w:rPr>
        <w:t>.</w:t>
      </w:r>
    </w:p>
    <w:p w14:paraId="0AC029C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sz w:val="24"/>
          <w:szCs w:val="24"/>
        </w:rPr>
      </w:pPr>
      <w:r>
        <w:rPr>
          <w:rStyle w:val="None"/>
          <w:rFonts w:ascii="Times New Roman" w:hAnsi="Times New Roman"/>
          <w:sz w:val="24"/>
          <w:szCs w:val="24"/>
        </w:rPr>
        <w:t>Boshkov, T. (2020). Intellectual property in digital environment.</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Paper presented at </w:t>
      </w:r>
      <w:r>
        <w:rPr>
          <w:rStyle w:val="None"/>
          <w:rFonts w:ascii="Times New Roman" w:hAnsi="Times New Roman"/>
          <w:i/>
          <w:iCs/>
          <w:sz w:val="24"/>
          <w:szCs w:val="24"/>
        </w:rPr>
        <w:t>Third International Scientific Conference CHALLENGES OF TOURISM AND BUSINESS LOGISTICS IN THE 21ST CENTURY »ISCTBL 2020</w:t>
      </w:r>
      <w:r>
        <w:rPr>
          <w:rStyle w:val="None"/>
          <w:rFonts w:ascii="Times New Roman" w:hAnsi="Times New Roman"/>
          <w:sz w:val="24"/>
          <w:szCs w:val="24"/>
          <w:rtl/>
          <w:lang w:val="ar-SA"/>
        </w:rPr>
        <w:t>.</w:t>
      </w:r>
    </w:p>
    <w:p w14:paraId="0910755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Bronzo, Nicolas. "Remedies for Intellectual property rights infringement in France and Europe: have we gone too far?" In </w:t>
      </w:r>
      <w:r>
        <w:rPr>
          <w:rStyle w:val="None"/>
          <w:rFonts w:ascii="Times New Roman" w:hAnsi="Times New Roman"/>
          <w:i/>
          <w:iCs/>
          <w:color w:val="222222"/>
          <w:sz w:val="24"/>
          <w:szCs w:val="24"/>
          <w:u w:color="222222"/>
          <w:shd w:val="clear" w:color="auto" w:fill="FFFFFF"/>
        </w:rPr>
        <w:t>Second Property Remedies Discussion Forum Aix-en-Provence</w:t>
      </w:r>
      <w:r>
        <w:rPr>
          <w:rStyle w:val="None"/>
          <w:rFonts w:ascii="Times New Roman" w:hAnsi="Times New Roman"/>
          <w:color w:val="222222"/>
          <w:sz w:val="24"/>
          <w:szCs w:val="24"/>
          <w:u w:color="222222"/>
          <w:shd w:val="clear" w:color="auto" w:fill="FFFFFF"/>
        </w:rPr>
        <w:t xml:space="preserve">. 2014. </w:t>
      </w:r>
    </w:p>
    <w:p w14:paraId="57734D19"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Bureau of Justice Assistance. (2025). Intellectual Property Enforcement Program. Retrieved from  </w:t>
      </w:r>
      <w:hyperlink r:id="rId17" w:history="1">
        <w:r w:rsidR="00454428">
          <w:rPr>
            <w:rStyle w:val="Hyperlink7"/>
            <w:rFonts w:eastAsia="Arial Unicode MS"/>
          </w:rPr>
          <w:t>https://bja.ojp.gov/program/intellectual-property-enforcement-program/overview?utm_</w:t>
        </w:r>
      </w:hyperlink>
      <w:r>
        <w:rPr>
          <w:rStyle w:val="None"/>
          <w:rFonts w:ascii="Times New Roman" w:hAnsi="Times New Roman"/>
          <w:sz w:val="24"/>
          <w:szCs w:val="24"/>
        </w:rPr>
        <w:t xml:space="preserve"> </w:t>
      </w:r>
    </w:p>
    <w:p w14:paraId="7D61898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Center for Strategic &amp; International Studies. (2025). </w:t>
      </w:r>
      <w:r>
        <w:rPr>
          <w:rStyle w:val="None"/>
          <w:rFonts w:ascii="Times New Roman" w:hAnsi="Times New Roman"/>
          <w:i/>
          <w:iCs/>
          <w:sz w:val="24"/>
          <w:szCs w:val="24"/>
        </w:rPr>
        <w:t>Intellectual Property Rights and the Future of U.S. Technological Leadership</w:t>
      </w:r>
      <w:r>
        <w:rPr>
          <w:rStyle w:val="None"/>
          <w:rFonts w:ascii="Times New Roman" w:hAnsi="Times New Roman"/>
          <w:sz w:val="24"/>
          <w:szCs w:val="24"/>
        </w:rPr>
        <w:t xml:space="preserve">. Retrieved from </w:t>
      </w:r>
      <w:hyperlink r:id="rId18" w:history="1">
        <w:r w:rsidR="00454428">
          <w:rPr>
            <w:rStyle w:val="Hyperlink7"/>
            <w:rFonts w:eastAsia="Arial Unicode MS"/>
          </w:rPr>
          <w:t>https://www.csis.org/analysis/intellectual-property-rights-and-future-us-technological-leadership</w:t>
        </w:r>
      </w:hyperlink>
    </w:p>
    <w:p w14:paraId="21E5EAE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Chang, H. J. (2001). Intellectual Property Rights and Economic Development: historical lessons and emerging issues. Third World Network, Malaysia. </w:t>
      </w:r>
    </w:p>
    <w:p w14:paraId="0C71076B"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Chen, L. The evolution of intellectual property protection in China. </w:t>
      </w:r>
      <w:r>
        <w:rPr>
          <w:rStyle w:val="None"/>
          <w:rFonts w:ascii="Times New Roman" w:hAnsi="Times New Roman"/>
          <w:i/>
          <w:iCs/>
          <w:color w:val="222222"/>
          <w:sz w:val="24"/>
          <w:szCs w:val="24"/>
          <w:u w:color="222222"/>
          <w:shd w:val="clear" w:color="auto" w:fill="FFFFFF"/>
        </w:rPr>
        <w:t>Ibusiness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Pr>
        <w:t>(01), 2015</w:t>
      </w:r>
      <w:r>
        <w:rPr>
          <w:rStyle w:val="None"/>
          <w:rFonts w:ascii="Times New Roman" w:hAnsi="Times New Roman"/>
          <w:color w:val="222222"/>
          <w:sz w:val="24"/>
          <w:szCs w:val="24"/>
          <w:u w:color="222222"/>
          <w:shd w:val="clear" w:color="auto" w:fill="FFFFFF"/>
          <w:rtl/>
          <w:lang w:val="ar-SA"/>
        </w:rPr>
        <w:t>.</w:t>
      </w:r>
    </w:p>
    <w:p w14:paraId="67365E7F"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CIO Hub. (2025). A Brief History: How Intellectual Property Protection Evolved Over Time. Retrieved from </w:t>
      </w:r>
      <w:hyperlink r:id="rId19" w:history="1">
        <w:r w:rsidR="00454428">
          <w:rPr>
            <w:rStyle w:val="Hyperlink7"/>
            <w:rFonts w:eastAsia="Arial Unicode MS"/>
          </w:rPr>
          <w:t>https://ciohub.org/post/2023/06/a-brief-history-how-intellectual-property-protection-evolved-over-time/?utm_source</w:t>
        </w:r>
      </w:hyperlink>
    </w:p>
    <w:p w14:paraId="2BD42B0B"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Communications of the ACM. (2025). </w:t>
      </w:r>
      <w:r>
        <w:rPr>
          <w:rStyle w:val="None"/>
          <w:rFonts w:ascii="Times New Roman" w:hAnsi="Times New Roman"/>
          <w:i/>
          <w:iCs/>
          <w:sz w:val="24"/>
          <w:szCs w:val="24"/>
        </w:rPr>
        <w:t>Statutory Damages As a Threat to Innovation</w:t>
      </w:r>
      <w:r>
        <w:rPr>
          <w:rStyle w:val="None"/>
          <w:rFonts w:ascii="Times New Roman" w:hAnsi="Times New Roman"/>
          <w:sz w:val="24"/>
          <w:szCs w:val="24"/>
        </w:rPr>
        <w:t xml:space="preserve">. Retrieved from </w:t>
      </w:r>
      <w:hyperlink r:id="rId20" w:history="1">
        <w:r w:rsidR="00454428">
          <w:rPr>
            <w:rStyle w:val="Hyperlink7"/>
            <w:rFonts w:eastAsia="Arial Unicode MS"/>
          </w:rPr>
          <w:t>https://cacm.acm.org/opinion/statutory-damages-as-a-threat-to-innovation/?utm_source</w:t>
        </w:r>
      </w:hyperlink>
      <w:r>
        <w:rPr>
          <w:rStyle w:val="None"/>
          <w:rFonts w:ascii="Times New Roman" w:hAnsi="Times New Roman"/>
          <w:sz w:val="24"/>
          <w:szCs w:val="24"/>
        </w:rPr>
        <w:t xml:space="preserve"> </w:t>
      </w:r>
    </w:p>
    <w:p w14:paraId="058416F9"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 xml:space="preserve">Congress. Gov. (2025). Intellectual Property Law: A Brief Introduction. Retrieved from </w:t>
      </w:r>
      <w:hyperlink r:id="rId21" w:history="1">
        <w:r w:rsidR="00454428">
          <w:rPr>
            <w:rStyle w:val="Hyperlink8"/>
            <w:rFonts w:eastAsia="Arial Unicode MS"/>
          </w:rPr>
          <w:t>https://www.congress.gov/crs-product/IF10986</w:t>
        </w:r>
      </w:hyperlink>
    </w:p>
    <w:p w14:paraId="3771F6F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congress.gov. (2025). Intellectual Property Rights (IPR) and U.S. Trade Policy. Retrieved from </w:t>
      </w:r>
      <w:hyperlink r:id="rId22" w:history="1">
        <w:r w:rsidR="00454428">
          <w:rPr>
            <w:rStyle w:val="Hyperlink7"/>
            <w:rFonts w:eastAsia="Arial Unicode MS"/>
          </w:rPr>
          <w:t>https://www.congress.gov/crs-product/IF10033</w:t>
        </w:r>
      </w:hyperlink>
    </w:p>
    <w:p w14:paraId="2A1D5261"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Cooper, J. M. (2022). Intellectual property piracy in the time of the metaverse. IDEA, 63. Available at: </w:t>
      </w:r>
      <w:hyperlink r:id="rId23" w:history="1">
        <w:r w:rsidR="00454428">
          <w:rPr>
            <w:rStyle w:val="Hyperlink9"/>
          </w:rPr>
          <w:t>https://scholarlycommons.law.cwsl.edu/fs/422</w:t>
        </w:r>
      </w:hyperlink>
      <w:r>
        <w:rPr>
          <w:rStyle w:val="None"/>
          <w:rFonts w:ascii="Times New Roman" w:hAnsi="Times New Roman"/>
          <w:i/>
          <w:iCs/>
          <w:color w:val="222222"/>
          <w:sz w:val="24"/>
          <w:szCs w:val="24"/>
          <w:u w:color="222222"/>
          <w:shd w:val="clear" w:color="auto" w:fill="FFFFFF"/>
        </w:rPr>
        <w:t xml:space="preserve">. </w:t>
      </w:r>
    </w:p>
    <w:p w14:paraId="41EE207D"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Copyright Alliance. (2025). </w:t>
      </w:r>
      <w:r>
        <w:rPr>
          <w:rStyle w:val="None"/>
          <w:rFonts w:ascii="Times New Roman" w:hAnsi="Times New Roman"/>
          <w:i/>
          <w:iCs/>
          <w:sz w:val="24"/>
          <w:szCs w:val="24"/>
        </w:rPr>
        <w:t>Copyright Statutory Damages.</w:t>
      </w:r>
      <w:r>
        <w:rPr>
          <w:rStyle w:val="None"/>
          <w:rFonts w:ascii="Times New Roman" w:hAnsi="Times New Roman"/>
          <w:sz w:val="24"/>
          <w:szCs w:val="24"/>
        </w:rPr>
        <w:t xml:space="preserve"> Retrieved from </w:t>
      </w:r>
      <w:hyperlink r:id="rId24" w:history="1">
        <w:r w:rsidR="00454428">
          <w:rPr>
            <w:rStyle w:val="Hyperlink7"/>
            <w:rFonts w:eastAsia="Arial Unicode MS"/>
          </w:rPr>
          <w:t>https://copyrightalliance.org/education/copyright-law-explained/copyright-infringement/copyright-statutory-damages/?utm_source</w:t>
        </w:r>
      </w:hyperlink>
    </w:p>
    <w:p w14:paraId="67613FAA"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copyright.gov. (2025). The Digital Millennium Copyright Act. Retrieved from </w:t>
      </w:r>
      <w:hyperlink r:id="rId25" w:history="1">
        <w:r w:rsidR="00454428">
          <w:rPr>
            <w:rStyle w:val="Hyperlink7"/>
            <w:rFonts w:eastAsia="Arial Unicode MS"/>
          </w:rPr>
          <w:t>https://www.copyright.gov/dmca/</w:t>
        </w:r>
      </w:hyperlink>
    </w:p>
    <w:p w14:paraId="18D437F3"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Crestpoint University. (2025). History and Sources of Intellectual Property Law. Law shelf educational media. Retrieved from </w:t>
      </w:r>
      <w:hyperlink r:id="rId26" w:history="1">
        <w:r w:rsidR="00454428">
          <w:rPr>
            <w:rStyle w:val="Hyperlink7"/>
            <w:rFonts w:eastAsia="Arial Unicode MS"/>
          </w:rPr>
          <w:t>https://www.lawshelf.com/coursewarecontentview/history-and-sources-of-intellectual-property-law</w:t>
        </w:r>
      </w:hyperlink>
    </w:p>
    <w:p w14:paraId="20731AE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lang w:val="it-IT"/>
        </w:rPr>
        <w:t xml:space="preserve">Dalloz.fr. (2025). Code de la propriété intellectuelle. </w:t>
      </w:r>
      <w:r>
        <w:rPr>
          <w:rStyle w:val="None"/>
          <w:rFonts w:ascii="Times New Roman" w:hAnsi="Times New Roman"/>
          <w:sz w:val="24"/>
          <w:szCs w:val="24"/>
        </w:rPr>
        <w:t xml:space="preserve">Retrieved from </w:t>
      </w:r>
      <w:hyperlink r:id="rId27" w:history="1">
        <w:r w:rsidR="00454428">
          <w:rPr>
            <w:rStyle w:val="Hyperlink7"/>
            <w:rFonts w:eastAsia="Arial Unicode MS"/>
          </w:rPr>
          <w:t>https://www.dalloz.fr/documentation/Document?id=CODE_CPPI_ARTI_L331-1-3&amp;scrll=CPPI008882&amp;FromId=CODES_SECS_CPPI_TALPHA</w:t>
        </w:r>
      </w:hyperlink>
    </w:p>
    <w:p w14:paraId="7ADCD208"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Danis, 2022. </w:t>
      </w:r>
      <w:r>
        <w:rPr>
          <w:rStyle w:val="None"/>
          <w:rFonts w:ascii="Times New Roman" w:hAnsi="Times New Roman"/>
          <w:i/>
          <w:iCs/>
          <w:sz w:val="24"/>
          <w:szCs w:val="24"/>
        </w:rPr>
        <w:t>Trade secrets better protected by French law and by the courts</w:t>
      </w:r>
      <w:r>
        <w:rPr>
          <w:rStyle w:val="None"/>
          <w:rFonts w:ascii="Times New Roman" w:hAnsi="Times New Roman"/>
          <w:sz w:val="24"/>
          <w:szCs w:val="24"/>
        </w:rPr>
        <w:t xml:space="preserve">. </w:t>
      </w:r>
      <w:hyperlink r:id="rId28" w:history="1">
        <w:r w:rsidR="00454428">
          <w:rPr>
            <w:rStyle w:val="Hyperlink7"/>
            <w:rFonts w:eastAsia="Arial Unicode MS"/>
          </w:rPr>
          <w:t>https://www.august-debouzy.com/en/blog/1258-trade-secrets-better-protected-by-french-law-and-by-the-courts</w:t>
        </w:r>
      </w:hyperlink>
    </w:p>
    <w:p w14:paraId="0472783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De Beer (J.), Gold (E. R.), "International Trade, Intellectual Property, and Innovation Policy: Lessons from a Pandemic", in Vulnerable: The Policy, Law and Ethics of COVID-19, University of Ottawa Press, janvier 2020. </w:t>
      </w:r>
      <w:hyperlink r:id="rId29" w:history="1">
        <w:r w:rsidR="00454428">
          <w:rPr>
            <w:rStyle w:val="Hyperlink7"/>
            <w:rFonts w:eastAsia="Arial Unicode MS"/>
          </w:rPr>
          <w:t>https://2u.pw/g1P5N</w:t>
        </w:r>
      </w:hyperlink>
    </w:p>
    <w:p w14:paraId="367B9540"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Di Palma, J. (2013). The digital millenium copyright act and the clash between authors and innovators: the need for a legislative amendment to the safe harbor provisions.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47</w:t>
      </w:r>
      <w:r>
        <w:rPr>
          <w:rStyle w:val="None"/>
          <w:rFonts w:ascii="Times New Roman" w:hAnsi="Times New Roman"/>
          <w:color w:val="222222"/>
          <w:sz w:val="24"/>
          <w:szCs w:val="24"/>
          <w:u w:color="222222"/>
          <w:shd w:val="clear" w:color="auto" w:fill="FFFFFF"/>
          <w:rtl/>
          <w:lang w:val="ar-SA"/>
        </w:rPr>
        <w:t>.</w:t>
      </w:r>
    </w:p>
    <w:p w14:paraId="3E1990F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Dreyfus. (2025). </w:t>
      </w:r>
      <w:r>
        <w:rPr>
          <w:rStyle w:val="None"/>
          <w:rFonts w:ascii="Times New Roman" w:hAnsi="Times New Roman"/>
          <w:i/>
          <w:iCs/>
          <w:sz w:val="24"/>
          <w:szCs w:val="24"/>
        </w:rPr>
        <w:t>The French Intellectual Property Legal Framework: A Comprehensive Overview</w:t>
      </w:r>
      <w:r>
        <w:rPr>
          <w:rStyle w:val="None"/>
          <w:rFonts w:ascii="Times New Roman" w:hAnsi="Times New Roman"/>
          <w:sz w:val="24"/>
          <w:szCs w:val="24"/>
        </w:rPr>
        <w:t xml:space="preserve">. Retrieved from </w:t>
      </w:r>
      <w:hyperlink r:id="rId30" w:history="1">
        <w:r w:rsidR="00454428">
          <w:rPr>
            <w:rStyle w:val="Hyperlink7"/>
            <w:rFonts w:eastAsia="Arial Unicode MS"/>
          </w:rPr>
          <w:t>https://www.dreyfus.fr/en/2024/10/21/frances-ip-legislation-mastering-trademarks-in-a-global-playground/</w:t>
        </w:r>
      </w:hyperlink>
    </w:p>
    <w:p w14:paraId="75DB2FF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Dreyfus. </w:t>
      </w:r>
      <w:r>
        <w:rPr>
          <w:rStyle w:val="None"/>
          <w:rFonts w:ascii="Times New Roman" w:hAnsi="Times New Roman"/>
          <w:i/>
          <w:iCs/>
          <w:sz w:val="24"/>
          <w:szCs w:val="24"/>
        </w:rPr>
        <w:t>France’s IP Legislation: Mastering Trademarks in a Global Playground</w:t>
      </w:r>
      <w:r>
        <w:rPr>
          <w:rStyle w:val="None"/>
          <w:rFonts w:ascii="Times New Roman" w:hAnsi="Times New Roman"/>
          <w:sz w:val="24"/>
          <w:szCs w:val="24"/>
        </w:rPr>
        <w:t xml:space="preserve">. 2024, Retrieved from  </w:t>
      </w:r>
      <w:hyperlink r:id="rId31" w:history="1">
        <w:r w:rsidR="00454428">
          <w:rPr>
            <w:rStyle w:val="Hyperlink7"/>
            <w:rFonts w:eastAsia="Arial Unicode MS"/>
          </w:rPr>
          <w:t>https://www.dreyfus.fr/en/2024/10/21/frances-ip-legislation-mastering-trademarks-in-a-global-playground/</w:t>
        </w:r>
      </w:hyperlink>
    </w:p>
    <w:p w14:paraId="74CC0792"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Fisher, W.W. (2025, July 26). intellectual-property law. </w:t>
      </w:r>
      <w:r w:rsidRPr="00FF4D9D">
        <w:rPr>
          <w:rStyle w:val="None"/>
          <w:rFonts w:ascii="Times New Roman" w:hAnsi="Times New Roman"/>
          <w:sz w:val="24"/>
          <w:szCs w:val="24"/>
          <w:lang w:val="it-IT"/>
        </w:rPr>
        <w:t xml:space="preserve">Encyclopedia Britannica. </w:t>
      </w:r>
      <w:hyperlink r:id="rId32" w:history="1">
        <w:r w:rsidR="00454428" w:rsidRPr="00FF4D9D">
          <w:rPr>
            <w:rStyle w:val="Hyperlink7"/>
            <w:rFonts w:eastAsia="Arial Unicode MS"/>
            <w:lang w:val="it-IT"/>
          </w:rPr>
          <w:t>https://www.britannica.com/topic/intellectual-property-law</w:t>
        </w:r>
      </w:hyperlink>
    </w:p>
    <w:p w14:paraId="524B5B02"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french-business-law. (2025). French Intellectual Property Code. Retrieved from </w:t>
      </w:r>
      <w:hyperlink r:id="rId33" w:history="1">
        <w:r w:rsidR="00454428">
          <w:rPr>
            <w:rStyle w:val="Hyperlink7"/>
            <w:rFonts w:eastAsia="Arial Unicode MS"/>
          </w:rPr>
          <w:t>https://french-business-law.com/french-legislation/legitext000006069414-french-intellectual-property-code/page/3/</w:t>
        </w:r>
      </w:hyperlink>
    </w:p>
    <w:p w14:paraId="2FEF3604"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Galvez-Behar, G. (2019). The patent system during the French industrial revolution: Institutional change and economic effects. </w:t>
      </w:r>
      <w:r>
        <w:rPr>
          <w:rStyle w:val="None"/>
          <w:rFonts w:ascii="Times New Roman" w:hAnsi="Times New Roman"/>
          <w:i/>
          <w:iCs/>
          <w:color w:val="222222"/>
          <w:sz w:val="24"/>
          <w:szCs w:val="24"/>
          <w:u w:color="222222"/>
          <w:shd w:val="clear" w:color="auto" w:fill="FFFFFF"/>
        </w:rPr>
        <w:t>Jahrbuch für Wirtschaftsgeschichte/Economic History Yearbook</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60</w:t>
      </w:r>
      <w:r>
        <w:rPr>
          <w:rStyle w:val="None"/>
          <w:rFonts w:ascii="Times New Roman" w:hAnsi="Times New Roman"/>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tl/>
          <w:lang w:val="ar-SA"/>
        </w:rPr>
        <w:t>(</w:t>
      </w:r>
    </w:p>
    <w:p w14:paraId="06F80C93"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Georgetown Law. (2025). Intellectual Property Law. Retrieved from  </w:t>
      </w:r>
      <w:hyperlink r:id="rId34" w:history="1">
        <w:r w:rsidR="00454428">
          <w:rPr>
            <w:rStyle w:val="Hyperlink7"/>
            <w:rFonts w:eastAsia="Arial Unicode MS"/>
          </w:rPr>
          <w:t>https://www.law.georgetown.edu/your-life-career/career-exploration-professional-development/for-jd-students/explore-legal-careers/practice-areas/intellectual-property-law/\</w:t>
        </w:r>
      </w:hyperlink>
    </w:p>
    <w:p w14:paraId="75072410"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Gov, U. S. (1998). The Digital Millennium Copyright Act of 1998—US Copyright Office Summary. </w:t>
      </w:r>
      <w:r>
        <w:rPr>
          <w:rStyle w:val="None"/>
          <w:rFonts w:ascii="Times New Roman" w:hAnsi="Times New Roman"/>
          <w:i/>
          <w:iCs/>
          <w:color w:val="222222"/>
          <w:sz w:val="24"/>
          <w:szCs w:val="24"/>
          <w:u w:color="222222"/>
          <w:shd w:val="clear" w:color="auto" w:fill="FFFFFF"/>
        </w:rPr>
        <w:t>Dec</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 1-18. </w:t>
      </w:r>
    </w:p>
    <w:p w14:paraId="2DFF70A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35" w:history="1">
        <w:r w:rsidR="00454428">
          <w:rPr>
            <w:rStyle w:val="Hyperlink7"/>
            <w:rFonts w:eastAsia="Arial Unicode MS"/>
          </w:rPr>
          <w:t>https://cyber.harvard.edu/property00/alternatives/dmca.html?utm_source</w:t>
        </w:r>
      </w:hyperlink>
    </w:p>
    <w:p w14:paraId="3B916D4B"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Hassan, M. U. (2025). The Rise of Digital Piracy: Implications for Intellectual Property Rights, Economic Losses, and Global Legal Challenges. QIT Press - International Journal of Intellectual Property Rights Law (QITP-IJIPR), 5(2)</w:t>
      </w:r>
      <w:r>
        <w:rPr>
          <w:rStyle w:val="None"/>
          <w:rFonts w:ascii="Times New Roman" w:hAnsi="Times New Roman"/>
          <w:i/>
          <w:iCs/>
          <w:color w:val="222222"/>
          <w:sz w:val="24"/>
          <w:szCs w:val="24"/>
          <w:u w:color="222222"/>
          <w:shd w:val="clear" w:color="auto" w:fill="FFFFFF"/>
          <w:rtl/>
          <w:lang w:val="ar-SA"/>
        </w:rPr>
        <w:t>.</w:t>
      </w:r>
    </w:p>
    <w:p w14:paraId="551A99A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Helen Dods &amp; Emily Haves. World Intellectual Property Day 26 April 2018. House of Lords Library briefings. 2017</w:t>
      </w:r>
      <w:r>
        <w:rPr>
          <w:rStyle w:val="None"/>
          <w:rFonts w:ascii="Times New Roman" w:hAnsi="Times New Roman"/>
          <w:sz w:val="24"/>
          <w:szCs w:val="24"/>
          <w:rtl/>
          <w:lang w:val="ar-SA"/>
        </w:rPr>
        <w:t>.</w:t>
      </w:r>
    </w:p>
    <w:p w14:paraId="78869454"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i/>
          <w:iCs/>
          <w:color w:val="222222"/>
          <w:sz w:val="24"/>
          <w:szCs w:val="24"/>
          <w:u w:color="222222"/>
          <w:shd w:val="clear" w:color="auto" w:fill="FFFFFF"/>
        </w:rPr>
        <w:t xml:space="preserve">HG. (2025). What Is Intellectual Property Law? Retrieved from </w:t>
      </w:r>
      <w:hyperlink r:id="rId36" w:history="1">
        <w:r w:rsidR="00454428">
          <w:rPr>
            <w:rStyle w:val="Hyperlink8"/>
            <w:rFonts w:eastAsia="Arial Unicode MS"/>
          </w:rPr>
          <w:t>https://www.hg.org/intell.html</w:t>
        </w:r>
      </w:hyperlink>
    </w:p>
    <w:p w14:paraId="5DF55ED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Hong, J., Edler, J., &amp; Massini, S. Evolution of the Chinese intellectual property rights system: IPR law revisions and enforcement.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2022, </w:t>
      </w:r>
      <w:r>
        <w:rPr>
          <w:rStyle w:val="None"/>
          <w:rFonts w:ascii="Times New Roman" w:hAnsi="Times New Roman"/>
          <w:i/>
          <w:iCs/>
          <w:color w:val="222222"/>
          <w:sz w:val="24"/>
          <w:szCs w:val="24"/>
          <w:u w:color="222222"/>
          <w:shd w:val="clear" w:color="auto" w:fill="FFFFFF"/>
        </w:rPr>
        <w:t>18</w:t>
      </w:r>
      <w:r>
        <w:rPr>
          <w:rStyle w:val="None"/>
          <w:rFonts w:ascii="Times New Roman" w:hAnsi="Times New Roman"/>
          <w:color w:val="222222"/>
          <w:sz w:val="24"/>
          <w:szCs w:val="24"/>
          <w:u w:color="222222"/>
          <w:shd w:val="clear" w:color="auto" w:fill="FFFFFF"/>
        </w:rPr>
        <w:t>(4)</w:t>
      </w:r>
      <w:r>
        <w:rPr>
          <w:rStyle w:val="None"/>
          <w:rFonts w:ascii="Times New Roman" w:hAnsi="Times New Roman"/>
          <w:color w:val="222222"/>
          <w:sz w:val="24"/>
          <w:szCs w:val="24"/>
          <w:u w:color="222222"/>
          <w:shd w:val="clear" w:color="auto" w:fill="FFFFFF"/>
          <w:rtl/>
          <w:lang w:val="ar-SA"/>
        </w:rPr>
        <w:t>.</w:t>
      </w:r>
    </w:p>
    <w:p w14:paraId="29442F68"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Hubanov, O., Hubanova, T., Kotliarevska, H., Vikhliaiev, M., Donenko, V., &amp; Lepekh, Y. (2021). International legal regulation of copyright and related rights protection in the digital environment. </w:t>
      </w:r>
      <w:r>
        <w:rPr>
          <w:rStyle w:val="None"/>
          <w:rFonts w:ascii="Times New Roman" w:hAnsi="Times New Roman"/>
          <w:i/>
          <w:iCs/>
          <w:color w:val="222222"/>
          <w:sz w:val="24"/>
          <w:szCs w:val="24"/>
          <w:u w:color="222222"/>
          <w:shd w:val="clear" w:color="auto" w:fill="FFFFFF"/>
        </w:rPr>
        <w:t>Studies of Applied Economics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39</w:t>
      </w:r>
      <w:r>
        <w:rPr>
          <w:rStyle w:val="None"/>
          <w:rFonts w:ascii="Times New Roman" w:hAnsi="Times New Roman"/>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tl/>
          <w:lang w:val="ar-SA"/>
        </w:rPr>
        <w:t>.</w:t>
      </w:r>
    </w:p>
    <w:p w14:paraId="37DB5F54"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IPLAC. (2025). </w:t>
      </w:r>
      <w:r>
        <w:rPr>
          <w:rStyle w:val="None"/>
          <w:rFonts w:ascii="Times New Roman" w:hAnsi="Times New Roman"/>
          <w:i/>
          <w:iCs/>
          <w:sz w:val="24"/>
          <w:szCs w:val="24"/>
        </w:rPr>
        <w:t>Intellectual Property Timeline</w:t>
      </w:r>
      <w:r>
        <w:rPr>
          <w:rStyle w:val="None"/>
          <w:rFonts w:ascii="Times New Roman" w:hAnsi="Times New Roman"/>
          <w:sz w:val="24"/>
          <w:szCs w:val="24"/>
        </w:rPr>
        <w:t xml:space="preserve">. Retrieved from </w:t>
      </w:r>
      <w:hyperlink r:id="rId37" w:history="1">
        <w:r w:rsidR="00454428">
          <w:rPr>
            <w:rStyle w:val="Hyperlink7"/>
            <w:rFonts w:eastAsia="Arial Unicode MS"/>
          </w:rPr>
          <w:t>https://iplac.org/about/history/intellectual-property-timeline/</w:t>
        </w:r>
      </w:hyperlink>
    </w:p>
    <w:p w14:paraId="75E4FC58"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 (2025). Intellectual Property Rights in the USA. Intellectual Property Office. </w:t>
      </w:r>
      <w:hyperlink r:id="rId38" w:history="1">
        <w:r w:rsidR="00454428">
          <w:rPr>
            <w:rStyle w:val="Hyperlink7"/>
            <w:rFonts w:eastAsia="Arial Unicode MS"/>
          </w:rPr>
          <w:t>https://assets.publishing.service.gov.uk/media/5a80bf68e5274a2e87dbb972/IP_rights_in_USA.pdf</w:t>
        </w:r>
      </w:hyperlink>
      <w:r>
        <w:rPr>
          <w:rStyle w:val="None"/>
          <w:rFonts w:ascii="Times New Roman" w:hAnsi="Times New Roman"/>
          <w:sz w:val="24"/>
          <w:szCs w:val="24"/>
        </w:rPr>
        <w:t xml:space="preserve">  </w:t>
      </w:r>
    </w:p>
    <w:p w14:paraId="6CB1AC3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IPOI. (2025). </w:t>
      </w:r>
      <w:r>
        <w:rPr>
          <w:rStyle w:val="None"/>
          <w:rFonts w:ascii="Times New Roman" w:hAnsi="Times New Roman"/>
          <w:i/>
          <w:iCs/>
          <w:sz w:val="24"/>
          <w:szCs w:val="24"/>
        </w:rPr>
        <w:t>What is intellectual property?</w:t>
      </w:r>
      <w:r>
        <w:rPr>
          <w:rStyle w:val="None"/>
          <w:rFonts w:ascii="Times New Roman" w:hAnsi="Times New Roman"/>
          <w:sz w:val="24"/>
          <w:szCs w:val="24"/>
        </w:rPr>
        <w:t xml:space="preserve"> Intellectual Property Office of Ireland, Government Offices, Hebron Road, Kilkenny, Ireland. Retrieved from </w:t>
      </w:r>
      <w:hyperlink r:id="rId39" w:history="1">
        <w:r w:rsidR="00454428">
          <w:rPr>
            <w:rStyle w:val="Hyperlink7"/>
            <w:rFonts w:eastAsia="Arial Unicode MS"/>
          </w:rPr>
          <w:t>https://www.ipoi.gov.ie/en/commercialise-your-ip/using-ip-to-grow-your-business/what-is-intellectual-property-/</w:t>
        </w:r>
      </w:hyperlink>
    </w:p>
    <w:p w14:paraId="77287133"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Irrational (2025). The No Electronic Theft ("NET") ActSummary of Changes to the Criminal Copyright and Trademark Laws. Retrieved from </w:t>
      </w:r>
      <w:hyperlink r:id="rId40" w:history="1">
        <w:r w:rsidR="00454428">
          <w:rPr>
            <w:rStyle w:val="Hyperlink7"/>
            <w:rFonts w:eastAsia="Arial Unicode MS"/>
          </w:rPr>
          <w:t>https://www.irational.org/APD/CCIPS/netsum.htm?utm_source</w:t>
        </w:r>
      </w:hyperlink>
    </w:p>
    <w:p w14:paraId="658BACC8"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ITALIAN COPYRIGHT STATUTE. Law for the Protection of Copyright and Neighbouring Rights (Law No. 633 of April 22, 1941, as last amended by Legislative Decree No. 68, of April 9, 2003). </w:t>
      </w:r>
    </w:p>
    <w:p w14:paraId="3A706D3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Joyce, C. (2020). Intellectual Property: United States Law. University of Houston Law Center Institute for Intellectual Property &amp; Information Law. </w:t>
      </w:r>
    </w:p>
    <w:p w14:paraId="061ABACA"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Justice.Pappers. (2025). Article L331-1-3 du Code de la propriété intellectuelle. </w:t>
      </w:r>
      <w:r>
        <w:rPr>
          <w:rStyle w:val="None"/>
          <w:rFonts w:ascii="Times New Roman" w:hAnsi="Times New Roman"/>
          <w:sz w:val="24"/>
          <w:szCs w:val="24"/>
        </w:rPr>
        <w:t xml:space="preserve">Retrieved from </w:t>
      </w:r>
      <w:hyperlink r:id="rId41" w:history="1">
        <w:r w:rsidR="00454428">
          <w:rPr>
            <w:rStyle w:val="Hyperlink7"/>
            <w:rFonts w:eastAsia="Arial Unicode MS"/>
          </w:rPr>
          <w:t>https://justice.pappers.fr/loi/LEGITEXT000006069414/article/LEGIARTI000028716676?utm_source</w:t>
        </w:r>
      </w:hyperlink>
    </w:p>
    <w:p w14:paraId="4A7C88C3"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Kharchenko, O., Kronda, O., Kryvosheyina, I., &amp; Zerov, K. (2021). Protection of intellectual property rights on the Internet: New challenges. </w:t>
      </w:r>
      <w:r>
        <w:rPr>
          <w:rStyle w:val="None"/>
          <w:rFonts w:ascii="Times New Roman" w:hAnsi="Times New Roman"/>
          <w:i/>
          <w:iCs/>
          <w:color w:val="222222"/>
          <w:sz w:val="24"/>
          <w:szCs w:val="24"/>
          <w:u w:color="222222"/>
          <w:shd w:val="clear" w:color="auto" w:fill="FFFFFF"/>
        </w:rPr>
        <w:t>Amazonia Investiga</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10</w:t>
      </w:r>
      <w:r>
        <w:rPr>
          <w:rStyle w:val="None"/>
          <w:rFonts w:ascii="Times New Roman" w:hAnsi="Times New Roman"/>
          <w:color w:val="222222"/>
          <w:sz w:val="24"/>
          <w:szCs w:val="24"/>
          <w:u w:color="222222"/>
          <w:shd w:val="clear" w:color="auto" w:fill="FFFFFF"/>
        </w:rPr>
        <w:t xml:space="preserve">(41), 224-236. </w:t>
      </w:r>
    </w:p>
    <w:p w14:paraId="26976F3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Kmetyk, K., &amp; Beluga, Y. TYPES OF INTELLECTUAL PROPERTY RIGHTS IN THE UNITED KINGDOM. </w:t>
      </w:r>
      <w:r>
        <w:rPr>
          <w:rStyle w:val="None"/>
          <w:rFonts w:ascii="Times New Roman" w:hAnsi="Times New Roman"/>
          <w:i/>
          <w:iCs/>
          <w:color w:val="222222"/>
          <w:sz w:val="24"/>
          <w:szCs w:val="24"/>
          <w:u w:color="222222"/>
          <w:shd w:val="clear" w:color="auto" w:fill="FFFFFF"/>
        </w:rPr>
        <w:t>Scientific works of National Aviation University. Series: Law Journal" Air and Space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(62)</w:t>
      </w:r>
      <w:r>
        <w:rPr>
          <w:rStyle w:val="None"/>
          <w:rFonts w:ascii="Times New Roman" w:hAnsi="Times New Roman"/>
          <w:color w:val="222222"/>
          <w:sz w:val="24"/>
          <w:szCs w:val="24"/>
          <w:u w:color="222222"/>
          <w:shd w:val="clear" w:color="auto" w:fill="FFFFFF"/>
          <w:rtl/>
          <w:lang w:val="ar-SA"/>
        </w:rPr>
        <w:t>.</w:t>
      </w:r>
    </w:p>
    <w:p w14:paraId="1A926AAC"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Laurence R. Hefter </w:t>
      </w:r>
      <w:r>
        <w:rPr>
          <w:rStyle w:val="None"/>
          <w:rFonts w:ascii="Times New Roman" w:hAnsi="Times New Roman"/>
          <w:sz w:val="24"/>
          <w:szCs w:val="24"/>
          <w:rtl/>
          <w:lang w:val="ar-SA"/>
        </w:rPr>
        <w:t>&amp;</w:t>
      </w:r>
      <w:r>
        <w:rPr>
          <w:rStyle w:val="None"/>
          <w:rFonts w:ascii="Times New Roman" w:hAnsi="Times New Roman"/>
          <w:sz w:val="24"/>
          <w:szCs w:val="24"/>
        </w:rPr>
        <w:t xml:space="preserve"> Robert D. Litowitz. (2025). PROTECTING INTELLECTUAL PROPERTY. Retrieved from </w:t>
      </w:r>
      <w:hyperlink r:id="rId42" w:history="1">
        <w:r w:rsidR="00454428">
          <w:rPr>
            <w:rStyle w:val="Hyperlink10"/>
            <w:rFonts w:eastAsia="Arial Unicode MS"/>
          </w:rPr>
          <w:t>https://usinfo.org/trade/bg9515e.htm</w:t>
        </w:r>
      </w:hyperlink>
    </w:p>
    <w:p w14:paraId="7E130C3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Lawjournalnewsletter. (2025). No Electronic Theft Act Is A Partial Success. Retrieved from </w:t>
      </w:r>
      <w:hyperlink r:id="rId43" w:history="1">
        <w:r w:rsidR="00454428">
          <w:rPr>
            <w:rStyle w:val="Hyperlink7"/>
            <w:rFonts w:eastAsia="Arial Unicode MS"/>
          </w:rPr>
          <w:t>https://www.lawjournalnewsletters.com/2003/08/22/no-electronic-theft-act-is-a-partial-success/?utm_source=</w:t>
        </w:r>
      </w:hyperlink>
    </w:p>
    <w:p w14:paraId="3BC8A1FA"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lawyersitaly.eu. </w:t>
      </w:r>
      <w:r>
        <w:rPr>
          <w:rStyle w:val="None"/>
          <w:rFonts w:ascii="Times New Roman" w:hAnsi="Times New Roman"/>
          <w:i/>
          <w:iCs/>
          <w:sz w:val="24"/>
          <w:szCs w:val="24"/>
        </w:rPr>
        <w:t>Intellectual Property in Italy</w:t>
      </w:r>
      <w:r>
        <w:rPr>
          <w:rStyle w:val="None"/>
          <w:rFonts w:ascii="Times New Roman" w:hAnsi="Times New Roman"/>
          <w:sz w:val="24"/>
          <w:szCs w:val="24"/>
        </w:rPr>
        <w:t xml:space="preserve">. 2025, Retrieved from </w:t>
      </w:r>
      <w:hyperlink r:id="rId44" w:history="1">
        <w:r w:rsidR="00454428">
          <w:rPr>
            <w:rStyle w:val="Hyperlink7"/>
            <w:rFonts w:eastAsia="Arial Unicode MS"/>
          </w:rPr>
          <w:t>https://lawyersitaly.eu/intellectual-property-in-italy/</w:t>
        </w:r>
      </w:hyperlink>
    </w:p>
    <w:p w14:paraId="1AFAC160"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Legifrance. (2025). Article L716-14. Retrieved from </w:t>
      </w:r>
      <w:hyperlink r:id="rId45" w:history="1">
        <w:r w:rsidR="00454428">
          <w:rPr>
            <w:rStyle w:val="Hyperlink7"/>
            <w:rFonts w:eastAsia="Arial Unicode MS"/>
          </w:rPr>
          <w:t>https://www.legifrance.gouv.fr/codes/article_lc/LEGIARTI000028716663/2016-06-05</w:t>
        </w:r>
      </w:hyperlink>
    </w:p>
    <w:p w14:paraId="20D9334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Legifrance. (2025). Code de la propriété intellectuelle. </w:t>
      </w:r>
      <w:r>
        <w:rPr>
          <w:rStyle w:val="None"/>
          <w:rFonts w:ascii="Times New Roman" w:hAnsi="Times New Roman"/>
          <w:sz w:val="24"/>
          <w:szCs w:val="24"/>
        </w:rPr>
        <w:t xml:space="preserve">Retrieved from </w:t>
      </w:r>
      <w:hyperlink r:id="rId46" w:history="1">
        <w:r w:rsidR="00454428">
          <w:rPr>
            <w:rStyle w:val="Hyperlink7"/>
            <w:rFonts w:eastAsia="Arial Unicode MS"/>
          </w:rPr>
          <w:t>https://www.legifrance.gouv.fr/codes/article_lc/LEGIARTI000032655082</w:t>
        </w:r>
      </w:hyperlink>
    </w:p>
    <w:p w14:paraId="4790F57F"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shd w:val="clear" w:color="auto" w:fill="FFFFFF"/>
          <w:lang w:val="it-IT"/>
        </w:rPr>
        <w:t xml:space="preserve">legifrance. (2025). Code de la propriété intellectuelle. </w:t>
      </w:r>
      <w:r>
        <w:rPr>
          <w:rStyle w:val="None"/>
          <w:rFonts w:ascii="Times New Roman" w:hAnsi="Times New Roman"/>
          <w:sz w:val="24"/>
          <w:szCs w:val="24"/>
          <w:shd w:val="clear" w:color="auto" w:fill="FFFFFF"/>
        </w:rPr>
        <w:t>Retrieved from</w:t>
      </w:r>
      <w:r>
        <w:rPr>
          <w:rStyle w:val="None"/>
          <w:rFonts w:ascii="Times New Roman" w:hAnsi="Times New Roman"/>
          <w:sz w:val="24"/>
          <w:szCs w:val="24"/>
        </w:rPr>
        <w:t xml:space="preserve"> </w:t>
      </w:r>
      <w:hyperlink r:id="rId47" w:history="1">
        <w:r w:rsidR="00454428">
          <w:rPr>
            <w:rStyle w:val="Hyperlink7"/>
            <w:rFonts w:eastAsia="Arial Unicode MS"/>
          </w:rPr>
          <w:t>https://www.legifrance.gouv.fr/codes/article_lc/LEGIARTI000006278891/</w:t>
        </w:r>
      </w:hyperlink>
    </w:p>
    <w:p w14:paraId="1F26E6A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lang w:val="it-IT"/>
        </w:rPr>
        <w:t xml:space="preserve">legifrance.gouv. (2025). </w:t>
      </w:r>
      <w:r w:rsidRPr="00FF4D9D">
        <w:rPr>
          <w:rStyle w:val="None"/>
          <w:rFonts w:ascii="Times New Roman" w:hAnsi="Times New Roman"/>
          <w:i/>
          <w:iCs/>
          <w:sz w:val="24"/>
          <w:szCs w:val="24"/>
          <w:lang w:val="it-IT"/>
        </w:rPr>
        <w:t>Code de la propriété intellectuelle</w:t>
      </w:r>
      <w:r w:rsidRPr="00FF4D9D">
        <w:rPr>
          <w:rStyle w:val="None"/>
          <w:rFonts w:ascii="Times New Roman" w:hAnsi="Times New Roman"/>
          <w:sz w:val="24"/>
          <w:szCs w:val="24"/>
          <w:lang w:val="it-IT"/>
        </w:rPr>
        <w:t xml:space="preserve">. </w:t>
      </w:r>
      <w:r>
        <w:rPr>
          <w:rStyle w:val="None"/>
          <w:rFonts w:ascii="Times New Roman" w:hAnsi="Times New Roman"/>
          <w:sz w:val="24"/>
          <w:szCs w:val="24"/>
        </w:rPr>
        <w:t xml:space="preserve">Retrieved from </w:t>
      </w:r>
      <w:hyperlink r:id="rId48" w:history="1">
        <w:r w:rsidR="00454428">
          <w:rPr>
            <w:rStyle w:val="Hyperlink7"/>
            <w:rFonts w:eastAsia="Arial Unicode MS"/>
          </w:rPr>
          <w:t>https://www.legifrance.gouv.fr/codes/article_lc/LEGIARTI000006278958</w:t>
        </w:r>
      </w:hyperlink>
    </w:p>
    <w:p w14:paraId="326B3C28"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Lemercier,</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L., Blanchet, T. &amp; Dundon, C. (2021). </w:t>
      </w:r>
      <w:r>
        <w:rPr>
          <w:rStyle w:val="None"/>
          <w:rFonts w:ascii="Times New Roman" w:hAnsi="Times New Roman"/>
          <w:i/>
          <w:iCs/>
          <w:sz w:val="24"/>
          <w:szCs w:val="24"/>
        </w:rPr>
        <w:t>Private Acquisitions: Intellectual Property Issues (France)</w:t>
      </w:r>
      <w:r>
        <w:rPr>
          <w:rStyle w:val="None"/>
          <w:rFonts w:ascii="Times New Roman" w:hAnsi="Times New Roman"/>
          <w:sz w:val="24"/>
          <w:szCs w:val="24"/>
        </w:rPr>
        <w:t xml:space="preserve">. Practical Law. Thomson Reuters. </w:t>
      </w:r>
    </w:p>
    <w:p w14:paraId="56EF99C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Licensing Executives Society. (2025). IP-Related Aspects Of The French Law On Modernization Of The Economy. Retrieved from </w:t>
      </w:r>
      <w:hyperlink r:id="rId49" w:history="1">
        <w:r w:rsidR="00454428">
          <w:rPr>
            <w:rStyle w:val="Hyperlink7"/>
            <w:rFonts w:eastAsia="Arial Unicode MS"/>
          </w:rPr>
          <w:t>https://lesi.org/ip-related-aspects-of-the-french-law-on-modernization-of-the-economy/</w:t>
        </w:r>
      </w:hyperlink>
    </w:p>
    <w:p w14:paraId="40EC546B"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Liemer, S. P. (2011). On the origins of Le Droit moral: how non-economic rights came to be protected in French IP law. </w:t>
      </w:r>
      <w:r>
        <w:rPr>
          <w:rStyle w:val="None"/>
          <w:rFonts w:ascii="Times New Roman" w:hAnsi="Times New Roman"/>
          <w:i/>
          <w:iCs/>
          <w:color w:val="222222"/>
          <w:sz w:val="24"/>
          <w:szCs w:val="24"/>
          <w:u w:color="222222"/>
          <w:shd w:val="clear" w:color="auto" w:fill="FFFFFF"/>
        </w:rPr>
        <w:t>J. Intell. Prop. L.</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19</w:t>
      </w:r>
      <w:r>
        <w:rPr>
          <w:rStyle w:val="None"/>
          <w:rFonts w:ascii="Times New Roman" w:hAnsi="Times New Roman"/>
          <w:color w:val="222222"/>
          <w:sz w:val="24"/>
          <w:szCs w:val="24"/>
          <w:u w:color="222222"/>
          <w:shd w:val="clear" w:color="auto" w:fill="FFFFFF"/>
        </w:rPr>
        <w:t>:65</w:t>
      </w:r>
      <w:r>
        <w:rPr>
          <w:rStyle w:val="None"/>
          <w:rFonts w:ascii="Times New Roman" w:hAnsi="Times New Roman"/>
          <w:color w:val="222222"/>
          <w:sz w:val="24"/>
          <w:szCs w:val="24"/>
          <w:u w:color="222222"/>
          <w:shd w:val="clear" w:color="auto" w:fill="FFFFFF"/>
          <w:rtl/>
          <w:lang w:val="ar-SA"/>
        </w:rPr>
        <w:t>.</w:t>
      </w:r>
    </w:p>
    <w:p w14:paraId="456F6BE1"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LII. (2025). </w:t>
      </w:r>
      <w:r>
        <w:rPr>
          <w:rStyle w:val="None"/>
          <w:rFonts w:ascii="Times New Roman" w:hAnsi="Times New Roman"/>
          <w:i/>
          <w:iCs/>
          <w:sz w:val="24"/>
          <w:szCs w:val="24"/>
        </w:rPr>
        <w:t>17 U.S. Code § 504 - Remedies for infringement: Damages and profits</w:t>
      </w:r>
      <w:r>
        <w:rPr>
          <w:rStyle w:val="None"/>
          <w:rFonts w:ascii="Times New Roman" w:hAnsi="Times New Roman"/>
          <w:sz w:val="24"/>
          <w:szCs w:val="24"/>
        </w:rPr>
        <w:t xml:space="preserve">. Retrieved from </w:t>
      </w:r>
      <w:hyperlink r:id="rId50" w:history="1">
        <w:r w:rsidR="00454428">
          <w:rPr>
            <w:rStyle w:val="Hyperlink7"/>
            <w:rFonts w:eastAsia="Arial Unicode MS"/>
          </w:rPr>
          <w:t>https://www.law.cornell.edu/uscode/text/17/504?utm_source</w:t>
        </w:r>
      </w:hyperlink>
    </w:p>
    <w:p w14:paraId="5E8A7CDD"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Limbong, A. H. (2025). ESPN's Broadcast Rights Protection in Intellectual Property Law Over World Cup Broadcast Piracy. Journal of Law, Politic and Humanities, 5(4), P. 3114.</w:t>
      </w:r>
    </w:p>
    <w:p w14:paraId="01E51A3B"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Lucchi (N.)</w:t>
      </w:r>
      <w:r>
        <w:rPr>
          <w:rStyle w:val="None"/>
          <w:rFonts w:ascii="Arial Unicode MS" w:hAnsi="Arial Unicode MS" w:cs="Times New Roman" w:hint="cs"/>
          <w:sz w:val="24"/>
          <w:szCs w:val="24"/>
          <w:rtl/>
          <w:lang w:val="ar-SA"/>
        </w:rPr>
        <w:t>،</w:t>
      </w:r>
      <w:r>
        <w:rPr>
          <w:rStyle w:val="None"/>
          <w:rFonts w:ascii="Times New Roman" w:hAnsi="Times New Roman"/>
          <w:sz w:val="24"/>
          <w:szCs w:val="24"/>
        </w:rPr>
        <w:t xml:space="preserve"> "Intellectual Property Rights in Digital Media: A Comparative Analysis of Legal Protection, Technological Measures, and New Business Models under EU and US Law", Buffalo Law Review, vol. 53, 2005</w:t>
      </w:r>
      <w:r>
        <w:rPr>
          <w:rStyle w:val="None"/>
          <w:rFonts w:ascii="Times New Roman" w:hAnsi="Times New Roman"/>
          <w:sz w:val="24"/>
          <w:szCs w:val="24"/>
          <w:rtl/>
          <w:lang w:val="ar-SA"/>
        </w:rPr>
        <w:t>.</w:t>
      </w:r>
    </w:p>
    <w:p w14:paraId="4D2C0B2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Mbah, G. O. (2024). US Intellectual Property Law and Its Impact on Business: Recent Developments and Trends. International Journal of Science and Research Archive, 13, 3279-3280.</w:t>
      </w:r>
    </w:p>
    <w:p w14:paraId="2DB46FC0"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Mbah, G. O. US Intellectual Property Law and its Impact on Business: Recent Developments and Trends. </w:t>
      </w:r>
      <w:r>
        <w:rPr>
          <w:rStyle w:val="None"/>
          <w:rFonts w:ascii="Times New Roman" w:hAnsi="Times New Roman"/>
          <w:i/>
          <w:iCs/>
          <w:color w:val="222222"/>
          <w:sz w:val="24"/>
          <w:szCs w:val="24"/>
          <w:u w:color="222222"/>
          <w:shd w:val="clear" w:color="auto" w:fill="FFFFFF"/>
        </w:rPr>
        <w:t>International Journal of science and Research Archive</w:t>
      </w:r>
      <w:r>
        <w:rPr>
          <w:rStyle w:val="None"/>
          <w:rFonts w:ascii="Times New Roman" w:hAnsi="Times New Roman"/>
          <w:color w:val="222222"/>
          <w:sz w:val="24"/>
          <w:szCs w:val="24"/>
          <w:u w:color="222222"/>
          <w:shd w:val="clear" w:color="auto" w:fill="FFFFFF"/>
        </w:rPr>
        <w:t>, 2024</w:t>
      </w:r>
      <w:r>
        <w:rPr>
          <w:rStyle w:val="None"/>
          <w:rFonts w:ascii="Times New Roman" w:hAnsi="Times New Roman"/>
          <w:color w:val="222222"/>
          <w:sz w:val="24"/>
          <w:szCs w:val="24"/>
          <w:u w:color="222222"/>
          <w:shd w:val="clear" w:color="auto" w:fill="FFFFFF"/>
          <w:rtl/>
          <w:lang w:val="ar-SA"/>
        </w:rPr>
        <w:t>.</w:t>
      </w:r>
    </w:p>
    <w:p w14:paraId="7E2FD30A"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Michael Dudzik (2022).  “Inventors and the French business environment (1791–1798)”, e-Phaïstos, Revue d’histoire des techniques / Journal of the history of technology</w:t>
      </w:r>
      <w:r>
        <w:rPr>
          <w:rStyle w:val="None"/>
          <w:rFonts w:ascii="Times New Roman" w:hAnsi="Times New Roman"/>
          <w:sz w:val="24"/>
          <w:szCs w:val="24"/>
          <w:rtl/>
          <w:lang w:val="ar-SA"/>
        </w:rPr>
        <w:t>.</w:t>
      </w:r>
      <w:r>
        <w:rPr>
          <w:rStyle w:val="None"/>
          <w:rFonts w:ascii="Times New Roman" w:hAnsi="Times New Roman"/>
          <w:sz w:val="24"/>
          <w:szCs w:val="24"/>
        </w:rPr>
        <w:t xml:space="preserve"> </w:t>
      </w:r>
    </w:p>
    <w:p w14:paraId="0BC032FA"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National University. (2025). INTELLECTUAL PROPERTY OBJECTS PROTECTION IN FRANCE. Retrieved from </w:t>
      </w:r>
      <w:hyperlink r:id="rId51" w:history="1">
        <w:r w:rsidR="00454428">
          <w:rPr>
            <w:rStyle w:val="Hyperlink7"/>
            <w:rFonts w:eastAsia="Arial Unicode MS"/>
          </w:rPr>
          <w:t>https://reposit.nupp.edu.ua/bitstream/PoltNTU/12441/1/75%20%D0%A2.1-441-442.pdf</w:t>
        </w:r>
      </w:hyperlink>
    </w:p>
    <w:p w14:paraId="67705C89"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NCL. (2025). Copyright laws and Digital Rights Management – National Consumers League. Retrieved from </w:t>
      </w:r>
      <w:hyperlink r:id="rId52" w:history="1">
        <w:r w:rsidR="00454428">
          <w:rPr>
            <w:rStyle w:val="Hyperlink7"/>
            <w:rFonts w:eastAsia="Arial Unicode MS"/>
          </w:rPr>
          <w:t>https://nclnet.org/drm/</w:t>
        </w:r>
      </w:hyperlink>
    </w:p>
    <w:p w14:paraId="5C9AEB0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Nicola Lucchi, Intellectual Property Rights in Digital Media: A Comparative Analysis of Legal Protection, Technological Measures, and New Business Models under EU and U.S. Law, 53 Buff. L. Rev. 1111 (2005). </w:t>
      </w:r>
    </w:p>
    <w:p w14:paraId="3E38588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Nicolas Bronzo. Remedies for Intellectual property rights infringement in France and Europe: have we gone too far? Second Property Remedies Discussion Forum Aix-en-Provence, Russel L. Weaver; François Lichere, Jun 2014, Aix-en -Provence, France</w:t>
      </w:r>
      <w:r>
        <w:rPr>
          <w:rStyle w:val="None"/>
          <w:rFonts w:ascii="Times New Roman" w:hAnsi="Times New Roman"/>
          <w:sz w:val="24"/>
          <w:szCs w:val="24"/>
          <w:rtl/>
          <w:lang w:val="ar-SA"/>
        </w:rPr>
        <w:t>.</w:t>
      </w:r>
    </w:p>
    <w:p w14:paraId="12A8B764"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OECD </w:t>
      </w:r>
      <w:r>
        <w:rPr>
          <w:rStyle w:val="None"/>
          <w:rFonts w:ascii="Times New Roman" w:hAnsi="Times New Roman"/>
          <w:sz w:val="24"/>
          <w:szCs w:val="24"/>
          <w:rtl/>
          <w:lang w:val="ar-SA"/>
        </w:rPr>
        <w:t>)</w:t>
      </w:r>
      <w:r>
        <w:rPr>
          <w:rStyle w:val="None"/>
          <w:rFonts w:ascii="Times New Roman" w:hAnsi="Times New Roman"/>
          <w:sz w:val="24"/>
          <w:szCs w:val="24"/>
        </w:rPr>
        <w:t>2025</w:t>
      </w:r>
      <w:r>
        <w:rPr>
          <w:rStyle w:val="None"/>
          <w:rFonts w:ascii="Times New Roman" w:hAnsi="Times New Roman"/>
          <w:sz w:val="24"/>
          <w:szCs w:val="24"/>
          <w:rtl/>
          <w:lang w:val="ar-SA"/>
        </w:rPr>
        <w:t>(</w:t>
      </w:r>
      <w:r>
        <w:rPr>
          <w:rStyle w:val="None"/>
          <w:rFonts w:ascii="Times New Roman" w:hAnsi="Times New Roman"/>
          <w:sz w:val="24"/>
          <w:szCs w:val="24"/>
        </w:rPr>
        <w:t xml:space="preserve">. Law for a Digital Republic. Retrieved from </w:t>
      </w:r>
      <w:hyperlink r:id="rId53" w:history="1">
        <w:r w:rsidR="00454428">
          <w:rPr>
            <w:rStyle w:val="Hyperlink10"/>
            <w:rFonts w:eastAsia="Arial Unicode MS"/>
          </w:rPr>
          <w:t>https://www.oecd.org/en/publications/access-to-public-research-data-toolkit_a12e8998-en/law-for-a-digital-republic_b99868b0-en.html</w:t>
        </w:r>
      </w:hyperlink>
    </w:p>
    <w:p w14:paraId="6D903F5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Ortega, S. (2023). The Digital Millennium Copyright Act-In Need of a Major Software Update. </w:t>
      </w:r>
      <w:r>
        <w:rPr>
          <w:rStyle w:val="None"/>
          <w:rFonts w:ascii="Times New Roman" w:hAnsi="Times New Roman"/>
          <w:i/>
          <w:iCs/>
          <w:color w:val="222222"/>
          <w:sz w:val="24"/>
          <w:szCs w:val="24"/>
          <w:u w:color="222222"/>
          <w:shd w:val="clear" w:color="auto" w:fill="FFFFFF"/>
        </w:rPr>
        <w:t>Mich. Bus. &amp; Entrepreneurial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12</w:t>
      </w:r>
      <w:r>
        <w:rPr>
          <w:rStyle w:val="None"/>
          <w:rFonts w:ascii="Times New Roman" w:hAnsi="Times New Roman"/>
          <w:color w:val="222222"/>
          <w:sz w:val="24"/>
          <w:szCs w:val="24"/>
          <w:u w:color="222222"/>
          <w:shd w:val="clear" w:color="auto" w:fill="FFFFFF"/>
          <w:rtl/>
          <w:lang w:val="ar-SA"/>
        </w:rPr>
        <w:t>.</w:t>
      </w:r>
    </w:p>
    <w:p w14:paraId="51DA8F12" w14:textId="3B22775A"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48AF94A8"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12E6D92F"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Peukert, A. Introduction to Intellectual Property Law in Germany. 2023, </w:t>
      </w:r>
      <w:r>
        <w:rPr>
          <w:rStyle w:val="None"/>
          <w:rFonts w:ascii="Times New Roman" w:hAnsi="Times New Roman"/>
          <w:i/>
          <w:iCs/>
          <w:color w:val="222222"/>
          <w:sz w:val="24"/>
          <w:szCs w:val="24"/>
          <w:u w:color="222222"/>
          <w:shd w:val="clear" w:color="auto" w:fill="FFFFFF"/>
        </w:rPr>
        <w:t>Available at SSRN 4599740</w:t>
      </w:r>
      <w:r>
        <w:rPr>
          <w:rStyle w:val="None"/>
          <w:rFonts w:ascii="Times New Roman" w:hAnsi="Times New Roman"/>
          <w:color w:val="222222"/>
          <w:sz w:val="24"/>
          <w:szCs w:val="24"/>
          <w:u w:color="222222"/>
          <w:shd w:val="clear" w:color="auto" w:fill="FFFFFF"/>
        </w:rPr>
        <w:t xml:space="preserve">. </w:t>
      </w:r>
    </w:p>
    <w:p w14:paraId="3D26A5FC"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Piette Coudol (T.), Bertrand (A.), Internet et la loi, Dalloz, 1997</w:t>
      </w:r>
      <w:r>
        <w:rPr>
          <w:rStyle w:val="None"/>
          <w:rFonts w:ascii="Times New Roman" w:hAnsi="Times New Roman"/>
          <w:sz w:val="24"/>
          <w:szCs w:val="24"/>
          <w:rtl/>
          <w:lang w:val="ar-SA"/>
        </w:rPr>
        <w:t>.</w:t>
      </w:r>
    </w:p>
    <w:p w14:paraId="0EBA7A1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Piotraut, J. Des extraits de textes et des décisions</w:t>
      </w:r>
      <w:r>
        <w:rPr>
          <w:rStyle w:val="None"/>
          <w:rFonts w:ascii="Times New Roman" w:hAnsi="Times New Roman"/>
          <w:sz w:val="24"/>
          <w:szCs w:val="24"/>
          <w:rtl/>
          <w:lang w:val="ar-SA"/>
        </w:rPr>
        <w:t xml:space="preserve"> </w:t>
      </w:r>
      <w:r>
        <w:rPr>
          <w:rStyle w:val="None"/>
          <w:rFonts w:ascii="Times New Roman" w:hAnsi="Times New Roman"/>
          <w:sz w:val="24"/>
          <w:szCs w:val="24"/>
        </w:rPr>
        <w:t>(4e ed.). Ellipse</w:t>
      </w:r>
      <w:r>
        <w:rPr>
          <w:rStyle w:val="None"/>
          <w:rFonts w:ascii="Times New Roman" w:hAnsi="Times New Roman"/>
          <w:sz w:val="24"/>
          <w:szCs w:val="24"/>
          <w:rtl/>
          <w:lang w:val="ar-SA"/>
        </w:rPr>
        <w:t xml:space="preserve"> </w:t>
      </w:r>
      <w:r>
        <w:rPr>
          <w:rStyle w:val="None"/>
          <w:rFonts w:ascii="Times New Roman" w:hAnsi="Times New Roman"/>
          <w:sz w:val="24"/>
          <w:szCs w:val="24"/>
        </w:rPr>
        <w:t>2004</w:t>
      </w:r>
      <w:r>
        <w:rPr>
          <w:rStyle w:val="None"/>
          <w:rFonts w:ascii="Times New Roman" w:hAnsi="Times New Roman"/>
          <w:sz w:val="24"/>
          <w:szCs w:val="24"/>
          <w:rtl/>
          <w:lang w:val="ar-SA"/>
        </w:rPr>
        <w:t>.</w:t>
      </w:r>
    </w:p>
    <w:p w14:paraId="22EA40B0"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Project MUSE. (2025). A Politics of Intellectual Property. Creating a Patent System in Revolutionary France. </w:t>
      </w:r>
      <w:hyperlink r:id="rId54" w:history="1">
        <w:r w:rsidR="00454428">
          <w:rPr>
            <w:rStyle w:val="Hyperlink7"/>
            <w:rFonts w:eastAsia="Arial Unicode MS"/>
          </w:rPr>
          <w:t>https://muse.jhu.edu/pub/1/article/777601</w:t>
        </w:r>
      </w:hyperlink>
    </w:p>
    <w:p w14:paraId="0FC0573D"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Prospect Law LTD. </w:t>
      </w:r>
      <w:r>
        <w:rPr>
          <w:rStyle w:val="None"/>
          <w:rFonts w:ascii="Times New Roman" w:hAnsi="Times New Roman"/>
          <w:i/>
          <w:iCs/>
          <w:sz w:val="24"/>
          <w:szCs w:val="24"/>
        </w:rPr>
        <w:t xml:space="preserve">Intellectual Property in the UK: A Brief Overview, </w:t>
      </w:r>
      <w:r>
        <w:rPr>
          <w:rStyle w:val="None"/>
          <w:rFonts w:ascii="Times New Roman" w:hAnsi="Times New Roman"/>
          <w:sz w:val="24"/>
          <w:szCs w:val="24"/>
        </w:rPr>
        <w:t xml:space="preserve">2025. Retrieved from </w:t>
      </w:r>
      <w:hyperlink r:id="rId55" w:history="1">
        <w:r w:rsidR="00454428">
          <w:rPr>
            <w:rStyle w:val="Hyperlink7"/>
            <w:rFonts w:eastAsia="Arial Unicode MS"/>
          </w:rPr>
          <w:t>https://prospectlaw.co.uk/news/article/protecting-and-exploiting-uk-intellectual-property/</w:t>
        </w:r>
      </w:hyperlink>
    </w:p>
    <w:p w14:paraId="60DF749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Qiwei, L., Zhang, S., Pratt, S. P., Kasper, A. T., Gilbert, E., &amp; Schoenebeck, S. (2025, April). A Law of One's Own: The Inefficacy of the DMCA for Non-Consensual Intimate Media. In </w:t>
      </w:r>
      <w:r>
        <w:rPr>
          <w:rStyle w:val="None"/>
          <w:rFonts w:ascii="Times New Roman" w:hAnsi="Times New Roman"/>
          <w:i/>
          <w:iCs/>
          <w:color w:val="222222"/>
          <w:sz w:val="24"/>
          <w:szCs w:val="24"/>
          <w:u w:color="222222"/>
          <w:shd w:val="clear" w:color="auto" w:fill="FFFFFF"/>
        </w:rPr>
        <w:t>Proceedings of the 2025 CHI Conference on Human Factors in Computing Systems</w:t>
      </w:r>
      <w:r>
        <w:rPr>
          <w:rStyle w:val="None"/>
          <w:rFonts w:ascii="Times New Roman" w:hAnsi="Times New Roman"/>
          <w:color w:val="222222"/>
          <w:sz w:val="24"/>
          <w:szCs w:val="24"/>
          <w:u w:color="222222"/>
          <w:shd w:val="clear" w:color="auto" w:fill="FFFFFF"/>
        </w:rPr>
        <w:t xml:space="preserve"> (pp. 1-17). </w:t>
      </w:r>
    </w:p>
    <w:p w14:paraId="77886585" w14:textId="77777777" w:rsidR="00454428" w:rsidRPr="00FF4D9D"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lang w:val="it-IT"/>
        </w:rPr>
      </w:pPr>
      <w:r w:rsidRPr="00FF4D9D">
        <w:rPr>
          <w:rStyle w:val="None"/>
          <w:rFonts w:ascii="Times New Roman" w:hAnsi="Times New Roman"/>
          <w:sz w:val="24"/>
          <w:szCs w:val="24"/>
          <w:lang w:val="it-IT"/>
        </w:rPr>
        <w:t>Roma TrE-Press, Roma, Settembre</w:t>
      </w:r>
      <w:r>
        <w:rPr>
          <w:rStyle w:val="None"/>
          <w:rFonts w:ascii="Times New Roman" w:hAnsi="Times New Roman"/>
          <w:sz w:val="24"/>
          <w:szCs w:val="24"/>
          <w:rtl/>
          <w:lang w:val="ar-SA"/>
        </w:rPr>
        <w:t>.</w:t>
      </w:r>
    </w:p>
    <w:p w14:paraId="46ABA703"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RPC. (2018). Cross-Border Copyright Guide 2018. </w:t>
      </w:r>
      <w:hyperlink r:id="rId56" w:history="1">
        <w:r w:rsidR="00454428">
          <w:rPr>
            <w:rStyle w:val="Hyperlink7"/>
            <w:rFonts w:eastAsia="Arial Unicode MS"/>
          </w:rPr>
          <w:t>https://www.rpclegal.com/-/media/rpc/files/perspectives/ip/france.pdf</w:t>
        </w:r>
      </w:hyperlink>
    </w:p>
    <w:p w14:paraId="4232F621"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Rubio Alfageme, B. M. (2025). Intellectual property challenges in the 21st century: A study of digital piracy in the European Union. Intangible Capital, 21(2)</w:t>
      </w:r>
      <w:r>
        <w:rPr>
          <w:rStyle w:val="None"/>
          <w:rFonts w:ascii="Times New Roman" w:hAnsi="Times New Roman"/>
          <w:i/>
          <w:iCs/>
          <w:color w:val="222222"/>
          <w:sz w:val="24"/>
          <w:szCs w:val="24"/>
          <w:u w:color="222222"/>
          <w:shd w:val="clear" w:color="auto" w:fill="FFFFFF"/>
          <w:rtl/>
          <w:lang w:val="ar-SA"/>
        </w:rPr>
        <w:t>.</w:t>
      </w:r>
    </w:p>
    <w:p w14:paraId="38193A3D"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 xml:space="preserve">SACD </w:t>
      </w:r>
      <w:r>
        <w:rPr>
          <w:rStyle w:val="None"/>
          <w:rFonts w:ascii="Times New Roman" w:hAnsi="Times New Roman"/>
          <w:sz w:val="24"/>
          <w:szCs w:val="24"/>
          <w:shd w:val="clear" w:color="auto" w:fill="FFFFFF"/>
          <w:rtl/>
          <w:lang w:val="ar-SA"/>
        </w:rPr>
        <w:t>)</w:t>
      </w:r>
      <w:r>
        <w:rPr>
          <w:rStyle w:val="None"/>
          <w:rFonts w:ascii="Times New Roman" w:hAnsi="Times New Roman"/>
          <w:sz w:val="24"/>
          <w:szCs w:val="24"/>
          <w:shd w:val="clear" w:color="auto" w:fill="FFFFFF"/>
        </w:rPr>
        <w:t>2021</w:t>
      </w:r>
      <w:r>
        <w:rPr>
          <w:rStyle w:val="None"/>
          <w:rFonts w:ascii="Times New Roman" w:hAnsi="Times New Roman"/>
          <w:sz w:val="24"/>
          <w:szCs w:val="24"/>
          <w:shd w:val="clear" w:color="auto" w:fill="FFFFFF"/>
          <w:rtl/>
          <w:lang w:val="ar-SA"/>
        </w:rPr>
        <w:t>. (</w:t>
      </w:r>
      <w:r>
        <w:rPr>
          <w:rStyle w:val="None"/>
          <w:rFonts w:ascii="Times New Roman" w:hAnsi="Times New Roman"/>
          <w:sz w:val="24"/>
          <w:szCs w:val="24"/>
          <w:shd w:val="clear" w:color="auto" w:fill="FFFFFF"/>
        </w:rPr>
        <w:t>Authors' rights and their work</w:t>
      </w:r>
      <w:r>
        <w:rPr>
          <w:rStyle w:val="None"/>
          <w:rFonts w:ascii="Times New Roman" w:hAnsi="Times New Roman"/>
          <w:sz w:val="24"/>
          <w:szCs w:val="24"/>
          <w:shd w:val="clear" w:color="auto" w:fill="FFFFFF"/>
          <w:rtl/>
          <w:lang w:val="ar-SA"/>
        </w:rPr>
        <w:t xml:space="preserve">. </w:t>
      </w:r>
      <w:r>
        <w:rPr>
          <w:rStyle w:val="None"/>
          <w:rFonts w:ascii="Times New Roman" w:hAnsi="Times New Roman"/>
          <w:sz w:val="24"/>
          <w:szCs w:val="24"/>
          <w:shd w:val="clear" w:color="auto" w:fill="FFFFFF"/>
        </w:rPr>
        <w:t>Retrieved from</w:t>
      </w:r>
      <w:r>
        <w:rPr>
          <w:rStyle w:val="None"/>
          <w:rFonts w:ascii="Times New Roman" w:hAnsi="Times New Roman"/>
          <w:sz w:val="24"/>
          <w:szCs w:val="24"/>
        </w:rPr>
        <w:t xml:space="preserve"> </w:t>
      </w:r>
      <w:hyperlink r:id="rId57" w:history="1">
        <w:r w:rsidR="00454428">
          <w:rPr>
            <w:rStyle w:val="Hyperlink10"/>
            <w:rFonts w:eastAsia="Arial Unicode MS"/>
          </w:rPr>
          <w:t>https://www.sacd.fr/en/authors-rights-and-their-work</w:t>
        </w:r>
      </w:hyperlink>
    </w:p>
    <w:p w14:paraId="3ADBFF5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Sadhana, G. S. (2025). Protecting creative rights: Addressing digital piracy and copyright issues in Indian media. International Journal of Law, Justice and Jurisprudence. 5(1)</w:t>
      </w:r>
      <w:r>
        <w:rPr>
          <w:rStyle w:val="None"/>
          <w:rFonts w:ascii="Times New Roman" w:hAnsi="Times New Roman"/>
          <w:i/>
          <w:iCs/>
          <w:color w:val="222222"/>
          <w:sz w:val="24"/>
          <w:szCs w:val="24"/>
          <w:u w:color="222222"/>
          <w:shd w:val="clear" w:color="auto" w:fill="FFFFFF"/>
          <w:rtl/>
          <w:lang w:val="ar-SA"/>
        </w:rPr>
        <w:t>.</w:t>
      </w:r>
    </w:p>
    <w:p w14:paraId="24E07E62"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Salman Mahmood, M. (2023, June). Penal and International Protection of Electronic Intellectual Property Rights. Paper presented at </w:t>
      </w:r>
      <w:r>
        <w:rPr>
          <w:rStyle w:val="None"/>
          <w:rFonts w:ascii="Times New Roman" w:hAnsi="Times New Roman"/>
          <w:i/>
          <w:iCs/>
          <w:sz w:val="24"/>
          <w:szCs w:val="24"/>
        </w:rPr>
        <w:t>1st International Conference on Legal Sciences: (Intellectual property -Contemporary Problems and Legal Solutions, ICLS’23),</w:t>
      </w:r>
      <w:r>
        <w:rPr>
          <w:rStyle w:val="None"/>
          <w:rFonts w:ascii="Times New Roman" w:hAnsi="Times New Roman"/>
          <w:sz w:val="24"/>
          <w:szCs w:val="24"/>
        </w:rPr>
        <w:t xml:space="preserve"> Fallujah, Iraq</w:t>
      </w:r>
      <w:r>
        <w:rPr>
          <w:rStyle w:val="None"/>
          <w:rFonts w:ascii="Times New Roman" w:hAnsi="Times New Roman"/>
          <w:color w:val="222222"/>
          <w:sz w:val="24"/>
          <w:szCs w:val="24"/>
          <w:u w:color="222222"/>
          <w:shd w:val="clear" w:color="auto" w:fill="FFFFFF"/>
        </w:rPr>
        <w:t xml:space="preserve">. </w:t>
      </w:r>
    </w:p>
    <w:p w14:paraId="535D492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Samuelson, P., &amp; Wheatland, T. (2009). Statutory damages in copyright law: A remedy in need of reform. </w:t>
      </w:r>
      <w:r>
        <w:rPr>
          <w:rStyle w:val="None"/>
          <w:rFonts w:ascii="Times New Roman" w:hAnsi="Times New Roman"/>
          <w:i/>
          <w:iCs/>
          <w:color w:val="222222"/>
          <w:sz w:val="24"/>
          <w:szCs w:val="24"/>
          <w:u w:color="222222"/>
          <w:shd w:val="clear" w:color="auto" w:fill="FFFFFF"/>
        </w:rPr>
        <w:t>Wm. &amp; Mary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51</w:t>
      </w:r>
      <w:r>
        <w:rPr>
          <w:rStyle w:val="None"/>
          <w:rFonts w:ascii="Times New Roman" w:hAnsi="Times New Roman"/>
          <w:color w:val="222222"/>
          <w:sz w:val="24"/>
          <w:szCs w:val="24"/>
          <w:u w:color="222222"/>
          <w:shd w:val="clear" w:color="auto" w:fill="FFFFFF"/>
        </w:rPr>
        <w:t xml:space="preserve">, 439. </w:t>
      </w:r>
    </w:p>
    <w:p w14:paraId="3CCBFE9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Sell, S. (2004). Intellectual property and public policy in historical perspective: Contestation and settlement.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38</w:t>
      </w:r>
      <w:r>
        <w:rPr>
          <w:rStyle w:val="None"/>
          <w:rFonts w:ascii="Times New Roman" w:hAnsi="Times New Roman"/>
          <w:color w:val="222222"/>
          <w:sz w:val="24"/>
          <w:szCs w:val="24"/>
          <w:u w:color="222222"/>
          <w:shd w:val="clear" w:color="auto" w:fill="FFFFFF"/>
        </w:rPr>
        <w:t xml:space="preserve">, 267. </w:t>
      </w:r>
    </w:p>
    <w:p w14:paraId="78F29AC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Sunwater Capital. (2025). Adoption of Intellectual Property Laws across the globe: Timeline. Retrieved from </w:t>
      </w:r>
      <w:hyperlink r:id="rId58" w:history="1">
        <w:r w:rsidR="00454428">
          <w:rPr>
            <w:rStyle w:val="Hyperlink7"/>
            <w:rFonts w:eastAsia="Arial Unicode MS"/>
          </w:rPr>
          <w:t>https://sunwater.org/adoption-of-intellectual-property-laws-across-the-globe-timeline/</w:t>
        </w:r>
      </w:hyperlink>
    </w:p>
    <w:p w14:paraId="0E28BFC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TERTEREANU, P., GÎNGU, A. I., &amp; ȚÎȚU, A. M. (2021). Counterfeiting and Infringements Upon Intellectual Property Rights. Review of Management and Economic Engineering, 20(2)</w:t>
      </w:r>
      <w:r>
        <w:rPr>
          <w:rStyle w:val="None"/>
          <w:rFonts w:ascii="Times New Roman" w:hAnsi="Times New Roman"/>
          <w:i/>
          <w:iCs/>
          <w:color w:val="222222"/>
          <w:sz w:val="24"/>
          <w:szCs w:val="24"/>
          <w:u w:color="222222"/>
          <w:shd w:val="clear" w:color="auto" w:fill="FFFFFF"/>
          <w:rtl/>
          <w:lang w:val="ar-SA"/>
        </w:rPr>
        <w:t>.</w:t>
      </w:r>
    </w:p>
    <w:p w14:paraId="4C51F5F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testu-avocat. (2025). La méthode de calcul des dommages et intérêts au titre de la contrefaçon de droits d’auteur. Retrieved from </w:t>
      </w:r>
      <w:hyperlink r:id="rId59" w:history="1">
        <w:r w:rsidR="00454428">
          <w:rPr>
            <w:rStyle w:val="Hyperlink7"/>
            <w:rFonts w:eastAsia="Arial Unicode MS"/>
          </w:rPr>
          <w:t>https://www.testu-avocat.fr/droit-auteur-avocat-bordeaux/les-sanctions-de-l-atteinte-aux-droits-d-auteur</w:t>
        </w:r>
      </w:hyperlink>
    </w:p>
    <w:p w14:paraId="7F558879"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Federalist Society. (2025). The Forgotten History of the Intellectual Property Clause. Retrieved from </w:t>
      </w:r>
      <w:hyperlink r:id="rId60" w:history="1">
        <w:r w:rsidR="00454428">
          <w:rPr>
            <w:rStyle w:val="Hyperlink7"/>
            <w:rFonts w:eastAsia="Arial Unicode MS"/>
          </w:rPr>
          <w:t>https://fedsoc.org/commentary/fedsoc-blog/the-forgotten-history-of-the-intellectual-property-clause</w:t>
        </w:r>
      </w:hyperlink>
    </w:p>
    <w:p w14:paraId="0F618D4F"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The George Mason Law Review. (2023). The Future of Criminal Enforcement of Copyright: The Promise of Civil Enforcement. Retrieved from </w:t>
      </w:r>
      <w:hyperlink r:id="rId61" w:history="1">
        <w:r w:rsidR="00454428">
          <w:rPr>
            <w:rStyle w:val="Hyperlink7"/>
            <w:rFonts w:eastAsia="Arial Unicode MS"/>
          </w:rPr>
          <w:t>https://lawreview.gmu.edu/print__issues/the-future-of-criminal-enforcement-of-copyright-the-promise-of-civil-enforcement/?utm_source</w:t>
        </w:r>
      </w:hyperlink>
      <w:r>
        <w:rPr>
          <w:rStyle w:val="None"/>
          <w:rFonts w:ascii="Times New Roman" w:hAnsi="Times New Roman"/>
          <w:sz w:val="24"/>
          <w:szCs w:val="24"/>
        </w:rPr>
        <w:t xml:space="preserve"> </w:t>
      </w:r>
    </w:p>
    <w:p w14:paraId="2C76D33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Thuy, L. T. B. (2020). PROTECTION OF COPYRIGHT IN THE DIGITAL ENVIRONMENT IN VIET NAM. WIPO-WTO Colloquium Papers, 2020, Special Edition. </w:t>
      </w:r>
    </w:p>
    <w:p w14:paraId="65918B5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Toole, A., Miller, R. &amp; Rada, N. (2025). Intellectual property and the U.S. economy: Third edition. U.S. Patent and Trademark Office. </w:t>
      </w:r>
      <w:hyperlink r:id="rId62" w:history="1">
        <w:r w:rsidR="00454428">
          <w:rPr>
            <w:rStyle w:val="Hyperlink7"/>
            <w:rFonts w:eastAsia="Arial Unicode MS"/>
          </w:rPr>
          <w:t>https://www.uspto.gov/sites/default/files/documents/uspto-ip-us-economy-third-edition.pdf</w:t>
        </w:r>
      </w:hyperlink>
      <w:r>
        <w:rPr>
          <w:rStyle w:val="None"/>
          <w:rFonts w:ascii="Times New Roman" w:hAnsi="Times New Roman"/>
          <w:sz w:val="24"/>
          <w:szCs w:val="24"/>
        </w:rPr>
        <w:t xml:space="preserve"> </w:t>
      </w:r>
    </w:p>
    <w:p w14:paraId="1B9B88CF"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Traverso, M. INTELLECTUAL PROPERTY A tool for economic growth in the third millennium An Overview of Italian IP Law. </w:t>
      </w:r>
      <w:r w:rsidRPr="00FF4D9D">
        <w:rPr>
          <w:rStyle w:val="None"/>
          <w:rFonts w:ascii="Times New Roman" w:hAnsi="Times New Roman"/>
          <w:sz w:val="24"/>
          <w:szCs w:val="24"/>
          <w:lang w:val="it-IT"/>
        </w:rPr>
        <w:t xml:space="preserve">UffICIO ITALIANO BREvETTI E MARChI. The Licensing Executives Society (LES). ministero dello sviluppo economico dipArtimento per l’impresA e l’internAzionAlizzAzione direzione generAle per lA lottA AllA contrAffAzione. </w:t>
      </w:r>
      <w:r>
        <w:rPr>
          <w:rStyle w:val="None"/>
          <w:rFonts w:ascii="Times New Roman" w:hAnsi="Times New Roman"/>
          <w:sz w:val="24"/>
          <w:szCs w:val="24"/>
        </w:rPr>
        <w:t>2010</w:t>
      </w:r>
      <w:r>
        <w:rPr>
          <w:rStyle w:val="None"/>
          <w:rFonts w:ascii="Times New Roman" w:hAnsi="Times New Roman"/>
          <w:sz w:val="24"/>
          <w:szCs w:val="24"/>
          <w:rtl/>
          <w:lang w:val="ar-SA"/>
        </w:rPr>
        <w:t>.</w:t>
      </w:r>
    </w:p>
    <w:p w14:paraId="38DC3EDF"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Tumalavičius, V., Prykhodkina, N., Vovk, M., Mytych, S., &amp; Kustovska, O. (2024). Legal impacts of digitization on intellectual property.Amazonia Investiga,13(74)</w:t>
      </w:r>
      <w:r>
        <w:rPr>
          <w:rStyle w:val="None"/>
          <w:rFonts w:ascii="Times New Roman" w:hAnsi="Times New Roman"/>
          <w:sz w:val="24"/>
          <w:szCs w:val="24"/>
          <w:shd w:val="clear" w:color="auto" w:fill="FFFFFF"/>
          <w:rtl/>
          <w:lang w:val="ar-SA"/>
        </w:rPr>
        <w:t>.</w:t>
      </w:r>
    </w:p>
    <w:p w14:paraId="7464CA6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Tumalavičius, V., Prykhodkina, N., Vovk, M., Mytych, S., &amp; Kustovska, O. (2024). Legal impacts of digitization on intellectual property. Amazonia Investiga,13(74)</w:t>
      </w:r>
      <w:r>
        <w:rPr>
          <w:rStyle w:val="None"/>
          <w:rFonts w:ascii="Times New Roman" w:hAnsi="Times New Roman"/>
          <w:sz w:val="24"/>
          <w:szCs w:val="24"/>
          <w:shd w:val="clear" w:color="auto" w:fill="FFFFFF"/>
          <w:rtl/>
          <w:lang w:val="ar-SA"/>
        </w:rPr>
        <w:t>.</w:t>
      </w:r>
    </w:p>
    <w:p w14:paraId="59B59FA4"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Copyright Office. (2025). United States Intellectual Property Organization Act of 1996 (S. 1961). Retrieved from </w:t>
      </w:r>
      <w:hyperlink r:id="rId63" w:history="1">
        <w:r w:rsidR="00454428">
          <w:rPr>
            <w:rStyle w:val="Hyperlink7"/>
            <w:rFonts w:eastAsia="Arial Unicode MS"/>
          </w:rPr>
          <w:t>https://www.copyright.gov/docs/ipo.html</w:t>
        </w:r>
      </w:hyperlink>
    </w:p>
    <w:p w14:paraId="27BA48B2"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Department Of state. (2025). </w:t>
      </w:r>
      <w:r>
        <w:rPr>
          <w:rStyle w:val="None"/>
          <w:rFonts w:ascii="Times New Roman" w:hAnsi="Times New Roman"/>
          <w:i/>
          <w:iCs/>
          <w:sz w:val="24"/>
          <w:szCs w:val="24"/>
        </w:rPr>
        <w:t>Intellectual Property Enforcement</w:t>
      </w:r>
      <w:r>
        <w:rPr>
          <w:rStyle w:val="None"/>
          <w:rFonts w:ascii="Times New Roman" w:hAnsi="Times New Roman"/>
          <w:sz w:val="24"/>
          <w:szCs w:val="24"/>
        </w:rPr>
        <w:t xml:space="preserve">. Retrieved from </w:t>
      </w:r>
      <w:hyperlink r:id="rId64" w:history="1">
        <w:r w:rsidR="00454428">
          <w:rPr>
            <w:rStyle w:val="Hyperlink7"/>
            <w:rFonts w:eastAsia="Arial Unicode MS"/>
          </w:rPr>
          <w:t>https://www.state.gov/intellectual-property-enforcement</w:t>
        </w:r>
      </w:hyperlink>
    </w:p>
    <w:p w14:paraId="3083A0A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United States Code, 2023. </w:t>
      </w:r>
      <w:r>
        <w:rPr>
          <w:rStyle w:val="None"/>
          <w:rFonts w:ascii="Times New Roman" w:hAnsi="Times New Roman"/>
          <w:i/>
          <w:iCs/>
          <w:sz w:val="24"/>
          <w:szCs w:val="24"/>
        </w:rPr>
        <w:t>504. Remedies for infringement: Damages and profits</w:t>
      </w:r>
      <w:r>
        <w:rPr>
          <w:rStyle w:val="None"/>
          <w:rFonts w:ascii="Times New Roman" w:hAnsi="Times New Roman"/>
          <w:sz w:val="24"/>
          <w:szCs w:val="24"/>
        </w:rPr>
        <w:t xml:space="preserve">. Retrieved from </w:t>
      </w:r>
      <w:hyperlink r:id="rId65" w:history="1">
        <w:r w:rsidR="00454428">
          <w:rPr>
            <w:rStyle w:val="Hyperlink7"/>
            <w:rFonts w:eastAsia="Arial Unicode MS"/>
          </w:rPr>
          <w:t>https://www.govinfo.gov/content/pkg/USCODE-2023-title17/html/USCODE-2023-title17-chap5-sec504.htm?utm_source</w:t>
        </w:r>
      </w:hyperlink>
    </w:p>
    <w:p w14:paraId="44B69476"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United States District Court Judgment February 2, 2000, </w:t>
      </w:r>
      <w:hyperlink r:id="rId66" w:history="1">
        <w:r w:rsidR="00454428">
          <w:rPr>
            <w:rStyle w:val="Hyperlink7"/>
            <w:rFonts w:eastAsia="Arial Unicode MS"/>
          </w:rPr>
          <w:t>https://www.law.uh.edu/faculty/cjoyce/copyright/release10/universal.html</w:t>
        </w:r>
      </w:hyperlink>
      <w:r>
        <w:rPr>
          <w:rStyle w:val="None"/>
          <w:rFonts w:ascii="Times New Roman" w:hAnsi="Times New Roman"/>
          <w:sz w:val="24"/>
          <w:szCs w:val="24"/>
        </w:rPr>
        <w:t xml:space="preserve"> .</w:t>
      </w:r>
    </w:p>
    <w:p w14:paraId="2B6A4763"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USPTO. (2025). </w:t>
      </w:r>
      <w:r>
        <w:rPr>
          <w:rStyle w:val="None"/>
          <w:rFonts w:ascii="Times New Roman" w:hAnsi="Times New Roman"/>
          <w:i/>
          <w:iCs/>
          <w:sz w:val="24"/>
          <w:szCs w:val="24"/>
        </w:rPr>
        <w:t>Enforcement initiatives</w:t>
      </w:r>
      <w:r>
        <w:rPr>
          <w:rStyle w:val="None"/>
          <w:rFonts w:ascii="Times New Roman" w:hAnsi="Times New Roman"/>
          <w:sz w:val="24"/>
          <w:szCs w:val="24"/>
        </w:rPr>
        <w:t xml:space="preserve">. United States Patent and Trademark Office. Retrieved from </w:t>
      </w:r>
      <w:hyperlink r:id="rId67" w:history="1">
        <w:r w:rsidR="00454428">
          <w:rPr>
            <w:rStyle w:val="Hyperlink7"/>
            <w:rFonts w:eastAsia="Arial Unicode MS"/>
          </w:rPr>
          <w:t>https://www.uspto.gov/ip-policy/enforcement-policy/enforcement-initiatives?utm_</w:t>
        </w:r>
      </w:hyperlink>
      <w:r>
        <w:rPr>
          <w:rStyle w:val="None"/>
          <w:rFonts w:ascii="Times New Roman" w:hAnsi="Times New Roman"/>
          <w:sz w:val="24"/>
          <w:szCs w:val="24"/>
        </w:rPr>
        <w:t xml:space="preserve"> </w:t>
      </w:r>
    </w:p>
    <w:p w14:paraId="2741769C"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shd w:val="clear" w:color="auto" w:fill="FFFFFF"/>
          <w:rtl/>
        </w:rPr>
      </w:pPr>
      <w:r>
        <w:rPr>
          <w:rStyle w:val="None"/>
          <w:rFonts w:ascii="Times New Roman" w:hAnsi="Times New Roman"/>
          <w:sz w:val="24"/>
          <w:szCs w:val="24"/>
          <w:shd w:val="clear" w:color="auto" w:fill="FFFFFF"/>
        </w:rPr>
        <w:t xml:space="preserve">WIPO. (2024). THE PROSECUTION OF INTELLECTUAL PROPERTY CRIME: REPORT ON RESULTS OF SURVEY.  World Intellectual Property Organization. </w:t>
      </w:r>
    </w:p>
    <w:p w14:paraId="157009C1"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WIPO. (2025). Intellectual Property Code (consolidated version of March 2, 2006), France. Retrieved from </w:t>
      </w:r>
      <w:hyperlink r:id="rId68" w:history="1">
        <w:r w:rsidR="00454428">
          <w:rPr>
            <w:rStyle w:val="Hyperlink7"/>
            <w:rFonts w:eastAsia="Arial Unicode MS"/>
          </w:rPr>
          <w:t>https://www.wipo.int/wipolex/en/legislation/details/14446</w:t>
        </w:r>
      </w:hyperlink>
    </w:p>
    <w:p w14:paraId="0632E4BE"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Hacker Lexicon: What Is the Digital Millennium Copyright Act? Retrieved from </w:t>
      </w:r>
      <w:hyperlink r:id="rId69" w:history="1">
        <w:r w:rsidR="00454428">
          <w:rPr>
            <w:rStyle w:val="Hyperlink7"/>
            <w:rFonts w:eastAsia="Arial Unicode MS"/>
          </w:rPr>
          <w:t>https://www.wired.com/2016/06/hacker-lexicon-digital-millennium-copyright-act/?utm_source</w:t>
        </w:r>
      </w:hyperlink>
    </w:p>
    <w:p w14:paraId="697E0644"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w:t>
      </w:r>
      <w:r>
        <w:rPr>
          <w:rStyle w:val="None"/>
          <w:rFonts w:ascii="Times New Roman" w:hAnsi="Times New Roman"/>
          <w:i/>
          <w:iCs/>
          <w:sz w:val="24"/>
          <w:szCs w:val="24"/>
        </w:rPr>
        <w:t>Industry 1, Academics 0: Clinton Signs Copyright Bill</w:t>
      </w:r>
      <w:r>
        <w:rPr>
          <w:rStyle w:val="None"/>
          <w:rFonts w:ascii="Times New Roman" w:hAnsi="Times New Roman"/>
          <w:sz w:val="24"/>
          <w:szCs w:val="24"/>
        </w:rPr>
        <w:t xml:space="preserve">. Retrieved from </w:t>
      </w:r>
      <w:hyperlink r:id="rId70" w:history="1">
        <w:r w:rsidR="00454428">
          <w:rPr>
            <w:rStyle w:val="Hyperlink7"/>
            <w:rFonts w:eastAsia="Arial Unicode MS"/>
          </w:rPr>
          <w:t>https://www.wired.com/1997/12/industry-1-academics-0-clinton-signs-copyright-bill/?utm_source</w:t>
        </w:r>
      </w:hyperlink>
    </w:p>
    <w:p w14:paraId="22C3563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World Intellectual Property Organization (WIPO), Understanding Copyright and Related Rights, (2rd ed.), 2020, Available at: </w:t>
      </w:r>
      <w:hyperlink r:id="rId71" w:history="1">
        <w:r w:rsidR="00454428">
          <w:rPr>
            <w:rStyle w:val="Hyperlink11"/>
            <w:rFonts w:eastAsia="Arial Unicode MS"/>
          </w:rPr>
          <w:t>https://www.wipo.int/edocs/pubdocs/en/wipo_pub_909_2016.pdf</w:t>
        </w:r>
      </w:hyperlink>
      <w:r>
        <w:rPr>
          <w:rStyle w:val="None"/>
          <w:rFonts w:ascii="Times New Roman" w:hAnsi="Times New Roman"/>
          <w:sz w:val="24"/>
          <w:szCs w:val="24"/>
        </w:rPr>
        <w:t xml:space="preserve"> ,Date of visit: 10/15/2024.</w:t>
      </w:r>
    </w:p>
    <w:p w14:paraId="3ACF4AF5"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color w:val="2E3136"/>
          <w:sz w:val="24"/>
          <w:szCs w:val="24"/>
          <w:u w:color="2E3136"/>
          <w:shd w:val="clear" w:color="auto" w:fill="FFFFFF"/>
          <w:rtl/>
        </w:rPr>
      </w:pPr>
      <w:r>
        <w:rPr>
          <w:rStyle w:val="None"/>
          <w:rFonts w:ascii="Times New Roman" w:hAnsi="Times New Roman"/>
          <w:sz w:val="24"/>
          <w:szCs w:val="24"/>
        </w:rPr>
        <w:t xml:space="preserve">WTO. (2025). What are intellectual property rights? </w:t>
      </w:r>
      <w:r>
        <w:rPr>
          <w:rStyle w:val="None"/>
          <w:rFonts w:ascii="Times New Roman" w:hAnsi="Times New Roman"/>
          <w:color w:val="2E3136"/>
          <w:sz w:val="24"/>
          <w:szCs w:val="24"/>
          <w:u w:color="2E3136"/>
          <w:shd w:val="clear" w:color="auto" w:fill="FFFFFF"/>
        </w:rPr>
        <w:t xml:space="preserve">World Trade Organization. Retrieved from </w:t>
      </w:r>
      <w:hyperlink r:id="rId72" w:history="1">
        <w:r w:rsidR="00454428">
          <w:rPr>
            <w:rStyle w:val="Hyperlink12"/>
            <w:rFonts w:eastAsia="Arial Unicode MS"/>
          </w:rPr>
          <w:t>https://www.wto.org/English/tratop_e/trips_e/intel1_e.htm</w:t>
        </w:r>
      </w:hyperlink>
    </w:p>
    <w:p w14:paraId="3D7B5DB7" w14:textId="77777777" w:rsidR="00454428" w:rsidRDefault="00C464EC" w:rsidP="00906FAF">
      <w:pPr>
        <w:pStyle w:val="FootnoteText"/>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Yager, L. (2004). Intellectual Property: US Efforts Have Contributed to Strengthened Laws Overseas, But Challenges Remain: Testimony Before the Committee on Government Reform, House of Representatives. US Government Accountability Office</w:t>
      </w:r>
      <w:r>
        <w:rPr>
          <w:rStyle w:val="None"/>
          <w:rFonts w:ascii="Times New Roman" w:hAnsi="Times New Roman"/>
          <w:i/>
          <w:iCs/>
          <w:color w:val="222222"/>
          <w:sz w:val="24"/>
          <w:szCs w:val="24"/>
          <w:u w:color="222222"/>
          <w:shd w:val="clear" w:color="auto" w:fill="FFFFFF"/>
          <w:rtl/>
          <w:lang w:val="ar-SA"/>
        </w:rPr>
        <w:t>.</w:t>
      </w:r>
    </w:p>
    <w:p w14:paraId="73C46783" w14:textId="77777777" w:rsidR="00906FAF" w:rsidRDefault="00906FAF" w:rsidP="00906FAF">
      <w:pPr>
        <w:pStyle w:val="a"/>
        <w:jc w:val="left"/>
        <w:rPr>
          <w:rStyle w:val="None"/>
          <w:rFonts w:ascii="Arial Unicode MS" w:eastAsia="Arial Unicode MS" w:hAnsi="Arial Unicode MS"/>
          <w:rtl/>
          <w:lang w:val="ar-SA"/>
        </w:rPr>
      </w:pPr>
      <w:bookmarkStart w:id="284" w:name="_Toc227251145"/>
    </w:p>
    <w:p w14:paraId="0C007B5C" w14:textId="77777777" w:rsidR="00906FAF" w:rsidRDefault="00906FAF" w:rsidP="00906FAF">
      <w:pPr>
        <w:pStyle w:val="a"/>
        <w:jc w:val="left"/>
        <w:rPr>
          <w:rStyle w:val="None"/>
          <w:rFonts w:ascii="Arial Unicode MS" w:eastAsia="Arial Unicode MS" w:hAnsi="Arial Unicode MS"/>
          <w:rtl/>
          <w:lang w:val="ar-SA"/>
        </w:rPr>
      </w:pPr>
    </w:p>
    <w:p w14:paraId="40C6FE9C" w14:textId="50C40BAB" w:rsidR="00454428" w:rsidRDefault="00C464EC" w:rsidP="00906FAF">
      <w:pPr>
        <w:pStyle w:val="a"/>
        <w:jc w:val="left"/>
        <w:rPr>
          <w:rStyle w:val="None"/>
          <w:rtl/>
          <w:lang w:val="ar-SA"/>
        </w:rPr>
      </w:pPr>
      <w:bookmarkStart w:id="285" w:name="_Toc232260720"/>
      <w:r>
        <w:rPr>
          <w:rStyle w:val="None"/>
          <w:rFonts w:ascii="Arial Unicode MS" w:eastAsia="Arial Unicode MS" w:hAnsi="Arial Unicode MS" w:hint="cs"/>
          <w:rtl/>
          <w:lang w:val="ar-SA"/>
        </w:rPr>
        <w:t>ثالثًا</w:t>
      </w:r>
      <w:r>
        <w:rPr>
          <w:rStyle w:val="None"/>
          <w:rtl/>
          <w:lang w:val="ar-SA"/>
        </w:rPr>
        <w:t xml:space="preserve">: </w:t>
      </w:r>
      <w:r>
        <w:rPr>
          <w:rStyle w:val="None"/>
          <w:rFonts w:ascii="Arial Unicode MS" w:eastAsia="Arial Unicode MS" w:hAnsi="Arial Unicode MS" w:hint="cs"/>
          <w:rtl/>
          <w:lang w:val="ar-SA"/>
        </w:rPr>
        <w:t>القوانين</w:t>
      </w:r>
      <w:r>
        <w:rPr>
          <w:rStyle w:val="None"/>
          <w:rtl/>
          <w:lang w:val="ar-SA"/>
        </w:rPr>
        <w:t>.</w:t>
      </w:r>
      <w:bookmarkEnd w:id="284"/>
      <w:bookmarkEnd w:id="285"/>
    </w:p>
    <w:p w14:paraId="2D228B4D"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الموقعة في استوكهولم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والمعدلة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سبتمبر </w:t>
      </w:r>
      <w:r>
        <w:rPr>
          <w:rStyle w:val="None"/>
          <w:rFonts w:ascii="Times New Roman" w:hAnsi="Times New Roman"/>
          <w:sz w:val="24"/>
          <w:szCs w:val="24"/>
          <w:rtl/>
          <w:lang w:val="ar-SA"/>
        </w:rPr>
        <w:t>1979.</w:t>
      </w:r>
    </w:p>
    <w:p w14:paraId="2146E0A4"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عام </w:t>
      </w:r>
      <w:r>
        <w:rPr>
          <w:rStyle w:val="None"/>
          <w:rFonts w:ascii="Times New Roman" w:hAnsi="Times New Roman"/>
          <w:sz w:val="24"/>
          <w:szCs w:val="24"/>
          <w:rtl/>
          <w:lang w:val="ar-SA"/>
        </w:rPr>
        <w:t>1967.</w:t>
      </w:r>
    </w:p>
    <w:p w14:paraId="3724BAFC"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w:t>
      </w:r>
      <w:r>
        <w:rPr>
          <w:rStyle w:val="None"/>
          <w:rFonts w:ascii="Times New Roman" w:hAnsi="Times New Roman"/>
          <w:sz w:val="24"/>
          <w:szCs w:val="24"/>
          <w:rtl/>
          <w:lang w:val="ar-SA"/>
        </w:rPr>
        <w:t>.</w:t>
      </w:r>
    </w:p>
    <w:p w14:paraId="1726335C"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عام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عام </w:t>
      </w:r>
      <w:r>
        <w:rPr>
          <w:rStyle w:val="None"/>
          <w:rFonts w:ascii="Times New Roman" w:hAnsi="Times New Roman"/>
          <w:sz w:val="24"/>
          <w:szCs w:val="24"/>
          <w:rtl/>
          <w:lang w:val="ar-SA"/>
        </w:rPr>
        <w:t>1979.</w:t>
      </w:r>
    </w:p>
    <w:p w14:paraId="2F8D13C9"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وثيقة باريس المؤرخة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يوليو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تموز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في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سبتمبر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أيلول </w:t>
      </w:r>
      <w:r>
        <w:rPr>
          <w:rStyle w:val="None"/>
          <w:rFonts w:ascii="Times New Roman" w:hAnsi="Times New Roman"/>
          <w:sz w:val="24"/>
          <w:szCs w:val="24"/>
          <w:rtl/>
          <w:lang w:val="ar-SA"/>
        </w:rPr>
        <w:t>1979.</w:t>
      </w:r>
    </w:p>
    <w:p w14:paraId="523CC4CF"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تنظيم الهيئة السعودية للملكية الفكرية قرار مجلس الوزراء رقم </w:t>
      </w:r>
      <w:r>
        <w:rPr>
          <w:rStyle w:val="None"/>
          <w:rFonts w:ascii="Times New Roman" w:hAnsi="Times New Roman"/>
          <w:sz w:val="24"/>
          <w:szCs w:val="24"/>
          <w:rtl/>
          <w:lang w:val="ar-SA"/>
        </w:rPr>
        <w:t xml:space="preserve">(496)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1439/9/14 </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0571B49" w14:textId="77777777" w:rsidR="00454428" w:rsidRDefault="00C464EC" w:rsidP="00906FAF">
      <w:pPr>
        <w:pStyle w:val="Body"/>
        <w:numPr>
          <w:ilvl w:val="0"/>
          <w:numId w:val="328"/>
        </w:numPr>
        <w:spacing w:before="120" w:after="120" w:line="360" w:lineRule="auto"/>
        <w:ind w:left="843" w:hanging="483"/>
        <w:rPr>
          <w:rStyle w:val="None"/>
          <w:rFonts w:ascii="Times New Roman" w:eastAsia="Times New Roman" w:hAnsi="Times New Roman" w:cs="Times New Roman"/>
        </w:rPr>
      </w:pPr>
      <w:r>
        <w:rPr>
          <w:rStyle w:val="None"/>
          <w:rFonts w:ascii="Arial Unicode MS" w:hAnsi="Arial Unicode MS" w:cs="Times New Roman" w:hint="cs"/>
          <w:rtl/>
          <w:lang w:val="ar-SA"/>
        </w:rPr>
        <w:t xml:space="preserve">تنظيم الهيئة الوطنية للأمن السيبراني، الصادر بالأمر الملكي رقم </w:t>
      </w:r>
      <w:r>
        <w:rPr>
          <w:rStyle w:val="None"/>
          <w:rFonts w:ascii="Times New Roman" w:hAnsi="Times New Roman"/>
          <w:rtl/>
          <w:lang w:val="ar-SA"/>
        </w:rPr>
        <w:t xml:space="preserve">6801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11/2/1439</w:t>
      </w:r>
      <w:r>
        <w:rPr>
          <w:rStyle w:val="None"/>
          <w:rFonts w:ascii="Arial Unicode MS" w:hAnsi="Arial Unicode MS" w:cs="Times New Roman" w:hint="cs"/>
          <w:rtl/>
          <w:lang w:val="ar-SA"/>
        </w:rPr>
        <w:t xml:space="preserve">هـ المعدل بالأمر الملكي رقم </w:t>
      </w:r>
      <w:r>
        <w:rPr>
          <w:rStyle w:val="None"/>
          <w:rFonts w:ascii="Times New Roman" w:hAnsi="Times New Roman"/>
          <w:rtl/>
          <w:lang w:val="ar-SA"/>
        </w:rPr>
        <w:t xml:space="preserve">7053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2/2/1443</w:t>
      </w:r>
      <w:r>
        <w:rPr>
          <w:rStyle w:val="None"/>
          <w:rFonts w:ascii="Arial Unicode MS" w:hAnsi="Arial Unicode MS" w:cs="Times New Roman" w:hint="cs"/>
          <w:rtl/>
          <w:lang w:val="ar-SA"/>
        </w:rPr>
        <w:t>هـ</w:t>
      </w:r>
      <w:r>
        <w:rPr>
          <w:rStyle w:val="None"/>
          <w:rFonts w:ascii="Times New Roman" w:hAnsi="Times New Roman"/>
          <w:rtl/>
          <w:lang w:val="ar-SA"/>
        </w:rPr>
        <w:t>.</w:t>
      </w:r>
    </w:p>
    <w:p w14:paraId="28BE6A15"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آن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قانون حقوق الطبع والنشر ١٧٠٩</w:t>
      </w:r>
      <w:r>
        <w:rPr>
          <w:rStyle w:val="None"/>
          <w:rFonts w:ascii="Times New Roman" w:hAnsi="Times New Roman"/>
          <w:sz w:val="24"/>
          <w:szCs w:val="24"/>
          <w:rtl/>
          <w:lang w:val="ar-SA"/>
        </w:rPr>
        <w:t>.</w:t>
      </w:r>
    </w:p>
    <w:p w14:paraId="2BF861B4" w14:textId="77777777" w:rsidR="00454428" w:rsidRDefault="00C464EC" w:rsidP="00906FAF">
      <w:pPr>
        <w:pStyle w:val="Body"/>
        <w:numPr>
          <w:ilvl w:val="0"/>
          <w:numId w:val="328"/>
        </w:numPr>
        <w:spacing w:before="120" w:after="120"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القانون الفرنسي الصادر في 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مبدأ حماية حقوق المؤلف في فرنسا</w:t>
      </w:r>
      <w:r>
        <w:rPr>
          <w:rStyle w:val="None"/>
          <w:rFonts w:ascii="Times New Roman" w:hAnsi="Times New Roman"/>
          <w:sz w:val="24"/>
          <w:szCs w:val="24"/>
          <w:rtl/>
          <w:lang w:val="ar-SA"/>
        </w:rPr>
        <w:t>.</w:t>
      </w:r>
    </w:p>
    <w:p w14:paraId="72C8EF7C"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اللائحة التنفيذية لنظام حقوق المؤلف الصادرة بقرار رقم 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والمعدل برقم </w:t>
      </w:r>
      <w:r>
        <w:rPr>
          <w:rStyle w:val="None"/>
          <w:rFonts w:ascii="Times New Roman" w:hAnsi="Times New Roman"/>
          <w:sz w:val="24"/>
          <w:szCs w:val="24"/>
          <w:rtl/>
          <w:lang w:val="ar-SA"/>
        </w:rPr>
        <w:t>3/31/2022.</w:t>
      </w:r>
    </w:p>
    <w:p w14:paraId="2198519F"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10/4/1435</w:t>
      </w:r>
      <w:r>
        <w:rPr>
          <w:rStyle w:val="None"/>
          <w:rFonts w:ascii="Arial Unicode MS" w:hAnsi="Arial Unicode MS" w:cs="Times New Roman" w:hint="cs"/>
          <w:sz w:val="24"/>
          <w:szCs w:val="24"/>
          <w:rtl/>
          <w:lang w:val="ar-SA"/>
        </w:rPr>
        <w:t xml:space="preserve">هـ، والمعدل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15/5/1436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(3/31/2022)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6B80180D"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معاهدة الويبو بشأن حق المؤلف جنيف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w:t>
      </w:r>
      <w:r>
        <w:rPr>
          <w:rStyle w:val="None"/>
          <w:rFonts w:ascii="Times New Roman" w:hAnsi="Times New Roman"/>
          <w:sz w:val="24"/>
          <w:szCs w:val="24"/>
          <w:rtl/>
          <w:lang w:val="ar-SA"/>
        </w:rPr>
        <w:t>1996.</w:t>
      </w:r>
    </w:p>
    <w:p w14:paraId="2C279C04"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من نظام الأسماء التجارية الصادر بالمرسوم الملكي رقم م</w:t>
      </w:r>
      <w:r>
        <w:rPr>
          <w:rStyle w:val="None"/>
          <w:rFonts w:ascii="Times New Roman" w:hAnsi="Times New Roman"/>
          <w:sz w:val="24"/>
          <w:szCs w:val="24"/>
          <w:rtl/>
          <w:lang w:val="ar-SA"/>
        </w:rPr>
        <w:t>/83.</w:t>
      </w:r>
    </w:p>
    <w:p w14:paraId="06991182"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نظام الإثبات رقم م</w:t>
      </w:r>
      <w:r>
        <w:rPr>
          <w:rStyle w:val="None"/>
          <w:rFonts w:ascii="Times New Roman" w:hAnsi="Times New Roman"/>
          <w:sz w:val="24"/>
          <w:szCs w:val="24"/>
          <w:rtl/>
          <w:lang w:val="ar-SA"/>
        </w:rPr>
        <w:t>/43.</w:t>
      </w:r>
    </w:p>
    <w:p w14:paraId="394169B7"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نظام العلامات التجارية لدول مجلس التعاون لدول الخليج العربية، الموافق عليه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/51)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26/7/1435</w:t>
      </w:r>
      <w:r>
        <w:rPr>
          <w:rStyle w:val="None"/>
          <w:rFonts w:ascii="Arial Unicode MS" w:hAnsi="Arial Unicode MS" w:cs="Times New Roman" w:hint="cs"/>
          <w:sz w:val="24"/>
          <w:szCs w:val="24"/>
          <w:rtl/>
          <w:lang w:val="ar-SA"/>
        </w:rPr>
        <w:t xml:space="preserve">هـ، والمعدل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/49)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1/6/1442</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1D8161E2"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نظام العلامات التجارية مرسوم ملكي رقم م</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28/5/1423.</w:t>
      </w:r>
    </w:p>
    <w:p w14:paraId="0794CAC2"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نظام المعاملات المدنية، مرسوم 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/191)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29/11/1444</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2333C08"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3292EAA7"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نظام حماية حقوق المؤلف مرسوم ملكي رقم م</w:t>
      </w:r>
      <w:r>
        <w:rPr>
          <w:rStyle w:val="None"/>
          <w:rFonts w:ascii="Times New Roman" w:hAnsi="Times New Roman"/>
          <w:sz w:val="24"/>
          <w:szCs w:val="24"/>
          <w:rtl/>
          <w:lang w:val="ar-SA"/>
        </w:rPr>
        <w:t>/41.</w:t>
      </w:r>
    </w:p>
    <w:p w14:paraId="4940EA26" w14:textId="77777777" w:rsidR="00454428" w:rsidRDefault="00C464EC" w:rsidP="00906FAF">
      <w:pPr>
        <w:pStyle w:val="FootnoteText"/>
        <w:numPr>
          <w:ilvl w:val="0"/>
          <w:numId w:val="328"/>
        </w:numPr>
        <w:spacing w:before="120" w:after="120"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الهيئة السعودية للملكية الفكرية</w:t>
      </w:r>
      <w:r>
        <w:rPr>
          <w:rStyle w:val="None"/>
          <w:rFonts w:ascii="Times New Roman" w:hAnsi="Times New Roman"/>
          <w:sz w:val="24"/>
          <w:szCs w:val="24"/>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٢٠٢٣</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تقارير ومبادرات الحماية الفكرية</w:t>
      </w:r>
      <w:r>
        <w:rPr>
          <w:rStyle w:val="None"/>
          <w:rFonts w:ascii="Times New Roman" w:hAnsi="Times New Roman"/>
          <w:sz w:val="24"/>
          <w:szCs w:val="24"/>
          <w:rtl/>
          <w:lang w:val="ar-SA"/>
        </w:rPr>
        <w:t>.</w:t>
      </w:r>
    </w:p>
    <w:p w14:paraId="5A6399B5" w14:textId="77777777" w:rsidR="00454428" w:rsidRDefault="00C464EC" w:rsidP="00906FAF">
      <w:pPr>
        <w:pStyle w:val="FootnoteText"/>
        <w:numPr>
          <w:ilvl w:val="0"/>
          <w:numId w:val="328"/>
        </w:numPr>
        <w:spacing w:before="120" w:after="120" w:line="360" w:lineRule="auto"/>
        <w:ind w:left="843" w:hanging="483"/>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اللائحة التنفيذية لنظام الاستثمار الصادر بموجب المرسوم الملكي رقم م</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16/1/1446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3A0C8FCB" w14:textId="77777777" w:rsidR="00454428" w:rsidRDefault="00C464EC" w:rsidP="00906FAF">
      <w:pPr>
        <w:pStyle w:val="FootnoteText"/>
        <w:numPr>
          <w:ilvl w:val="0"/>
          <w:numId w:val="328"/>
        </w:numPr>
        <w:spacing w:before="120" w:after="120" w:line="360" w:lineRule="auto"/>
        <w:ind w:left="843" w:hanging="483"/>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نظام الاتصالات وتقنية المعلومات الصادر بالمرسوم الملكي رقم م</w:t>
      </w:r>
      <w:r>
        <w:rPr>
          <w:rStyle w:val="None"/>
          <w:rFonts w:ascii="Times New Roman" w:hAnsi="Times New Roman"/>
          <w:sz w:val="24"/>
          <w:szCs w:val="24"/>
          <w:rtl/>
          <w:lang w:val="ar-SA"/>
        </w:rPr>
        <w:t xml:space="preserve">/106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EF52CD3" w14:textId="77777777" w:rsidR="00454428" w:rsidRDefault="00C464EC" w:rsidP="00906FAF">
      <w:pPr>
        <w:pStyle w:val="a"/>
        <w:jc w:val="left"/>
        <w:rPr>
          <w:rStyle w:val="None"/>
          <w:rtl/>
          <w:lang w:val="ar-SA"/>
        </w:rPr>
      </w:pPr>
      <w:bookmarkStart w:id="286" w:name="_Toc227251146"/>
      <w:bookmarkStart w:id="287" w:name="_Toc232260721"/>
      <w:r>
        <w:rPr>
          <w:rStyle w:val="None"/>
          <w:rFonts w:ascii="Arial Unicode MS" w:eastAsia="Arial Unicode MS" w:hAnsi="Arial Unicode MS" w:hint="cs"/>
          <w:rtl/>
          <w:lang w:val="ar-SA"/>
        </w:rPr>
        <w:t>رابعًا</w:t>
      </w:r>
      <w:r>
        <w:rPr>
          <w:rStyle w:val="None"/>
          <w:rtl/>
          <w:lang w:val="ar-SA"/>
        </w:rPr>
        <w:t xml:space="preserve">: </w:t>
      </w:r>
      <w:r>
        <w:rPr>
          <w:rStyle w:val="None"/>
          <w:rFonts w:ascii="Arial Unicode MS" w:eastAsia="Arial Unicode MS" w:hAnsi="Arial Unicode MS" w:hint="cs"/>
          <w:rtl/>
          <w:lang w:val="ar-SA"/>
        </w:rPr>
        <w:t>المواقع الإلكترونية</w:t>
      </w:r>
      <w:r>
        <w:rPr>
          <w:rStyle w:val="None"/>
          <w:rtl/>
          <w:lang w:val="ar-SA"/>
        </w:rPr>
        <w:t>.</w:t>
      </w:r>
      <w:bookmarkEnd w:id="286"/>
      <w:bookmarkEnd w:id="287"/>
    </w:p>
    <w:p w14:paraId="6EC55877" w14:textId="77777777" w:rsidR="00454428" w:rsidRDefault="00C464EC" w:rsidP="00906FAF">
      <w:pPr>
        <w:pStyle w:val="FootnoteText"/>
        <w:numPr>
          <w:ilvl w:val="0"/>
          <w:numId w:val="328"/>
        </w:numPr>
        <w:spacing w:before="288" w:after="288" w:line="360" w:lineRule="auto"/>
        <w:ind w:left="843" w:hanging="483"/>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التقرير العالمي للملكية الفكرية الويبو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w:t>
      </w:r>
      <w:hyperlink r:id="rId73" w:history="1">
        <w:r w:rsidR="00454428">
          <w:rPr>
            <w:rStyle w:val="Hyperlink10"/>
            <w:rFonts w:eastAsia="Arial Unicode MS"/>
          </w:rPr>
          <w:t>https://www.wipo.int/pressroom/ar/articles/2024/article_0004.html?utm_source=chatgpt.com</w:t>
        </w:r>
      </w:hyperlink>
      <w:r>
        <w:rPr>
          <w:rStyle w:val="None"/>
          <w:rFonts w:ascii="Times New Roman" w:hAnsi="Times New Roman"/>
          <w:sz w:val="24"/>
          <w:szCs w:val="24"/>
          <w:rtl/>
          <w:lang w:val="ar-SA"/>
        </w:rPr>
        <w:t xml:space="preserve"> .</w:t>
      </w:r>
    </w:p>
    <w:p w14:paraId="23DFC7D1"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tl/>
          <w:lang w:val="ar-SA"/>
        </w:rPr>
      </w:pPr>
      <w:r>
        <w:rPr>
          <w:rStyle w:val="None"/>
          <w:rFonts w:ascii="Arial Unicode MS" w:hAnsi="Arial Unicode MS" w:cs="Times New Roman" w:hint="cs"/>
          <w:sz w:val="24"/>
          <w:szCs w:val="24"/>
          <w:rtl/>
          <w:lang w:val="ar-SA"/>
        </w:rPr>
        <w:t xml:space="preserve">المنظمة العالمية للملكية الفكرية، اليوم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الملكية الفكرية وأهداف الأمم المتحدة للتنمية المستدامة، متاح من خلال</w:t>
      </w:r>
      <w:r>
        <w:rPr>
          <w:rStyle w:val="None"/>
          <w:rFonts w:ascii="Times New Roman" w:hAnsi="Times New Roman"/>
          <w:sz w:val="24"/>
          <w:szCs w:val="24"/>
          <w:rtl/>
          <w:lang w:val="ar-SA"/>
        </w:rPr>
        <w:t>:</w:t>
      </w:r>
    </w:p>
    <w:p w14:paraId="5B0156B2"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 xml:space="preserve"> </w:t>
      </w:r>
      <w:hyperlink r:id="rId74" w:history="1">
        <w:r w:rsidR="00454428">
          <w:rPr>
            <w:rStyle w:val="Hyperlink13"/>
            <w:rFonts w:eastAsia="Arial Unicode MS"/>
          </w:rPr>
          <w:t>https://www.wipo.int/pressroom/ar/articles/2024/article_0003.html</w:t>
        </w:r>
      </w:hyperlink>
      <w:r>
        <w:rPr>
          <w:rStyle w:val="None"/>
          <w:rFonts w:ascii="Arial Unicode MS" w:hAnsi="Arial Unicode MS" w:cs="Times New Roman" w:hint="cs"/>
          <w:sz w:val="24"/>
          <w:szCs w:val="24"/>
          <w:rtl/>
          <w:lang w:val="ar-SA"/>
        </w:rPr>
        <w:t>،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p>
    <w:p w14:paraId="5D67C63A"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5" w:history="1">
        <w:r w:rsidR="00454428">
          <w:rPr>
            <w:rStyle w:val="Hyperlink10"/>
            <w:rFonts w:eastAsia="Arial Unicode MS"/>
          </w:rPr>
          <w:t>https://www.saip.gov.sa/committees-secretariat/1457</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712C778F"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6" w:history="1">
        <w:r w:rsidR="00454428">
          <w:rPr>
            <w:rStyle w:val="Hyperlink10"/>
            <w:rFonts w:eastAsia="Arial Unicode MS"/>
          </w:rPr>
          <w:t>https://www.saip.gov.sa/committees-secretariat/1412</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51F396A5"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7" w:history="1">
        <w:r w:rsidR="00454428">
          <w:rPr>
            <w:rStyle w:val="Hyperlink10"/>
            <w:rFonts w:eastAsia="Arial Unicode MS"/>
          </w:rPr>
          <w:t>https://www.saip.gov.sa/committees-secretariat</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08E70EC9"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8" w:history="1">
        <w:r w:rsidR="00454428">
          <w:rPr>
            <w:rStyle w:val="Hyperlink10"/>
            <w:rFonts w:eastAsia="Arial Unicode MS"/>
          </w:rPr>
          <w:t>https://www.saip.gov.sa/committees-secretariat/1456</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232EFC81"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للمنصة الوطنية التابعة </w:t>
      </w:r>
      <w:r w:rsidRPr="002329E9">
        <w:rPr>
          <w:rStyle w:val="None"/>
          <w:rFonts w:ascii="Arial Unicode MS" w:hAnsi="Arial Unicode MS" w:cs="Times New Roman" w:hint="cs"/>
          <w:sz w:val="24"/>
          <w:szCs w:val="24"/>
          <w:highlight w:val="yellow"/>
          <w:rtl/>
          <w:lang w:val="ar-SA"/>
        </w:rPr>
        <w:t>لحومة</w:t>
      </w:r>
      <w:r>
        <w:rPr>
          <w:rStyle w:val="None"/>
          <w:rFonts w:ascii="Arial Unicode MS" w:hAnsi="Arial Unicode MS" w:cs="Times New Roman" w:hint="cs"/>
          <w:sz w:val="24"/>
          <w:szCs w:val="24"/>
          <w:rtl/>
          <w:lang w:val="ar-SA"/>
        </w:rPr>
        <w:t xml:space="preserve"> المملكة العربية السعودية، تم دخول الموقع يوم </w:t>
      </w:r>
      <w:r>
        <w:rPr>
          <w:rStyle w:val="None"/>
          <w:rFonts w:ascii="Times New Roman" w:hAnsi="Times New Roman"/>
          <w:sz w:val="24"/>
          <w:szCs w:val="24"/>
          <w:rtl/>
          <w:lang w:val="ar-SA"/>
        </w:rPr>
        <w:t>29/7/2025</w:t>
      </w:r>
      <w:r>
        <w:rPr>
          <w:rStyle w:val="None"/>
          <w:rFonts w:ascii="Arial Unicode MS" w:hAnsi="Arial Unicode MS" w:cs="Times New Roman" w:hint="cs"/>
          <w:sz w:val="24"/>
          <w:szCs w:val="24"/>
          <w:rtl/>
          <w:lang w:val="ar-SA"/>
        </w:rPr>
        <w:t xml:space="preserve">، </w:t>
      </w:r>
      <w:hyperlink r:id="rId79" w:history="1">
        <w:r w:rsidR="00454428">
          <w:rPr>
            <w:rStyle w:val="Hyperlink10"/>
            <w:rFonts w:eastAsia="Arial Unicode MS"/>
          </w:rPr>
          <w:t>https://eparticipation.my.gov.sa/e-consultations/consultations/legal/legal-consultation-25811</w:t>
        </w:r>
      </w:hyperlink>
      <w:r>
        <w:rPr>
          <w:rStyle w:val="None"/>
          <w:rFonts w:ascii="Times New Roman" w:hAnsi="Times New Roman"/>
          <w:sz w:val="24"/>
          <w:szCs w:val="24"/>
          <w:rtl/>
          <w:lang w:val="ar-SA"/>
        </w:rPr>
        <w:t xml:space="preserve"> </w:t>
      </w:r>
    </w:p>
    <w:p w14:paraId="5C999F47"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للهيئة السعودية للملكية الفكرية، تم الدخول على الموقع بتاريخ </w:t>
      </w:r>
      <w:r>
        <w:rPr>
          <w:rStyle w:val="None"/>
          <w:rFonts w:ascii="Times New Roman" w:hAnsi="Times New Roman"/>
          <w:sz w:val="24"/>
          <w:szCs w:val="24"/>
          <w:rtl/>
          <w:lang w:val="ar-SA"/>
        </w:rPr>
        <w:t xml:space="preserve">18/8/2025 </w:t>
      </w:r>
      <w:r>
        <w:rPr>
          <w:rStyle w:val="None"/>
          <w:rFonts w:ascii="Arial Unicode MS" w:hAnsi="Arial Unicode MS" w:cs="Times New Roman" w:hint="cs"/>
          <w:sz w:val="24"/>
          <w:szCs w:val="24"/>
          <w:rtl/>
          <w:lang w:val="ar-SA"/>
        </w:rPr>
        <w:t>من خلال الرابط التالي</w:t>
      </w:r>
      <w:r>
        <w:rPr>
          <w:rStyle w:val="None"/>
          <w:rFonts w:ascii="Times New Roman" w:hAnsi="Times New Roman"/>
          <w:sz w:val="24"/>
          <w:szCs w:val="24"/>
          <w:rtl/>
          <w:lang w:val="ar-SA"/>
        </w:rPr>
        <w:t xml:space="preserve">: </w:t>
      </w:r>
      <w:hyperlink r:id="rId80" w:history="1">
        <w:r w:rsidR="00454428">
          <w:rPr>
            <w:rStyle w:val="Hyperlink10"/>
            <w:rFonts w:eastAsia="Arial Unicode MS"/>
          </w:rPr>
          <w:t>https://www.saip.gov.sa/about/brief</w:t>
        </w:r>
        <w:r w:rsidR="00454428">
          <w:rPr>
            <w:rStyle w:val="Link"/>
            <w:rFonts w:ascii="Times New Roman" w:hAnsi="Times New Roman"/>
            <w:sz w:val="24"/>
            <w:szCs w:val="24"/>
            <w:rtl/>
            <w:lang w:val="ar-SA"/>
          </w:rPr>
          <w:t>/</w:t>
        </w:r>
      </w:hyperlink>
      <w:r>
        <w:rPr>
          <w:rStyle w:val="None"/>
          <w:rFonts w:ascii="Times New Roman" w:hAnsi="Times New Roman"/>
          <w:sz w:val="24"/>
          <w:szCs w:val="24"/>
          <w:rtl/>
          <w:lang w:val="ar-SA"/>
        </w:rPr>
        <w:t xml:space="preserve"> </w:t>
      </w:r>
    </w:p>
    <w:p w14:paraId="0C804C66"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للهيئة السعودية للملكية الفكرية، تم دخول الموقع يوم </w:t>
      </w:r>
      <w:r>
        <w:rPr>
          <w:rStyle w:val="None"/>
          <w:rFonts w:ascii="Times New Roman" w:hAnsi="Times New Roman"/>
          <w:sz w:val="24"/>
          <w:szCs w:val="24"/>
          <w:rtl/>
          <w:lang w:val="ar-SA"/>
        </w:rPr>
        <w:t>19/7/2025</w:t>
      </w:r>
      <w:r>
        <w:rPr>
          <w:rStyle w:val="None"/>
          <w:rFonts w:ascii="Arial Unicode MS" w:hAnsi="Arial Unicode MS" w:cs="Times New Roman" w:hint="cs"/>
          <w:sz w:val="24"/>
          <w:szCs w:val="24"/>
          <w:rtl/>
          <w:lang w:val="ar-SA"/>
        </w:rPr>
        <w:t xml:space="preserve">، </w:t>
      </w:r>
      <w:hyperlink r:id="rId81" w:history="1">
        <w:r w:rsidR="00454428">
          <w:rPr>
            <w:rStyle w:val="Hyperlink10"/>
            <w:rFonts w:eastAsia="Arial Unicode MS"/>
          </w:rPr>
          <w:t>https://www.saip.gov.sa/pct</w:t>
        </w:r>
      </w:hyperlink>
      <w:r>
        <w:rPr>
          <w:rStyle w:val="None"/>
          <w:rFonts w:ascii="Times New Roman" w:hAnsi="Times New Roman"/>
          <w:sz w:val="24"/>
          <w:szCs w:val="24"/>
          <w:rtl/>
          <w:lang w:val="ar-SA"/>
        </w:rPr>
        <w:t xml:space="preserve"> </w:t>
      </w:r>
    </w:p>
    <w:p w14:paraId="30FFA438"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موقع منظمة الويبو، مقال حق المؤلف، متاح من </w:t>
      </w:r>
      <w:hyperlink r:id="rId82" w:history="1">
        <w:r w:rsidR="00454428">
          <w:rPr>
            <w:rStyle w:val="Hyperlink13"/>
            <w:rFonts w:eastAsia="Arial Unicode MS"/>
          </w:rPr>
          <w:t>https://www.wipo.int/copyright/ar</w:t>
        </w:r>
      </w:hyperlink>
      <w:r>
        <w:rPr>
          <w:rStyle w:val="None"/>
          <w:rFonts w:ascii="Arial Unicode MS" w:hAnsi="Arial Unicode MS" w:cs="Times New Roman" w:hint="cs"/>
          <w:sz w:val="24"/>
          <w:szCs w:val="24"/>
          <w:rtl/>
          <w:lang w:val="ar-SA"/>
        </w:rPr>
        <w:t xml:space="preserve"> ،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r>
        <w:rPr>
          <w:rStyle w:val="None"/>
          <w:rFonts w:ascii="Times New Roman" w:hAnsi="Times New Roman"/>
          <w:sz w:val="24"/>
          <w:szCs w:val="24"/>
          <w:rtl/>
          <w:lang w:val="ar-SA"/>
        </w:rPr>
        <w:t>.</w:t>
      </w:r>
    </w:p>
    <w:p w14:paraId="5A4BD6E7" w14:textId="77777777" w:rsidR="00454428" w:rsidRDefault="00C464EC" w:rsidP="00906FAF">
      <w:pPr>
        <w:pStyle w:val="FootnoteText"/>
        <w:numPr>
          <w:ilvl w:val="0"/>
          <w:numId w:val="328"/>
        </w:numPr>
        <w:spacing w:before="288" w:after="288" w:line="360" w:lineRule="auto"/>
        <w:ind w:left="843" w:hanging="483"/>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البنك المركزي السعودي، تم 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3" w:history="1">
        <w:r w:rsidR="00454428">
          <w:rPr>
            <w:rStyle w:val="Hyperlink10"/>
            <w:rFonts w:eastAsia="Arial Unicode MS"/>
          </w:rPr>
          <w:t>https://www.sama.gov.sa/ar-sa/News/Pages/news-1083.aspx</w:t>
        </w:r>
      </w:hyperlink>
      <w:r>
        <w:rPr>
          <w:rStyle w:val="None"/>
          <w:rFonts w:ascii="Times New Roman" w:hAnsi="Times New Roman"/>
          <w:sz w:val="24"/>
          <w:szCs w:val="24"/>
          <w:rtl/>
          <w:lang w:val="ar-SA"/>
        </w:rPr>
        <w:t xml:space="preserve"> </w:t>
      </w:r>
    </w:p>
    <w:p w14:paraId="2A803E9A"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 </w:t>
      </w:r>
      <w:r>
        <w:rPr>
          <w:rStyle w:val="None"/>
          <w:rFonts w:ascii="Times New Roman" w:hAnsi="Times New Roman"/>
          <w:sz w:val="24"/>
          <w:szCs w:val="24"/>
        </w:rPr>
        <w:t>mordor intelligence</w:t>
      </w:r>
      <w:r>
        <w:rPr>
          <w:rStyle w:val="None"/>
          <w:rFonts w:ascii="Arial Unicode MS" w:hAnsi="Arial Unicode MS" w:cs="Times New Roman" w:hint="cs"/>
          <w:sz w:val="24"/>
          <w:szCs w:val="24"/>
          <w:rtl/>
          <w:lang w:val="ar-SA"/>
        </w:rPr>
        <w:t xml:space="preserve">، بعنوان حجم سوق التجارة الإلكترونية في المملكة العربية السعودية، تم </w:t>
      </w:r>
    </w:p>
    <w:p w14:paraId="14EE55E4" w14:textId="77777777" w:rsidR="00454428" w:rsidRDefault="00C464EC" w:rsidP="00906FAF">
      <w:pPr>
        <w:pStyle w:val="FootnoteText"/>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4" w:history="1">
        <w:r w:rsidR="00454428">
          <w:rPr>
            <w:rStyle w:val="Hyperlink10"/>
            <w:rFonts w:eastAsia="Arial Unicode MS"/>
          </w:rPr>
          <w:t>https://www.mordorintelligence.com/ar/industry-reports/saudi-arabia-ecommerce-market</w:t>
        </w:r>
      </w:hyperlink>
    </w:p>
    <w:p w14:paraId="1661CB4C" w14:textId="77777777" w:rsidR="00454428" w:rsidRDefault="00454428" w:rsidP="00C72BA8">
      <w:pPr>
        <w:pStyle w:val="FootnoteText"/>
        <w:spacing w:before="288" w:after="288" w:line="360" w:lineRule="auto"/>
        <w:ind w:left="720" w:hanging="720"/>
        <w:jc w:val="both"/>
      </w:pPr>
    </w:p>
    <w:sectPr w:rsidR="00454428" w:rsidSect="00464D24">
      <w:footerReference w:type="default" r:id="rId85"/>
      <w:footnotePr>
        <w:numRestart w:val="eachPage"/>
      </w:footnotePr>
      <w:pgSz w:w="11900" w:h="16840"/>
      <w:pgMar w:top="1418" w:right="1701" w:bottom="1418" w:left="1418" w:header="709" w:footer="709" w:gutter="0"/>
      <w:cols w:space="720"/>
      <w:bidi/>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DRAhmed" w:date="2026-07-04T20:41:00Z" w:initials="D">
    <w:p w14:paraId="04F3F1F3" w14:textId="13B8A949" w:rsidR="000B6E77" w:rsidRDefault="000B6E77">
      <w:pPr>
        <w:pStyle w:val="CommentText"/>
      </w:pPr>
      <w:r>
        <w:rPr>
          <w:rStyle w:val="CommentReference"/>
        </w:rPr>
        <w:annotationRef/>
      </w:r>
      <w:r>
        <w:t>Comparative</w:t>
      </w:r>
    </w:p>
  </w:comment>
  <w:comment w:id="9" w:author="DRAhmed" w:date="2026-07-04T21:32:00Z" w:initials="D">
    <w:p w14:paraId="1F316BCB" w14:textId="1A8068EE" w:rsidR="000B6E77" w:rsidRPr="00695E06" w:rsidRDefault="000B6E77" w:rsidP="006066DA">
      <w:pPr>
        <w:pStyle w:val="CommentText"/>
        <w:bidi/>
        <w:rPr>
          <w:rStyle w:val="CommentReference"/>
          <w:szCs w:val="28"/>
          <w:rtl/>
        </w:rPr>
      </w:pPr>
      <w:r w:rsidRPr="00695E06">
        <w:rPr>
          <w:rStyle w:val="CommentReference"/>
          <w:szCs w:val="28"/>
        </w:rPr>
        <w:annotationRef/>
      </w:r>
      <w:r w:rsidRPr="00695E06">
        <w:rPr>
          <w:rStyle w:val="CommentReference"/>
          <w:rFonts w:hint="cs"/>
          <w:szCs w:val="28"/>
          <w:rtl/>
        </w:rPr>
        <w:t>غياب البلوكشين عن تساؤلات واهداف الدراسة في حين انها ظهرت في النتائج والخطة</w:t>
      </w:r>
    </w:p>
    <w:p w14:paraId="4B463320" w14:textId="77777777" w:rsidR="000B6E77" w:rsidRPr="00695E06" w:rsidRDefault="000B6E77" w:rsidP="006066DA">
      <w:pPr>
        <w:pStyle w:val="CommentText"/>
        <w:bidi/>
        <w:rPr>
          <w:rStyle w:val="CommentReference"/>
          <w:szCs w:val="28"/>
          <w:rtl/>
        </w:rPr>
      </w:pPr>
    </w:p>
    <w:p w14:paraId="5F242319" w14:textId="0E0CEE47" w:rsidR="000B6E77" w:rsidRPr="00695E06" w:rsidRDefault="000B6E77" w:rsidP="006066DA">
      <w:pPr>
        <w:pStyle w:val="CommentText"/>
        <w:bidi/>
        <w:rPr>
          <w:szCs w:val="28"/>
        </w:rPr>
      </w:pPr>
      <w:r w:rsidRPr="00695E06">
        <w:rPr>
          <w:rStyle w:val="citation-153"/>
          <w:b/>
          <w:szCs w:val="28"/>
          <w:rtl/>
        </w:rPr>
        <w:t>التوجي</w:t>
      </w:r>
      <w:r w:rsidRPr="00695E06">
        <w:rPr>
          <w:rStyle w:val="citation-153"/>
          <w:rFonts w:hint="cs"/>
          <w:b/>
          <w:szCs w:val="28"/>
          <w:rtl/>
        </w:rPr>
        <w:t>ه:</w:t>
      </w:r>
      <w:r w:rsidRPr="00695E06">
        <w:rPr>
          <w:rStyle w:val="citation-153"/>
          <w:szCs w:val="28"/>
        </w:rPr>
        <w:t xml:space="preserve"> </w:t>
      </w:r>
      <w:r w:rsidRPr="00695E06">
        <w:rPr>
          <w:rStyle w:val="citation-153"/>
          <w:szCs w:val="28"/>
          <w:rtl/>
        </w:rPr>
        <w:t>إعادة مواءمة التساؤلات وصياغتها لتغطي بدقة محاور وفصول الأطروحة الأربعة بشكل متسلسل ومترابط يتدرج من التأصيل إلى الحماية الإجرائية</w:t>
      </w:r>
    </w:p>
  </w:comment>
  <w:comment w:id="18" w:author="DRAhmed" w:date="2026-07-07T18:20:00Z" w:initials="D">
    <w:p w14:paraId="1EABC539" w14:textId="77777777" w:rsidR="000B6E77" w:rsidRPr="00CD769F" w:rsidRDefault="000B6E77" w:rsidP="00F24E0A">
      <w:pPr>
        <w:bidi/>
        <w:spacing w:before="100" w:beforeAutospacing="1" w:after="100" w:afterAutospacing="1"/>
        <w:rPr>
          <w:rFonts w:ascii="Simplified Arabic" w:eastAsia="Times New Roman" w:hAnsi="Simplified Arabic" w:cs="Simplified Arabic"/>
        </w:rPr>
      </w:pPr>
      <w:r>
        <w:rPr>
          <w:rStyle w:val="CommentReference"/>
        </w:rPr>
        <w:annotationRef/>
      </w:r>
      <w:r w:rsidRPr="00CD769F">
        <w:rPr>
          <w:rFonts w:ascii="Simplified Arabic" w:eastAsia="Times New Roman" w:hAnsi="Simplified Arabic" w:cs="Simplified Arabic"/>
          <w:b/>
          <w:bCs/>
          <w:rtl/>
        </w:rPr>
        <w:t>السؤال</w:t>
      </w:r>
      <w:r>
        <w:rPr>
          <w:rFonts w:ascii="Simplified Arabic" w:eastAsia="Times New Roman" w:hAnsi="Simplified Arabic" w:cs="Simplified Arabic" w:hint="cs"/>
          <w:b/>
          <w:bCs/>
          <w:rtl/>
        </w:rPr>
        <w:t xml:space="preserve">: </w:t>
      </w:r>
      <w:r w:rsidRPr="00CD769F">
        <w:rPr>
          <w:rFonts w:ascii="Simplified Arabic" w:eastAsia="Times New Roman" w:hAnsi="Simplified Arabic" w:cs="Simplified Arabic"/>
          <w:rtl/>
        </w:rPr>
        <w:t>لقد ركزت في أهمية دراستك على إبراز قصور التشريعات التقليدية عن مواكبة البيئة الرقمية</w:t>
      </w:r>
      <w:r>
        <w:rPr>
          <w:rFonts w:ascii="Simplified Arabic" w:eastAsia="Times New Roman" w:hAnsi="Simplified Arabic" w:cs="Simplified Arabic" w:hint="cs"/>
          <w:rtl/>
        </w:rPr>
        <w:t>.</w:t>
      </w:r>
      <w:r w:rsidRPr="00CD769F">
        <w:rPr>
          <w:rFonts w:ascii="Simplified Arabic" w:eastAsia="Times New Roman" w:hAnsi="Simplified Arabic" w:cs="Simplified Arabic"/>
          <w:rtl/>
        </w:rPr>
        <w:t xml:space="preserve">ما هي بالتحديد الثغرة التشريعية الأبرز في "النظام السعودي لحماية حقوق المؤلف" التي ترى أن هذه الدراسة جاءت لتسدها في الفضاء الإلكتروني؟ </w:t>
      </w:r>
    </w:p>
    <w:p w14:paraId="3F3B12F8" w14:textId="7C226F27" w:rsidR="000B6E77" w:rsidRPr="00F24E0A" w:rsidRDefault="000B6E77" w:rsidP="00F24E0A">
      <w:pPr>
        <w:bidi/>
        <w:spacing w:before="100" w:beforeAutospacing="1" w:after="100" w:afterAutospacing="1"/>
        <w:rPr>
          <w:rFonts w:ascii="Simplified Arabic" w:eastAsia="Times New Roman" w:hAnsi="Simplified Arabic" w:cs="Simplified Arabic"/>
        </w:rPr>
      </w:pPr>
      <w:r>
        <w:rPr>
          <w:rFonts w:ascii="Simplified Arabic" w:eastAsia="Times New Roman" w:hAnsi="Simplified Arabic" w:cs="Simplified Arabic" w:hint="cs"/>
          <w:rtl/>
        </w:rPr>
        <w:t xml:space="preserve">الاجابة: </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الثغرة الأبرز هي عدم وجود تنظيم تفصيلي ومستقل لمسؤولية "مزودي خدمات الإنترنت</w:t>
      </w:r>
      <w:r w:rsidRPr="00CD769F">
        <w:rPr>
          <w:rFonts w:ascii="Simplified Arabic" w:eastAsia="Times New Roman" w:hAnsi="Simplified Arabic" w:cs="Simplified Arabic"/>
        </w:rPr>
        <w:t xml:space="preserve">" (ISPs) </w:t>
      </w:r>
      <w:r w:rsidRPr="00CD769F">
        <w:rPr>
          <w:rFonts w:ascii="Simplified Arabic" w:eastAsia="Times New Roman" w:hAnsi="Simplified Arabic" w:cs="Simplified Arabic"/>
          <w:rtl/>
        </w:rPr>
        <w:t>عن الانتهاكات التي تتم عبر شبكاتهم، بالإضافة إلى الحاجة لتحديث آليات حماية التدابير التكنولوجية المشفرة</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لتجريم أدوات التحايل الرقمي بشكل حاسم، وهو ما عالجته تشريعات مقارنة مثل قانون</w:t>
      </w:r>
      <w:r w:rsidRPr="00CD769F">
        <w:rPr>
          <w:rFonts w:ascii="Simplified Arabic" w:eastAsia="Times New Roman" w:hAnsi="Simplified Arabic" w:cs="Simplified Arabic"/>
        </w:rPr>
        <w:t xml:space="preserve"> (DMCA) </w:t>
      </w:r>
      <w:r w:rsidRPr="00CD769F">
        <w:rPr>
          <w:rFonts w:ascii="Simplified Arabic" w:eastAsia="Times New Roman" w:hAnsi="Simplified Arabic" w:cs="Simplified Arabic"/>
          <w:rtl/>
        </w:rPr>
        <w:t>الأمريكي</w:t>
      </w:r>
      <w:r w:rsidRPr="00CD769F">
        <w:rPr>
          <w:rFonts w:ascii="Simplified Arabic" w:eastAsia="Times New Roman" w:hAnsi="Simplified Arabic" w:cs="Simplified Arabic"/>
        </w:rPr>
        <w:t>.</w:t>
      </w:r>
    </w:p>
  </w:comment>
  <w:comment w:id="19" w:author="DRAhmed" w:date="2026-07-06T19:35:00Z" w:initials="D">
    <w:p w14:paraId="1D1C0731" w14:textId="658BB6B9" w:rsidR="000B6E77" w:rsidRDefault="000B6E77">
      <w:pPr>
        <w:pStyle w:val="CommentText"/>
        <w:rPr>
          <w:szCs w:val="28"/>
          <w:rtl/>
        </w:rPr>
      </w:pPr>
      <w:r w:rsidRPr="00D11FCC">
        <w:rPr>
          <w:rStyle w:val="CommentReference"/>
          <w:szCs w:val="28"/>
        </w:rPr>
        <w:annotationRef/>
      </w:r>
      <w:r w:rsidRPr="00D11FCC">
        <w:rPr>
          <w:rFonts w:hint="cs"/>
          <w:szCs w:val="28"/>
          <w:rtl/>
        </w:rPr>
        <w:t>المرجع رقم 2 غير موجود في متن البحث</w:t>
      </w:r>
    </w:p>
    <w:p w14:paraId="3BEDB4DE" w14:textId="2B2583B9" w:rsidR="000B6E77" w:rsidRPr="00D11FCC" w:rsidRDefault="000B6E77">
      <w:pPr>
        <w:pStyle w:val="CommentText"/>
        <w:rPr>
          <w:szCs w:val="28"/>
          <w:rtl/>
        </w:rPr>
      </w:pPr>
      <w:r>
        <w:rPr>
          <w:rFonts w:hint="cs"/>
          <w:szCs w:val="28"/>
          <w:rtl/>
        </w:rPr>
        <w:t>اسفل الصفحة</w:t>
      </w:r>
    </w:p>
  </w:comment>
  <w:comment w:id="22" w:author="DRAhmed" w:date="2026-07-04T20:34:00Z" w:initials="D">
    <w:p w14:paraId="55DBD668" w14:textId="77777777" w:rsidR="000B6E77" w:rsidRDefault="000B6E77" w:rsidP="00912ABC">
      <w:pPr>
        <w:pStyle w:val="CommentText"/>
        <w:bidi/>
        <w:jc w:val="right"/>
        <w:rPr>
          <w:szCs w:val="28"/>
          <w:rtl/>
        </w:rPr>
      </w:pPr>
      <w:r w:rsidRPr="006943F2">
        <w:rPr>
          <w:rStyle w:val="CommentReference"/>
          <w:szCs w:val="28"/>
        </w:rPr>
        <w:annotationRef/>
      </w:r>
      <w:r w:rsidRPr="006943F2">
        <w:rPr>
          <w:rStyle w:val="citation-38"/>
          <w:szCs w:val="28"/>
          <w:rtl/>
        </w:rPr>
        <w:t>الهدف الأول بعبارة</w:t>
      </w:r>
      <w:r w:rsidRPr="006943F2">
        <w:rPr>
          <w:rStyle w:val="citation-38"/>
          <w:rFonts w:hint="cs"/>
          <w:szCs w:val="28"/>
          <w:rtl/>
        </w:rPr>
        <w:t xml:space="preserve"> </w:t>
      </w:r>
      <w:r w:rsidRPr="006943F2">
        <w:rPr>
          <w:rStyle w:val="citation-38"/>
          <w:szCs w:val="28"/>
          <w:rtl/>
        </w:rPr>
        <w:t>تهدف الدراسة إلى تحديد أنواع حقوق الملكية الفكرية</w:t>
      </w:r>
      <w:r w:rsidRPr="006943F2">
        <w:rPr>
          <w:rStyle w:val="citation-38"/>
          <w:szCs w:val="28"/>
        </w:rPr>
        <w:t>"</w:t>
      </w:r>
      <w:r w:rsidRPr="006943F2">
        <w:rPr>
          <w:szCs w:val="28"/>
        </w:rPr>
        <w:t>.</w:t>
      </w:r>
    </w:p>
    <w:p w14:paraId="0C24AE9A" w14:textId="77777777" w:rsidR="000B6E77" w:rsidRDefault="000B6E77" w:rsidP="006943F2">
      <w:pPr>
        <w:pStyle w:val="CommentText"/>
        <w:bidi/>
        <w:jc w:val="right"/>
        <w:rPr>
          <w:szCs w:val="28"/>
          <w:rtl/>
        </w:rPr>
      </w:pPr>
    </w:p>
    <w:p w14:paraId="6F589D7F" w14:textId="6DBD2440" w:rsidR="000B6E77" w:rsidRPr="006943F2" w:rsidRDefault="000B6E77" w:rsidP="006943F2">
      <w:pPr>
        <w:pStyle w:val="CommentText"/>
        <w:bidi/>
        <w:jc w:val="right"/>
        <w:rPr>
          <w:rStyle w:val="citation-37"/>
          <w:szCs w:val="28"/>
          <w:rtl/>
        </w:rPr>
      </w:pPr>
      <w:r w:rsidRPr="006943F2">
        <w:rPr>
          <w:szCs w:val="28"/>
        </w:rPr>
        <w:t xml:space="preserve"> </w:t>
      </w:r>
      <w:r w:rsidRPr="006943F2">
        <w:rPr>
          <w:rStyle w:val="citation-37"/>
          <w:szCs w:val="28"/>
          <w:rtl/>
        </w:rPr>
        <w:t>هذا الهدف يُعد هدفاً تقليدياً يغلب عليه الطابع النظري البسيط ولا يتناسب مع عمق رسالة دكتوراه قانونية تبحث في البيئة الرقمية</w:t>
      </w:r>
    </w:p>
    <w:p w14:paraId="359EF312" w14:textId="77777777" w:rsidR="000B6E77" w:rsidRPr="006943F2" w:rsidRDefault="000B6E77" w:rsidP="005C3094">
      <w:pPr>
        <w:pStyle w:val="CommentText"/>
        <w:bidi/>
        <w:jc w:val="right"/>
        <w:rPr>
          <w:rStyle w:val="citation-37"/>
          <w:szCs w:val="28"/>
          <w:rtl/>
        </w:rPr>
      </w:pPr>
    </w:p>
    <w:p w14:paraId="39A0F15C" w14:textId="7A7A9E0A" w:rsidR="000B6E77" w:rsidRPr="006943F2" w:rsidRDefault="000B6E77" w:rsidP="005C3094">
      <w:pPr>
        <w:pStyle w:val="CommentText"/>
        <w:bidi/>
        <w:jc w:val="right"/>
        <w:rPr>
          <w:szCs w:val="28"/>
        </w:rPr>
      </w:pPr>
      <w:r w:rsidRPr="006943F2">
        <w:rPr>
          <w:szCs w:val="28"/>
          <w:rtl/>
        </w:rPr>
        <w:t>إعادة صياغة الأهداف لترتبط بالبيئة الرقمية والمقارنة، كأن تصبح: "تحليل وتحديد طبيعة حقوق الملكية الفكرية المستحدثة في البيئة الرقمية ومدى مواءمتها للتقنيات الناشئة</w:t>
      </w:r>
    </w:p>
  </w:comment>
  <w:comment w:id="24" w:author="DRAhmed" w:date="2026-07-06T19:43:00Z" w:initials="D">
    <w:p w14:paraId="5A147780" w14:textId="1BFC0128" w:rsidR="000B6E77" w:rsidRPr="00695E06" w:rsidRDefault="000B6E77" w:rsidP="005B763C">
      <w:pPr>
        <w:pStyle w:val="CommentText"/>
        <w:bidi/>
        <w:rPr>
          <w:rStyle w:val="CommentReference"/>
          <w:szCs w:val="28"/>
          <w:rtl/>
        </w:rPr>
      </w:pPr>
      <w:r>
        <w:rPr>
          <w:rStyle w:val="CommentReference"/>
        </w:rPr>
        <w:annotationRef/>
      </w:r>
      <w:r w:rsidRPr="00695E06">
        <w:rPr>
          <w:rStyle w:val="CommentReference"/>
          <w:szCs w:val="28"/>
        </w:rPr>
        <w:annotationRef/>
      </w:r>
      <w:r>
        <w:rPr>
          <w:rStyle w:val="CommentReference"/>
          <w:rFonts w:hint="cs"/>
          <w:szCs w:val="28"/>
          <w:rtl/>
        </w:rPr>
        <w:t>اضافة هدف يعكس مدى الاستفادة من</w:t>
      </w:r>
      <w:r w:rsidRPr="00695E06">
        <w:rPr>
          <w:rStyle w:val="CommentReference"/>
          <w:rFonts w:hint="cs"/>
          <w:szCs w:val="28"/>
          <w:rtl/>
        </w:rPr>
        <w:t xml:space="preserve"> البلوكشين </w:t>
      </w:r>
      <w:r>
        <w:rPr>
          <w:rStyle w:val="CommentReference"/>
          <w:rFonts w:hint="cs"/>
          <w:szCs w:val="28"/>
          <w:rtl/>
        </w:rPr>
        <w:t>حيث انها ظهرت في نتائج البحث</w:t>
      </w:r>
    </w:p>
    <w:p w14:paraId="548820BE" w14:textId="055CF44A" w:rsidR="000B6E77" w:rsidRDefault="000B6E77">
      <w:pPr>
        <w:pStyle w:val="CommentText"/>
      </w:pPr>
    </w:p>
  </w:comment>
  <w:comment w:id="30" w:author="DRAhmed" w:date="2026-07-07T18:22:00Z" w:initials="D">
    <w:p w14:paraId="676451F8" w14:textId="77777777" w:rsidR="000B6E77" w:rsidRPr="00CD769F" w:rsidRDefault="000B6E77" w:rsidP="00F24E0A">
      <w:pPr>
        <w:bidi/>
        <w:spacing w:before="100" w:beforeAutospacing="1" w:after="100" w:afterAutospacing="1"/>
        <w:rPr>
          <w:rFonts w:ascii="Simplified Arabic" w:eastAsia="Times New Roman" w:hAnsi="Simplified Arabic" w:cs="Simplified Arabic"/>
        </w:rPr>
      </w:pPr>
      <w:r>
        <w:rPr>
          <w:rStyle w:val="CommentReference"/>
        </w:rPr>
        <w:annotationRef/>
      </w:r>
      <w:r w:rsidRPr="00101D33">
        <w:rPr>
          <w:rFonts w:ascii="Simplified Arabic" w:eastAsia="Times New Roman" w:hAnsi="Simplified Arabic" w:cs="Simplified Arabic" w:hint="cs"/>
          <w:highlight w:val="lightGray"/>
          <w:rtl/>
        </w:rPr>
        <w:t>سؤاال:</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قد طرحت في تساؤلات دراستك إشكالية "الوضع القانوني للمصنفات الناتجة عن تقنيات الذكاء الاصطناعي" كأحد التحديات المستحدثة</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 xml:space="preserve">بالنظر إلى أن المفهوم التقليدي للملكية الفكرية يربط الإبداع بالشخصية الإنسانية، </w:t>
      </w:r>
      <w:r w:rsidRPr="00101D33">
        <w:rPr>
          <w:rFonts w:ascii="Simplified Arabic" w:eastAsia="Times New Roman" w:hAnsi="Simplified Arabic" w:cs="Simplified Arabic"/>
          <w:highlight w:val="lightGray"/>
          <w:rtl/>
        </w:rPr>
        <w:t>كيف يمكن للمشرع المقارن إسباغ الحماية القانونية على مصنف لا توجد فيه مساهمة بشرية مباشرة؟</w:t>
      </w:r>
      <w:r w:rsidRPr="00CD769F">
        <w:rPr>
          <w:rFonts w:ascii="Simplified Arabic" w:eastAsia="Times New Roman" w:hAnsi="Simplified Arabic" w:cs="Simplified Arabic"/>
          <w:rtl/>
        </w:rPr>
        <w:t xml:space="preserve"> </w:t>
      </w:r>
    </w:p>
    <w:p w14:paraId="15975975" w14:textId="0EA99799" w:rsidR="000B6E77" w:rsidRDefault="000B6E77" w:rsidP="00F24E0A">
      <w:pPr>
        <w:pStyle w:val="CommentText"/>
      </w:pPr>
      <w:r>
        <w:rPr>
          <w:rFonts w:ascii="Simplified Arabic" w:eastAsia="Times New Roman" w:hAnsi="Simplified Arabic" w:cs="Simplified Arabic" w:hint="cs"/>
          <w:sz w:val="28"/>
          <w:szCs w:val="28"/>
          <w:rtl/>
        </w:rPr>
        <w:t>ج:</w:t>
      </w:r>
      <w:r w:rsidRPr="00CD769F">
        <w:rPr>
          <w:rFonts w:ascii="Simplified Arabic" w:eastAsia="Times New Roman" w:hAnsi="Simplified Arabic" w:cs="Simplified Arabic"/>
          <w:sz w:val="28"/>
          <w:szCs w:val="28"/>
        </w:rPr>
        <w:t xml:space="preserve"> </w:t>
      </w:r>
      <w:r w:rsidRPr="00CD769F">
        <w:rPr>
          <w:rFonts w:ascii="Simplified Arabic" w:eastAsia="Times New Roman" w:hAnsi="Simplified Arabic" w:cs="Simplified Arabic"/>
          <w:sz w:val="28"/>
          <w:szCs w:val="28"/>
          <w:rtl/>
        </w:rPr>
        <w:t>يجب أن يوضح الباحث أن الإشكالية تكمن في إعادة تعريف "صفة المؤلف</w:t>
      </w:r>
      <w:r w:rsidRPr="00CD769F">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 xml:space="preserve">. </w:t>
      </w:r>
      <w:r w:rsidRPr="00CD769F">
        <w:rPr>
          <w:rFonts w:ascii="Simplified Arabic" w:eastAsia="Times New Roman" w:hAnsi="Simplified Arabic" w:cs="Simplified Arabic"/>
          <w:sz w:val="28"/>
          <w:szCs w:val="28"/>
          <w:rtl/>
        </w:rPr>
        <w:t>فالقواعد التقليدية تحمي نتاج العقل البشري، ولكن أمام تقنيات الذكاء الاصطناعي، يميل الفقه والتشريع المقارن إما إلى حماية البرمجيات الأساسية كـ "مصنفات كمبيوتر أو قواعد بيانات</w:t>
      </w:r>
      <w:r w:rsidRPr="00CD769F">
        <w:rPr>
          <w:rFonts w:ascii="Simplified Arabic" w:eastAsia="Times New Roman" w:hAnsi="Simplified Arabic" w:cs="Simplified Arabic"/>
          <w:sz w:val="28"/>
          <w:szCs w:val="28"/>
        </w:rPr>
        <w:t>"</w:t>
      </w:r>
      <w:r w:rsidRPr="00CD769F">
        <w:rPr>
          <w:rFonts w:ascii="Simplified Arabic" w:eastAsia="Times New Roman" w:hAnsi="Simplified Arabic" w:cs="Simplified Arabic"/>
          <w:sz w:val="28"/>
          <w:szCs w:val="28"/>
          <w:rtl/>
        </w:rPr>
        <w:t>، أو إسناد الحقوق للشخص الطبيعي الذي وجه الآلة أو طور الخوارزمية (المبرمج) لضمان عدم خروج المصنفات من دائرة الحماية المالية والأدبية</w:t>
      </w:r>
      <w:r>
        <w:rPr>
          <w:rFonts w:ascii="Simplified Arabic" w:eastAsia="Times New Roman" w:hAnsi="Simplified Arabic" w:cs="Simplified Arabic"/>
          <w:sz w:val="28"/>
          <w:szCs w:val="28"/>
        </w:rPr>
        <w:t>.</w:t>
      </w:r>
    </w:p>
  </w:comment>
  <w:comment w:id="97" w:author="DRAhmed" w:date="2026-07-07T06:29:00Z" w:initials="D">
    <w:p w14:paraId="226F2D14" w14:textId="77777777" w:rsidR="000B6E77" w:rsidRDefault="000B6E77" w:rsidP="008423E0">
      <w:pPr>
        <w:pStyle w:val="CommentText"/>
        <w:bidi/>
        <w:jc w:val="right"/>
        <w:rPr>
          <w:i/>
          <w:iCs/>
          <w:rtl/>
        </w:rPr>
      </w:pPr>
      <w:r>
        <w:rPr>
          <w:rStyle w:val="CommentReference"/>
        </w:rPr>
        <w:annotationRef/>
      </w:r>
      <w:r>
        <w:rPr>
          <w:rtl/>
        </w:rPr>
        <w:t xml:space="preserve">قرات المتتالية التي تناولت </w:t>
      </w:r>
      <w:r>
        <w:rPr>
          <w:i/>
          <w:iCs/>
        </w:rPr>
        <w:t>"</w:t>
      </w:r>
      <w:r>
        <w:rPr>
          <w:i/>
          <w:iCs/>
          <w:rtl/>
        </w:rPr>
        <w:t>أثر اختراع الحاسوب في جمع المعطيات القانونية... وتحول هذه الاختراعات إلى قاعدة اقتصادية</w:t>
      </w:r>
    </w:p>
    <w:p w14:paraId="1E211E07" w14:textId="77777777" w:rsidR="000B6E77" w:rsidRDefault="000B6E77" w:rsidP="008423E0">
      <w:pPr>
        <w:pStyle w:val="CommentText"/>
        <w:bidi/>
        <w:jc w:val="right"/>
        <w:rPr>
          <w:i/>
          <w:iCs/>
          <w:rtl/>
        </w:rPr>
      </w:pPr>
    </w:p>
    <w:p w14:paraId="7AA24CF1" w14:textId="556D0890" w:rsidR="000B6E77" w:rsidRDefault="000B6E77" w:rsidP="008423E0">
      <w:pPr>
        <w:pStyle w:val="CommentText"/>
        <w:bidi/>
        <w:jc w:val="right"/>
      </w:pPr>
      <w:r>
        <w:rPr>
          <w:rtl/>
        </w:rPr>
        <w:t>لباحث توسع هنا في سرد تاريخي وتقني حول كيفية استفادة المحاكم وسجلات الأحوال الشخصية والتوقيع الإلكتروني من الحاسوب</w:t>
      </w:r>
      <w:r>
        <w:t xml:space="preserve">. </w:t>
      </w:r>
      <w:r>
        <w:rPr>
          <w:rtl/>
        </w:rPr>
        <w:t>هذا التوسع يخرج جزئياً عن "النطاق الموضوعي" للملكية الفكرية الإلكترونية؛ لذا يوصى بإعادة صياغة هاتين الفقرتين لربطهما مباشرة بـ "المصنفات الرقمية" محل الحماية، بدلاً من التوسع في الجوانب الإدارية للقضاء الإلكتروني</w:t>
      </w:r>
    </w:p>
  </w:comment>
  <w:comment w:id="98" w:author="DRAhmed" w:date="2026-07-08T17:03:00Z" w:initials="D">
    <w:p w14:paraId="60312BD1" w14:textId="36DC5094" w:rsidR="000B6E77" w:rsidRDefault="000B6E77">
      <w:pPr>
        <w:pStyle w:val="CommentText"/>
      </w:pPr>
      <w:r>
        <w:rPr>
          <w:rStyle w:val="CommentReference"/>
        </w:rPr>
        <w:annotationRef/>
      </w:r>
      <w:r>
        <w:t>???</w:t>
      </w:r>
    </w:p>
    <w:p w14:paraId="7618F783" w14:textId="77777777" w:rsidR="000B6E77" w:rsidRDefault="000B6E77">
      <w:pPr>
        <w:pStyle w:val="CommentText"/>
      </w:pPr>
    </w:p>
  </w:comment>
  <w:comment w:id="99" w:author="DRAhmed" w:date="2026-07-07T18:30:00Z" w:initials="D">
    <w:p w14:paraId="3AD04D73" w14:textId="77777777" w:rsidR="000B6E77" w:rsidRPr="00BC4CA3" w:rsidRDefault="000B6E77" w:rsidP="00FA299D">
      <w:pPr>
        <w:bidi/>
        <w:spacing w:before="100" w:beforeAutospacing="1" w:after="100" w:afterAutospacing="1"/>
        <w:rPr>
          <w:rFonts w:ascii="Simplified Arabic" w:eastAsia="Times New Roman" w:hAnsi="Simplified Arabic" w:cs="Simplified Arabic"/>
        </w:rPr>
      </w:pPr>
      <w:r>
        <w:rPr>
          <w:rStyle w:val="CommentReference"/>
        </w:rPr>
        <w:annotationRef/>
      </w:r>
      <w:r w:rsidRPr="00BC4CA3">
        <w:rPr>
          <w:rFonts w:ascii="Simplified Arabic" w:eastAsia="Times New Roman" w:hAnsi="Simplified Arabic" w:cs="Simplified Arabic"/>
          <w:rtl/>
        </w:rPr>
        <w:t xml:space="preserve">الفقرة التي تشير إلى </w:t>
      </w:r>
      <w:r w:rsidRPr="00BC4CA3">
        <w:rPr>
          <w:rFonts w:ascii="Simplified Arabic" w:eastAsia="Times New Roman" w:hAnsi="Simplified Arabic" w:cs="Simplified Arabic"/>
        </w:rPr>
        <w:t>"</w:t>
      </w:r>
      <w:r w:rsidRPr="00BC4CA3">
        <w:rPr>
          <w:rFonts w:ascii="Simplified Arabic" w:eastAsia="Times New Roman" w:hAnsi="Simplified Arabic" w:cs="Simplified Arabic"/>
          <w:rtl/>
        </w:rPr>
        <w:t>الفصل بين الحقوق الشخصية والفكرية... والخطأ الفقهي في تصنيف الحقوق الفكرية ضمن الحقوق الشخصية</w:t>
      </w:r>
      <w:r w:rsidRPr="00BC4CA3">
        <w:rPr>
          <w:rFonts w:ascii="Simplified Arabic" w:eastAsia="Times New Roman" w:hAnsi="Simplified Arabic" w:cs="Simplified Arabic"/>
        </w:rPr>
        <w:t>"</w:t>
      </w:r>
      <w:r>
        <w:rPr>
          <w:rFonts w:ascii="Simplified Arabic" w:eastAsia="Times New Roman" w:hAnsi="Simplified Arabic" w:cs="Simplified Arabic" w:hint="cs"/>
          <w:rtl/>
        </w:rPr>
        <w:t>.</w:t>
      </w:r>
    </w:p>
    <w:p w14:paraId="02830EA7" w14:textId="2F38EF25" w:rsidR="000B6E77" w:rsidRPr="000B4E0E" w:rsidRDefault="000B6E77" w:rsidP="000B4E0E">
      <w:pPr>
        <w:bidi/>
        <w:spacing w:before="100" w:beforeAutospacing="1" w:after="100" w:afterAutospacing="1"/>
        <w:rPr>
          <w:rFonts w:ascii="Simplified Arabic" w:eastAsia="Times New Roman" w:hAnsi="Simplified Arabic" w:cs="Simplified Arabic"/>
        </w:rPr>
      </w:pPr>
      <w:r>
        <w:rPr>
          <w:rFonts w:ascii="Simplified Arabic" w:eastAsia="Times New Roman" w:hAnsi="Simplified Arabic" w:cs="Simplified Arabic"/>
          <w:b/>
          <w:bCs/>
          <w:rtl/>
        </w:rPr>
        <w:t>التوجي</w:t>
      </w:r>
      <w:r>
        <w:rPr>
          <w:rFonts w:ascii="Simplified Arabic" w:eastAsia="Times New Roman" w:hAnsi="Simplified Arabic" w:cs="Simplified Arabic" w:hint="cs"/>
          <w:b/>
          <w:bCs/>
          <w:rtl/>
        </w:rPr>
        <w:t>ه:</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الفقرة مكتوبة بأسلوب عام ممتاز، ولكنها تفتقر إلى الاستشهاد المرجعي</w:t>
      </w:r>
      <w:r w:rsidRPr="00CD769F">
        <w:rPr>
          <w:rFonts w:ascii="Simplified Arabic" w:eastAsia="Times New Roman" w:hAnsi="Simplified Arabic" w:cs="Simplified Arabic"/>
        </w:rPr>
        <w:t xml:space="preserve"> (Citation) </w:t>
      </w:r>
      <w:r w:rsidRPr="00CD769F">
        <w:rPr>
          <w:rFonts w:ascii="Simplified Arabic" w:eastAsia="Times New Roman" w:hAnsi="Simplified Arabic" w:cs="Simplified Arabic"/>
          <w:rtl/>
        </w:rPr>
        <w:t>لآراء الفقهاء الذين انتقدوا هذا التوجه</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يتعين على الباحث دعم هذا النقد الفقهي بإحالات مرجعية دقيقة في الهامش تبين أسماء المدارس الفقهية (الفرنسية أو العربية) التي ناقشت طبيعة الحق المعنوي للمؤلف وعلاقته بالحقوق اللصيقة بالشخصية</w:t>
      </w:r>
      <w:r w:rsidRPr="00CD769F">
        <w:rPr>
          <w:rFonts w:ascii="Simplified Arabic" w:eastAsia="Times New Roman" w:hAnsi="Simplified Arabic" w:cs="Simplified Arabic"/>
        </w:rPr>
        <w:t xml:space="preserve">. </w:t>
      </w:r>
    </w:p>
  </w:comment>
  <w:comment w:id="120" w:author="DRAhmed" w:date="2026-07-08T12:04:00Z" w:initials="D">
    <w:p w14:paraId="57276AD2" w14:textId="77777777" w:rsidR="000B6E77" w:rsidRPr="00CD769F" w:rsidRDefault="000B6E77" w:rsidP="002F50E4">
      <w:pPr>
        <w:bidi/>
        <w:spacing w:before="100" w:beforeAutospacing="1" w:after="100" w:afterAutospacing="1"/>
        <w:rPr>
          <w:rFonts w:ascii="Simplified Arabic" w:eastAsia="Times New Roman" w:hAnsi="Simplified Arabic" w:cs="Simplified Arabic"/>
        </w:rPr>
      </w:pPr>
      <w:r>
        <w:rPr>
          <w:rStyle w:val="CommentReference"/>
        </w:rPr>
        <w:annotationRef/>
      </w:r>
      <w:r w:rsidRPr="00CD769F">
        <w:rPr>
          <w:rFonts w:ascii="Simplified Arabic" w:eastAsia="Times New Roman" w:hAnsi="Simplified Arabic" w:cs="Simplified Arabic"/>
          <w:i/>
          <w:iCs/>
        </w:rPr>
        <w:t>"</w:t>
      </w:r>
      <w:r w:rsidRPr="00CD769F">
        <w:rPr>
          <w:rFonts w:ascii="Simplified Arabic" w:eastAsia="Times New Roman" w:hAnsi="Simplified Arabic" w:cs="Simplified Arabic"/>
          <w:i/>
          <w:iCs/>
          <w:rtl/>
        </w:rPr>
        <w:t>الحق الأدبي في الأبوة وسحب المصنف من التداول</w:t>
      </w:r>
      <w:r w:rsidRPr="00CD769F">
        <w:rPr>
          <w:rFonts w:ascii="Simplified Arabic" w:eastAsia="Times New Roman" w:hAnsi="Simplified Arabic" w:cs="Simplified Arabic"/>
          <w:i/>
          <w:iCs/>
        </w:rPr>
        <w:t>"</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في البيئة الرقمية</w:t>
      </w:r>
      <w:r>
        <w:rPr>
          <w:rFonts w:ascii="Simplified Arabic" w:eastAsia="Times New Roman" w:hAnsi="Simplified Arabic" w:cs="Simplified Arabic" w:hint="cs"/>
          <w:rtl/>
        </w:rPr>
        <w:t>.</w:t>
      </w:r>
    </w:p>
    <w:p w14:paraId="1E39DBD9" w14:textId="77777777" w:rsidR="000B6E77" w:rsidRDefault="000B6E77" w:rsidP="002F50E4">
      <w:pPr>
        <w:bidi/>
        <w:spacing w:before="100" w:beforeAutospacing="1" w:after="100" w:afterAutospacing="1"/>
        <w:rPr>
          <w:rFonts w:ascii="Simplified Arabic" w:eastAsia="Times New Roman" w:hAnsi="Simplified Arabic" w:cs="Simplified Arabic"/>
          <w:highlight w:val="yellow"/>
          <w:rtl/>
        </w:rPr>
      </w:pPr>
      <w:r w:rsidRPr="00CD769F">
        <w:rPr>
          <w:rFonts w:ascii="Simplified Arabic" w:eastAsia="Times New Roman" w:hAnsi="Simplified Arabic" w:cs="Simplified Arabic"/>
          <w:b/>
          <w:bCs/>
          <w:rtl/>
        </w:rPr>
        <w:t>التوجيه التطويري</w:t>
      </w:r>
      <w:r w:rsidRPr="00CD769F">
        <w:rPr>
          <w:rFonts w:ascii="Simplified Arabic" w:eastAsia="Times New Roman" w:hAnsi="Simplified Arabic" w:cs="Simplified Arabic"/>
          <w:b/>
          <w:bCs/>
        </w:rPr>
        <w:t>:</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ذكر الباحث أن للمؤلف الحق في سحب مصنفه الإلكتروني إذا طرأت أسباب تبرر ذلك</w:t>
      </w:r>
      <w:r w:rsidRPr="00F71A3E">
        <w:rPr>
          <w:rFonts w:ascii="Simplified Arabic" w:eastAsia="Times New Roman" w:hAnsi="Simplified Arabic" w:cs="Simplified Arabic"/>
          <w:highlight w:val="yellow"/>
        </w:rPr>
        <w:t xml:space="preserve">. </w:t>
      </w:r>
      <w:r w:rsidRPr="00F71A3E">
        <w:rPr>
          <w:rFonts w:ascii="Simplified Arabic" w:eastAsia="Times New Roman" w:hAnsi="Simplified Arabic" w:cs="Simplified Arabic"/>
          <w:highlight w:val="yellow"/>
          <w:rtl/>
        </w:rPr>
        <w:t>غير أن الباحث أغفل إيضاح "الآلية التطبيقية" لهذا الحق؛ فكيف يمكن عملياً وبأثر رجعي سحب مصنف رقمي انتشر وتداولته ملايين السيرفرات والمستخدمين؟</w:t>
      </w:r>
    </w:p>
    <w:p w14:paraId="2CB3DA57" w14:textId="77777777" w:rsidR="000B6E77" w:rsidRPr="00CD769F" w:rsidRDefault="000B6E77" w:rsidP="002F50E4">
      <w:pPr>
        <w:bidi/>
        <w:spacing w:before="100" w:beforeAutospacing="1" w:after="100" w:afterAutospacing="1"/>
        <w:rPr>
          <w:rFonts w:ascii="Simplified Arabic" w:eastAsia="Times New Roman" w:hAnsi="Simplified Arabic" w:cs="Simplified Arabic"/>
        </w:rPr>
      </w:pPr>
      <w:r w:rsidRPr="00F71A3E">
        <w:rPr>
          <w:rFonts w:ascii="Simplified Arabic" w:eastAsia="Times New Roman" w:hAnsi="Simplified Arabic" w:cs="Simplified Arabic"/>
          <w:highlight w:val="yellow"/>
          <w:rtl/>
        </w:rPr>
        <w:t xml:space="preserve"> يجب على الباحث إبراز هذا التناقض بين النظرية القانونية والواقع التقني ومناقشته قانونياً</w:t>
      </w:r>
      <w:r w:rsidRPr="00F71A3E">
        <w:rPr>
          <w:rFonts w:ascii="Simplified Arabic" w:eastAsia="Times New Roman" w:hAnsi="Simplified Arabic" w:cs="Simplified Arabic"/>
          <w:highlight w:val="yellow"/>
        </w:rPr>
        <w:t>.</w:t>
      </w:r>
      <w:r w:rsidRPr="00CD769F">
        <w:rPr>
          <w:rFonts w:ascii="Simplified Arabic" w:eastAsia="Times New Roman" w:hAnsi="Simplified Arabic" w:cs="Simplified Arabic"/>
        </w:rPr>
        <w:t xml:space="preserve"> </w:t>
      </w:r>
    </w:p>
    <w:p w14:paraId="4D86897B" w14:textId="3D551E15" w:rsidR="000B6E77" w:rsidRDefault="000B6E77">
      <w:pPr>
        <w:pStyle w:val="CommentText"/>
      </w:pPr>
    </w:p>
  </w:comment>
  <w:comment w:id="121" w:author="DRAhmed" w:date="2026-07-08T11:38:00Z" w:initials="D">
    <w:p w14:paraId="336D2866" w14:textId="77777777" w:rsidR="000B6E77" w:rsidRPr="00CD769F" w:rsidRDefault="000B6E77" w:rsidP="00F44D82">
      <w:pPr>
        <w:bidi/>
        <w:spacing w:before="100" w:beforeAutospacing="1" w:after="100" w:afterAutospacing="1"/>
        <w:rPr>
          <w:rFonts w:ascii="Simplified Arabic" w:eastAsia="Times New Roman" w:hAnsi="Simplified Arabic" w:cs="Simplified Arabic"/>
        </w:rPr>
      </w:pPr>
      <w:r>
        <w:rPr>
          <w:rStyle w:val="CommentReference"/>
        </w:rPr>
        <w:annotationRef/>
      </w:r>
      <w:r w:rsidRPr="00101D33">
        <w:rPr>
          <w:rFonts w:ascii="Simplified Arabic" w:eastAsia="Times New Roman" w:hAnsi="Simplified Arabic" w:cs="Simplified Arabic"/>
          <w:b/>
          <w:bCs/>
          <w:highlight w:val="lightGray"/>
          <w:rtl/>
        </w:rPr>
        <w:t>السؤال</w:t>
      </w:r>
      <w:r w:rsidRPr="00101D33">
        <w:rPr>
          <w:rFonts w:ascii="Simplified Arabic" w:eastAsia="Times New Roman" w:hAnsi="Simplified Arabic" w:cs="Simplified Arabic"/>
          <w:b/>
          <w:bCs/>
          <w:highlight w:val="lightGray"/>
        </w:rPr>
        <w:t>:</w:t>
      </w:r>
      <w:r w:rsidRPr="00101D33">
        <w:rPr>
          <w:rFonts w:ascii="Simplified Arabic" w:eastAsia="Times New Roman" w:hAnsi="Simplified Arabic" w:cs="Simplified Arabic"/>
          <w:highlight w:val="lightGray"/>
        </w:rPr>
        <w:t xml:space="preserve"> </w:t>
      </w:r>
      <w:r w:rsidRPr="00101D33">
        <w:rPr>
          <w:rFonts w:ascii="Simplified Arabic" w:eastAsia="Times New Roman" w:hAnsi="Simplified Arabic" w:cs="Simplified Arabic"/>
          <w:highlight w:val="lightGray"/>
          <w:rtl/>
        </w:rPr>
        <w:t>في إطار حديثك عن الحقوق المالية للمؤلف وتحديداً "حقوق النسخ والنشر في البيئة الرقمية"، أشرت إلى نص المادة التاسعة من اتفاقية بيرن وجدلية تطبيقها على الإنترنت</w:t>
      </w:r>
      <w:r w:rsidRPr="00101D33">
        <w:rPr>
          <w:rFonts w:ascii="Simplified Arabic" w:eastAsia="Times New Roman" w:hAnsi="Simplified Arabic" w:cs="Simplified Arabic"/>
          <w:highlight w:val="lightGray"/>
        </w:rPr>
        <w:t xml:space="preserve">. </w:t>
      </w:r>
      <w:r w:rsidRPr="00101D33">
        <w:rPr>
          <w:rFonts w:ascii="Simplified Arabic" w:eastAsia="Times New Roman" w:hAnsi="Simplified Arabic" w:cs="Simplified Arabic"/>
          <w:highlight w:val="lightGray"/>
          <w:rtl/>
        </w:rPr>
        <w:t>كيف يفسر القانون المقارن عملية التخزين الرقمي المؤقت</w:t>
      </w:r>
      <w:r w:rsidRPr="00101D33">
        <w:rPr>
          <w:rFonts w:ascii="Simplified Arabic" w:eastAsia="Times New Roman" w:hAnsi="Simplified Arabic" w:cs="Simplified Arabic"/>
          <w:highlight w:val="lightGray"/>
        </w:rPr>
        <w:t xml:space="preserve"> (Caching) </w:t>
      </w:r>
      <w:r w:rsidRPr="00101D33">
        <w:rPr>
          <w:rFonts w:ascii="Simplified Arabic" w:eastAsia="Times New Roman" w:hAnsi="Simplified Arabic" w:cs="Simplified Arabic"/>
          <w:highlight w:val="lightGray"/>
          <w:rtl/>
        </w:rPr>
        <w:t>التي تقوم بها السيرفرات ومزودو الخدمات؟ هل تعد نسخاً غير مشروع أم استخداماً عادلاً؟</w:t>
      </w:r>
      <w:r w:rsidRPr="00CD769F">
        <w:rPr>
          <w:rFonts w:ascii="Simplified Arabic" w:eastAsia="Times New Roman" w:hAnsi="Simplified Arabic" w:cs="Simplified Arabic"/>
          <w:rtl/>
        </w:rPr>
        <w:t xml:space="preserve"> </w:t>
      </w:r>
    </w:p>
    <w:p w14:paraId="42D63AB0" w14:textId="7DB397B5" w:rsidR="000B6E77" w:rsidRDefault="000B6E77" w:rsidP="00F44D82">
      <w:pPr>
        <w:pStyle w:val="CommentText"/>
      </w:pPr>
      <w:r w:rsidRPr="00CD769F">
        <w:rPr>
          <w:rFonts w:ascii="Simplified Arabic" w:eastAsia="Times New Roman" w:hAnsi="Simplified Arabic" w:cs="Simplified Arabic"/>
          <w:b/>
          <w:bCs/>
          <w:sz w:val="28"/>
          <w:szCs w:val="28"/>
          <w:rtl/>
        </w:rPr>
        <w:t>الإجابة القانونية المستهدفة من الباحث</w:t>
      </w:r>
      <w:r>
        <w:rPr>
          <w:rFonts w:ascii="Simplified Arabic" w:eastAsia="Times New Roman" w:hAnsi="Simplified Arabic" w:cs="Simplified Arabic" w:hint="cs"/>
          <w:b/>
          <w:bCs/>
          <w:sz w:val="28"/>
          <w:szCs w:val="28"/>
          <w:rtl/>
        </w:rPr>
        <w:t xml:space="preserve">: </w:t>
      </w:r>
      <w:r w:rsidRPr="00CD769F">
        <w:rPr>
          <w:rFonts w:ascii="Simplified Arabic" w:eastAsia="Times New Roman" w:hAnsi="Simplified Arabic" w:cs="Simplified Arabic"/>
          <w:sz w:val="28"/>
          <w:szCs w:val="28"/>
          <w:rtl/>
        </w:rPr>
        <w:t>الإجابة الصحيحة هي أن تخزين مصنف محمي بصيغة رقمية في وسيلة إلكترونية يعتبر نسخاً حكماً وفقاً لاتفاقية بيرن</w:t>
      </w:r>
      <w:r>
        <w:rPr>
          <w:rFonts w:ascii="Simplified Arabic" w:eastAsia="Times New Roman" w:hAnsi="Simplified Arabic" w:cs="Simplified Arabic" w:hint="cs"/>
          <w:sz w:val="28"/>
          <w:szCs w:val="28"/>
          <w:rtl/>
        </w:rPr>
        <w:t xml:space="preserve">. </w:t>
      </w:r>
      <w:r w:rsidRPr="00CD769F">
        <w:rPr>
          <w:rFonts w:ascii="Simplified Arabic" w:eastAsia="Times New Roman" w:hAnsi="Simplified Arabic" w:cs="Simplified Arabic"/>
          <w:sz w:val="28"/>
          <w:szCs w:val="28"/>
          <w:rtl/>
        </w:rPr>
        <w:t>ولكن التشريعات الحديثة (كالفرنسي والأمريكي) تستثني التخزين الرقمي المؤقت والتقني اللازم لتشغيل الشبكات من وصف "الاعتداء"، طالما أنه وسيط عابر ولا يهدف لاستغلال مالي مستقل، وذلك تحقيقاً للتوازن بين حقوق المؤلف وحق المجتمع في تداول المعلومات</w:t>
      </w:r>
      <w:r w:rsidRPr="00CD769F">
        <w:rPr>
          <w:rFonts w:ascii="Simplified Arabic" w:eastAsia="Times New Roman" w:hAnsi="Simplified Arabic" w:cs="Simplified Arabic"/>
          <w:sz w:val="28"/>
          <w:szCs w:val="28"/>
        </w:rPr>
        <w:t>.</w:t>
      </w:r>
    </w:p>
  </w:comment>
  <w:comment w:id="123" w:author="DRAhmed" w:date="2026-07-08T11:48:00Z" w:initials="D">
    <w:p w14:paraId="24BB8B2B" w14:textId="77777777" w:rsidR="000B6E77" w:rsidRPr="007079B0" w:rsidRDefault="000B6E77" w:rsidP="00126ABB">
      <w:pPr>
        <w:pStyle w:val="ListParagraph"/>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contextualSpacing/>
        <w:rPr>
          <w:rFonts w:ascii="Simplified Arabic" w:eastAsia="Times New Roman" w:hAnsi="Simplified Arabic" w:cs="Simplified Arabic" w:hint="default"/>
          <w:sz w:val="28"/>
          <w:szCs w:val="28"/>
        </w:rPr>
      </w:pPr>
      <w:r>
        <w:rPr>
          <w:rStyle w:val="CommentReference"/>
        </w:rPr>
        <w:annotationRef/>
      </w:r>
      <w:r w:rsidRPr="007079B0">
        <w:rPr>
          <w:rFonts w:ascii="Simplified Arabic" w:eastAsia="Times New Roman" w:hAnsi="Simplified Arabic" w:cs="Simplified Arabic"/>
          <w:b/>
          <w:bCs/>
          <w:sz w:val="28"/>
          <w:szCs w:val="28"/>
          <w:rtl/>
        </w:rPr>
        <w:t>السؤال</w:t>
      </w:r>
      <w:r w:rsidRPr="007079B0">
        <w:rPr>
          <w:rFonts w:ascii="Simplified Arabic" w:eastAsia="Times New Roman" w:hAnsi="Simplified Arabic" w:cs="Simplified Arabic"/>
          <w:b/>
          <w:bCs/>
          <w:sz w:val="28"/>
          <w:szCs w:val="28"/>
        </w:rPr>
        <w:t>:</w:t>
      </w:r>
      <w:r w:rsidRPr="007079B0">
        <w:rPr>
          <w:rFonts w:ascii="Simplified Arabic" w:eastAsia="Times New Roman" w:hAnsi="Simplified Arabic" w:cs="Simplified Arabic"/>
          <w:sz w:val="28"/>
          <w:szCs w:val="28"/>
        </w:rPr>
        <w:t xml:space="preserve"> </w:t>
      </w:r>
      <w:r w:rsidRPr="007079B0">
        <w:rPr>
          <w:rFonts w:ascii="Simplified Arabic" w:eastAsia="Times New Roman" w:hAnsi="Simplified Arabic" w:cs="Simplified Arabic"/>
          <w:sz w:val="28"/>
          <w:szCs w:val="28"/>
          <w:rtl/>
        </w:rPr>
        <w:t>في النظام السعودي والقوانين المقارنة، يُعرّف الاختراع بأنه فكرة ينتج عنها حل مشكلة في مجال التقنية</w:t>
      </w:r>
      <w:r w:rsidRPr="007079B0">
        <w:rPr>
          <w:rFonts w:ascii="Simplified Arabic" w:eastAsia="Times New Roman" w:hAnsi="Simplified Arabic" w:cs="Simplified Arabic"/>
          <w:sz w:val="28"/>
          <w:szCs w:val="28"/>
        </w:rPr>
        <w:t xml:space="preserve">. </w:t>
      </w:r>
      <w:r w:rsidRPr="007079B0">
        <w:rPr>
          <w:rFonts w:ascii="Simplified Arabic" w:eastAsia="Times New Roman" w:hAnsi="Simplified Arabic" w:cs="Simplified Arabic"/>
          <w:sz w:val="28"/>
          <w:szCs w:val="28"/>
          <w:rtl/>
        </w:rPr>
        <w:t xml:space="preserve">في ظل بحثك، ما هي الحدود الفاصلة بين "البرمجيات" كحق مؤلف محمية أدبياً، وبين "البرمجيات ذات الأثر التقني الملموس" التي يمكن أن تنال براءة اختراع موضوعية؟ </w:t>
      </w:r>
    </w:p>
    <w:p w14:paraId="49D6BFF8" w14:textId="77777777" w:rsidR="000B6E77" w:rsidRDefault="000B6E77" w:rsidP="00126ABB">
      <w:pPr>
        <w:pStyle w:val="ListParagraph"/>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contextualSpacing/>
        <w:rPr>
          <w:rFonts w:ascii="Simplified Arabic" w:eastAsia="Times New Roman" w:hAnsi="Simplified Arabic" w:cs="Simplified Arabic" w:hint="default"/>
          <w:sz w:val="28"/>
          <w:szCs w:val="28"/>
        </w:rPr>
      </w:pPr>
      <w:r w:rsidRPr="007079B0">
        <w:rPr>
          <w:rFonts w:ascii="Simplified Arabic" w:eastAsia="Times New Roman" w:hAnsi="Simplified Arabic" w:cs="Simplified Arabic"/>
          <w:b/>
          <w:bCs/>
          <w:sz w:val="28"/>
          <w:szCs w:val="28"/>
          <w:rtl/>
        </w:rPr>
        <w:t xml:space="preserve">الإجابة القانونية المستهدفة من الباحث: </w:t>
      </w:r>
      <w:r w:rsidRPr="007079B0">
        <w:rPr>
          <w:rFonts w:ascii="Simplified Arabic" w:eastAsia="Times New Roman" w:hAnsi="Simplified Arabic" w:cs="Simplified Arabic"/>
          <w:sz w:val="28"/>
          <w:szCs w:val="28"/>
          <w:rtl/>
        </w:rPr>
        <w:t>البرمجيات كأكواد برمجية مجردة تحمى بحق المؤلف كالمصنفات الأدبية. أما لكي تنال براءة اختراع، يجب أن تتجاوز مجرد العمل الفكري البرمجي لتحدث أثراً خارجياً ملموساً (مثل خوارزمية تشغيلية تتحكم في آلة صناعية أو نظام أمني للسيارات، وهنا تصبح موضوعاً يستحق البراءة لتوافر شرط التطبيق العملي وحل مشكلة تقنية معقدة.</w:t>
      </w:r>
    </w:p>
    <w:p w14:paraId="4C0E9F60" w14:textId="68050C73" w:rsidR="000B6E77" w:rsidRDefault="000B6E77">
      <w:pPr>
        <w:pStyle w:val="CommentText"/>
      </w:pPr>
    </w:p>
  </w:comment>
  <w:comment w:id="148" w:author="DRAhmed" w:date="2026-07-07T17:52:00Z" w:initials="D">
    <w:p w14:paraId="4FE7ADBC" w14:textId="77777777" w:rsidR="000B6E77" w:rsidRPr="00F65E3E" w:rsidRDefault="000B6E77" w:rsidP="002167C2">
      <w:pPr>
        <w:bidi/>
        <w:spacing w:before="100" w:beforeAutospacing="1" w:after="100" w:afterAutospacing="1"/>
        <w:rPr>
          <w:rFonts w:ascii="Simplified Arabic" w:eastAsia="Times New Roman" w:hAnsi="Simplified Arabic" w:cs="Simplified Arabic"/>
        </w:rPr>
      </w:pPr>
      <w:r>
        <w:rPr>
          <w:rStyle w:val="CommentReference"/>
        </w:rPr>
        <w:annotationRef/>
      </w:r>
      <w:r w:rsidRPr="00F65E3E">
        <w:rPr>
          <w:rFonts w:ascii="Simplified Arabic" w:eastAsia="Times New Roman" w:hAnsi="Simplified Arabic" w:cs="Simplified Arabic"/>
          <w:rtl/>
        </w:rPr>
        <w:t xml:space="preserve">الفقرة التي تتناول </w:t>
      </w:r>
      <w:r w:rsidRPr="00F65E3E">
        <w:rPr>
          <w:rFonts w:ascii="Simplified Arabic" w:eastAsia="Times New Roman" w:hAnsi="Simplified Arabic" w:cs="Simplified Arabic"/>
        </w:rPr>
        <w:t>"</w:t>
      </w:r>
      <w:r w:rsidRPr="00F65E3E">
        <w:rPr>
          <w:rFonts w:ascii="Simplified Arabic" w:eastAsia="Times New Roman" w:hAnsi="Simplified Arabic" w:cs="Simplified Arabic"/>
          <w:rtl/>
        </w:rPr>
        <w:t>نشأة حقوق المؤلف في الدول العربية واعتبار قانون حق التأ</w:t>
      </w:r>
      <w:r>
        <w:rPr>
          <w:rFonts w:ascii="Simplified Arabic" w:eastAsia="Times New Roman" w:hAnsi="Simplified Arabic" w:cs="Simplified Arabic"/>
          <w:rtl/>
        </w:rPr>
        <w:t>ليف العثماني لعام 1910 أول تشري</w:t>
      </w:r>
      <w:r>
        <w:rPr>
          <w:rFonts w:ascii="Simplified Arabic" w:eastAsia="Times New Roman" w:hAnsi="Simplified Arabic" w:cs="Simplified Arabic" w:hint="cs"/>
          <w:rtl/>
        </w:rPr>
        <w:t>ع".</w:t>
      </w:r>
    </w:p>
    <w:p w14:paraId="0600E608" w14:textId="77777777" w:rsidR="000B6E77" w:rsidRPr="00CD769F" w:rsidRDefault="000B6E77" w:rsidP="002167C2">
      <w:pPr>
        <w:bidi/>
        <w:spacing w:beforeAutospacing="1" w:afterAutospacing="1"/>
        <w:rPr>
          <w:rFonts w:ascii="Simplified Arabic" w:eastAsia="Times New Roman" w:hAnsi="Simplified Arabic" w:cs="Simplified Arabic"/>
        </w:rPr>
      </w:pPr>
      <w:r w:rsidRPr="00CD769F">
        <w:rPr>
          <w:rFonts w:ascii="Simplified Arabic" w:eastAsia="Times New Roman" w:hAnsi="Simplified Arabic" w:cs="Simplified Arabic"/>
          <w:b/>
          <w:bCs/>
          <w:rtl/>
        </w:rPr>
        <w:t>التوجيه</w:t>
      </w: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يوصى الباحث بعقد مقارنة تحليلية موجزة (في شكل جدول أو إطار مفاهيمي) يربط فيه بين الجذور التاريخية لهذه القوانين العربية القديمة (كالعثماني والمصري لعام 1954) وبين مدى مرونتها الحالية لاستيعاب مفهوم "السيادة الرقمية</w:t>
      </w:r>
      <w:r w:rsidRPr="00CD769F">
        <w:rPr>
          <w:rFonts w:ascii="Simplified Arabic" w:eastAsia="Times New Roman" w:hAnsi="Simplified Arabic" w:cs="Simplified Arabic"/>
        </w:rPr>
        <w:t>"</w:t>
      </w:r>
      <w:r w:rsidRPr="00CD769F">
        <w:rPr>
          <w:rFonts w:ascii="Simplified Arabic" w:eastAsia="Times New Roman" w:hAnsi="Simplified Arabic" w:cs="Simplified Arabic"/>
          <w:rtl/>
        </w:rPr>
        <w:t>، حيث إن الاكتفاء بالسرد التاريخي المحض يضعف النزعة التحليلية التي بنيت عليها منهجية الدراسة المقارنة</w:t>
      </w:r>
      <w:r>
        <w:rPr>
          <w:rFonts w:ascii="Simplified Arabic" w:eastAsia="Times New Roman" w:hAnsi="Simplified Arabic" w:cs="Simplified Arabic" w:hint="cs"/>
          <w:rtl/>
        </w:rPr>
        <w:t>.</w:t>
      </w:r>
    </w:p>
    <w:p w14:paraId="1F57479B" w14:textId="7262B5DC" w:rsidR="000B6E77" w:rsidRDefault="000B6E77">
      <w:pPr>
        <w:pStyle w:val="CommentText"/>
      </w:pPr>
    </w:p>
  </w:comment>
  <w:comment w:id="167" w:author="DRAhmed" w:date="2026-07-08T12:43:00Z" w:initials="D">
    <w:p w14:paraId="1DD0DF59" w14:textId="77777777" w:rsidR="000B6E77" w:rsidRPr="00CD769F" w:rsidRDefault="000B6E77" w:rsidP="003622FA">
      <w:pPr>
        <w:pStyle w:val="NormalWeb"/>
        <w:bidi/>
        <w:rPr>
          <w:rFonts w:ascii="Simplified Arabic" w:hAnsi="Simplified Arabic" w:cs="Simplified Arabic" w:hint="default"/>
          <w:sz w:val="28"/>
          <w:szCs w:val="28"/>
        </w:rPr>
      </w:pPr>
      <w:r>
        <w:rPr>
          <w:rStyle w:val="CommentReference"/>
        </w:rPr>
        <w:annotationRef/>
      </w:r>
      <w:r w:rsidRPr="00CD769F">
        <w:rPr>
          <w:rFonts w:ascii="Simplified Arabic" w:hAnsi="Simplified Arabic" w:cs="Simplified Arabic"/>
          <w:b/>
          <w:bCs/>
          <w:sz w:val="28"/>
          <w:szCs w:val="28"/>
          <w:rtl/>
        </w:rPr>
        <w:t>السؤال</w:t>
      </w:r>
      <w:r>
        <w:rPr>
          <w:rFonts w:ascii="Simplified Arabic" w:hAnsi="Simplified Arabic" w:cs="Simplified Arabic"/>
          <w:b/>
          <w:bCs/>
          <w:sz w:val="28"/>
          <w:szCs w:val="28"/>
          <w:rtl/>
        </w:rPr>
        <w:t xml:space="preserve">: </w:t>
      </w:r>
      <w:r w:rsidRPr="00CD769F">
        <w:rPr>
          <w:rFonts w:ascii="Simplified Arabic" w:hAnsi="Simplified Arabic" w:cs="Simplified Arabic"/>
          <w:sz w:val="28"/>
          <w:szCs w:val="28"/>
          <w:rtl/>
        </w:rPr>
        <w:t>في مستهل هذا الفصل بصفحة 48، ركزت على وضع تأصيل مفاهيمي للبيئة الرقمية. من خلال دراستك المقارنة، هل ترى أن المشرع (السعودي أو الفرنسي) قد وضع "تعريفاً تشريعياً جامعاً مانعاً" للبيئة الرقمية في أنظمة الملكية الفكرية، أم أنه ترك الأمر للفقه والقضاء نظراً للتطور التقني المتسارع؟</w:t>
      </w:r>
    </w:p>
    <w:p w14:paraId="36148E09" w14:textId="711526E1" w:rsidR="000B6E77" w:rsidRDefault="000B6E77" w:rsidP="003622FA">
      <w:pPr>
        <w:pStyle w:val="CommentText"/>
      </w:pPr>
      <w:r>
        <w:rPr>
          <w:rFonts w:ascii="Simplified Arabic" w:hAnsi="Simplified Arabic" w:cs="Simplified Arabic"/>
          <w:b/>
          <w:bCs/>
          <w:sz w:val="28"/>
          <w:szCs w:val="28"/>
          <w:rtl/>
        </w:rPr>
        <w:t>الإجابة القانونية المستهدف</w:t>
      </w:r>
      <w:r>
        <w:rPr>
          <w:rFonts w:ascii="Simplified Arabic" w:hAnsi="Simplified Arabic" w:cs="Simplified Arabic" w:hint="cs"/>
          <w:b/>
          <w:bCs/>
          <w:sz w:val="28"/>
          <w:szCs w:val="28"/>
          <w:rtl/>
        </w:rPr>
        <w:t>ة:</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يجب أن يوضح الباحث أن التشريعات غالباً تتجنب وضع تعريفات جامدة للبيئة الرقمية خوفاً من تجاوز التكنولوجيا لها. المشرع السعودي في نظام التعاملات الإلكترونية ونظام حماية حقوق المؤلف، وكذلك المشرع الفرنسي، يميلان إلى تعريف "الوسائل" (مثل المصنف الرقمي، الدعامة الإلكترونية، الشبكة) بدلاً من تعريف البيئة الرقمية كفضاء مجرد، تاركين القواعد مرنة لاستيعاب ما يستجد</w:t>
      </w:r>
      <w:r w:rsidRPr="00CD769F">
        <w:rPr>
          <w:rFonts w:ascii="Simplified Arabic" w:hAnsi="Simplified Arabic" w:cs="Simplified Arabic"/>
          <w:sz w:val="28"/>
          <w:szCs w:val="28"/>
        </w:rPr>
        <w:t>.</w:t>
      </w:r>
    </w:p>
  </w:comment>
  <w:comment w:id="176" w:author="DRAhmed" w:date="2026-07-08T12:27:00Z" w:initials="D">
    <w:p w14:paraId="082194FA" w14:textId="77777777" w:rsidR="000B6E77" w:rsidRPr="00CD769F" w:rsidRDefault="000B6E77" w:rsidP="003E49E8">
      <w:pPr>
        <w:pStyle w:val="NormalWeb"/>
        <w:bidi/>
        <w:rPr>
          <w:rFonts w:ascii="Simplified Arabic" w:hAnsi="Simplified Arabic" w:cs="Simplified Arabic" w:hint="default"/>
          <w:sz w:val="28"/>
          <w:szCs w:val="28"/>
        </w:rPr>
      </w:pPr>
      <w:r>
        <w:rPr>
          <w:rStyle w:val="CommentReference"/>
        </w:rPr>
        <w:annotationRef/>
      </w:r>
      <w:r w:rsidRPr="00CD769F">
        <w:rPr>
          <w:rFonts w:ascii="Simplified Arabic" w:hAnsi="Simplified Arabic" w:cs="Simplified Arabic"/>
          <w:sz w:val="28"/>
          <w:szCs w:val="28"/>
          <w:rtl/>
        </w:rPr>
        <w:t>الصياغات التمهيدية لتعريف</w:t>
      </w:r>
      <w:r>
        <w:rPr>
          <w:rFonts w:ascii="Simplified Arabic" w:hAnsi="Simplified Arabic" w:cs="Simplified Arabic"/>
          <w:sz w:val="28"/>
          <w:szCs w:val="28"/>
          <w:rtl/>
        </w:rPr>
        <w:t xml:space="preserve"> البيئة الرقمية،</w:t>
      </w:r>
      <w:r w:rsidRPr="00CD769F">
        <w:rPr>
          <w:rFonts w:ascii="Simplified Arabic" w:hAnsi="Simplified Arabic" w:cs="Simplified Arabic"/>
          <w:sz w:val="28"/>
          <w:szCs w:val="28"/>
          <w:rtl/>
        </w:rPr>
        <w:t xml:space="preserve"> الشبكات المعلوماتية والإنترنت في الفقه القانوني</w:t>
      </w:r>
      <w:r w:rsidRPr="00CD769F">
        <w:rPr>
          <w:rFonts w:ascii="Simplified Arabic" w:hAnsi="Simplified Arabic" w:cs="Simplified Arabic"/>
          <w:sz w:val="28"/>
          <w:szCs w:val="28"/>
        </w:rPr>
        <w:t>.</w:t>
      </w:r>
    </w:p>
    <w:p w14:paraId="0B5CE0BD" w14:textId="77777777" w:rsidR="000B6E77" w:rsidRPr="00CD769F" w:rsidRDefault="000B6E77" w:rsidP="003E49E8">
      <w:pPr>
        <w:pStyle w:val="NormalWeb"/>
        <w:bidi/>
        <w:rPr>
          <w:rFonts w:ascii="Simplified Arabic" w:hAnsi="Simplified Arabic" w:cs="Simplified Arabic" w:hint="default"/>
          <w:sz w:val="28"/>
          <w:szCs w:val="28"/>
        </w:rPr>
      </w:pP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 xml:space="preserve">يُلاحظ أن الباحث اعتمد هنا على مراجع فقهية قديمة نسبياً (أوائل الألفية) لتعريف الخصائص التقنية للإنترنت. بما أن هذا هو الفصل المفاهيمي الأساسي، كان يجب على الباحث تحديث أدبياته للاستشهاد بمراجع قانونية حديثة تواكب شبكات الجيل الخامس </w:t>
      </w:r>
      <w:r>
        <w:rPr>
          <w:rFonts w:ascii="Simplified Arabic" w:hAnsi="Simplified Arabic" w:cs="Simplified Arabic"/>
          <w:sz w:val="28"/>
          <w:szCs w:val="28"/>
        </w:rPr>
        <w:t>G5</w:t>
      </w:r>
      <w:r>
        <w:rPr>
          <w:rFonts w:ascii="Simplified Arabic" w:hAnsi="Simplified Arabic" w:cs="Simplified Arabic"/>
          <w:sz w:val="28"/>
          <w:szCs w:val="28"/>
          <w:rtl/>
        </w:rPr>
        <w:t xml:space="preserve"> </w:t>
      </w:r>
      <w:r w:rsidRPr="00CD769F">
        <w:rPr>
          <w:rFonts w:ascii="Simplified Arabic" w:hAnsi="Simplified Arabic" w:cs="Simplified Arabic"/>
          <w:sz w:val="28"/>
          <w:szCs w:val="28"/>
          <w:rtl/>
        </w:rPr>
        <w:t>والحوسبة السحابية</w:t>
      </w:r>
      <w:r w:rsidRPr="00CD769F">
        <w:rPr>
          <w:rFonts w:ascii="Simplified Arabic" w:hAnsi="Simplified Arabic" w:cs="Simplified Arabic"/>
          <w:sz w:val="28"/>
          <w:szCs w:val="28"/>
        </w:rPr>
        <w:t xml:space="preserve"> (Cloud Computing)</w:t>
      </w:r>
      <w:r w:rsidRPr="00CD769F">
        <w:rPr>
          <w:rFonts w:ascii="Simplified Arabic" w:hAnsi="Simplified Arabic" w:cs="Simplified Arabic"/>
          <w:sz w:val="28"/>
          <w:szCs w:val="28"/>
          <w:rtl/>
        </w:rPr>
        <w:t xml:space="preserve">، لأنها غيرت تماماً من مفهوم تخزين ومعالجة المصنفات الرقمية عما كان عليه الوضع عام </w:t>
      </w:r>
      <w:r>
        <w:rPr>
          <w:rFonts w:ascii="Simplified Arabic" w:hAnsi="Simplified Arabic" w:cs="Simplified Arabic"/>
          <w:sz w:val="28"/>
          <w:szCs w:val="28"/>
          <w:rtl/>
        </w:rPr>
        <w:t>في بداية الالفية</w:t>
      </w:r>
      <w:r w:rsidRPr="00CD769F">
        <w:rPr>
          <w:rFonts w:ascii="Simplified Arabic" w:hAnsi="Simplified Arabic" w:cs="Simplified Arabic"/>
          <w:sz w:val="28"/>
          <w:szCs w:val="28"/>
        </w:rPr>
        <w:t>.</w:t>
      </w:r>
    </w:p>
    <w:p w14:paraId="50751E79" w14:textId="381EE2B2" w:rsidR="000B6E77" w:rsidRDefault="000B6E77">
      <w:pPr>
        <w:pStyle w:val="CommentText"/>
      </w:pPr>
    </w:p>
  </w:comment>
  <w:comment w:id="177" w:author="DRAhmed" w:date="2026-07-08T13:55:00Z" w:initials="D">
    <w:p w14:paraId="2984BD52" w14:textId="77777777" w:rsidR="000B6E77" w:rsidRPr="00CD769F" w:rsidRDefault="000B6E77" w:rsidP="00111CD4">
      <w:pPr>
        <w:pStyle w:val="NormalWeb"/>
        <w:bidi/>
        <w:rPr>
          <w:rFonts w:ascii="Simplified Arabic" w:hAnsi="Simplified Arabic" w:cs="Simplified Arabic" w:hint="default"/>
          <w:sz w:val="28"/>
          <w:szCs w:val="28"/>
        </w:rPr>
      </w:pPr>
      <w:r>
        <w:rPr>
          <w:rStyle w:val="CommentReference"/>
        </w:rPr>
        <w:annotationRef/>
      </w:r>
      <w:r w:rsidRPr="00CD769F">
        <w:rPr>
          <w:rFonts w:ascii="Simplified Arabic" w:hAnsi="Simplified Arabic" w:cs="Simplified Arabic"/>
          <w:sz w:val="28"/>
          <w:szCs w:val="28"/>
          <w:rtl/>
        </w:rPr>
        <w:t>مناقشة خاصية "سهولة وسرعة النسخ الرقمي والتعديل</w:t>
      </w:r>
      <w:r w:rsidRPr="00CD769F">
        <w:rPr>
          <w:rFonts w:ascii="Simplified Arabic" w:hAnsi="Simplified Arabic" w:cs="Simplified Arabic"/>
          <w:sz w:val="28"/>
          <w:szCs w:val="28"/>
        </w:rPr>
        <w:t>".</w:t>
      </w:r>
    </w:p>
    <w:p w14:paraId="645FCECD" w14:textId="77777777" w:rsidR="000B6E77" w:rsidRPr="00CD769F" w:rsidRDefault="000B6E77" w:rsidP="00111CD4">
      <w:pPr>
        <w:pStyle w:val="NormalWeb"/>
        <w:bidi/>
        <w:rPr>
          <w:rFonts w:ascii="Simplified Arabic" w:hAnsi="Simplified Arabic" w:cs="Simplified Arabic" w:hint="default"/>
          <w:sz w:val="28"/>
          <w:szCs w:val="28"/>
        </w:rPr>
      </w:pPr>
      <w:r w:rsidRPr="00CD769F">
        <w:rPr>
          <w:rFonts w:ascii="Simplified Arabic" w:hAnsi="Simplified Arabic" w:cs="Simplified Arabic"/>
          <w:b/>
          <w:bCs/>
          <w:sz w:val="28"/>
          <w:szCs w:val="28"/>
          <w:rtl/>
        </w:rPr>
        <w:t>التوجيه التطويري</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 xml:space="preserve">الباحث استعرض الخاصية تقنياً بشكل ممتاز، ولكنه أغفل ربطها بالحق الأدبي الأبرز وهو </w:t>
      </w:r>
      <w:r w:rsidRPr="00CD769F">
        <w:rPr>
          <w:rFonts w:ascii="Simplified Arabic" w:hAnsi="Simplified Arabic" w:cs="Simplified Arabic"/>
          <w:b/>
          <w:bCs/>
          <w:sz w:val="28"/>
          <w:szCs w:val="28"/>
        </w:rPr>
        <w:t>"</w:t>
      </w:r>
      <w:r w:rsidRPr="00CD769F">
        <w:rPr>
          <w:rFonts w:ascii="Simplified Arabic" w:hAnsi="Simplified Arabic" w:cs="Simplified Arabic"/>
          <w:b/>
          <w:bCs/>
          <w:sz w:val="28"/>
          <w:szCs w:val="28"/>
          <w:rtl/>
        </w:rPr>
        <w:t>الحق في احترام سلامة المصنف</w:t>
      </w:r>
      <w:r w:rsidRPr="00CD769F">
        <w:rPr>
          <w:rFonts w:ascii="Simplified Arabic" w:hAnsi="Simplified Arabic" w:cs="Simplified Arabic"/>
          <w:b/>
          <w:bCs/>
          <w:sz w:val="28"/>
          <w:szCs w:val="28"/>
        </w:rPr>
        <w:t>"</w:t>
      </w:r>
      <w:r>
        <w:rPr>
          <w:rFonts w:ascii="Simplified Arabic" w:hAnsi="Simplified Arabic" w:cs="Simplified Arabic"/>
          <w:sz w:val="28"/>
          <w:szCs w:val="28"/>
        </w:rPr>
        <w:t xml:space="preserve"> </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 xml:space="preserve">في البيئة الرقمية، النسخ لا يتوقف عند حد التكرار بل يشمل "التحوير والدمج الرقمي" بسهولة (مثل الميتافيرس والتعديل بالذكاء الاصطناعي). </w:t>
      </w:r>
      <w:r w:rsidRPr="00A160D4">
        <w:rPr>
          <w:rFonts w:ascii="Simplified Arabic" w:hAnsi="Simplified Arabic" w:cs="Simplified Arabic"/>
          <w:sz w:val="28"/>
          <w:szCs w:val="28"/>
          <w:highlight w:val="yellow"/>
          <w:rtl/>
        </w:rPr>
        <w:t>يوصى الباحث بإضافة فقرة تحليلية تبين كيف تؤثر خاصية التعديل الرقمي السريع على هذا الحق الأدبي تحديداً</w:t>
      </w:r>
      <w:r w:rsidRPr="00CD769F">
        <w:rPr>
          <w:rFonts w:ascii="Simplified Arabic" w:hAnsi="Simplified Arabic" w:cs="Simplified Arabic"/>
          <w:sz w:val="28"/>
          <w:szCs w:val="28"/>
        </w:rPr>
        <w:t>.</w:t>
      </w:r>
    </w:p>
    <w:p w14:paraId="7B057A3C" w14:textId="1C2F4BF5" w:rsidR="000B6E77" w:rsidRDefault="000B6E77">
      <w:pPr>
        <w:pStyle w:val="CommentText"/>
      </w:pPr>
    </w:p>
  </w:comment>
  <w:comment w:id="178" w:author="DRAhmed" w:date="2026-07-08T13:34:00Z" w:initials="D">
    <w:p w14:paraId="6B741B3B" w14:textId="43DA5AA7" w:rsidR="000B6E77" w:rsidRDefault="000B6E77" w:rsidP="001F2D43">
      <w:pPr>
        <w:pStyle w:val="NormalWeb"/>
        <w:bidi/>
        <w:rPr>
          <w:rFonts w:ascii="Simplified Arabic" w:hAnsi="Simplified Arabic" w:cs="Simplified Arabic" w:hint="default"/>
          <w:sz w:val="28"/>
          <w:szCs w:val="28"/>
        </w:rPr>
      </w:pPr>
      <w:r>
        <w:rPr>
          <w:rStyle w:val="CommentReference"/>
        </w:rPr>
        <w:annotationRef/>
      </w:r>
      <w:r w:rsidRPr="00CD769F">
        <w:rPr>
          <w:rFonts w:ascii="Simplified Arabic" w:hAnsi="Simplified Arabic" w:cs="Simplified Arabic"/>
          <w:b/>
          <w:bCs/>
          <w:sz w:val="28"/>
          <w:szCs w:val="28"/>
          <w:rtl/>
        </w:rPr>
        <w:t>السؤال</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عند معالجتك لخاصية "العالمية والامتداد العابر للحدود للشبكات"؛ في حال حدوث اعتداء على مصنف رقمي لسعودي عبر موقع مستضاف في دولة تطبق النظام اللاتيني (كفرنسا)، كيف تحل المعاهدات الدولية إشكالية "الاختصاص القضائي الدولي" للنظر في هذا الانتهاك الرقمي بناءً على ما طرحته؟</w:t>
      </w:r>
    </w:p>
    <w:p w14:paraId="60458A03" w14:textId="77777777" w:rsidR="000B6E77" w:rsidRPr="00CD769F" w:rsidRDefault="000B6E77" w:rsidP="001F2D43">
      <w:pPr>
        <w:pStyle w:val="NormalWeb"/>
        <w:bidi/>
        <w:rPr>
          <w:rFonts w:ascii="Simplified Arabic" w:hAnsi="Simplified Arabic" w:cs="Simplified Arabic" w:hint="default"/>
          <w:sz w:val="28"/>
          <w:szCs w:val="28"/>
        </w:rPr>
      </w:pPr>
      <w:r w:rsidRPr="00CD769F">
        <w:rPr>
          <w:rFonts w:ascii="Simplified Arabic" w:hAnsi="Simplified Arabic" w:cs="Simplified Arabic"/>
          <w:b/>
          <w:bCs/>
          <w:sz w:val="28"/>
          <w:szCs w:val="28"/>
          <w:rtl/>
        </w:rPr>
        <w:t>الإجابة القانونية المستهدفة</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يوضح الباحث أن خاصية تخطي الحدود تجعل القواعد التقليدية (محل وقوع الفعل الضار) معقدة. يتم الاستناد هنا إلى "اتفاقية برن" و"معاهدة الويبو لحق المؤلف" اللتين تقران مبدأ "المعاملة الوطنية"، حيث يؤول الاختصاص غالباً للمحكمة التي يطالب المدعي بالحماية في إقليمها (قانون بلد الحماية)، أو المحكمة التي يقع فيها موطن المدعى عليه (المنصات الرقمية المنتهِكة</w:t>
      </w:r>
      <w:r>
        <w:rPr>
          <w:rFonts w:ascii="Simplified Arabic" w:hAnsi="Simplified Arabic" w:cs="Simplified Arabic"/>
          <w:sz w:val="28"/>
          <w:szCs w:val="28"/>
          <w:rtl/>
        </w:rPr>
        <w:t>)</w:t>
      </w:r>
    </w:p>
    <w:p w14:paraId="080E1C5C" w14:textId="2062AA53" w:rsidR="000B6E77" w:rsidRDefault="000B6E77">
      <w:pPr>
        <w:pStyle w:val="CommentText"/>
      </w:pPr>
    </w:p>
  </w:comment>
  <w:comment w:id="203" w:author="DRAhmed" w:date="2026-07-08T14:34:00Z" w:initials="D">
    <w:p w14:paraId="15397272" w14:textId="132770A1" w:rsidR="000B6E77" w:rsidRDefault="000B6E77" w:rsidP="00D17688">
      <w:pPr>
        <w:pStyle w:val="NormalWeb"/>
        <w:bidi/>
        <w:rPr>
          <w:rFonts w:ascii="Simplified Arabic" w:hAnsi="Simplified Arabic" w:cs="Simplified Arabic" w:hint="default"/>
          <w:sz w:val="28"/>
          <w:szCs w:val="28"/>
          <w:rtl/>
        </w:rPr>
      </w:pPr>
      <w:r>
        <w:rPr>
          <w:rFonts w:ascii="Simplified Arabic" w:hAnsi="Simplified Arabic" w:cs="Simplified Arabic"/>
          <w:sz w:val="28"/>
          <w:szCs w:val="28"/>
          <w:rtl/>
        </w:rPr>
        <w:t>الفصل الثاني صفحة 91</w:t>
      </w:r>
    </w:p>
    <w:p w14:paraId="1660BEB2" w14:textId="77777777" w:rsidR="000B6E77" w:rsidRPr="00CD769F" w:rsidRDefault="000B6E77" w:rsidP="00D17688">
      <w:pPr>
        <w:pStyle w:val="NormalWeb"/>
        <w:bidi/>
        <w:rPr>
          <w:rFonts w:ascii="Simplified Arabic" w:hAnsi="Simplified Arabic" w:cs="Simplified Arabic" w:hint="default"/>
          <w:sz w:val="28"/>
          <w:szCs w:val="28"/>
        </w:rPr>
      </w:pPr>
      <w:r>
        <w:rPr>
          <w:rStyle w:val="CommentReference"/>
        </w:rPr>
        <w:annotationRef/>
      </w:r>
      <w:r w:rsidRPr="00CD769F">
        <w:rPr>
          <w:rFonts w:ascii="Simplified Arabic" w:hAnsi="Simplified Arabic" w:cs="Simplified Arabic"/>
          <w:sz w:val="28"/>
          <w:szCs w:val="28"/>
          <w:rtl/>
        </w:rPr>
        <w:t>سرد بنود اتفاقية بيرن التقليدية ودورها التاريخي</w:t>
      </w:r>
      <w:r w:rsidRPr="00CD769F">
        <w:rPr>
          <w:rFonts w:ascii="Simplified Arabic" w:hAnsi="Simplified Arabic" w:cs="Simplified Arabic"/>
          <w:sz w:val="28"/>
          <w:szCs w:val="28"/>
        </w:rPr>
        <w:t>.</w:t>
      </w:r>
    </w:p>
    <w:p w14:paraId="1880834A" w14:textId="77777777" w:rsidR="000B6E77" w:rsidRPr="00CD769F" w:rsidRDefault="000B6E77" w:rsidP="00D17688">
      <w:pPr>
        <w:pStyle w:val="NormalWeb"/>
        <w:bidi/>
        <w:rPr>
          <w:rFonts w:ascii="Simplified Arabic" w:hAnsi="Simplified Arabic" w:cs="Simplified Arabic" w:hint="default"/>
          <w:sz w:val="28"/>
          <w:szCs w:val="28"/>
        </w:rPr>
      </w:pPr>
      <w:r w:rsidRPr="00CD769F">
        <w:rPr>
          <w:rFonts w:ascii="Simplified Arabic" w:hAnsi="Simplified Arabic" w:cs="Simplified Arabic"/>
          <w:b/>
          <w:bCs/>
          <w:sz w:val="28"/>
          <w:szCs w:val="28"/>
          <w:rtl/>
        </w:rPr>
        <w:t>التوجيه التطويري</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يلاحظ أن الباحث غرق في سرد تاريخي لنشأة اتفاقية بيرن وتعديلاتها دون إبراز "الربط الرقمي". كان يتعين عليه منذ البداية تركيز التحليل على المادة (9) من الاتفاقية المتعلقة بحق النسخ، وكيف مهدت هذه المادة للتحول الرقمي، بدلاً من استهلاك مساحة البحث في بنود تقليدية لا تمس البيئة الرقمية بشكل مباشر</w:t>
      </w:r>
      <w:r w:rsidRPr="00CD769F">
        <w:rPr>
          <w:rFonts w:ascii="Simplified Arabic" w:hAnsi="Simplified Arabic" w:cs="Simplified Arabic"/>
          <w:sz w:val="28"/>
          <w:szCs w:val="28"/>
        </w:rPr>
        <w:t xml:space="preserve">. </w:t>
      </w:r>
    </w:p>
    <w:p w14:paraId="19F6D30A" w14:textId="2D0AE786" w:rsidR="000B6E77" w:rsidRDefault="000B6E77">
      <w:pPr>
        <w:pStyle w:val="CommentText"/>
      </w:pPr>
    </w:p>
  </w:comment>
  <w:comment w:id="227" w:author="DRAhmed" w:date="2026-07-08T14:41:00Z" w:initials="D">
    <w:p w14:paraId="51424932" w14:textId="77777777" w:rsidR="000B6E77" w:rsidRPr="00CD769F" w:rsidRDefault="000B6E77" w:rsidP="007467F1">
      <w:pPr>
        <w:pStyle w:val="NormalWeb"/>
        <w:bidi/>
        <w:rPr>
          <w:rFonts w:ascii="Simplified Arabic" w:hAnsi="Simplified Arabic" w:cs="Simplified Arabic" w:hint="default"/>
          <w:sz w:val="28"/>
          <w:szCs w:val="28"/>
        </w:rPr>
      </w:pPr>
      <w:r>
        <w:rPr>
          <w:rStyle w:val="CommentReference"/>
        </w:rPr>
        <w:annotationRef/>
      </w:r>
      <w:r w:rsidRPr="00CD769F">
        <w:rPr>
          <w:rFonts w:ascii="Simplified Arabic" w:hAnsi="Simplified Arabic" w:cs="Simplified Arabic"/>
          <w:sz w:val="28"/>
          <w:szCs w:val="28"/>
          <w:rtl/>
        </w:rPr>
        <w:t>صياغة المقارنة التشريعية بين الأنظمة الثلاثة (السعودي، الفرنسي، الأمريكي</w:t>
      </w:r>
      <w:r>
        <w:rPr>
          <w:rFonts w:ascii="Simplified Arabic" w:hAnsi="Simplified Arabic" w:cs="Simplified Arabic"/>
          <w:sz w:val="28"/>
          <w:szCs w:val="28"/>
          <w:rtl/>
        </w:rPr>
        <w:t>)</w:t>
      </w:r>
    </w:p>
    <w:p w14:paraId="01CE3150" w14:textId="76FED98E" w:rsidR="000B6E77" w:rsidRDefault="000B6E77" w:rsidP="007467F1">
      <w:pPr>
        <w:pStyle w:val="CommentText"/>
      </w:pPr>
      <w:r w:rsidRPr="00CD769F">
        <w:rPr>
          <w:rFonts w:ascii="Simplified Arabic" w:hAnsi="Simplified Arabic" w:cs="Simplified Arabic"/>
          <w:b/>
          <w:bCs/>
          <w:sz w:val="28"/>
          <w:szCs w:val="28"/>
          <w:rtl/>
        </w:rPr>
        <w:t>التوجيه التطويري</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الباحث استعرض القوانين الوطنية بالتوالي (كل قانون على حدة في مبحث مستقيل</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 xml:space="preserve">هذا الأسلوب يعتبر "سرداً متوازياً" وليس "تحليلاً مقارناً". يُوصى الباحث بختام هذا الفصل بوضع </w:t>
      </w:r>
      <w:r w:rsidRPr="00CD769F">
        <w:rPr>
          <w:rFonts w:ascii="Simplified Arabic" w:hAnsi="Simplified Arabic" w:cs="Simplified Arabic"/>
          <w:b/>
          <w:bCs/>
          <w:sz w:val="28"/>
          <w:szCs w:val="28"/>
          <w:rtl/>
        </w:rPr>
        <w:t>جدول تحليلي مقارن يجمع الأنظمة الثلاثة</w:t>
      </w:r>
      <w:r w:rsidRPr="00CD769F">
        <w:rPr>
          <w:rFonts w:ascii="Simplified Arabic" w:hAnsi="Simplified Arabic" w:cs="Simplified Arabic"/>
          <w:sz w:val="28"/>
          <w:szCs w:val="28"/>
          <w:rtl/>
        </w:rPr>
        <w:t xml:space="preserve"> موضحاً فيه وجه المقارنة من حيث: (محل الحماية الرقمية، مدة الحماية، الاستثناءات الرقمية المتاحة، وعقوبات الانتهاك الإلكتروني)؛ </w:t>
      </w:r>
      <w:r>
        <w:rPr>
          <w:rFonts w:ascii="Simplified Arabic" w:hAnsi="Simplified Arabic" w:cs="Simplified Arabic" w:hint="cs"/>
          <w:sz w:val="28"/>
          <w:szCs w:val="28"/>
          <w:rtl/>
        </w:rPr>
        <w:t>لاثبات</w:t>
      </w:r>
      <w:r w:rsidRPr="00CD769F">
        <w:rPr>
          <w:rFonts w:ascii="Simplified Arabic" w:hAnsi="Simplified Arabic" w:cs="Simplified Arabic"/>
          <w:sz w:val="28"/>
          <w:szCs w:val="28"/>
          <w:rtl/>
        </w:rPr>
        <w:t xml:space="preserve"> قدرة الباحث على إعمال المنهج المقارن بشكل تطبيقي منضبط</w:t>
      </w:r>
      <w:r w:rsidRPr="00CD769F">
        <w:rPr>
          <w:rFonts w:ascii="Simplified Arabic" w:hAnsi="Simplified Arabic" w:cs="Simplified Arabic"/>
          <w:sz w:val="28"/>
          <w:szCs w:val="28"/>
        </w:rPr>
        <w:t>.</w:t>
      </w:r>
    </w:p>
  </w:comment>
  <w:comment w:id="262" w:author="DRAhmed" w:date="2026-07-08T16:01:00Z" w:initials="D">
    <w:p w14:paraId="09D6BC58" w14:textId="5270EB86" w:rsidR="000B6E77" w:rsidRPr="00CD769F" w:rsidRDefault="000B6E77" w:rsidP="002A3B31">
      <w:pPr>
        <w:pStyle w:val="Heading3"/>
        <w:bidi/>
        <w:rPr>
          <w:rFonts w:ascii="Simplified Arabic" w:hAnsi="Simplified Arabic" w:cs="Simplified Arabic"/>
          <w:sz w:val="28"/>
          <w:szCs w:val="28"/>
        </w:rPr>
      </w:pPr>
      <w:r>
        <w:rPr>
          <w:rStyle w:val="CommentReference"/>
        </w:rPr>
        <w:annotationRef/>
      </w:r>
      <w:r w:rsidRPr="00CD769F">
        <w:rPr>
          <w:rFonts w:ascii="Simplified Arabic" w:hAnsi="Simplified Arabic" w:cs="Simplified Arabic"/>
          <w:b/>
          <w:bCs/>
          <w:sz w:val="28"/>
          <w:szCs w:val="28"/>
          <w:rtl/>
        </w:rPr>
        <w:t xml:space="preserve"> التفتيش والمعاينة الرقمية وضوابطها</w:t>
      </w:r>
    </w:p>
    <w:p w14:paraId="0E0432AB" w14:textId="77777777" w:rsidR="000B6E77" w:rsidRDefault="000B6E77" w:rsidP="00323404">
      <w:pPr>
        <w:pStyle w:val="NormalWeb"/>
        <w:bidi/>
        <w:rPr>
          <w:rFonts w:ascii="Simplified Arabic" w:hAnsi="Simplified Arabic" w:cs="Simplified Arabic" w:hint="default"/>
          <w:sz w:val="28"/>
          <w:szCs w:val="28"/>
          <w:rtl/>
        </w:rPr>
      </w:pPr>
      <w:r w:rsidRPr="00CD769F">
        <w:rPr>
          <w:rFonts w:ascii="Simplified Arabic" w:hAnsi="Simplified Arabic" w:cs="Simplified Arabic"/>
          <w:b/>
          <w:bCs/>
          <w:sz w:val="28"/>
          <w:szCs w:val="28"/>
          <w:rtl/>
        </w:rPr>
        <w:t>السؤال</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 xml:space="preserve">في مطلع هذا الفصل، بدأت بالحديث عن إجراءات التحقيق والتحري في الجرائم الرقمية. تفتيش السيرفرات أو الحواسب الآلية لضبط أدلة قرصنة المصنفات يثير إشكالية "الحق في الخصوصية وحرمة البيانات الشخصية". </w:t>
      </w:r>
    </w:p>
    <w:p w14:paraId="52189486" w14:textId="77777777" w:rsidR="000B6E77" w:rsidRPr="00CD769F" w:rsidRDefault="000B6E77" w:rsidP="00323404">
      <w:pPr>
        <w:pStyle w:val="NormalWeb"/>
        <w:bidi/>
        <w:rPr>
          <w:rFonts w:ascii="Simplified Arabic" w:hAnsi="Simplified Arabic" w:cs="Simplified Arabic" w:hint="default"/>
          <w:sz w:val="28"/>
          <w:szCs w:val="28"/>
        </w:rPr>
      </w:pPr>
      <w:r w:rsidRPr="00CD769F">
        <w:rPr>
          <w:rFonts w:ascii="Simplified Arabic" w:hAnsi="Simplified Arabic" w:cs="Simplified Arabic"/>
          <w:sz w:val="28"/>
          <w:szCs w:val="28"/>
          <w:rtl/>
        </w:rPr>
        <w:t>كيف وازنت التشريعات المقارنة (خاصة الفرنسي بنظام حماية البيانات</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والأنظمة السعودية) بين ضرورة ضبط الأدلة الرقمية للانتهاك، وبين حماية خصوصية البيانات غير المتعلقة بالجريمة أثناء التفتيش؟</w:t>
      </w:r>
    </w:p>
    <w:p w14:paraId="2D41DB53" w14:textId="351A15A3" w:rsidR="000B6E77" w:rsidRPr="00323404" w:rsidRDefault="000B6E77" w:rsidP="00323404">
      <w:pPr>
        <w:pStyle w:val="NormalWeb"/>
        <w:bidi/>
        <w:rPr>
          <w:rFonts w:ascii="Simplified Arabic" w:hAnsi="Simplified Arabic" w:cs="Simplified Arabic" w:hint="default"/>
          <w:sz w:val="28"/>
          <w:szCs w:val="28"/>
        </w:rPr>
      </w:pPr>
      <w:r w:rsidRPr="00CD769F">
        <w:rPr>
          <w:rFonts w:ascii="Simplified Arabic" w:hAnsi="Simplified Arabic" w:cs="Simplified Arabic"/>
          <w:b/>
          <w:bCs/>
          <w:sz w:val="28"/>
          <w:szCs w:val="28"/>
          <w:rtl/>
        </w:rPr>
        <w:t>الإجابة القانونية المستهدفة</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يجب أن يوضح الباحث أن الحماية الإجرائية تشترط صدور إذن قضائي مسبب ومحدد النطاق؛ فلا يجوز التفتيش العشوائي. ويجب على الجهات الضبطية قصر مصلحة المعاينة على الملفات والمصنفات محل الاعتداء دون الولوج إلى البيانات الشخصية أو العائلية للمشتبه به، وفي حال المخالفة بضبط أدلة خارج نطاق الإذن، قد يؤدي ذلك إلى بطلان الدليل الرقمي المستمد أمام محكمة الموضوع</w:t>
      </w:r>
      <w:r>
        <w:rPr>
          <w:rFonts w:ascii="Simplified Arabic" w:hAnsi="Simplified Arabic" w:cs="Simplified Arabic"/>
          <w:sz w:val="28"/>
          <w:szCs w:val="28"/>
        </w:rPr>
        <w:t>.</w:t>
      </w:r>
    </w:p>
  </w:comment>
  <w:comment w:id="267" w:author="DRAhmed" w:date="2026-07-08T16:22:00Z" w:initials="D">
    <w:p w14:paraId="7B113B8B" w14:textId="08DF15A2" w:rsidR="000B6E77" w:rsidRDefault="000B6E77">
      <w:pPr>
        <w:pStyle w:val="CommentText"/>
        <w:rPr>
          <w:rtl/>
        </w:rPr>
      </w:pPr>
      <w:r>
        <w:rPr>
          <w:rStyle w:val="CommentReference"/>
        </w:rPr>
        <w:annotationRef/>
      </w:r>
      <w:r>
        <w:rPr>
          <w:rFonts w:hint="cs"/>
          <w:rtl/>
        </w:rPr>
        <w:t>ادراج المفهوم العلمي الصحيح للخوارزمية</w:t>
      </w:r>
    </w:p>
    <w:p w14:paraId="4CA8F580" w14:textId="46DCF340" w:rsidR="000B6E77" w:rsidRDefault="000B6E77">
      <w:pPr>
        <w:pStyle w:val="CommentText"/>
      </w:pPr>
      <w:r>
        <w:rPr>
          <w:rFonts w:hint="cs"/>
          <w:rtl/>
        </w:rPr>
        <w:t xml:space="preserve">العناصر التي تعتمد عليها خوارزمية التشفير </w:t>
      </w:r>
    </w:p>
    <w:p w14:paraId="256CC3A1" w14:textId="1E9EC519" w:rsidR="000B6E77" w:rsidRDefault="000B6E77">
      <w:pPr>
        <w:pStyle w:val="CommentText"/>
      </w:pPr>
      <w:r>
        <w:t>Plaintext</w:t>
      </w:r>
    </w:p>
    <w:p w14:paraId="5899C81C" w14:textId="1F49694E" w:rsidR="000B6E77" w:rsidRDefault="000B6E77">
      <w:pPr>
        <w:pStyle w:val="CommentText"/>
      </w:pPr>
      <w:r>
        <w:t>Key</w:t>
      </w:r>
    </w:p>
    <w:p w14:paraId="4BFC0B46" w14:textId="5A986673" w:rsidR="000B6E77" w:rsidRDefault="000B6E77">
      <w:pPr>
        <w:pStyle w:val="CommentText"/>
        <w:rPr>
          <w:rtl/>
        </w:rPr>
      </w:pPr>
      <w:r>
        <w:rPr>
          <w:rFonts w:hint="cs"/>
          <w:rtl/>
        </w:rPr>
        <w:t>كمدخلات</w:t>
      </w:r>
    </w:p>
    <w:p w14:paraId="2B724A48" w14:textId="77777777" w:rsidR="000B6E77" w:rsidRDefault="000B6E77">
      <w:pPr>
        <w:pStyle w:val="CommentText"/>
        <w:rPr>
          <w:rtl/>
        </w:rPr>
      </w:pPr>
    </w:p>
    <w:p w14:paraId="239F2FC2" w14:textId="3C842C37" w:rsidR="000B6E77" w:rsidRDefault="000B6E77">
      <w:pPr>
        <w:pStyle w:val="CommentText"/>
        <w:rPr>
          <w:rtl/>
        </w:rPr>
      </w:pPr>
      <w:r>
        <w:rPr>
          <w:rFonts w:hint="cs"/>
          <w:rtl/>
        </w:rPr>
        <w:t>المخرجات</w:t>
      </w:r>
    </w:p>
    <w:p w14:paraId="2CF7E11F" w14:textId="59F24D1F" w:rsidR="000B6E77" w:rsidRDefault="000B6E77">
      <w:pPr>
        <w:pStyle w:val="CommentText"/>
      </w:pPr>
      <w:r>
        <w:t>Ciphertext</w:t>
      </w:r>
    </w:p>
    <w:p w14:paraId="011D3E79" w14:textId="77777777" w:rsidR="000B6E77" w:rsidRDefault="000B6E77">
      <w:pPr>
        <w:pStyle w:val="CommentText"/>
      </w:pPr>
    </w:p>
    <w:p w14:paraId="3F857BB3" w14:textId="66A7E266" w:rsidR="000B6E77" w:rsidRDefault="000B6E77">
      <w:pPr>
        <w:pStyle w:val="CommentText"/>
        <w:rPr>
          <w:rtl/>
        </w:rPr>
      </w:pPr>
      <w:r>
        <w:rPr>
          <w:rFonts w:hint="cs"/>
          <w:rtl/>
        </w:rPr>
        <w:t>لفك التشفير</w:t>
      </w:r>
    </w:p>
    <w:p w14:paraId="156F3744" w14:textId="268C0038" w:rsidR="000B6E77" w:rsidRDefault="000B6E77">
      <w:pPr>
        <w:pStyle w:val="CommentText"/>
      </w:pPr>
      <w:r>
        <w:t>Ciphertext</w:t>
      </w:r>
    </w:p>
    <w:p w14:paraId="4E8D874A" w14:textId="371C9792" w:rsidR="000B6E77" w:rsidRDefault="000B6E77">
      <w:pPr>
        <w:pStyle w:val="CommentText"/>
      </w:pPr>
      <w:r>
        <w:t>Key</w:t>
      </w:r>
    </w:p>
    <w:p w14:paraId="63F1321E" w14:textId="77777777" w:rsidR="000B6E77" w:rsidRDefault="000B6E77">
      <w:pPr>
        <w:pStyle w:val="CommentText"/>
        <w:rPr>
          <w:rtl/>
        </w:rPr>
      </w:pPr>
    </w:p>
    <w:p w14:paraId="5EEF7A61" w14:textId="2436B9E0" w:rsidR="000B6E77" w:rsidRDefault="000B6E77">
      <w:pPr>
        <w:pStyle w:val="CommentText"/>
        <w:rPr>
          <w:rtl/>
        </w:rPr>
      </w:pPr>
      <w:r>
        <w:rPr>
          <w:rFonts w:hint="cs"/>
          <w:rtl/>
        </w:rPr>
        <w:t xml:space="preserve">المخرجات </w:t>
      </w:r>
    </w:p>
    <w:p w14:paraId="628589A9" w14:textId="4B4671F8" w:rsidR="000B6E77" w:rsidRDefault="000B6E77">
      <w:pPr>
        <w:pStyle w:val="CommentText"/>
      </w:pPr>
      <w:r>
        <w:t>Plaintext</w:t>
      </w:r>
    </w:p>
  </w:comment>
  <w:comment w:id="268" w:author="DRAhmed" w:date="2026-07-08T16:29:00Z" w:initials="D">
    <w:p w14:paraId="022E5CDB" w14:textId="4E9E3781" w:rsidR="000B6E77" w:rsidRDefault="000B6E77">
      <w:pPr>
        <w:pStyle w:val="CommentText"/>
        <w:rPr>
          <w:rtl/>
        </w:rPr>
      </w:pPr>
      <w:r>
        <w:rPr>
          <w:rStyle w:val="CommentReference"/>
        </w:rPr>
        <w:annotationRef/>
      </w:r>
      <w:r>
        <w:rPr>
          <w:rFonts w:hint="cs"/>
          <w:rtl/>
        </w:rPr>
        <w:t>المقصود بالتصنيف درجة الحماية اللازمة</w:t>
      </w:r>
    </w:p>
    <w:p w14:paraId="7EE5BD5B" w14:textId="26C43BFD" w:rsidR="000B6E77" w:rsidRDefault="000B6E77">
      <w:pPr>
        <w:pStyle w:val="CommentText"/>
      </w:pPr>
      <w:r>
        <w:t>CIA</w:t>
      </w:r>
    </w:p>
  </w:comment>
  <w:comment w:id="271" w:author="DRAhmed" w:date="2026-07-08T17:11:00Z" w:initials="D">
    <w:p w14:paraId="46D42FCA" w14:textId="197DDB0C" w:rsidR="000B6E77" w:rsidRPr="000A034D" w:rsidRDefault="000B6E77" w:rsidP="007D1C0E">
      <w:pPr>
        <w:pStyle w:val="NormalWeb"/>
        <w:numPr>
          <w:ilvl w:val="1"/>
          <w:numId w:val="330"/>
        </w:numPr>
        <w:pBdr>
          <w:top w:val="none" w:sz="0" w:space="0" w:color="auto"/>
          <w:left w:val="none" w:sz="0" w:space="0" w:color="auto"/>
          <w:bottom w:val="none" w:sz="0" w:space="0" w:color="auto"/>
          <w:right w:val="none" w:sz="0" w:space="0" w:color="auto"/>
          <w:between w:val="none" w:sz="0" w:space="0" w:color="auto"/>
          <w:bar w:val="none" w:sz="0" w:color="auto"/>
        </w:pBdr>
        <w:bidi/>
        <w:spacing w:beforeAutospacing="1" w:afterAutospacing="1"/>
        <w:rPr>
          <w:rFonts w:ascii="Simplified Arabic" w:hAnsi="Simplified Arabic" w:cs="Simplified Arabic" w:hint="default"/>
          <w:sz w:val="28"/>
          <w:szCs w:val="28"/>
        </w:rPr>
      </w:pPr>
      <w:r>
        <w:rPr>
          <w:rStyle w:val="CommentReference"/>
        </w:rPr>
        <w:annotationRef/>
      </w:r>
      <w:r w:rsidRPr="000A034D">
        <w:rPr>
          <w:rFonts w:ascii="Simplified Arabic" w:hAnsi="Simplified Arabic" w:cs="Simplified Arabic"/>
          <w:b/>
          <w:bCs/>
          <w:sz w:val="28"/>
          <w:szCs w:val="28"/>
          <w:rtl/>
        </w:rPr>
        <w:t>السؤال</w:t>
      </w:r>
      <w:r w:rsidRPr="000A034D">
        <w:rPr>
          <w:rFonts w:ascii="Simplified Arabic" w:hAnsi="Simplified Arabic" w:cs="Simplified Arabic"/>
          <w:b/>
          <w:bCs/>
          <w:sz w:val="28"/>
          <w:szCs w:val="28"/>
        </w:rPr>
        <w:t>:</w:t>
      </w:r>
      <w:r w:rsidRPr="000A034D">
        <w:rPr>
          <w:rFonts w:ascii="Simplified Arabic" w:hAnsi="Simplified Arabic" w:cs="Simplified Arabic"/>
          <w:sz w:val="28"/>
          <w:szCs w:val="28"/>
        </w:rPr>
        <w:t xml:space="preserve"> </w:t>
      </w:r>
      <w:r w:rsidRPr="000A034D">
        <w:rPr>
          <w:rFonts w:ascii="Simplified Arabic" w:hAnsi="Simplified Arabic" w:cs="Simplified Arabic"/>
          <w:sz w:val="28"/>
          <w:szCs w:val="28"/>
          <w:rtl/>
        </w:rPr>
        <w:t xml:space="preserve">في صفحة </w:t>
      </w:r>
      <w:r>
        <w:rPr>
          <w:rFonts w:ascii="Simplified Arabic" w:hAnsi="Simplified Arabic" w:cs="Simplified Arabic"/>
          <w:sz w:val="28"/>
          <w:szCs w:val="28"/>
          <w:rtl/>
        </w:rPr>
        <w:t>216</w:t>
      </w:r>
      <w:r w:rsidRPr="000A034D">
        <w:rPr>
          <w:rFonts w:ascii="Simplified Arabic" w:hAnsi="Simplified Arabic" w:cs="Simplified Arabic"/>
          <w:sz w:val="28"/>
          <w:szCs w:val="28"/>
          <w:rtl/>
        </w:rPr>
        <w:t xml:space="preserve"> عند معالجتك للتدابير التحفظية المؤقتة (مثل أمر حجب الموقع الإلكتروني المنتهِك)؛ إذا كان الموقع يبث من خارج نطاق الدولة (الدولة (أ))، فما هي القيمة العملية للإجراءات التحفظية المتخذة وطنياً؟ وهل يملك القضاء المستعجل فرض "أمر حجب عالمي</w:t>
      </w:r>
      <w:r w:rsidRPr="000A034D">
        <w:rPr>
          <w:rFonts w:ascii="Simplified Arabic" w:hAnsi="Simplified Arabic" w:cs="Simplified Arabic"/>
          <w:sz w:val="28"/>
          <w:szCs w:val="28"/>
        </w:rPr>
        <w:t xml:space="preserve">" (Global Injunction) </w:t>
      </w:r>
      <w:r w:rsidRPr="000A034D">
        <w:rPr>
          <w:rFonts w:ascii="Simplified Arabic" w:hAnsi="Simplified Arabic" w:cs="Simplified Arabic"/>
          <w:sz w:val="28"/>
          <w:szCs w:val="28"/>
          <w:rtl/>
        </w:rPr>
        <w:t>يلزم محركات البحث والوسائط في الدول الأخرى بناءً على المقارنات الدولية التي أجريتها؟</w:t>
      </w:r>
    </w:p>
    <w:p w14:paraId="008E219B" w14:textId="553A43C1" w:rsidR="000B6E77" w:rsidRDefault="000B6E77" w:rsidP="007D1C0E">
      <w:pPr>
        <w:pStyle w:val="CommentText"/>
      </w:pPr>
      <w:r w:rsidRPr="00CD769F">
        <w:rPr>
          <w:rFonts w:ascii="Simplified Arabic" w:hAnsi="Simplified Arabic" w:cs="Simplified Arabic"/>
          <w:b/>
          <w:bCs/>
          <w:sz w:val="28"/>
          <w:szCs w:val="28"/>
          <w:rtl/>
        </w:rPr>
        <w:t>الإجابة القانونية المستهدفة</w:t>
      </w:r>
      <w:r w:rsidRPr="00CD769F">
        <w:rPr>
          <w:rFonts w:ascii="Simplified Arabic" w:hAnsi="Simplified Arabic" w:cs="Simplified Arabic"/>
          <w:b/>
          <w:bCs/>
          <w:sz w:val="28"/>
          <w:szCs w:val="28"/>
        </w:rPr>
        <w:t>:</w:t>
      </w:r>
      <w:r w:rsidRPr="00CD769F">
        <w:rPr>
          <w:rFonts w:ascii="Simplified Arabic" w:hAnsi="Simplified Arabic" w:cs="Simplified Arabic"/>
          <w:sz w:val="28"/>
          <w:szCs w:val="28"/>
        </w:rPr>
        <w:t xml:space="preserve"> </w:t>
      </w:r>
      <w:r w:rsidRPr="00CD769F">
        <w:rPr>
          <w:rFonts w:ascii="Simplified Arabic" w:hAnsi="Simplified Arabic" w:cs="Simplified Arabic"/>
          <w:sz w:val="28"/>
          <w:szCs w:val="28"/>
          <w:rtl/>
        </w:rPr>
        <w:t>يوضح الباحث أن الأوامر الوطنية بالحجب تكون نافذة فقط داخل الإقليم الجغرافي للدولة عبر إلزام مزودي الخدمة المحليين بالحجب. أما فرض "أمر حجب عالمي" فهو محل خلاف دولي كبير؛ فقضاء الاتحاد الأوروبي (وقرارات المحكمة الفرنسية) يقر أحياناً بضرورة الحجب العالمي إذا كان الانتهاك جسيماً، بينما يتخوف القضاء الأمريكي من تعارض ذلك مع حرية التعبير، ولحل هذه المعضلة يتم اللجوء للتعاون القضائي الدولي أو الاتصال المباشر بالمنصات المستضيفة لتطبيق سياسات مكافحة القرصنة دولياً</w:t>
      </w:r>
      <w:r w:rsidRPr="00CD769F">
        <w:rPr>
          <w:rFonts w:ascii="Simplified Arabic" w:hAnsi="Simplified Arabic" w:cs="Simplified Arabic"/>
          <w:sz w:val="28"/>
          <w:szCs w:val="28"/>
        </w:rPr>
        <w:t>.</w:t>
      </w:r>
    </w:p>
  </w:comment>
  <w:comment w:id="273" w:author="DRAhmed" w:date="2026-07-08T14:57:00Z" w:initials="D">
    <w:p w14:paraId="2C236440" w14:textId="4CF5B819" w:rsidR="000B6E77" w:rsidRPr="00CD769F" w:rsidRDefault="000B6E77" w:rsidP="00FB3269">
      <w:pPr>
        <w:bidi/>
        <w:spacing w:before="100" w:beforeAutospacing="1" w:after="100" w:afterAutospacing="1"/>
        <w:rPr>
          <w:rFonts w:ascii="Simplified Arabic" w:eastAsia="Times New Roman" w:hAnsi="Simplified Arabic" w:cs="Simplified Arabic"/>
        </w:rPr>
      </w:pPr>
      <w:r>
        <w:rPr>
          <w:rStyle w:val="CommentReference"/>
        </w:rPr>
        <w:annotationRef/>
      </w:r>
      <w:r w:rsidRPr="007B7A8D">
        <w:rPr>
          <w:rFonts w:ascii="Simplified Arabic" w:eastAsia="Times New Roman" w:hAnsi="Simplified Arabic" w:cs="Simplified Arabic"/>
          <w:b/>
          <w:bCs/>
          <w:highlight w:val="yellow"/>
          <w:rtl/>
        </w:rPr>
        <w:t>السؤال</w:t>
      </w:r>
      <w:r w:rsidRPr="007B7A8D">
        <w:rPr>
          <w:rFonts w:ascii="Simplified Arabic" w:eastAsia="Times New Roman" w:hAnsi="Simplified Arabic" w:cs="Simplified Arabic"/>
          <w:b/>
          <w:bCs/>
          <w:highlight w:val="yellow"/>
        </w:rPr>
        <w:t>:</w:t>
      </w:r>
      <w:r w:rsidRPr="007B7A8D">
        <w:rPr>
          <w:rFonts w:ascii="Simplified Arabic" w:eastAsia="Times New Roman" w:hAnsi="Simplified Arabic" w:cs="Simplified Arabic"/>
          <w:highlight w:val="yellow"/>
        </w:rPr>
        <w:t xml:space="preserve"> </w:t>
      </w:r>
      <w:r w:rsidRPr="007B7A8D">
        <w:rPr>
          <w:rFonts w:ascii="Simplified Arabic" w:eastAsia="Times New Roman" w:hAnsi="Simplified Arabic" w:cs="Simplified Arabic"/>
          <w:highlight w:val="yellow"/>
          <w:rtl/>
        </w:rPr>
        <w:t>خلصت في نتائج دراستك إلى أن التشريعات التقليدية تعاني من فجوات إجرائية وموضوعية في مواجهة الانتهاكات الرقمية</w:t>
      </w:r>
      <w:r w:rsidRPr="007B7A8D">
        <w:rPr>
          <w:rFonts w:ascii="Simplified Arabic" w:eastAsia="Times New Roman" w:hAnsi="Simplified Arabic" w:cs="Simplified Arabic"/>
          <w:highlight w:val="yellow"/>
        </w:rPr>
        <w:t xml:space="preserve">. </w:t>
      </w:r>
      <w:r w:rsidRPr="007B7A8D">
        <w:rPr>
          <w:rFonts w:ascii="Simplified Arabic" w:eastAsia="Times New Roman" w:hAnsi="Simplified Arabic" w:cs="Simplified Arabic"/>
          <w:highlight w:val="yellow"/>
          <w:rtl/>
        </w:rPr>
        <w:t>بالنظر إلى المنهج المقارن الذي اتبعته بين الأنظمة الثلاثة (السعودي، الفرنسي، والأمريكي</w:t>
      </w:r>
      <w:r w:rsidRPr="007B7A8D">
        <w:rPr>
          <w:rFonts w:ascii="Simplified Arabic" w:eastAsia="Times New Roman" w:hAnsi="Simplified Arabic" w:cs="Simplified Arabic" w:hint="cs"/>
          <w:highlight w:val="yellow"/>
          <w:rtl/>
        </w:rPr>
        <w:t>)</w:t>
      </w:r>
      <w:r w:rsidRPr="007B7A8D">
        <w:rPr>
          <w:rFonts w:ascii="Simplified Arabic" w:eastAsia="Times New Roman" w:hAnsi="Simplified Arabic" w:cs="Simplified Arabic"/>
          <w:highlight w:val="yellow"/>
          <w:rtl/>
        </w:rPr>
        <w:t xml:space="preserve"> ما هو النموذج التشريعي الأكثر مرونة ونجاحاً في كبح القرصنة الإلكترونية دون الإخلال بحرية تدفق المعلومات؟</w:t>
      </w:r>
      <w:r w:rsidRPr="00CD769F">
        <w:rPr>
          <w:rFonts w:ascii="Simplified Arabic" w:eastAsia="Times New Roman" w:hAnsi="Simplified Arabic" w:cs="Simplified Arabic"/>
          <w:rtl/>
        </w:rPr>
        <w:t xml:space="preserve"> </w:t>
      </w:r>
    </w:p>
    <w:p w14:paraId="6BDE55DC" w14:textId="77777777" w:rsidR="000B6E77" w:rsidRDefault="000B6E77">
      <w:pPr>
        <w:pStyle w:val="CommentText"/>
        <w:rPr>
          <w:rtl/>
        </w:rPr>
      </w:pPr>
    </w:p>
    <w:p w14:paraId="469F565D" w14:textId="7399DF7F" w:rsidR="000B6E77" w:rsidRPr="006F1982" w:rsidRDefault="000B6E77" w:rsidP="00FB3269">
      <w:pPr>
        <w:bidi/>
        <w:spacing w:before="100" w:beforeAutospacing="1" w:after="100" w:afterAutospacing="1"/>
        <w:rPr>
          <w:rFonts w:ascii="Simplified Arabic" w:eastAsia="Times New Roman" w:hAnsi="Simplified Arabic" w:cs="Simplified Arabic"/>
        </w:rPr>
      </w:pPr>
      <w:r w:rsidRPr="00CD769F">
        <w:rPr>
          <w:rFonts w:ascii="Simplified Arabic" w:eastAsia="Times New Roman" w:hAnsi="Simplified Arabic" w:cs="Simplified Arabic"/>
        </w:rPr>
        <w:t xml:space="preserve"> </w:t>
      </w:r>
      <w:r w:rsidRPr="00CD769F">
        <w:rPr>
          <w:rFonts w:ascii="Simplified Arabic" w:eastAsia="Times New Roman" w:hAnsi="Simplified Arabic" w:cs="Simplified Arabic"/>
          <w:rtl/>
        </w:rPr>
        <w:t>يجب أن يوضح الباحث أن دراسته أثبتت تفوق النموذج الذي يدمج بين صرامة الحماية التقنية (التشفير) وبين وضوح آليات المسؤولية المدنية والجنائية للوسائط الرقمية (مثل نموذج الإخطار والإنزال الأمريكي المقنن في</w:t>
      </w:r>
      <w:r w:rsidRPr="00CD769F">
        <w:rPr>
          <w:rFonts w:ascii="Simplified Arabic" w:eastAsia="Times New Roman" w:hAnsi="Simplified Arabic" w:cs="Simplified Arabic"/>
        </w:rPr>
        <w:t xml:space="preserve"> DMCA</w:t>
      </w:r>
      <w:r w:rsidRPr="00CD769F">
        <w:rPr>
          <w:rFonts w:ascii="Simplified Arabic" w:eastAsia="Times New Roman" w:hAnsi="Simplified Arabic" w:cs="Simplified Arabic"/>
          <w:rtl/>
        </w:rPr>
        <w:t>، والمواءمة الفرنسية مع معايير الاتحاد الأوروبي الرقمية). وسيؤكد الباحث أن التوصية الأهم هي تبني نظام تفصيلي خاص بمسؤولية مزودي الخدمات في النظام السعودي لسد الفراغ الإجرائي</w:t>
      </w:r>
      <w:r>
        <w:rPr>
          <w:rFonts w:ascii="Simplified Arabic" w:eastAsia="Times New Roman" w:hAnsi="Simplified Arabic" w:cs="Simplified Arabic"/>
        </w:rPr>
        <w:t xml:space="preserve">. </w:t>
      </w:r>
    </w:p>
  </w:comment>
  <w:comment w:id="277" w:author="DRAhmed" w:date="2026-07-09T12:06:00Z" w:initials="D">
    <w:p w14:paraId="33156AD7"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Pr>
          <w:rStyle w:val="CommentReference"/>
        </w:rPr>
        <w:annotationRef/>
      </w:r>
      <w:r w:rsidRPr="009A769F">
        <w:rPr>
          <w:rFonts w:ascii="Simplified Arabic" w:eastAsia="Times New Roman" w:hAnsi="Simplified Arabic" w:cs="Simplified Arabic"/>
          <w:b/>
          <w:bCs/>
          <w:highlight w:val="yellow"/>
          <w:rtl/>
        </w:rPr>
        <w:t>صفحة 239 - واقعية التوصيات وآليات تنفيذها</w:t>
      </w:r>
    </w:p>
    <w:p w14:paraId="57B09A63"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السؤال</w:t>
      </w:r>
      <w:r w:rsidRPr="009A769F">
        <w:rPr>
          <w:rFonts w:ascii="Simplified Arabic" w:eastAsia="Times New Roman" w:hAnsi="Simplified Arabic" w:cs="Simplified Arabic"/>
          <w:b/>
          <w:bCs/>
        </w:rPr>
        <w:t>:</w:t>
      </w:r>
      <w:r w:rsidRPr="009A769F">
        <w:rPr>
          <w:rFonts w:ascii="Simplified Arabic" w:eastAsia="Times New Roman" w:hAnsi="Simplified Arabic" w:cs="Simplified Arabic"/>
        </w:rPr>
        <w:t xml:space="preserve"> </w:t>
      </w:r>
      <w:r w:rsidRPr="009A769F">
        <w:rPr>
          <w:rFonts w:ascii="Simplified Arabic" w:eastAsia="Times New Roman" w:hAnsi="Simplified Arabic" w:cs="Simplified Arabic"/>
          <w:rtl/>
        </w:rPr>
        <w:t>في صفحة 239، صغت توصية تدعو فيها إلى "تحديث وسائل الإثبات الجنائي الرقمي وتبني تقنية البلوكشين</w:t>
      </w:r>
      <w:r w:rsidRPr="009A769F">
        <w:rPr>
          <w:rFonts w:ascii="Simplified Arabic" w:eastAsia="Times New Roman" w:hAnsi="Simplified Arabic" w:cs="Simplified Arabic"/>
        </w:rPr>
        <w:t xml:space="preserve"> (Blockchain) </w:t>
      </w:r>
      <w:r w:rsidRPr="009A769F">
        <w:rPr>
          <w:rFonts w:ascii="Simplified Arabic" w:eastAsia="Times New Roman" w:hAnsi="Simplified Arabic" w:cs="Simplified Arabic"/>
          <w:rtl/>
        </w:rPr>
        <w:t>لتوثيق المصنفات الفنية</w:t>
      </w:r>
      <w:r w:rsidRPr="009A769F">
        <w:rPr>
          <w:rFonts w:ascii="Simplified Arabic" w:eastAsia="Times New Roman" w:hAnsi="Simplified Arabic" w:cs="Simplified Arabic"/>
        </w:rPr>
        <w:t>"</w:t>
      </w:r>
      <w:r w:rsidRPr="009A769F">
        <w:rPr>
          <w:rFonts w:ascii="Simplified Arabic" w:eastAsia="Times New Roman" w:hAnsi="Simplified Arabic" w:cs="Simplified Arabic" w:hint="cs"/>
          <w:rtl/>
        </w:rPr>
        <w:t xml:space="preserve">. </w:t>
      </w:r>
      <w:r w:rsidRPr="009A769F">
        <w:rPr>
          <w:rFonts w:ascii="Simplified Arabic" w:eastAsia="Times New Roman" w:hAnsi="Simplified Arabic" w:cs="Simplified Arabic"/>
          <w:rtl/>
        </w:rPr>
        <w:t xml:space="preserve">من الناحية الإجرائية والتطبيقية، كيف يمكن للمشرع الوطني تفعيل هذه التوصية في ظل البنية القضائية الحالية؟ وهل تتطلب تعديلاً في نظام الإثبات ونظام التعاملات الإلكترونية أم يكفي صدور لوائح تنفيذية من هيئة الملكية الفكرية؟ </w:t>
      </w:r>
    </w:p>
    <w:p w14:paraId="2D1FB177"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الإجابة القانونية المستهدفة</w:t>
      </w:r>
      <w:r w:rsidRPr="009A769F">
        <w:rPr>
          <w:rFonts w:ascii="Simplified Arabic" w:eastAsia="Times New Roman" w:hAnsi="Simplified Arabic" w:cs="Simplified Arabic"/>
          <w:b/>
          <w:bCs/>
        </w:rPr>
        <w:t>:</w:t>
      </w:r>
      <w:r w:rsidRPr="009A769F">
        <w:rPr>
          <w:rFonts w:ascii="Simplified Arabic" w:eastAsia="Times New Roman" w:hAnsi="Simplified Arabic" w:cs="Simplified Arabic"/>
        </w:rPr>
        <w:t xml:space="preserve"> </w:t>
      </w:r>
      <w:r w:rsidRPr="009A769F">
        <w:rPr>
          <w:rFonts w:ascii="Simplified Arabic" w:eastAsia="Times New Roman" w:hAnsi="Simplified Arabic" w:cs="Simplified Arabic"/>
          <w:rtl/>
        </w:rPr>
        <w:t>يوضح الباحث أن تفعيل هذه التوصية يتطلب مساراً تشريعياً متكاملاً؛ يبدأ بـتعديل أو إصدار لائحة تنفيذية خاصة بنظام حماية حقوق المؤلف من قِبل الهيئة السعودية للملكية الفكرية لاعتماد السجلات الرقمية القائمة على البلوكشين كـ "أدلة رسمية مشفرة لتوثيق الأسبقية الفكرية"، مع ضرورة مواءمة ذلك مع نظام الإثبات المقر تشريعياً لضمان عدم الطعن بحجيتها أمام محاكم الموضوع</w:t>
      </w:r>
      <w:r w:rsidRPr="009A769F">
        <w:rPr>
          <w:rFonts w:ascii="Simplified Arabic" w:eastAsia="Times New Roman" w:hAnsi="Simplified Arabic" w:cs="Simplified Arabic"/>
        </w:rPr>
        <w:t>.</w:t>
      </w:r>
    </w:p>
    <w:p w14:paraId="33E7F27B"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صفحة 241 - التوصيات الإقليمية والدولية</w:t>
      </w:r>
    </w:p>
    <w:p w14:paraId="644E20C3"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السؤال</w:t>
      </w:r>
      <w:r w:rsidRPr="009A769F">
        <w:rPr>
          <w:rFonts w:ascii="Simplified Arabic" w:eastAsia="Times New Roman" w:hAnsi="Simplified Arabic" w:cs="Simplified Arabic"/>
          <w:b/>
          <w:bCs/>
        </w:rPr>
        <w:t>:</w:t>
      </w:r>
      <w:r w:rsidRPr="009A769F">
        <w:rPr>
          <w:rFonts w:ascii="Simplified Arabic" w:eastAsia="Times New Roman" w:hAnsi="Simplified Arabic" w:cs="Simplified Arabic"/>
        </w:rPr>
        <w:t xml:space="preserve"> </w:t>
      </w:r>
      <w:r w:rsidRPr="009A769F">
        <w:rPr>
          <w:rFonts w:ascii="Simplified Arabic" w:eastAsia="Times New Roman" w:hAnsi="Simplified Arabic" w:cs="Simplified Arabic"/>
          <w:rtl/>
        </w:rPr>
        <w:t>أشرت في نهاية توصياتك إلى الحاجة لإبرام اتفاقيات دولية جديدة أو تحديث الاتفاقيات القائمة لمواجهة التحديات المستحدثة كعالم الميتافيرس والذكاء الاصطناعي التوليدي</w:t>
      </w:r>
      <w:r w:rsidRPr="009A769F">
        <w:rPr>
          <w:rFonts w:ascii="Simplified Arabic" w:eastAsia="Times New Roman" w:hAnsi="Simplified Arabic" w:cs="Simplified Arabic" w:hint="cs"/>
          <w:rtl/>
        </w:rPr>
        <w:t xml:space="preserve">. </w:t>
      </w:r>
      <w:r w:rsidRPr="009A769F">
        <w:rPr>
          <w:rFonts w:ascii="Simplified Arabic" w:eastAsia="Times New Roman" w:hAnsi="Simplified Arabic" w:cs="Simplified Arabic"/>
          <w:rtl/>
        </w:rPr>
        <w:t xml:space="preserve">بالنظر إلى صعوبة التوافق الدولي السريع، ما هي المقترحات البديلة التي قدمتها في خاتمتك لحماية المصنفات الوطنية في الفضاء الإلكتروني العالمي بشكل عاجل؟ </w:t>
      </w:r>
    </w:p>
    <w:p w14:paraId="244BCF01"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الإجابة القانونية المستهدفة</w:t>
      </w:r>
      <w:r w:rsidRPr="009A769F">
        <w:rPr>
          <w:rFonts w:ascii="Simplified Arabic" w:eastAsia="Times New Roman" w:hAnsi="Simplified Arabic" w:cs="Simplified Arabic"/>
          <w:b/>
          <w:bCs/>
        </w:rPr>
        <w:t>:</w:t>
      </w:r>
      <w:r w:rsidRPr="009A769F">
        <w:rPr>
          <w:rFonts w:ascii="Simplified Arabic" w:eastAsia="Times New Roman" w:hAnsi="Simplified Arabic" w:cs="Simplified Arabic"/>
        </w:rPr>
        <w:t xml:space="preserve"> </w:t>
      </w:r>
      <w:r w:rsidRPr="009A769F">
        <w:rPr>
          <w:rFonts w:ascii="Simplified Arabic" w:eastAsia="Times New Roman" w:hAnsi="Simplified Arabic" w:cs="Simplified Arabic"/>
          <w:highlight w:val="yellow"/>
          <w:rtl/>
        </w:rPr>
        <w:t>يستهدف من الباحث بيان أن المقترح البديل والعاجل هو تفعيل "الربط القضائي الإقليمي والاتفاقيات الثنائية</w:t>
      </w:r>
      <w:r w:rsidRPr="009A769F">
        <w:rPr>
          <w:rFonts w:ascii="Simplified Arabic" w:eastAsia="Times New Roman" w:hAnsi="Simplified Arabic" w:cs="Simplified Arabic"/>
          <w:rtl/>
        </w:rPr>
        <w:t>" لمكافحة الجرائم المعلوماتية، بالإضافة إلى تفعيل المسؤولية التعاقدية عبر إلزام المنصات الرقمية العالمية باتباع سياسات شروط الخدمة الصارمة التي تحترم الحقوق الفكرية للدول الأعضاء في منظمة التجارة العالمية، كآلية فورية لحين نضوج المعاهدات الدولية متعددة الأطراف</w:t>
      </w:r>
      <w:r w:rsidRPr="009A769F">
        <w:rPr>
          <w:rFonts w:ascii="Simplified Arabic" w:eastAsia="Times New Roman" w:hAnsi="Simplified Arabic" w:cs="Simplified Arabic"/>
        </w:rPr>
        <w:t>.</w:t>
      </w:r>
    </w:p>
    <w:p w14:paraId="0B511E00" w14:textId="77777777" w:rsidR="000B6E77" w:rsidRPr="009A769F" w:rsidRDefault="000B6E77" w:rsidP="000B6E77">
      <w:pPr>
        <w:bidi/>
        <w:spacing w:before="100" w:beforeAutospacing="1" w:after="100" w:afterAutospacing="1"/>
        <w:outlineLvl w:val="2"/>
        <w:rPr>
          <w:rFonts w:ascii="Simplified Arabic" w:eastAsia="Times New Roman" w:hAnsi="Simplified Arabic" w:cs="Simplified Arabic"/>
          <w:b/>
          <w:bCs/>
        </w:rPr>
      </w:pPr>
      <w:r w:rsidRPr="009A769F">
        <w:rPr>
          <w:rFonts w:ascii="Simplified Arabic" w:eastAsia="Times New Roman" w:hAnsi="Simplified Arabic" w:cs="Simplified Arabic"/>
          <w:b/>
          <w:bCs/>
          <w:rtl/>
        </w:rPr>
        <w:t>ثانياً: ملاحظات توجيهية تطويرية على الخاتمة والتوصيات</w:t>
      </w:r>
    </w:p>
    <w:p w14:paraId="41F8A829" w14:textId="77777777" w:rsidR="000B6E77" w:rsidRPr="009A769F" w:rsidRDefault="000B6E77" w:rsidP="000B6E77">
      <w:pPr>
        <w:bidi/>
        <w:spacing w:before="100" w:beforeAutospacing="1" w:after="100" w:afterAutospacing="1"/>
        <w:rPr>
          <w:rFonts w:ascii="Simplified Arabic" w:eastAsia="Times New Roman" w:hAnsi="Simplified Arabic" w:cs="Simplified Arabic"/>
          <w:highlight w:val="yellow"/>
        </w:rPr>
      </w:pPr>
      <w:r w:rsidRPr="009A769F">
        <w:rPr>
          <w:rFonts w:ascii="Simplified Arabic" w:eastAsia="Times New Roman" w:hAnsi="Simplified Arabic" w:cs="Simplified Arabic"/>
          <w:b/>
          <w:bCs/>
          <w:highlight w:val="yellow"/>
          <w:rtl/>
        </w:rPr>
        <w:t>صفحة 237 - صياغة النتائج</w:t>
      </w:r>
    </w:p>
    <w:p w14:paraId="7B5815A4" w14:textId="77777777" w:rsidR="000B6E77" w:rsidRPr="009A769F" w:rsidRDefault="000B6E77" w:rsidP="000B6E77">
      <w:pPr>
        <w:bidi/>
        <w:spacing w:before="100" w:beforeAutospacing="1" w:after="100" w:afterAutospacing="1"/>
        <w:rPr>
          <w:rFonts w:ascii="Simplified Arabic" w:eastAsia="Times New Roman" w:hAnsi="Simplified Arabic" w:cs="Simplified Arabic"/>
          <w:highlight w:val="yellow"/>
        </w:rPr>
      </w:pPr>
      <w:r w:rsidRPr="009A769F">
        <w:rPr>
          <w:rFonts w:ascii="Simplified Arabic" w:eastAsia="Times New Roman" w:hAnsi="Simplified Arabic" w:cs="Simplified Arabic"/>
          <w:b/>
          <w:bCs/>
          <w:highlight w:val="yellow"/>
          <w:rtl/>
        </w:rPr>
        <w:t>الموضع</w:t>
      </w:r>
      <w:r w:rsidRPr="009A769F">
        <w:rPr>
          <w:rFonts w:ascii="Simplified Arabic" w:eastAsia="Times New Roman" w:hAnsi="Simplified Arabic" w:cs="Simplified Arabic"/>
          <w:b/>
          <w:bCs/>
          <w:highlight w:val="yellow"/>
        </w:rPr>
        <w:t>:</w:t>
      </w:r>
      <w:r w:rsidRPr="009A769F">
        <w:rPr>
          <w:rFonts w:ascii="Simplified Arabic" w:eastAsia="Times New Roman" w:hAnsi="Simplified Arabic" w:cs="Simplified Arabic"/>
          <w:highlight w:val="yellow"/>
        </w:rPr>
        <w:t xml:space="preserve"> </w:t>
      </w:r>
      <w:r w:rsidRPr="009A769F">
        <w:rPr>
          <w:rFonts w:ascii="Simplified Arabic" w:eastAsia="Times New Roman" w:hAnsi="Simplified Arabic" w:cs="Simplified Arabic"/>
          <w:highlight w:val="yellow"/>
          <w:rtl/>
        </w:rPr>
        <w:t>استعراض النتائج العامة للرسالة</w:t>
      </w:r>
      <w:r w:rsidRPr="009A769F">
        <w:rPr>
          <w:rFonts w:ascii="Simplified Arabic" w:eastAsia="Times New Roman" w:hAnsi="Simplified Arabic" w:cs="Simplified Arabic"/>
          <w:highlight w:val="yellow"/>
        </w:rPr>
        <w:t>.</w:t>
      </w:r>
    </w:p>
    <w:p w14:paraId="7D43323B" w14:textId="77777777" w:rsidR="000B6E77" w:rsidRPr="009A769F" w:rsidRDefault="000B6E77" w:rsidP="000B6E77">
      <w:pPr>
        <w:bidi/>
        <w:spacing w:before="100" w:beforeAutospacing="1" w:after="100" w:afterAutospacing="1"/>
        <w:rPr>
          <w:rFonts w:ascii="Simplified Arabic" w:eastAsia="Times New Roman" w:hAnsi="Simplified Arabic" w:cs="Simplified Arabic"/>
          <w:rtl/>
        </w:rPr>
      </w:pPr>
      <w:r w:rsidRPr="009A769F">
        <w:rPr>
          <w:rFonts w:ascii="Simplified Arabic" w:eastAsia="Times New Roman" w:hAnsi="Simplified Arabic" w:cs="Simplified Arabic"/>
          <w:highlight w:val="yellow"/>
          <w:rtl/>
        </w:rPr>
        <w:t>يلاحظ أن بعض النتائج جاءت في صورة "حقائق عامة ومعلومات بديهية" في القانون التكنولوجي (مثل القول بأن الإنترنت فضاء مفتوح والنسخ فيه سهل</w:t>
      </w:r>
      <w:r w:rsidRPr="009A769F">
        <w:rPr>
          <w:rFonts w:ascii="Simplified Arabic" w:eastAsia="Times New Roman" w:hAnsi="Simplified Arabic" w:cs="Simplified Arabic"/>
        </w:rPr>
        <w:t xml:space="preserve"> </w:t>
      </w:r>
    </w:p>
    <w:p w14:paraId="15EAF2CE"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hint="cs"/>
          <w:rtl/>
        </w:rPr>
        <w:t xml:space="preserve">لذا من الضروري </w:t>
      </w:r>
      <w:r w:rsidRPr="009A769F">
        <w:rPr>
          <w:rFonts w:ascii="Simplified Arabic" w:eastAsia="Times New Roman" w:hAnsi="Simplified Arabic" w:cs="Simplified Arabic"/>
          <w:rtl/>
        </w:rPr>
        <w:t xml:space="preserve">إعادة صياغة النتائج لتركز حصراً على </w:t>
      </w:r>
      <w:r w:rsidRPr="009A769F">
        <w:rPr>
          <w:rFonts w:ascii="Simplified Arabic" w:eastAsia="Times New Roman" w:hAnsi="Simplified Arabic" w:cs="Simplified Arabic"/>
          <w:b/>
          <w:bCs/>
        </w:rPr>
        <w:t>"</w:t>
      </w:r>
      <w:r w:rsidRPr="009A769F">
        <w:rPr>
          <w:rFonts w:ascii="Simplified Arabic" w:eastAsia="Times New Roman" w:hAnsi="Simplified Arabic" w:cs="Simplified Arabic"/>
          <w:b/>
          <w:bCs/>
          <w:rtl/>
        </w:rPr>
        <w:t>النتائج التحليلية المستخلصة من المقارنة التشريعية</w:t>
      </w:r>
      <w:r w:rsidRPr="009A769F">
        <w:rPr>
          <w:rFonts w:ascii="Simplified Arabic" w:eastAsia="Times New Roman" w:hAnsi="Simplified Arabic" w:cs="Simplified Arabic"/>
          <w:b/>
          <w:bCs/>
        </w:rPr>
        <w:t>"</w:t>
      </w:r>
      <w:r w:rsidRPr="009A769F">
        <w:rPr>
          <w:rFonts w:ascii="Simplified Arabic" w:eastAsia="Times New Roman" w:hAnsi="Simplified Arabic" w:cs="Simplified Arabic"/>
          <w:rtl/>
        </w:rPr>
        <w:t>؛ على سبيل المثال: (ما الذي يميز الموقف القضائي السعودي عن نظيره الفرنسي في تكييف عقود البرمجيات؟)، ليظهر الأثر العلمي للجهد المبذول في فصول الرسالة</w:t>
      </w:r>
      <w:r w:rsidRPr="009A769F">
        <w:rPr>
          <w:rFonts w:ascii="Simplified Arabic" w:eastAsia="Times New Roman" w:hAnsi="Simplified Arabic" w:cs="Simplified Arabic"/>
        </w:rPr>
        <w:t xml:space="preserve">. </w:t>
      </w:r>
    </w:p>
    <w:p w14:paraId="71717591" w14:textId="77777777" w:rsidR="000B6E77" w:rsidRPr="009A769F" w:rsidRDefault="000B6E77" w:rsidP="000B6E77">
      <w:pPr>
        <w:bidi/>
        <w:rPr>
          <w:rFonts w:ascii="Simplified Arabic" w:eastAsia="Times New Roman" w:hAnsi="Simplified Arabic" w:cs="Simplified Arabic"/>
        </w:rPr>
      </w:pPr>
      <w:r w:rsidRPr="009A769F">
        <w:rPr>
          <w:rFonts w:ascii="Simplified Arabic" w:eastAsia="Times New Roman" w:hAnsi="Simplified Arabic" w:cs="Simplified Arabic"/>
          <w:b/>
          <w:bCs/>
          <w:rtl/>
        </w:rPr>
        <w:t>صفحة 240 - هيكلة التوصيات</w:t>
      </w:r>
    </w:p>
    <w:p w14:paraId="28B82660"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rtl/>
        </w:rPr>
        <w:t>خلط التوصيات التشريعية بالتوصيات التنفيذية</w:t>
      </w:r>
      <w:r w:rsidRPr="009A769F">
        <w:rPr>
          <w:rFonts w:ascii="Simplified Arabic" w:eastAsia="Times New Roman" w:hAnsi="Simplified Arabic" w:cs="Simplified Arabic"/>
        </w:rPr>
        <w:t>.</w:t>
      </w:r>
    </w:p>
    <w:p w14:paraId="3BA4FD87" w14:textId="77777777" w:rsidR="000B6E77" w:rsidRPr="009A769F" w:rsidRDefault="000B6E77" w:rsidP="000B6E77">
      <w:pP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hint="cs"/>
          <w:rtl/>
        </w:rPr>
        <w:t xml:space="preserve">تم </w:t>
      </w:r>
      <w:r w:rsidRPr="009A769F">
        <w:rPr>
          <w:rFonts w:ascii="Simplified Arabic" w:eastAsia="Times New Roman" w:hAnsi="Simplified Arabic" w:cs="Simplified Arabic"/>
          <w:rtl/>
        </w:rPr>
        <w:t xml:space="preserve"> سرد التوصيات </w:t>
      </w:r>
      <w:r w:rsidRPr="009A769F">
        <w:rPr>
          <w:rFonts w:ascii="Simplified Arabic" w:eastAsia="Times New Roman" w:hAnsi="Simplified Arabic" w:cs="Simplified Arabic" w:hint="cs"/>
          <w:rtl/>
        </w:rPr>
        <w:t xml:space="preserve">بشكل </w:t>
      </w:r>
      <w:r w:rsidRPr="009A769F">
        <w:rPr>
          <w:rFonts w:ascii="Simplified Arabic" w:eastAsia="Times New Roman" w:hAnsi="Simplified Arabic" w:cs="Simplified Arabic"/>
          <w:rtl/>
        </w:rPr>
        <w:t>متتالي دون تصنيف موضوعي</w:t>
      </w:r>
      <w:r w:rsidRPr="009A769F">
        <w:rPr>
          <w:rFonts w:ascii="Simplified Arabic" w:eastAsia="Times New Roman" w:hAnsi="Simplified Arabic" w:cs="Simplified Arabic" w:hint="cs"/>
          <w:rtl/>
        </w:rPr>
        <w:t xml:space="preserve">. </w:t>
      </w:r>
      <w:r w:rsidRPr="009A769F">
        <w:rPr>
          <w:rFonts w:ascii="Simplified Arabic" w:eastAsia="Times New Roman" w:hAnsi="Simplified Arabic" w:cs="Simplified Arabic"/>
          <w:rtl/>
        </w:rPr>
        <w:t>يُوصى الباحث بـ</w:t>
      </w:r>
      <w:r w:rsidRPr="009A769F">
        <w:rPr>
          <w:rFonts w:ascii="Simplified Arabic" w:eastAsia="Times New Roman" w:hAnsi="Simplified Arabic" w:cs="Simplified Arabic"/>
          <w:b/>
          <w:bCs/>
          <w:rtl/>
        </w:rPr>
        <w:t>تقسيم وتصنيف التوصيات</w:t>
      </w:r>
      <w:r w:rsidRPr="009A769F">
        <w:rPr>
          <w:rFonts w:ascii="Simplified Arabic" w:eastAsia="Times New Roman" w:hAnsi="Simplified Arabic" w:cs="Simplified Arabic"/>
          <w:rtl/>
        </w:rPr>
        <w:t xml:space="preserve"> إلى ثلاثة محاور واضحة</w:t>
      </w:r>
      <w:r w:rsidRPr="009A769F">
        <w:rPr>
          <w:rFonts w:ascii="Simplified Arabic" w:eastAsia="Times New Roman" w:hAnsi="Simplified Arabic" w:cs="Simplified Arabic"/>
        </w:rPr>
        <w:t xml:space="preserve">: </w:t>
      </w:r>
    </w:p>
    <w:p w14:paraId="439EF6EA" w14:textId="77777777" w:rsidR="000B6E77" w:rsidRPr="009A769F" w:rsidRDefault="000B6E77" w:rsidP="000B6E77">
      <w:pPr>
        <w:numPr>
          <w:ilvl w:val="1"/>
          <w:numId w:val="33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توصيات موجهة للمشرع (مقترحات لتعديل الأنظمة والقوانين</w:t>
      </w:r>
      <w:r w:rsidRPr="009A769F">
        <w:rPr>
          <w:rFonts w:ascii="Simplified Arabic" w:eastAsia="Times New Roman" w:hAnsi="Simplified Arabic" w:cs="Simplified Arabic" w:hint="cs"/>
          <w:b/>
          <w:bCs/>
          <w:rtl/>
        </w:rPr>
        <w:t>)</w:t>
      </w:r>
    </w:p>
    <w:p w14:paraId="447344CD" w14:textId="77777777" w:rsidR="000B6E77" w:rsidRPr="009A769F" w:rsidRDefault="000B6E77" w:rsidP="000B6E77">
      <w:pPr>
        <w:numPr>
          <w:ilvl w:val="1"/>
          <w:numId w:val="33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توصيات موجهة للقضاء وجهات إنفاذ القانون (تطوير الأدلة الرقمية والضبطية</w:t>
      </w:r>
      <w:r w:rsidRPr="009A769F">
        <w:rPr>
          <w:rFonts w:ascii="Simplified Arabic" w:eastAsia="Times New Roman" w:hAnsi="Simplified Arabic" w:cs="Simplified Arabic" w:hint="cs"/>
          <w:b/>
          <w:bCs/>
          <w:rtl/>
        </w:rPr>
        <w:t>)</w:t>
      </w:r>
    </w:p>
    <w:p w14:paraId="1523457E" w14:textId="77777777" w:rsidR="000B6E77" w:rsidRPr="009A769F" w:rsidRDefault="000B6E77" w:rsidP="000B6E77">
      <w:pPr>
        <w:numPr>
          <w:ilvl w:val="1"/>
          <w:numId w:val="331"/>
        </w:numPr>
        <w:pBdr>
          <w:top w:val="none" w:sz="0" w:space="0" w:color="auto"/>
          <w:left w:val="none" w:sz="0" w:space="0" w:color="auto"/>
          <w:bottom w:val="none" w:sz="0" w:space="0" w:color="auto"/>
          <w:right w:val="none" w:sz="0" w:space="0" w:color="auto"/>
          <w:between w:val="none" w:sz="0" w:space="0" w:color="auto"/>
          <w:bar w:val="none" w:sz="0" w:color="auto"/>
        </w:pBdr>
        <w:bidi/>
        <w:spacing w:before="100" w:beforeAutospacing="1" w:after="100" w:afterAutospacing="1"/>
        <w:rPr>
          <w:rFonts w:ascii="Simplified Arabic" w:eastAsia="Times New Roman" w:hAnsi="Simplified Arabic" w:cs="Simplified Arabic"/>
        </w:rPr>
      </w:pPr>
      <w:r w:rsidRPr="009A769F">
        <w:rPr>
          <w:rFonts w:ascii="Simplified Arabic" w:eastAsia="Times New Roman" w:hAnsi="Simplified Arabic" w:cs="Simplified Arabic"/>
          <w:b/>
          <w:bCs/>
          <w:rtl/>
        </w:rPr>
        <w:t>توصيات موجهة للمؤسسات العلمية والباحثين (آفاق مستقبلية للبحث</w:t>
      </w:r>
      <w:r w:rsidRPr="009A769F">
        <w:rPr>
          <w:rFonts w:ascii="Simplified Arabic" w:eastAsia="Times New Roman" w:hAnsi="Simplified Arabic" w:cs="Simplified Arabic" w:hint="cs"/>
          <w:b/>
          <w:bCs/>
          <w:rtl/>
        </w:rPr>
        <w:t>)</w:t>
      </w:r>
    </w:p>
    <w:p w14:paraId="052D9E29" w14:textId="77777777" w:rsidR="000B6E77" w:rsidRPr="009A769F" w:rsidRDefault="000B6E77" w:rsidP="000B6E77">
      <w:pPr>
        <w:bidi/>
        <w:spacing w:before="100" w:beforeAutospacing="1" w:after="100" w:afterAutospacing="1"/>
        <w:rPr>
          <w:rFonts w:ascii="Simplified Arabic" w:eastAsia="Times New Roman" w:hAnsi="Simplified Arabic" w:cs="Simplified Arabic"/>
          <w:highlight w:val="yellow"/>
        </w:rPr>
      </w:pPr>
      <w:r w:rsidRPr="009A769F">
        <w:rPr>
          <w:rFonts w:ascii="Simplified Arabic" w:eastAsia="Times New Roman" w:hAnsi="Simplified Arabic" w:cs="Simplified Arabic"/>
          <w:b/>
          <w:bCs/>
          <w:highlight w:val="yellow"/>
          <w:rtl/>
        </w:rPr>
        <w:t>صفحة 242 - غياب الأثر الاستشرافي للذكاء الاصطناعي</w:t>
      </w:r>
    </w:p>
    <w:p w14:paraId="421944E4" w14:textId="77777777" w:rsidR="000B6E77" w:rsidRPr="009A769F" w:rsidRDefault="000B6E77" w:rsidP="000B6E77">
      <w:pPr>
        <w:bidi/>
        <w:spacing w:before="100" w:beforeAutospacing="1" w:after="100" w:afterAutospacing="1"/>
        <w:rPr>
          <w:rFonts w:ascii="Simplified Arabic" w:eastAsia="Times New Roman" w:hAnsi="Simplified Arabic" w:cs="Simplified Arabic"/>
          <w:highlight w:val="yellow"/>
        </w:rPr>
      </w:pPr>
      <w:r w:rsidRPr="009A769F">
        <w:rPr>
          <w:rFonts w:ascii="Simplified Arabic" w:eastAsia="Times New Roman" w:hAnsi="Simplified Arabic" w:cs="Simplified Arabic"/>
          <w:b/>
          <w:bCs/>
          <w:highlight w:val="yellow"/>
          <w:rtl/>
        </w:rPr>
        <w:t>الموضع</w:t>
      </w:r>
      <w:r w:rsidRPr="009A769F">
        <w:rPr>
          <w:rFonts w:ascii="Simplified Arabic" w:eastAsia="Times New Roman" w:hAnsi="Simplified Arabic" w:cs="Simplified Arabic"/>
          <w:b/>
          <w:bCs/>
          <w:highlight w:val="yellow"/>
        </w:rPr>
        <w:t>:</w:t>
      </w:r>
      <w:r w:rsidRPr="009A769F">
        <w:rPr>
          <w:rFonts w:ascii="Simplified Arabic" w:eastAsia="Times New Roman" w:hAnsi="Simplified Arabic" w:cs="Simplified Arabic"/>
          <w:highlight w:val="yellow"/>
        </w:rPr>
        <w:t xml:space="preserve"> </w:t>
      </w:r>
      <w:r w:rsidRPr="009A769F">
        <w:rPr>
          <w:rFonts w:ascii="Simplified Arabic" w:eastAsia="Times New Roman" w:hAnsi="Simplified Arabic" w:cs="Simplified Arabic"/>
          <w:highlight w:val="yellow"/>
          <w:rtl/>
        </w:rPr>
        <w:t>الفقرة الختامية للتوصيات وآفاق الدراسة المستقبلية</w:t>
      </w:r>
      <w:r w:rsidRPr="009A769F">
        <w:rPr>
          <w:rFonts w:ascii="Simplified Arabic" w:eastAsia="Times New Roman" w:hAnsi="Simplified Arabic" w:cs="Simplified Arabic"/>
          <w:highlight w:val="yellow"/>
        </w:rPr>
        <w:t>.</w:t>
      </w:r>
    </w:p>
    <w:p w14:paraId="49B33C97" w14:textId="5E74A8EE" w:rsidR="000B6E77" w:rsidRDefault="000B6E77" w:rsidP="000B6E77">
      <w:pPr>
        <w:pStyle w:val="CommentText"/>
      </w:pPr>
      <w:r w:rsidRPr="009A769F">
        <w:rPr>
          <w:rFonts w:ascii="Simplified Arabic" w:eastAsia="Times New Roman" w:hAnsi="Simplified Arabic" w:cs="Simplified Arabic"/>
          <w:b/>
          <w:bCs/>
          <w:sz w:val="28"/>
          <w:szCs w:val="28"/>
          <w:highlight w:val="yellow"/>
          <w:rtl/>
        </w:rPr>
        <w:t>التوجيه التطويري</w:t>
      </w:r>
      <w:r w:rsidRPr="009A769F">
        <w:rPr>
          <w:rFonts w:ascii="Simplified Arabic" w:eastAsia="Times New Roman" w:hAnsi="Simplified Arabic" w:cs="Simplified Arabic"/>
          <w:b/>
          <w:bCs/>
          <w:sz w:val="28"/>
          <w:szCs w:val="28"/>
          <w:highlight w:val="yellow"/>
        </w:rPr>
        <w:t>:</w:t>
      </w:r>
      <w:r w:rsidRPr="009A769F">
        <w:rPr>
          <w:rFonts w:ascii="Simplified Arabic" w:eastAsia="Times New Roman" w:hAnsi="Simplified Arabic" w:cs="Simplified Arabic"/>
          <w:sz w:val="28"/>
          <w:szCs w:val="28"/>
          <w:highlight w:val="yellow"/>
        </w:rPr>
        <w:t xml:space="preserve"> </w:t>
      </w:r>
      <w:r w:rsidRPr="009A769F">
        <w:rPr>
          <w:rFonts w:ascii="Simplified Arabic" w:eastAsia="Times New Roman" w:hAnsi="Simplified Arabic" w:cs="Simplified Arabic"/>
          <w:sz w:val="28"/>
          <w:szCs w:val="28"/>
          <w:highlight w:val="yellow"/>
          <w:rtl/>
        </w:rPr>
        <w:t xml:space="preserve">بالنظر إلى التوقيت الحالي لعام </w:t>
      </w:r>
      <w:r w:rsidRPr="009A769F">
        <w:rPr>
          <w:rFonts w:ascii="Simplified Arabic" w:eastAsia="Times New Roman" w:hAnsi="Simplified Arabic" w:cs="Simplified Arabic"/>
          <w:b/>
          <w:bCs/>
          <w:sz w:val="28"/>
          <w:szCs w:val="28"/>
          <w:highlight w:val="yellow"/>
        </w:rPr>
        <w:t>2026</w:t>
      </w:r>
      <w:r w:rsidRPr="009A769F">
        <w:rPr>
          <w:rFonts w:ascii="Simplified Arabic" w:eastAsia="Times New Roman" w:hAnsi="Simplified Arabic" w:cs="Simplified Arabic"/>
          <w:sz w:val="28"/>
          <w:szCs w:val="28"/>
          <w:highlight w:val="yellow"/>
          <w:rtl/>
        </w:rPr>
        <w:t>، كان يجب على الباحث تضمين توصية استشرافية صريحة تنص على: "ضرورة الإسراع في صياغة إطار تنظيمي خاص للملكية الفكرية المرتبطة بالذكاء الاصطناعي التوليدي والمسؤولية القانونية عن نماذج تعلم الآلة التي تتغذى على مصنفات محمية دون إذن أصحابها". إغفال هذا الجانب في التوصيات يقلل من القيمة العصرية والديناميكية للرسالة</w:t>
      </w:r>
      <w:r w:rsidRPr="009A769F">
        <w:rPr>
          <w:rFonts w:ascii="Simplified Arabic" w:eastAsia="Times New Roman" w:hAnsi="Simplified Arabic" w:cs="Simplified Arabic"/>
          <w:sz w:val="28"/>
          <w:szCs w:val="28"/>
          <w:highlight w:val="yellow"/>
        </w:rPr>
        <w: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4F3F1F3" w15:done="0"/>
  <w15:commentEx w15:paraId="5F242319" w15:done="0"/>
  <w15:commentEx w15:paraId="3F3B12F8" w15:done="0"/>
  <w15:commentEx w15:paraId="3BEDB4DE" w15:done="0"/>
  <w15:commentEx w15:paraId="39A0F15C" w15:done="0"/>
  <w15:commentEx w15:paraId="548820BE" w15:done="0"/>
  <w15:commentEx w15:paraId="15975975" w15:done="0"/>
  <w15:commentEx w15:paraId="7AA24CF1" w15:done="0"/>
  <w15:commentEx w15:paraId="7618F783" w15:done="0"/>
  <w15:commentEx w15:paraId="02830EA7" w15:done="0"/>
  <w15:commentEx w15:paraId="4D86897B" w15:done="0"/>
  <w15:commentEx w15:paraId="42D63AB0" w15:done="0"/>
  <w15:commentEx w15:paraId="4C0E9F60" w15:done="0"/>
  <w15:commentEx w15:paraId="1F57479B" w15:done="0"/>
  <w15:commentEx w15:paraId="36148E09" w15:done="0"/>
  <w15:commentEx w15:paraId="50751E79" w15:done="0"/>
  <w15:commentEx w15:paraId="7B057A3C" w15:done="0"/>
  <w15:commentEx w15:paraId="080E1C5C" w15:done="0"/>
  <w15:commentEx w15:paraId="19F6D30A" w15:done="0"/>
  <w15:commentEx w15:paraId="01CE3150" w15:done="0"/>
  <w15:commentEx w15:paraId="2D41DB53" w15:done="0"/>
  <w15:commentEx w15:paraId="628589A9" w15:done="0"/>
  <w15:commentEx w15:paraId="7EE5BD5B" w15:done="0"/>
  <w15:commentEx w15:paraId="008E219B" w15:done="0"/>
  <w15:commentEx w15:paraId="469F565D" w15:done="0"/>
  <w15:commentEx w15:paraId="49B33C97"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B4EE8" w14:textId="77777777" w:rsidR="001552B0" w:rsidRDefault="001552B0">
      <w:r>
        <w:separator/>
      </w:r>
    </w:p>
  </w:endnote>
  <w:endnote w:type="continuationSeparator" w:id="0">
    <w:p w14:paraId="537BF7F6" w14:textId="77777777" w:rsidR="001552B0" w:rsidRDefault="0015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0A445" w14:textId="24CCD405" w:rsidR="000B6E77" w:rsidRPr="00906FAF" w:rsidRDefault="000B6E77" w:rsidP="00906FAF">
    <w:pPr>
      <w:pStyle w:val="Footer"/>
      <w:jc w:val="center"/>
    </w:pPr>
    <w:r>
      <w:fldChar w:fldCharType="begin"/>
    </w:r>
    <w:r>
      <w:instrText xml:space="preserve"> PAGE  \* ArabicAbjad  \* MERGEFORMAT </w:instrText>
    </w:r>
    <w:r>
      <w:fldChar w:fldCharType="separate"/>
    </w:r>
    <w:r w:rsidR="00C41C97" w:rsidRPr="00C41C97">
      <w:rPr>
        <w:rFonts w:ascii="Arial" w:hAnsi="Arial" w:cs="Arial"/>
        <w:noProof/>
        <w:rtl/>
      </w:rPr>
      <w:t>‌ج</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D44C5" w14:textId="13866CD0" w:rsidR="000B6E77" w:rsidRDefault="000B6E77">
    <w:pPr>
      <w:pStyle w:val="Footer"/>
      <w:tabs>
        <w:tab w:val="clear" w:pos="9026"/>
        <w:tab w:val="right" w:pos="8761"/>
      </w:tabs>
      <w:jc w:val="center"/>
    </w:pPr>
    <w:r>
      <w:rPr>
        <w:rtl/>
      </w:rPr>
      <w:fldChar w:fldCharType="begin"/>
    </w:r>
    <w:r>
      <w:rPr>
        <w:rtl/>
      </w:rPr>
      <w:instrText xml:space="preserve"> PAGE </w:instrText>
    </w:r>
    <w:r>
      <w:rPr>
        <w:rtl/>
      </w:rPr>
      <w:fldChar w:fldCharType="separate"/>
    </w:r>
    <w:r w:rsidR="00C41C97">
      <w:rPr>
        <w:rFonts w:cs="Times New Roman"/>
        <w:noProof/>
        <w:rtl/>
      </w:rPr>
      <w:t>11</w:t>
    </w:r>
    <w:r>
      <w:rPr>
        <w:rtl/>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ABD2E" w14:textId="723303CF" w:rsidR="000B6E77" w:rsidRDefault="000B6E77">
    <w:pPr>
      <w:pStyle w:val="Footer"/>
      <w:tabs>
        <w:tab w:val="clear" w:pos="9026"/>
        <w:tab w:val="right" w:pos="8761"/>
      </w:tabs>
      <w:jc w:val="center"/>
    </w:pPr>
    <w:r>
      <w:rPr>
        <w:rtl/>
      </w:rPr>
      <w:fldChar w:fldCharType="begin"/>
    </w:r>
    <w:r>
      <w:rPr>
        <w:rtl/>
      </w:rPr>
      <w:instrText xml:space="preserve"> PAGE </w:instrText>
    </w:r>
    <w:r>
      <w:rPr>
        <w:rtl/>
      </w:rPr>
      <w:fldChar w:fldCharType="separate"/>
    </w:r>
    <w:r w:rsidR="00C41C97">
      <w:rPr>
        <w:rFonts w:cs="Times New Roman"/>
        <w:noProof/>
        <w:rtl/>
      </w:rPr>
      <w:t>136</w:t>
    </w:r>
    <w:r>
      <w:rPr>
        <w:rtl/>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B1CD0" w14:textId="77777777" w:rsidR="001552B0" w:rsidRDefault="001552B0" w:rsidP="00066A55">
      <w:pPr>
        <w:bidi/>
      </w:pPr>
      <w:r>
        <w:separator/>
      </w:r>
    </w:p>
  </w:footnote>
  <w:footnote w:type="continuationSeparator" w:id="0">
    <w:p w14:paraId="00FBD31F" w14:textId="77777777" w:rsidR="001552B0" w:rsidRDefault="001552B0">
      <w:r>
        <w:continuationSeparator/>
      </w:r>
    </w:p>
  </w:footnote>
  <w:footnote w:type="continuationNotice" w:id="1">
    <w:p w14:paraId="210B8714" w14:textId="77777777" w:rsidR="001552B0" w:rsidRDefault="001552B0"/>
  </w:footnote>
  <w:footnote w:id="2">
    <w:p w14:paraId="143C7A63"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Pr>
        <w:t>(</w:t>
      </w:r>
      <w:r w:rsidRPr="00A663DE">
        <w:rPr>
          <w:rFonts w:ascii="Times New Roman" w:hAnsi="Times New Roman" w:cs="Times New Roman"/>
          <w:sz w:val="24"/>
          <w:szCs w:val="24"/>
          <w:rtl/>
          <w:lang w:val="ar-SA"/>
        </w:rPr>
        <w:t xml:space="preserve"> كوثر مازوني، ومبروك مشونشي، نطاق الملكية الفكرية في البيئة الرقمية، مجلة العلوم الإنسانية، جامعة العربي بن مهيدي، أم البواقي، 9 (3) 2022، ص 1273</w:t>
      </w:r>
    </w:p>
  </w:footnote>
  <w:footnote w:id="3">
    <w:p w14:paraId="6F2FF331" w14:textId="77777777" w:rsidR="000B6E77" w:rsidRPr="00A663DE" w:rsidRDefault="000B6E77">
      <w:pPr>
        <w:pStyle w:val="FootnoteText"/>
        <w:jc w:val="both"/>
        <w:rPr>
          <w:rFonts w:ascii="Times New Roman" w:hAnsi="Times New Roman" w:cs="Times New Roman"/>
        </w:rPr>
      </w:pPr>
      <w:r w:rsidRPr="00E039D0">
        <w:rPr>
          <w:rFonts w:ascii="Times New Roman" w:hAnsi="Times New Roman" w:cs="Times New Roman"/>
          <w:sz w:val="24"/>
          <w:szCs w:val="24"/>
          <w:highlight w:val="yellow"/>
          <w:vertAlign w:val="superscript"/>
          <w:rtl/>
          <w:lang w:val="ar-SA"/>
        </w:rPr>
        <w:t>(</w:t>
      </w:r>
      <w:r w:rsidRPr="00E039D0">
        <w:rPr>
          <w:rFonts w:ascii="Times New Roman" w:eastAsia="Times New Roman" w:hAnsi="Times New Roman" w:cs="Times New Roman"/>
          <w:sz w:val="24"/>
          <w:szCs w:val="24"/>
          <w:highlight w:val="yellow"/>
          <w:vertAlign w:val="superscript"/>
          <w:rtl/>
          <w:lang w:val="ar-SA"/>
        </w:rPr>
        <w:footnoteRef/>
      </w:r>
      <w:r w:rsidRPr="00E039D0">
        <w:rPr>
          <w:rFonts w:ascii="Times New Roman" w:hAnsi="Times New Roman" w:cs="Times New Roman"/>
          <w:sz w:val="24"/>
          <w:szCs w:val="24"/>
          <w:highlight w:val="yellow"/>
          <w:vertAlign w:val="superscript"/>
          <w:rtl/>
          <w:lang w:val="ar-SA"/>
        </w:rPr>
        <w:t>)</w:t>
      </w:r>
      <w:r w:rsidRPr="00E039D0">
        <w:rPr>
          <w:rFonts w:ascii="Times New Roman" w:hAnsi="Times New Roman" w:cs="Times New Roman"/>
          <w:sz w:val="24"/>
          <w:szCs w:val="24"/>
          <w:highlight w:val="yellow"/>
          <w:rtl/>
          <w:lang w:val="ar-SA"/>
        </w:rPr>
        <w:t xml:space="preserve"> صلاح سلمان أسمر زين الدين،  الملكية الفكرية نشأتها ونطاقها وعناصرها وأهميتها. المؤتمر العلمي الثالث: موقف الإسلام من مسألة الملكية الفكرية، الأردن، 2001، ص 3.</w:t>
      </w:r>
    </w:p>
  </w:footnote>
  <w:footnote w:id="4">
    <w:p w14:paraId="1D9186BB" w14:textId="6A5AC461" w:rsidR="000B6E77" w:rsidRPr="00A663DE" w:rsidRDefault="000B6E77">
      <w:pPr>
        <w:pStyle w:val="FootnoteText"/>
        <w:jc w:val="both"/>
        <w:rPr>
          <w:rFonts w:ascii="Times New Roman" w:hAnsi="Times New Roman" w:cs="Times New Roman"/>
        </w:rPr>
      </w:pPr>
      <w:r w:rsidRPr="00E039D0">
        <w:rPr>
          <w:rFonts w:ascii="Times New Roman" w:hAnsi="Times New Roman" w:cs="Times New Roman"/>
          <w:sz w:val="24"/>
          <w:szCs w:val="24"/>
          <w:highlight w:val="yellow"/>
          <w:vertAlign w:val="superscript"/>
          <w:rtl/>
          <w:lang w:val="ar-SA"/>
        </w:rPr>
        <w:t>(</w:t>
      </w:r>
      <w:r w:rsidRPr="00E039D0">
        <w:rPr>
          <w:rFonts w:ascii="Times New Roman" w:hAnsi="Times New Roman" w:cs="Times New Roman" w:hint="cs"/>
          <w:sz w:val="24"/>
          <w:szCs w:val="24"/>
          <w:highlight w:val="yellow"/>
          <w:vertAlign w:val="superscript"/>
          <w:rtl/>
          <w:lang w:val="ar-SA"/>
        </w:rPr>
        <w:t>2</w:t>
      </w:r>
      <w:r w:rsidRPr="00E039D0">
        <w:rPr>
          <w:rFonts w:ascii="Times New Roman" w:hAnsi="Times New Roman" w:cs="Times New Roman"/>
          <w:sz w:val="24"/>
          <w:szCs w:val="24"/>
          <w:highlight w:val="yellow"/>
          <w:vertAlign w:val="superscript"/>
          <w:rtl/>
          <w:lang w:val="ar-SA"/>
        </w:rPr>
        <w:t>)</w:t>
      </w:r>
      <w:r w:rsidRPr="00E039D0">
        <w:rPr>
          <w:rFonts w:ascii="Times New Roman" w:hAnsi="Times New Roman" w:cs="Times New Roman"/>
          <w:sz w:val="24"/>
          <w:szCs w:val="24"/>
          <w:highlight w:val="yellow"/>
          <w:rtl/>
          <w:lang w:val="ar-SA"/>
        </w:rPr>
        <w:t xml:space="preserve"> نزيه محمد الصادق المهدي، آلية حماية حقوق الملكية الفكرية، كلية الحقوق جامعة القاهرة، دار النهضة العربية للنشر، القاهرة، الطبعة الثانية، 2017, ص3.</w:t>
      </w:r>
    </w:p>
  </w:footnote>
  <w:footnote w:id="5">
    <w:p w14:paraId="72EA6502" w14:textId="77777777" w:rsidR="000B6E77" w:rsidRPr="00A663DE" w:rsidRDefault="000B6E77">
      <w:pPr>
        <w:pStyle w:val="1"/>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 xml:space="preserve">) </w:t>
      </w:r>
      <w:r w:rsidRPr="00A663DE">
        <w:rPr>
          <w:rFonts w:ascii="Times New Roman" w:hAnsi="Times New Roman" w:cs="Times New Roman"/>
          <w:sz w:val="24"/>
          <w:szCs w:val="24"/>
          <w:rtl/>
          <w:lang w:val="ar-SA"/>
        </w:rPr>
        <w:t>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3، العدد 5، أغسطس 2023، ص 19-22.</w:t>
      </w:r>
    </w:p>
  </w:footnote>
  <w:footnote w:id="6">
    <w:p w14:paraId="2531FCF5" w14:textId="77777777" w:rsidR="000B6E77" w:rsidRPr="00A663DE" w:rsidRDefault="000B6E77">
      <w:pPr>
        <w:pStyle w:val="1"/>
        <w:jc w:val="both"/>
        <w:rPr>
          <w:rFonts w:ascii="Times New Roman" w:hAnsi="Times New Roman" w:cs="Times New Roman"/>
        </w:rPr>
      </w:pPr>
      <w:r w:rsidRPr="00A663DE">
        <w:rPr>
          <w:rFonts w:ascii="Times New Roman" w:hAnsi="Times New Roman" w:cs="Times New Roman"/>
          <w:sz w:val="24"/>
          <w:szCs w:val="24"/>
          <w:vertAlign w:val="superscript"/>
          <w:rtl/>
          <w:lang w:val="ar-SA"/>
        </w:rPr>
        <w:t>(1)</w:t>
      </w:r>
      <w:r w:rsidRPr="00A663DE">
        <w:rPr>
          <w:rFonts w:ascii="Times New Roman" w:hAnsi="Times New Roman" w:cs="Times New Roman"/>
          <w:sz w:val="24"/>
          <w:szCs w:val="24"/>
          <w:rtl/>
          <w:lang w:val="ar-SA"/>
        </w:rPr>
        <w:t xml:space="preserve"> السيد أحمد عبد الخالق، حماية حقوق الملكية الفكرية في ظل اتفاقية التريس والتشريعات الاقتصادية، الطبعة الأولى، دار الفكر والقانون للنشر بالقاهرة، 2011، ص:43-58.</w:t>
      </w:r>
    </w:p>
  </w:footnote>
  <w:footnote w:id="7">
    <w:p w14:paraId="09C206D1" w14:textId="77777777" w:rsidR="000B6E77" w:rsidRPr="00A663DE" w:rsidRDefault="000B6E77">
      <w:pPr>
        <w:pStyle w:val="1"/>
        <w:jc w:val="both"/>
        <w:rPr>
          <w:rFonts w:ascii="Times New Roman" w:hAnsi="Times New Roman" w:cs="Times New Roman"/>
        </w:rPr>
      </w:pPr>
      <w:r w:rsidRPr="00DA1AD1">
        <w:rPr>
          <w:rFonts w:ascii="Times New Roman" w:hAnsi="Times New Roman" w:cs="Times New Roman"/>
          <w:sz w:val="24"/>
          <w:szCs w:val="24"/>
          <w:highlight w:val="yellow"/>
          <w:vertAlign w:val="superscript"/>
          <w:rtl/>
          <w:lang w:val="ar-SA"/>
        </w:rPr>
        <w:t>(2)</w:t>
      </w:r>
      <w:r w:rsidRPr="00DA1AD1">
        <w:rPr>
          <w:rFonts w:ascii="Times New Roman" w:hAnsi="Times New Roman" w:cs="Times New Roman"/>
          <w:sz w:val="24"/>
          <w:szCs w:val="24"/>
          <w:highlight w:val="yellow"/>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ص:39-42.</w:t>
      </w:r>
    </w:p>
  </w:footnote>
  <w:footnote w:id="8">
    <w:p w14:paraId="738C4229"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(1)</w:t>
      </w:r>
      <w:r w:rsidRPr="00A663DE">
        <w:rPr>
          <w:rFonts w:ascii="Times New Roman" w:hAnsi="Times New Roman" w:cs="Times New Roman"/>
          <w:sz w:val="24"/>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 31-53.</w:t>
      </w:r>
    </w:p>
  </w:footnote>
  <w:footnote w:id="9">
    <w:p w14:paraId="66D30E9C"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 xml:space="preserve">) </w:t>
      </w:r>
      <w:r w:rsidRPr="00A663DE">
        <w:rPr>
          <w:rFonts w:ascii="Times New Roman" w:hAnsi="Times New Roman" w:cs="Times New Roman"/>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 2022/ 2023. ص 7-87.</w:t>
      </w:r>
    </w:p>
  </w:footnote>
  <w:footnote w:id="10">
    <w:p w14:paraId="49E47048"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rtl/>
          <w:lang w:val="ar-SA"/>
        </w:rPr>
        <w:t>) مروة زين العابدين سعد، التحكيم في منازعات الملكية الفكرية: ما بين النظام العام ومبدأ سلطان الإرادة، جامعة عين شمس، كلية الحقوق، الناشر مجلة العلوم القانونية والاقتصادية مج66، ع1، مصر، يناير 2024، ص 1069 - 1163.</w:t>
      </w:r>
    </w:p>
  </w:footnote>
  <w:footnote w:id="11">
    <w:p w14:paraId="5BB44C6D" w14:textId="77777777" w:rsidR="000B6E77" w:rsidRPr="00A663DE" w:rsidRDefault="000B6E77">
      <w:pPr>
        <w:pStyle w:val="FootnoteText"/>
        <w:bidi w:val="0"/>
        <w:jc w:val="both"/>
        <w:rPr>
          <w:rFonts w:ascii="Times New Roman" w:hAnsi="Times New Roman" w:cs="Times New Roman"/>
        </w:rPr>
      </w:pPr>
      <w:r w:rsidRPr="00A663DE">
        <w:rPr>
          <w:rFonts w:ascii="Times New Roman" w:hAnsi="Times New Roman" w:cs="Times New Roman"/>
          <w:sz w:val="24"/>
          <w:szCs w:val="24"/>
          <w:rtl/>
          <w:lang w:val="ar-SA"/>
        </w:rPr>
        <w:t xml:space="preserve"> (</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rtl/>
          <w:lang w:val="ar-SA"/>
        </w:rPr>
        <w:t>)</w:t>
      </w:r>
      <w:r w:rsidRPr="00A663DE">
        <w:rPr>
          <w:rFonts w:ascii="Times New Roman" w:hAnsi="Times New Roman" w:cs="Times New Roman"/>
        </w:rPr>
        <w:t xml:space="preserve">De Beer (J.), Gold (E. R.), "International Trade, Intellectual Property, and Innovation Policy: Lessons from a Pandemic", in Vulnerable: The Policy, Law and Ethics of COVID-19, University of Ottawa Press, janvier 2020. </w:t>
      </w:r>
      <w:hyperlink r:id="rId1" w:history="1">
        <w:r w:rsidRPr="00A663DE">
          <w:rPr>
            <w:rStyle w:val="Hyperlink0"/>
            <w:rFonts w:eastAsia="Arial Unicode MS"/>
          </w:rPr>
          <w:t>https://2u.pw/g1P5N</w:t>
        </w:r>
      </w:hyperlink>
    </w:p>
  </w:footnote>
  <w:footnote w:id="12">
    <w:p w14:paraId="2EE4DC5F" w14:textId="70D0B1E6" w:rsidR="000B6E77" w:rsidRPr="00DA1AD1" w:rsidRDefault="000B6E77">
      <w:pPr>
        <w:pStyle w:val="FootnoteText"/>
        <w:jc w:val="both"/>
        <w:rPr>
          <w:rFonts w:ascii="Times New Roman" w:hAnsi="Times New Roman" w:cs="Times New Roman"/>
          <w:highlight w:val="yellow"/>
        </w:rPr>
      </w:pPr>
      <w:r w:rsidRPr="00DA1AD1">
        <w:rPr>
          <w:rFonts w:ascii="Times New Roman" w:hAnsi="Times New Roman" w:cs="Times New Roman"/>
          <w:sz w:val="24"/>
          <w:szCs w:val="24"/>
          <w:highlight w:val="yellow"/>
          <w:vertAlign w:val="superscript"/>
          <w:rtl/>
          <w:lang w:val="ar-SA"/>
        </w:rPr>
        <w:t>(</w:t>
      </w:r>
      <w:r w:rsidRPr="00DA1AD1">
        <w:rPr>
          <w:rFonts w:ascii="Times New Roman" w:eastAsia="Times New Roman" w:hAnsi="Times New Roman" w:cs="Times New Roman"/>
          <w:sz w:val="24"/>
          <w:szCs w:val="24"/>
          <w:highlight w:val="yellow"/>
          <w:vertAlign w:val="superscript"/>
          <w:rtl/>
          <w:lang w:val="ar-SA"/>
          <w14:textOutline w14:w="12700" w14:cap="flat" w14:cmpd="sng" w14:algn="ctr">
            <w14:noFill/>
            <w14:prstDash w14:val="solid"/>
            <w14:miter w14:lim="400000"/>
          </w14:textOutline>
        </w:rPr>
        <w:t>١</w:t>
      </w:r>
      <w:r w:rsidRPr="00DA1AD1">
        <w:rPr>
          <w:rFonts w:ascii="Times New Roman" w:hAnsi="Times New Roman" w:cs="Times New Roman"/>
          <w:sz w:val="24"/>
          <w:szCs w:val="24"/>
          <w:highlight w:val="yellow"/>
          <w:vertAlign w:val="superscript"/>
          <w:rtl/>
          <w:lang w:val="ar-SA"/>
        </w:rPr>
        <w:t>)</w:t>
      </w:r>
      <w:r w:rsidRPr="00DA1AD1">
        <w:rPr>
          <w:rFonts w:ascii="Times New Roman" w:hAnsi="Times New Roman" w:cs="Times New Roman"/>
          <w:highlight w:val="yellow"/>
        </w:rPr>
        <w:t xml:space="preserve"> </w:t>
      </w:r>
      <w:r w:rsidRPr="00DA1AD1">
        <w:rPr>
          <w:rFonts w:ascii="Times New Roman" w:hAnsi="Times New Roman" w:cs="Times New Roman"/>
          <w:sz w:val="24"/>
          <w:szCs w:val="24"/>
          <w:highlight w:val="yellow"/>
          <w:rtl/>
          <w:lang w:val="ar-SA"/>
        </w:rPr>
        <w:t xml:space="preserve"> ولاء الدين محمد إبراهيم، التحكيم في منازعات المليكة الفكرية، المجلة المصرية للقانون الدولي، 72، 384-428، 2016، ص 388-389.</w:t>
      </w:r>
    </w:p>
  </w:footnote>
  <w:footnote w:id="13">
    <w:p w14:paraId="1CE6FC22" w14:textId="296DBEAA" w:rsidR="000B6E77" w:rsidRPr="00A663DE" w:rsidRDefault="000B6E77">
      <w:pPr>
        <w:pStyle w:val="FootnoteText"/>
        <w:jc w:val="both"/>
        <w:rPr>
          <w:rFonts w:ascii="Times New Roman" w:hAnsi="Times New Roman" w:cs="Times New Roman"/>
        </w:rPr>
      </w:pPr>
      <w:r w:rsidRPr="00DA1AD1">
        <w:rPr>
          <w:rFonts w:ascii="Times New Roman" w:hAnsi="Times New Roman" w:cs="Times New Roman"/>
          <w:sz w:val="24"/>
          <w:szCs w:val="24"/>
          <w:highlight w:val="yellow"/>
          <w:vertAlign w:val="superscript"/>
          <w:rtl/>
          <w:lang w:val="ar-SA"/>
        </w:rPr>
        <w:t>(</w:t>
      </w:r>
      <w:r w:rsidRPr="00DA1AD1">
        <w:rPr>
          <w:rFonts w:ascii="Times New Roman" w:eastAsia="Times New Roman" w:hAnsi="Times New Roman" w:cs="Times New Roman"/>
          <w:sz w:val="24"/>
          <w:szCs w:val="24"/>
          <w:highlight w:val="yellow"/>
          <w:vertAlign w:val="superscript"/>
          <w:rtl/>
          <w:lang w:val="ar-SA"/>
          <w14:textOutline w14:w="12700" w14:cap="flat" w14:cmpd="sng" w14:algn="ctr">
            <w14:noFill/>
            <w14:prstDash w14:val="solid"/>
            <w14:miter w14:lim="400000"/>
          </w14:textOutline>
        </w:rPr>
        <w:t>٢</w:t>
      </w:r>
      <w:r w:rsidRPr="00DA1AD1">
        <w:rPr>
          <w:rFonts w:ascii="Times New Roman" w:hAnsi="Times New Roman" w:cs="Times New Roman"/>
          <w:sz w:val="24"/>
          <w:szCs w:val="24"/>
          <w:highlight w:val="yellow"/>
          <w:vertAlign w:val="superscript"/>
          <w:rtl/>
          <w:lang w:val="ar-SA"/>
        </w:rPr>
        <w:t>)</w:t>
      </w:r>
      <w:r w:rsidRPr="00DA1AD1">
        <w:rPr>
          <w:rFonts w:ascii="Times New Roman" w:hAnsi="Times New Roman" w:cs="Times New Roman"/>
          <w:highlight w:val="yellow"/>
        </w:rPr>
        <w:t xml:space="preserve"> </w:t>
      </w:r>
      <w:r w:rsidRPr="00DA1AD1">
        <w:rPr>
          <w:rFonts w:ascii="Times New Roman" w:hAnsi="Times New Roman" w:cs="Times New Roman"/>
          <w:sz w:val="24"/>
          <w:szCs w:val="24"/>
          <w:highlight w:val="yellow"/>
          <w:rtl/>
          <w:lang w:val="ar-SA"/>
        </w:rPr>
        <w:t>أسعد المحاسن لحرش، الملكية الفكرية بين تشجيع الابتكار وتحريم الاحتكار، مجلة دراسات وأبحاث، (6)، 109-86، 2012، ص 90.</w:t>
      </w:r>
    </w:p>
  </w:footnote>
  <w:footnote w:id="14">
    <w:p w14:paraId="64637319" w14:textId="461F2D2A"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١٣</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هناء عودة خضري أحمد عودة، دليل ضوابط الملكية الفكرية. دراسات في التعليم الجامعي، (23)، 462-420، 2012، ص424.</w:t>
      </w:r>
    </w:p>
  </w:footnote>
  <w:footnote w:id="15">
    <w:p w14:paraId="5643829D" w14:textId="09E19864"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t>١٤</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ابن منظور، لسان العرب دار صادر، بيروت، لبنان، ط ٣، المجلد الخامس، ١٩٩٤، ص ٦٥.</w:t>
      </w:r>
    </w:p>
  </w:footnote>
  <w:footnote w:id="16">
    <w:p w14:paraId="76F69686" w14:textId="2D4448D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t>١٥</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مجمع اللغة العربية، المعجم الوسيط، مكتبة الشروق الدولية، القاهرة، بدون طبعة، ٢٠٠٤، ص ٦٩٨.</w:t>
      </w:r>
    </w:p>
  </w:footnote>
  <w:footnote w:id="17">
    <w:p w14:paraId="6CF99C8C" w14:textId="5A690AEA"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١٦</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محمد أحمد آدم أبكر، حقوق الملكية الفكرية وتطبيقاتها الجنائية: دراسة مقارنة. (رسالة دكتوراه غير منشورة)، جامعة أم درمان الإسلامية، السودان، 2016، ص 2.</w:t>
      </w:r>
    </w:p>
  </w:footnote>
  <w:footnote w:id="18">
    <w:p w14:paraId="3EF78917" w14:textId="1B4F0472"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t>١٧</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أخلاقيات العمل وحقوق الملكية الفكرية، الطبعة الأولى، بدون ناشر، ١٤٤٤ هـ، ٢٠٢٣، ص ٢٦٩.</w:t>
      </w:r>
    </w:p>
  </w:footnote>
  <w:footnote w:id="19">
    <w:p w14:paraId="3953164A" w14:textId="5B33EFCB"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t>١٨</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مرجع سابق، ص، -٥٨.</w:t>
      </w:r>
    </w:p>
  </w:footnote>
  <w:footnote w:id="20">
    <w:p w14:paraId="438AF40B"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بلقاسمي كهينة، استقلالية النظام القانوني للملكية الفكرية، مذكرة من أجل الحصول على شهادة الماجستير في الحقوق، كلية الحقوق جامعة الجزائر بن يوسف بن خدة، ٢٠٠٨-٢٠٠٩، ص.</w:t>
      </w:r>
    </w:p>
  </w:footnote>
  <w:footnote w:id="21">
    <w:p w14:paraId="44C117B2"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حسام الدين صغير، المنظمة العالمية للملكية الفكرية </w:t>
      </w:r>
      <w:r w:rsidRPr="00A663DE">
        <w:rPr>
          <w:rFonts w:ascii="Times New Roman" w:hAnsi="Times New Roman" w:cs="Times New Roman"/>
        </w:rPr>
        <w:t>Wipo</w:t>
      </w:r>
      <w:r w:rsidRPr="00A663DE">
        <w:rPr>
          <w:rFonts w:ascii="Times New Roman" w:hAnsi="Times New Roman" w:cs="Times New Roman"/>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 ص ٢.</w:t>
      </w:r>
    </w:p>
  </w:footnote>
  <w:footnote w:id="22">
    <w:p w14:paraId="3EB6EF5D"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3">
    <w:p w14:paraId="0B09AB9D"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4">
    <w:p w14:paraId="0D095DEF"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5">
    <w:p w14:paraId="3B6560A2"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إثبات الملكية في الوثائق العربية، الدار المصرية اللبنانية للنشر، الطبعة الأولي، القاهرة، ١٩٩٤، ص٥٨.</w:t>
      </w:r>
    </w:p>
  </w:footnote>
  <w:footnote w:id="26">
    <w:p w14:paraId="3B38F347" w14:textId="77777777" w:rsidR="000B6E77" w:rsidRPr="00A663DE" w:rsidRDefault="000B6E77">
      <w:pPr>
        <w:pStyle w:val="FootnoteText"/>
        <w:jc w:val="both"/>
        <w:rPr>
          <w:rFonts w:ascii="Times New Roman" w:hAnsi="Times New Roman" w:cs="Times New Roman"/>
        </w:rPr>
      </w:pPr>
      <w:r w:rsidRPr="00FC5C90">
        <w:rPr>
          <w:rFonts w:ascii="Times New Roman" w:hAnsi="Times New Roman" w:cs="Times New Roman"/>
          <w:sz w:val="24"/>
          <w:szCs w:val="24"/>
          <w:highlight w:val="yellow"/>
          <w:vertAlign w:val="superscript"/>
          <w:rtl/>
          <w:lang w:val="ar-SA"/>
        </w:rPr>
        <w:t>(</w:t>
      </w:r>
      <w:r w:rsidRPr="00FC5C90">
        <w:rPr>
          <w:rFonts w:ascii="Times New Roman" w:eastAsia="Times New Roman" w:hAnsi="Times New Roman" w:cs="Times New Roman"/>
          <w:sz w:val="24"/>
          <w:szCs w:val="24"/>
          <w:highlight w:val="yellow"/>
          <w:vertAlign w:val="superscript"/>
          <w:rtl/>
          <w:lang w:val="ar-SA"/>
        </w:rPr>
        <w:footnoteRef/>
      </w:r>
      <w:r w:rsidRPr="00FC5C90">
        <w:rPr>
          <w:rFonts w:ascii="Times New Roman" w:hAnsi="Times New Roman" w:cs="Times New Roman"/>
          <w:sz w:val="24"/>
          <w:szCs w:val="24"/>
          <w:highlight w:val="yellow"/>
          <w:vertAlign w:val="superscript"/>
          <w:rtl/>
          <w:lang w:val="ar-SA"/>
        </w:rPr>
        <w:t>)</w:t>
      </w:r>
      <w:r w:rsidRPr="00FC5C90">
        <w:rPr>
          <w:rFonts w:ascii="Times New Roman" w:hAnsi="Times New Roman" w:cs="Times New Roman"/>
          <w:sz w:val="24"/>
          <w:szCs w:val="24"/>
          <w:highlight w:val="yellow"/>
          <w:rtl/>
          <w:lang w:val="ar-SA"/>
        </w:rPr>
        <w:t xml:space="preserve"> جمال الخولي، مرجع سابق، ص، -٥٨.</w:t>
      </w:r>
    </w:p>
  </w:footnote>
  <w:footnote w:id="27">
    <w:p w14:paraId="340BCC93" w14:textId="77777777" w:rsidR="000B6E77" w:rsidRDefault="000B6E77" w:rsidP="005B098D">
      <w:pPr>
        <w:pStyle w:val="FootnoteText"/>
        <w:bidi w:val="0"/>
      </w:pPr>
      <w:r w:rsidRPr="005B098D">
        <w:rPr>
          <w:vertAlign w:val="superscript"/>
        </w:rPr>
        <w:t>(</w:t>
      </w:r>
      <w:r w:rsidRPr="005B098D">
        <w:rPr>
          <w:rStyle w:val="FootnoteReference"/>
        </w:rPr>
        <w:footnoteRef/>
      </w:r>
      <w:r w:rsidRPr="005B098D">
        <w:rPr>
          <w:vertAlign w:val="superscript"/>
        </w:rPr>
        <w:t>)</w:t>
      </w:r>
      <w:r>
        <w:t xml:space="preserve"> </w:t>
      </w:r>
      <w:r w:rsidRPr="00A663DE">
        <w:rPr>
          <w:rFonts w:ascii="Times New Roman" w:hAnsi="Times New Roman" w:cs="Times New Roman"/>
        </w:rPr>
        <w:t>Lucchi (N.)</w:t>
      </w:r>
      <w:r w:rsidRPr="00A663DE">
        <w:rPr>
          <w:rFonts w:ascii="Times New Roman" w:hAnsi="Times New Roman" w:cs="Times New Roman"/>
          <w:sz w:val="24"/>
          <w:szCs w:val="24"/>
          <w:rtl/>
          <w:lang w:val="ar-SA"/>
        </w:rPr>
        <w:t>،</w:t>
      </w:r>
      <w:r w:rsidRPr="00A663DE">
        <w:rPr>
          <w:rFonts w:ascii="Times New Roman" w:hAnsi="Times New Roman" w:cs="Times New Roman"/>
        </w:rPr>
        <w:t xml:space="preserve"> "Intellectual Property Rights in Digital Media: A Comparative Analysis of Legal Protection, Technological Measures, and New Business Models under EU and US Law", Buffalo Law Review, vol. 53, 2005, p. 1111</w:t>
      </w:r>
    </w:p>
  </w:footnote>
  <w:footnote w:id="28">
    <w:p w14:paraId="48EBBA6B"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محمد لعقاب، الأنترنت وعصر ثورة المعلومات، دار هومة للنشر والتوزيع، الطبعة الأولى، ١٩٩٩، ص ٥٤.</w:t>
      </w:r>
    </w:p>
  </w:footnote>
  <w:footnote w:id="29">
    <w:p w14:paraId="165B72C4"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232.</w:t>
      </w:r>
    </w:p>
  </w:footnote>
  <w:footnote w:id="30">
    <w:p w14:paraId="4D4E7F27" w14:textId="6EA222D1" w:rsidR="000B6E77" w:rsidRPr="00A663DE" w:rsidRDefault="000B6E77">
      <w:pPr>
        <w:pStyle w:val="FootnoteText"/>
        <w:bidi w:val="0"/>
        <w:jc w:val="both"/>
        <w:rPr>
          <w:rFonts w:ascii="Times New Roman" w:hAnsi="Times New Roman" w:cs="Times New Roman"/>
          <w:lang w:val="it-IT"/>
        </w:rPr>
      </w:pPr>
      <w:r>
        <w:rPr>
          <w:rFonts w:ascii="Times New Roman" w:hAnsi="Times New Roman" w:cs="Times New Roman"/>
          <w:vertAlign w:val="superscript"/>
          <w:lang w:val="it-IT"/>
        </w:rPr>
        <w:t xml:space="preserve"> (</w:t>
      </w:r>
      <w:r w:rsidRPr="00FD2A46">
        <w:rPr>
          <w:rFonts w:ascii="Times New Roman" w:hAnsi="Times New Roman" w:cs="Times New Roman"/>
          <w:vertAlign w:val="superscript"/>
          <w:lang w:val="it-IT"/>
        </w:rPr>
        <w:t>1</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Fonts w:ascii="Times New Roman" w:hAnsi="Times New Roman" w:cs="Times New Roman"/>
          <w:lang w:val="it-IT"/>
        </w:rPr>
        <w:t>Piette Coudol (T.), Bertrand (A.), Internet et la loi, Dalloz, 1997, p. 141</w:t>
      </w:r>
    </w:p>
  </w:footnote>
  <w:footnote w:id="31">
    <w:p w14:paraId="5770CC9D"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محمد لعقاب، مرجع سابق، ص ٥٤.</w:t>
      </w:r>
    </w:p>
  </w:footnote>
  <w:footnote w:id="32">
    <w:p w14:paraId="1D668DE3" w14:textId="070B7AE6" w:rsidR="000B6E77" w:rsidRPr="00A663DE" w:rsidRDefault="000B6E77">
      <w:pPr>
        <w:pStyle w:val="FootnoteText"/>
        <w:bidi w:val="0"/>
        <w:jc w:val="both"/>
        <w:rPr>
          <w:rFonts w:ascii="Times New Roman" w:hAnsi="Times New Roman" w:cs="Times New Roman"/>
          <w:lang w:val="it-IT"/>
        </w:rPr>
      </w:pPr>
      <w:r>
        <w:rPr>
          <w:rFonts w:ascii="Times New Roman" w:hAnsi="Times New Roman" w:cs="Times New Roman"/>
          <w:vertAlign w:val="superscript"/>
          <w:lang w:val="it-IT"/>
        </w:rPr>
        <w:t>(3</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Fonts w:ascii="Times New Roman" w:hAnsi="Times New Roman" w:cs="Times New Roman"/>
          <w:lang w:val="it-IT"/>
        </w:rPr>
        <w:t>Piette Coudol (T.), Bertrand (A.), Internet et la loi, Dalloz, 1997, p. 141</w:t>
      </w:r>
      <w:r w:rsidRPr="00A663DE">
        <w:rPr>
          <w:rFonts w:ascii="Times New Roman" w:hAnsi="Times New Roman" w:cs="Times New Roman"/>
          <w:sz w:val="24"/>
          <w:szCs w:val="24"/>
          <w:rtl/>
          <w:lang w:val="ar-SA"/>
        </w:rPr>
        <w:t>.</w:t>
      </w:r>
    </w:p>
  </w:footnote>
  <w:footnote w:id="33">
    <w:p w14:paraId="025DF1B2" w14:textId="77777777" w:rsidR="000B6E77" w:rsidRPr="00A663DE" w:rsidRDefault="000B6E77">
      <w:pPr>
        <w:pStyle w:val="Body"/>
        <w:spacing w:after="0" w:line="240" w:lineRule="auto"/>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0"/>
          <w:szCs w:val="20"/>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لفقيه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فتح</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الله؛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وكريمة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كريم،</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الحماية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الجزائية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لقانون</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الملكية الفكرية للمصنف</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الإلكتروني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في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بيئة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الأنترنت</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ومدى</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استفادة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المصنف</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الصحفي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من</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هذه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الحماية،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مجلة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الصورة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والاتصال، ع(22)،</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2018، ص40.</w:t>
      </w:r>
      <w:r w:rsidRPr="00A663DE">
        <w:rPr>
          <w:rFonts w:ascii="Times New Roman" w:hAnsi="Times New Roman" w:cs="Times New Roman"/>
          <w:sz w:val="20"/>
          <w:szCs w:val="20"/>
          <w:rtl/>
        </w:rPr>
        <w:t xml:space="preserve"> </w:t>
      </w:r>
    </w:p>
  </w:footnote>
  <w:footnote w:id="34">
    <w:p w14:paraId="690DDDED"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حماية حقوق الملكية الفكرية على شبكة الإنترنت، رسالة دكتوراه، جامعة جيلالي لياس، سيدي بلعباس، رسالة منشورة، ٢٠٢١-٢٠٢٢، ص ١٢.</w:t>
      </w:r>
    </w:p>
  </w:footnote>
  <w:footnote w:id="35">
    <w:p w14:paraId="5407CA01"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أغسطس- 2006، مصر، ص 4.</w:t>
      </w:r>
    </w:p>
  </w:footnote>
  <w:footnote w:id="36">
    <w:p w14:paraId="49DD7156"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احسان طوير، مرجع سابق، ص ١٢</w:t>
      </w:r>
      <w:r w:rsidRPr="00A663DE">
        <w:rPr>
          <w:rFonts w:ascii="Times New Roman" w:hAnsi="Times New Roman" w:cs="Times New Roman"/>
        </w:rPr>
        <w:t>.</w:t>
      </w:r>
    </w:p>
  </w:footnote>
  <w:footnote w:id="37">
    <w:p w14:paraId="4F51DC70"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2.</w:t>
      </w:r>
    </w:p>
  </w:footnote>
  <w:footnote w:id="38">
    <w:p w14:paraId="1282999E"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عبد الله الشريف، حقوق الملكية الفكرية وعصر تقنيات المعلومات والاتصالات، مجلة الجامعي، (5)، 284-261، 2003، ص267.</w:t>
      </w:r>
    </w:p>
  </w:footnote>
  <w:footnote w:id="39">
    <w:p w14:paraId="374C0F93"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أحمد عبد الله</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 xml:space="preserve">مصطفى، حقوق الملكية الفكرية والتأليف في بيئة الإنترنت. </w:t>
      </w:r>
      <w:r w:rsidRPr="00A663DE">
        <w:rPr>
          <w:rFonts w:ascii="Times New Roman" w:hAnsi="Times New Roman" w:cs="Times New Roman"/>
        </w:rPr>
        <w:t xml:space="preserve">Cybrarians Journal </w:t>
      </w:r>
      <w:r w:rsidRPr="00A663DE">
        <w:rPr>
          <w:rFonts w:ascii="Times New Roman" w:hAnsi="Times New Roman" w:cs="Times New Roman"/>
          <w:sz w:val="24"/>
          <w:szCs w:val="24"/>
          <w:rtl/>
          <w:lang w:val="ar-SA"/>
        </w:rPr>
        <w:t>، (21) ، 1-35، 2009، ص2.</w:t>
      </w:r>
    </w:p>
  </w:footnote>
  <w:footnote w:id="40">
    <w:p w14:paraId="7BFE57AF"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عبد الرزاق السنهوري، مرجع سابق، ص ٣٤٧، بند ١٦٥.</w:t>
      </w:r>
    </w:p>
  </w:footnote>
  <w:footnote w:id="41">
    <w:p w14:paraId="6776DA3F"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عبد الرزاق السنهوري، مرجع سابق، ص ٣٤٧، بند ١٦٥.</w:t>
      </w:r>
    </w:p>
  </w:footnote>
  <w:footnote w:id="42">
    <w:p w14:paraId="559F7E86"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ص538.</w:t>
      </w:r>
    </w:p>
  </w:footnote>
  <w:footnote w:id="43">
    <w:p w14:paraId="62C5BA23"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٢٠.</w:t>
      </w:r>
    </w:p>
  </w:footnote>
  <w:footnote w:id="44">
    <w:p w14:paraId="5682BA4A"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سرباز سعيد رشيد، الحماية القانونية لحقوق الملكية الفكرية، رسالة ماجستير غير منشورة، جامعة الشرق الأردني، الأردن، 2020، ص46.</w:t>
      </w:r>
    </w:p>
  </w:footnote>
  <w:footnote w:id="45">
    <w:p w14:paraId="70318019"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هناء عودة خضري أحمد عودة، دليل ضوابط الملكية الفكرية، دراسات في التعليم الجماعي، ع (23)، 420-462، 2012، ص429.</w:t>
      </w:r>
    </w:p>
  </w:footnote>
  <w:footnote w:id="46">
    <w:p w14:paraId="360C2968"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٢٣-٢٤.</w:t>
      </w:r>
    </w:p>
  </w:footnote>
  <w:footnote w:id="47">
    <w:p w14:paraId="0B9D4B08"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ص560.</w:t>
      </w:r>
    </w:p>
  </w:footnote>
  <w:footnote w:id="48">
    <w:p w14:paraId="2C5439FD"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٢٣-٢٤.</w:t>
      </w:r>
    </w:p>
  </w:footnote>
  <w:footnote w:id="49">
    <w:p w14:paraId="36416EB6"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كاميليا صلاح الدين عبد الله كمال، حماية الصالح العام في ضوء أحكام الملكية الفكرية، مجلة الشريعة والقانون، (42)، 1367-1429، 2023، ص1369.</w:t>
      </w:r>
    </w:p>
  </w:footnote>
  <w:footnote w:id="50">
    <w:p w14:paraId="074100C1" w14:textId="77777777" w:rsidR="000B6E77" w:rsidRPr="00A663DE" w:rsidRDefault="000B6E77">
      <w:pPr>
        <w:pStyle w:val="FootnoteText"/>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موقع منظمة الويبو، مقال حق المؤلف، متاح من </w:t>
      </w:r>
      <w:hyperlink r:id="rId2" w:history="1">
        <w:r w:rsidRPr="00A663DE">
          <w:rPr>
            <w:rStyle w:val="Hyperlink1"/>
            <w:rFonts w:eastAsia="Arial Unicode MS"/>
          </w:rPr>
          <w:t>https://www.wipo.int/copyright/ar</w:t>
        </w:r>
      </w:hyperlink>
      <w:r w:rsidRPr="00A663DE">
        <w:rPr>
          <w:rStyle w:val="None"/>
          <w:rFonts w:ascii="Times New Roman" w:hAnsi="Times New Roman" w:cs="Times New Roman"/>
          <w:sz w:val="24"/>
          <w:szCs w:val="24"/>
          <w:rtl/>
          <w:lang w:val="ar-SA"/>
        </w:rPr>
        <w:t xml:space="preserve"> ، تاريخ الزيارة: ٠٩/١٠/٢٠٢٤.</w:t>
      </w:r>
    </w:p>
  </w:footnote>
  <w:footnote w:id="51">
    <w:p w14:paraId="63C6AE4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اليوم العالمي للملكية الفكرية 2024 الملكية الفكرية وأهداف الأمم المتحدة للتنمية المستدامة، متاح من خلال: </w:t>
      </w:r>
      <w:hyperlink r:id="rId3" w:history="1">
        <w:r w:rsidRPr="00A663DE">
          <w:rPr>
            <w:rStyle w:val="Hyperlink1"/>
            <w:rFonts w:eastAsia="Arial Unicode MS"/>
          </w:rPr>
          <w:t>https://www.wipo.int/pressroom/ar/articles/2024/article_0003.html</w:t>
        </w:r>
      </w:hyperlink>
      <w:r w:rsidRPr="00A663DE">
        <w:rPr>
          <w:rStyle w:val="None"/>
          <w:rFonts w:ascii="Times New Roman" w:hAnsi="Times New Roman" w:cs="Times New Roman"/>
          <w:sz w:val="24"/>
          <w:szCs w:val="24"/>
          <w:rtl/>
          <w:lang w:val="ar-SA"/>
        </w:rPr>
        <w:t>، تاريخ الزيارة: ٠٩/١٠/٢٠٢٤.</w:t>
      </w:r>
    </w:p>
  </w:footnote>
  <w:footnote w:id="52">
    <w:p w14:paraId="58189C2E" w14:textId="77777777" w:rsidR="000B6E77" w:rsidRPr="00A663DE" w:rsidRDefault="000B6E77" w:rsidP="006F4C04">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World Intellectual Property Organization (WIPO), Understanding Copyright and Related Rights, (2rd ed.), 2020, Available at: </w:t>
      </w:r>
      <w:hyperlink r:id="rId4" w:history="1">
        <w:r w:rsidRPr="00A663DE">
          <w:rPr>
            <w:rStyle w:val="Hyperlink1"/>
            <w:rFonts w:eastAsia="Arial Unicode MS"/>
          </w:rPr>
          <w:t>https://www.wipo.int/edocs/pubdocs/en/wipo_pub_909_2016.pdf</w:t>
        </w:r>
      </w:hyperlink>
      <w:r w:rsidRPr="00A663DE">
        <w:rPr>
          <w:rStyle w:val="None"/>
          <w:rFonts w:ascii="Times New Roman" w:hAnsi="Times New Roman" w:cs="Times New Roman"/>
        </w:rPr>
        <w:t xml:space="preserve"> ,Date of visit: 10/15/2024.</w:t>
      </w:r>
    </w:p>
  </w:footnote>
  <w:footnote w:id="53">
    <w:p w14:paraId="432C680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الثالثة من اتفاقية إنشاء المنظمة العالمية للملكية الفكرية عام 1967.</w:t>
      </w:r>
    </w:p>
  </w:footnote>
  <w:footnote w:id="54">
    <w:p w14:paraId="199EB94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مؤيد زيدان، حقوق الملكية الفكرية، المشاع المبدع للنشر، سوريا، 2020، ص33.</w:t>
      </w:r>
    </w:p>
  </w:footnote>
  <w:footnote w:id="55">
    <w:p w14:paraId="79373E4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ع9، 2019، 61-95، ص75.</w:t>
      </w:r>
    </w:p>
  </w:footnote>
  <w:footnote w:id="56">
    <w:p w14:paraId="575DD17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الرزاق أحمد السنهوري، مرجع سابق، ص ٣٥٧.</w:t>
      </w:r>
    </w:p>
  </w:footnote>
  <w:footnote w:id="57">
    <w:p w14:paraId="45396C4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الحق الأدبي للمؤلف وأثر النشر الرقمي عليه، مجلة الأستاذ الباحث للدراسات القانونية والسياسية، مج7، ع1، 2022، ص579.</w:t>
      </w:r>
    </w:p>
  </w:footnote>
  <w:footnote w:id="58">
    <w:p w14:paraId="46FB42B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مصطفي رحبي؛ ويوسف حمين، الطبيعة القانونية لحق المؤلف والحقوق المجاورة، رسالة ماجستير غير منشورة، جامعة زيان عاشور بالحلفة، الجزائر، 2015، ص11.</w:t>
      </w:r>
    </w:p>
  </w:footnote>
  <w:footnote w:id="59">
    <w:p w14:paraId="303B7AC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حسن البدراوي، إنقاذ حقوق الملكية الفكرية، ملتقى تنظيم المنظمة العالمية للملكية الفكرية جنيف، في ١٨-١٩ جوان ٢٠٠٣، ص ٣.</w:t>
      </w:r>
    </w:p>
  </w:footnote>
  <w:footnote w:id="60">
    <w:p w14:paraId="74E1769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٢٧٣.</w:t>
      </w:r>
    </w:p>
  </w:footnote>
  <w:footnote w:id="61">
    <w:p w14:paraId="088F39F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٢٧٣.</w:t>
      </w:r>
    </w:p>
  </w:footnote>
  <w:footnote w:id="62">
    <w:p w14:paraId="79AFEB6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سيد عبد الله محمد خليلي، الحماية القانونية والشرعية لحق الترجمة دراسة مقارنة القانون المصري والنظام السعودي، مجلة كلية الشريعة والقانون، مج33، ع4، 2018، ص1891.</w:t>
      </w:r>
    </w:p>
  </w:footnote>
  <w:footnote w:id="63">
    <w:p w14:paraId="6CE7E35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الرزاق أحمد السنهوري، مرجع سابق، ص ٢٩٦-٢٩٧.</w:t>
      </w:r>
    </w:p>
  </w:footnote>
  <w:footnote w:id="64">
    <w:p w14:paraId="1708FDD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وحمدين سعيد، الحق الأدبي للمؤلف وأثر النشر الرقمي عليه، مجلة الأستاذ الباحث للدراسات القانونية والسياسية، مج7، ع1، 2022، ص583.</w:t>
      </w:r>
    </w:p>
  </w:footnote>
  <w:footnote w:id="65">
    <w:p w14:paraId="4EFEB90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٢٧٥.</w:t>
      </w:r>
    </w:p>
  </w:footnote>
  <w:footnote w:id="66">
    <w:p w14:paraId="1D0C596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عادل محمد صفوت محمد علي، النظام القانوني لحماية حقوق الملكية الصناعية ومردودها الاقتصادي، مجلة روح القوانين، ع96، 2021، ص581.</w:t>
      </w:r>
    </w:p>
  </w:footnote>
  <w:footnote w:id="67">
    <w:p w14:paraId="7DCE3F1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 المادة رقم (١): [إنشاء الاتحاد ونطاق الملكية الصناعية]: "(١) تشكِّل الدول التي تسري عليها هذه الاتفاقية اتحادًا لحماية الملكية الصناعية. (٢) تشمل حماية الملكية الصناعية براءات الاختراع، ونماذج المنفعة، والرسوم، والنماذج الصناعية، والعلامات الصناعية أو التجارية، وعلامات الخدمة، والاسم التجاري، وبيانات المصدر أو تسميات المنشأ، وكذلك قمع المنافسة غير المشروعة. (٣) تؤخذ الملكية الصناعية بأوسع معانيها، فلا يقتصر تطبيقها على الصناعة والتجارة بمعناها الحرفي، وإنما تطبق كذلك على الصناعات الزراعية والاستخراجية، وعلى جميع المنتجات المصنعة أو الطبيعية، مثل: الأنبذة، والحبوب، وأوراق التبغ، والفواكه، والمواشي، والمعادن، والمياه المعدنية، والبيرة، والزهور، والدقيق. (٤) تشمل براءات الاختراع مختلف أنواع البراءات الصناعية التي تقرها تشريعات دول الاتحاد كبَرَاءات الاستيراد، وبراءات التحسين، وبراءات وشهادات الإضافة وغيرها".</w:t>
      </w:r>
    </w:p>
  </w:footnote>
  <w:footnote w:id="68">
    <w:p w14:paraId="6C577FE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ريماني يونس؛ ورحيلة الشيخ، دور القضاء المدني الجزائري في حقوق الملكية الفكرية، رسالة ماجستير غير منشورة، جامعة بلحاح بوشعيب، الجزائر، 2024، ص28.</w:t>
      </w:r>
    </w:p>
  </w:footnote>
  <w:footnote w:id="69">
    <w:p w14:paraId="73D2378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الويبو، وثيقة ما هي الملكية الفكرية، مرجع سابق، ص ٤.</w:t>
      </w:r>
    </w:p>
  </w:footnote>
  <w:footnote w:id="70">
    <w:p w14:paraId="62AA017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الويبو، وثيقة ما هي الملكية الفكرية، مرجع سابق، ص ٧-٨.</w:t>
      </w:r>
    </w:p>
  </w:footnote>
  <w:footnote w:id="71">
    <w:p w14:paraId="2F0681E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علي محمد؛ فتاحي محمد، مفهوم براءة الاختراع وآليات حمايتها في التشريع الجزائري، مجلة الحقيقة، ع38، 2015، ص3.</w:t>
      </w:r>
    </w:p>
  </w:footnote>
  <w:footnote w:id="72">
    <w:p w14:paraId="27B24EB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3">
    <w:p w14:paraId="7E81929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علي أحمد علي أحمد عبيد، شروط منح براءة الاختراع، المجلة العملية للملكية الفكرية وإدارة الابتكار، ع2، 2022، ص189.</w:t>
      </w:r>
    </w:p>
  </w:footnote>
  <w:footnote w:id="74">
    <w:p w14:paraId="4BE2D20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ماهر أبو سريع محمد رفاعي، تداخل الاختصاص بين أحكام التصميمات الصناعية أحكام حقوق المؤلف، المجلة العلمية للملكية الفكرية وإدارة الابتكار، مج1، ع1، 2018، ص211.</w:t>
      </w:r>
    </w:p>
  </w:footnote>
  <w:footnote w:id="75">
    <w:p w14:paraId="57A112F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6">
    <w:p w14:paraId="59616A3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ص5.</w:t>
      </w:r>
    </w:p>
  </w:footnote>
  <w:footnote w:id="77">
    <w:p w14:paraId="0933B93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علي عبد المحسن حسن، مفهوم العلامة التجارية، مجلة الفكر القانون والاقتصادي، ع 1، 2022، ص754.</w:t>
      </w:r>
    </w:p>
  </w:footnote>
  <w:footnote w:id="78">
    <w:p w14:paraId="205422A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الأولى من نظام العلامات التجارية مرسوم ملكي رقم م/21 بتاريخ 28/5/1423.</w:t>
      </w:r>
    </w:p>
  </w:footnote>
  <w:footnote w:id="79">
    <w:p w14:paraId="56C3488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نبيلة بركان، الملكية الفكرية وتأثيرها في الاقتصاد العالمي، رسالة ماجستير غير منشورة، جامعة دالي إبراهيم، الجزائر، 2010، ص16.</w:t>
      </w:r>
    </w:p>
  </w:footnote>
  <w:footnote w:id="80">
    <w:p w14:paraId="1CC30CC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حقوق الملكية الفكرية دورها في حماية المصنفات الرقمية وأسماء النطاقات على شبكة الإنترنت، دار الفكر الجامعي، ۲۰۲۱، بدون طبعه، ص ١٣.</w:t>
      </w:r>
    </w:p>
  </w:footnote>
  <w:footnote w:id="81">
    <w:p w14:paraId="01CF34E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ابن حنبل، (2001م). مسند أحمد، مسند البصريين، حديث عمرو بن يثربي، ت: شعيب الأرنؤوط، عادل مرشد، وآخرون، إشراف: عبد الله بن عبد المحسن التركي، مؤسسة الرسالة، ط1، 34/ 560، رقم (21082).</w:t>
      </w:r>
    </w:p>
  </w:footnote>
  <w:footnote w:id="82">
    <w:p w14:paraId="052D0AE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أبو الحسين مسلم، (1955م). صحيح مسلم، كتاب الإيمان، باب قول النبي ﷺ "من غشنا فليس منا"، ت: محمد فؤاد عبد الباقي، القاهرة: طبعة عيسى البابي الحلبي وشركاه، د. ط، 1/ 99، رقم (102). </w:t>
      </w:r>
    </w:p>
  </w:footnote>
  <w:footnote w:id="83">
    <w:p w14:paraId="2C085EB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ابن حنبل، (2001م). مسند أحمد، مسند المكثرين من الصحابة، مسند عبد الله بن مسعود رضي الله تعالى عنه، 7/ 221، رقم (4157)، / انظر الترمذي، أبو عيسى محمد بن عيسى. (1996م). سنن الترمذي. أبواب العلم عن رسول الله ﷺ، باب ما جاء في الحث على تبليغ السماع، حققه وعلق عليه: بشار عواد معروف، بيروت: دار الغرب الإسلامي، ط1، 4/ 394، رقم (2657).</w:t>
      </w:r>
    </w:p>
  </w:footnote>
  <w:footnote w:id="84">
    <w:p w14:paraId="5825992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حقاص صونية، مرجع سابق، ص ٢٢-٢٣.</w:t>
      </w:r>
    </w:p>
  </w:footnote>
  <w:footnote w:id="85">
    <w:p w14:paraId="3571D5E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قانون "آن" قانون حقوق الطبع والنشر ١٧٠٩.</w:t>
      </w:r>
    </w:p>
  </w:footnote>
  <w:footnote w:id="86">
    <w:p w14:paraId="6B2792C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 ١٥-١٦.</w:t>
      </w:r>
    </w:p>
  </w:footnote>
  <w:footnote w:id="87">
    <w:p w14:paraId="683694F0" w14:textId="77777777" w:rsidR="000B6E77" w:rsidRPr="00A663DE" w:rsidRDefault="000B6E77">
      <w:pPr>
        <w:pStyle w:val="Body"/>
        <w:spacing w:after="0" w:line="240" w:lineRule="auto"/>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القانون الفرنسي الصادر في يناير 1791 مبدأ حماية حقوق المؤلف في فرنسا.</w:t>
      </w:r>
    </w:p>
  </w:footnote>
  <w:footnote w:id="88">
    <w:p w14:paraId="10FCA15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ص16.</w:t>
      </w:r>
    </w:p>
  </w:footnote>
  <w:footnote w:id="89">
    <w:p w14:paraId="46C56A0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مصعب علي أبو صلاح، واقع الملكية الفكرية وأثره على الاستثمار قطاع تكنولوجيا المعلومات في فلسطين، رسالة ماجستير، جامعة النجاح الوطنية،٢٠١٦، ص ٢٦.</w:t>
      </w:r>
    </w:p>
  </w:footnote>
  <w:footnote w:id="90">
    <w:p w14:paraId="1E80907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أمير الخوري، أساسيات الملكية الفكرية، منشورات مكتب براءات الاختراع والعلامات التجارية للولايات المتحدة، بدون طبعة، ٢٠٠٥، ص ٣٤ – ٣٥.</w:t>
      </w:r>
    </w:p>
  </w:footnote>
  <w:footnote w:id="91">
    <w:p w14:paraId="4531FDF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 ١٧-١٨.</w:t>
      </w:r>
    </w:p>
  </w:footnote>
  <w:footnote w:id="92">
    <w:p w14:paraId="29E9C2E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 ص ٦٧٠ – ٦٧٢.</w:t>
      </w:r>
    </w:p>
  </w:footnote>
  <w:footnote w:id="93">
    <w:p w14:paraId="07E7ED2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4">
    <w:p w14:paraId="67815F4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5">
    <w:p w14:paraId="6930575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6">
    <w:p w14:paraId="7E949CA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7">
    <w:p w14:paraId="264B3F1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اتجاهات جديدة في الحصول على حقوق الملكية الفكرية في سوريا، برنامج الندوة الوطنية (حماية الملكية الفكرية)، بدون طبعة، ٢٠١٠، ص ٦ – ٨.</w:t>
      </w:r>
    </w:p>
  </w:footnote>
  <w:footnote w:id="98">
    <w:p w14:paraId="2FBF14B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مرجع سابق، ص ٦ – ٨.</w:t>
      </w:r>
    </w:p>
  </w:footnote>
  <w:footnote w:id="99">
    <w:p w14:paraId="508A8A6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مرجع سابق، ص ٦ – ٨.</w:t>
      </w:r>
    </w:p>
  </w:footnote>
  <w:footnote w:id="100">
    <w:p w14:paraId="6DEC1D5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غسان فطوم، حقوق المؤلف والملكية الفكرية والحقوق المجاورة في العالم العربي والشرق الأوسط، الاتحاد الدولي للصحفيين منظمة من اتحاد الاتحاد، 2020، ص9.</w:t>
      </w:r>
    </w:p>
  </w:footnote>
  <w:footnote w:id="101">
    <w:p w14:paraId="162E1B2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المركز الديمقراطي العربي للدراسات الاستراتيجية والسياسية والاقتصادية، ألمانيا، برلين، الطبعة الأولى، ٢٠٢١، ص ٥٥- ٦٦.</w:t>
      </w:r>
    </w:p>
  </w:footnote>
  <w:footnote w:id="102">
    <w:p w14:paraId="01D44F6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مرجع سابق، ٢٠٢١، ص ٥٥ – ٦٦.</w:t>
      </w:r>
    </w:p>
  </w:footnote>
  <w:footnote w:id="103">
    <w:p w14:paraId="48F7110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مرجع سابق، ٢٠٢١، ص ٥٥ - ٦٦.</w:t>
      </w:r>
    </w:p>
  </w:footnote>
  <w:footnote w:id="104">
    <w:p w14:paraId="49547DD4"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Piotraut, J. Des extraits de textes et des décisions (4e ed.). Ellipses, </w:t>
      </w:r>
      <w:r w:rsidRPr="00A663DE">
        <w:rPr>
          <w:rStyle w:val="None"/>
          <w:rFonts w:ascii="Times New Roman" w:hAnsi="Times New Roman" w:cs="Times New Roman"/>
        </w:rPr>
        <w:t xml:space="preserve"> 2004, </w:t>
      </w:r>
      <w:r w:rsidRPr="00A663DE">
        <w:rPr>
          <w:rStyle w:val="None"/>
          <w:rFonts w:ascii="Times New Roman" w:hAnsi="Times New Roman" w:cs="Times New Roman"/>
          <w:sz w:val="24"/>
          <w:szCs w:val="24"/>
          <w:rtl/>
          <w:lang w:val="ar-SA"/>
        </w:rPr>
        <w:t xml:space="preserve">  p</w:t>
      </w:r>
      <w:r w:rsidRPr="00A663DE">
        <w:rPr>
          <w:rStyle w:val="None"/>
          <w:rFonts w:ascii="Times New Roman" w:hAnsi="Times New Roman" w:cs="Times New Roman"/>
        </w:rPr>
        <w:t>67.</w:t>
      </w:r>
    </w:p>
  </w:footnote>
  <w:footnote w:id="105">
    <w:p w14:paraId="496C016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Prospect Law LTD. </w:t>
      </w:r>
      <w:r w:rsidRPr="00A663DE">
        <w:rPr>
          <w:rStyle w:val="None"/>
          <w:rFonts w:ascii="Times New Roman" w:hAnsi="Times New Roman" w:cs="Times New Roman"/>
          <w:i/>
          <w:iCs/>
        </w:rPr>
        <w:t xml:space="preserve">Intellectual Property in the UK: A Brief Overview, </w:t>
      </w:r>
      <w:r w:rsidRPr="00A663DE">
        <w:rPr>
          <w:rStyle w:val="None"/>
          <w:rFonts w:ascii="Times New Roman" w:hAnsi="Times New Roman" w:cs="Times New Roman"/>
        </w:rPr>
        <w:t xml:space="preserve">2025. Retrieved from </w:t>
      </w:r>
      <w:hyperlink r:id="rId5" w:history="1">
        <w:r w:rsidRPr="00A663DE">
          <w:rPr>
            <w:rStyle w:val="Hyperlink0"/>
            <w:rFonts w:eastAsia="Arial Unicode MS"/>
          </w:rPr>
          <w:t>https://prospectlaw.co.uk/news/article/protecting-and-exploiting-uk-intellectual-property/</w:t>
        </w:r>
      </w:hyperlink>
    </w:p>
  </w:footnote>
  <w:footnote w:id="106">
    <w:p w14:paraId="4F7EF95A"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Helen Dods &amp; Emily Haves. World Intellectual Property Day 26 April 2018. House of Lords Library briefings. 2017, PP 2-3.</w:t>
      </w:r>
    </w:p>
  </w:footnote>
  <w:footnote w:id="107">
    <w:p w14:paraId="5530D43A" w14:textId="0EEC8FE5" w:rsidR="000B6E77" w:rsidRPr="00A663DE" w:rsidRDefault="000B6E77">
      <w:pPr>
        <w:pStyle w:val="FootnoteText"/>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Al-Musallamawi, F. A. R. A., &amp; Al-Dulaimi, M. M. K. A. Protecting Intellectual Property Rights in Civil Legislation: A Comparative Study Between French Civil Law and Iraqi Civil Law. 2024, PP. 159-160.</w:t>
      </w:r>
    </w:p>
  </w:footnote>
  <w:footnote w:id="108">
    <w:p w14:paraId="4D4A8970" w14:textId="2E14CF2C" w:rsidR="000B6E77" w:rsidRPr="00A663DE" w:rsidRDefault="000B6E77">
      <w:pPr>
        <w:pStyle w:val="FootnoteText"/>
        <w:bidi w:val="0"/>
        <w:jc w:val="both"/>
        <w:rPr>
          <w:rFonts w:ascii="Times New Roman" w:hAnsi="Times New Roman" w:cs="Times New Roman"/>
        </w:rPr>
      </w:pPr>
      <w:r>
        <w:rPr>
          <w:rFonts w:ascii="Times New Roman" w:hAnsi="Times New Roman" w:cs="Times New Roman"/>
          <w:vertAlign w:val="superscript"/>
          <w:lang w:val="it-IT"/>
        </w:rPr>
        <w:t>(2</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Dreyfus. </w:t>
      </w:r>
      <w:r w:rsidRPr="00A663DE">
        <w:rPr>
          <w:rStyle w:val="None"/>
          <w:rFonts w:ascii="Times New Roman" w:hAnsi="Times New Roman" w:cs="Times New Roman"/>
          <w:i/>
          <w:iCs/>
        </w:rPr>
        <w:t>France’s IP Legislation: Mastering Trademarks in a Global Playground</w:t>
      </w:r>
      <w:r w:rsidRPr="00A663DE">
        <w:rPr>
          <w:rStyle w:val="None"/>
          <w:rFonts w:ascii="Times New Roman" w:hAnsi="Times New Roman" w:cs="Times New Roman"/>
        </w:rPr>
        <w:t xml:space="preserve">. 2024, Retrieved from  </w:t>
      </w:r>
      <w:hyperlink r:id="rId6" w:history="1">
        <w:r w:rsidRPr="00A663DE">
          <w:rPr>
            <w:rStyle w:val="Hyperlink0"/>
            <w:rFonts w:eastAsia="Arial Unicode MS"/>
          </w:rPr>
          <w:t>https://www.dreyfus.fr/en/2024/10/21/frances-ip-legislation-mastering-trademarks-in-a-global-playground/</w:t>
        </w:r>
      </w:hyperlink>
    </w:p>
  </w:footnote>
  <w:footnote w:id="109">
    <w:p w14:paraId="3F877BC2" w14:textId="4D0448AA" w:rsidR="000B6E77" w:rsidRPr="00A663DE" w:rsidRDefault="000B6E77">
      <w:pPr>
        <w:pStyle w:val="FootnoteText"/>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Mbah, G. O. US Intellectual Property Law and its Impact on Business: Recent Developments and Trends. </w:t>
      </w:r>
      <w:r w:rsidRPr="00A663DE">
        <w:rPr>
          <w:rStyle w:val="None"/>
          <w:rFonts w:ascii="Times New Roman" w:hAnsi="Times New Roman" w:cs="Times New Roman"/>
          <w:i/>
          <w:iCs/>
          <w:color w:val="222222"/>
          <w:u w:color="222222"/>
          <w:shd w:val="clear" w:color="auto" w:fill="FFFFFF"/>
        </w:rPr>
        <w:t>International Journal of science and Research Archive</w:t>
      </w:r>
      <w:r w:rsidRPr="00A663DE">
        <w:rPr>
          <w:rStyle w:val="None"/>
          <w:rFonts w:ascii="Times New Roman" w:hAnsi="Times New Roman" w:cs="Times New Roman"/>
          <w:color w:val="222222"/>
          <w:u w:color="222222"/>
          <w:shd w:val="clear" w:color="auto" w:fill="FFFFFF"/>
        </w:rPr>
        <w:t>, 2024, P. 3281.</w:t>
      </w:r>
    </w:p>
  </w:footnote>
  <w:footnote w:id="110">
    <w:p w14:paraId="4BA394CC" w14:textId="76865F83" w:rsidR="000B6E77" w:rsidRPr="00A663DE" w:rsidRDefault="000B6E77">
      <w:pPr>
        <w:pStyle w:val="FootnoteText"/>
        <w:bidi w:val="0"/>
        <w:jc w:val="both"/>
        <w:rPr>
          <w:rFonts w:ascii="Times New Roman" w:hAnsi="Times New Roman" w:cs="Times New Roman"/>
        </w:rPr>
      </w:pPr>
      <w:r>
        <w:rPr>
          <w:rFonts w:ascii="Times New Roman" w:hAnsi="Times New Roman" w:cs="Times New Roman"/>
          <w:vertAlign w:val="superscript"/>
          <w:lang w:val="it-IT"/>
        </w:rPr>
        <w:t>(2</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 xml:space="preserve">Balganesh, S. (Ed.). </w:t>
      </w:r>
      <w:r w:rsidRPr="00A663DE">
        <w:rPr>
          <w:rStyle w:val="None"/>
          <w:rFonts w:ascii="Times New Roman" w:hAnsi="Times New Roman" w:cs="Times New Roman"/>
          <w:i/>
          <w:iCs/>
          <w:color w:val="222222"/>
          <w:u w:color="222222"/>
          <w:shd w:val="clear" w:color="auto" w:fill="FFFFFF"/>
        </w:rPr>
        <w:t>Intellectual property and the common law</w:t>
      </w:r>
      <w:r w:rsidRPr="00A663DE">
        <w:rPr>
          <w:rStyle w:val="None"/>
          <w:rFonts w:ascii="Times New Roman" w:hAnsi="Times New Roman" w:cs="Times New Roman"/>
          <w:color w:val="222222"/>
          <w:u w:color="222222"/>
          <w:shd w:val="clear" w:color="auto" w:fill="FFFFFF"/>
        </w:rPr>
        <w:t>. Cambridge University Press. 2013, PP. 64-65.</w:t>
      </w:r>
    </w:p>
  </w:footnote>
  <w:footnote w:id="111">
    <w:p w14:paraId="5D902F59" w14:textId="70088EAA" w:rsidR="000B6E77" w:rsidRPr="00A663DE" w:rsidRDefault="000B6E77">
      <w:pPr>
        <w:pStyle w:val="FootnoteText"/>
        <w:bidi w:val="0"/>
        <w:jc w:val="both"/>
        <w:rPr>
          <w:rFonts w:ascii="Times New Roman" w:hAnsi="Times New Roman" w:cs="Times New Roman"/>
        </w:rPr>
      </w:pPr>
      <w:r w:rsidRPr="00464D24">
        <w:rPr>
          <w:rFonts w:ascii="Times New Roman" w:hAnsi="Times New Roman" w:cs="Times New Roman"/>
          <w:vertAlign w:val="superscript"/>
        </w:rPr>
        <w:t>(</w:t>
      </w:r>
      <w:r>
        <w:rPr>
          <w:rFonts w:ascii="Times New Roman" w:hAnsi="Times New Roman" w:cs="Times New Roman"/>
          <w:vertAlign w:val="superscript"/>
        </w:rPr>
        <w:t>3</w:t>
      </w:r>
      <w:r w:rsidRPr="00464D24">
        <w:rPr>
          <w:rFonts w:ascii="Times New Roman" w:hAnsi="Times New Roman" w:cs="Times New Roman"/>
          <w:vertAlign w:val="superscrip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Kmetyk, K., &amp; Beluga, Y. TYPES OF INTELLECTUAL PROPERTY RIGHTS IN THE UNITED KINGDOM. </w:t>
      </w:r>
      <w:r w:rsidRPr="00A663DE">
        <w:rPr>
          <w:rStyle w:val="None"/>
          <w:rFonts w:ascii="Times New Roman" w:hAnsi="Times New Roman" w:cs="Times New Roman"/>
          <w:i/>
          <w:iCs/>
          <w:color w:val="222222"/>
          <w:u w:color="222222"/>
          <w:shd w:val="clear" w:color="auto" w:fill="FFFFFF"/>
        </w:rPr>
        <w:t>Scientific works of National Aviation University. Series: Law Journal" Air and Space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(62), P. 106.</w:t>
      </w:r>
    </w:p>
  </w:footnote>
  <w:footnote w:id="112">
    <w:p w14:paraId="7F754FFB" w14:textId="64EEE1DF" w:rsidR="000B6E77" w:rsidRPr="00A663DE" w:rsidRDefault="000B6E77">
      <w:pPr>
        <w:pStyle w:val="FootnoteText"/>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lawyersitaly.eu. </w:t>
      </w:r>
      <w:r w:rsidRPr="00A663DE">
        <w:rPr>
          <w:rStyle w:val="None"/>
          <w:rFonts w:ascii="Times New Roman" w:hAnsi="Times New Roman" w:cs="Times New Roman"/>
          <w:i/>
          <w:iCs/>
        </w:rPr>
        <w:t>Intellectual Property in Italy</w:t>
      </w:r>
      <w:r w:rsidRPr="00A663DE">
        <w:rPr>
          <w:rStyle w:val="None"/>
          <w:rFonts w:ascii="Times New Roman" w:hAnsi="Times New Roman" w:cs="Times New Roman"/>
        </w:rPr>
        <w:t xml:space="preserve">. 2025, Retrieved from </w:t>
      </w:r>
      <w:hyperlink r:id="rId7" w:history="1">
        <w:r w:rsidRPr="00A663DE">
          <w:rPr>
            <w:rStyle w:val="Hyperlink0"/>
            <w:rFonts w:eastAsia="Arial Unicode MS"/>
          </w:rPr>
          <w:t>https://lawyersitaly.eu/intellectual-property-in-italy/</w:t>
        </w:r>
      </w:hyperlink>
    </w:p>
  </w:footnote>
  <w:footnote w:id="113">
    <w:p w14:paraId="528A4A8A" w14:textId="787C5E9A" w:rsidR="000B6E77" w:rsidRPr="00A663DE" w:rsidRDefault="000B6E77">
      <w:pPr>
        <w:pStyle w:val="FootnoteText"/>
        <w:bidi w:val="0"/>
        <w:jc w:val="both"/>
        <w:rPr>
          <w:rFonts w:ascii="Times New Roman" w:hAnsi="Times New Roman" w:cs="Times New Roman"/>
        </w:rPr>
      </w:pPr>
      <w:r w:rsidRPr="00464D24">
        <w:rPr>
          <w:rFonts w:ascii="Times New Roman" w:hAnsi="Times New Roman" w:cs="Times New Roman"/>
          <w:vertAlign w:val="superscript"/>
        </w:rPr>
        <w:t>(</w:t>
      </w:r>
      <w:r>
        <w:rPr>
          <w:rFonts w:ascii="Times New Roman" w:hAnsi="Times New Roman" w:cs="Times New Roman"/>
          <w:vertAlign w:val="superscript"/>
        </w:rPr>
        <w:t>2</w:t>
      </w:r>
      <w:r w:rsidRPr="00464D24">
        <w:rPr>
          <w:rFonts w:ascii="Times New Roman" w:hAnsi="Times New Roman" w:cs="Times New Roman"/>
          <w:vertAlign w:val="superscrip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Traverso, M. INTELLECTUAL PROPERTY A tool for economic growth in the third millennium An Overview of Italian IP Law. </w:t>
      </w:r>
      <w:r w:rsidRPr="00A663DE">
        <w:rPr>
          <w:rStyle w:val="None"/>
          <w:rFonts w:ascii="Times New Roman" w:hAnsi="Times New Roman" w:cs="Times New Roman"/>
          <w:lang w:val="it-IT"/>
        </w:rPr>
        <w:t xml:space="preserve">UffICIO ITALIANO BREvETTI E MARChI. The Licensing Executives Society (LES). ministero dello sviluppo economico dipArtimento per l’impresA e l’internAzionAlizzAzione direzione generAle per lA lottA AllA contrAffAzione. </w:t>
      </w:r>
      <w:r w:rsidRPr="00A663DE">
        <w:rPr>
          <w:rStyle w:val="None"/>
          <w:rFonts w:ascii="Times New Roman" w:hAnsi="Times New Roman" w:cs="Times New Roman"/>
        </w:rPr>
        <w:t>2010, PP.8-9.</w:t>
      </w:r>
    </w:p>
  </w:footnote>
  <w:footnote w:id="114">
    <w:p w14:paraId="1E5A81CD" w14:textId="60B2C438" w:rsidR="000B6E77" w:rsidRPr="00A663DE" w:rsidRDefault="000B6E77">
      <w:pPr>
        <w:pStyle w:val="FootnoteText"/>
        <w:bidi w:val="0"/>
        <w:jc w:val="both"/>
        <w:rPr>
          <w:rFonts w:ascii="Times New Roman" w:hAnsi="Times New Roman" w:cs="Times New Roman"/>
        </w:rPr>
      </w:pPr>
      <w:r>
        <w:rPr>
          <w:rFonts w:ascii="Times New Roman" w:hAnsi="Times New Roman" w:cs="Times New Roman"/>
          <w:vertAlign w:val="superscript"/>
          <w:lang w:val="it-IT"/>
        </w:rPr>
        <w:t>(3</w:t>
      </w:r>
      <w:r w:rsidRPr="00A663DE">
        <w:rPr>
          <w:rFonts w:ascii="Times New Roman" w:hAnsi="Times New Roman" w:cs="Times New Roman"/>
          <w:vertAlign w:val="superscript"/>
          <w:lang w:val="it-IT"/>
        </w:rPr>
        <w:t>)</w:t>
      </w:r>
      <w:r w:rsidRPr="00A663DE">
        <w:rPr>
          <w:rStyle w:val="None"/>
          <w:rFonts w:ascii="Times New Roman" w:hAnsi="Times New Roman" w:cs="Times New Roman"/>
          <w:vertAlign w:val="superscript"/>
        </w:rPr>
        <w:t>)</w:t>
      </w:r>
      <w:r w:rsidRPr="00A663DE">
        <w:rPr>
          <w:rStyle w:val="None"/>
          <w:rFonts w:ascii="Times New Roman" w:hAnsi="Times New Roman" w:cs="Times New Roman"/>
        </w:rPr>
        <w:t>ITALIAN COPYRIGHT STATUTE. Law for the Protection of Copyright and Neighbouring Rights (Law No. 633 of April 22, 1941, as last amended by Legislative Decree No. 68, of April 9, 2003). P. 3.</w:t>
      </w:r>
    </w:p>
  </w:footnote>
  <w:footnote w:id="115">
    <w:p w14:paraId="11325E0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Peukert, A. Introduction to Intellectual Property Law in Germany. 2023, </w:t>
      </w:r>
      <w:r w:rsidRPr="00A663DE">
        <w:rPr>
          <w:rStyle w:val="None"/>
          <w:rFonts w:ascii="Times New Roman" w:hAnsi="Times New Roman" w:cs="Times New Roman"/>
          <w:i/>
          <w:iCs/>
          <w:color w:val="222222"/>
          <w:u w:color="222222"/>
          <w:shd w:val="clear" w:color="auto" w:fill="FFFFFF"/>
        </w:rPr>
        <w:t>Available at SSRN 4599740</w:t>
      </w:r>
      <w:r w:rsidRPr="00A663DE">
        <w:rPr>
          <w:rStyle w:val="None"/>
          <w:rFonts w:ascii="Times New Roman" w:hAnsi="Times New Roman" w:cs="Times New Roman"/>
          <w:color w:val="222222"/>
          <w:u w:color="222222"/>
          <w:shd w:val="clear" w:color="auto" w:fill="FFFFFF"/>
        </w:rPr>
        <w:t>. P. 2</w:t>
      </w:r>
    </w:p>
  </w:footnote>
  <w:footnote w:id="116">
    <w:p w14:paraId="544D1F9C"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Hong, J., Edler, J., &amp; Massini, S. Evolution of the Chinese intellectual property rights system: IPR law revisions and enforcement. </w:t>
      </w:r>
      <w:r w:rsidRPr="00A663DE">
        <w:rPr>
          <w:rStyle w:val="None"/>
          <w:rFonts w:ascii="Times New Roman" w:hAnsi="Times New Roman" w:cs="Times New Roman"/>
          <w:i/>
          <w:iCs/>
          <w:color w:val="222222"/>
          <w:u w:color="222222"/>
          <w:shd w:val="clear" w:color="auto" w:fill="FFFFFF"/>
        </w:rPr>
        <w:t>Management and Organization Review</w:t>
      </w:r>
      <w:r w:rsidRPr="00A663DE">
        <w:rPr>
          <w:rStyle w:val="None"/>
          <w:rFonts w:ascii="Times New Roman" w:hAnsi="Times New Roman" w:cs="Times New Roman"/>
          <w:color w:val="222222"/>
          <w:u w:color="222222"/>
          <w:shd w:val="clear" w:color="auto" w:fill="FFFFFF"/>
        </w:rPr>
        <w:t>, 2022, </w:t>
      </w:r>
      <w:r w:rsidRPr="00A663DE">
        <w:rPr>
          <w:rStyle w:val="None"/>
          <w:rFonts w:ascii="Times New Roman" w:hAnsi="Times New Roman" w:cs="Times New Roman"/>
          <w:i/>
          <w:iCs/>
          <w:color w:val="222222"/>
          <w:u w:color="222222"/>
          <w:shd w:val="clear" w:color="auto" w:fill="FFFFFF"/>
        </w:rPr>
        <w:t>18</w:t>
      </w:r>
      <w:r w:rsidRPr="00A663DE">
        <w:rPr>
          <w:rStyle w:val="None"/>
          <w:rFonts w:ascii="Times New Roman" w:hAnsi="Times New Roman" w:cs="Times New Roman"/>
          <w:color w:val="222222"/>
          <w:u w:color="222222"/>
          <w:shd w:val="clear" w:color="auto" w:fill="FFFFFF"/>
        </w:rPr>
        <w:t>(4), PP. 1-2.</w:t>
      </w:r>
    </w:p>
  </w:footnote>
  <w:footnote w:id="117">
    <w:p w14:paraId="2DC275F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Chen, L. The evolution of intellectual property protection in China. </w:t>
      </w:r>
      <w:r w:rsidRPr="00A663DE">
        <w:rPr>
          <w:rStyle w:val="None"/>
          <w:rFonts w:ascii="Times New Roman" w:hAnsi="Times New Roman" w:cs="Times New Roman"/>
          <w:i/>
          <w:iCs/>
          <w:color w:val="222222"/>
          <w:u w:color="222222"/>
          <w:shd w:val="clear" w:color="auto" w:fill="FFFFFF"/>
        </w:rPr>
        <w:t>Ibusiness</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7</w:t>
      </w:r>
      <w:r w:rsidRPr="00A663DE">
        <w:rPr>
          <w:rStyle w:val="None"/>
          <w:rFonts w:ascii="Times New Roman" w:hAnsi="Times New Roman" w:cs="Times New Roman"/>
          <w:color w:val="222222"/>
          <w:u w:color="222222"/>
          <w:shd w:val="clear" w:color="auto" w:fill="FFFFFF"/>
        </w:rPr>
        <w:t>(01), 2015, PP. 66-67.</w:t>
      </w:r>
    </w:p>
  </w:footnote>
  <w:footnote w:id="118">
    <w:p w14:paraId="1833895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الهيئة السعودية للملكية الفكرية</w:t>
      </w:r>
      <w:r w:rsidRPr="00A663DE">
        <w:rPr>
          <w:rStyle w:val="None"/>
          <w:rFonts w:ascii="Times New Roman" w:hAnsi="Times New Roman" w:cs="Times New Roman"/>
        </w:rPr>
        <w:t>.</w:t>
      </w:r>
      <w:r w:rsidRPr="00A663DE">
        <w:rPr>
          <w:rStyle w:val="None"/>
          <w:rFonts w:ascii="Times New Roman" w:hAnsi="Times New Roman" w:cs="Times New Roman"/>
          <w:sz w:val="24"/>
          <w:szCs w:val="24"/>
          <w:rtl/>
          <w:lang w:val="ar-SA"/>
        </w:rPr>
        <w:t xml:space="preserve"> (٢٠٢٣) تقارير ومبادرات الحماية الفكرية.</w:t>
      </w:r>
    </w:p>
  </w:footnote>
  <w:footnote w:id="119">
    <w:p w14:paraId="0C2808C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منال جابر محمد عكاشة، وعي اختصاص المكتبات والمعلومات في مكتبة الملك عبد الله بجامعة أم القرص153.</w:t>
      </w:r>
    </w:p>
  </w:footnote>
  <w:footnote w:id="120">
    <w:p w14:paraId="76E562A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121">
    <w:p w14:paraId="5907836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3 من تنظيم الهيئة السعودية للملكية الفكرية قرار مجلس الوزراء رقم (496) بتاريخ 1439/9/14 هـ.</w:t>
      </w:r>
    </w:p>
  </w:footnote>
  <w:footnote w:id="122">
    <w:p w14:paraId="1047F5B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8" w:history="1">
        <w:r w:rsidRPr="00A663DE">
          <w:rPr>
            <w:rStyle w:val="Hyperlink0"/>
            <w:rFonts w:eastAsia="Arial Unicode MS"/>
          </w:rPr>
          <w:t>https://www.saip.gov.sa/committees-secretariat</w:t>
        </w:r>
        <w:r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3">
    <w:p w14:paraId="33AAEA7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9" w:history="1">
        <w:r w:rsidRPr="00A663DE">
          <w:rPr>
            <w:rStyle w:val="Hyperlink0"/>
            <w:rFonts w:eastAsia="Arial Unicode MS"/>
          </w:rPr>
          <w:t>https://www.saip.gov.sa/committees-secretariat/1457</w:t>
        </w:r>
        <w:r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4">
    <w:p w14:paraId="3EF0ACE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10" w:history="1">
        <w:r w:rsidRPr="00A663DE">
          <w:rPr>
            <w:rStyle w:val="Hyperlink0"/>
            <w:rFonts w:eastAsia="Arial Unicode MS"/>
          </w:rPr>
          <w:t>https://www.saip.gov.sa/committees-secretariat/1456</w:t>
        </w:r>
        <w:r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5">
    <w:p w14:paraId="3226923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11" w:history="1">
        <w:r w:rsidRPr="00A663DE">
          <w:rPr>
            <w:rStyle w:val="Hyperlink0"/>
            <w:rFonts w:eastAsia="Arial Unicode MS"/>
          </w:rPr>
          <w:t>https://www.saip.gov.sa/committees-secretariat/1412</w:t>
        </w:r>
        <w:r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6">
    <w:p w14:paraId="0CC4B9A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خديجة</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حسان، حماية حق المؤلف رقميًا في إطار المعاهدات الدولية ذات الصلة. مجلة الفكر القانوني والسياسي، 6(1)، 1037-1048، 2022، ص 1044.</w:t>
      </w:r>
    </w:p>
  </w:footnote>
  <w:footnote w:id="127">
    <w:p w14:paraId="721200F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شنوف معمر،  دور الهيئات الدولية لحماية المليكة الفكرية. مجلة الحقوق والعلوم الإنسانية، (24)، 210-188، 2015، ص 188.</w:t>
      </w:r>
    </w:p>
  </w:footnote>
  <w:footnote w:id="128">
    <w:p w14:paraId="37BB2B3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نبيل بدر الدين، حماية حقوق الملكية الفكرية: توجهات انتقائية، المؤتمر العربي الثاني: التوجهات المستقبلية لمنظمة التجارة العالمي: الفرص والتحديات أمام الدول العربية، مسقط: المنظمة العربية للتنمية الإدارية، 191-215، 2007، ص193.</w:t>
      </w:r>
    </w:p>
  </w:footnote>
  <w:footnote w:id="129">
    <w:p w14:paraId="2276AF9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رشيد بن راشد؛ حسنية بلحاج، البيئة الرقمية: النظريات الإعلامية والميديا الجديدة، مجلة المعيار، مج13، ع1، (2022)، ص797.</w:t>
      </w:r>
    </w:p>
  </w:footnote>
  <w:footnote w:id="130">
    <w:p w14:paraId="3E3ABA9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لحواطي عتيقة، استرجاع المعلومات العلمية والتقنية في ظل البيئة الرقمية ودوره في دعم الاتصال العلمي بين الباحثين، رسالة دكتوراه غير منشورة، جامعة قسنطينة 2، الجزائر، (</w:t>
      </w:r>
      <w:r w:rsidRPr="00D772C1">
        <w:rPr>
          <w:rStyle w:val="None"/>
          <w:rFonts w:ascii="Times New Roman" w:hAnsi="Times New Roman" w:cs="Times New Roman"/>
          <w:sz w:val="24"/>
          <w:szCs w:val="24"/>
          <w:highlight w:val="yellow"/>
          <w:rtl/>
          <w:lang w:val="ar-SA"/>
        </w:rPr>
        <w:t>2013</w:t>
      </w:r>
      <w:r w:rsidRPr="00A663DE">
        <w:rPr>
          <w:rStyle w:val="None"/>
          <w:rFonts w:ascii="Times New Roman" w:hAnsi="Times New Roman" w:cs="Times New Roman"/>
          <w:sz w:val="24"/>
          <w:szCs w:val="24"/>
          <w:rtl/>
          <w:lang w:val="ar-SA"/>
        </w:rPr>
        <w:t>)، ص50.</w:t>
      </w:r>
    </w:p>
  </w:footnote>
  <w:footnote w:id="131">
    <w:p w14:paraId="6E1566C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تسويق المعلومات في البيئة الرقمية، المجلة العربية الدولية لدراسات المكتبات والمعلومات، مج1، ع4، (2022)، ص57.</w:t>
      </w:r>
    </w:p>
  </w:footnote>
  <w:footnote w:id="132">
    <w:p w14:paraId="4613FEE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مريم عبد الحكيم رمضان، مدى وعي الباحثين بحقوق الملكية الفكرية للمؤلف في البيئة الرقمية: طلاب الدراسات العليا بكلية الآداب جامعة جنوب الوادي نموذجًا، مجلة كلية الآداب، 16، (2024)، ص791.</w:t>
      </w:r>
    </w:p>
  </w:footnote>
  <w:footnote w:id="133">
    <w:p w14:paraId="08261F3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عطية بدر الدين؛ ناجية قموح، البيئة الرقمية: إشكالية المصطلح، أصله وأبعاده، أعلم، ع24، (2019)، ص119.</w:t>
      </w:r>
    </w:p>
  </w:footnote>
  <w:footnote w:id="134">
    <w:p w14:paraId="39881EC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الكتاب في البيئة الرقمية، مجلة المكتبات والمعلومات، ع17، (2017)، ص109.</w:t>
      </w:r>
    </w:p>
  </w:footnote>
  <w:footnote w:id="135">
    <w:p w14:paraId="3612838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أماني فوزي أحمد طه، الآثار الاقتصادية للفجوة الرقمية بين دول العالم: واقع الفجوة الرقمية بين الدول النامية والدول المتقدمة، المجلة العلمية للاقتصاد والتجارة، ع2، (2014)، ص31.</w:t>
      </w:r>
    </w:p>
  </w:footnote>
  <w:footnote w:id="136">
    <w:p w14:paraId="7F4D935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نجاة سامي هادف، إدارة وتسيير الموارد البشرية في البيئة الرقمية تحديات وآفاق، مجلة علوم الإنسان والمجتمع، مج1، ع2، (2022)، ص244.</w:t>
      </w:r>
    </w:p>
  </w:footnote>
  <w:footnote w:id="137">
    <w:p w14:paraId="5E1A1F4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ص266.</w:t>
      </w:r>
    </w:p>
  </w:footnote>
  <w:footnote w:id="138">
    <w:p w14:paraId="2B2F13A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ص266.</w:t>
      </w:r>
    </w:p>
  </w:footnote>
  <w:footnote w:id="139">
    <w:p w14:paraId="4811C93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بوجفجوف الزهرة، ملامح البيئة الرقمية في الجزائر بين الواقع والمأمول، مجلة أبحاث، مج6، ع2، (2021)، ص54.</w:t>
      </w:r>
    </w:p>
  </w:footnote>
  <w:footnote w:id="140">
    <w:p w14:paraId="6D61B4E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حاتم أحمد محمد بطيخ، تطور السياسة التشريعية في مجال مكافحة جرائم تقنية المعلومات: دراسة تحليلية مقارنة، مجلة الدراسات القانونية والاقتصادية، مج7، ع1، (2021)، ص2.</w:t>
      </w:r>
    </w:p>
  </w:footnote>
  <w:footnote w:id="141">
    <w:p w14:paraId="5866AF6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142">
    <w:p w14:paraId="7664E5C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بخوش عائشة؛ بن شريف الحسناء عائشة، البيئة الرقمية وأثرها على الأداء الوظيفي: دراسة ميدانية بجامعة زيان عاشور الجلفة، رسالة ماجستير غير منشورة، جامعة زيان عاشور بالجلفة، الجزائر، (2023)، ص أ.</w:t>
      </w:r>
    </w:p>
  </w:footnote>
  <w:footnote w:id="143">
    <w:p w14:paraId="17D0D75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ص95.</w:t>
      </w:r>
    </w:p>
  </w:footnote>
  <w:footnote w:id="144">
    <w:p w14:paraId="41E1233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الكتاب في البيئة الرقمية، مجلة المكتبات والمعلومات، ع17، (2017)، ص110.</w:t>
      </w:r>
    </w:p>
  </w:footnote>
  <w:footnote w:id="145">
    <w:p w14:paraId="7510677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ص94.</w:t>
      </w:r>
    </w:p>
  </w:footnote>
  <w:footnote w:id="146">
    <w:p w14:paraId="115F324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ص336.</w:t>
      </w:r>
    </w:p>
  </w:footnote>
  <w:footnote w:id="147">
    <w:p w14:paraId="0C19929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ريهان محروس السيد إبراهيم الفخراني، أثر أنظمة الذكاء الاصطناعي على حقوق الملكية الفكرية، مجلة روح القوانين، ع106، ج2، 2024، ص1180.</w:t>
      </w:r>
    </w:p>
  </w:footnote>
  <w:footnote w:id="148">
    <w:p w14:paraId="4C1A2DF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القطب مسعد سعيد، دور قواعد الملكية الفكرية في مواجهة تحديات الذكاء الاصطناعي دراسة قانونية تحليلية مقارنة، مجلة البحوث القانونية والاقتصادية، ع75، 2021، ص1641.</w:t>
      </w:r>
    </w:p>
  </w:footnote>
  <w:footnote w:id="149">
    <w:p w14:paraId="2361EE3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43 من نظام براءات الاختراع والتصميمات التخطيطية للدارات المتكاملة والأصناف النباتية والنماذج الصناعية الصادر بالمرسوم مرسوم ملكي رقم م/27 بتاريخ 29 / 5 / 1425.</w:t>
      </w:r>
    </w:p>
  </w:footnote>
  <w:footnote w:id="150">
    <w:p w14:paraId="7EFB8DA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إبراهيم محمد إبراهيم المحيميد؛ علياء سعود الشطيطي، الملكية الفكرية للذكاء الاصطناعي، المجلة العلمية بكلية الآداب، ع60، 2025، ص1880.</w:t>
      </w:r>
    </w:p>
  </w:footnote>
  <w:footnote w:id="151">
    <w:p w14:paraId="13759D2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ريهان محروس السيد إبراهيم الفخراني، أثر أنظمة الذكاء الاصطناعي على حقوق الملكية الفكرية، مرجع سابق، ص1194.</w:t>
      </w:r>
    </w:p>
  </w:footnote>
  <w:footnote w:id="152">
    <w:p w14:paraId="2219B8A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فازية بو علوط، أثر الذكاء الاصطناعي على حقوق الملكية الفكرية، المجلة الأكاديمية للبحث القانوني، مج16، ع1، 2025، ص386.</w:t>
      </w:r>
    </w:p>
  </w:footnote>
  <w:footnote w:id="153">
    <w:p w14:paraId="4FCDCB5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مريم زان، التجارة الإلكترونية: المزايا والأخطار، التعاقد في الفضاء الرقمي، إصدارات المركز الديمقراطي العربي للدراسات الاستراتيجية والسياسية والاقتصادية، المانيا، ط1، (2021)، ص119.</w:t>
      </w:r>
    </w:p>
  </w:footnote>
  <w:footnote w:id="154">
    <w:p w14:paraId="24FDA47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عمان: دار صفاء للنشر والتوزيع، ط2، (2014)، ص29.</w:t>
      </w:r>
    </w:p>
  </w:footnote>
  <w:footnote w:id="155">
    <w:p w14:paraId="319A378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ص35.</w:t>
      </w:r>
    </w:p>
  </w:footnote>
  <w:footnote w:id="156">
    <w:p w14:paraId="0450090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ص37.</w:t>
      </w:r>
    </w:p>
  </w:footnote>
  <w:footnote w:id="157">
    <w:p w14:paraId="0D77687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ألمانيا، ط1، (2021)، ص136.</w:t>
      </w:r>
    </w:p>
  </w:footnote>
  <w:footnote w:id="158">
    <w:p w14:paraId="38EED6E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ص1543.</w:t>
      </w:r>
    </w:p>
  </w:footnote>
  <w:footnote w:id="159">
    <w:p w14:paraId="3DB613B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نطاق الملكية الفكرية في البيئة الرقمية، مجلة العلوم الإنسانية لجامعة أم البواقي، مج6، ع3، (2022)، ص1281.</w:t>
      </w:r>
    </w:p>
  </w:footnote>
  <w:footnote w:id="160">
    <w:p w14:paraId="0D1EF9C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عمان: دار صفاء للنشر والتوزيع، ط2، (2014)، ص35.</w:t>
      </w:r>
    </w:p>
  </w:footnote>
  <w:footnote w:id="161">
    <w:p w14:paraId="7860CD6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ص48.</w:t>
      </w:r>
    </w:p>
  </w:footnote>
  <w:footnote w:id="162">
    <w:p w14:paraId="34B6177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زين الدين صلاح سلمان أسمر، الملكية الفكرية نشأتها ونطاقها وعناصرها وأهميتها، المؤتمر العلمي الثالث: موقف الإسلام من مسألة الملكية الفكرية، الأردن، (2001)، ص3.</w:t>
      </w:r>
    </w:p>
  </w:footnote>
  <w:footnote w:id="163">
    <w:p w14:paraId="48AFA2C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164">
    <w:p w14:paraId="15045EA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جابر بن مرهون فليفل، أهمية حماية الملكية الفكرية، تواصل، ع3، (2006)، ص61. </w:t>
      </w:r>
    </w:p>
  </w:footnote>
  <w:footnote w:id="165">
    <w:p w14:paraId="63AFBC2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سمية بالعربي؛ حمو فرحات، الوساطة في الملكية الفكرية، دراسات، ع75، (2019)، ص127.</w:t>
      </w:r>
    </w:p>
  </w:footnote>
  <w:footnote w:id="166">
    <w:p w14:paraId="67D2FB30" w14:textId="77777777" w:rsidR="000B6E77" w:rsidRPr="00A663DE" w:rsidRDefault="000B6E77">
      <w:pPr>
        <w:pStyle w:val="FootnoteText"/>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التقرير العالمي للملكية الفكرية الويبو 2024، </w:t>
      </w:r>
      <w:hyperlink r:id="rId12" w:history="1">
        <w:r w:rsidRPr="00A663DE">
          <w:rPr>
            <w:rStyle w:val="Hyperlink0"/>
            <w:rFonts w:eastAsia="Arial Unicode MS"/>
          </w:rPr>
          <w:t>https://www.wipo.int/pressroom/ar/articles/2024/article_0004.html?utm_source=chatgpt.com</w:t>
        </w:r>
      </w:hyperlink>
      <w:r w:rsidRPr="00A663DE">
        <w:rPr>
          <w:rStyle w:val="None"/>
          <w:rFonts w:ascii="Times New Roman" w:hAnsi="Times New Roman" w:cs="Times New Roman"/>
          <w:sz w:val="24"/>
          <w:szCs w:val="24"/>
          <w:rtl/>
          <w:lang w:val="ar-SA"/>
        </w:rPr>
        <w:t xml:space="preserve"> .</w:t>
      </w:r>
    </w:p>
  </w:footnote>
  <w:footnote w:id="167">
    <w:p w14:paraId="23FB4F6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حكيمة عطا وشاح؛ وخالدة عبد الله، حقوق الملكية الفكرية وتأثيرها على اخلاقيات البحث العلمي في البيئة الرقمية، مجلة آداب المستنصرية، ع108، (2014)، ص518.</w:t>
      </w:r>
    </w:p>
  </w:footnote>
  <w:footnote w:id="168">
    <w:p w14:paraId="7B2222F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 </w:t>
      </w:r>
    </w:p>
  </w:footnote>
  <w:footnote w:id="169">
    <w:p w14:paraId="67A55EC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نايف عبد الله العمادي، الحماية الدولية لحقوق الملكية الفكرية، (رسالة ماجستير غير منشورة)، جامعة الزرقاء، الأردن، (2020)، ص4. </w:t>
      </w:r>
    </w:p>
  </w:footnote>
  <w:footnote w:id="170">
    <w:p w14:paraId="4E32303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مبروك لمشونشي، نطاق الملكية الفكرية في البيئة الرقمية، مجلة العلوم الإنسانية لجامعة أم البواقي، مج9، ع3، (2022)، ص1281.</w:t>
      </w:r>
    </w:p>
  </w:footnote>
  <w:footnote w:id="171">
    <w:p w14:paraId="7671919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مجلة الحوكمة والقانون الاقتصادي، مج3، ع2، (2023)، ص16.</w:t>
      </w:r>
    </w:p>
  </w:footnote>
  <w:footnote w:id="172">
    <w:p w14:paraId="7DEB2A3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مجلة جامعة الملك عبد العزيز: الآداب والعلوم الإنسانية، مج29، ع4، (2021)، ص499.</w:t>
      </w:r>
    </w:p>
  </w:footnote>
  <w:footnote w:id="173">
    <w:p w14:paraId="41C0650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ص91.</w:t>
      </w:r>
    </w:p>
  </w:footnote>
  <w:footnote w:id="174">
    <w:p w14:paraId="0CF011D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7 من اتفاقية تريبس.</w:t>
      </w:r>
    </w:p>
  </w:footnote>
  <w:footnote w:id="175">
    <w:p w14:paraId="70EA02B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مجلة الحوكمة والقانون الاقتصادي، مج3، ع2، (2023)، ص16.</w:t>
      </w:r>
    </w:p>
  </w:footnote>
  <w:footnote w:id="176">
    <w:p w14:paraId="5C77A9A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رضا علي البوسراية، الحماية المدنية للحق المعنوي للمؤلف في التشريعين الأردني والعراقي، (رسالة ماجستير غير منشورة، جامعة الشرق الأوسط، الأردن، (2018)، ص81.</w:t>
      </w:r>
    </w:p>
  </w:footnote>
  <w:footnote w:id="177">
    <w:p w14:paraId="75B4774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ديما ناجح المجالي؛ أحمد عبد القادر المجالي، أثر الاقتصاد الرقمي على النشاط الاقتصادي في الدول العربية، مجلة الدراسات الاقتصادية، مج16، ع1، 2024، ص34.</w:t>
      </w:r>
    </w:p>
  </w:footnote>
  <w:footnote w:id="178">
    <w:p w14:paraId="2750080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ع46، 2023، ص118.</w:t>
      </w:r>
    </w:p>
  </w:footnote>
  <w:footnote w:id="179">
    <w:p w14:paraId="4450C15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السيد محمد ذكي حسن، الاقتصاد الرقمي، مجلة روح القوانين، ع85، 2019، ص10.</w:t>
      </w:r>
    </w:p>
  </w:footnote>
  <w:footnote w:id="180">
    <w:p w14:paraId="69162DC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نعيمة سحقي، الاقتصاد الرقمي في الجزائر الفرص والتحديات، (رسالة ماجستير غير منشورة)، جامعة أكلي محند ولحاج، الجزائر، 2015، ص37.</w:t>
      </w:r>
    </w:p>
  </w:footnote>
  <w:footnote w:id="181">
    <w:p w14:paraId="12E6F8D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مصفح؛ وزينة أيت علي، مفهوم الدفع الإلكتروني وتمييزه عن الدفع التقليدي، مجلة البحوث والدراسات القانونية والسياسية، مج11، ع2، 2022، ص224.</w:t>
      </w:r>
    </w:p>
  </w:footnote>
  <w:footnote w:id="182">
    <w:p w14:paraId="41E5503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مصطفى محمد عمر، النظام القانوني لوسائل الدفع الإلكتروني في العمليات المصرفية، المجلة القانونية، ج6، ع12، 2022، ص1486.</w:t>
      </w:r>
    </w:p>
  </w:footnote>
  <w:footnote w:id="183">
    <w:p w14:paraId="1543D88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البنك المركزي السعودي، تم دخول الموقع يوم 24/3/2026، </w:t>
      </w:r>
      <w:hyperlink r:id="rId13" w:history="1">
        <w:r w:rsidRPr="00A663DE">
          <w:rPr>
            <w:rStyle w:val="Hyperlink2"/>
            <w:rFonts w:ascii="Times New Roman" w:hAnsi="Times New Roman" w:cs="Times New Roman"/>
          </w:rPr>
          <w:t>https://www.sama.gov.sa/ar-sa/News/Pages/news-1083.aspx</w:t>
        </w:r>
      </w:hyperlink>
      <w:r w:rsidRPr="00A663DE">
        <w:rPr>
          <w:rStyle w:val="None"/>
          <w:rFonts w:ascii="Times New Roman" w:hAnsi="Times New Roman" w:cs="Times New Roman"/>
          <w:sz w:val="24"/>
          <w:szCs w:val="24"/>
          <w:rtl/>
          <w:lang w:val="ar-SA"/>
        </w:rPr>
        <w:t xml:space="preserve"> </w:t>
      </w:r>
    </w:p>
  </w:footnote>
  <w:footnote w:id="184">
    <w:p w14:paraId="66D5840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ع26، 2019، ص317.</w:t>
      </w:r>
    </w:p>
  </w:footnote>
  <w:footnote w:id="185">
    <w:p w14:paraId="283634F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مبروك العديلي، التسويق الإلكتروني، دار أمجد للنشر والتوزيع، الأردن، 2015، ص13.</w:t>
      </w:r>
    </w:p>
  </w:footnote>
  <w:footnote w:id="186">
    <w:p w14:paraId="4299D0D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ل </w:t>
      </w:r>
      <w:r w:rsidRPr="00A663DE">
        <w:rPr>
          <w:rStyle w:val="None"/>
          <w:rFonts w:ascii="Times New Roman" w:hAnsi="Times New Roman" w:cs="Times New Roman"/>
          <w:sz w:val="24"/>
          <w:szCs w:val="24"/>
        </w:rPr>
        <w:t>mordor intelligence</w:t>
      </w:r>
      <w:r w:rsidRPr="00A663DE">
        <w:rPr>
          <w:rStyle w:val="None"/>
          <w:rFonts w:ascii="Times New Roman" w:hAnsi="Times New Roman" w:cs="Times New Roman"/>
          <w:sz w:val="24"/>
          <w:szCs w:val="24"/>
          <w:rtl/>
          <w:lang w:val="ar-SA"/>
        </w:rPr>
        <w:t xml:space="preserve">، بعنوان حجم سوق التجارة الإلكترونية في المملكة العربية السعودية، تم دخول الموقع يوم 24/3/2026، </w:t>
      </w:r>
      <w:hyperlink r:id="rId14" w:history="1">
        <w:r w:rsidRPr="00A663DE">
          <w:rPr>
            <w:rStyle w:val="Hyperlink2"/>
            <w:rFonts w:ascii="Times New Roman" w:hAnsi="Times New Roman" w:cs="Times New Roman"/>
          </w:rPr>
          <w:t>https://www.mordorintelligence.com/ar/industry-reports/saudi-arabia-ecommerce-market</w:t>
        </w:r>
      </w:hyperlink>
      <w:r w:rsidRPr="00A663DE">
        <w:rPr>
          <w:rStyle w:val="None"/>
          <w:rFonts w:ascii="Times New Roman" w:hAnsi="Times New Roman" w:cs="Times New Roman"/>
          <w:sz w:val="24"/>
          <w:szCs w:val="24"/>
          <w:rtl/>
          <w:lang w:val="ar-SA"/>
        </w:rPr>
        <w:t xml:space="preserve"> </w:t>
      </w:r>
    </w:p>
  </w:footnote>
  <w:footnote w:id="187">
    <w:p w14:paraId="21ED0F3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سلمى عزت شاهين نبيل شاهين، دور قانون تشجيع الاستثمار في تنمية الابداعات في الملكية الفكرية، (رسالة ماجستير غير منشورة)، جامعة النجاح الوطنية، فلسطين، 2021، ص23.</w:t>
      </w:r>
    </w:p>
  </w:footnote>
  <w:footnote w:id="188">
    <w:p w14:paraId="1E6E4FC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الرحمان زيرق؛ وجعيرن بشير، حقوق الملكية الفكرية والاستثمار على ضوء القانون 22/18 المتعلق بالاستثمار، مجلة الدراسات القانونية والسياسية، مج9، ع2، 2023، ص225.</w:t>
      </w:r>
    </w:p>
  </w:footnote>
  <w:footnote w:id="189">
    <w:p w14:paraId="08F877F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فاطيمة ربوح، الاستثمار والملكية الفكرية، (رسالة ماجستير غير منشورة)، جامعة ابن خلدون، الجزائر، 2023، ص28.</w:t>
      </w:r>
    </w:p>
  </w:footnote>
  <w:footnote w:id="190">
    <w:p w14:paraId="3F1F084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الأولى من اللائحة التنفيذية لنظام الاستثمار الصادر بموجب المرسوم الملكي رقم م/19 بتاريخ 16/1/1446هـ.</w:t>
      </w:r>
    </w:p>
  </w:footnote>
  <w:footnote w:id="191">
    <w:p w14:paraId="248EA6C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غادة عبد الكريم جاد، أثر حماية الملكية الفكرية على الاستثمار دراسة مقارنة، مجلة الدراسات القانونية والاقتصادية، مج10، ع1، 2024، ص2391.</w:t>
      </w:r>
    </w:p>
  </w:footnote>
  <w:footnote w:id="192">
    <w:p w14:paraId="0FA0DF3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ص856.</w:t>
      </w:r>
    </w:p>
  </w:footnote>
  <w:footnote w:id="193">
    <w:p w14:paraId="29A0CA7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ص1540.</w:t>
      </w:r>
    </w:p>
  </w:footnote>
  <w:footnote w:id="194">
    <w:p w14:paraId="18838CD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الدين رجب فتح الباب صميدة، أثر استخدام تقنيات الذكاء الاصطناعي على النظام العام، الفكر الشرطي، مج33، ع131، (2024)، ص100.</w:t>
      </w:r>
    </w:p>
  </w:footnote>
  <w:footnote w:id="195">
    <w:p w14:paraId="09BE357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24 من نظام حماية حقوق المؤلف مرسوم ملكي رقم م/41.</w:t>
      </w:r>
    </w:p>
  </w:footnote>
  <w:footnote w:id="196">
    <w:p w14:paraId="61162CF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ع1، (2018)، ص215.</w:t>
      </w:r>
    </w:p>
  </w:footnote>
  <w:footnote w:id="197">
    <w:p w14:paraId="2AC8AB1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لونيس انقراشن؛ سعيد أمقران حاج، حقوق الملكية الفكرية وحماية المستهلك، (رسالة ماجستير غير منشورة)، جامعة مولود معمري تيزي وزو، الجزائر، (2018)، ص1.</w:t>
      </w:r>
    </w:p>
  </w:footnote>
  <w:footnote w:id="198">
    <w:p w14:paraId="6F579E1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صوفيا بومنينة، النشر الإلكتروني والحقوق الرقمية، مجلة الفقه والقانون، ع52، (2017)، ص43.</w:t>
      </w:r>
    </w:p>
  </w:footnote>
  <w:footnote w:id="199">
    <w:p w14:paraId="0F59B0C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مح8، ع2، (2022)، ص857.</w:t>
      </w:r>
    </w:p>
  </w:footnote>
  <w:footnote w:id="200">
    <w:p w14:paraId="7EE0827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ص289.</w:t>
      </w:r>
    </w:p>
  </w:footnote>
  <w:footnote w:id="201">
    <w:p w14:paraId="05F9C87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كداوة عبد القادر، البحث الوثائقي في البيئة الرقمية: شبكة الإنترنت أنموذجا، مجلة حقول معرفية للعلوم الاجتماعية والإنسانية، مج2، ع3، (2021)، ص128.</w:t>
      </w:r>
    </w:p>
  </w:footnote>
  <w:footnote w:id="202">
    <w:p w14:paraId="5A8CC17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شريف كامل شاهين، النشر التقليدي والإلكتروني في العالم العربي، مصر: دار الجوهرة للنشر والتوزيع، (2014)، ص26.</w:t>
      </w:r>
    </w:p>
  </w:footnote>
  <w:footnote w:id="203">
    <w:p w14:paraId="64E6E79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ص46.</w:t>
      </w:r>
    </w:p>
  </w:footnote>
  <w:footnote w:id="204">
    <w:p w14:paraId="094E90C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منى فنيح، الدراسات القانونية في ظل البيئة الرقمية، مجلة الندوة للدراسات القانونية، ع42، (2022)، ص118.</w:t>
      </w:r>
    </w:p>
  </w:footnote>
  <w:footnote w:id="205">
    <w:p w14:paraId="2613DEE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شريف كامل شاهين، النشر التقليدي والإلكتروني في العالم العربي، مصر: دار الجوهرة للنشر والتوزيع، (2014)، ص235.</w:t>
      </w:r>
    </w:p>
  </w:footnote>
  <w:footnote w:id="206">
    <w:p w14:paraId="635A425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ربحي مصطفي عليان، المكتبات الإلكترونية والمكتبات الرقمية، دار صفاء للنشر والتوزيع، عمان، ط2، (2015)، ص294.</w:t>
      </w:r>
    </w:p>
  </w:footnote>
  <w:footnote w:id="207">
    <w:p w14:paraId="18B0E7D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علي، المكتبة الرقمية الأسس والمفاهيم والتحديات التي تواجه المكتبات الرقمية العربية، مجلة جامعة دمشق، مج27، ع1، (2011)، ص647.</w:t>
      </w:r>
    </w:p>
  </w:footnote>
  <w:footnote w:id="208">
    <w:p w14:paraId="55BA045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مي أكرم ياسين، المكتبات الرقمية المفاهيم والتحديات، المجلة العربية للنشر العلمي، ع84، (2022)، ص308.</w:t>
      </w:r>
    </w:p>
  </w:footnote>
  <w:footnote w:id="209">
    <w:p w14:paraId="5C450EB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rtl/>
          <w:lang w:val="ar-SA"/>
        </w:rPr>
        <w:t>) جبريل حسن العريشي؛ وفاتن سعيد مبارك بامفلح، نحو إنشاء مكتبة رقمية للدوريات العلمية العربية المحكمة، دراسات عربية في المكتبات وعلم المعلومات، مج8، ع3، (2003)، ص84.</w:t>
      </w:r>
    </w:p>
  </w:footnote>
  <w:footnote w:id="210">
    <w:p w14:paraId="60515FA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rtl/>
          <w:lang w:val="ar-SA"/>
        </w:rPr>
        <w:t>) 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47-70، (2013)، ص20.</w:t>
      </w:r>
    </w:p>
  </w:footnote>
  <w:footnote w:id="211">
    <w:p w14:paraId="2CCFBB8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لمى بنت عبد الرزاق بن حميد المحمدي، حماية الملكية الفكرية في مواقع التواصل الاجتماعي، المجلة الدولية لنشر البحوث والدراسات، مج5، الإصدار 49، (2023)، ص336.</w:t>
      </w:r>
    </w:p>
  </w:footnote>
  <w:footnote w:id="212">
    <w:p w14:paraId="385ACBF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22-23 ابريل 2009، ص14.</w:t>
      </w:r>
    </w:p>
  </w:footnote>
  <w:footnote w:id="213">
    <w:p w14:paraId="0E4EAD7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(رسالة ماجستير غير منشورة)، جامعة محمد لمين دباغين سطيف، الجزائر، (2024)، ص30.</w:t>
      </w:r>
    </w:p>
  </w:footnote>
  <w:footnote w:id="214">
    <w:p w14:paraId="7B61DB6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رمضان قنفود، المسائل القانونية المتعلقة بالبريد الإلكتروني، مجلة دراسات وأبحاث، ع1، 2009، 290-315، ص290.</w:t>
      </w:r>
    </w:p>
  </w:footnote>
  <w:footnote w:id="215">
    <w:p w14:paraId="742A5C6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مج7، ع24، 2018، 172-228، ص199.</w:t>
      </w:r>
    </w:p>
  </w:footnote>
  <w:footnote w:id="216">
    <w:p w14:paraId="1827A36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آمال عبد الجبار حسوني، التعاقد عبر البريد الإلكتروني وإثباته، مجلة الحقوق، مج5، ع20، 2013، 277-294، ص278.</w:t>
      </w:r>
    </w:p>
  </w:footnote>
  <w:footnote w:id="217">
    <w:p w14:paraId="43B5558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منى فنيح، الدراسات القانونية في ظل البيئة الرقمية، مجلة الندوة للدراسات القانونية، ع42، (2022)، ص118.</w:t>
      </w:r>
    </w:p>
  </w:footnote>
  <w:footnote w:id="218">
    <w:p w14:paraId="1E9E059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انظر المادة 22 من نظام حقوق المؤلف مرسوم ملكي رقم م/41.</w:t>
      </w:r>
    </w:p>
  </w:footnote>
  <w:footnote w:id="219">
    <w:p w14:paraId="2F492F8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5 من نظام الإثبات رقم م/43.</w:t>
      </w:r>
    </w:p>
  </w:footnote>
  <w:footnote w:id="220">
    <w:p w14:paraId="25B0EDF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فاطمة لواعر، الملكية الفكرية في البيئة الرقمية، مجلة الحوكمة والقانون الاقتصادي، (2023)، ص22.</w:t>
      </w:r>
    </w:p>
  </w:footnote>
  <w:footnote w:id="221">
    <w:p w14:paraId="0FA5DEB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حازم أحمد شوقي محمد، الحماية القانونية لقواعد بيانات مراكز معلومات المؤسسات الإعلامية المرئية، المجلة العلمية للملكية الفكرية وإدارة الابتكار، ع4، (2021)، ص195.</w:t>
      </w:r>
    </w:p>
  </w:footnote>
  <w:footnote w:id="222">
    <w:p w14:paraId="695EF9D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حازم أحمد شوفي محمد، الحماية القانونية لقواعد بيانات مراكز معلومات المؤسسات الإعلامية المرئية، المجلة العلمية للملكية الفكرية وإدارة الابتكار، ع4، (2021)، ص194.</w:t>
      </w:r>
    </w:p>
  </w:footnote>
  <w:footnote w:id="223">
    <w:p w14:paraId="7BA3664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الخامسة من معاهدة الويبو بشأن حق المؤلف جنيف 20 ديسمبر 1996.</w:t>
      </w:r>
    </w:p>
  </w:footnote>
  <w:footnote w:id="224">
    <w:p w14:paraId="46977BF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فقرة خامسة من اتفاقية برن لحماية المصنفات الأدبية والفنية عام 1971 والمعدلة عام 1979.</w:t>
      </w:r>
    </w:p>
  </w:footnote>
  <w:footnote w:id="225">
    <w:p w14:paraId="3C7BD28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ص288.</w:t>
      </w:r>
    </w:p>
  </w:footnote>
  <w:footnote w:id="226">
    <w:p w14:paraId="754955E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حدادو؛ وراضية بعوالي، النظام القانوني لقواعد البيانات، (رسالة ماجستير غير منشورة)، جامعة أمحمد بوقرة، الجزائر، (2023)، ص7.</w:t>
      </w:r>
    </w:p>
  </w:footnote>
  <w:footnote w:id="227">
    <w:p w14:paraId="19720B6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العاشرة من اللائحة التنفيذية لنظام حقوق المؤلف الصادرة بقرار رقم م/و/1688/1 والمعدل برقم 3/31/2022.</w:t>
      </w:r>
    </w:p>
  </w:footnote>
  <w:footnote w:id="228">
    <w:p w14:paraId="472BA7E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مجلة القانون والأعمال، ع116، (2025)، ص100.</w:t>
      </w:r>
    </w:p>
  </w:footnote>
  <w:footnote w:id="229">
    <w:p w14:paraId="70D5726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زواتين، الذكاء الاصطناعي وحقوق الملكية الفكرية أي علاقة ترابطية؟، مجلة حقوق الإنسان والحريات العامة، مج7، ع2، (2022)، ص139.</w:t>
      </w:r>
    </w:p>
  </w:footnote>
  <w:footnote w:id="230">
    <w:p w14:paraId="4792D4A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أمينة يوسف عثمان البلغزي، الحماية القانونية للمصنفات الرقمية، مجلة الفرطاس، ع26، مج6، (2025)، ص190.</w:t>
      </w:r>
    </w:p>
  </w:footnote>
  <w:footnote w:id="231">
    <w:p w14:paraId="66F5C30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صونية حقاص، حماية الملكية الفكرية الأدبية والفنية في البيئة الرقمية في ظل التشريع الجزائري، ({سالة ماجستير غير منشورة)، جامعة منتوري قسنطينة، الجزائر، (2012)، ص60.</w:t>
      </w:r>
    </w:p>
  </w:footnote>
  <w:footnote w:id="232">
    <w:p w14:paraId="7D4860C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حكيمة عطا وشاح؛ خالدة عبد الله، حقوق الملكية الفكرية وتأثيرها على أخلاقيات البحث العلمي في البيئة الرقمية، مجلة آداب المستنصرية، ع 108، (2024)، ص524.</w:t>
      </w:r>
    </w:p>
  </w:footnote>
  <w:footnote w:id="233">
    <w:p w14:paraId="5CB6703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زواني، الاعتداء على حق الملكية الفكرية: التقليد والقرصنة، رسالة ماجستير غير منشورة، كلية الحقوق والعلوم الإدارية، جامعة الجزائر، الجزائر، (2002)، ص15.</w:t>
      </w:r>
    </w:p>
  </w:footnote>
  <w:footnote w:id="234">
    <w:p w14:paraId="5DFBBC6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ص496.</w:t>
      </w:r>
    </w:p>
  </w:footnote>
  <w:footnote w:id="235">
    <w:p w14:paraId="1D78A89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حليمة بودن، القرصنة والملكية الفكرية، مجلة القانون المغربي، ع15، (2010)، ص78.</w:t>
      </w:r>
    </w:p>
  </w:footnote>
  <w:footnote w:id="236">
    <w:p w14:paraId="38E99B6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يوسف عبد الله، الإطار القانوني والمؤسساتي لمكافحة التقليد والقرصنة الإلكترونية، (رسالة دكتوراه غير منشورة)، جامعة وهران، الجزائر، (2022)، ص3.</w:t>
      </w:r>
    </w:p>
  </w:footnote>
  <w:footnote w:id="237">
    <w:p w14:paraId="74FA93E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إيهاب خليفة، مجتمع ما بعد المعلومات تأثير الثورة الصناعية الرابعة على الأمن القومي، العربي للنشر والتوزيع، القاهرة، (2019)، ص136.</w:t>
      </w:r>
    </w:p>
  </w:footnote>
  <w:footnote w:id="238">
    <w:p w14:paraId="4C080F0E"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Hassan, M. U. (2025). The Rise of Digital Piracy: Implications for Intellectual Property Rights, Economic Losses, and Global Legal Challenges. QIT Press - </w:t>
      </w:r>
      <w:r w:rsidRPr="00A663DE">
        <w:rPr>
          <w:rStyle w:val="None"/>
          <w:rFonts w:ascii="Times New Roman" w:hAnsi="Times New Roman" w:cs="Times New Roman"/>
          <w:i/>
          <w:iCs/>
          <w:sz w:val="24"/>
          <w:szCs w:val="24"/>
        </w:rPr>
        <w:t xml:space="preserve">International Journal of Intellectual Property Rights Law (QITP-IJIPR), 5(2), </w:t>
      </w:r>
      <w:r w:rsidRPr="00A663DE">
        <w:rPr>
          <w:rStyle w:val="None"/>
          <w:rFonts w:ascii="Times New Roman" w:hAnsi="Times New Roman" w:cs="Times New Roman"/>
          <w:sz w:val="24"/>
          <w:szCs w:val="24"/>
        </w:rPr>
        <w:t>P. 2.</w:t>
      </w:r>
    </w:p>
  </w:footnote>
  <w:footnote w:id="239">
    <w:p w14:paraId="6C3670B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Rubio Alfageme, B. M. (2025). Intellectual property challenges in the 21st century: A study of digital piracy in the European Union. </w:t>
      </w:r>
      <w:r w:rsidRPr="00A663DE">
        <w:rPr>
          <w:rStyle w:val="None"/>
          <w:rFonts w:ascii="Times New Roman" w:hAnsi="Times New Roman" w:cs="Times New Roman"/>
          <w:i/>
          <w:iCs/>
          <w:sz w:val="24"/>
          <w:szCs w:val="24"/>
        </w:rPr>
        <w:t>Intangible Capital</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21</w:t>
      </w:r>
      <w:r w:rsidRPr="00A663DE">
        <w:rPr>
          <w:rStyle w:val="None"/>
          <w:rFonts w:ascii="Times New Roman" w:hAnsi="Times New Roman" w:cs="Times New Roman"/>
          <w:sz w:val="24"/>
          <w:szCs w:val="24"/>
        </w:rPr>
        <w:t>(2), P. 342.</w:t>
      </w:r>
    </w:p>
  </w:footnote>
  <w:footnote w:id="240">
    <w:p w14:paraId="7F8EF425"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Pr>
        <w:t>TERTEREANU, P., GÎNGU, A. I., &amp; ȚÎȚU, A. M. (2021). Counterfeiting and Infringements Upon Intellectual Property Rights. </w:t>
      </w:r>
      <w:r w:rsidRPr="00A663DE">
        <w:rPr>
          <w:rStyle w:val="None"/>
          <w:rFonts w:ascii="Times New Roman" w:hAnsi="Times New Roman" w:cs="Times New Roman"/>
          <w:i/>
          <w:iCs/>
          <w:sz w:val="24"/>
          <w:szCs w:val="24"/>
        </w:rPr>
        <w:t>Review of Management and Economic Engineering</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20</w:t>
      </w:r>
      <w:r w:rsidRPr="00A663DE">
        <w:rPr>
          <w:rStyle w:val="None"/>
          <w:rFonts w:ascii="Times New Roman" w:hAnsi="Times New Roman" w:cs="Times New Roman"/>
          <w:sz w:val="24"/>
          <w:szCs w:val="24"/>
        </w:rPr>
        <w:t>(2), P. 94.</w:t>
      </w:r>
    </w:p>
  </w:footnote>
  <w:footnote w:id="241">
    <w:p w14:paraId="2A391D37"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Sadhana, G. S. (2025). Protecting creative rights: Addressing digital piracy and copyright issues in Indian media. </w:t>
      </w:r>
      <w:r w:rsidRPr="00A663DE">
        <w:rPr>
          <w:rStyle w:val="None"/>
          <w:rFonts w:ascii="Times New Roman" w:hAnsi="Times New Roman" w:cs="Times New Roman"/>
          <w:i/>
          <w:iCs/>
          <w:sz w:val="24"/>
          <w:szCs w:val="24"/>
        </w:rPr>
        <w:t>International Journal of Law, Justice and Jurisprudence.</w:t>
      </w:r>
      <w:r w:rsidRPr="00A663DE">
        <w:rPr>
          <w:rStyle w:val="None"/>
          <w:rFonts w:ascii="Times New Roman" w:hAnsi="Times New Roman" w:cs="Times New Roman"/>
          <w:sz w:val="24"/>
          <w:szCs w:val="24"/>
        </w:rPr>
        <w:t xml:space="preserve"> 5(1), P. 182.</w:t>
      </w:r>
    </w:p>
  </w:footnote>
  <w:footnote w:id="242">
    <w:p w14:paraId="6C227E80"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Limbong, A. H. (2025). ESPN's Broadcast Rights Protection in Intellectual Property Law Over World Cup Broadcast Piracy. </w:t>
      </w:r>
      <w:r w:rsidRPr="00A663DE">
        <w:rPr>
          <w:rStyle w:val="None"/>
          <w:rFonts w:ascii="Times New Roman" w:hAnsi="Times New Roman" w:cs="Times New Roman"/>
          <w:i/>
          <w:iCs/>
          <w:sz w:val="24"/>
          <w:szCs w:val="24"/>
        </w:rPr>
        <w:t>Journal of Law, Politic and Humanities</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5</w:t>
      </w:r>
      <w:r w:rsidRPr="00A663DE">
        <w:rPr>
          <w:rStyle w:val="None"/>
          <w:rFonts w:ascii="Times New Roman" w:hAnsi="Times New Roman" w:cs="Times New Roman"/>
          <w:sz w:val="24"/>
          <w:szCs w:val="24"/>
        </w:rPr>
        <w:t>(4), P. 3114.</w:t>
      </w:r>
    </w:p>
  </w:footnote>
  <w:footnote w:id="243">
    <w:p w14:paraId="025BE53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Cooper, J. M. (2022). Intellectual property piracy in the time of the metaverse. </w:t>
      </w:r>
      <w:r w:rsidRPr="00A663DE">
        <w:rPr>
          <w:rStyle w:val="None"/>
          <w:rFonts w:ascii="Times New Roman" w:hAnsi="Times New Roman" w:cs="Times New Roman"/>
          <w:i/>
          <w:iCs/>
          <w:sz w:val="24"/>
          <w:szCs w:val="24"/>
        </w:rPr>
        <w:t>IDEA</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63</w:t>
      </w:r>
      <w:r w:rsidRPr="00A663DE">
        <w:rPr>
          <w:rStyle w:val="None"/>
          <w:rFonts w:ascii="Times New Roman" w:hAnsi="Times New Roman" w:cs="Times New Roman"/>
          <w:sz w:val="24"/>
          <w:szCs w:val="24"/>
        </w:rPr>
        <w:t xml:space="preserve">. Available at: </w:t>
      </w:r>
      <w:hyperlink r:id="rId15" w:history="1">
        <w:r w:rsidRPr="00A663DE">
          <w:rPr>
            <w:rStyle w:val="Hyperlink3"/>
            <w:rFonts w:ascii="Times New Roman" w:hAnsi="Times New Roman" w:cs="Times New Roman"/>
          </w:rPr>
          <w:t>https://scholarlycommons.law.cwsl.edu/fs/422</w:t>
        </w:r>
      </w:hyperlink>
      <w:r w:rsidRPr="00A663DE">
        <w:rPr>
          <w:rStyle w:val="None"/>
          <w:rFonts w:ascii="Times New Roman" w:hAnsi="Times New Roman" w:cs="Times New Roman"/>
          <w:sz w:val="24"/>
          <w:szCs w:val="24"/>
        </w:rPr>
        <w:t>. P. 507.</w:t>
      </w:r>
    </w:p>
  </w:footnote>
  <w:footnote w:id="244">
    <w:p w14:paraId="1A7469D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Pr>
        <w:t>Ajakaye, O., &amp; Lawal, A. (2025). Digital Justice and IP Protection: A Transatlantic Approach to Regulating NFTs, Blockchain and Copyright Infringement. </w:t>
      </w:r>
      <w:r w:rsidRPr="00A663DE">
        <w:rPr>
          <w:rStyle w:val="None"/>
          <w:rFonts w:ascii="Times New Roman" w:hAnsi="Times New Roman" w:cs="Times New Roman"/>
          <w:i/>
          <w:iCs/>
          <w:sz w:val="24"/>
          <w:szCs w:val="24"/>
        </w:rPr>
        <w:t>Engineering and Technology Journal</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10</w:t>
      </w:r>
      <w:r w:rsidRPr="00A663DE">
        <w:rPr>
          <w:rStyle w:val="None"/>
          <w:rFonts w:ascii="Times New Roman" w:hAnsi="Times New Roman" w:cs="Times New Roman"/>
          <w:sz w:val="24"/>
          <w:szCs w:val="24"/>
        </w:rPr>
        <w:t>(9). P. p. 6932-6933.</w:t>
      </w:r>
    </w:p>
  </w:footnote>
  <w:footnote w:id="245">
    <w:p w14:paraId="7F0CF2D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246">
    <w:p w14:paraId="2ECCE02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يوسفي علاء الدين؛ سي حمدي عبد المؤمن، الحماية القانونية لحقوق الملكية الفكرية في ظل تحديات البيئة الرقمية الراهنة، مجلة طبة، للدراسات العلمية الأكاديمية، مج1، ع1، (2018)، ص226.</w:t>
      </w:r>
    </w:p>
  </w:footnote>
  <w:footnote w:id="247">
    <w:p w14:paraId="04BFD49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(2020)، ص243.</w:t>
      </w:r>
    </w:p>
  </w:footnote>
  <w:footnote w:id="248">
    <w:p w14:paraId="4E4A927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مصطفي بن أحمد الحكيم؛ وخالد صلاح حنفي، كتاب المؤتمر الدولي المحكم الاتجاهات العالمية المعاصرة في العلوم الإنسانية والاجتماعية، 6-7 نوفمبر تركيا، (2019)، ص328.</w:t>
      </w:r>
    </w:p>
  </w:footnote>
  <w:footnote w:id="249">
    <w:p w14:paraId="1DE0FC1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مرجع سابق، ص16-17.</w:t>
      </w:r>
    </w:p>
  </w:footnote>
  <w:footnote w:id="250">
    <w:p w14:paraId="5B343F5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يوسف بن نافلة، النشر الإلكتروني وأهميته في تحقيق البحوث العلمية والتعليمية، مجلة أدبيات، مج1، ع1، (2019)، ص71.</w:t>
      </w:r>
    </w:p>
  </w:footnote>
  <w:footnote w:id="251">
    <w:p w14:paraId="7E6FF5C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مج7، ع2، (2020)، ص314.</w:t>
      </w:r>
    </w:p>
  </w:footnote>
  <w:footnote w:id="252">
    <w:p w14:paraId="2833C99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دار صفاء للنشر والتوزيع، عمان، (2014)، ص34.</w:t>
      </w:r>
    </w:p>
  </w:footnote>
  <w:footnote w:id="253">
    <w:p w14:paraId="65C8EBC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دليلة خينش، صعوبات النشر الإلكتروني الجامعي المنصة الجزائرية للمجلات العلمية انموذجًا، مجلة دفاتر المخبر، مج16، ع1، (2021)، ص173.</w:t>
      </w:r>
    </w:p>
  </w:footnote>
  <w:footnote w:id="254">
    <w:p w14:paraId="680A609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ربحي مصطفي عليان، المكتبات الإلكترونية والمكتبات الرقمية، مرجع سابق، ص40.</w:t>
      </w:r>
    </w:p>
  </w:footnote>
  <w:footnote w:id="255">
    <w:p w14:paraId="7129B57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عباس ناجي حسن، الوسائط المتعددة في الاعلام الإلكتروني، مرجع سابق، ص131.</w:t>
      </w:r>
    </w:p>
  </w:footnote>
  <w:footnote w:id="256">
    <w:p w14:paraId="682359D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مليكة شبيشب؛ وميمونة بن عروسي، واقع النشر الإلكتروني لدى الأساتذة الجامعيين، (رسالة ماجستير غير منشورة)، جامعة محمد خضير بسكرة، (2020)، ص65.</w:t>
      </w:r>
    </w:p>
  </w:footnote>
  <w:footnote w:id="257">
    <w:p w14:paraId="2F397A9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لؤي الزغبي، الوسائط المتعددة، المشاع المبدع للنشر، سوريا، (2020)، ص7.</w:t>
      </w:r>
    </w:p>
  </w:footnote>
  <w:footnote w:id="258">
    <w:p w14:paraId="4B21FB7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غنام، حقوق الملكية الفكرية المفهوم والأهداف، المعرفة، مج50، ع577، (2011)، ص371.</w:t>
      </w:r>
    </w:p>
  </w:footnote>
  <w:footnote w:id="259">
    <w:p w14:paraId="71B96FB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سلمان محمود، الحماية الدولية لحقوق الملكية الفكرية الإلكترونية، مجلة كلية دجلة الجامعة، مج6، ع1، (2023)، ص426.</w:t>
      </w:r>
    </w:p>
  </w:footnote>
  <w:footnote w:id="260">
    <w:p w14:paraId="72002EC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w:t>
      </w:r>
    </w:p>
  </w:footnote>
  <w:footnote w:id="261">
    <w:p w14:paraId="0C104E7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لمياء صلاح الدين محمد إبراهيم، الإعلام الإلكتروني ودوره في تعزيز الملكية الفكرية: دراسة حالة الصحافة الإلكترونية السودانية الفترة من 2011م – 2014م، رسالة دكتوراه غير منشورة، جامعة أم درمان الإسلامية، السودان، (2014)، ص2.</w:t>
      </w:r>
    </w:p>
  </w:footnote>
  <w:footnote w:id="262">
    <w:p w14:paraId="689EAC3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(أكتوبر – 2010)، ص1180.</w:t>
      </w:r>
    </w:p>
  </w:footnote>
  <w:footnote w:id="263">
    <w:p w14:paraId="2A412E9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أماني فوزي أحمد طه، الآثار الاقتصادية للتعدي على حقوق الملكية الفكرية: واقع حقوق الملكية الفكرية في مصر ولبنان، المجلة العلمية للاقتصاد والتجارة، ع2، (2014)، ص1.</w:t>
      </w:r>
    </w:p>
  </w:footnote>
  <w:footnote w:id="264">
    <w:p w14:paraId="21A53FA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هلال إبراهيم هلال الخطيب، القيود التي تحكم حقوق الملكية الفكرية: دراسة مقارنة، رسالة ماجستير غير منشورة، جامعة آل البيت، الأردن، (2004)، ص1.</w:t>
      </w:r>
    </w:p>
  </w:footnote>
  <w:footnote w:id="265">
    <w:p w14:paraId="5B88D47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الكاهنة ارزيل، تأثر المستهلك بحماية حقوق الملكية الفكرية، مجلة الحقوق والحريات، ع4، (2017)، ص611.</w:t>
      </w:r>
    </w:p>
  </w:footnote>
  <w:footnote w:id="266">
    <w:p w14:paraId="2B4BECC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267">
    <w:p w14:paraId="1AC6E7A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بن علي بن عبد الله، دور حماية الملكية الفكرية في التنمية الصناعية، التعاون الصناعي في الخليج العربي، مج23، ع88، (2002)، ص3.</w:t>
      </w:r>
    </w:p>
  </w:footnote>
  <w:footnote w:id="268">
    <w:p w14:paraId="5BB0EFD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الزبير بلهوشات؛ محمد رحايلي، حقوق المؤلف والحقوق المجاورة في البيئة الرقمية: الحالة الجزائرية، مجلة جامعة الأمير عبد القادر للعلوم الإسلامية، ع34، (2015)، ص428.</w:t>
      </w:r>
    </w:p>
  </w:footnote>
  <w:footnote w:id="269">
    <w:p w14:paraId="2DED071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زواني، الإعتداء على حق الملكية الفكرية: التقليد والقرصنة، رسالة ماجستير غير منشورة، كلية الحقوق والعلوم الإدارية، جامعة الجزائر، الجزائر، (2002)، ص56.</w:t>
      </w:r>
    </w:p>
  </w:footnote>
  <w:footnote w:id="270">
    <w:p w14:paraId="7935888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ص120.</w:t>
      </w:r>
    </w:p>
  </w:footnote>
  <w:footnote w:id="271">
    <w:p w14:paraId="15C332A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ص132.</w:t>
      </w:r>
    </w:p>
  </w:footnote>
  <w:footnote w:id="272">
    <w:p w14:paraId="7C7A1BE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(2022)، ص846.</w:t>
      </w:r>
    </w:p>
  </w:footnote>
  <w:footnote w:id="273">
    <w:p w14:paraId="738E8AA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ص1537.</w:t>
      </w:r>
    </w:p>
  </w:footnote>
  <w:footnote w:id="274">
    <w:p w14:paraId="3E6AC313" w14:textId="77777777" w:rsidR="000B6E77" w:rsidRPr="00A663DE" w:rsidRDefault="000B6E77">
      <w:pPr>
        <w:pStyle w:val="FootnoteText"/>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 من اتفاقية الويبو بشأن حق المؤلف عام 1996.</w:t>
      </w:r>
    </w:p>
  </w:footnote>
  <w:footnote w:id="275">
    <w:p w14:paraId="20CA7A9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76">
    <w:p w14:paraId="12CE69D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زينب جاب الله؛ فاطمة عثمان، أهمية التعاون الدولي في مجال تعزيز ودعم حقوق الملكية الفكرية، (رسالة ماجستير غير منشورة)، جامعة زيان عاشور، الجزائر، (2017)، ص10.</w:t>
      </w:r>
    </w:p>
  </w:footnote>
  <w:footnote w:id="277">
    <w:p w14:paraId="13BE6B2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مجلة الفكر القانوني والسياسي، 6(1)، 1037-1048، (2022)، ص 1044.</w:t>
      </w:r>
    </w:p>
  </w:footnote>
  <w:footnote w:id="278">
    <w:p w14:paraId="0B21135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شنوف معمر، دور الهيئات الدولية لحماية المليكة الفكرية، مجلة الحقوق والعلوم الإنسانية، (24)، 210-188، (2015)، ص 188.</w:t>
      </w:r>
    </w:p>
  </w:footnote>
  <w:footnote w:id="279">
    <w:p w14:paraId="0EF0444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80">
    <w:p w14:paraId="327836C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الطيب حمدان، واقع حماية الملكية الفكرية في الاتفاقيات الدولية، مجلة الحقوق والحريات، 10(1)، 55-34، (2022)، ص45-46.</w:t>
      </w:r>
    </w:p>
  </w:footnote>
  <w:footnote w:id="281">
    <w:p w14:paraId="48DB3C9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مرجع سابق، ص 1038.</w:t>
      </w:r>
    </w:p>
  </w:footnote>
  <w:footnote w:id="282">
    <w:p w14:paraId="1DB0A98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مؤيد زيدان، حقوق الملكية الفكرية، المشاع المبدع للنشر، سوريا، ص60.</w:t>
      </w:r>
    </w:p>
  </w:footnote>
  <w:footnote w:id="283">
    <w:p w14:paraId="1D6461C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مجلة الفكر القانوني والسياسي، مج6، ع1، (2022)، ص1039.</w:t>
      </w:r>
    </w:p>
  </w:footnote>
  <w:footnote w:id="284">
    <w:p w14:paraId="2F070E6B" w14:textId="77777777" w:rsidR="000B6E77" w:rsidRPr="00A663DE" w:rsidRDefault="000B6E77">
      <w:pPr>
        <w:pStyle w:val="FootnoteText"/>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فاطمة حسن عبد الحسيني، الحماية الدولية للمصنفات المكتوبة، (رسالة ماجستير غير منشورة)، جامعة ميسان، الجزائر، (2020)، ص76.</w:t>
      </w:r>
    </w:p>
  </w:footnote>
  <w:footnote w:id="285">
    <w:p w14:paraId="3CC0E88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سامية خوخي، حقوق المؤلفين الأجانب، (رسالة ماجستير غير منشورة)، جامعة زيان عاشور، الجزائر، (2017)، ص18.</w:t>
      </w:r>
    </w:p>
  </w:footnote>
  <w:footnote w:id="286">
    <w:p w14:paraId="4FA54BB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سميرة مسعودي، الحق المالي للمؤلف في ظل القانون الجزائري والقانون المقارن، (رسالة ماجستير غير منشورة)، جامعة الجزائر، الجزائر، (2014)، ص155.</w:t>
      </w:r>
    </w:p>
  </w:footnote>
  <w:footnote w:id="287">
    <w:p w14:paraId="1356D96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نسيمة فتحي، الحماية الدولية لحقوق الملكية الفكرية، (رسالة ماجستير غير منشورة)، جامعة مولود معمري، الجزائر، (2012)، ص36.</w:t>
      </w:r>
    </w:p>
  </w:footnote>
  <w:footnote w:id="288">
    <w:p w14:paraId="05DE9B5C" w14:textId="77777777" w:rsidR="000B6E77" w:rsidRPr="00A663DE" w:rsidRDefault="000B6E77">
      <w:pPr>
        <w:pStyle w:val="FootnoteText"/>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الخامسة من اتفاقية برن عام 1986 وتعديلاتها.</w:t>
      </w:r>
    </w:p>
  </w:footnote>
  <w:footnote w:id="289">
    <w:p w14:paraId="47FADD9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بن حدو، الحماية الدولية لحقوق الملكية الفكرية، (رسالة ماجستير غير منشورة)، جامعة عبد الحمدي ابن باديس، الجزائر، (2017)، ص49.</w:t>
      </w:r>
    </w:p>
  </w:footnote>
  <w:footnote w:id="290">
    <w:p w14:paraId="7E1369B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نسيمة فتحي، الحماية الدولية لحقوق الملكية الفكرية، مرجع سابق، ص37.</w:t>
      </w:r>
    </w:p>
  </w:footnote>
  <w:footnote w:id="291">
    <w:p w14:paraId="49CB10A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62.</w:t>
      </w:r>
    </w:p>
  </w:footnote>
  <w:footnote w:id="292">
    <w:p w14:paraId="0E4AD70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أبو بكر محمود الهوش، نحو حقوق الملكية الفكرية في العصر الرقمي. المؤتمر الثالث عشر: إدارة المعلومات في البيئة الرقمية المعارف والكفاءات والجودة، المنعقد في أكتوبر، لبنان، (أكتوبر-2002)، ص 341.</w:t>
      </w:r>
    </w:p>
  </w:footnote>
  <w:footnote w:id="293">
    <w:p w14:paraId="6827BA6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شويرب خالد، الملكية الفكرية في ظل المنظمة العالمية للتجارة، (رسالة ماجستير غير منشورة)، جامعة الجزائر، الجزائر، (2003)، ص73.</w:t>
      </w:r>
    </w:p>
  </w:footnote>
  <w:footnote w:id="294">
    <w:p w14:paraId="5727B8B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295">
    <w:p w14:paraId="29E7465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 234.</w:t>
      </w:r>
    </w:p>
  </w:footnote>
  <w:footnote w:id="296">
    <w:p w14:paraId="2883227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صبرينة بلخير، الحماية الدولية لحقوق المؤلف، (رسالة ماجستير غير منشورة)، جامعة محمد خضير بسكرة، الجزائر، (2020)، ص57.</w:t>
      </w:r>
    </w:p>
  </w:footnote>
  <w:footnote w:id="297">
    <w:p w14:paraId="49CF2B4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مرجع سابق، ص 380.</w:t>
      </w:r>
    </w:p>
  </w:footnote>
  <w:footnote w:id="298">
    <w:p w14:paraId="2BBBB45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شعبان فرج، التحكيم وأثره على الملكية الفكرية، الاقتصاد والمحاسبة، (636)، 36-34، (2011)، ص 34.</w:t>
      </w:r>
    </w:p>
  </w:footnote>
  <w:footnote w:id="299">
    <w:p w14:paraId="5B01F88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300">
    <w:p w14:paraId="75A8DA4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ولد سليمان عيسى عبيد ياسين، حماية حقوق المؤلف على الإنترنت وفق معاهدتي الويبو لسنة 1996، (رسالة ماجستير غير منشورة)، جامعة عبد جامعة الرحمان ميرة-بجاية، الجزائر، (2018)، ص 7.</w:t>
      </w:r>
    </w:p>
  </w:footnote>
  <w:footnote w:id="301">
    <w:p w14:paraId="69CA408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94.</w:t>
      </w:r>
    </w:p>
  </w:footnote>
  <w:footnote w:id="302">
    <w:p w14:paraId="0F19CB5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(3) من اتفاقية إنشاء المنظمة العالمية للملكية الفكرية (الويبو) الموقعة في استوك هولم 14 يوليو 1967 والمعدلة 28 سبتمبر 1979.</w:t>
      </w:r>
    </w:p>
  </w:footnote>
  <w:footnote w:id="303">
    <w:p w14:paraId="6B99A13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(4) من اتفاقية إنشاء المنظمة العالمية للملكية الفكرية (الويبو) الموقعة في استوك هولم 14 يوليو 1967 والمعدلة 28 سبتمبر 1979.</w:t>
      </w:r>
    </w:p>
  </w:footnote>
  <w:footnote w:id="304">
    <w:p w14:paraId="7FCA9D0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مرجع سابق، ص 393.</w:t>
      </w:r>
    </w:p>
  </w:footnote>
  <w:footnote w:id="305">
    <w:p w14:paraId="1AF83FD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ولد سليمان عيسى عبيد ياسين، حماية حقوق المؤلف على الإنترنت وفق معاهدتي الويبو لسنة 1996، مرجع سابق، ص 11.</w:t>
      </w:r>
    </w:p>
  </w:footnote>
  <w:footnote w:id="306">
    <w:p w14:paraId="40B4CFAD" w14:textId="77777777" w:rsidR="000B6E77" w:rsidRPr="00A663DE" w:rsidRDefault="000B6E77">
      <w:pPr>
        <w:pStyle w:val="FootnoteText"/>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علي زهير؛ وعزوزي قويدر، معاهدة الويبو لحق المؤلف، (رسالة ماجستير غير منشورة)، جامعة زيان عاشور بالجلفة، الجزائر، (2017)، ص31.</w:t>
      </w:r>
    </w:p>
  </w:footnote>
  <w:footnote w:id="307">
    <w:p w14:paraId="738FF3C4" w14:textId="77777777" w:rsidR="000B6E77" w:rsidRPr="00A663DE" w:rsidRDefault="000B6E77">
      <w:pPr>
        <w:pStyle w:val="FootnoteText"/>
        <w:jc w:val="both"/>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شيخة خليل إبراهيم الدرويش، حقوق المؤلف على المحتوى الرقمي في النظام القانوني القطري، (رسالة ماجستير غير منشورة)، جامعة قطر، قطر، (2023)، ص64.</w:t>
      </w:r>
    </w:p>
  </w:footnote>
  <w:footnote w:id="308">
    <w:p w14:paraId="748790D3" w14:textId="77777777" w:rsidR="000B6E77" w:rsidRPr="00A663DE" w:rsidRDefault="000B6E77">
      <w:pPr>
        <w:pStyle w:val="FootnoteText"/>
        <w:jc w:val="both"/>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بن حدو محمد، الحماية الدولية لحقوق الملكية الفكرية، (رسالة ماجستير غير منشورة)، جامعة عبد الحميد بن باديس، الجزائر، (2017)، ص67.</w:t>
      </w:r>
    </w:p>
  </w:footnote>
  <w:footnote w:id="309">
    <w:p w14:paraId="0FCBDAC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شمامة بوترعة، الحماية الدولية للعلامات التجارية وفقًا لاتفاق مدريد للتسجيل الدولي للعاملات التجارية لعام 1891، مجلة الحقوق والعلوم الإنسانية، مج16، ع1، ص964.</w:t>
      </w:r>
    </w:p>
  </w:footnote>
  <w:footnote w:id="310">
    <w:p w14:paraId="1A94BBF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الموقع الرسمي للمنصة الوطنية التابعة لحومة المملكة العربية السعودية، تم دخول الموقع يوم 29/7/2025، </w:t>
      </w:r>
      <w:hyperlink r:id="rId16" w:history="1">
        <w:r w:rsidRPr="00A663DE">
          <w:rPr>
            <w:rStyle w:val="Hyperlink0"/>
            <w:rFonts w:eastAsia="Arial Unicode MS"/>
          </w:rPr>
          <w:t>https://eparticipation.my.gov.sa/e-consultations/consultations/legal/legal-consultation-25811</w:t>
        </w:r>
      </w:hyperlink>
      <w:r w:rsidRPr="00A663DE">
        <w:rPr>
          <w:rStyle w:val="None"/>
          <w:rFonts w:ascii="Times New Roman" w:hAnsi="Times New Roman" w:cs="Times New Roman"/>
          <w:sz w:val="24"/>
          <w:szCs w:val="24"/>
          <w:rtl/>
          <w:lang w:val="ar-SA"/>
        </w:rPr>
        <w:t xml:space="preserve"> </w:t>
      </w:r>
    </w:p>
  </w:footnote>
  <w:footnote w:id="311">
    <w:p w14:paraId="56FBCAF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فيصل بن عبد الله بن عبد العزيز الطيار، الحماية الدولية التجارية غير التقليدية دراسة تحليلية، مجلة البحوث الفقهية والقانونية، ع45، (2024)، ص2000.</w:t>
      </w:r>
    </w:p>
  </w:footnote>
  <w:footnote w:id="312">
    <w:p w14:paraId="14A7716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المرجع السابق، ص2001.</w:t>
      </w:r>
    </w:p>
  </w:footnote>
  <w:footnote w:id="313">
    <w:p w14:paraId="76B745C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باره سعيدة، نظام مدريد كآلية للتسجيل الدولي للعلامات التجارية، المجلة الأكاديمية للبحث القانوني، مج14، ع2، (2016)، ص421.</w:t>
      </w:r>
    </w:p>
  </w:footnote>
  <w:footnote w:id="314">
    <w:p w14:paraId="6FFDB63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باسم عبد الرازق محمد الشيخ، براءة الاختراع وتطور حمايتها في إطار القانون الدولي، مجلة كلية الشريعة والقانون، ع38، (202)، ص51.</w:t>
      </w:r>
    </w:p>
  </w:footnote>
  <w:footnote w:id="315">
    <w:p w14:paraId="7343653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مج4، ع4، (2019)، ص510.</w:t>
      </w:r>
    </w:p>
  </w:footnote>
  <w:footnote w:id="316">
    <w:p w14:paraId="7B8EF31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الموقع الرسمي للهيئة السعودية للملكية الفكرية، تم دخول الموقع يوم 19/7/2025، </w:t>
      </w:r>
      <w:hyperlink r:id="rId17" w:history="1">
        <w:r w:rsidRPr="00A663DE">
          <w:rPr>
            <w:rStyle w:val="Hyperlink0"/>
            <w:rFonts w:eastAsia="Arial Unicode MS"/>
          </w:rPr>
          <w:t>https://www.saip.gov.sa/pct</w:t>
        </w:r>
      </w:hyperlink>
      <w:r w:rsidRPr="00A663DE">
        <w:rPr>
          <w:rStyle w:val="None"/>
          <w:rFonts w:ascii="Times New Roman" w:hAnsi="Times New Roman" w:cs="Times New Roman"/>
          <w:sz w:val="24"/>
          <w:szCs w:val="24"/>
          <w:rtl/>
          <w:lang w:val="ar-SA"/>
        </w:rPr>
        <w:t xml:space="preserve"> </w:t>
      </w:r>
    </w:p>
  </w:footnote>
  <w:footnote w:id="317">
    <w:p w14:paraId="3610291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ثامر علي النويران، الجرائم الإلكترونية وطرق الحد منها: تجربة الأردن، جامعة محمد بن سعود الإسلامي، 174-183، (2015)، ص174.</w:t>
      </w:r>
    </w:p>
  </w:footnote>
  <w:footnote w:id="318">
    <w:p w14:paraId="25056E0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ع5، (2022)، ص248.</w:t>
      </w:r>
    </w:p>
  </w:footnote>
  <w:footnote w:id="319">
    <w:p w14:paraId="5C5B33D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حسين دوحاجي، تشريعات المصنفات الرقمية في المغرب العربي، دراسة تحليلية لنماذج من القوانين في كل من الجزائر وتونس والمغرب، (رسالة دكتوره غير منشورة)، جامعة الجزائر، الجزائر، (2022)، ص168.</w:t>
      </w:r>
    </w:p>
  </w:footnote>
  <w:footnote w:id="320">
    <w:p w14:paraId="31DFF65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طارق خالد فايق عيسى، دور التشريعات الدولية في مكافحة الجريمة الرقمية وحماية البيانات الشخصية، مجلة المجتمع العربي لنشر الدراسات العلمية، الإصدار 43، (2024)، ص227.</w:t>
      </w:r>
    </w:p>
  </w:footnote>
  <w:footnote w:id="321">
    <w:p w14:paraId="77FAA63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فاطمة الزهراء علي عبد العظيم، التحديات القانونية للحوكمة الرقمية في المؤسسات العامة، مجلة القانون والدراسات الاجتماعية، ع4، (2025)، ص334.</w:t>
      </w:r>
    </w:p>
  </w:footnote>
  <w:footnote w:id="322">
    <w:p w14:paraId="65C7B62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سعاد جواهره، حماية الملكية الفكرية في البيئة الرقمية من خلال التشريع الجزائري والقانون الدولي، (رسالة دكتوراه غير منشورة)، جامعة الجزائر، الجزائر، (2016)، ص137.</w:t>
      </w:r>
    </w:p>
  </w:footnote>
  <w:footnote w:id="323">
    <w:p w14:paraId="39A3706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غازي حسان إبراهيم، فاعلية السياسية الجنائية في مواجهة الجرائم المعلوماتية، مجلة الشريعة والقانون بالقاهرة، ع45، (2025)، ص2664.</w:t>
      </w:r>
    </w:p>
  </w:footnote>
  <w:footnote w:id="324">
    <w:p w14:paraId="4E1BD36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طارق خالد فايق عيسى، دور التشريعات الدولية في مكافحة الجريمة الرقمية وحماية البيانات الشخصية، مرجع سابق، ص230.</w:t>
      </w:r>
    </w:p>
  </w:footnote>
  <w:footnote w:id="325">
    <w:p w14:paraId="1C8A8BF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شيخة خليل إبراهيم الدرويش، حقوق المؤلف على المحتوى الرقمي في النظام القانوني القطري، (رسالة ماجستير غير منشورة)، جامعة قطر، (2023)، ص53.</w:t>
      </w:r>
    </w:p>
  </w:footnote>
  <w:footnote w:id="326">
    <w:p w14:paraId="0A2818E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سليمان عبد الواحد عبدا لله أحمد محمد، التعاون الأمني لمواجهة الجريمة المنظمة، جامعة المنوفية، ع49، (2019)، 1-45، ص7.</w:t>
      </w:r>
    </w:p>
  </w:footnote>
  <w:footnote w:id="327">
    <w:p w14:paraId="3F50737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عبد المعبود أحمد، الجريمة الإلكترونية وآلية مكافحتها في ظل القانون الدولي، جامعة المنوفية، ع50، 1-71، (2019)، ص44.</w:t>
      </w:r>
    </w:p>
  </w:footnote>
  <w:footnote w:id="328">
    <w:p w14:paraId="0C6B823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إرزيل الكاهنة، تأثر المستهلك بحماية حقوق الملكية الفكرية، مجلة الحقوق والحريات، (4)، 618-605، (2017)، ص 606.</w:t>
      </w:r>
    </w:p>
  </w:footnote>
  <w:footnote w:id="329">
    <w:p w14:paraId="1370335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(2010)، ص1207.</w:t>
      </w:r>
    </w:p>
  </w:footnote>
  <w:footnote w:id="330">
    <w:p w14:paraId="526EF1B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142.</w:t>
      </w:r>
    </w:p>
  </w:footnote>
  <w:footnote w:id="331">
    <w:p w14:paraId="053ADFA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كاميليا صلاح الدين عبد الله كمال، حماية الصالح العام في ضوء أحكام الملكية الفكرية، مجلة الشريعة والقانون، (42)، 1367-1429، (2023)، ص 1369.</w:t>
      </w:r>
    </w:p>
  </w:footnote>
  <w:footnote w:id="332">
    <w:p w14:paraId="3EA2E70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رانا مصباح عبد المحسن عبد الرازق، الحماية الجنائية لحقوق التأليف في المملكة العربية السعودية على ضوء رؤية 2030، مجلة الاجتهاد للدراسات القانونية والاقتصادية، مج12، ع3، (2023)، ص21.</w:t>
      </w:r>
    </w:p>
  </w:footnote>
  <w:footnote w:id="333">
    <w:p w14:paraId="0A85DDD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334">
    <w:p w14:paraId="4C9B98C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2 و3 من نظام حماية حقوق المؤلف مرسوم ملكي رقم م/41.</w:t>
      </w:r>
    </w:p>
  </w:footnote>
  <w:footnote w:id="335">
    <w:p w14:paraId="0841F6A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19 من نظام حماية حقوق المؤلف مرسوم ملكي رقم م/41.</w:t>
      </w:r>
    </w:p>
  </w:footnote>
  <w:footnote w:id="336">
    <w:p w14:paraId="65A0E42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سيف حسين عوض آل سلطان القحطاني، الحماية المدنية لحقوق المؤلف في النظام السعودي، مجلة الاندلس للعلوم الإنسانية والاجتماعية، مج10، ع83، (2023)، ص147.</w:t>
      </w:r>
    </w:p>
  </w:footnote>
  <w:footnote w:id="337">
    <w:p w14:paraId="685E54F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2 نظام براءات الاختراع والتصميمات التخطيطية للدارات المتكاملة والأصناف النباتية والنماذج الصناعية مرسوم ملكي رقم م/27.</w:t>
      </w:r>
    </w:p>
  </w:footnote>
  <w:footnote w:id="338">
    <w:p w14:paraId="05EE273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هديل علي أحمد فرج، التنظيم القانوني لحماية تصميم الدارة المتكاملة في ضوء النظام السعودي، المجلة الدولية للعلوم المالية والإدارية والاقتصادية، الإصدار 3، ع11، (2024)، ص17.</w:t>
      </w:r>
    </w:p>
  </w:footnote>
  <w:footnote w:id="339">
    <w:p w14:paraId="1C62B47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وائل محمد رفعت إبراهيم علي، الحماية القانونية للتصميمات التخطيطية للدوائر المتكاملة، مجلة العلوم الاقتصادية والإدارية والقانونية، مج2، ع14، (2018)، ص86.</w:t>
      </w:r>
    </w:p>
  </w:footnote>
  <w:footnote w:id="340">
    <w:p w14:paraId="11B1B9A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بشاير سعيد عبد الله الوالي، التنظيم القانوني للأسماء التجارية المشهورة في القانون الإماراتي والقوانين المقارنة، (رسالة ماجستير غير منشورة)، جامعة الشارقة، الإمارات، ص17.</w:t>
      </w:r>
    </w:p>
  </w:footnote>
  <w:footnote w:id="341">
    <w:p w14:paraId="6A2D257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سارة عدلي حسين، حماية الاسم التجاري وفقًا لأحكام القانون المصري، المجلة العلمية للملكية الفكرية وإدارة الابتكار، ع4، (2021)، ص72.</w:t>
      </w:r>
    </w:p>
  </w:footnote>
  <w:footnote w:id="342">
    <w:p w14:paraId="6104587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المادة الأولى والثانية من نظام الأسماء التجارية الصادر بالمرسوم الملكي رقم م/83.</w:t>
      </w:r>
    </w:p>
  </w:footnote>
  <w:footnote w:id="343">
    <w:p w14:paraId="7EC1E90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السادسة والسابعة من نظام من نظام الأسماء التجارية الصادر بالمرسوم الملكي رقم م/83.</w:t>
      </w:r>
    </w:p>
  </w:footnote>
  <w:footnote w:id="344">
    <w:p w14:paraId="7016772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شهد عبد الرحمن الصبحي، مدى وعي طلبة الدراسات العليا بنظام مكافحة الجرائم المعلوماتية في ظل التحول الرقمي ضمن رؤية المملكة 2030 دراسة مسحية لدى طلبة كلية الآداب والعلوم الإنسانية بجامعة الملك عبد العزيز بجدة، المجلة العربية للنشر العلمي، ع40، (2022)، ص777.</w:t>
      </w:r>
    </w:p>
  </w:footnote>
  <w:footnote w:id="345">
    <w:p w14:paraId="28E7094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ع46، (2024)، ص387.</w:t>
      </w:r>
    </w:p>
  </w:footnote>
  <w:footnote w:id="346">
    <w:p w14:paraId="425C0CD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خالد توبي؛ وعمر كحل الراس، أثر العلامة التجارية على إدارة العلاقة مع الزبائن، (رسالة ماجستير غير منشورة)، جامعة ماي قالمة، الجزائر، (2018)، ص3.</w:t>
      </w:r>
    </w:p>
  </w:footnote>
  <w:footnote w:id="347">
    <w:p w14:paraId="6064527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ص1.</w:t>
      </w:r>
    </w:p>
  </w:footnote>
  <w:footnote w:id="348">
    <w:p w14:paraId="03BD77D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ع50، (2021)، ص54.</w:t>
      </w:r>
    </w:p>
  </w:footnote>
  <w:footnote w:id="349">
    <w:p w14:paraId="16AAC18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ع41، الإصدار الثاني، (2025)، ص1643.</w:t>
      </w:r>
    </w:p>
  </w:footnote>
  <w:footnote w:id="350">
    <w:p w14:paraId="2FCE424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عماد بن محمد يوسف جان، مقدمة في الملكية الفكرية وتطورها في المملكة العربية السعودية، مجلة البحوث الإسلامية، ع94، (2022)، ص151.</w:t>
      </w:r>
    </w:p>
  </w:footnote>
  <w:footnote w:id="351">
    <w:p w14:paraId="16D0DA5C"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Toole, A., Miller, R. &amp; Rada, N. (2025). </w:t>
      </w:r>
      <w:r w:rsidRPr="00A663DE">
        <w:rPr>
          <w:rStyle w:val="None"/>
          <w:rFonts w:ascii="Times New Roman" w:hAnsi="Times New Roman" w:cs="Times New Roman"/>
        </w:rPr>
        <w:t xml:space="preserve">Intellectual property and the U.S. economy: Third edition. U.S. Patent and Trademark Office. </w:t>
      </w:r>
      <w:hyperlink r:id="rId18" w:history="1">
        <w:r w:rsidRPr="00A663DE">
          <w:rPr>
            <w:rStyle w:val="Hyperlink4"/>
            <w:rFonts w:eastAsia="Arial Unicode MS"/>
          </w:rPr>
          <w:t>https://www.uspto.gov/sites/default/files/documents/uspto-ip-us-economy-third-edition.pdf</w:t>
        </w:r>
      </w:hyperlink>
      <w:r w:rsidRPr="00A663DE">
        <w:rPr>
          <w:rStyle w:val="None"/>
          <w:rFonts w:ascii="Times New Roman" w:hAnsi="Times New Roman" w:cs="Times New Roman"/>
        </w:rPr>
        <w:t xml:space="preserve"> P. 1.</w:t>
      </w:r>
    </w:p>
  </w:footnote>
  <w:footnote w:id="352">
    <w:p w14:paraId="6555C2FA"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Georgetown Law. (2025). Intellectual Property Law. Retrieved from  </w:t>
      </w:r>
      <w:hyperlink r:id="rId19" w:history="1">
        <w:r w:rsidRPr="00A663DE">
          <w:rPr>
            <w:rStyle w:val="Hyperlink4"/>
            <w:rFonts w:eastAsia="Arial Unicode MS"/>
          </w:rPr>
          <w:t>https://www.law.georgetown.edu/your-life-career/career-exploration-professional-development/for-jd-students/explore-legal-careers/practice-areas/intellectual-property-law/\</w:t>
        </w:r>
      </w:hyperlink>
    </w:p>
  </w:footnote>
  <w:footnote w:id="353">
    <w:p w14:paraId="2625DC9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Sell, S. (2004). Intellectual property and public policy in historical perspective: Contestation and settlement. </w:t>
      </w:r>
      <w:r w:rsidRPr="00A663DE">
        <w:rPr>
          <w:rStyle w:val="None"/>
          <w:rFonts w:ascii="Times New Roman" w:hAnsi="Times New Roman" w:cs="Times New Roman"/>
          <w:i/>
          <w:iCs/>
          <w:color w:val="222222"/>
          <w:u w:color="222222"/>
          <w:shd w:val="clear" w:color="auto" w:fill="FFFFFF"/>
        </w:rPr>
        <w:t>Loy. LAL Rev.</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38</w:t>
      </w:r>
      <w:r w:rsidRPr="00A663DE">
        <w:rPr>
          <w:rStyle w:val="None"/>
          <w:rFonts w:ascii="Times New Roman" w:hAnsi="Times New Roman" w:cs="Times New Roman"/>
          <w:color w:val="222222"/>
          <w:u w:color="222222"/>
          <w:shd w:val="clear" w:color="auto" w:fill="FFFFFF"/>
        </w:rPr>
        <w:t>, 267. P. 60.</w:t>
      </w:r>
    </w:p>
  </w:footnote>
  <w:footnote w:id="354">
    <w:p w14:paraId="158B882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Joyce, C. (2020). Intellectual Property: United States Law. University of Houston Law Center Institute for Intellectual Property &amp; Information Law. P. 2.</w:t>
      </w:r>
    </w:p>
  </w:footnote>
  <w:footnote w:id="355">
    <w:p w14:paraId="24F34C70"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Crestpoint University. (2025). History and Sources of Intellectual Property Law. Law shelf educational media. Retrieved from </w:t>
      </w:r>
      <w:hyperlink r:id="rId20" w:history="1">
        <w:r w:rsidRPr="00A663DE">
          <w:rPr>
            <w:rStyle w:val="Hyperlink4"/>
            <w:rFonts w:eastAsia="Arial Unicode MS"/>
          </w:rPr>
          <w:t>https://www.lawshelf.com/coursewarecontentview/history-and-sources-of-intellectual-property-law</w:t>
        </w:r>
      </w:hyperlink>
    </w:p>
  </w:footnote>
  <w:footnote w:id="356">
    <w:p w14:paraId="24C8195D"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IPLAC. (2025). </w:t>
      </w:r>
      <w:r w:rsidRPr="00A663DE">
        <w:rPr>
          <w:rStyle w:val="None"/>
          <w:rFonts w:ascii="Times New Roman" w:hAnsi="Times New Roman" w:cs="Times New Roman"/>
          <w:i/>
          <w:iCs/>
        </w:rPr>
        <w:t>Intellectual Property Timeline</w:t>
      </w:r>
      <w:r w:rsidRPr="00A663DE">
        <w:rPr>
          <w:rStyle w:val="None"/>
          <w:rFonts w:ascii="Times New Roman" w:hAnsi="Times New Roman" w:cs="Times New Roman"/>
        </w:rPr>
        <w:t xml:space="preserve">. Retrieved from </w:t>
      </w:r>
      <w:hyperlink r:id="rId21" w:history="1">
        <w:r w:rsidRPr="00A663DE">
          <w:rPr>
            <w:rStyle w:val="Hyperlink4"/>
            <w:rFonts w:eastAsia="Arial Unicode MS"/>
          </w:rPr>
          <w:t>https://iplac.org/about/history/intellectual-property-timeline/</w:t>
        </w:r>
      </w:hyperlink>
    </w:p>
  </w:footnote>
  <w:footnote w:id="357">
    <w:p w14:paraId="2B81D2DD"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The Federalist Society. (2025). The Forgotten History of the Intellectual Property Clause. Retrieved from </w:t>
      </w:r>
      <w:hyperlink r:id="rId22" w:history="1">
        <w:r w:rsidRPr="00A663DE">
          <w:rPr>
            <w:rStyle w:val="Hyperlink4"/>
            <w:rFonts w:eastAsia="Arial Unicode MS"/>
          </w:rPr>
          <w:t>https://fedsoc.org/commentary/fedsoc-blog/the-forgotten-history-of-the-intellectual-property-clause</w:t>
        </w:r>
      </w:hyperlink>
    </w:p>
  </w:footnote>
  <w:footnote w:id="358">
    <w:p w14:paraId="2E83261A"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Peng, M. W., Ahlstrom, D., Carraher, S. M., &amp; Shi, W. S. (2017). History and the debate over intellectual property. </w:t>
      </w:r>
      <w:r w:rsidRPr="00A663DE">
        <w:rPr>
          <w:rStyle w:val="None"/>
          <w:rFonts w:ascii="Times New Roman" w:hAnsi="Times New Roman" w:cs="Times New Roman"/>
          <w:i/>
          <w:iCs/>
          <w:color w:val="222222"/>
          <w:u w:color="222222"/>
          <w:shd w:val="clear" w:color="auto" w:fill="FFFFFF"/>
        </w:rPr>
        <w:t>Management and Organization Review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13</w:t>
      </w:r>
      <w:r w:rsidRPr="00A663DE">
        <w:rPr>
          <w:rStyle w:val="None"/>
          <w:rFonts w:ascii="Times New Roman" w:hAnsi="Times New Roman" w:cs="Times New Roman"/>
          <w:color w:val="222222"/>
          <w:u w:color="222222"/>
          <w:shd w:val="clear" w:color="auto" w:fill="FFFFFF"/>
        </w:rPr>
        <w:t>(1), 15-38. P. 20.</w:t>
      </w:r>
    </w:p>
  </w:footnote>
  <w:footnote w:id="359">
    <w:p w14:paraId="785987A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IPO. (2025). Intellectual Property Rights in the USA. Intellectual Property Office. </w:t>
      </w:r>
      <w:hyperlink r:id="rId23" w:history="1">
        <w:r w:rsidRPr="00A663DE">
          <w:rPr>
            <w:rStyle w:val="Hyperlink4"/>
            <w:rFonts w:eastAsia="Arial Unicode MS"/>
          </w:rPr>
          <w:t>https://assets.publishing.service.gov.uk/media/5a80bf68e5274a2e87dbb972/IP_rights_in_USA.pdf</w:t>
        </w:r>
      </w:hyperlink>
      <w:r w:rsidRPr="00A663DE">
        <w:rPr>
          <w:rStyle w:val="None"/>
          <w:rFonts w:ascii="Times New Roman" w:hAnsi="Times New Roman" w:cs="Times New Roman"/>
        </w:rPr>
        <w:t xml:space="preserve">  P. 4</w:t>
      </w:r>
    </w:p>
  </w:footnote>
  <w:footnote w:id="360">
    <w:p w14:paraId="1DB664E5"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Mbah, G. O. (2024). US Intellectual Property Law and Its Impact on Business: Recent Developments and Trends. International Journal of Science and Research Archive, 13, 3279-3280.</w:t>
      </w:r>
    </w:p>
  </w:footnote>
  <w:footnote w:id="361">
    <w:p w14:paraId="79495A7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i/>
          <w:iCs/>
          <w:color w:val="222222"/>
          <w:u w:color="222222"/>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i/>
          <w:iCs/>
          <w:color w:val="222222"/>
          <w:u w:color="222222"/>
          <w:shd w:val="clear" w:color="auto" w:fill="FFFFFF"/>
        </w:rPr>
        <w:t>) Yager, L. (2004). Intellectual Property: US Efforts Have Contributed to Strengthened Laws Overseas, But Challenges Remain: Testimony Before the Committee on Government Reform, House of Representatives. US Government Accountability Office. P. 7.</w:t>
      </w:r>
    </w:p>
  </w:footnote>
  <w:footnote w:id="362">
    <w:p w14:paraId="0E2066B1"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i/>
          <w:iCs/>
          <w:color w:val="222222"/>
          <w:u w:color="222222"/>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i/>
          <w:iCs/>
          <w:color w:val="222222"/>
          <w:u w:color="222222"/>
          <w:shd w:val="clear" w:color="auto" w:fill="FFFFFF"/>
        </w:rPr>
        <w:t xml:space="preserve">) Congress. Gov. (2025). Intellectual Property Law: A Brief Introduction. Retrieved from </w:t>
      </w:r>
      <w:hyperlink r:id="rId24" w:history="1">
        <w:r w:rsidRPr="00A663DE">
          <w:rPr>
            <w:rStyle w:val="Hyperlink5"/>
            <w:rFonts w:eastAsia="Arial Unicode MS"/>
          </w:rPr>
          <w:t>https://www.congress.gov/crs-product/IF10986</w:t>
        </w:r>
      </w:hyperlink>
    </w:p>
  </w:footnote>
  <w:footnote w:id="363">
    <w:p w14:paraId="0C105784" w14:textId="77777777" w:rsidR="000B6E77" w:rsidRPr="00A663DE" w:rsidRDefault="000B6E77">
      <w:pPr>
        <w:pStyle w:val="FootnoteText"/>
        <w:bidi w:val="0"/>
        <w:jc w:val="both"/>
        <w:rPr>
          <w:rFonts w:ascii="Times New Roman" w:hAnsi="Times New Roman" w:cs="Times New Roman"/>
        </w:rPr>
      </w:pPr>
      <w:r w:rsidRPr="00A663DE">
        <w:rPr>
          <w:rStyle w:val="Hyperlink5"/>
          <w:rFonts w:eastAsia="Arial Unicode MS"/>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Hyperlink5"/>
          <w:rFonts w:eastAsia="Arial Unicode MS"/>
        </w:rPr>
        <w:t xml:space="preserve">) HG. (2025). What Is Intellectual Property Law? Retrieved from </w:t>
      </w:r>
      <w:hyperlink r:id="rId25" w:history="1">
        <w:r w:rsidRPr="00A663DE">
          <w:rPr>
            <w:rStyle w:val="Hyperlink5"/>
            <w:rFonts w:eastAsia="Arial Unicode MS"/>
          </w:rPr>
          <w:t>https://www.hg.org/intell.html</w:t>
        </w:r>
      </w:hyperlink>
    </w:p>
  </w:footnote>
  <w:footnote w:id="364">
    <w:p w14:paraId="69FA13CE"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Center for Strategic &amp; International Studies. (2025). </w:t>
      </w:r>
      <w:r w:rsidRPr="00A663DE">
        <w:rPr>
          <w:rStyle w:val="None"/>
          <w:rFonts w:ascii="Times New Roman" w:hAnsi="Times New Roman" w:cs="Times New Roman"/>
          <w:i/>
          <w:iCs/>
        </w:rPr>
        <w:t>Intellectual Property Rights and the Future of U.S. Technological Leadership</w:t>
      </w:r>
      <w:r w:rsidRPr="00A663DE">
        <w:rPr>
          <w:rStyle w:val="None"/>
          <w:rFonts w:ascii="Times New Roman" w:hAnsi="Times New Roman" w:cs="Times New Roman"/>
        </w:rPr>
        <w:t xml:space="preserve">. Retrieved from </w:t>
      </w:r>
      <w:hyperlink r:id="rId26" w:history="1">
        <w:r w:rsidRPr="00A663DE">
          <w:rPr>
            <w:rStyle w:val="Hyperlink4"/>
            <w:rFonts w:eastAsia="Arial Unicode MS"/>
          </w:rPr>
          <w:t>https://www.csis.org/analysis/intellectual-property-rights-and-future-us-technological-leadership</w:t>
        </w:r>
      </w:hyperlink>
    </w:p>
  </w:footnote>
  <w:footnote w:id="365">
    <w:p w14:paraId="39D6B02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 Copyright Office. (2025). United States Intellectual Property Organization Act of 1996 (S. 1961). Retrieved from </w:t>
      </w:r>
      <w:hyperlink r:id="rId27" w:history="1">
        <w:r w:rsidRPr="00A663DE">
          <w:rPr>
            <w:rStyle w:val="Hyperlink4"/>
            <w:rFonts w:eastAsia="Arial Unicode MS"/>
          </w:rPr>
          <w:t>https://www.copyright.gov/docs/ipo.html</w:t>
        </w:r>
      </w:hyperlink>
    </w:p>
  </w:footnote>
  <w:footnote w:id="366">
    <w:p w14:paraId="7C30E511"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 Department Of state. (2025). </w:t>
      </w:r>
      <w:r w:rsidRPr="00A663DE">
        <w:rPr>
          <w:rStyle w:val="None"/>
          <w:rFonts w:ascii="Times New Roman" w:hAnsi="Times New Roman" w:cs="Times New Roman"/>
          <w:i/>
          <w:iCs/>
        </w:rPr>
        <w:t>Intellectual Property Enforcement</w:t>
      </w:r>
      <w:r w:rsidRPr="00A663DE">
        <w:rPr>
          <w:rStyle w:val="None"/>
          <w:rFonts w:ascii="Times New Roman" w:hAnsi="Times New Roman" w:cs="Times New Roman"/>
        </w:rPr>
        <w:t xml:space="preserve">. Retrieved from </w:t>
      </w:r>
      <w:hyperlink r:id="rId28" w:history="1">
        <w:r w:rsidRPr="00A663DE">
          <w:rPr>
            <w:rStyle w:val="Hyperlink4"/>
            <w:rFonts w:eastAsia="Arial Unicode MS"/>
          </w:rPr>
          <w:t>https://www.state.gov/intellectual-property-enforcement</w:t>
        </w:r>
      </w:hyperlink>
    </w:p>
  </w:footnote>
  <w:footnote w:id="367">
    <w:p w14:paraId="7AD0A4A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Michael Dudzik (2022).  “Inventors and the French business environment (1791–1798)”, e-Phaïstos, Revue d’histoire des techniques / Journal of the history of technology, P. 4. </w:t>
      </w:r>
    </w:p>
  </w:footnote>
  <w:footnote w:id="368">
    <w:p w14:paraId="31496EAA"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IPOI. (2025). </w:t>
      </w:r>
      <w:r w:rsidRPr="00A663DE">
        <w:rPr>
          <w:rStyle w:val="None"/>
          <w:rFonts w:ascii="Times New Roman" w:hAnsi="Times New Roman" w:cs="Times New Roman"/>
          <w:i/>
          <w:iCs/>
        </w:rPr>
        <w:t>What is intellectual property?</w:t>
      </w:r>
      <w:r w:rsidRPr="00A663DE">
        <w:rPr>
          <w:rStyle w:val="None"/>
          <w:rFonts w:ascii="Times New Roman" w:hAnsi="Times New Roman" w:cs="Times New Roman"/>
        </w:rPr>
        <w:t xml:space="preserve"> Intellectual Property Office of Ireland, Government Offices, Hebron Road, Kilkenny, Ireland. Retrieved from </w:t>
      </w:r>
      <w:hyperlink r:id="rId29" w:history="1">
        <w:r w:rsidRPr="00A663DE">
          <w:rPr>
            <w:rStyle w:val="Hyperlink4"/>
            <w:rFonts w:eastAsia="Arial Unicode MS"/>
          </w:rPr>
          <w:t>https://www.ipoi.gov.ie/en/commercialise-your-ip/using-ip-to-grow-your-business/what-is-intellectual-property-/</w:t>
        </w:r>
      </w:hyperlink>
    </w:p>
  </w:footnote>
  <w:footnote w:id="369">
    <w:p w14:paraId="69273B0F"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Project MUSE. (2025). A Politics of Intellectual Property. Creating a Patent System in Revolutionary France. </w:t>
      </w:r>
      <w:hyperlink r:id="rId30" w:history="1">
        <w:r w:rsidRPr="00A663DE">
          <w:rPr>
            <w:rStyle w:val="Hyperlink4"/>
            <w:rFonts w:eastAsia="Arial Unicode MS"/>
          </w:rPr>
          <w:t>https://muse.jhu.edu/pub/1/article/777601</w:t>
        </w:r>
      </w:hyperlink>
    </w:p>
  </w:footnote>
  <w:footnote w:id="370">
    <w:p w14:paraId="21119D58"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Galvez-Behar, G. (2019). The patent system during the French industrial revolution: Institutional change and economic effects. </w:t>
      </w:r>
      <w:r w:rsidRPr="00A663DE">
        <w:rPr>
          <w:rStyle w:val="Hyperlink5"/>
          <w:rFonts w:eastAsia="Arial Unicode MS"/>
        </w:rPr>
        <w:t>Jahrbuch für Wirtschaftsgeschichte/Economic History Yearbook</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60</w:t>
      </w:r>
      <w:r w:rsidRPr="00A663DE">
        <w:rPr>
          <w:rStyle w:val="None"/>
          <w:rFonts w:ascii="Times New Roman" w:hAnsi="Times New Roman" w:cs="Times New Roman"/>
          <w:color w:val="222222"/>
          <w:u w:color="222222"/>
          <w:shd w:val="clear" w:color="auto" w:fill="FFFFFF"/>
        </w:rPr>
        <w:t xml:space="preserve">(1), P. 3. </w:t>
      </w:r>
    </w:p>
  </w:footnote>
  <w:footnote w:id="371">
    <w:p w14:paraId="3BCE0C37"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Sunwater Capital. (2025). Adoption of Intellectual Property Laws across the globe: Timeline. Retrieved from </w:t>
      </w:r>
      <w:hyperlink r:id="rId31" w:history="1">
        <w:r w:rsidRPr="00A663DE">
          <w:rPr>
            <w:rStyle w:val="Hyperlink4"/>
            <w:rFonts w:eastAsia="Arial Unicode MS"/>
          </w:rPr>
          <w:t>https://sunwater.org/adoption-of-intellectual-property-laws-across-the-globe-timeline/</w:t>
        </w:r>
      </w:hyperlink>
    </w:p>
  </w:footnote>
  <w:footnote w:id="372">
    <w:p w14:paraId="6AB76C40"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Chang, H. J. (2001). Intellectual Property Rights and Economic Development: historical lessons and emerging issues. Third World Network, Malaysia. PP. 9-10</w:t>
      </w:r>
    </w:p>
  </w:footnote>
  <w:footnote w:id="373">
    <w:p w14:paraId="19C0BE07" w14:textId="77777777" w:rsidR="000B6E77" w:rsidRPr="00A663DE" w:rsidRDefault="000B6E77">
      <w:pPr>
        <w:pStyle w:val="FootnoteText"/>
        <w:bidi w:val="0"/>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AIPPI International. (2025). A Century of Excellence: The French Legacy in Global Intellectual Property. Retrieved from </w:t>
      </w:r>
      <w:hyperlink r:id="rId32" w:history="1">
        <w:r w:rsidRPr="00A663DE">
          <w:rPr>
            <w:rStyle w:val="Hyperlink4"/>
            <w:rFonts w:eastAsia="Arial Unicode MS"/>
          </w:rPr>
          <w:t>https://www.aippi.org/news/a-century-of-excellence-the-french-legacy-in-global-intellectual-property/</w:t>
        </w:r>
      </w:hyperlink>
    </w:p>
  </w:footnote>
  <w:footnote w:id="374">
    <w:p w14:paraId="1246BFCE"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Liemer, S. P. (2011). On the origins of Le Droit moral: how non-economic rights came to be protected in French IP law. </w:t>
      </w:r>
      <w:r w:rsidRPr="00A663DE">
        <w:rPr>
          <w:rStyle w:val="Hyperlink5"/>
          <w:rFonts w:eastAsia="Arial Unicode MS"/>
        </w:rPr>
        <w:t>J. Intell. Prop. L.</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19</w:t>
      </w:r>
      <w:r w:rsidRPr="00A663DE">
        <w:rPr>
          <w:rStyle w:val="None"/>
          <w:rFonts w:ascii="Times New Roman" w:hAnsi="Times New Roman" w:cs="Times New Roman"/>
          <w:color w:val="222222"/>
          <w:u w:color="222222"/>
          <w:shd w:val="clear" w:color="auto" w:fill="FFFFFF"/>
        </w:rPr>
        <w:t>:65, PP. 69-70.</w:t>
      </w:r>
    </w:p>
  </w:footnote>
  <w:footnote w:id="375">
    <w:p w14:paraId="3F38EA3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Lemercier,</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L., Blanchet, T. &amp; Dundon, C. (2021). </w:t>
      </w:r>
      <w:r w:rsidRPr="00A663DE">
        <w:rPr>
          <w:rStyle w:val="None"/>
          <w:rFonts w:ascii="Times New Roman" w:hAnsi="Times New Roman" w:cs="Times New Roman"/>
          <w:i/>
          <w:iCs/>
        </w:rPr>
        <w:t>Private Acquisitions: Intellectual Property Issues (France)</w:t>
      </w:r>
      <w:r w:rsidRPr="00A663DE">
        <w:rPr>
          <w:rStyle w:val="None"/>
          <w:rFonts w:ascii="Times New Roman" w:hAnsi="Times New Roman" w:cs="Times New Roman"/>
        </w:rPr>
        <w:t>. Practical Law. Thomson Reuters. PP. 1-2.</w:t>
      </w:r>
    </w:p>
  </w:footnote>
  <w:footnote w:id="376">
    <w:p w14:paraId="057E62E1"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Laurence R. Hefter </w:t>
      </w:r>
      <w:r w:rsidRPr="00A663DE">
        <w:rPr>
          <w:rStyle w:val="None"/>
          <w:rFonts w:ascii="Times New Roman" w:hAnsi="Times New Roman" w:cs="Times New Roman"/>
          <w:sz w:val="24"/>
          <w:szCs w:val="24"/>
          <w:rtl/>
          <w:lang w:val="ar-SA"/>
        </w:rPr>
        <w:t>&amp;</w:t>
      </w:r>
      <w:r w:rsidRPr="00A663DE">
        <w:rPr>
          <w:rStyle w:val="None"/>
          <w:rFonts w:ascii="Times New Roman" w:hAnsi="Times New Roman" w:cs="Times New Roman"/>
        </w:rPr>
        <w:t xml:space="preserve"> Robert D. Litowitz. (2025). PROTECTING INTELLECTUAL PROPERTY. Retrieved from </w:t>
      </w:r>
      <w:hyperlink r:id="rId33" w:history="1">
        <w:r w:rsidRPr="00A663DE">
          <w:rPr>
            <w:rStyle w:val="Hyperlink0"/>
            <w:rFonts w:eastAsia="Arial Unicode MS"/>
          </w:rPr>
          <w:t>https://usinfo.org/trade/bg9515e.htm</w:t>
        </w:r>
      </w:hyperlink>
    </w:p>
  </w:footnote>
  <w:footnote w:id="377">
    <w:p w14:paraId="5CA400DE"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National University. (2025). INTELLECTUAL PROPERTY OBJECTS PROTECTION IN FRANCE. Retrieved from </w:t>
      </w:r>
      <w:hyperlink r:id="rId34" w:history="1">
        <w:r w:rsidRPr="00A663DE">
          <w:rPr>
            <w:rStyle w:val="Hyperlink4"/>
            <w:rFonts w:eastAsia="Arial Unicode MS"/>
          </w:rPr>
          <w:t>https://reposit.nupp.edu.ua/bitstream/PoltNTU/12441/1/75%20%D0%A2.1-441-442.pdf</w:t>
        </w:r>
      </w:hyperlink>
    </w:p>
  </w:footnote>
  <w:footnote w:id="378">
    <w:p w14:paraId="1AC22828"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Licensing Executives Society. (2025). IP-Related Aspects Of The French Law On Modernization Of The Economy. Retrieved from </w:t>
      </w:r>
      <w:hyperlink r:id="rId35" w:history="1">
        <w:r w:rsidRPr="00A663DE">
          <w:rPr>
            <w:rStyle w:val="Hyperlink4"/>
            <w:rFonts w:eastAsia="Arial Unicode MS"/>
          </w:rPr>
          <w:t>https://lesi.org/ip-related-aspects-of-the-french-law-on-modernization-of-the-economy/</w:t>
        </w:r>
      </w:hyperlink>
    </w:p>
  </w:footnote>
  <w:footnote w:id="379">
    <w:p w14:paraId="258B4267"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Dreyfus. (2025). </w:t>
      </w:r>
      <w:r w:rsidRPr="00A663DE">
        <w:rPr>
          <w:rStyle w:val="None"/>
          <w:rFonts w:ascii="Times New Roman" w:hAnsi="Times New Roman" w:cs="Times New Roman"/>
          <w:i/>
          <w:iCs/>
        </w:rPr>
        <w:t>The French Intellectual Property Legal Framework: A Comprehensive Overview</w:t>
      </w:r>
      <w:r w:rsidRPr="00A663DE">
        <w:rPr>
          <w:rStyle w:val="None"/>
          <w:rFonts w:ascii="Times New Roman" w:hAnsi="Times New Roman" w:cs="Times New Roman"/>
        </w:rPr>
        <w:t xml:space="preserve">. Retrieved from </w:t>
      </w:r>
      <w:hyperlink r:id="rId36" w:history="1">
        <w:r w:rsidRPr="00A663DE">
          <w:rPr>
            <w:rStyle w:val="Hyperlink4"/>
            <w:rFonts w:eastAsia="Arial Unicode MS"/>
          </w:rPr>
          <w:t>https://www.dreyfus.fr/en/2024/10/21/frances-ip-legislation-mastering-trademarks-in-a-global-playground/</w:t>
        </w:r>
      </w:hyperlink>
    </w:p>
  </w:footnote>
  <w:footnote w:id="380">
    <w:p w14:paraId="6A7F21E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حسين منصور، النظرية العامة للالتزام، مصر: دار الجامعة الجديدة، (2005)، ص371.</w:t>
      </w:r>
    </w:p>
  </w:footnote>
  <w:footnote w:id="381">
    <w:p w14:paraId="2A44E63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ص373.</w:t>
      </w:r>
    </w:p>
  </w:footnote>
  <w:footnote w:id="382">
    <w:p w14:paraId="3040045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(2020)، ص52.</w:t>
      </w:r>
    </w:p>
  </w:footnote>
  <w:footnote w:id="383">
    <w:p w14:paraId="22F3B1A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حسين منصور، مرجع سابق، ص382.</w:t>
      </w:r>
    </w:p>
  </w:footnote>
  <w:footnote w:id="384">
    <w:p w14:paraId="79F3666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ص386.</w:t>
      </w:r>
    </w:p>
  </w:footnote>
  <w:footnote w:id="385">
    <w:p w14:paraId="09AB63B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مصادر الالتزام المدني، مصر: دار النهضة العربية، ط1، (2002)، ص247.</w:t>
      </w:r>
    </w:p>
  </w:footnote>
  <w:footnote w:id="386">
    <w:p w14:paraId="0F1E350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مرجع سابق، ص53.</w:t>
      </w:r>
    </w:p>
  </w:footnote>
  <w:footnote w:id="387">
    <w:p w14:paraId="14E558E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سمير عبد السيد تناغو، مصادر الإلتزام، مصر: مكتبة الوفاء القانونية، ط1، (2009)، ص169.</w:t>
      </w:r>
    </w:p>
  </w:footnote>
  <w:footnote w:id="388">
    <w:p w14:paraId="3D90B6C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مرجع سابق، ص251.</w:t>
      </w:r>
    </w:p>
  </w:footnote>
  <w:footnote w:id="389">
    <w:p w14:paraId="73C13C8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مرجع سابق، ص54.</w:t>
      </w:r>
    </w:p>
  </w:footnote>
  <w:footnote w:id="390">
    <w:p w14:paraId="573CA68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مرجع سابق، ص255.</w:t>
      </w:r>
    </w:p>
  </w:footnote>
  <w:footnote w:id="391">
    <w:p w14:paraId="4CCDFAB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ص57.</w:t>
      </w:r>
    </w:p>
  </w:footnote>
  <w:footnote w:id="392">
    <w:p w14:paraId="151703C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إيمان نصر ذكي السيد، التعويض المستحق للمؤلف عن الاعتداء على مصنفه الإلكتروني، المجلة القانونية الاقتصادية، ع48، (2025)، ص123.</w:t>
      </w:r>
    </w:p>
  </w:footnote>
  <w:footnote w:id="393">
    <w:p w14:paraId="2EF810C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جاسم محمد سعيد النقبي، دعوى التعويض عن القرارات الإدارية غير المشروعة، بحث نشر بجامعة الشارقة، (2021)، ص9.</w:t>
      </w:r>
    </w:p>
  </w:footnote>
  <w:footnote w:id="394">
    <w:p w14:paraId="7DA974D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نضال عطا بدوي الدويك، التعويض عن الأضرار المادية المستقبلية الناجمة عن الإصابات الجسدية، رسالة ماجستير غير منشورة، جامعة الشرق الأوسط، الأردن، (2016)، ص28.</w:t>
      </w:r>
    </w:p>
  </w:footnote>
  <w:footnote w:id="395">
    <w:p w14:paraId="68F368C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إيمان نصر ذكي السيد، التعويض المستحق للمؤلف عن الاعتداء على مصنفه الإلكتروني، مرجع سابق، ص135.</w:t>
      </w:r>
    </w:p>
  </w:footnote>
  <w:footnote w:id="396">
    <w:p w14:paraId="5D07F8C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ص282.</w:t>
      </w:r>
    </w:p>
  </w:footnote>
  <w:footnote w:id="397">
    <w:p w14:paraId="15DEE91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(119) من نظام المعاملات المدنية، مرسوم ملكي رقم (م/191) وتاريخ 29/11/1444هـ.</w:t>
      </w:r>
    </w:p>
  </w:footnote>
  <w:footnote w:id="398">
    <w:p w14:paraId="23A1F80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(22) من نظام حماية حقوق المؤلف، الصادر بالمرسوم الملكي رقم م/41 بتاريخ 2 رجب 1424هـ، المعدل بقرار مجلس الوزراء رقم 536 وتاريخ 19/10/1439هـ.</w:t>
      </w:r>
    </w:p>
  </w:footnote>
  <w:footnote w:id="399">
    <w:p w14:paraId="17B5972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(45) من اتفاقية الجوانب المتصلة بالتجارة من حقوق الملكية الفكرية والمعرفة باسم تريبس.</w:t>
      </w:r>
    </w:p>
  </w:footnote>
  <w:footnote w:id="400">
    <w:p w14:paraId="2C74DF9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رسالة ماجستير غير منشورة، مجلة جامعة الملك عبد العزيز: الآداب والعلوم الإنسانية، م29، ع4، (2021)، ص505.</w:t>
      </w:r>
    </w:p>
  </w:footnote>
  <w:footnote w:id="401">
    <w:p w14:paraId="1AB208E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ومبروك لمشونشي، نطاق الملكية الفكرية في البيئة الرقمية، مجلة العلوم الإنسانية لجامعة أم البواقي، مج9، ع3، (2022)، ص1281.</w:t>
      </w:r>
    </w:p>
  </w:footnote>
  <w:footnote w:id="402">
    <w:p w14:paraId="3B0B90F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الأردن: دار اليازوري العلمية للنشر والتوزيع، (2019)، ص278.</w:t>
      </w:r>
    </w:p>
  </w:footnote>
  <w:footnote w:id="403">
    <w:p w14:paraId="45C4CC1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(10) من نظام حماية حقوق المؤلف، الصادر بالمرسوم الملكي رقم م/41 بتاريخ 2 رجب 1424هـ، المعدل بقرار مجلس الوزراء رقم 536 وتاريخ 19/10/1439هـ.</w:t>
      </w:r>
    </w:p>
  </w:footnote>
  <w:footnote w:id="404">
    <w:p w14:paraId="29D653F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(29)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05">
    <w:p w14:paraId="1E5FFAC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(6 ثانيًا) من اتفاقية برن لحماية المصنفات الأدبية والفنية، وثيقة باريس المؤرخة 24 يوليو/ تموز 1971 والمعدلة في 28 سبتمبر/ أيلول 1979.</w:t>
      </w:r>
    </w:p>
  </w:footnote>
  <w:footnote w:id="406">
    <w:p w14:paraId="632397A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عبد اللاه عبد الحميد عبد الرحيم المراغي، المسؤولية الجنائية لمقدمي خدمات الإنترنت، مجلة حقوق حلوان للدراسات القانونية والاقتصادية، مج42، ع42، 2020، ص108.</w:t>
      </w:r>
    </w:p>
  </w:footnote>
  <w:footnote w:id="407">
    <w:p w14:paraId="677DBDD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أنظر: 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ع42، 2010، ص42.</w:t>
      </w:r>
    </w:p>
  </w:footnote>
  <w:footnote w:id="408">
    <w:p w14:paraId="5DE857E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بن عزة محمد حمزة، المسئولية القانونية لمتعاملي الإنترنت دراسة مقارنة، (رسالة دكتوراه غير منشورة)، جامعة جيلالي ليابس، الجزائر، 2019، ص136.</w:t>
      </w:r>
    </w:p>
  </w:footnote>
  <w:footnote w:id="409">
    <w:p w14:paraId="3580928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الأولى من نظام الاتصالات وتقنية المعلومات الصادر بالمرسوم الملكي رقم م/106 بتاريخ 2/11/1443هـ.</w:t>
      </w:r>
    </w:p>
  </w:footnote>
  <w:footnote w:id="410">
    <w:p w14:paraId="20832B6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مج4، ع2، 2020، ص166.</w:t>
      </w:r>
    </w:p>
  </w:footnote>
  <w:footnote w:id="411">
    <w:p w14:paraId="6325C64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صابرين حناش، المسؤولية الجنائية لمزودي خدمة الإنترنت، (رسالة ماجستير غير منشورة)، جامعة أكلي محند أولحاج، الجزائر، 2023، ص38.</w:t>
      </w:r>
    </w:p>
  </w:footnote>
  <w:footnote w:id="412">
    <w:p w14:paraId="3B341E7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ميسر طارق يوسف جرار، المسؤولية المدنية لمزودي خدمة الإنترنت، (رسالة ماجستير غير منشورة)، جامعة النجاح الوطنية، فلسطين، 2023، ص72. / أنظر: عبد الفتاح محمود كيلاني، مدى المسئولية القانونية لمقدمي خدمة الإنترنت، ص482.</w:t>
      </w:r>
    </w:p>
  </w:footnote>
  <w:footnote w:id="413">
    <w:p w14:paraId="59813CB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خضراوي الهادي؛ ايمان بو ناصر، الإطار القانوني للمسؤولية المدنية لمزودي الخدمة المعلوماتية دراسة مقارنة، مجلة البحوث القانونية والسياسية، ع7، 2016، ص401.</w:t>
      </w:r>
    </w:p>
  </w:footnote>
  <w:footnote w:id="414">
    <w:p w14:paraId="4E039DB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صوفيا بومنينة، النشر الإلكتروني والحقوق الرقمية، مجلة الفقه والقانون، ع52، (2017)، ص34.</w:t>
      </w:r>
    </w:p>
  </w:footnote>
  <w:footnote w:id="415">
    <w:p w14:paraId="7BC534E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للهيئة السعودية للملكية الفكرية، تم الدخول على الموقع بتاريخ 18/8/2025 من خلال الرابط التالي: </w:t>
      </w:r>
      <w:hyperlink r:id="rId37" w:history="1">
        <w:r w:rsidRPr="00A663DE">
          <w:rPr>
            <w:rStyle w:val="Hyperlink0"/>
            <w:rFonts w:eastAsia="Arial Unicode MS"/>
          </w:rPr>
          <w:t>https://www.saip.gov.sa/about/brief</w:t>
        </w:r>
        <w:r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w:t>
      </w:r>
    </w:p>
  </w:footnote>
  <w:footnote w:id="416">
    <w:p w14:paraId="578BD5E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رسالة ماجستير غير منشورة، مرجع سابق، ص512.</w:t>
      </w:r>
    </w:p>
  </w:footnote>
  <w:footnote w:id="417">
    <w:p w14:paraId="2A99606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(26)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18">
    <w:p w14:paraId="5914EBD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الدين رجب فتح الباب، أثر استخدام تقنيات الذكاء الاصطناعي على النظام العام، الفكر الشرطي، مج33، ع131، (2024)، ص99.</w:t>
      </w:r>
    </w:p>
  </w:footnote>
  <w:footnote w:id="419">
    <w:p w14:paraId="12A8AAC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(8/1)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20">
    <w:p w14:paraId="6BACE1BE"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Kharchenko, O., Kronda, O., Kryvosheyina, I., &amp; Zerov, K. (2021). Protection of intellectual property rights on the Internet: New challenges. </w:t>
      </w:r>
      <w:r w:rsidRPr="00A663DE">
        <w:rPr>
          <w:rStyle w:val="Hyperlink5"/>
          <w:rFonts w:eastAsia="Arial Unicode MS"/>
        </w:rPr>
        <w:t>Amazonia Investiga</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10</w:t>
      </w:r>
      <w:r w:rsidRPr="00A663DE">
        <w:rPr>
          <w:rStyle w:val="None"/>
          <w:rFonts w:ascii="Times New Roman" w:hAnsi="Times New Roman" w:cs="Times New Roman"/>
          <w:color w:val="222222"/>
          <w:u w:color="222222"/>
          <w:shd w:val="clear" w:color="auto" w:fill="FFFFFF"/>
        </w:rPr>
        <w:t>(41), 224-236. P. 225.</w:t>
      </w:r>
    </w:p>
  </w:footnote>
  <w:footnote w:id="421">
    <w:p w14:paraId="625D387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Thuy, L. T. B. (2020). PROTECTION OF COPYRIGHT IN THE DIGITAL ENVIRONMENT IN VIET NAM. WIPO-WTO Colloquium Papers, 2020, Special Edition. P. 223</w:t>
      </w:r>
    </w:p>
  </w:footnote>
  <w:footnote w:id="422">
    <w:p w14:paraId="2D4C5CF0"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Atanasova, I. (2019). Copyright infringement in digital environment. </w:t>
      </w:r>
      <w:r w:rsidRPr="00A663DE">
        <w:rPr>
          <w:rStyle w:val="None"/>
          <w:rFonts w:ascii="Times New Roman" w:hAnsi="Times New Roman" w:cs="Times New Roman"/>
          <w:i/>
          <w:iCs/>
          <w:color w:val="222222"/>
          <w:u w:color="222222"/>
          <w:shd w:val="clear" w:color="auto" w:fill="FFFFFF"/>
        </w:rPr>
        <w:t>Economics &amp;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(1), 13-22.</w:t>
      </w:r>
      <w:r w:rsidRPr="00A663DE">
        <w:rPr>
          <w:rStyle w:val="None"/>
          <w:rFonts w:ascii="Times New Roman" w:hAnsi="Times New Roman" w:cs="Times New Roman"/>
          <w:color w:val="222222"/>
          <w:sz w:val="24"/>
          <w:szCs w:val="24"/>
          <w:u w:color="222222"/>
          <w:shd w:val="clear" w:color="auto" w:fill="FFFFFF"/>
          <w:rtl/>
          <w:lang w:val="ar-SA"/>
        </w:rPr>
        <w:t xml:space="preserve"> </w:t>
      </w:r>
      <w:r w:rsidRPr="00A663DE">
        <w:rPr>
          <w:rStyle w:val="None"/>
          <w:rFonts w:ascii="Times New Roman" w:hAnsi="Times New Roman" w:cs="Times New Roman"/>
          <w:color w:val="222222"/>
          <w:u w:color="222222"/>
          <w:shd w:val="clear" w:color="auto" w:fill="FFFFFF"/>
        </w:rPr>
        <w:t xml:space="preserve"> P. 17.</w:t>
      </w:r>
    </w:p>
  </w:footnote>
  <w:footnote w:id="423">
    <w:p w14:paraId="65963B00"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Nicolas Bronzo. Remedies for Intellectual property rights infringement in France and Europe: have we gone too far? Second Property Remedies Discussion Forum Aix-en-Provence, Russel L. Weaver; François Lichere, Jun 2014, Aix-en -Provence, France.</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 P. 4.</w:t>
      </w:r>
    </w:p>
  </w:footnote>
  <w:footnote w:id="424">
    <w:p w14:paraId="4F626AB5"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Danis, 2022. </w:t>
      </w:r>
      <w:r w:rsidRPr="00A663DE">
        <w:rPr>
          <w:rStyle w:val="None"/>
          <w:rFonts w:ascii="Times New Roman" w:hAnsi="Times New Roman" w:cs="Times New Roman"/>
          <w:i/>
          <w:iCs/>
        </w:rPr>
        <w:t>Trade secrets better protected by French law and by the courts</w:t>
      </w:r>
      <w:r w:rsidRPr="00A663DE">
        <w:rPr>
          <w:rStyle w:val="None"/>
          <w:rFonts w:ascii="Times New Roman" w:hAnsi="Times New Roman" w:cs="Times New Roman"/>
        </w:rPr>
        <w:t xml:space="preserve">. </w:t>
      </w:r>
      <w:hyperlink r:id="rId38" w:history="1">
        <w:r w:rsidRPr="00A663DE">
          <w:rPr>
            <w:rStyle w:val="Hyperlink4"/>
            <w:rFonts w:eastAsia="Arial Unicode MS"/>
          </w:rPr>
          <w:t>https://www.august-debouzy.com/en/blog/1258-trade-secrets-better-protected-by-french-law-and-by-the-courts</w:t>
        </w:r>
      </w:hyperlink>
    </w:p>
  </w:footnote>
  <w:footnote w:id="425">
    <w:p w14:paraId="0DA47753"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legifrance.gouv. (2025). </w:t>
      </w:r>
      <w:r w:rsidRPr="00A663DE">
        <w:rPr>
          <w:rStyle w:val="None"/>
          <w:rFonts w:ascii="Times New Roman" w:hAnsi="Times New Roman" w:cs="Times New Roman"/>
          <w:i/>
          <w:iCs/>
          <w:lang w:val="it-IT"/>
        </w:rPr>
        <w:t>Code de la propriété intellectuelle</w:t>
      </w:r>
      <w:r w:rsidRPr="00A663DE">
        <w:rPr>
          <w:rStyle w:val="None"/>
          <w:rFonts w:ascii="Times New Roman" w:hAnsi="Times New Roman" w:cs="Times New Roman"/>
          <w:lang w:val="it-IT"/>
        </w:rPr>
        <w:t xml:space="preserve">. </w:t>
      </w:r>
      <w:r w:rsidRPr="00A663DE">
        <w:rPr>
          <w:rStyle w:val="None"/>
          <w:rFonts w:ascii="Times New Roman" w:hAnsi="Times New Roman" w:cs="Times New Roman"/>
        </w:rPr>
        <w:t xml:space="preserve">Retrieved from </w:t>
      </w:r>
      <w:hyperlink r:id="rId39" w:history="1">
        <w:r w:rsidRPr="00A663DE">
          <w:rPr>
            <w:rStyle w:val="Hyperlink4"/>
            <w:rFonts w:eastAsia="Arial Unicode MS"/>
          </w:rPr>
          <w:t>https://www.legifrance.gouv.fr/codes/article_lc/LEGIARTI000006278958</w:t>
        </w:r>
      </w:hyperlink>
    </w:p>
  </w:footnote>
  <w:footnote w:id="426">
    <w:p w14:paraId="79826F4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Justice.Pappers. (2025). Article L331-1-3 du Code de la propriété intellectuelle. </w:t>
      </w:r>
      <w:r w:rsidRPr="00A663DE">
        <w:rPr>
          <w:rStyle w:val="None"/>
          <w:rFonts w:ascii="Times New Roman" w:hAnsi="Times New Roman" w:cs="Times New Roman"/>
        </w:rPr>
        <w:t xml:space="preserve">Retrieved from </w:t>
      </w:r>
      <w:hyperlink r:id="rId40" w:history="1">
        <w:r w:rsidRPr="00A663DE">
          <w:rPr>
            <w:rStyle w:val="Hyperlink4"/>
            <w:rFonts w:eastAsia="Arial Unicode MS"/>
          </w:rPr>
          <w:t>https://justice.pappers.fr/loi/LEGITEXT000006069414/article/LEGIARTI000028716676?utm_source</w:t>
        </w:r>
      </w:hyperlink>
    </w:p>
  </w:footnote>
  <w:footnote w:id="427">
    <w:p w14:paraId="1BF33B74"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Dalloz.fr. (2025). Code de la propriété intellectuelle. </w:t>
      </w:r>
      <w:r w:rsidRPr="00A663DE">
        <w:rPr>
          <w:rStyle w:val="None"/>
          <w:rFonts w:ascii="Times New Roman" w:hAnsi="Times New Roman" w:cs="Times New Roman"/>
        </w:rPr>
        <w:t xml:space="preserve">Retrieved from </w:t>
      </w:r>
      <w:hyperlink r:id="rId41" w:history="1">
        <w:r w:rsidRPr="00A663DE">
          <w:rPr>
            <w:rStyle w:val="Hyperlink4"/>
            <w:rFonts w:eastAsia="Arial Unicode MS"/>
          </w:rPr>
          <w:t>https://www.dalloz.fr/documentation/Document?id=CODE_CPPI_ARTI_L331-1-3&amp;scrll=CPPI008882&amp;FromId=CODES_SECS_CPPI_TALPHA</w:t>
        </w:r>
      </w:hyperlink>
    </w:p>
  </w:footnote>
  <w:footnote w:id="428">
    <w:p w14:paraId="5D3C8A0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testu-avocat. (2025). La méthode de calcul des dommages et intérêts au titre de la contrefaçon de droits d’auteur. </w:t>
      </w:r>
      <w:r w:rsidRPr="00A663DE">
        <w:rPr>
          <w:rStyle w:val="None"/>
          <w:rFonts w:ascii="Times New Roman" w:hAnsi="Times New Roman" w:cs="Times New Roman"/>
        </w:rPr>
        <w:t xml:space="preserve">Retrieved from </w:t>
      </w:r>
      <w:hyperlink r:id="rId42" w:history="1">
        <w:r w:rsidRPr="00A663DE">
          <w:rPr>
            <w:rStyle w:val="Hyperlink4"/>
            <w:rFonts w:eastAsia="Arial Unicode MS"/>
          </w:rPr>
          <w:t>https://www.testu-avocat.fr/droit-auteur-avocat-bordeaux/les-sanctions-de-l-atteinte-aux-droits-d-auteur</w:t>
        </w:r>
      </w:hyperlink>
    </w:p>
  </w:footnote>
  <w:footnote w:id="429">
    <w:p w14:paraId="768769C1"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Legifrance. (2025). Code de la propriété intellectuelle. </w:t>
      </w:r>
      <w:r w:rsidRPr="00A663DE">
        <w:rPr>
          <w:rStyle w:val="None"/>
          <w:rFonts w:ascii="Times New Roman" w:hAnsi="Times New Roman" w:cs="Times New Roman"/>
        </w:rPr>
        <w:t xml:space="preserve">Retrieved from </w:t>
      </w:r>
      <w:hyperlink r:id="rId43" w:history="1">
        <w:r w:rsidRPr="00A663DE">
          <w:rPr>
            <w:rStyle w:val="Hyperlink4"/>
            <w:rFonts w:eastAsia="Arial Unicode MS"/>
          </w:rPr>
          <w:t>https://www.legifrance.gouv.fr/codes/article_lc/LEGIARTI000032655082</w:t>
        </w:r>
      </w:hyperlink>
    </w:p>
  </w:footnote>
  <w:footnote w:id="430">
    <w:p w14:paraId="43F11B0E"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Legifrance. (2025). Article L716-14. Retrieved from </w:t>
      </w:r>
      <w:hyperlink r:id="rId44" w:history="1">
        <w:r w:rsidRPr="00A663DE">
          <w:rPr>
            <w:rStyle w:val="Hyperlink4"/>
            <w:rFonts w:eastAsia="Arial Unicode MS"/>
          </w:rPr>
          <w:t>https://www.legifrance.gouv.fr/codes/article_lc/LEGIARTI000028716663/2016-06-05</w:t>
        </w:r>
      </w:hyperlink>
    </w:p>
  </w:footnote>
  <w:footnote w:id="431">
    <w:p w14:paraId="13A7D15D"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United States Code, 2023. </w:t>
      </w:r>
      <w:r w:rsidRPr="00A663DE">
        <w:rPr>
          <w:rStyle w:val="None"/>
          <w:rFonts w:ascii="Times New Roman" w:hAnsi="Times New Roman" w:cs="Times New Roman"/>
          <w:i/>
          <w:iCs/>
        </w:rPr>
        <w:t>504. Remedies for infringement: Damages and profits</w:t>
      </w:r>
      <w:r w:rsidRPr="00A663DE">
        <w:rPr>
          <w:rStyle w:val="None"/>
          <w:rFonts w:ascii="Times New Roman" w:hAnsi="Times New Roman" w:cs="Times New Roman"/>
        </w:rPr>
        <w:t xml:space="preserve">. Retrieved from </w:t>
      </w:r>
      <w:hyperlink r:id="rId45" w:history="1">
        <w:r w:rsidRPr="00A663DE">
          <w:rPr>
            <w:rStyle w:val="Hyperlink4"/>
            <w:rFonts w:eastAsia="Arial Unicode MS"/>
          </w:rPr>
          <w:t>https://www.govinfo.gov/content/pkg/USCODE-2023-title17/html/USCODE-2023-title17-chap5-sec504.htm?utm_source</w:t>
        </w:r>
      </w:hyperlink>
    </w:p>
  </w:footnote>
  <w:footnote w:id="432">
    <w:p w14:paraId="28179821"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LII. (2025). </w:t>
      </w:r>
      <w:r w:rsidRPr="00A663DE">
        <w:rPr>
          <w:rStyle w:val="None"/>
          <w:rFonts w:ascii="Times New Roman" w:hAnsi="Times New Roman" w:cs="Times New Roman"/>
          <w:i/>
          <w:iCs/>
        </w:rPr>
        <w:t>17 U.S. Code § 504 - Remedies for infringement: Damages and profits</w:t>
      </w:r>
      <w:r w:rsidRPr="00A663DE">
        <w:rPr>
          <w:rStyle w:val="None"/>
          <w:rFonts w:ascii="Times New Roman" w:hAnsi="Times New Roman" w:cs="Times New Roman"/>
        </w:rPr>
        <w:t xml:space="preserve">. Retrieved from </w:t>
      </w:r>
      <w:hyperlink r:id="rId46" w:history="1">
        <w:r w:rsidRPr="00A663DE">
          <w:rPr>
            <w:rStyle w:val="Hyperlink4"/>
            <w:rFonts w:eastAsia="Arial Unicode MS"/>
          </w:rPr>
          <w:t>https://www.law.cornell.edu/uscode/text/17/504?utm_source</w:t>
        </w:r>
      </w:hyperlink>
    </w:p>
  </w:footnote>
  <w:footnote w:id="433">
    <w:p w14:paraId="2C33FE6F"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Copyright Alliance. (2025). </w:t>
      </w:r>
      <w:r w:rsidRPr="00A663DE">
        <w:rPr>
          <w:rStyle w:val="None"/>
          <w:rFonts w:ascii="Times New Roman" w:hAnsi="Times New Roman" w:cs="Times New Roman"/>
          <w:i/>
          <w:iCs/>
        </w:rPr>
        <w:t>Copyright Statutory Damages.</w:t>
      </w:r>
      <w:r w:rsidRPr="00A663DE">
        <w:rPr>
          <w:rStyle w:val="None"/>
          <w:rFonts w:ascii="Times New Roman" w:hAnsi="Times New Roman" w:cs="Times New Roman"/>
        </w:rPr>
        <w:t xml:space="preserve"> Retrieved from </w:t>
      </w:r>
      <w:hyperlink r:id="rId47" w:history="1">
        <w:r w:rsidRPr="00A663DE">
          <w:rPr>
            <w:rStyle w:val="Hyperlink4"/>
            <w:rFonts w:eastAsia="Arial Unicode MS"/>
          </w:rPr>
          <w:t>https://copyrightalliance.org/education/copyright-law-explained/copyright-infringement/copyright-statutory-damages/?utm_source</w:t>
        </w:r>
      </w:hyperlink>
    </w:p>
  </w:footnote>
  <w:footnote w:id="434">
    <w:p w14:paraId="61B4B6FF"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The George Mason Law Review. (2023). The Future of Criminal Enforcement of Copyright: The Promise of Civil Enforcement. Retrieved from </w:t>
      </w:r>
      <w:hyperlink r:id="rId48" w:history="1">
        <w:r w:rsidRPr="00A663DE">
          <w:rPr>
            <w:rStyle w:val="Hyperlink4"/>
            <w:rFonts w:eastAsia="Arial Unicode MS"/>
          </w:rPr>
          <w:t>https://lawreview.gmu.edu/print__issues/the-future-of-criminal-enforcement-of-copyright-the-promise-of-civil-enforcement/?utm_source</w:t>
        </w:r>
      </w:hyperlink>
      <w:r w:rsidRPr="00A663DE">
        <w:rPr>
          <w:rStyle w:val="None"/>
          <w:rFonts w:ascii="Times New Roman" w:hAnsi="Times New Roman" w:cs="Times New Roman"/>
        </w:rPr>
        <w:t xml:space="preserve"> </w:t>
      </w:r>
    </w:p>
  </w:footnote>
  <w:footnote w:id="435">
    <w:p w14:paraId="6CDD4A3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Wired. (2025). </w:t>
      </w:r>
      <w:r w:rsidRPr="00A663DE">
        <w:rPr>
          <w:rStyle w:val="None"/>
          <w:rFonts w:ascii="Times New Roman" w:hAnsi="Times New Roman" w:cs="Times New Roman"/>
          <w:i/>
          <w:iCs/>
        </w:rPr>
        <w:t>Industry 1, Academics 0: Clinton Signs Copyright Bill</w:t>
      </w:r>
      <w:r w:rsidRPr="00A663DE">
        <w:rPr>
          <w:rStyle w:val="None"/>
          <w:rFonts w:ascii="Times New Roman" w:hAnsi="Times New Roman" w:cs="Times New Roman"/>
        </w:rPr>
        <w:t xml:space="preserve">. Retrieved from </w:t>
      </w:r>
      <w:hyperlink r:id="rId49" w:history="1">
        <w:r w:rsidRPr="00A663DE">
          <w:rPr>
            <w:rStyle w:val="Hyperlink4"/>
            <w:rFonts w:eastAsia="Arial Unicode MS"/>
          </w:rPr>
          <w:t>https://www.wired.com/1997/12/industry-1-academics-0-clinton-signs-copyright-bill/?utm_source</w:t>
        </w:r>
      </w:hyperlink>
    </w:p>
  </w:footnote>
  <w:footnote w:id="436">
    <w:p w14:paraId="00746025"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Lawjournalnewsletter. (2025). No Electronic Theft Act Is A Partial Success. Retrieved from </w:t>
      </w:r>
      <w:hyperlink r:id="rId50" w:history="1">
        <w:r w:rsidRPr="00A663DE">
          <w:rPr>
            <w:rStyle w:val="Hyperlink4"/>
            <w:rFonts w:eastAsia="Arial Unicode MS"/>
          </w:rPr>
          <w:t>https://www.lawjournalnewsletters.com/2003/08/22/no-electronic-theft-act-is-a-partial-success/?utm_source=</w:t>
        </w:r>
      </w:hyperlink>
    </w:p>
  </w:footnote>
  <w:footnote w:id="437">
    <w:p w14:paraId="0B99283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Irrational (2025). The No Electronic Theft ("NET") ActSummary of Changes to the Criminal Copyright and Trademark Laws. Retrieved from </w:t>
      </w:r>
      <w:hyperlink r:id="rId51" w:history="1">
        <w:r w:rsidRPr="00A663DE">
          <w:rPr>
            <w:rStyle w:val="Hyperlink0"/>
            <w:rFonts w:eastAsia="Arial Unicode MS"/>
          </w:rPr>
          <w:t>https://www.irational.org/APD/CCIPS/netsum.htm?utm_source</w:t>
        </w:r>
      </w:hyperlink>
    </w:p>
  </w:footnote>
  <w:footnote w:id="438">
    <w:p w14:paraId="0DA85F03"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52" w:history="1">
        <w:r w:rsidRPr="00A663DE">
          <w:rPr>
            <w:rStyle w:val="Hyperlink4"/>
            <w:rFonts w:eastAsia="Arial Unicode MS"/>
          </w:rPr>
          <w:t>https://cyber.harvard.edu/property00/alternatives/dmca.html?utm_source</w:t>
        </w:r>
      </w:hyperlink>
    </w:p>
  </w:footnote>
  <w:footnote w:id="439">
    <w:p w14:paraId="0F51A855"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Samuelson, P., &amp; Wheatland, T. (2009). Statutory damages in copyright law: A remedy in need of reform. </w:t>
      </w:r>
      <w:r w:rsidRPr="00A663DE">
        <w:rPr>
          <w:rStyle w:val="Hyperlink5"/>
          <w:rFonts w:eastAsia="Arial Unicode MS"/>
        </w:rPr>
        <w:t>Wm. &amp; Mary 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51</w:t>
      </w:r>
      <w:r w:rsidRPr="00A663DE">
        <w:rPr>
          <w:rStyle w:val="None"/>
          <w:rFonts w:ascii="Times New Roman" w:hAnsi="Times New Roman" w:cs="Times New Roman"/>
          <w:color w:val="222222"/>
          <w:u w:color="222222"/>
          <w:shd w:val="clear" w:color="auto" w:fill="FFFFFF"/>
        </w:rPr>
        <w:t>, 439. P. 1.</w:t>
      </w:r>
    </w:p>
  </w:footnote>
  <w:footnote w:id="440">
    <w:p w14:paraId="4AB3837B"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Communications of the ACM. (2025). </w:t>
      </w:r>
      <w:r w:rsidRPr="00A663DE">
        <w:rPr>
          <w:rStyle w:val="None"/>
          <w:rFonts w:ascii="Times New Roman" w:hAnsi="Times New Roman" w:cs="Times New Roman"/>
          <w:i/>
          <w:iCs/>
        </w:rPr>
        <w:t>Statutory Damages As a Threat to Innovation</w:t>
      </w:r>
      <w:r w:rsidRPr="00A663DE">
        <w:rPr>
          <w:rStyle w:val="None"/>
          <w:rFonts w:ascii="Times New Roman" w:hAnsi="Times New Roman" w:cs="Times New Roman"/>
        </w:rPr>
        <w:t xml:space="preserve">. Retrieved from </w:t>
      </w:r>
      <w:hyperlink r:id="rId53" w:history="1">
        <w:r w:rsidRPr="00A663DE">
          <w:rPr>
            <w:rStyle w:val="Hyperlink4"/>
            <w:rFonts w:eastAsia="Arial Unicode MS"/>
          </w:rPr>
          <w:t>https://cacm.acm.org/opinion/statutory-damages-as-a-threat-to-innovation/?utm_source</w:t>
        </w:r>
      </w:hyperlink>
      <w:r w:rsidRPr="00A663DE">
        <w:rPr>
          <w:rStyle w:val="None"/>
          <w:rFonts w:ascii="Times New Roman" w:hAnsi="Times New Roman" w:cs="Times New Roman"/>
        </w:rPr>
        <w:t xml:space="preserve"> </w:t>
      </w:r>
    </w:p>
  </w:footnote>
  <w:footnote w:id="441">
    <w:p w14:paraId="63C7E98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Gov, U. S. (1998). The Digital Millennium Copyright Act of 1998—US Copyright Office Summary. </w:t>
      </w:r>
      <w:r w:rsidRPr="00A663DE">
        <w:rPr>
          <w:rStyle w:val="Hyperlink5"/>
          <w:rFonts w:eastAsia="Arial Unicode MS"/>
        </w:rPr>
        <w:t>Dec</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w:t>
      </w:r>
      <w:r w:rsidRPr="00A663DE">
        <w:rPr>
          <w:rStyle w:val="None"/>
          <w:rFonts w:ascii="Times New Roman" w:hAnsi="Times New Roman" w:cs="Times New Roman"/>
          <w:color w:val="222222"/>
          <w:u w:color="222222"/>
          <w:shd w:val="clear" w:color="auto" w:fill="FFFFFF"/>
        </w:rPr>
        <w:t>, 1-18. P. 7.</w:t>
      </w:r>
    </w:p>
  </w:footnote>
  <w:footnote w:id="442">
    <w:p w14:paraId="0756A82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القادر سرحاني، الضوابط القانونية للجزاء الجنائي في ضوء مستجدات التشريع الجزائري، مجلة معالم للدراسات القانونية والسياسية، مح3، ع1، (2019)، ص117.</w:t>
      </w:r>
    </w:p>
  </w:footnote>
  <w:footnote w:id="443">
    <w:p w14:paraId="227CA36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مصر: دار النهضة العربية للنشر والتوزيع، ط6، (2015)، ص913.</w:t>
      </w:r>
    </w:p>
  </w:footnote>
  <w:footnote w:id="444">
    <w:p w14:paraId="2296513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أحسن بوسقيعة، الوجيز في القانون الجزائي العام، الجزائر: دار هومه للطباعة والنشر والتوزيع، ط18، (2019)، ص289.</w:t>
      </w:r>
    </w:p>
  </w:footnote>
  <w:footnote w:id="445">
    <w:p w14:paraId="7BB72CF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ص1085.</w:t>
      </w:r>
    </w:p>
  </w:footnote>
  <w:footnote w:id="446">
    <w:p w14:paraId="3D449BC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أحسن بوسقيعة، الوجيز في القانون الجزائي العام، مرجع سابق، ص290.</w:t>
      </w:r>
    </w:p>
  </w:footnote>
  <w:footnote w:id="447">
    <w:p w14:paraId="0C18126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ص924.</w:t>
      </w:r>
    </w:p>
  </w:footnote>
  <w:footnote w:id="448">
    <w:p w14:paraId="1286EAB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مصباح القاضي، علم العقاب، (بدون دار نشر)، (2004)، ص72.</w:t>
      </w:r>
    </w:p>
  </w:footnote>
  <w:footnote w:id="449">
    <w:p w14:paraId="5CE7142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نجيب حسني، شرح قانون العقوبات اللبناني القسم العام، لبنان: منشورات الحلبي الحقوقية، ط3، (1998)، ص954.</w:t>
      </w:r>
    </w:p>
  </w:footnote>
  <w:footnote w:id="450">
    <w:p w14:paraId="27FD9D7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ص925.</w:t>
      </w:r>
    </w:p>
  </w:footnote>
  <w:footnote w:id="451">
    <w:p w14:paraId="478EFB5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مصباح القاضي، علم العقاب، مرجع سابق، ص71.</w:t>
      </w:r>
    </w:p>
  </w:footnote>
  <w:footnote w:id="452">
    <w:p w14:paraId="534DA81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نجيب حسني، شرح قانون العقوبات اللبناني القسم العام، مرجع سابق، ص953.</w:t>
      </w:r>
    </w:p>
  </w:footnote>
  <w:footnote w:id="453">
    <w:p w14:paraId="6535CED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العايبي محمد؛ وهيبة كنيوة؛ وعواطف دودي، الملكية الفكرية وحقوق المؤلف في ظل الثورة المعلوماتية والتطور التكنولوجي، مرجع سابق، ص62.</w:t>
      </w:r>
    </w:p>
  </w:footnote>
  <w:footnote w:id="454">
    <w:p w14:paraId="5C4C3A0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القادر عميمر، الحماية الجنائية للحق في الحياة الخاصة في البيئة الرقمية، مجلة القانون والأعمال، ع20، (2018)، ص70.</w:t>
      </w:r>
    </w:p>
  </w:footnote>
  <w:footnote w:id="455">
    <w:p w14:paraId="735B4CC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مرجع سابق، ص106.</w:t>
      </w:r>
    </w:p>
  </w:footnote>
  <w:footnote w:id="456">
    <w:p w14:paraId="109C47A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ج3، (2023)، ص31.</w:t>
      </w:r>
    </w:p>
  </w:footnote>
  <w:footnote w:id="457">
    <w:p w14:paraId="5675ACB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المركز الجامعي بريكة، الجزائر، (2018)، ص218.</w:t>
      </w:r>
    </w:p>
  </w:footnote>
  <w:footnote w:id="458">
    <w:p w14:paraId="7B6F69D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الزبير بلهوشات؛ ومحمد رحايلي، حقوق المؤلف والحقوق المجاورة في البيئة الرقمية: الحالة الجزائرية، مجلة جامعة الأمير عبد القادر للعلوم الإسلامية، ع34، (2015)، ص442.</w:t>
      </w:r>
    </w:p>
  </w:footnote>
  <w:footnote w:id="459">
    <w:p w14:paraId="7C3BCE3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(22) من نظام حماية حقوق المؤلف، الصادر بالمرسوم الملكي رقم م/41 بتاريخ 2 رجب 1434هـ.</w:t>
      </w:r>
    </w:p>
  </w:footnote>
  <w:footnote w:id="460">
    <w:p w14:paraId="1D62287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(42)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61">
    <w:p w14:paraId="59B6F7A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(43)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62">
    <w:p w14:paraId="5B48AC9F"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Hubanov, O., Hubanova, T., Kotliarevska, H., Vikhliaiev, M., Donenko, V., &amp; Lepekh, Y. (2021). International legal regulation of copyright and related rights protection in the digital environment. </w:t>
      </w:r>
      <w:r w:rsidRPr="00A663DE">
        <w:rPr>
          <w:rStyle w:val="Hyperlink5"/>
          <w:rFonts w:eastAsia="Arial Unicode MS"/>
        </w:rPr>
        <w:t>Studies of Applied Economics</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39</w:t>
      </w:r>
      <w:r w:rsidRPr="00A663DE">
        <w:rPr>
          <w:rStyle w:val="None"/>
          <w:rFonts w:ascii="Times New Roman" w:hAnsi="Times New Roman" w:cs="Times New Roman"/>
          <w:color w:val="222222"/>
          <w:u w:color="222222"/>
          <w:shd w:val="clear" w:color="auto" w:fill="FFFFFF"/>
        </w:rPr>
        <w:t>(7), P. 3.</w:t>
      </w:r>
    </w:p>
  </w:footnote>
  <w:footnote w:id="463">
    <w:p w14:paraId="0E13248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Nicola Lucchi, Intellectual Property Rights in Digital Media: A Comparative Analysis of Legal Protection, Technological Measures, and New Business Models under EU and U.S. Law, 53 Buff. L. Rev. 1111 (2005). P. 1113.</w:t>
      </w:r>
    </w:p>
  </w:footnote>
  <w:footnote w:id="464">
    <w:p w14:paraId="0F6C536A"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al Dajeh, B</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Aloun, D</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xml:space="preserve"> &amp; Manaseer, S. (2024). Protecting digital intellectual property. Zarqa University (Jordan).</w:t>
      </w:r>
    </w:p>
  </w:footnote>
  <w:footnote w:id="465">
    <w:p w14:paraId="49C8C83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WTO. (2025). What are intellectual property rights? </w:t>
      </w:r>
      <w:r w:rsidRPr="00A663DE">
        <w:rPr>
          <w:rStyle w:val="None"/>
          <w:rFonts w:ascii="Times New Roman" w:hAnsi="Times New Roman" w:cs="Times New Roman"/>
          <w:color w:val="2E3136"/>
          <w:u w:color="2E3136"/>
          <w:shd w:val="clear" w:color="auto" w:fill="FFFFFF"/>
        </w:rPr>
        <w:t xml:space="preserve">World Trade Organization. Retrieved from </w:t>
      </w:r>
      <w:hyperlink r:id="rId54" w:history="1">
        <w:r w:rsidRPr="00A663DE">
          <w:rPr>
            <w:rStyle w:val="Hyperlink6"/>
            <w:rFonts w:eastAsia="Arial Unicode MS"/>
          </w:rPr>
          <w:t>https://www.wto.org/English/tratop_e/trips_e/intel1_e.htm</w:t>
        </w:r>
      </w:hyperlink>
    </w:p>
  </w:footnote>
  <w:footnote w:id="466">
    <w:p w14:paraId="36B60DD2"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Bronzo, Nicolas. "Remedies for Intellectual property rights infringement in France and Europe: have we gone too far?" In </w:t>
      </w:r>
      <w:r w:rsidRPr="00A663DE">
        <w:rPr>
          <w:rStyle w:val="Hyperlink5"/>
          <w:rFonts w:eastAsia="Arial Unicode MS"/>
        </w:rPr>
        <w:t>Second Property Remedies Discussion Forum Aix-en-Provence</w:t>
      </w:r>
      <w:r w:rsidRPr="00A663DE">
        <w:rPr>
          <w:rStyle w:val="None"/>
          <w:rFonts w:ascii="Times New Roman" w:hAnsi="Times New Roman" w:cs="Times New Roman"/>
          <w:color w:val="222222"/>
          <w:u w:color="222222"/>
          <w:shd w:val="clear" w:color="auto" w:fill="FFFFFF"/>
        </w:rPr>
        <w:t>. 2014. P. 1.</w:t>
      </w:r>
    </w:p>
  </w:footnote>
  <w:footnote w:id="467">
    <w:p w14:paraId="013D065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Boshkov, T. (2020). Intellectual property in digital environment.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Paper presented at </w:t>
      </w:r>
      <w:r w:rsidRPr="00A663DE">
        <w:rPr>
          <w:rStyle w:val="None"/>
          <w:rFonts w:ascii="Times New Roman" w:hAnsi="Times New Roman" w:cs="Times New Roman"/>
          <w:i/>
          <w:iCs/>
        </w:rPr>
        <w:t>Third International Scientific Conference CHALLENGES OF TOURISM AND BUSINESS LOGISTICS IN THE 21ST CENTURY »ISCTBL 2020</w:t>
      </w:r>
      <w:r w:rsidRPr="00A663DE">
        <w:rPr>
          <w:rStyle w:val="None"/>
          <w:rFonts w:ascii="Times New Roman" w:hAnsi="Times New Roman" w:cs="Times New Roman"/>
        </w:rPr>
        <w:t>« P. 96.</w:t>
      </w:r>
    </w:p>
  </w:footnote>
  <w:footnote w:id="468">
    <w:p w14:paraId="1D28CAF0"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Tumalavičius, V., Prykhodkina, N., Vovk, M., Mytych, S., &amp; Kustovska, O. (2024). Legal impacts of digitization on intellectual property.Amazonia Investiga,13(74), P. 21</w:t>
      </w:r>
      <w:r w:rsidRPr="00A663DE">
        <w:rPr>
          <w:rStyle w:val="None"/>
          <w:rFonts w:ascii="Times New Roman" w:hAnsi="Times New Roman" w:cs="Times New Roman"/>
          <w:sz w:val="24"/>
          <w:szCs w:val="24"/>
          <w:shd w:val="clear" w:color="auto" w:fill="FFFFFF"/>
          <w:rtl/>
          <w:lang w:val="ar-SA"/>
        </w:rPr>
        <w:t>8</w:t>
      </w:r>
      <w:r w:rsidRPr="00A663DE">
        <w:rPr>
          <w:rStyle w:val="None"/>
          <w:rFonts w:ascii="Times New Roman" w:hAnsi="Times New Roman" w:cs="Times New Roman"/>
          <w:shd w:val="clear" w:color="auto" w:fill="FFFFFF"/>
        </w:rPr>
        <w:t>.</w:t>
      </w:r>
    </w:p>
  </w:footnote>
  <w:footnote w:id="469">
    <w:p w14:paraId="40FE2DC8"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CIO Hub. (2025). A Brief History: How Intellectual Property Protection Evolved Over Time. Retrieved from </w:t>
      </w:r>
      <w:hyperlink r:id="rId55" w:history="1">
        <w:r w:rsidRPr="00A663DE">
          <w:rPr>
            <w:rStyle w:val="Hyperlink4"/>
            <w:rFonts w:eastAsia="Arial Unicode MS"/>
          </w:rPr>
          <w:t>https://ciohub.org/post/2023/06/a-brief-history-how-intellectual-property-protection-evolved-over-time/?utm_source</w:t>
        </w:r>
      </w:hyperlink>
    </w:p>
  </w:footnote>
  <w:footnote w:id="470">
    <w:p w14:paraId="722F39C4"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Peng, M. W., Ahlstrom, D., Carraher, S. M., &amp; Shi, W. S. (2017). History and the debate over intellectual property. </w:t>
      </w:r>
      <w:r w:rsidRPr="00A663DE">
        <w:rPr>
          <w:rStyle w:val="Hyperlink5"/>
          <w:rFonts w:eastAsia="Arial Unicode MS"/>
        </w:rPr>
        <w:t>Management and Organization Review</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13</w:t>
      </w:r>
      <w:r w:rsidRPr="00A663DE">
        <w:rPr>
          <w:rStyle w:val="None"/>
          <w:rFonts w:ascii="Times New Roman" w:hAnsi="Times New Roman" w:cs="Times New Roman"/>
          <w:color w:val="222222"/>
          <w:u w:color="222222"/>
          <w:shd w:val="clear" w:color="auto" w:fill="FFFFFF"/>
        </w:rPr>
        <w:t>(1), 15-38. P. 20.</w:t>
      </w:r>
    </w:p>
  </w:footnote>
  <w:footnote w:id="471">
    <w:p w14:paraId="18C8103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Fisher, W.W. (2025, July 26). intellectual-property law. Encyclopedia Britannica. </w:t>
      </w:r>
      <w:hyperlink r:id="rId56" w:history="1">
        <w:r w:rsidRPr="00A663DE">
          <w:rPr>
            <w:rStyle w:val="Hyperlink4"/>
            <w:rFonts w:eastAsia="Arial Unicode MS"/>
          </w:rPr>
          <w:t>https://www.britannica.com/topic/intellectual-property-law</w:t>
        </w:r>
      </w:hyperlink>
    </w:p>
  </w:footnote>
  <w:footnote w:id="472">
    <w:p w14:paraId="4E22B2C5"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ALA. (2025). Digital Millennium Copyright Act. Retrieved from </w:t>
      </w:r>
      <w:hyperlink r:id="rId57" w:history="1">
        <w:r w:rsidRPr="00A663DE">
          <w:rPr>
            <w:rStyle w:val="Hyperlink4"/>
            <w:rFonts w:eastAsia="Arial Unicode MS"/>
          </w:rPr>
          <w:t>https://www.ala.org/advocacy/copyright/dmca?utm_source</w:t>
        </w:r>
      </w:hyperlink>
    </w:p>
  </w:footnote>
  <w:footnote w:id="473">
    <w:p w14:paraId="24311087"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Qiwei, L., Zhang, S., Pratt, S. P., Kasper, A. T., Gilbert, E., &amp; Schoenebeck, S. (2025, April). A Law of One's Own: The Inefficacy of the DMCA for Non-Consensual Intimate Media. In </w:t>
      </w:r>
      <w:r w:rsidRPr="00A663DE">
        <w:rPr>
          <w:rStyle w:val="Hyperlink5"/>
          <w:rFonts w:eastAsia="Arial Unicode MS"/>
        </w:rPr>
        <w:t>Proceedings of the 2025 CHI Conference on Human Factors in Computing Systems</w:t>
      </w:r>
      <w:r w:rsidRPr="00A663DE">
        <w:rPr>
          <w:rStyle w:val="None"/>
          <w:rFonts w:ascii="Times New Roman" w:hAnsi="Times New Roman" w:cs="Times New Roman"/>
          <w:color w:val="222222"/>
          <w:u w:color="222222"/>
          <w:shd w:val="clear" w:color="auto" w:fill="FFFFFF"/>
        </w:rPr>
        <w:t> (pp. 1-17). P. 1.</w:t>
      </w:r>
    </w:p>
  </w:footnote>
  <w:footnote w:id="474">
    <w:p w14:paraId="0953C02C"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Wired. (2025). Hacker Lexicon: What Is the Digital Millennium Copyright Act? Retrieved from </w:t>
      </w:r>
      <w:hyperlink r:id="rId58" w:history="1">
        <w:r w:rsidRPr="00A663DE">
          <w:rPr>
            <w:rStyle w:val="Hyperlink4"/>
            <w:rFonts w:eastAsia="Arial Unicode MS"/>
          </w:rPr>
          <w:t>https://www.wired.com/2016/06/hacker-lexicon-digital-millennium-copyright-act/?utm_source</w:t>
        </w:r>
      </w:hyperlink>
    </w:p>
  </w:footnote>
  <w:footnote w:id="475">
    <w:p w14:paraId="6D000324"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Di Palma, J. (2013). The digital millenium copyright act and the clash between authors and innovators: the need for a legislative amendment to the safe harbor provisions. </w:t>
      </w:r>
      <w:r w:rsidRPr="00A663DE">
        <w:rPr>
          <w:rStyle w:val="Hyperlink5"/>
          <w:rFonts w:eastAsia="Arial Unicode MS"/>
        </w:rPr>
        <w:t>Loy. LAL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47</w:t>
      </w:r>
      <w:r w:rsidRPr="00A663DE">
        <w:rPr>
          <w:rStyle w:val="None"/>
          <w:rFonts w:ascii="Times New Roman" w:hAnsi="Times New Roman" w:cs="Times New Roman"/>
          <w:color w:val="222222"/>
          <w:u w:color="222222"/>
          <w:shd w:val="clear" w:color="auto" w:fill="FFFFFF"/>
        </w:rPr>
        <w:t>, P. 797.</w:t>
      </w:r>
    </w:p>
  </w:footnote>
  <w:footnote w:id="476">
    <w:p w14:paraId="34856DE5"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Atanasova, I. (2019). Copyright infringement in digital environment. </w:t>
      </w:r>
      <w:r w:rsidRPr="00A663DE">
        <w:rPr>
          <w:rStyle w:val="None"/>
          <w:rFonts w:ascii="Times New Roman" w:hAnsi="Times New Roman" w:cs="Times New Roman"/>
          <w:i/>
          <w:iCs/>
          <w:color w:val="222222"/>
          <w:u w:color="222222"/>
          <w:shd w:val="clear" w:color="auto" w:fill="FFFFFF"/>
        </w:rPr>
        <w:t>Economics &amp;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(1), 13-22. P. 1</w:t>
      </w:r>
      <w:r w:rsidRPr="00A663DE">
        <w:rPr>
          <w:rStyle w:val="None"/>
          <w:rFonts w:ascii="Times New Roman" w:hAnsi="Times New Roman" w:cs="Times New Roman"/>
          <w:color w:val="222222"/>
          <w:sz w:val="24"/>
          <w:szCs w:val="24"/>
          <w:u w:color="222222"/>
          <w:shd w:val="clear" w:color="auto" w:fill="FFFFFF"/>
          <w:rtl/>
          <w:lang w:val="ar-SA"/>
        </w:rPr>
        <w:t>4</w:t>
      </w:r>
      <w:r w:rsidRPr="00A663DE">
        <w:rPr>
          <w:rStyle w:val="None"/>
          <w:rFonts w:ascii="Times New Roman" w:hAnsi="Times New Roman" w:cs="Times New Roman"/>
          <w:color w:val="222222"/>
          <w:u w:color="222222"/>
          <w:shd w:val="clear" w:color="auto" w:fill="FFFFFF"/>
        </w:rPr>
        <w:t>.</w:t>
      </w:r>
    </w:p>
  </w:footnote>
  <w:footnote w:id="477">
    <w:p w14:paraId="7DD5C0BB"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congress.gov. (2025). Intellectual Property Rights (IPR) and U.S. Trade Policy. Retrieved from </w:t>
      </w:r>
      <w:hyperlink r:id="rId59" w:history="1">
        <w:r w:rsidRPr="00A663DE">
          <w:rPr>
            <w:rStyle w:val="Hyperlink4"/>
            <w:rFonts w:eastAsia="Arial Unicode MS"/>
          </w:rPr>
          <w:t>https://www.congress.gov/crs-product/IF10033</w:t>
        </w:r>
      </w:hyperlink>
    </w:p>
  </w:footnote>
  <w:footnote w:id="478">
    <w:p w14:paraId="0C4FBE4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Ortega, S. (2023). The Digital Millennium Copyright Act-In Need of a Major Software Update. </w:t>
      </w:r>
      <w:r w:rsidRPr="00A663DE">
        <w:rPr>
          <w:rStyle w:val="Hyperlink5"/>
          <w:rFonts w:eastAsia="Arial Unicode MS"/>
        </w:rPr>
        <w:t>Mich. Bus. &amp; Entrepreneurial 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12</w:t>
      </w:r>
      <w:r w:rsidRPr="00A663DE">
        <w:rPr>
          <w:rStyle w:val="None"/>
          <w:rFonts w:ascii="Times New Roman" w:hAnsi="Times New Roman" w:cs="Times New Roman"/>
          <w:color w:val="222222"/>
          <w:u w:color="222222"/>
          <w:shd w:val="clear" w:color="auto" w:fill="FFFFFF"/>
        </w:rPr>
        <w:t>, P. 80.</w:t>
      </w:r>
    </w:p>
  </w:footnote>
  <w:footnote w:id="479">
    <w:p w14:paraId="6A432BF7"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copyright.gov. (2025). The Digital Millennium Copyright Act. Retrieved from </w:t>
      </w:r>
      <w:hyperlink r:id="rId60" w:history="1">
        <w:r w:rsidRPr="00A663DE">
          <w:rPr>
            <w:rStyle w:val="Hyperlink4"/>
            <w:rFonts w:eastAsia="Arial Unicode MS"/>
          </w:rPr>
          <w:t>https://www.copyright.gov/dmca/</w:t>
        </w:r>
      </w:hyperlink>
    </w:p>
  </w:footnote>
  <w:footnote w:id="480">
    <w:p w14:paraId="2DFA86D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Bureau of Justice Assistance. (2025). Intellectual Property Enforcement Program. Retrieved from  </w:t>
      </w:r>
      <w:hyperlink r:id="rId61" w:history="1">
        <w:r w:rsidRPr="00A663DE">
          <w:rPr>
            <w:rStyle w:val="Hyperlink4"/>
            <w:rFonts w:eastAsia="Arial Unicode MS"/>
          </w:rPr>
          <w:t>https://bja.ojp.gov/program/intellectual-property-enforcement-program/overview?utm_</w:t>
        </w:r>
      </w:hyperlink>
      <w:r w:rsidRPr="00A663DE">
        <w:rPr>
          <w:rStyle w:val="None"/>
          <w:rFonts w:ascii="Times New Roman" w:hAnsi="Times New Roman" w:cs="Times New Roman"/>
        </w:rPr>
        <w:t xml:space="preserve"> </w:t>
      </w:r>
    </w:p>
  </w:footnote>
  <w:footnote w:id="481">
    <w:p w14:paraId="7F138CFD"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USPTO. (2025). </w:t>
      </w:r>
      <w:r w:rsidRPr="00A663DE">
        <w:rPr>
          <w:rStyle w:val="None"/>
          <w:rFonts w:ascii="Times New Roman" w:hAnsi="Times New Roman" w:cs="Times New Roman"/>
          <w:i/>
          <w:iCs/>
        </w:rPr>
        <w:t>Enforcement initiatives</w:t>
      </w:r>
      <w:r w:rsidRPr="00A663DE">
        <w:rPr>
          <w:rStyle w:val="None"/>
          <w:rFonts w:ascii="Times New Roman" w:hAnsi="Times New Roman" w:cs="Times New Roman"/>
        </w:rPr>
        <w:t xml:space="preserve">. United States Patent and Trademark Office. Retrieved from </w:t>
      </w:r>
      <w:hyperlink r:id="rId62" w:history="1">
        <w:r w:rsidRPr="00A663DE">
          <w:rPr>
            <w:rStyle w:val="Hyperlink4"/>
            <w:rFonts w:eastAsia="Arial Unicode MS"/>
          </w:rPr>
          <w:t>https://www.uspto.gov/ip-policy/enforcement-policy/enforcement-initiatives?utm_</w:t>
        </w:r>
      </w:hyperlink>
      <w:r w:rsidRPr="00A663DE">
        <w:rPr>
          <w:rStyle w:val="None"/>
          <w:rFonts w:ascii="Times New Roman" w:hAnsi="Times New Roman" w:cs="Times New Roman"/>
        </w:rPr>
        <w:t xml:space="preserve"> </w:t>
      </w:r>
    </w:p>
  </w:footnote>
  <w:footnote w:id="482">
    <w:p w14:paraId="2C14D087"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Benvenuti, S., Macmillan, F., E &amp; Zolea, S. (2024). </w:t>
      </w:r>
      <w:r w:rsidRPr="00A663DE">
        <w:rPr>
          <w:rStyle w:val="None"/>
          <w:rFonts w:ascii="Times New Roman" w:hAnsi="Times New Roman" w:cs="Times New Roman"/>
          <w:i/>
          <w:iCs/>
        </w:rPr>
        <w:t>INTELLECTUAL PROPERTY IN THE DIGITAL AGE</w:t>
      </w:r>
      <w:r w:rsidRPr="00A663DE">
        <w:rPr>
          <w:rStyle w:val="None"/>
          <w:rFonts w:ascii="Times New Roman" w:hAnsi="Times New Roman" w:cs="Times New Roman"/>
        </w:rPr>
        <w:t>.Roma TrE-Press, Roma, settembre. PP. 7-8.</w:t>
      </w:r>
    </w:p>
  </w:footnote>
  <w:footnote w:id="483">
    <w:p w14:paraId="3590A63B"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NCL. (2025). Copyright laws and Digital Rights Management – National Consumers League. Retrieved from </w:t>
      </w:r>
      <w:hyperlink r:id="rId63" w:history="1">
        <w:r w:rsidRPr="00A663DE">
          <w:rPr>
            <w:rStyle w:val="Hyperlink4"/>
            <w:rFonts w:eastAsia="Arial Unicode MS"/>
          </w:rPr>
          <w:t>https://nclnet.org/drm/</w:t>
        </w:r>
      </w:hyperlink>
    </w:p>
  </w:footnote>
  <w:footnote w:id="484">
    <w:p w14:paraId="09460173" w14:textId="77777777" w:rsidR="000B6E77" w:rsidRPr="00A663DE" w:rsidRDefault="000B6E77">
      <w:pPr>
        <w:pStyle w:val="FootnoteText"/>
        <w:bidi w:val="0"/>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United States District Court Judgment February 2, 2000, </w:t>
      </w:r>
      <w:hyperlink r:id="rId64" w:history="1">
        <w:r w:rsidRPr="00A663DE">
          <w:rPr>
            <w:rStyle w:val="Hyperlink0"/>
            <w:rFonts w:eastAsia="Arial Unicode MS"/>
          </w:rPr>
          <w:t>https://www.law.uh.edu/faculty/cjoyce/copyright/release10/universal.html</w:t>
        </w:r>
      </w:hyperlink>
      <w:r w:rsidRPr="00A663DE">
        <w:rPr>
          <w:rStyle w:val="None"/>
          <w:rFonts w:ascii="Times New Roman" w:hAnsi="Times New Roman" w:cs="Times New Roman"/>
        </w:rPr>
        <w:t xml:space="preserve"> .</w:t>
      </w:r>
    </w:p>
  </w:footnote>
  <w:footnote w:id="485">
    <w:p w14:paraId="5DB24E5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Salman Mahmood, M. (2023, June). Penal and International Protection of Electronic Intellectual Property Rights. Paper presented at </w:t>
      </w:r>
      <w:r w:rsidRPr="00A663DE">
        <w:rPr>
          <w:rStyle w:val="None"/>
          <w:rFonts w:ascii="Times New Roman" w:hAnsi="Times New Roman" w:cs="Times New Roman"/>
          <w:i/>
          <w:iCs/>
        </w:rPr>
        <w:t>1st International Conference on Legal Sciences: (Intellectual property -Contemporary Problems and Legal Solutions, ICLS’23),</w:t>
      </w:r>
      <w:r w:rsidRPr="00A663DE">
        <w:rPr>
          <w:rStyle w:val="None"/>
          <w:rFonts w:ascii="Times New Roman" w:hAnsi="Times New Roman" w:cs="Times New Roman"/>
        </w:rPr>
        <w:t xml:space="preserve"> Fallujah, Iraq</w:t>
      </w:r>
      <w:r w:rsidRPr="00A663DE">
        <w:rPr>
          <w:rStyle w:val="None"/>
          <w:rFonts w:ascii="Times New Roman" w:hAnsi="Times New Roman" w:cs="Times New Roman"/>
          <w:color w:val="222222"/>
          <w:u w:color="222222"/>
          <w:shd w:val="clear" w:color="auto" w:fill="FFFFFF"/>
        </w:rPr>
        <w:t>. P. 8.</w:t>
      </w:r>
    </w:p>
  </w:footnote>
  <w:footnote w:id="486">
    <w:p w14:paraId="1C74A7AB"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BENHAMOU, Yaniv. Compensation of Prejudice for Infringements of Intellectual Property Rights in France, under the Directive 2004/48/EC and Its Transposition Law: New Notions? International Review of Intellectual Property and Competition Law (IIC), 2009, no. 2, PP. 125-126.</w:t>
      </w:r>
    </w:p>
  </w:footnote>
  <w:footnote w:id="487">
    <w:p w14:paraId="4250FDD9"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WIPO. (2025). Intellectual Property Code (consolidated version of March 2, 2006), France. Retrieved from </w:t>
      </w:r>
      <w:hyperlink r:id="rId65" w:history="1">
        <w:r w:rsidRPr="00A663DE">
          <w:rPr>
            <w:rStyle w:val="Hyperlink4"/>
            <w:rFonts w:eastAsia="Arial Unicode MS"/>
          </w:rPr>
          <w:t>https://www.wipo.int/wipolex/en/legislation/details/14446</w:t>
        </w:r>
      </w:hyperlink>
    </w:p>
  </w:footnote>
  <w:footnote w:id="488">
    <w:p w14:paraId="3827468C"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french-business-law. (2025). French Intellectual Property Code. Retrieved from </w:t>
      </w:r>
      <w:hyperlink r:id="rId66" w:history="1">
        <w:r w:rsidRPr="00A663DE">
          <w:rPr>
            <w:rStyle w:val="Hyperlink4"/>
            <w:rFonts w:eastAsia="Arial Unicode MS"/>
          </w:rPr>
          <w:t>https://french-business-law.com/french-legislation/legitext000006069414-french-intellectual-property-code/page/3/</w:t>
        </w:r>
      </w:hyperlink>
    </w:p>
  </w:footnote>
  <w:footnote w:id="489">
    <w:p w14:paraId="55CA4518"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OECD </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2025</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xml:space="preserve">. Law for a Digital Republic. Retrieved from </w:t>
      </w:r>
      <w:hyperlink r:id="rId67" w:history="1">
        <w:r w:rsidRPr="00A663DE">
          <w:rPr>
            <w:rStyle w:val="Hyperlink0"/>
            <w:rFonts w:eastAsia="Arial Unicode MS"/>
          </w:rPr>
          <w:t>https://www.oecd.org/en/publications/access-to-public-research-data-toolkit_a12e8998-en/law-for-a-digital-republic_b99868b0-en.html</w:t>
        </w:r>
      </w:hyperlink>
    </w:p>
  </w:footnote>
  <w:footnote w:id="490">
    <w:p w14:paraId="4BC99A8F" w14:textId="77777777" w:rsidR="000B6E77" w:rsidRPr="00A663DE" w:rsidRDefault="000B6E77">
      <w:pPr>
        <w:pStyle w:val="FootnoteText"/>
        <w:bidi w:val="0"/>
        <w:jc w:val="both"/>
        <w:rPr>
          <w:rStyle w:val="None"/>
          <w:rFonts w:ascii="Times New Roman" w:eastAsia="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RPC. (2018). Cross-Border Copyright Guide 2018. </w:t>
      </w:r>
      <w:hyperlink r:id="rId68" w:history="1">
        <w:r w:rsidRPr="00A663DE">
          <w:rPr>
            <w:rStyle w:val="Hyperlink0"/>
            <w:rFonts w:eastAsia="Arial Unicode MS"/>
          </w:rPr>
          <w:t>https://www.rpclegal.com/-/media/rpc/files/perspectives/ip/france.pdf</w:t>
        </w:r>
      </w:hyperlink>
    </w:p>
    <w:p w14:paraId="103B4EEC"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rPr>
        <w:t xml:space="preserve"> P. 1</w:t>
      </w:r>
    </w:p>
  </w:footnote>
  <w:footnote w:id="491">
    <w:p w14:paraId="4E4F6796"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Tumalavičius, V., Prykhodkina, N., Vovk, M., Mytych, S., &amp; Kustovska, O. (2024). Legal impacts of digitization on intellectual property. Amazonia Investiga,13(74), P. 220.</w:t>
      </w:r>
    </w:p>
  </w:footnote>
  <w:footnote w:id="492">
    <w:p w14:paraId="5745B3A4"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WIPO. (2024). THE PROSECUTION OF INTELLECTUAL PROPERTY CRIME: REPORT ON RESULTS OF SURVEY.  World Intellectual Property Organization. P. 3</w:t>
      </w:r>
    </w:p>
  </w:footnote>
  <w:footnote w:id="493">
    <w:p w14:paraId="280985BA"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hd w:val="clear" w:color="auto" w:fill="FFFFFF"/>
        </w:rPr>
        <w:t>) legifrance. (2025). Code de la propriété intellectuelle. Retrieved from</w:t>
      </w:r>
      <w:r w:rsidRPr="00A663DE">
        <w:rPr>
          <w:rStyle w:val="None"/>
          <w:rFonts w:ascii="Times New Roman" w:hAnsi="Times New Roman" w:cs="Times New Roman"/>
        </w:rPr>
        <w:t xml:space="preserve"> </w:t>
      </w:r>
      <w:hyperlink r:id="rId69" w:history="1">
        <w:r w:rsidRPr="00A663DE">
          <w:rPr>
            <w:rStyle w:val="Hyperlink4"/>
            <w:rFonts w:eastAsia="Arial Unicode MS"/>
          </w:rPr>
          <w:t>https://www.legifrance.gouv.fr/codes/article_lc/LEGIARTI000006278891/</w:t>
        </w:r>
      </w:hyperlink>
    </w:p>
  </w:footnote>
  <w:footnote w:id="494">
    <w:p w14:paraId="105C00AC" w14:textId="77777777" w:rsidR="000B6E77" w:rsidRPr="00A663DE" w:rsidRDefault="000B6E77">
      <w:pPr>
        <w:pStyle w:val="FootnoteText"/>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 xml:space="preserve">SACD </w:t>
      </w:r>
      <w:r w:rsidRPr="00A663DE">
        <w:rPr>
          <w:rStyle w:val="None"/>
          <w:rFonts w:ascii="Times New Roman" w:hAnsi="Times New Roman" w:cs="Times New Roman"/>
          <w:sz w:val="24"/>
          <w:szCs w:val="24"/>
          <w:shd w:val="clear" w:color="auto" w:fill="FFFFFF"/>
          <w:rtl/>
          <w:lang w:val="ar-SA"/>
        </w:rPr>
        <w:t>)</w:t>
      </w:r>
      <w:r w:rsidRPr="00A663DE">
        <w:rPr>
          <w:rStyle w:val="None"/>
          <w:rFonts w:ascii="Times New Roman" w:hAnsi="Times New Roman" w:cs="Times New Roman"/>
          <w:shd w:val="clear" w:color="auto" w:fill="FFFFFF"/>
        </w:rPr>
        <w:t>2021</w:t>
      </w:r>
      <w:r w:rsidRPr="00A663DE">
        <w:rPr>
          <w:rStyle w:val="None"/>
          <w:rFonts w:ascii="Times New Roman" w:hAnsi="Times New Roman" w:cs="Times New Roman"/>
          <w:sz w:val="24"/>
          <w:szCs w:val="24"/>
          <w:shd w:val="clear" w:color="auto" w:fill="FFFFFF"/>
          <w:rtl/>
          <w:lang w:val="ar-SA"/>
        </w:rPr>
        <w:t>. (</w:t>
      </w:r>
      <w:r w:rsidRPr="00A663DE">
        <w:rPr>
          <w:rStyle w:val="None"/>
          <w:rFonts w:ascii="Times New Roman" w:hAnsi="Times New Roman" w:cs="Times New Roman"/>
          <w:shd w:val="clear" w:color="auto" w:fill="FFFFFF"/>
        </w:rPr>
        <w:t>Authors' rights and their work</w:t>
      </w:r>
      <w:r w:rsidRPr="00A663DE">
        <w:rPr>
          <w:rStyle w:val="None"/>
          <w:rFonts w:ascii="Times New Roman" w:hAnsi="Times New Roman" w:cs="Times New Roman"/>
          <w:sz w:val="24"/>
          <w:szCs w:val="24"/>
          <w:shd w:val="clear" w:color="auto" w:fill="FFFFFF"/>
          <w:rtl/>
          <w:lang w:val="ar-SA"/>
        </w:rPr>
        <w:t xml:space="preserve">. </w:t>
      </w:r>
      <w:r w:rsidRPr="00A663DE">
        <w:rPr>
          <w:rStyle w:val="None"/>
          <w:rFonts w:ascii="Times New Roman" w:hAnsi="Times New Roman" w:cs="Times New Roman"/>
          <w:shd w:val="clear" w:color="auto" w:fill="FFFFFF"/>
        </w:rPr>
        <w:t>Retrieved from</w:t>
      </w:r>
      <w:r w:rsidRPr="00A663DE">
        <w:rPr>
          <w:rStyle w:val="None"/>
          <w:rFonts w:ascii="Times New Roman" w:hAnsi="Times New Roman" w:cs="Times New Roman"/>
        </w:rPr>
        <w:t xml:space="preserve"> </w:t>
      </w:r>
      <w:hyperlink r:id="rId70" w:history="1">
        <w:r w:rsidRPr="00A663DE">
          <w:rPr>
            <w:rStyle w:val="Hyperlink0"/>
            <w:rFonts w:eastAsia="Arial Unicode MS"/>
          </w:rPr>
          <w:t>https://www.sacd.fr/en/authors-rights-and-their-work</w:t>
        </w:r>
      </w:hyperlink>
    </w:p>
  </w:footnote>
  <w:footnote w:id="495">
    <w:p w14:paraId="349280A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عطية، الترخيص الإجباري لبراءة الاختراع، رسالة ماجستير، جامعة جرش، (2016)، 1-168، ص33.</w:t>
      </w:r>
    </w:p>
  </w:footnote>
  <w:footnote w:id="496">
    <w:p w14:paraId="735D788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ص1533.</w:t>
      </w:r>
    </w:p>
  </w:footnote>
  <w:footnote w:id="497">
    <w:p w14:paraId="63E5BD4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w:t>
      </w:r>
      <w:r w:rsidRPr="00A663DE">
        <w:rPr>
          <w:rStyle w:val="None"/>
          <w:rFonts w:ascii="Times New Roman" w:hAnsi="Times New Roman" w:cs="Times New Roman"/>
          <w:sz w:val="24"/>
          <w:szCs w:val="24"/>
          <w:rtl/>
          <w:lang w:val="ar-SA"/>
        </w:rPr>
        <w:t>المادة الثانية من نظام براءات الاختراع والتصميمات التخطيطية للدارات المتكاملة والأصناف النباتية والنماذج الصناعية، مرسوم ملكي رقم م/27 بتاريخ 29/5/1425.</w:t>
      </w:r>
    </w:p>
  </w:footnote>
  <w:footnote w:id="498">
    <w:p w14:paraId="7F9BAF73"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المادة (2) من نظام براءات الاختراع والتصميمات التخطيطية للدارات المتكاملة والأصناف النباتية والنماذج الصناعية.</w:t>
      </w:r>
    </w:p>
  </w:footnote>
  <w:footnote w:id="499">
    <w:p w14:paraId="12A6BA6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ص40.</w:t>
      </w:r>
    </w:p>
  </w:footnote>
  <w:footnote w:id="500">
    <w:p w14:paraId="2148C86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عطية، الترخيص الإجباري لبراءة الاختراع، رسالة ماجستير، جامعة جرش، (2016)، 1-168، ص34.</w:t>
      </w:r>
    </w:p>
  </w:footnote>
  <w:footnote w:id="501">
    <w:p w14:paraId="003D9F0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سامي عبد الصادق، الوجيز في حقوق الملكية الفكرية، بدون دار نشر، القاهرة، 2007، ص20.</w:t>
      </w:r>
    </w:p>
  </w:footnote>
  <w:footnote w:id="502">
    <w:p w14:paraId="570A36B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(23) من نظام براءات الاختراع والتصميمات التخطيطية للدارات المتكاملة والأصناف النباتية والنماذج الصناعية.</w:t>
      </w:r>
    </w:p>
  </w:footnote>
  <w:footnote w:id="503">
    <w:p w14:paraId="3DE2EC2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04">
    <w:p w14:paraId="458A167E"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ص30.</w:t>
      </w:r>
    </w:p>
  </w:footnote>
  <w:footnote w:id="505">
    <w:p w14:paraId="5D8DAB7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ص1536.</w:t>
      </w:r>
    </w:p>
  </w:footnote>
  <w:footnote w:id="506">
    <w:p w14:paraId="1EF7462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ص44.</w:t>
      </w:r>
    </w:p>
  </w:footnote>
  <w:footnote w:id="507">
    <w:p w14:paraId="0F4B04D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ص1537.</w:t>
      </w:r>
    </w:p>
  </w:footnote>
  <w:footnote w:id="508">
    <w:p w14:paraId="4C044D58"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ص33.</w:t>
      </w:r>
    </w:p>
  </w:footnote>
  <w:footnote w:id="509">
    <w:p w14:paraId="5C180222"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مج17، ع3، 231-251، (2024)، ص241.</w:t>
      </w:r>
    </w:p>
  </w:footnote>
  <w:footnote w:id="510">
    <w:p w14:paraId="2016B20A"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ص48.</w:t>
      </w:r>
    </w:p>
  </w:footnote>
  <w:footnote w:id="511">
    <w:p w14:paraId="21B8DB63" w14:textId="77777777" w:rsidR="000B6E77" w:rsidRPr="00A663DE" w:rsidRDefault="000B6E77">
      <w:pPr>
        <w:pStyle w:val="FootnoteText"/>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ص54.</w:t>
      </w:r>
    </w:p>
  </w:footnote>
  <w:footnote w:id="512">
    <w:p w14:paraId="4BC52FD1"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ص1540.</w:t>
      </w:r>
    </w:p>
  </w:footnote>
  <w:footnote w:id="513">
    <w:p w14:paraId="66C8505F"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ص56.</w:t>
      </w:r>
    </w:p>
  </w:footnote>
  <w:footnote w:id="514">
    <w:p w14:paraId="2DC0387C" w14:textId="77777777" w:rsidR="000B6E77" w:rsidRPr="00A663DE" w:rsidRDefault="000B6E77">
      <w:pPr>
        <w:pStyle w:val="FootnoteText"/>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ص1539.</w:t>
      </w:r>
    </w:p>
  </w:footnote>
  <w:footnote w:id="515">
    <w:p w14:paraId="4243BD1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ص54.</w:t>
      </w:r>
    </w:p>
  </w:footnote>
  <w:footnote w:id="516">
    <w:p w14:paraId="3BB93514"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ص80.</w:t>
      </w:r>
    </w:p>
  </w:footnote>
  <w:footnote w:id="517">
    <w:p w14:paraId="4B361C6D" w14:textId="77777777" w:rsidR="000B6E77" w:rsidRPr="00D61DE9" w:rsidRDefault="000B6E77">
      <w:pPr>
        <w:pStyle w:val="FootnoteText"/>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المادة (52) من اللائحة التنفيذية لنظام براءات الاختراع والتصميمات التخطيطية للدارات المتكاملة والأصناف النباتية والنماذج الصناعية مرسوم ملكي رقم م/27 بتاريخ 29 / 5 / 1425.</w:t>
      </w:r>
    </w:p>
  </w:footnote>
  <w:footnote w:id="518">
    <w:p w14:paraId="75ED6B78" w14:textId="77777777" w:rsidR="000B6E77" w:rsidRPr="00A663DE" w:rsidRDefault="000B6E77">
      <w:pPr>
        <w:pStyle w:val="FootnoteText"/>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ص40.</w:t>
      </w:r>
    </w:p>
  </w:footnote>
  <w:footnote w:id="519">
    <w:p w14:paraId="3040CDA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ص109.</w:t>
      </w:r>
    </w:p>
  </w:footnote>
  <w:footnote w:id="520">
    <w:p w14:paraId="411F8C6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هبة الله ربحي الدويكات، الترخيص الإجباري في الاختراعات المتعلقة بالأدوية، رسالة ماجستير، جامعة الزرقاء، 1-116، (2020)، ص40.</w:t>
      </w:r>
    </w:p>
  </w:footnote>
  <w:footnote w:id="521">
    <w:p w14:paraId="725A902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ص82.</w:t>
      </w:r>
    </w:p>
  </w:footnote>
  <w:footnote w:id="522">
    <w:p w14:paraId="175A0E1A"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نسرين إبراهيم محمد المرافي، النظام القانوني للترخيص الإجباري لبراءات الاختراع، رسالة ماجستير، جامعة الزرقاء، (2018)، ص67.</w:t>
      </w:r>
    </w:p>
  </w:footnote>
  <w:footnote w:id="523">
    <w:p w14:paraId="74DBC9BE"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ص112.</w:t>
      </w:r>
    </w:p>
  </w:footnote>
  <w:footnote w:id="524">
    <w:p w14:paraId="2ED7771C"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(24/أ/3) تنظيم براءات الاختراع والتصميمات التخطيطية للدارات المتكاملة والأصناف النباتية والنماذج الصناعية مرسوم ملكي رقم م/27 بتاريخ 29 / 5 / 1425.</w:t>
      </w:r>
    </w:p>
  </w:footnote>
  <w:footnote w:id="525">
    <w:p w14:paraId="1B013508"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ص1545.</w:t>
      </w:r>
    </w:p>
  </w:footnote>
  <w:footnote w:id="526">
    <w:p w14:paraId="185C2ECD" w14:textId="77777777" w:rsidR="000B6E77" w:rsidRPr="00A663DE" w:rsidRDefault="000B6E77">
      <w:pPr>
        <w:pStyle w:val="FootnoteText"/>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نظام براءات الاختراع والتصميمات التخطيطية للدارات المتكاملة والأصناف النباتية والنماذج الصناعية، مرسوم ملكي رقم م/27 بتاريخ 29 / 5 / 1425.</w:t>
      </w:r>
    </w:p>
  </w:footnote>
  <w:footnote w:id="527">
    <w:p w14:paraId="237C3F79" w14:textId="77777777" w:rsidR="000B6E77" w:rsidRPr="00A663DE" w:rsidRDefault="000B6E77">
      <w:pPr>
        <w:pStyle w:val="Body"/>
        <w:spacing w:after="0" w:line="240" w:lineRule="auto"/>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(24) تنظيم براءات الاختراع والتصميمات التخطيطية للدارات المتكاملة والأصناف النباتية والنماذج الصناعية مرسوم ملكي رقم م/27 بتاريخ 29 / 5 / 1425.</w:t>
      </w:r>
    </w:p>
  </w:footnote>
  <w:footnote w:id="528">
    <w:p w14:paraId="709BC5F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29">
    <w:p w14:paraId="23079497"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نسرين إبراهيم محمد المرافي، النظام القانوني للترخيص الإجباري لبراءات الاختراع، رسالة ماجستير، جامعة الزرقاء، (2018)، ص56.</w:t>
      </w:r>
    </w:p>
  </w:footnote>
  <w:footnote w:id="530">
    <w:p w14:paraId="74DC2D4F"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ص116.</w:t>
      </w:r>
    </w:p>
  </w:footnote>
  <w:footnote w:id="531">
    <w:p w14:paraId="3DC32257"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(24/ب) تنظيم براءات الاختراع والتصميمات التخطيطية للدارات المتكاملة والأصناف النباتية والنماذج الصناعية مرسوم ملكي رقم م/27 بتاريخ 29 / 5 / 1425.</w:t>
      </w:r>
    </w:p>
  </w:footnote>
  <w:footnote w:id="532">
    <w:p w14:paraId="02093A0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(12) من معاهدة الويبو بشأن حق المؤلف كما اعتمدها في جنيف في 20 ديسمبر/ كانون الأول 1996.</w:t>
      </w:r>
    </w:p>
  </w:footnote>
  <w:footnote w:id="533">
    <w:p w14:paraId="3702D609"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ص133.</w:t>
      </w:r>
    </w:p>
  </w:footnote>
  <w:footnote w:id="534">
    <w:p w14:paraId="02D9EE6B"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مبارك بن محمد الخالدي، الإثبات بالدليل الرقمي وتطبيقاته القضائية: دراسة فقهية مقارنة بنظام الإثبات السعودي، مجلة قضاء، جامعة الإمام محمد بن سعود الإسلامي، ع34، 329-416، (2024)، ص370.</w:t>
      </w:r>
    </w:p>
  </w:footnote>
  <w:footnote w:id="535">
    <w:p w14:paraId="7D9C2C80"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ص135.</w:t>
      </w:r>
    </w:p>
  </w:footnote>
  <w:footnote w:id="536">
    <w:p w14:paraId="6B641C17" w14:textId="77777777" w:rsidR="000B6E77" w:rsidRPr="00B62CC6" w:rsidRDefault="000B6E77">
      <w:pPr>
        <w:pStyle w:val="FootnoteText"/>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53 من نظام الإثبات السعودي مرسوم ملكي رقم (م/43) وتاريخ 26/5/1443هـ.</w:t>
      </w:r>
    </w:p>
  </w:footnote>
  <w:footnote w:id="537">
    <w:p w14:paraId="7A969D35"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(54) من نظام الإثبات السعودي مرسوم ملكي رقم (م/43) وتاريخ 26/5/1443هـ.</w:t>
      </w:r>
    </w:p>
  </w:footnote>
  <w:footnote w:id="538">
    <w:p w14:paraId="7F19E805"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أنظر: عبد الهادي بن موفق العنزي، أحكام الدليل الرقمي وفق نظام الإثبات السعودي، مجلة كلية الشريعة والقانون، ج3، ع38، 2024، ص695.</w:t>
      </w:r>
    </w:p>
  </w:footnote>
  <w:footnote w:id="539">
    <w:p w14:paraId="1FE70C11" w14:textId="77777777" w:rsidR="000B6E77" w:rsidRPr="00B62CC6" w:rsidRDefault="000B6E77">
      <w:pPr>
        <w:pStyle w:val="FootnoteText"/>
        <w:rPr>
          <w:rFonts w:ascii="Times New Roman" w:hAnsi="Times New Roman" w:cs="Times New Roman"/>
          <w:sz w:val="24"/>
          <w:szCs w:val="24"/>
        </w:rPr>
      </w:pP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rtl/>
          <w:lang w:val="ar-SA"/>
        </w:rPr>
        <w:t xml:space="preserve"> المادة 56 من نظام الإثبات السعودي مرسوم ملكي رقم (م/43) وتاريخ 26/5/1443هـ.</w:t>
      </w:r>
    </w:p>
  </w:footnote>
  <w:footnote w:id="540">
    <w:p w14:paraId="7DC6B293"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سعد بن علي بن تركي، الدليل الرقمي وأثره في الإثبات: دراسة فقهية تطبيقية مقارنة بالنظام السعودي، مجلة العلوم الشرعية، جامعة القصيم، مج17، ع3، 2384-2436، (2024)، ص2408.</w:t>
      </w:r>
    </w:p>
  </w:footnote>
  <w:footnote w:id="541">
    <w:p w14:paraId="4ABDBFC4"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(9) من نظام التعاملات الإلكترونية مرسوم ملكي رقم م/18 بتاريخ 8/3/1428هـ.</w:t>
      </w:r>
    </w:p>
  </w:footnote>
  <w:footnote w:id="542">
    <w:p w14:paraId="6C72A089"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(8) من نظام التعاملات الإلكترونية مرسوم ملكي رقم //18 بتاريخ 8/3/1428هـ.</w:t>
      </w:r>
    </w:p>
  </w:footnote>
  <w:footnote w:id="543">
    <w:p w14:paraId="04859BEA"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أكثم محمد القرعان، إثبات الجريمة الإلكترونية بالدليل الرقمي، رسالة ماجستير، 1-83، (2023)، ص71.</w:t>
      </w:r>
    </w:p>
  </w:footnote>
  <w:footnote w:id="544">
    <w:p w14:paraId="14BB01F4"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رضوان حسان إسخيطة، التحقيق الجنائي الرقمي في ضوء قوانين حماية البيانات الشخصية، مجلة الندوة للدراسات القانونية، ع26، 3-17، (2019)، ص4.</w:t>
      </w:r>
    </w:p>
  </w:footnote>
  <w:footnote w:id="545">
    <w:p w14:paraId="6546ABFB"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حنان محمد الحسيني، التحقيق الجنائي الرقمي، مجلة جامعة الملك سعود، مج33، ع2، 129-150، (2021)، ص134.</w:t>
      </w:r>
    </w:p>
  </w:footnote>
  <w:footnote w:id="546">
    <w:p w14:paraId="63409AD1"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من نظام حماية حقوق المؤلف 1424هـ، مرسوم ملكي رقم م/41 بتاريخ 2/7/1424.</w:t>
      </w:r>
    </w:p>
  </w:footnote>
  <w:footnote w:id="547">
    <w:p w14:paraId="40802D93"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حنان محمد الحسيني، التحقيق الجنائي الرقمي، مجلة جامعة الملك سعود، مج33، ع2، 129-150، (2021)، ص133.</w:t>
      </w:r>
    </w:p>
  </w:footnote>
  <w:footnote w:id="548">
    <w:p w14:paraId="10613E97"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49">
    <w:p w14:paraId="7DAAE6B1"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عادل حماد عثمان، ضبط الأدلة في مجال الجريمة المعلوماتية، رابطة الأدب الحديث، ج113، 179-247، ص213.</w:t>
      </w:r>
    </w:p>
  </w:footnote>
  <w:footnote w:id="550">
    <w:p w14:paraId="20610B37"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ص117.</w:t>
      </w:r>
    </w:p>
  </w:footnote>
  <w:footnote w:id="551">
    <w:p w14:paraId="45F7FAA5"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(18)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2">
    <w:p w14:paraId="55577896" w14:textId="77777777" w:rsidR="000B6E77" w:rsidRPr="00B62CC6" w:rsidRDefault="000B6E77">
      <w:pPr>
        <w:pStyle w:val="FootnoteText"/>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ص97.</w:t>
      </w:r>
    </w:p>
  </w:footnote>
  <w:footnote w:id="553">
    <w:p w14:paraId="17B9FADF" w14:textId="77777777" w:rsidR="000B6E77" w:rsidRPr="00A663DE" w:rsidRDefault="000B6E77">
      <w:pPr>
        <w:pStyle w:val="FootnoteText"/>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(19)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4">
    <w:p w14:paraId="54D9F17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ص33.</w:t>
      </w:r>
    </w:p>
  </w:footnote>
  <w:footnote w:id="555">
    <w:p w14:paraId="48111B67"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(20)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6">
    <w:p w14:paraId="5355089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ص30.</w:t>
      </w:r>
    </w:p>
  </w:footnote>
  <w:footnote w:id="557">
    <w:p w14:paraId="0037A8A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(27)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8">
    <w:p w14:paraId="724EDF8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ومبروك لمشونشي، نطاق الملكية الفكرية في البيئة الرقمية، مجلة العلوم الإنسانية، مج9، ع3، (2022)، ص1283.</w:t>
      </w:r>
    </w:p>
  </w:footnote>
  <w:footnote w:id="559">
    <w:p w14:paraId="56E2CA8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ص668.</w:t>
      </w:r>
    </w:p>
  </w:footnote>
  <w:footnote w:id="560">
    <w:p w14:paraId="557FE4C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ابن فارس، </w:t>
      </w:r>
      <w:r w:rsidRPr="00A663DE">
        <w:rPr>
          <w:rStyle w:val="None"/>
          <w:rFonts w:ascii="Times New Roman" w:hAnsi="Times New Roman" w:cs="Times New Roman"/>
          <w:sz w:val="24"/>
          <w:szCs w:val="24"/>
          <w:shd w:val="clear" w:color="auto" w:fill="FFFFFF"/>
          <w:rtl/>
          <w:lang w:val="ar-SA"/>
        </w:rPr>
        <w:t>معجم مقاييس اللغة، تحقيق وضبط: عبد السلام محمد هارون، مصر: شركه مكتبة ومطبعة مصطفى البابي الحلبي وأولاده، ط2، 1972م، 2/ 427.</w:t>
      </w:r>
    </w:p>
  </w:footnote>
  <w:footnote w:id="561">
    <w:p w14:paraId="267849F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ابن منظور، لسان العرب، بيروت: دار صادر، ط3، 1414هـ، 1/ 425.</w:t>
      </w:r>
    </w:p>
  </w:footnote>
  <w:footnote w:id="562">
    <w:p w14:paraId="6FBA278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حسن جبل، المعجم الاشتقاقي المؤصل لألفاظ القرآن الكريم، القاهرة: مكتبة الآداب، ط1، 2010م، 2/ 838.</w:t>
      </w:r>
    </w:p>
  </w:footnote>
  <w:footnote w:id="563">
    <w:p w14:paraId="538B329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وردة خلاف، دور الرقابة الإلكترونية في مكافحة الفساد الإداري، المجلة الجزائرية للدراسات التاريخية والقانونية، مج6، ع3، (2021)، ص60.</w:t>
      </w:r>
    </w:p>
  </w:footnote>
  <w:footnote w:id="564">
    <w:p w14:paraId="1E21C9A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ص17.</w:t>
      </w:r>
    </w:p>
  </w:footnote>
  <w:footnote w:id="565">
    <w:p w14:paraId="114258A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ص637.</w:t>
      </w:r>
    </w:p>
  </w:footnote>
  <w:footnote w:id="566">
    <w:p w14:paraId="3950972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ياسر مناع العدوان؛ وأحمد أمين السرحان، أثر الرقابة الإلكترونية على مستوى أداء العاملين في مؤسسات التمويل الحكومية الأردنية، مجلة جرش للبحوث والدراسات، مج21، ع1، (2020)، ص323.</w:t>
      </w:r>
    </w:p>
  </w:footnote>
  <w:footnote w:id="567">
    <w:p w14:paraId="63C27BE4"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الدوه جي، مقدمة في التشفير، سوريا: منشورات الجامعة الافتراضية السورية، (2018)، ص2.</w:t>
      </w:r>
    </w:p>
  </w:footnote>
  <w:footnote w:id="568">
    <w:p w14:paraId="3717CEC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ص18.</w:t>
      </w:r>
    </w:p>
  </w:footnote>
  <w:footnote w:id="569">
    <w:p w14:paraId="276509F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مرجع سابق، ص22.</w:t>
      </w:r>
    </w:p>
  </w:footnote>
  <w:footnote w:id="570">
    <w:p w14:paraId="6A3C998E"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ص664.</w:t>
      </w:r>
    </w:p>
  </w:footnote>
  <w:footnote w:id="571">
    <w:p w14:paraId="31DBBF5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اثير ذياب عباس الزهيري، دور الوسائل الرقمية في الكشف والإثبات الجنائي، مجلة الفارابي للعلوم الإنسانية، ع5، (2024)، ص393.</w:t>
      </w:r>
    </w:p>
  </w:footnote>
  <w:footnote w:id="572">
    <w:p w14:paraId="564855E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وردة خلاف، دور الرقابة الإلكترونية في مكافحة الفساد الإداري، المجلة الجزائرية للدراسات التاريخية والقانونية، مج6، ع3، (2021)، ص63.</w:t>
      </w:r>
    </w:p>
  </w:footnote>
  <w:footnote w:id="573">
    <w:p w14:paraId="30137A7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 من اتفاقية معاهدة الويبو بشأن حق المؤلف لسنة (1996). </w:t>
      </w:r>
    </w:p>
  </w:footnote>
  <w:footnote w:id="574">
    <w:p w14:paraId="764D3BD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75">
    <w:p w14:paraId="0BFE359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الشريف، الرقابة الإلكترونية ودورها في تحقيق الأمن: دارسة فقهية مقارنة، مجلة البحوث الفقهية والقانونية، ع38، (2022)، ص662.</w:t>
      </w:r>
    </w:p>
  </w:footnote>
  <w:footnote w:id="576">
    <w:p w14:paraId="325AFDC8"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فاتن سعيد مبارك، حماية أمن المعلومات في شبكة المكتبات بجامعة أم القرى: دراسة حالة، وقائع المؤتمر العربي الثاني عشر للاتحاد العربي للمكتبات والمعلومات – المكتبات العربية في مطلع الألفية الثالثة، الشارقة: الاتحاد العربي للمكتبات والمعلومات وجامعة الشارقة، مج2، (2001)، ص560.</w:t>
      </w:r>
    </w:p>
  </w:footnote>
  <w:footnote w:id="577">
    <w:p w14:paraId="67C6BB4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وثيقة الضوابط الأساسية للأمن السيبراني، الهيئة الوطنية للأمن السيبراني، (2018)، ص22.</w:t>
      </w:r>
    </w:p>
  </w:footnote>
  <w:footnote w:id="578">
    <w:p w14:paraId="4E0B2932"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(10) من اتفاقية الجوانب المتصلة بالتجارة من حقوق الملكية الفكرية والمعروفة باسم تريبس.</w:t>
      </w:r>
    </w:p>
  </w:footnote>
  <w:footnote w:id="579">
    <w:p w14:paraId="1D3848E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وثيقة الاستراتيجية الوطنية للأمن السيبراني، الهيئة الوطنية للأمن السيبراني، (2020)، ص13.</w:t>
      </w:r>
    </w:p>
  </w:footnote>
  <w:footnote w:id="580">
    <w:p w14:paraId="13522C7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 من تنظيم الهيئة الوطنية للأمن السيبراني، الصادر بالأمر الملكي رقم 6801 بتاريخ 11/2/1439هـ المعدل بالأمر الملكي رقم 7053 بتاريخ 2/2/1443هـ.</w:t>
      </w:r>
    </w:p>
  </w:footnote>
  <w:footnote w:id="581">
    <w:p w14:paraId="5280F446"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 من تنظيم الهيئة الوطنية للأمن السيبراني، الصادر بالأمر الملكي رقم 6801 بتاريخ 11/2/1439هـ المعدل بالأمر الملكي رقم 7053 بتاريخ 2/2/1443هـ.</w:t>
      </w:r>
    </w:p>
  </w:footnote>
  <w:footnote w:id="582">
    <w:p w14:paraId="382804DC"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3">
    <w:p w14:paraId="724F472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ص687.</w:t>
      </w:r>
    </w:p>
  </w:footnote>
  <w:footnote w:id="584">
    <w:p w14:paraId="666AB90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ص30.</w:t>
      </w:r>
    </w:p>
  </w:footnote>
  <w:footnote w:id="585">
    <w:p w14:paraId="274A25F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الدوه جي، مقدمة في التشفير، سوريا: منشورات الجامعة الافتراضية السورية، (2018)، ص8.</w:t>
      </w:r>
    </w:p>
  </w:footnote>
  <w:footnote w:id="586">
    <w:p w14:paraId="629FC421"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(14) من نظام التعاملات الإلكترونية، مرسوم ملكي رقم م/18 بتاريخ 8/3/1428هـ.</w:t>
      </w:r>
    </w:p>
  </w:footnote>
  <w:footnote w:id="587">
    <w:p w14:paraId="26341DCD"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88">
    <w:p w14:paraId="386805F5"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9">
    <w:p w14:paraId="09B9629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ص251.</w:t>
      </w:r>
    </w:p>
  </w:footnote>
  <w:footnote w:id="590">
    <w:p w14:paraId="28082BD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91">
    <w:p w14:paraId="5C86FA5F"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2">
    <w:p w14:paraId="414006D9"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(16)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3">
    <w:p w14:paraId="505381B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ص31.</w:t>
      </w:r>
    </w:p>
  </w:footnote>
  <w:footnote w:id="594">
    <w:p w14:paraId="2EA4C70A"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(28)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5">
    <w:p w14:paraId="027497E3"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(17) من اتفاقية برن لحماية المصنفات الأدبية والفنية، وثيقة باريس المؤرخة 24 يوليه/ تموز 1971، والمعدلة في 28 سبتمبر/ أيلول 1979.</w:t>
      </w:r>
    </w:p>
  </w:footnote>
  <w:footnote w:id="596">
    <w:p w14:paraId="4DF39D5B"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 من اتفاقية معاهدة الويبو بشأن حق المؤلف لسنة (1996).</w:t>
      </w:r>
    </w:p>
  </w:footnote>
  <w:footnote w:id="597">
    <w:p w14:paraId="15E88740" w14:textId="77777777" w:rsidR="000B6E77" w:rsidRPr="00A663DE" w:rsidRDefault="000B6E77">
      <w:pPr>
        <w:pStyle w:val="FootnoteText"/>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(19) من معاهدة الويبو بشأن الأداء والتسجيل الصوتي (1996).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C832" w14:textId="77777777" w:rsidR="000B6E77" w:rsidRDefault="000B6E77">
    <w:pPr>
      <w:pStyle w:val="HeaderFoo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7CCE"/>
    <w:multiLevelType w:val="hybridMultilevel"/>
    <w:tmpl w:val="88E65394"/>
    <w:numStyleLink w:val="ImportedStyle48"/>
  </w:abstractNum>
  <w:abstractNum w:abstractNumId="1" w15:restartNumberingAfterBreak="0">
    <w:nsid w:val="01361177"/>
    <w:multiLevelType w:val="hybridMultilevel"/>
    <w:tmpl w:val="6E0AE508"/>
    <w:styleLink w:val="ImportedStyle71"/>
    <w:lvl w:ilvl="0" w:tplc="19680FA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100B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ACF90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D46BC7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32E7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8A4A7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5861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CBB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0A731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160680F"/>
    <w:multiLevelType w:val="hybridMultilevel"/>
    <w:tmpl w:val="25DCBB5C"/>
    <w:numStyleLink w:val="ImportedStyle11"/>
  </w:abstractNum>
  <w:abstractNum w:abstractNumId="3" w15:restartNumberingAfterBreak="0">
    <w:nsid w:val="016D6E2E"/>
    <w:multiLevelType w:val="hybridMultilevel"/>
    <w:tmpl w:val="416E95DC"/>
    <w:numStyleLink w:val="ImportedStyle58"/>
  </w:abstractNum>
  <w:abstractNum w:abstractNumId="4" w15:restartNumberingAfterBreak="0">
    <w:nsid w:val="01E9081B"/>
    <w:multiLevelType w:val="hybridMultilevel"/>
    <w:tmpl w:val="ABF2E404"/>
    <w:numStyleLink w:val="ImportedStyle108"/>
  </w:abstractNum>
  <w:abstractNum w:abstractNumId="5" w15:restartNumberingAfterBreak="0">
    <w:nsid w:val="02D311BB"/>
    <w:multiLevelType w:val="hybridMultilevel"/>
    <w:tmpl w:val="B568D658"/>
    <w:numStyleLink w:val="ImportedStyle9"/>
  </w:abstractNum>
  <w:abstractNum w:abstractNumId="6" w15:restartNumberingAfterBreak="0">
    <w:nsid w:val="03557991"/>
    <w:multiLevelType w:val="hybridMultilevel"/>
    <w:tmpl w:val="18306F10"/>
    <w:styleLink w:val="ImportedStyle107"/>
    <w:lvl w:ilvl="0" w:tplc="3A507F7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EDE590A">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28ADD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920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306CD9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1BCCC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428F8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B044E0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3BC46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3965360"/>
    <w:multiLevelType w:val="hybridMultilevel"/>
    <w:tmpl w:val="24C864AA"/>
    <w:numStyleLink w:val="ImportedStyle84"/>
  </w:abstractNum>
  <w:abstractNum w:abstractNumId="8" w15:restartNumberingAfterBreak="0">
    <w:nsid w:val="048B7629"/>
    <w:multiLevelType w:val="hybridMultilevel"/>
    <w:tmpl w:val="B40E1A96"/>
    <w:numStyleLink w:val="ImportedStyle110"/>
  </w:abstractNum>
  <w:abstractNum w:abstractNumId="9" w15:restartNumberingAfterBreak="0">
    <w:nsid w:val="05135570"/>
    <w:multiLevelType w:val="hybridMultilevel"/>
    <w:tmpl w:val="D01AEABE"/>
    <w:styleLink w:val="ImportedStyle66"/>
    <w:lvl w:ilvl="0" w:tplc="1646FF1C">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D90C4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76294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E05C7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245FEC">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A360AD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C90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7E029A">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05CDA2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5850232"/>
    <w:multiLevelType w:val="hybridMultilevel"/>
    <w:tmpl w:val="EAE63B9C"/>
    <w:styleLink w:val="ImportedStyle113"/>
    <w:lvl w:ilvl="0" w:tplc="299208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54C2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6CA5F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7C6E08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6ABD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E6145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6F6846A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B46B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F6BC70">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58D1653"/>
    <w:multiLevelType w:val="hybridMultilevel"/>
    <w:tmpl w:val="99861332"/>
    <w:numStyleLink w:val="ImportedStyle88"/>
  </w:abstractNum>
  <w:abstractNum w:abstractNumId="12" w15:restartNumberingAfterBreak="0">
    <w:nsid w:val="05AE1EF5"/>
    <w:multiLevelType w:val="hybridMultilevel"/>
    <w:tmpl w:val="57EA2914"/>
    <w:numStyleLink w:val="ImportedStyle81"/>
  </w:abstractNum>
  <w:abstractNum w:abstractNumId="13" w15:restartNumberingAfterBreak="0">
    <w:nsid w:val="05BE734B"/>
    <w:multiLevelType w:val="hybridMultilevel"/>
    <w:tmpl w:val="913C413C"/>
    <w:styleLink w:val="ImportedStyle126"/>
    <w:lvl w:ilvl="0" w:tplc="26A2593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D0A5EE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B52E5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25C417B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854ED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2FA69C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5832F44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DE292A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09610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5D32DCF"/>
    <w:multiLevelType w:val="hybridMultilevel"/>
    <w:tmpl w:val="23247C82"/>
    <w:numStyleLink w:val="ImportedStyle92"/>
  </w:abstractNum>
  <w:abstractNum w:abstractNumId="15" w15:restartNumberingAfterBreak="0">
    <w:nsid w:val="05F10C29"/>
    <w:multiLevelType w:val="hybridMultilevel"/>
    <w:tmpl w:val="24A06B02"/>
    <w:numStyleLink w:val="ImportedStyle13"/>
  </w:abstractNum>
  <w:abstractNum w:abstractNumId="16" w15:restartNumberingAfterBreak="0">
    <w:nsid w:val="06051F9F"/>
    <w:multiLevelType w:val="hybridMultilevel"/>
    <w:tmpl w:val="E93EA242"/>
    <w:numStyleLink w:val="ImportedStyle112"/>
  </w:abstractNum>
  <w:abstractNum w:abstractNumId="17" w15:restartNumberingAfterBreak="0">
    <w:nsid w:val="063C64FC"/>
    <w:multiLevelType w:val="hybridMultilevel"/>
    <w:tmpl w:val="BE74EEDE"/>
    <w:styleLink w:val="ImportedStyle99"/>
    <w:lvl w:ilvl="0" w:tplc="5E44E3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D4193E">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B82C1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546D6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2A2EF6">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7C58D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EE5CE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65A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AC80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665111C"/>
    <w:multiLevelType w:val="hybridMultilevel"/>
    <w:tmpl w:val="0096CAF2"/>
    <w:styleLink w:val="ImportedStyle76"/>
    <w:lvl w:ilvl="0" w:tplc="1B2CEC78">
      <w:start w:val="1"/>
      <w:numFmt w:val="bullet"/>
      <w:lvlText w:val="-"/>
      <w:lvlJc w:val="left"/>
      <w:pPr>
        <w:ind w:left="70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F1E66F8">
      <w:start w:val="1"/>
      <w:numFmt w:val="bullet"/>
      <w:lvlText w:val="o"/>
      <w:lvlJc w:val="left"/>
      <w:pPr>
        <w:ind w:left="14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584FE3E">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5AD35E">
      <w:start w:val="1"/>
      <w:numFmt w:val="bullet"/>
      <w:lvlText w:val="•"/>
      <w:lvlJc w:val="left"/>
      <w:pPr>
        <w:ind w:left="286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2C025C2">
      <w:start w:val="1"/>
      <w:numFmt w:val="bullet"/>
      <w:lvlText w:val="o"/>
      <w:lvlJc w:val="left"/>
      <w:pPr>
        <w:ind w:left="358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756E156">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E049BC">
      <w:start w:val="1"/>
      <w:numFmt w:val="bullet"/>
      <w:lvlText w:val="•"/>
      <w:lvlJc w:val="left"/>
      <w:pPr>
        <w:ind w:left="50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BE8078">
      <w:start w:val="1"/>
      <w:numFmt w:val="bullet"/>
      <w:lvlText w:val="o"/>
      <w:lvlJc w:val="left"/>
      <w:pPr>
        <w:ind w:left="574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196F73C">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7643B12"/>
    <w:multiLevelType w:val="hybridMultilevel"/>
    <w:tmpl w:val="1AC8F37A"/>
    <w:numStyleLink w:val="ImportedStyle4"/>
  </w:abstractNum>
  <w:abstractNum w:abstractNumId="20" w15:restartNumberingAfterBreak="0">
    <w:nsid w:val="081303FD"/>
    <w:multiLevelType w:val="hybridMultilevel"/>
    <w:tmpl w:val="416E95DC"/>
    <w:styleLink w:val="ImportedStyle58"/>
    <w:lvl w:ilvl="0" w:tplc="B744456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140E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922AB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E8707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9A598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6E9FC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7ACDD4">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C6727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F4073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8F60119"/>
    <w:multiLevelType w:val="hybridMultilevel"/>
    <w:tmpl w:val="3FB69FE2"/>
    <w:numStyleLink w:val="ImportedStyle25"/>
  </w:abstractNum>
  <w:abstractNum w:abstractNumId="22" w15:restartNumberingAfterBreak="0">
    <w:nsid w:val="0A6E414A"/>
    <w:multiLevelType w:val="hybridMultilevel"/>
    <w:tmpl w:val="091002DA"/>
    <w:styleLink w:val="ImportedStyle86"/>
    <w:lvl w:ilvl="0" w:tplc="ABFEA98A">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B8012A">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E23ED0">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FEA7EB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DE6770C">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6E6D24">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F8C482">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88C31A">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E2D4F8">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A854698"/>
    <w:multiLevelType w:val="hybridMultilevel"/>
    <w:tmpl w:val="DCFC2BA6"/>
    <w:numStyleLink w:val="ImportedStyle122"/>
  </w:abstractNum>
  <w:abstractNum w:abstractNumId="24" w15:restartNumberingAfterBreak="0">
    <w:nsid w:val="0B67146F"/>
    <w:multiLevelType w:val="hybridMultilevel"/>
    <w:tmpl w:val="1AC8F37A"/>
    <w:styleLink w:val="ImportedStyle4"/>
    <w:lvl w:ilvl="0" w:tplc="3F6EC74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0A8699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21CA7F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08A5C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3E88E2A">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45FC42D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A86B98">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2BAD8E0">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54EFCE2">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0B671477"/>
    <w:multiLevelType w:val="hybridMultilevel"/>
    <w:tmpl w:val="9CF039C8"/>
    <w:styleLink w:val="ImportedStyle69"/>
    <w:lvl w:ilvl="0" w:tplc="09B48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A6AA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643B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2AA5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7091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8AF0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DA56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902E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809E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0B724B86"/>
    <w:multiLevelType w:val="hybridMultilevel"/>
    <w:tmpl w:val="3D1CB888"/>
    <w:styleLink w:val="ImportedStyle31"/>
    <w:lvl w:ilvl="0" w:tplc="D88648F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64A8C8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CC9FD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0147D7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736DB0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D5CBB0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DDC012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CEE25D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2A05716">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0B93485D"/>
    <w:multiLevelType w:val="hybridMultilevel"/>
    <w:tmpl w:val="B7FCADF0"/>
    <w:styleLink w:val="ImportedStyle123"/>
    <w:lvl w:ilvl="0" w:tplc="520AAAB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34AF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AE9DB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452AFB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D815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E84D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0D4BCA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5411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34ED9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0C9137E7"/>
    <w:multiLevelType w:val="hybridMultilevel"/>
    <w:tmpl w:val="9D9634E6"/>
    <w:styleLink w:val="ImportedStyle87"/>
    <w:lvl w:ilvl="0" w:tplc="E286BD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2A8A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3088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82EE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A0B4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EE99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BCA4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044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FC70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0E3D6BED"/>
    <w:multiLevelType w:val="hybridMultilevel"/>
    <w:tmpl w:val="B8BA2DE0"/>
    <w:numStyleLink w:val="ImportedStyle37"/>
  </w:abstractNum>
  <w:abstractNum w:abstractNumId="30" w15:restartNumberingAfterBreak="0">
    <w:nsid w:val="0E4D5705"/>
    <w:multiLevelType w:val="hybridMultilevel"/>
    <w:tmpl w:val="A16E8B4A"/>
    <w:numStyleLink w:val="ImportedStyle2"/>
  </w:abstractNum>
  <w:abstractNum w:abstractNumId="31" w15:restartNumberingAfterBreak="0">
    <w:nsid w:val="0E9B7673"/>
    <w:multiLevelType w:val="hybridMultilevel"/>
    <w:tmpl w:val="52C84060"/>
    <w:numStyleLink w:val="ImportedStyle78"/>
  </w:abstractNum>
  <w:abstractNum w:abstractNumId="32" w15:restartNumberingAfterBreak="0">
    <w:nsid w:val="0F49037B"/>
    <w:multiLevelType w:val="hybridMultilevel"/>
    <w:tmpl w:val="690EBB38"/>
    <w:numStyleLink w:val="ImportedStyle138"/>
  </w:abstractNum>
  <w:abstractNum w:abstractNumId="33" w15:restartNumberingAfterBreak="0">
    <w:nsid w:val="0FA31966"/>
    <w:multiLevelType w:val="hybridMultilevel"/>
    <w:tmpl w:val="1638BCE0"/>
    <w:styleLink w:val="ImportedStyle103"/>
    <w:lvl w:ilvl="0" w:tplc="77A8DA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D0A3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740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5AFB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56A9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74DA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EC63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069D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FC6C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0037BD2"/>
    <w:multiLevelType w:val="hybridMultilevel"/>
    <w:tmpl w:val="EB7C7BAC"/>
    <w:styleLink w:val="ImportedStyle17"/>
    <w:lvl w:ilvl="0" w:tplc="1782533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3FC35B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BA46F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5093B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DC8794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7E61F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EC720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4084D8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D52981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01A6575"/>
    <w:multiLevelType w:val="hybridMultilevel"/>
    <w:tmpl w:val="23247C82"/>
    <w:styleLink w:val="ImportedStyle92"/>
    <w:lvl w:ilvl="0" w:tplc="12C688A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BC0285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1B69B9A">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C9CF9B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6AE6B2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D028006">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C39488C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502EE8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486B346">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12610EB"/>
    <w:multiLevelType w:val="hybridMultilevel"/>
    <w:tmpl w:val="5942959A"/>
    <w:styleLink w:val="ImportedStyle136"/>
    <w:lvl w:ilvl="0" w:tplc="DBD89BD0">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C8A5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CE4C7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796A9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2EA2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FC581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67CB06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3653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D8136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1CD2A99"/>
    <w:multiLevelType w:val="hybridMultilevel"/>
    <w:tmpl w:val="EB7C7BAC"/>
    <w:numStyleLink w:val="ImportedStyle17"/>
  </w:abstractNum>
  <w:abstractNum w:abstractNumId="38" w15:restartNumberingAfterBreak="0">
    <w:nsid w:val="11FB6ACE"/>
    <w:multiLevelType w:val="hybridMultilevel"/>
    <w:tmpl w:val="75F221C6"/>
    <w:styleLink w:val="ImportedStyle94"/>
    <w:lvl w:ilvl="0" w:tplc="08948696">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CAD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8FAE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1431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9A75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60EAB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8D8B5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1823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34780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129C28D2"/>
    <w:multiLevelType w:val="hybridMultilevel"/>
    <w:tmpl w:val="0ACED8CA"/>
    <w:numStyleLink w:val="ImportedStyle105"/>
  </w:abstractNum>
  <w:abstractNum w:abstractNumId="40" w15:restartNumberingAfterBreak="0">
    <w:nsid w:val="12CF5025"/>
    <w:multiLevelType w:val="hybridMultilevel"/>
    <w:tmpl w:val="B6D47E76"/>
    <w:styleLink w:val="ImportedStyle128"/>
    <w:lvl w:ilvl="0" w:tplc="FF60909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820B3E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12C90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4F16835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1DA960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0949046">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6ABE789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25478A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392B6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37237AC"/>
    <w:multiLevelType w:val="hybridMultilevel"/>
    <w:tmpl w:val="BAACFC30"/>
    <w:numStyleLink w:val="ImportedStyle134"/>
  </w:abstractNum>
  <w:abstractNum w:abstractNumId="42" w15:restartNumberingAfterBreak="0">
    <w:nsid w:val="14083BA2"/>
    <w:multiLevelType w:val="hybridMultilevel"/>
    <w:tmpl w:val="CB762CA6"/>
    <w:styleLink w:val="ImportedStyle132"/>
    <w:lvl w:ilvl="0" w:tplc="57EA42D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5424FD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684C0A2">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A418CF8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FA65C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CAB63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E79279F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BACD9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B80C9D4">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41A5EC4"/>
    <w:multiLevelType w:val="hybridMultilevel"/>
    <w:tmpl w:val="9A10F9AC"/>
    <w:styleLink w:val="ImportedStyle39"/>
    <w:lvl w:ilvl="0" w:tplc="D97C130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B2E202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6F2472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5F07DAE">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50CEC8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DB8C1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5B2491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4DE9E5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49E637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144B26F4"/>
    <w:multiLevelType w:val="hybridMultilevel"/>
    <w:tmpl w:val="1F764348"/>
    <w:styleLink w:val="ImportedStyle14"/>
    <w:lvl w:ilvl="0" w:tplc="953A5F9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5AECA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6F64D5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8EE7F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74810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264CB1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BAA654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8E2EE5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4ECC3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14FD74BA"/>
    <w:multiLevelType w:val="hybridMultilevel"/>
    <w:tmpl w:val="B96E3522"/>
    <w:styleLink w:val="ImportedStyle118"/>
    <w:lvl w:ilvl="0" w:tplc="A73C3B76">
      <w:start w:val="1"/>
      <w:numFmt w:val="arabicAlpha"/>
      <w:lvlText w:val="%1."/>
      <w:lvlJc w:val="left"/>
      <w:pPr>
        <w:ind w:left="113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005F10">
      <w:start w:val="1"/>
      <w:numFmt w:val="lowerLetter"/>
      <w:lvlText w:val="%2."/>
      <w:lvlJc w:val="left"/>
      <w:pPr>
        <w:ind w:left="185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A0DB3C">
      <w:start w:val="1"/>
      <w:numFmt w:val="lowerRoman"/>
      <w:lvlText w:val="%3."/>
      <w:lvlJc w:val="left"/>
      <w:pPr>
        <w:ind w:left="257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6001BEE">
      <w:start w:val="1"/>
      <w:numFmt w:val="decimal"/>
      <w:lvlText w:val="%4."/>
      <w:lvlJc w:val="left"/>
      <w:pPr>
        <w:ind w:left="329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A0FF48">
      <w:start w:val="1"/>
      <w:numFmt w:val="lowerLetter"/>
      <w:lvlText w:val="%5."/>
      <w:lvlJc w:val="left"/>
      <w:pPr>
        <w:ind w:left="401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50B8BA">
      <w:start w:val="1"/>
      <w:numFmt w:val="lowerRoman"/>
      <w:lvlText w:val="%6."/>
      <w:lvlJc w:val="left"/>
      <w:pPr>
        <w:ind w:left="473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B3C84EC">
      <w:start w:val="1"/>
      <w:numFmt w:val="decimal"/>
      <w:lvlText w:val="%7."/>
      <w:lvlJc w:val="left"/>
      <w:pPr>
        <w:ind w:left="545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829D0C">
      <w:start w:val="1"/>
      <w:numFmt w:val="lowerLetter"/>
      <w:lvlText w:val="%8."/>
      <w:lvlJc w:val="left"/>
      <w:pPr>
        <w:ind w:left="617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2CE984">
      <w:start w:val="1"/>
      <w:numFmt w:val="lowerRoman"/>
      <w:lvlText w:val="%9."/>
      <w:lvlJc w:val="left"/>
      <w:pPr>
        <w:ind w:left="689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5075537"/>
    <w:multiLevelType w:val="hybridMultilevel"/>
    <w:tmpl w:val="CC4E7A42"/>
    <w:styleLink w:val="ImportedStyle98"/>
    <w:lvl w:ilvl="0" w:tplc="964A3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0CE9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06E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0A78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2E2C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A63C5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8C9D9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A62E9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CEA0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155D5460"/>
    <w:multiLevelType w:val="hybridMultilevel"/>
    <w:tmpl w:val="3946B2BA"/>
    <w:numStyleLink w:val="ImportedStyle139"/>
  </w:abstractNum>
  <w:abstractNum w:abstractNumId="48" w15:restartNumberingAfterBreak="0">
    <w:nsid w:val="15D24C58"/>
    <w:multiLevelType w:val="hybridMultilevel"/>
    <w:tmpl w:val="EB06D1C2"/>
    <w:numStyleLink w:val="ImportedStyle43"/>
  </w:abstractNum>
  <w:abstractNum w:abstractNumId="49" w15:restartNumberingAfterBreak="0">
    <w:nsid w:val="16323237"/>
    <w:multiLevelType w:val="hybridMultilevel"/>
    <w:tmpl w:val="89981E14"/>
    <w:numStyleLink w:val="ImportedStyle49"/>
  </w:abstractNum>
  <w:abstractNum w:abstractNumId="50" w15:restartNumberingAfterBreak="0">
    <w:nsid w:val="16684CF1"/>
    <w:multiLevelType w:val="hybridMultilevel"/>
    <w:tmpl w:val="9A10F9AC"/>
    <w:numStyleLink w:val="ImportedStyle39"/>
  </w:abstractNum>
  <w:abstractNum w:abstractNumId="51" w15:restartNumberingAfterBreak="0">
    <w:nsid w:val="16963245"/>
    <w:multiLevelType w:val="hybridMultilevel"/>
    <w:tmpl w:val="C7FA37D4"/>
    <w:numStyleLink w:val="ImportedStyle53"/>
  </w:abstractNum>
  <w:abstractNum w:abstractNumId="52" w15:restartNumberingAfterBreak="0">
    <w:nsid w:val="16CE0FCD"/>
    <w:multiLevelType w:val="hybridMultilevel"/>
    <w:tmpl w:val="B8BA2DE0"/>
    <w:styleLink w:val="ImportedStyle37"/>
    <w:lvl w:ilvl="0" w:tplc="471ECDC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1B29ED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306A4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E4B03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707B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78CF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4C2E4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D622F3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2BA6C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17B8204E"/>
    <w:multiLevelType w:val="hybridMultilevel"/>
    <w:tmpl w:val="CC4E7A42"/>
    <w:numStyleLink w:val="ImportedStyle98"/>
  </w:abstractNum>
  <w:abstractNum w:abstractNumId="54" w15:restartNumberingAfterBreak="0">
    <w:nsid w:val="184C5E25"/>
    <w:multiLevelType w:val="hybridMultilevel"/>
    <w:tmpl w:val="081A5074"/>
    <w:styleLink w:val="ImportedStyle74"/>
    <w:lvl w:ilvl="0" w:tplc="EF4E1E6C">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54F24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9B6CF4A">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7C450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8C96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F8ED35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660C3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8DC1B2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69A323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18AB7D2C"/>
    <w:multiLevelType w:val="hybridMultilevel"/>
    <w:tmpl w:val="AF48E096"/>
    <w:styleLink w:val="ImportedStyle40"/>
    <w:lvl w:ilvl="0" w:tplc="900473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68526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E431C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49AA5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B8D8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65CB78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55ADA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18DD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18FBF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198007AC"/>
    <w:multiLevelType w:val="hybridMultilevel"/>
    <w:tmpl w:val="0ACED8CA"/>
    <w:styleLink w:val="ImportedStyle105"/>
    <w:lvl w:ilvl="0" w:tplc="56741B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6AB0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D08F6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1846A1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EA6E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4E2370">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C394AA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6A96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14120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19842585"/>
    <w:multiLevelType w:val="hybridMultilevel"/>
    <w:tmpl w:val="868C50D4"/>
    <w:numStyleLink w:val="ImportedStyle100"/>
  </w:abstractNum>
  <w:abstractNum w:abstractNumId="58" w15:restartNumberingAfterBreak="0">
    <w:nsid w:val="198F395F"/>
    <w:multiLevelType w:val="hybridMultilevel"/>
    <w:tmpl w:val="16227C5C"/>
    <w:numStyleLink w:val="ImportedStyle80"/>
  </w:abstractNum>
  <w:abstractNum w:abstractNumId="59" w15:restartNumberingAfterBreak="0">
    <w:nsid w:val="19CC524C"/>
    <w:multiLevelType w:val="hybridMultilevel"/>
    <w:tmpl w:val="B6602150"/>
    <w:numStyleLink w:val="ImportedStyle8"/>
  </w:abstractNum>
  <w:abstractNum w:abstractNumId="60" w15:restartNumberingAfterBreak="0">
    <w:nsid w:val="19E40616"/>
    <w:multiLevelType w:val="hybridMultilevel"/>
    <w:tmpl w:val="EAE63B9C"/>
    <w:numStyleLink w:val="ImportedStyle113"/>
  </w:abstractNum>
  <w:abstractNum w:abstractNumId="61" w15:restartNumberingAfterBreak="0">
    <w:nsid w:val="19F168E4"/>
    <w:multiLevelType w:val="hybridMultilevel"/>
    <w:tmpl w:val="7408E5A0"/>
    <w:numStyleLink w:val="ImportedStyle44"/>
  </w:abstractNum>
  <w:abstractNum w:abstractNumId="62" w15:restartNumberingAfterBreak="0">
    <w:nsid w:val="1A724924"/>
    <w:multiLevelType w:val="hybridMultilevel"/>
    <w:tmpl w:val="356CD198"/>
    <w:numStyleLink w:val="ImportedStyle41"/>
  </w:abstractNum>
  <w:abstractNum w:abstractNumId="63" w15:restartNumberingAfterBreak="0">
    <w:nsid w:val="1B0F4D35"/>
    <w:multiLevelType w:val="hybridMultilevel"/>
    <w:tmpl w:val="3DFC49B0"/>
    <w:styleLink w:val="ImportedStyle65"/>
    <w:lvl w:ilvl="0" w:tplc="6E9CDE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8E89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D5AB7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02CC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2E4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5661C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0DCFD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3473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68C3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1B3E4CDD"/>
    <w:multiLevelType w:val="hybridMultilevel"/>
    <w:tmpl w:val="24A06B02"/>
    <w:styleLink w:val="ImportedStyle13"/>
    <w:lvl w:ilvl="0" w:tplc="AAFAA8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7B8FC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6008F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1A653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4EB7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CE9C4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AA3BD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834B3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2225008">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1B6406C0"/>
    <w:multiLevelType w:val="hybridMultilevel"/>
    <w:tmpl w:val="18306F10"/>
    <w:numStyleLink w:val="ImportedStyle107"/>
  </w:abstractNum>
  <w:abstractNum w:abstractNumId="66" w15:restartNumberingAfterBreak="0">
    <w:nsid w:val="1B7D45C3"/>
    <w:multiLevelType w:val="hybridMultilevel"/>
    <w:tmpl w:val="869A45BE"/>
    <w:numStyleLink w:val="ImportedStyle141"/>
  </w:abstractNum>
  <w:abstractNum w:abstractNumId="67" w15:restartNumberingAfterBreak="0">
    <w:nsid w:val="1BB2237B"/>
    <w:multiLevelType w:val="hybridMultilevel"/>
    <w:tmpl w:val="A19C83F0"/>
    <w:styleLink w:val="ImportedStyle61"/>
    <w:lvl w:ilvl="0" w:tplc="F1EC88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048C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7204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1260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CE47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A20B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F607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4E13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6E68C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1D5C7A7D"/>
    <w:multiLevelType w:val="hybridMultilevel"/>
    <w:tmpl w:val="9F620ED8"/>
    <w:styleLink w:val="ImportedStyle104"/>
    <w:lvl w:ilvl="0" w:tplc="BF3635E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82472A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F4836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18CDEC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5CA656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5EEAD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7075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4407C1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66489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1DA1653E"/>
    <w:multiLevelType w:val="hybridMultilevel"/>
    <w:tmpl w:val="ABF2E404"/>
    <w:styleLink w:val="ImportedStyle108"/>
    <w:lvl w:ilvl="0" w:tplc="E856D53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BCAB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5D1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96882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96A3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B08F3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27437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EE9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16B55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1DB4271C"/>
    <w:multiLevelType w:val="hybridMultilevel"/>
    <w:tmpl w:val="0BAE54B8"/>
    <w:styleLink w:val="ImportedStyle127"/>
    <w:lvl w:ilvl="0" w:tplc="A452883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FA54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B4D8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E7C00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E6707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4C31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24845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767AD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0A66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1DC11BE7"/>
    <w:multiLevelType w:val="hybridMultilevel"/>
    <w:tmpl w:val="1638BCE0"/>
    <w:numStyleLink w:val="ImportedStyle103"/>
  </w:abstractNum>
  <w:abstractNum w:abstractNumId="72" w15:restartNumberingAfterBreak="0">
    <w:nsid w:val="1E8A5638"/>
    <w:multiLevelType w:val="hybridMultilevel"/>
    <w:tmpl w:val="DCA2CBF4"/>
    <w:styleLink w:val="ImportedStyle95"/>
    <w:lvl w:ilvl="0" w:tplc="F0C8EFF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2382B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E921AE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4BAA2A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EE1456">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39CA60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9F1EBDD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16AD30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4010E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1E97498F"/>
    <w:multiLevelType w:val="hybridMultilevel"/>
    <w:tmpl w:val="690EBB38"/>
    <w:styleLink w:val="ImportedStyle138"/>
    <w:lvl w:ilvl="0" w:tplc="EB1C17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16C5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7E21A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CF3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1A20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7E36F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38237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1C75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E4D74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1EAD1BD6"/>
    <w:multiLevelType w:val="hybridMultilevel"/>
    <w:tmpl w:val="9CA26F32"/>
    <w:numStyleLink w:val="ImportedStyle124"/>
  </w:abstractNum>
  <w:abstractNum w:abstractNumId="75" w15:restartNumberingAfterBreak="0">
    <w:nsid w:val="1F0A6DAC"/>
    <w:multiLevelType w:val="hybridMultilevel"/>
    <w:tmpl w:val="5C26A3D6"/>
    <w:numStyleLink w:val="ImportedStyle45"/>
  </w:abstractNum>
  <w:abstractNum w:abstractNumId="76" w15:restartNumberingAfterBreak="0">
    <w:nsid w:val="1FAB0BA5"/>
    <w:multiLevelType w:val="hybridMultilevel"/>
    <w:tmpl w:val="D8FA88DE"/>
    <w:styleLink w:val="ImportedStyle54"/>
    <w:lvl w:ilvl="0" w:tplc="31389C5C">
      <w:start w:val="1"/>
      <w:numFmt w:val="decimal"/>
      <w:lvlText w:val="%1."/>
      <w:lvlJc w:val="left"/>
      <w:pPr>
        <w:ind w:left="70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08E3F5A">
      <w:start w:val="1"/>
      <w:numFmt w:val="lowerLetter"/>
      <w:lvlText w:val="%2."/>
      <w:lvlJc w:val="left"/>
      <w:pPr>
        <w:ind w:left="142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18406A0">
      <w:start w:val="1"/>
      <w:numFmt w:val="lowerRoman"/>
      <w:lvlText w:val="%3."/>
      <w:lvlJc w:val="left"/>
      <w:pPr>
        <w:ind w:left="214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996F560">
      <w:start w:val="1"/>
      <w:numFmt w:val="decimal"/>
      <w:lvlText w:val="%4."/>
      <w:lvlJc w:val="left"/>
      <w:pPr>
        <w:ind w:left="286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027B0">
      <w:start w:val="1"/>
      <w:numFmt w:val="lowerLetter"/>
      <w:lvlText w:val="%5."/>
      <w:lvlJc w:val="left"/>
      <w:pPr>
        <w:ind w:left="358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7C97F4">
      <w:start w:val="1"/>
      <w:numFmt w:val="lowerRoman"/>
      <w:lvlText w:val="%6."/>
      <w:lvlJc w:val="left"/>
      <w:pPr>
        <w:ind w:left="430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A84B7A">
      <w:start w:val="1"/>
      <w:numFmt w:val="decimal"/>
      <w:lvlText w:val="%7."/>
      <w:lvlJc w:val="left"/>
      <w:pPr>
        <w:ind w:left="502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F4FC7E">
      <w:start w:val="1"/>
      <w:numFmt w:val="lowerLetter"/>
      <w:lvlText w:val="%8."/>
      <w:lvlJc w:val="left"/>
      <w:pPr>
        <w:ind w:left="574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46E1684">
      <w:start w:val="1"/>
      <w:numFmt w:val="lowerRoman"/>
      <w:lvlText w:val="%9."/>
      <w:lvlJc w:val="left"/>
      <w:pPr>
        <w:ind w:left="646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1FBC3647"/>
    <w:multiLevelType w:val="hybridMultilevel"/>
    <w:tmpl w:val="E93EA242"/>
    <w:styleLink w:val="ImportedStyle112"/>
    <w:lvl w:ilvl="0" w:tplc="6172C01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94A82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63E4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5805A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FE04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3E76F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805DC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5629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1079D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20010958"/>
    <w:multiLevelType w:val="multilevel"/>
    <w:tmpl w:val="67DE45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06F0557"/>
    <w:multiLevelType w:val="hybridMultilevel"/>
    <w:tmpl w:val="AF48E096"/>
    <w:numStyleLink w:val="ImportedStyle40"/>
  </w:abstractNum>
  <w:abstractNum w:abstractNumId="80" w15:restartNumberingAfterBreak="0">
    <w:nsid w:val="20D66E21"/>
    <w:multiLevelType w:val="hybridMultilevel"/>
    <w:tmpl w:val="488EC068"/>
    <w:styleLink w:val="ImportedStyle133"/>
    <w:lvl w:ilvl="0" w:tplc="0054F9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76043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72E05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8CA2C7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B26F0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0E8F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5583A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7CEF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8A4A4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21114D26"/>
    <w:multiLevelType w:val="hybridMultilevel"/>
    <w:tmpl w:val="DA50AD7A"/>
    <w:styleLink w:val="ImportedStyle62"/>
    <w:lvl w:ilvl="0" w:tplc="CA468F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482F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949A5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7621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EAFF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604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6003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30AD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946F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217243DE"/>
    <w:multiLevelType w:val="hybridMultilevel"/>
    <w:tmpl w:val="D4705628"/>
    <w:styleLink w:val="ImportedStyle130"/>
    <w:lvl w:ilvl="0" w:tplc="C5E0E032">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441510">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E2E3A">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B180806">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F6A19A">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302AA8">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150AC6A">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120389E">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2C5B6C">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21D93C6C"/>
    <w:multiLevelType w:val="hybridMultilevel"/>
    <w:tmpl w:val="9B383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1FD26EC"/>
    <w:multiLevelType w:val="hybridMultilevel"/>
    <w:tmpl w:val="DCA2CBF4"/>
    <w:numStyleLink w:val="ImportedStyle95"/>
  </w:abstractNum>
  <w:abstractNum w:abstractNumId="85" w15:restartNumberingAfterBreak="0">
    <w:nsid w:val="22123962"/>
    <w:multiLevelType w:val="hybridMultilevel"/>
    <w:tmpl w:val="10CE2F36"/>
    <w:numStyleLink w:val="ImportedStyle97"/>
  </w:abstractNum>
  <w:abstractNum w:abstractNumId="86" w15:restartNumberingAfterBreak="0">
    <w:nsid w:val="2259589C"/>
    <w:multiLevelType w:val="hybridMultilevel"/>
    <w:tmpl w:val="66D213F8"/>
    <w:numStyleLink w:val="ImportedStyle121"/>
  </w:abstractNum>
  <w:abstractNum w:abstractNumId="87" w15:restartNumberingAfterBreak="0">
    <w:nsid w:val="22653139"/>
    <w:multiLevelType w:val="hybridMultilevel"/>
    <w:tmpl w:val="AE0EEDA4"/>
    <w:numStyleLink w:val="ImportedStyle21"/>
  </w:abstractNum>
  <w:abstractNum w:abstractNumId="88" w15:restartNumberingAfterBreak="0">
    <w:nsid w:val="227A4825"/>
    <w:multiLevelType w:val="hybridMultilevel"/>
    <w:tmpl w:val="DAFA38EC"/>
    <w:styleLink w:val="ImportedStyle73"/>
    <w:lvl w:ilvl="0" w:tplc="20CCB18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FFEB2B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7460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8DA8F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CC4FC3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88AD0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5628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EAC5AC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B3AF7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22D74BF9"/>
    <w:multiLevelType w:val="hybridMultilevel"/>
    <w:tmpl w:val="B40E1A96"/>
    <w:styleLink w:val="ImportedStyle110"/>
    <w:lvl w:ilvl="0" w:tplc="437E87C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B0D15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12280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4FCF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AC9E2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CE22D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728A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05C6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7A96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0" w15:restartNumberingAfterBreak="0">
    <w:nsid w:val="231D5183"/>
    <w:multiLevelType w:val="hybridMultilevel"/>
    <w:tmpl w:val="C79A0480"/>
    <w:styleLink w:val="ImportedStyle18"/>
    <w:lvl w:ilvl="0" w:tplc="F63C104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1" w:tplc="BF825A4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2" w:tplc="8446DD5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3" w:tplc="97C49ED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4" w:tplc="37BCA9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5" w:tplc="D9B817D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6" w:tplc="3DBCE4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2FEA6F6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4C7496B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91" w15:restartNumberingAfterBreak="0">
    <w:nsid w:val="239E277F"/>
    <w:multiLevelType w:val="hybridMultilevel"/>
    <w:tmpl w:val="D28250F2"/>
    <w:styleLink w:val="ImportedStyle7"/>
    <w:lvl w:ilvl="0" w:tplc="D7E6197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1941AE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0241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7A44F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24405D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5B044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BE2A6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3E4D5F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78C25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2" w15:restartNumberingAfterBreak="0">
    <w:nsid w:val="2400526D"/>
    <w:multiLevelType w:val="hybridMultilevel"/>
    <w:tmpl w:val="F6F26860"/>
    <w:numStyleLink w:val="ImportedStyle96"/>
  </w:abstractNum>
  <w:abstractNum w:abstractNumId="93" w15:restartNumberingAfterBreak="0">
    <w:nsid w:val="244F1E9D"/>
    <w:multiLevelType w:val="hybridMultilevel"/>
    <w:tmpl w:val="D4DEE7F4"/>
    <w:numStyleLink w:val="ImportedStyle90"/>
  </w:abstractNum>
  <w:abstractNum w:abstractNumId="94" w15:restartNumberingAfterBreak="0">
    <w:nsid w:val="248D7C64"/>
    <w:multiLevelType w:val="hybridMultilevel"/>
    <w:tmpl w:val="B9546428"/>
    <w:numStyleLink w:val="ImportedStyle109"/>
  </w:abstractNum>
  <w:abstractNum w:abstractNumId="95" w15:restartNumberingAfterBreak="0">
    <w:nsid w:val="24BA2371"/>
    <w:multiLevelType w:val="hybridMultilevel"/>
    <w:tmpl w:val="DFC407C6"/>
    <w:styleLink w:val="ImportedStyle29"/>
    <w:lvl w:ilvl="0" w:tplc="A386D8E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26BA1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2A324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58A9BF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714A86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780FF0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76273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4A2C0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14F0A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25F85232"/>
    <w:multiLevelType w:val="hybridMultilevel"/>
    <w:tmpl w:val="2174DD90"/>
    <w:styleLink w:val="ImportedStyle35"/>
    <w:lvl w:ilvl="0" w:tplc="9CB0B40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CE21B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350E20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84C8928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596B44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E78A8A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DB9686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DF4C93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52B59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25FA23F5"/>
    <w:multiLevelType w:val="hybridMultilevel"/>
    <w:tmpl w:val="34AE72B8"/>
    <w:styleLink w:val="ImportedStyle68"/>
    <w:lvl w:ilvl="0" w:tplc="9E20D7A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0E2A64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03AC5A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22EEE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F6699D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AAA969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A188E9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990E4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748CED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2673484E"/>
    <w:multiLevelType w:val="hybridMultilevel"/>
    <w:tmpl w:val="75F221C6"/>
    <w:numStyleLink w:val="ImportedStyle94"/>
  </w:abstractNum>
  <w:abstractNum w:abstractNumId="99" w15:restartNumberingAfterBreak="0">
    <w:nsid w:val="26F24ACC"/>
    <w:multiLevelType w:val="hybridMultilevel"/>
    <w:tmpl w:val="B6D47E76"/>
    <w:numStyleLink w:val="ImportedStyle128"/>
  </w:abstractNum>
  <w:abstractNum w:abstractNumId="100" w15:restartNumberingAfterBreak="0">
    <w:nsid w:val="279114D8"/>
    <w:multiLevelType w:val="hybridMultilevel"/>
    <w:tmpl w:val="C7ACA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27D42862"/>
    <w:multiLevelType w:val="hybridMultilevel"/>
    <w:tmpl w:val="43CC49A2"/>
    <w:numStyleLink w:val="ImportedStyle82"/>
  </w:abstractNum>
  <w:abstractNum w:abstractNumId="102" w15:restartNumberingAfterBreak="0">
    <w:nsid w:val="2844685D"/>
    <w:multiLevelType w:val="hybridMultilevel"/>
    <w:tmpl w:val="0352AC5C"/>
    <w:styleLink w:val="ImportedStyle23"/>
    <w:lvl w:ilvl="0" w:tplc="BE92659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6E31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FD08BC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D848FD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82B0F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9AA4F4AA">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B93CDF9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18D90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DF8D68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285E6651"/>
    <w:multiLevelType w:val="hybridMultilevel"/>
    <w:tmpl w:val="FC888D22"/>
    <w:styleLink w:val="ImportedStyle27"/>
    <w:lvl w:ilvl="0" w:tplc="B3985D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E9EAA18">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92518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CE6D7E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CEBE5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7F8599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437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0029A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02CA59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28AB5B90"/>
    <w:multiLevelType w:val="hybridMultilevel"/>
    <w:tmpl w:val="D9D41572"/>
    <w:styleLink w:val="ImportedStyle79"/>
    <w:lvl w:ilvl="0" w:tplc="124419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541F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2668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6838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1AC3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580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A479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13895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9C5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295679A5"/>
    <w:multiLevelType w:val="hybridMultilevel"/>
    <w:tmpl w:val="EA963F22"/>
    <w:styleLink w:val="ImportedStyle137"/>
    <w:lvl w:ilvl="0" w:tplc="5658E58A">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8CA1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B4886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212B6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A030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28E23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D523BC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DE81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18C8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29F437EF"/>
    <w:multiLevelType w:val="hybridMultilevel"/>
    <w:tmpl w:val="BBF4F20A"/>
    <w:numStyleLink w:val="ImportedStyle1"/>
  </w:abstractNum>
  <w:abstractNum w:abstractNumId="107" w15:restartNumberingAfterBreak="0">
    <w:nsid w:val="2AC51372"/>
    <w:multiLevelType w:val="hybridMultilevel"/>
    <w:tmpl w:val="AD5C285A"/>
    <w:numStyleLink w:val="ImportedStyle32"/>
  </w:abstractNum>
  <w:abstractNum w:abstractNumId="108" w15:restartNumberingAfterBreak="0">
    <w:nsid w:val="2B82470B"/>
    <w:multiLevelType w:val="hybridMultilevel"/>
    <w:tmpl w:val="43CC49A2"/>
    <w:styleLink w:val="ImportedStyle82"/>
    <w:lvl w:ilvl="0" w:tplc="408801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77C1E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9EB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F6E9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2F6B8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254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E2A5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C402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9CA7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9" w15:restartNumberingAfterBreak="0">
    <w:nsid w:val="2BBA312D"/>
    <w:multiLevelType w:val="hybridMultilevel"/>
    <w:tmpl w:val="36920CE0"/>
    <w:numStyleLink w:val="ImportedStyle6"/>
  </w:abstractNum>
  <w:abstractNum w:abstractNumId="110" w15:restartNumberingAfterBreak="0">
    <w:nsid w:val="2C920736"/>
    <w:multiLevelType w:val="hybridMultilevel"/>
    <w:tmpl w:val="A112C0A0"/>
    <w:styleLink w:val="ImportedStyle52"/>
    <w:lvl w:ilvl="0" w:tplc="5A608714">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20B0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ACFC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1DA5C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5EF16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A6936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02A1C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02A3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AC015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15:restartNumberingAfterBreak="0">
    <w:nsid w:val="2CA20D2F"/>
    <w:multiLevelType w:val="hybridMultilevel"/>
    <w:tmpl w:val="1AB4CBA4"/>
    <w:numStyleLink w:val="ImportedStyle72"/>
  </w:abstractNum>
  <w:abstractNum w:abstractNumId="112" w15:restartNumberingAfterBreak="0">
    <w:nsid w:val="2CB600DE"/>
    <w:multiLevelType w:val="hybridMultilevel"/>
    <w:tmpl w:val="EF787A78"/>
    <w:styleLink w:val="ImportedStyle117"/>
    <w:lvl w:ilvl="0" w:tplc="C9D465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72B58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16F9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86A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40F5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F201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930BC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5E1E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448E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3" w15:restartNumberingAfterBreak="0">
    <w:nsid w:val="2CE20EA2"/>
    <w:multiLevelType w:val="hybridMultilevel"/>
    <w:tmpl w:val="0EEA9F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2CEC08A5"/>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2E08201C"/>
    <w:multiLevelType w:val="hybridMultilevel"/>
    <w:tmpl w:val="124AE1AE"/>
    <w:numStyleLink w:val="ImportedStyle36"/>
  </w:abstractNum>
  <w:abstractNum w:abstractNumId="116" w15:restartNumberingAfterBreak="0">
    <w:nsid w:val="2E731BC6"/>
    <w:multiLevelType w:val="hybridMultilevel"/>
    <w:tmpl w:val="3DFC49B0"/>
    <w:numStyleLink w:val="ImportedStyle65"/>
  </w:abstractNum>
  <w:abstractNum w:abstractNumId="117" w15:restartNumberingAfterBreak="0">
    <w:nsid w:val="2E970BC5"/>
    <w:multiLevelType w:val="hybridMultilevel"/>
    <w:tmpl w:val="824863A6"/>
    <w:styleLink w:val="ImportedStyle47"/>
    <w:lvl w:ilvl="0" w:tplc="5F1AC134">
      <w:start w:val="1"/>
      <w:numFmt w:val="bullet"/>
      <w:lvlText w:val="·"/>
      <w:lvlJc w:val="left"/>
      <w:pPr>
        <w:ind w:left="113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56361E">
      <w:start w:val="1"/>
      <w:numFmt w:val="bullet"/>
      <w:lvlText w:val="o"/>
      <w:lvlJc w:val="left"/>
      <w:pPr>
        <w:ind w:left="185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4E9F02">
      <w:start w:val="1"/>
      <w:numFmt w:val="bullet"/>
      <w:lvlText w:val="▪"/>
      <w:lvlJc w:val="left"/>
      <w:pPr>
        <w:ind w:left="25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403024">
      <w:start w:val="1"/>
      <w:numFmt w:val="bullet"/>
      <w:lvlText w:val="·"/>
      <w:lvlJc w:val="left"/>
      <w:pPr>
        <w:ind w:left="329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9A8C80">
      <w:start w:val="1"/>
      <w:numFmt w:val="bullet"/>
      <w:lvlText w:val="o"/>
      <w:lvlJc w:val="left"/>
      <w:pPr>
        <w:ind w:left="401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C89FEE">
      <w:start w:val="1"/>
      <w:numFmt w:val="bullet"/>
      <w:lvlText w:val="▪"/>
      <w:lvlJc w:val="left"/>
      <w:pPr>
        <w:ind w:left="473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5C0008">
      <w:start w:val="1"/>
      <w:numFmt w:val="bullet"/>
      <w:lvlText w:val="·"/>
      <w:lvlJc w:val="left"/>
      <w:pPr>
        <w:ind w:left="545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42AC6D8">
      <w:start w:val="1"/>
      <w:numFmt w:val="bullet"/>
      <w:lvlText w:val="o"/>
      <w:lvlJc w:val="left"/>
      <w:pPr>
        <w:ind w:left="61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E2948E">
      <w:start w:val="1"/>
      <w:numFmt w:val="bullet"/>
      <w:lvlText w:val="▪"/>
      <w:lvlJc w:val="left"/>
      <w:pPr>
        <w:ind w:left="689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2ECE4BBC"/>
    <w:multiLevelType w:val="hybridMultilevel"/>
    <w:tmpl w:val="57EA2914"/>
    <w:styleLink w:val="ImportedStyle81"/>
    <w:lvl w:ilvl="0" w:tplc="5E24E934">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24A24B8">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2D8037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90BD6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C322C84">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4AC60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3AB800">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A60686">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661ED2">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2F063EFD"/>
    <w:multiLevelType w:val="hybridMultilevel"/>
    <w:tmpl w:val="49AA6148"/>
    <w:styleLink w:val="ImportedStyle51"/>
    <w:lvl w:ilvl="0" w:tplc="A48E5718">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DCE4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54DF1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6EE96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EA99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8D098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430F7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F265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52F4E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2F9A5E5B"/>
    <w:multiLevelType w:val="hybridMultilevel"/>
    <w:tmpl w:val="419EC5FE"/>
    <w:styleLink w:val="ImportedStyle22"/>
    <w:lvl w:ilvl="0" w:tplc="322878E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E633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558B39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824F9E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D0667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8C96EE9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F4E06A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132035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C7AB83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302A03B8"/>
    <w:multiLevelType w:val="hybridMultilevel"/>
    <w:tmpl w:val="CD8C01A6"/>
    <w:styleLink w:val="ImportedStyle75"/>
    <w:lvl w:ilvl="0" w:tplc="96884F24">
      <w:start w:val="1"/>
      <w:numFmt w:val="bullet"/>
      <w:lvlText w:val="-"/>
      <w:lvlJc w:val="left"/>
      <w:pPr>
        <w:ind w:left="7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A4AFD9C">
      <w:start w:val="1"/>
      <w:numFmt w:val="bullet"/>
      <w:lvlText w:val="-"/>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A823FE6">
      <w:start w:val="1"/>
      <w:numFmt w:val="bullet"/>
      <w:lvlText w:val="-"/>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94AEAC8">
      <w:start w:val="1"/>
      <w:numFmt w:val="bullet"/>
      <w:lvlText w:val="-"/>
      <w:lvlJc w:val="left"/>
      <w:pPr>
        <w:ind w:left="28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8AEA348">
      <w:start w:val="1"/>
      <w:numFmt w:val="bullet"/>
      <w:lvlText w:val="-"/>
      <w:lvlJc w:val="left"/>
      <w:pPr>
        <w:ind w:left="36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90D0DE">
      <w:start w:val="1"/>
      <w:numFmt w:val="bullet"/>
      <w:lvlText w:val="-"/>
      <w:lvlJc w:val="left"/>
      <w:pPr>
        <w:ind w:left="43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63564872">
      <w:start w:val="1"/>
      <w:numFmt w:val="bullet"/>
      <w:lvlText w:val="-"/>
      <w:lvlJc w:val="left"/>
      <w:pPr>
        <w:ind w:left="50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358087C">
      <w:start w:val="1"/>
      <w:numFmt w:val="bullet"/>
      <w:lvlText w:val="-"/>
      <w:lvlJc w:val="left"/>
      <w:pPr>
        <w:ind w:left="57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562C526">
      <w:start w:val="1"/>
      <w:numFmt w:val="bullet"/>
      <w:lvlText w:val="-"/>
      <w:lvlJc w:val="left"/>
      <w:pPr>
        <w:ind w:left="64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2" w15:restartNumberingAfterBreak="0">
    <w:nsid w:val="306A1FC0"/>
    <w:multiLevelType w:val="hybridMultilevel"/>
    <w:tmpl w:val="A442E2BE"/>
    <w:numStyleLink w:val="ImportedStyle89"/>
  </w:abstractNum>
  <w:abstractNum w:abstractNumId="123" w15:restartNumberingAfterBreak="0">
    <w:nsid w:val="30765259"/>
    <w:multiLevelType w:val="hybridMultilevel"/>
    <w:tmpl w:val="E1D07BC4"/>
    <w:numStyleLink w:val="ImportedStyle115"/>
  </w:abstractNum>
  <w:abstractNum w:abstractNumId="124" w15:restartNumberingAfterBreak="0">
    <w:nsid w:val="3089225D"/>
    <w:multiLevelType w:val="hybridMultilevel"/>
    <w:tmpl w:val="86723BCC"/>
    <w:numStyleLink w:val="ImportedStyle3"/>
  </w:abstractNum>
  <w:abstractNum w:abstractNumId="125" w15:restartNumberingAfterBreak="0">
    <w:nsid w:val="312818DE"/>
    <w:multiLevelType w:val="hybridMultilevel"/>
    <w:tmpl w:val="8B2CB5A4"/>
    <w:numStyleLink w:val="ImportedStyle85"/>
  </w:abstractNum>
  <w:abstractNum w:abstractNumId="126" w15:restartNumberingAfterBreak="0">
    <w:nsid w:val="316C2FA9"/>
    <w:multiLevelType w:val="hybridMultilevel"/>
    <w:tmpl w:val="14E87B36"/>
    <w:numStyleLink w:val="ImportedStyle63"/>
  </w:abstractNum>
  <w:abstractNum w:abstractNumId="127" w15:restartNumberingAfterBreak="0">
    <w:nsid w:val="31B3567E"/>
    <w:multiLevelType w:val="hybridMultilevel"/>
    <w:tmpl w:val="272C3CB8"/>
    <w:numStyleLink w:val="ImportedStyle135"/>
  </w:abstractNum>
  <w:abstractNum w:abstractNumId="128" w15:restartNumberingAfterBreak="0">
    <w:nsid w:val="3245411A"/>
    <w:multiLevelType w:val="hybridMultilevel"/>
    <w:tmpl w:val="D9D41572"/>
    <w:numStyleLink w:val="ImportedStyle79"/>
  </w:abstractNum>
  <w:abstractNum w:abstractNumId="129" w15:restartNumberingAfterBreak="0">
    <w:nsid w:val="32E659C6"/>
    <w:multiLevelType w:val="hybridMultilevel"/>
    <w:tmpl w:val="3D1CB888"/>
    <w:numStyleLink w:val="ImportedStyle31"/>
  </w:abstractNum>
  <w:abstractNum w:abstractNumId="130" w15:restartNumberingAfterBreak="0">
    <w:nsid w:val="33772B11"/>
    <w:multiLevelType w:val="hybridMultilevel"/>
    <w:tmpl w:val="D28250F2"/>
    <w:numStyleLink w:val="ImportedStyle7"/>
  </w:abstractNum>
  <w:abstractNum w:abstractNumId="131" w15:restartNumberingAfterBreak="0">
    <w:nsid w:val="33B846CE"/>
    <w:multiLevelType w:val="hybridMultilevel"/>
    <w:tmpl w:val="BCAA45E6"/>
    <w:numStyleLink w:val="ImportedStyle19"/>
  </w:abstractNum>
  <w:abstractNum w:abstractNumId="132" w15:restartNumberingAfterBreak="0">
    <w:nsid w:val="345B3953"/>
    <w:multiLevelType w:val="hybridMultilevel"/>
    <w:tmpl w:val="8B825DCC"/>
    <w:numStyleLink w:val="ImportedStyle102"/>
  </w:abstractNum>
  <w:abstractNum w:abstractNumId="133" w15:restartNumberingAfterBreak="0">
    <w:nsid w:val="3492136F"/>
    <w:multiLevelType w:val="hybridMultilevel"/>
    <w:tmpl w:val="590A5884"/>
    <w:styleLink w:val="ImportedStyle125"/>
    <w:lvl w:ilvl="0" w:tplc="45AC4BE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CA45F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5B28C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4ED4C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3A62A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5B067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0CFB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39A49E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09078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35234940"/>
    <w:multiLevelType w:val="hybridMultilevel"/>
    <w:tmpl w:val="A442E2BE"/>
    <w:styleLink w:val="ImportedStyle89"/>
    <w:lvl w:ilvl="0" w:tplc="1916AA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82B27E">
      <w:start w:val="1"/>
      <w:numFmt w:val="decimal"/>
      <w:lvlText w:val="(%2)"/>
      <w:lvlJc w:val="left"/>
      <w:pPr>
        <w:tabs>
          <w:tab w:val="left" w:pos="720"/>
        </w:tabs>
        <w:ind w:left="145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12C67CB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FA4703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6E13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7C79C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174DF4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663A5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7256C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35AD6E55"/>
    <w:multiLevelType w:val="hybridMultilevel"/>
    <w:tmpl w:val="DA50AD7A"/>
    <w:numStyleLink w:val="ImportedStyle62"/>
  </w:abstractNum>
  <w:abstractNum w:abstractNumId="136" w15:restartNumberingAfterBreak="0">
    <w:nsid w:val="36767DBF"/>
    <w:multiLevelType w:val="hybridMultilevel"/>
    <w:tmpl w:val="AD68DA28"/>
    <w:styleLink w:val="ImportedStyle30"/>
    <w:lvl w:ilvl="0" w:tplc="CC6ABB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B095D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45BB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502D73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4D46E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C075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B04B9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C48A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6ED92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36BF0EC5"/>
    <w:multiLevelType w:val="hybridMultilevel"/>
    <w:tmpl w:val="8E12B894"/>
    <w:styleLink w:val="ImportedStyle111"/>
    <w:lvl w:ilvl="0" w:tplc="A19A07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7A9C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66D11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82252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FCB0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60771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867E9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AAB9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4E65B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8" w15:restartNumberingAfterBreak="0">
    <w:nsid w:val="37305C31"/>
    <w:multiLevelType w:val="hybridMultilevel"/>
    <w:tmpl w:val="10CE2F36"/>
    <w:styleLink w:val="ImportedStyle97"/>
    <w:lvl w:ilvl="0" w:tplc="B94E81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FA62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DC44B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21AE2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356CA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D4651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6E621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8B2D1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967FA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37CC5AD0"/>
    <w:multiLevelType w:val="hybridMultilevel"/>
    <w:tmpl w:val="B7FCADF0"/>
    <w:numStyleLink w:val="ImportedStyle123"/>
  </w:abstractNum>
  <w:abstractNum w:abstractNumId="140" w15:restartNumberingAfterBreak="0">
    <w:nsid w:val="383208DF"/>
    <w:multiLevelType w:val="hybridMultilevel"/>
    <w:tmpl w:val="F6F26860"/>
    <w:styleLink w:val="ImportedStyle96"/>
    <w:lvl w:ilvl="0" w:tplc="B914B27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40A4E2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0EA07E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88669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53E44A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C8E263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012E28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4CAE3FA">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F44D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391D41DD"/>
    <w:multiLevelType w:val="hybridMultilevel"/>
    <w:tmpl w:val="D01AEABE"/>
    <w:numStyleLink w:val="ImportedStyle66"/>
  </w:abstractNum>
  <w:abstractNum w:abstractNumId="142" w15:restartNumberingAfterBreak="0">
    <w:nsid w:val="39484199"/>
    <w:multiLevelType w:val="hybridMultilevel"/>
    <w:tmpl w:val="BE74EEDE"/>
    <w:numStyleLink w:val="ImportedStyle99"/>
  </w:abstractNum>
  <w:abstractNum w:abstractNumId="143" w15:restartNumberingAfterBreak="0">
    <w:nsid w:val="398B4C14"/>
    <w:multiLevelType w:val="hybridMultilevel"/>
    <w:tmpl w:val="4E2A2E3E"/>
    <w:numStyleLink w:val="ImportedStyle70"/>
  </w:abstractNum>
  <w:abstractNum w:abstractNumId="144" w15:restartNumberingAfterBreak="0">
    <w:nsid w:val="3A300245"/>
    <w:multiLevelType w:val="hybridMultilevel"/>
    <w:tmpl w:val="A4EEAFAA"/>
    <w:styleLink w:val="ImportedStyle16"/>
    <w:lvl w:ilvl="0" w:tplc="812CE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DCBEF0D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74903E6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43FC749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6C3A8D3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5A861D3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9A68001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C99E42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DFCE95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45" w15:restartNumberingAfterBreak="0">
    <w:nsid w:val="3A5474E1"/>
    <w:multiLevelType w:val="hybridMultilevel"/>
    <w:tmpl w:val="11B24F8A"/>
    <w:numStyleLink w:val="ImportedStyle55"/>
  </w:abstractNum>
  <w:abstractNum w:abstractNumId="146" w15:restartNumberingAfterBreak="0">
    <w:nsid w:val="3AB60535"/>
    <w:multiLevelType w:val="hybridMultilevel"/>
    <w:tmpl w:val="EB06D1C2"/>
    <w:styleLink w:val="ImportedStyle43"/>
    <w:lvl w:ilvl="0" w:tplc="AC720C5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282D99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E4B9C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E798452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390C40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488416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15A15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1880B0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B5AF71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3ABC7E45"/>
    <w:multiLevelType w:val="hybridMultilevel"/>
    <w:tmpl w:val="A72E30A8"/>
    <w:numStyleLink w:val="ImportedStyle38"/>
  </w:abstractNum>
  <w:abstractNum w:abstractNumId="148" w15:restartNumberingAfterBreak="0">
    <w:nsid w:val="3AD13339"/>
    <w:multiLevelType w:val="hybridMultilevel"/>
    <w:tmpl w:val="9CA26F32"/>
    <w:styleLink w:val="ImportedStyle124"/>
    <w:lvl w:ilvl="0" w:tplc="37BEEB3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2883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803D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72AF7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F2CC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C4ED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4D6CF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5B6C57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D8E1D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9" w15:restartNumberingAfterBreak="0">
    <w:nsid w:val="3BA97AA5"/>
    <w:multiLevelType w:val="hybridMultilevel"/>
    <w:tmpl w:val="49AA6148"/>
    <w:numStyleLink w:val="ImportedStyle51"/>
  </w:abstractNum>
  <w:abstractNum w:abstractNumId="150" w15:restartNumberingAfterBreak="0">
    <w:nsid w:val="3BF308A7"/>
    <w:multiLevelType w:val="hybridMultilevel"/>
    <w:tmpl w:val="04128108"/>
    <w:numStyleLink w:val="ImportedStyle67"/>
  </w:abstractNum>
  <w:abstractNum w:abstractNumId="151" w15:restartNumberingAfterBreak="0">
    <w:nsid w:val="3C717E40"/>
    <w:multiLevelType w:val="hybridMultilevel"/>
    <w:tmpl w:val="819A95FC"/>
    <w:styleLink w:val="ImportedStyle15"/>
    <w:lvl w:ilvl="0" w:tplc="4C1660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B2E39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7CF53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B6E31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627DB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BF6F8C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CE598A">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B89C7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A52049E">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2" w15:restartNumberingAfterBreak="0">
    <w:nsid w:val="3CA11FE1"/>
    <w:multiLevelType w:val="hybridMultilevel"/>
    <w:tmpl w:val="89981E14"/>
    <w:styleLink w:val="ImportedStyle49"/>
    <w:lvl w:ilvl="0" w:tplc="3BAA7AA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E47FA6">
      <w:start w:val="1"/>
      <w:numFmt w:val="bullet"/>
      <w:lvlText w:val="o"/>
      <w:lvlJc w:val="left"/>
      <w:pPr>
        <w:tabs>
          <w:tab w:val="left" w:pos="720"/>
        </w:tabs>
        <w:ind w:left="144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1F25842">
      <w:start w:val="1"/>
      <w:numFmt w:val="bullet"/>
      <w:lvlText w:val="▪"/>
      <w:lvlJc w:val="left"/>
      <w:pPr>
        <w:tabs>
          <w:tab w:val="left" w:pos="720"/>
        </w:tabs>
        <w:ind w:left="21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481FE0">
      <w:start w:val="1"/>
      <w:numFmt w:val="bullet"/>
      <w:lvlText w:val="·"/>
      <w:lvlJc w:val="left"/>
      <w:pPr>
        <w:tabs>
          <w:tab w:val="left" w:pos="720"/>
        </w:tabs>
        <w:ind w:left="288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8E9938">
      <w:start w:val="1"/>
      <w:numFmt w:val="bullet"/>
      <w:lvlText w:val="o"/>
      <w:lvlJc w:val="left"/>
      <w:pPr>
        <w:tabs>
          <w:tab w:val="left" w:pos="720"/>
        </w:tabs>
        <w:ind w:left="360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86175A">
      <w:start w:val="1"/>
      <w:numFmt w:val="bullet"/>
      <w:lvlText w:val="▪"/>
      <w:lvlJc w:val="left"/>
      <w:pPr>
        <w:tabs>
          <w:tab w:val="left" w:pos="720"/>
        </w:tabs>
        <w:ind w:left="432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D041E6">
      <w:start w:val="1"/>
      <w:numFmt w:val="bullet"/>
      <w:lvlText w:val="·"/>
      <w:lvlJc w:val="left"/>
      <w:pPr>
        <w:tabs>
          <w:tab w:val="left" w:pos="720"/>
        </w:tabs>
        <w:ind w:left="504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0C4DAA">
      <w:start w:val="1"/>
      <w:numFmt w:val="bullet"/>
      <w:lvlText w:val="o"/>
      <w:lvlJc w:val="left"/>
      <w:pPr>
        <w:tabs>
          <w:tab w:val="left" w:pos="720"/>
        </w:tabs>
        <w:ind w:left="57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7EE452">
      <w:start w:val="1"/>
      <w:numFmt w:val="bullet"/>
      <w:lvlText w:val="▪"/>
      <w:lvlJc w:val="left"/>
      <w:pPr>
        <w:tabs>
          <w:tab w:val="left" w:pos="720"/>
        </w:tabs>
        <w:ind w:left="648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3" w15:restartNumberingAfterBreak="0">
    <w:nsid w:val="3CDB6DDF"/>
    <w:multiLevelType w:val="hybridMultilevel"/>
    <w:tmpl w:val="369AF984"/>
    <w:numStyleLink w:val="ImportedStyle64"/>
  </w:abstractNum>
  <w:abstractNum w:abstractNumId="154" w15:restartNumberingAfterBreak="0">
    <w:nsid w:val="3CF117B8"/>
    <w:multiLevelType w:val="hybridMultilevel"/>
    <w:tmpl w:val="6E0AE508"/>
    <w:numStyleLink w:val="ImportedStyle71"/>
  </w:abstractNum>
  <w:abstractNum w:abstractNumId="155" w15:restartNumberingAfterBreak="0">
    <w:nsid w:val="3CF41110"/>
    <w:multiLevelType w:val="hybridMultilevel"/>
    <w:tmpl w:val="AB7AF8EC"/>
    <w:numStyleLink w:val="ImportedStyle120"/>
  </w:abstractNum>
  <w:abstractNum w:abstractNumId="156" w15:restartNumberingAfterBreak="0">
    <w:nsid w:val="3E515D4E"/>
    <w:multiLevelType w:val="hybridMultilevel"/>
    <w:tmpl w:val="9F620ED8"/>
    <w:numStyleLink w:val="ImportedStyle104"/>
  </w:abstractNum>
  <w:abstractNum w:abstractNumId="157" w15:restartNumberingAfterBreak="0">
    <w:nsid w:val="3E8D5A5C"/>
    <w:multiLevelType w:val="hybridMultilevel"/>
    <w:tmpl w:val="88E65394"/>
    <w:styleLink w:val="ImportedStyle48"/>
    <w:lvl w:ilvl="0" w:tplc="BB32DF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FD6555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AE8D4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D0575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28230F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34A16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767D9E">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B3C645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A68FAB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8" w15:restartNumberingAfterBreak="0">
    <w:nsid w:val="3F056E38"/>
    <w:multiLevelType w:val="hybridMultilevel"/>
    <w:tmpl w:val="356CD198"/>
    <w:styleLink w:val="ImportedStyle41"/>
    <w:lvl w:ilvl="0" w:tplc="2A1AB15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2D6E8A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C3200C6">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6EAA05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6E224D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3D274F8">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AD8A300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45258C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80DC4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3FE33B42"/>
    <w:multiLevelType w:val="hybridMultilevel"/>
    <w:tmpl w:val="36920CE0"/>
    <w:styleLink w:val="ImportedStyle6"/>
    <w:lvl w:ilvl="0" w:tplc="5D96A03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42625F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704A9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98F08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D049A9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45EA1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44621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17ED92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10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0" w15:restartNumberingAfterBreak="0">
    <w:nsid w:val="40147BDB"/>
    <w:multiLevelType w:val="multilevel"/>
    <w:tmpl w:val="C31EF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0AC4B77"/>
    <w:multiLevelType w:val="hybridMultilevel"/>
    <w:tmpl w:val="C64CC6A8"/>
    <w:styleLink w:val="ImportedStyle57"/>
    <w:lvl w:ilvl="0" w:tplc="988EF20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244EF6">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E26740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96CAD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2AE9A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E6BA3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32C90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2AB88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6E6A9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2" w15:restartNumberingAfterBreak="0">
    <w:nsid w:val="40FA0416"/>
    <w:multiLevelType w:val="hybridMultilevel"/>
    <w:tmpl w:val="2174DD90"/>
    <w:numStyleLink w:val="ImportedStyle35"/>
  </w:abstractNum>
  <w:abstractNum w:abstractNumId="163" w15:restartNumberingAfterBreak="0">
    <w:nsid w:val="414D77D2"/>
    <w:multiLevelType w:val="hybridMultilevel"/>
    <w:tmpl w:val="25DCBB5C"/>
    <w:styleLink w:val="ImportedStyle11"/>
    <w:lvl w:ilvl="0" w:tplc="42CE37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FCA2B5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7722C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072C9B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63698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EC2A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BEF2A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CE4E9A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23C7F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41534642"/>
    <w:multiLevelType w:val="hybridMultilevel"/>
    <w:tmpl w:val="9F920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42771844"/>
    <w:multiLevelType w:val="hybridMultilevel"/>
    <w:tmpl w:val="5C26A3D6"/>
    <w:styleLink w:val="ImportedStyle45"/>
    <w:lvl w:ilvl="0" w:tplc="B8E0F7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18E6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F49AD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95610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527C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62FE9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1D440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3EAA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46007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6" w15:restartNumberingAfterBreak="0">
    <w:nsid w:val="42A45CB5"/>
    <w:multiLevelType w:val="hybridMultilevel"/>
    <w:tmpl w:val="BBF4F20A"/>
    <w:styleLink w:val="ImportedStyle1"/>
    <w:lvl w:ilvl="0" w:tplc="F02C46B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3EB3B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0020A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E424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9B2C5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0C80E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228F50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38554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14680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7" w15:restartNumberingAfterBreak="0">
    <w:nsid w:val="42E91C62"/>
    <w:multiLevelType w:val="hybridMultilevel"/>
    <w:tmpl w:val="B96E3522"/>
    <w:numStyleLink w:val="ImportedStyle118"/>
  </w:abstractNum>
  <w:abstractNum w:abstractNumId="168" w15:restartNumberingAfterBreak="0">
    <w:nsid w:val="43387C59"/>
    <w:multiLevelType w:val="hybridMultilevel"/>
    <w:tmpl w:val="5C42DE3C"/>
    <w:styleLink w:val="ImportedStyle50"/>
    <w:lvl w:ilvl="0" w:tplc="2B26CC3E">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968602">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D86754">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5CA200E">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0297E2">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C2580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04EBF9E">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38F702">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8C7936">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433B602C"/>
    <w:multiLevelType w:val="hybridMultilevel"/>
    <w:tmpl w:val="86723BCC"/>
    <w:styleLink w:val="ImportedStyle3"/>
    <w:lvl w:ilvl="0" w:tplc="79D8B16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1B0611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1D64E6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62140C4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7FAF5E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1F052F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9D46BE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2CC7E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9AC09E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0" w15:restartNumberingAfterBreak="0">
    <w:nsid w:val="438C1FD9"/>
    <w:multiLevelType w:val="hybridMultilevel"/>
    <w:tmpl w:val="F9DC0000"/>
    <w:styleLink w:val="ImportedStyle26"/>
    <w:lvl w:ilvl="0" w:tplc="7FB4BCE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B8B8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EF2C5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16A9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6097F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CFE5B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EA2B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7B876C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0B0D6A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43CC2AAC"/>
    <w:multiLevelType w:val="hybridMultilevel"/>
    <w:tmpl w:val="99861332"/>
    <w:styleLink w:val="ImportedStyle88"/>
    <w:lvl w:ilvl="0" w:tplc="BBFE9D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5342E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04EE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1028F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62204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806E6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C104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656AF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F7097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2" w15:restartNumberingAfterBreak="0">
    <w:nsid w:val="44430C52"/>
    <w:multiLevelType w:val="hybridMultilevel"/>
    <w:tmpl w:val="BAACFC30"/>
    <w:styleLink w:val="ImportedStyle134"/>
    <w:lvl w:ilvl="0" w:tplc="7AAA4B7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1AD0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476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8095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F4181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B643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D83B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AC66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C2E41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3" w15:restartNumberingAfterBreak="0">
    <w:nsid w:val="44942DC3"/>
    <w:multiLevelType w:val="hybridMultilevel"/>
    <w:tmpl w:val="83364B18"/>
    <w:styleLink w:val="ImportedStyle140"/>
    <w:lvl w:ilvl="0" w:tplc="4F8AD5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DAB0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023A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4A4005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A4D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C44BC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CEE0B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6A15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D0A9D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4" w15:restartNumberingAfterBreak="0">
    <w:nsid w:val="44A77B56"/>
    <w:multiLevelType w:val="hybridMultilevel"/>
    <w:tmpl w:val="BAE2DEB6"/>
    <w:styleLink w:val="ImportedStyle20"/>
    <w:lvl w:ilvl="0" w:tplc="93442988">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62F13A">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36BBF8">
      <w:start w:val="1"/>
      <w:numFmt w:val="lowerRoman"/>
      <w:lvlText w:val="%3."/>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9718F364">
      <w:start w:val="1"/>
      <w:numFmt w:val="decimal"/>
      <w:lvlText w:val="%4."/>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84F92A">
      <w:start w:val="1"/>
      <w:numFmt w:val="lowerLetter"/>
      <w:lvlText w:val="%5."/>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1CDABE">
      <w:start w:val="1"/>
      <w:numFmt w:val="lowerRoman"/>
      <w:lvlText w:val="%6."/>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822E944">
      <w:start w:val="1"/>
      <w:numFmt w:val="decimal"/>
      <w:lvlText w:val="%7."/>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72C12E">
      <w:start w:val="1"/>
      <w:numFmt w:val="lowerLetter"/>
      <w:lvlText w:val="%8."/>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6AA44">
      <w:start w:val="1"/>
      <w:numFmt w:val="lowerRoman"/>
      <w:lvlText w:val="%9."/>
      <w:lvlJc w:val="left"/>
      <w:pPr>
        <w:ind w:left="4323"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5" w15:restartNumberingAfterBreak="0">
    <w:nsid w:val="450A6001"/>
    <w:multiLevelType w:val="hybridMultilevel"/>
    <w:tmpl w:val="CD8C01A6"/>
    <w:numStyleLink w:val="ImportedStyle75"/>
  </w:abstractNum>
  <w:abstractNum w:abstractNumId="176" w15:restartNumberingAfterBreak="0">
    <w:nsid w:val="454249CF"/>
    <w:multiLevelType w:val="hybridMultilevel"/>
    <w:tmpl w:val="9E3E2E12"/>
    <w:styleLink w:val="ImportedStyle28"/>
    <w:lvl w:ilvl="0" w:tplc="B6901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3D0287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166BDD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6639C4">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218343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C0ABA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40CA76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D9CD8C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0C9F7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7" w15:restartNumberingAfterBreak="0">
    <w:nsid w:val="45FD3EA8"/>
    <w:multiLevelType w:val="hybridMultilevel"/>
    <w:tmpl w:val="C7FA37D4"/>
    <w:styleLink w:val="ImportedStyle53"/>
    <w:lvl w:ilvl="0" w:tplc="1FD0C3FA">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18ADE6">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C0B946">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516A2A8">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B56C228">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7A562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F3228FC">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E61A3C">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4643A8">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8" w15:restartNumberingAfterBreak="0">
    <w:nsid w:val="49CC669A"/>
    <w:multiLevelType w:val="hybridMultilevel"/>
    <w:tmpl w:val="A112C0A0"/>
    <w:numStyleLink w:val="ImportedStyle52"/>
  </w:abstractNum>
  <w:abstractNum w:abstractNumId="179" w15:restartNumberingAfterBreak="0">
    <w:nsid w:val="49D242E5"/>
    <w:multiLevelType w:val="hybridMultilevel"/>
    <w:tmpl w:val="2236BBA8"/>
    <w:numStyleLink w:val="ImportedStyle114"/>
  </w:abstractNum>
  <w:abstractNum w:abstractNumId="180" w15:restartNumberingAfterBreak="0">
    <w:nsid w:val="4A2F2261"/>
    <w:multiLevelType w:val="hybridMultilevel"/>
    <w:tmpl w:val="2070E758"/>
    <w:numStyleLink w:val="ImportedStyle59"/>
  </w:abstractNum>
  <w:abstractNum w:abstractNumId="181" w15:restartNumberingAfterBreak="0">
    <w:nsid w:val="4A542E70"/>
    <w:multiLevelType w:val="hybridMultilevel"/>
    <w:tmpl w:val="BAE2DEB6"/>
    <w:numStyleLink w:val="ImportedStyle20"/>
  </w:abstractNum>
  <w:abstractNum w:abstractNumId="182" w15:restartNumberingAfterBreak="0">
    <w:nsid w:val="4AB07C06"/>
    <w:multiLevelType w:val="hybridMultilevel"/>
    <w:tmpl w:val="AB7AF8EC"/>
    <w:styleLink w:val="ImportedStyle120"/>
    <w:lvl w:ilvl="0" w:tplc="28DCD8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022A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7803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FFAE2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64AA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B0967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806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E2FD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658521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3" w15:restartNumberingAfterBreak="0">
    <w:nsid w:val="4B251BF9"/>
    <w:multiLevelType w:val="hybridMultilevel"/>
    <w:tmpl w:val="B568D658"/>
    <w:styleLink w:val="ImportedStyle9"/>
    <w:lvl w:ilvl="0" w:tplc="7EBC78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B0C9C3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7AA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E2407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E2F08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E6F4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AE80D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CE365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71AEB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4" w15:restartNumberingAfterBreak="0">
    <w:nsid w:val="4B51393D"/>
    <w:multiLevelType w:val="hybridMultilevel"/>
    <w:tmpl w:val="091002DA"/>
    <w:numStyleLink w:val="ImportedStyle86"/>
  </w:abstractNum>
  <w:abstractNum w:abstractNumId="185" w15:restartNumberingAfterBreak="0">
    <w:nsid w:val="4B77554C"/>
    <w:multiLevelType w:val="hybridMultilevel"/>
    <w:tmpl w:val="EF787A78"/>
    <w:numStyleLink w:val="ImportedStyle117"/>
  </w:abstractNum>
  <w:abstractNum w:abstractNumId="186" w15:restartNumberingAfterBreak="0">
    <w:nsid w:val="4B960535"/>
    <w:multiLevelType w:val="hybridMultilevel"/>
    <w:tmpl w:val="E4342992"/>
    <w:styleLink w:val="ImportedStyle33"/>
    <w:lvl w:ilvl="0" w:tplc="235AA1D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E48344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D765E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9C16A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610CC4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17ED4B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1D896E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CE25F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35A8ED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7" w15:restartNumberingAfterBreak="0">
    <w:nsid w:val="4C064D93"/>
    <w:multiLevelType w:val="hybridMultilevel"/>
    <w:tmpl w:val="9E3E2E12"/>
    <w:numStyleLink w:val="ImportedStyle28"/>
  </w:abstractNum>
  <w:abstractNum w:abstractNumId="188" w15:restartNumberingAfterBreak="0">
    <w:nsid w:val="4C3961E4"/>
    <w:multiLevelType w:val="hybridMultilevel"/>
    <w:tmpl w:val="D8FA88DE"/>
    <w:numStyleLink w:val="ImportedStyle54"/>
  </w:abstractNum>
  <w:abstractNum w:abstractNumId="189" w15:restartNumberingAfterBreak="0">
    <w:nsid w:val="4C662058"/>
    <w:multiLevelType w:val="hybridMultilevel"/>
    <w:tmpl w:val="2236BBA8"/>
    <w:styleLink w:val="ImportedStyle114"/>
    <w:lvl w:ilvl="0" w:tplc="B88A216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0AF48C">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4936">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20A0CD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BEEFA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F7E403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F82A8C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7E455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3AF4B0">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4C727597"/>
    <w:multiLevelType w:val="hybridMultilevel"/>
    <w:tmpl w:val="83364B18"/>
    <w:numStyleLink w:val="ImportedStyle140"/>
  </w:abstractNum>
  <w:abstractNum w:abstractNumId="191" w15:restartNumberingAfterBreak="0">
    <w:nsid w:val="4D131923"/>
    <w:multiLevelType w:val="hybridMultilevel"/>
    <w:tmpl w:val="11B24F8A"/>
    <w:styleLink w:val="ImportedStyle55"/>
    <w:lvl w:ilvl="0" w:tplc="E0AE1F2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FE95CA">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B642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F8F9F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CABD2A">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9201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A8C88A">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BC7A0A">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780A2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4DAA39D3"/>
    <w:multiLevelType w:val="hybridMultilevel"/>
    <w:tmpl w:val="419EC5FE"/>
    <w:numStyleLink w:val="ImportedStyle22"/>
  </w:abstractNum>
  <w:abstractNum w:abstractNumId="193" w15:restartNumberingAfterBreak="0">
    <w:nsid w:val="4DE7662F"/>
    <w:multiLevelType w:val="hybridMultilevel"/>
    <w:tmpl w:val="B9546428"/>
    <w:styleLink w:val="ImportedStyle109"/>
    <w:lvl w:ilvl="0" w:tplc="D6A061A2">
      <w:start w:val="1"/>
      <w:numFmt w:val="bullet"/>
      <w:lvlText w:val="-"/>
      <w:lvlJc w:val="left"/>
      <w:pPr>
        <w:ind w:left="99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298B4A8">
      <w:start w:val="1"/>
      <w:numFmt w:val="bullet"/>
      <w:lvlText w:val="o"/>
      <w:lvlJc w:val="left"/>
      <w:pPr>
        <w:ind w:left="17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006F794">
      <w:start w:val="1"/>
      <w:numFmt w:val="bullet"/>
      <w:lvlText w:val="▪"/>
      <w:lvlJc w:val="left"/>
      <w:pPr>
        <w:ind w:left="24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229C80">
      <w:start w:val="1"/>
      <w:numFmt w:val="bullet"/>
      <w:lvlText w:val="•"/>
      <w:lvlJc w:val="left"/>
      <w:pPr>
        <w:ind w:left="315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78E976">
      <w:start w:val="1"/>
      <w:numFmt w:val="bullet"/>
      <w:lvlText w:val="o"/>
      <w:lvlJc w:val="left"/>
      <w:pPr>
        <w:ind w:left="387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7A662E2">
      <w:start w:val="1"/>
      <w:numFmt w:val="bullet"/>
      <w:lvlText w:val="▪"/>
      <w:lvlJc w:val="left"/>
      <w:pPr>
        <w:ind w:left="45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1A92DC">
      <w:start w:val="1"/>
      <w:numFmt w:val="bullet"/>
      <w:lvlText w:val="•"/>
      <w:lvlJc w:val="left"/>
      <w:pPr>
        <w:ind w:left="53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C6AF87A">
      <w:start w:val="1"/>
      <w:numFmt w:val="bullet"/>
      <w:lvlText w:val="o"/>
      <w:lvlJc w:val="left"/>
      <w:pPr>
        <w:ind w:left="603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7A58B6">
      <w:start w:val="1"/>
      <w:numFmt w:val="bullet"/>
      <w:lvlText w:val="▪"/>
      <w:lvlJc w:val="left"/>
      <w:pPr>
        <w:ind w:left="67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4" w15:restartNumberingAfterBreak="0">
    <w:nsid w:val="4E3B735F"/>
    <w:multiLevelType w:val="hybridMultilevel"/>
    <w:tmpl w:val="8E12B894"/>
    <w:numStyleLink w:val="ImportedStyle111"/>
  </w:abstractNum>
  <w:abstractNum w:abstractNumId="195" w15:restartNumberingAfterBreak="0">
    <w:nsid w:val="4FF51FB8"/>
    <w:multiLevelType w:val="hybridMultilevel"/>
    <w:tmpl w:val="FA0C41A2"/>
    <w:styleLink w:val="ImportedStyle106"/>
    <w:lvl w:ilvl="0" w:tplc="456A42B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0CFA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240586">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2CA8A51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0436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16850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39873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CB2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F6873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6" w15:restartNumberingAfterBreak="0">
    <w:nsid w:val="515E49A7"/>
    <w:multiLevelType w:val="hybridMultilevel"/>
    <w:tmpl w:val="34AE72B8"/>
    <w:numStyleLink w:val="ImportedStyle68"/>
  </w:abstractNum>
  <w:abstractNum w:abstractNumId="197" w15:restartNumberingAfterBreak="0">
    <w:nsid w:val="51C66C04"/>
    <w:multiLevelType w:val="hybridMultilevel"/>
    <w:tmpl w:val="272C3CB8"/>
    <w:styleLink w:val="ImportedStyle135"/>
    <w:lvl w:ilvl="0" w:tplc="D280114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82D6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8CE201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0D4A5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C89E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2CB9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F1EFB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20FE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5E1C6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8" w15:restartNumberingAfterBreak="0">
    <w:nsid w:val="521D6A2F"/>
    <w:multiLevelType w:val="hybridMultilevel"/>
    <w:tmpl w:val="A3F80D6A"/>
    <w:styleLink w:val="ImportedStyle77"/>
    <w:lvl w:ilvl="0" w:tplc="E996CD70">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B220E7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7B63B0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91CA7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5C89E0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3641C8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614A4F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EDC29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D1AB54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9" w15:restartNumberingAfterBreak="0">
    <w:nsid w:val="532C17DE"/>
    <w:multiLevelType w:val="hybridMultilevel"/>
    <w:tmpl w:val="9CF039C8"/>
    <w:numStyleLink w:val="ImportedStyle69"/>
  </w:abstractNum>
  <w:abstractNum w:abstractNumId="200" w15:restartNumberingAfterBreak="0">
    <w:nsid w:val="536F1DF1"/>
    <w:multiLevelType w:val="hybridMultilevel"/>
    <w:tmpl w:val="FB221008"/>
    <w:numStyleLink w:val="ImportedStyle56"/>
  </w:abstractNum>
  <w:abstractNum w:abstractNumId="201" w15:restartNumberingAfterBreak="0">
    <w:nsid w:val="53F53251"/>
    <w:multiLevelType w:val="hybridMultilevel"/>
    <w:tmpl w:val="0B5ACD98"/>
    <w:numStyleLink w:val="ImportedStyle129"/>
  </w:abstractNum>
  <w:abstractNum w:abstractNumId="202" w15:restartNumberingAfterBreak="0">
    <w:nsid w:val="543122E3"/>
    <w:multiLevelType w:val="hybridMultilevel"/>
    <w:tmpl w:val="124AE1AE"/>
    <w:styleLink w:val="ImportedStyle36"/>
    <w:lvl w:ilvl="0" w:tplc="5FAE0CBE">
      <w:start w:val="1"/>
      <w:numFmt w:val="arabicAbjad"/>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EA36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4E4D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FCE3F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BC05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7EBC4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15C438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221D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9604B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3" w15:restartNumberingAfterBreak="0">
    <w:nsid w:val="54656077"/>
    <w:multiLevelType w:val="hybridMultilevel"/>
    <w:tmpl w:val="0A8861D8"/>
    <w:styleLink w:val="ImportedStyle10"/>
    <w:lvl w:ilvl="0" w:tplc="2C18DEF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A1E08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569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E2350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6FE36D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6CEB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FEB94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C85D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8FC08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4" w15:restartNumberingAfterBreak="0">
    <w:nsid w:val="5497706A"/>
    <w:multiLevelType w:val="hybridMultilevel"/>
    <w:tmpl w:val="D6A87B30"/>
    <w:styleLink w:val="ImportedStyle60"/>
    <w:lvl w:ilvl="0" w:tplc="53C2CA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1EFD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5680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73AB8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AA89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0AEEB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70BC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88AD6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B0288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5" w15:restartNumberingAfterBreak="0">
    <w:nsid w:val="54AF7498"/>
    <w:multiLevelType w:val="hybridMultilevel"/>
    <w:tmpl w:val="590A5884"/>
    <w:numStyleLink w:val="ImportedStyle125"/>
  </w:abstractNum>
  <w:abstractNum w:abstractNumId="206" w15:restartNumberingAfterBreak="0">
    <w:nsid w:val="54E63CAF"/>
    <w:multiLevelType w:val="hybridMultilevel"/>
    <w:tmpl w:val="0A8861D8"/>
    <w:numStyleLink w:val="ImportedStyle10"/>
  </w:abstractNum>
  <w:abstractNum w:abstractNumId="207" w15:restartNumberingAfterBreak="0">
    <w:nsid w:val="55893883"/>
    <w:multiLevelType w:val="hybridMultilevel"/>
    <w:tmpl w:val="68CCC874"/>
    <w:styleLink w:val="ImportedStyle93"/>
    <w:lvl w:ilvl="0" w:tplc="96FA9BC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FCB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25C585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5BEA8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BE2C3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1AAA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D5E189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7AA0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62859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8" w15:restartNumberingAfterBreak="0">
    <w:nsid w:val="559201C4"/>
    <w:multiLevelType w:val="hybridMultilevel"/>
    <w:tmpl w:val="E1D07BC4"/>
    <w:styleLink w:val="ImportedStyle115"/>
    <w:lvl w:ilvl="0" w:tplc="9D1482F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E03D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AA28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441AE8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50F3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A6535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D4254F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A2BE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04EB6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9" w15:restartNumberingAfterBreak="0">
    <w:nsid w:val="55E218C2"/>
    <w:multiLevelType w:val="hybridMultilevel"/>
    <w:tmpl w:val="0E0AE4F8"/>
    <w:styleLink w:val="ImportedStyle42"/>
    <w:lvl w:ilvl="0" w:tplc="B964BFC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56814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530C1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3883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11E30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3B6B0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EE563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DE0F8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64E7A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0" w15:restartNumberingAfterBreak="0">
    <w:nsid w:val="55F903CD"/>
    <w:multiLevelType w:val="hybridMultilevel"/>
    <w:tmpl w:val="111CBF4E"/>
    <w:styleLink w:val="ImportedStyle34"/>
    <w:lvl w:ilvl="0" w:tplc="C36EFD2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E6CA8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7686770">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AF3AE6D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14F8D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06AB0B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DE8E7F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680D2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EEFA1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1" w15:restartNumberingAfterBreak="0">
    <w:nsid w:val="56717644"/>
    <w:multiLevelType w:val="hybridMultilevel"/>
    <w:tmpl w:val="5942959A"/>
    <w:numStyleLink w:val="ImportedStyle136"/>
  </w:abstractNum>
  <w:abstractNum w:abstractNumId="212" w15:restartNumberingAfterBreak="0">
    <w:nsid w:val="56EB3998"/>
    <w:multiLevelType w:val="hybridMultilevel"/>
    <w:tmpl w:val="96ACEA14"/>
    <w:numStyleLink w:val="ImportedStyle24"/>
  </w:abstractNum>
  <w:abstractNum w:abstractNumId="213" w15:restartNumberingAfterBreak="0">
    <w:nsid w:val="574B21D3"/>
    <w:multiLevelType w:val="hybridMultilevel"/>
    <w:tmpl w:val="8B2CB5A4"/>
    <w:styleLink w:val="ImportedStyle85"/>
    <w:lvl w:ilvl="0" w:tplc="04F0B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F0BA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AA9F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4C4B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AC695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268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7CD5E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81D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D47B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4" w15:restartNumberingAfterBreak="0">
    <w:nsid w:val="575103B4"/>
    <w:multiLevelType w:val="hybridMultilevel"/>
    <w:tmpl w:val="9B08F6F0"/>
    <w:styleLink w:val="ImportedStyle5"/>
    <w:lvl w:ilvl="0" w:tplc="0EDC5808">
      <w:start w:val="1"/>
      <w:numFmt w:val="bullet"/>
      <w:lvlText w:val="-"/>
      <w:lvlJc w:val="left"/>
      <w:pPr>
        <w:ind w:left="7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9E6C27F4">
      <w:start w:val="1"/>
      <w:numFmt w:val="bullet"/>
      <w:lvlText w:val="-"/>
      <w:lvlJc w:val="left"/>
      <w:pPr>
        <w:ind w:left="10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0CFEBB54">
      <w:start w:val="1"/>
      <w:numFmt w:val="bullet"/>
      <w:lvlText w:val="-"/>
      <w:lvlJc w:val="left"/>
      <w:pPr>
        <w:ind w:left="18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276265D2">
      <w:start w:val="1"/>
      <w:numFmt w:val="bullet"/>
      <w:lvlText w:val="-"/>
      <w:lvlJc w:val="left"/>
      <w:pPr>
        <w:ind w:left="25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949A69DC">
      <w:start w:val="1"/>
      <w:numFmt w:val="bullet"/>
      <w:lvlText w:val="-"/>
      <w:lvlJc w:val="left"/>
      <w:pPr>
        <w:ind w:left="324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997830A6">
      <w:start w:val="1"/>
      <w:numFmt w:val="bullet"/>
      <w:lvlText w:val="-"/>
      <w:lvlJc w:val="left"/>
      <w:pPr>
        <w:ind w:left="396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420979C">
      <w:start w:val="1"/>
      <w:numFmt w:val="bullet"/>
      <w:lvlText w:val="-"/>
      <w:lvlJc w:val="left"/>
      <w:pPr>
        <w:ind w:left="46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A5647FF8">
      <w:start w:val="1"/>
      <w:numFmt w:val="bullet"/>
      <w:lvlText w:val="-"/>
      <w:lvlJc w:val="left"/>
      <w:pPr>
        <w:ind w:left="54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E3781E44">
      <w:start w:val="1"/>
      <w:numFmt w:val="bullet"/>
      <w:lvlText w:val="-"/>
      <w:lvlJc w:val="left"/>
      <w:pPr>
        <w:ind w:left="61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15" w15:restartNumberingAfterBreak="0">
    <w:nsid w:val="57B04863"/>
    <w:multiLevelType w:val="hybridMultilevel"/>
    <w:tmpl w:val="AD68DA28"/>
    <w:numStyleLink w:val="ImportedStyle30"/>
  </w:abstractNum>
  <w:abstractNum w:abstractNumId="216" w15:restartNumberingAfterBreak="0">
    <w:nsid w:val="57C744A4"/>
    <w:multiLevelType w:val="hybridMultilevel"/>
    <w:tmpl w:val="081A5074"/>
    <w:numStyleLink w:val="ImportedStyle74"/>
  </w:abstractNum>
  <w:abstractNum w:abstractNumId="217" w15:restartNumberingAfterBreak="0">
    <w:nsid w:val="57F8103E"/>
    <w:multiLevelType w:val="hybridMultilevel"/>
    <w:tmpl w:val="96ACEA14"/>
    <w:styleLink w:val="ImportedStyle24"/>
    <w:lvl w:ilvl="0" w:tplc="942E0C86">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12687D4">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766E832">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70E0AD1E">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A264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72E4E8E">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34365306">
      <w:start w:val="1"/>
      <w:numFmt w:val="decimal"/>
      <w:lvlText w:val="%7."/>
      <w:lvlJc w:val="left"/>
      <w:pPr>
        <w:ind w:left="69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8B805278">
      <w:start w:val="1"/>
      <w:numFmt w:val="lowerLetter"/>
      <w:lvlText w:val="%8."/>
      <w:lvlJc w:val="left"/>
      <w:pPr>
        <w:ind w:left="141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2372153E">
      <w:start w:val="1"/>
      <w:numFmt w:val="lowerRoman"/>
      <w:lvlText w:val="%9."/>
      <w:lvlJc w:val="left"/>
      <w:pPr>
        <w:ind w:left="2137" w:hanging="287"/>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218" w15:restartNumberingAfterBreak="0">
    <w:nsid w:val="595D0B4E"/>
    <w:multiLevelType w:val="hybridMultilevel"/>
    <w:tmpl w:val="A16E8B4A"/>
    <w:styleLink w:val="ImportedStyle2"/>
    <w:lvl w:ilvl="0" w:tplc="096A78F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FE4A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CAA7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08A1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4E47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C2ED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88807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8CAF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BE4A3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9" w15:restartNumberingAfterBreak="0">
    <w:nsid w:val="596C4262"/>
    <w:multiLevelType w:val="hybridMultilevel"/>
    <w:tmpl w:val="DCFC2BA6"/>
    <w:styleLink w:val="ImportedStyle122"/>
    <w:lvl w:ilvl="0" w:tplc="F1085D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3C4B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54FE6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F66A6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ECFE1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0AB5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EC2FA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3A5D1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C293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0" w15:restartNumberingAfterBreak="0">
    <w:nsid w:val="59711E89"/>
    <w:multiLevelType w:val="hybridMultilevel"/>
    <w:tmpl w:val="4B741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598E5AB5"/>
    <w:multiLevelType w:val="hybridMultilevel"/>
    <w:tmpl w:val="14E87B36"/>
    <w:styleLink w:val="ImportedStyle63"/>
    <w:lvl w:ilvl="0" w:tplc="4E6CDBF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CE15A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FA2D4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264E54">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4EEB88">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08D27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FCE4D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169DD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0622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2" w15:restartNumberingAfterBreak="0">
    <w:nsid w:val="5A872ED4"/>
    <w:multiLevelType w:val="hybridMultilevel"/>
    <w:tmpl w:val="868C50D4"/>
    <w:styleLink w:val="ImportedStyle100"/>
    <w:lvl w:ilvl="0" w:tplc="60145DD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332BD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D36BE2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7A12E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282946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4CC0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20B852">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BD8F63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94E53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3" w15:restartNumberingAfterBreak="0">
    <w:nsid w:val="5ABA4BAB"/>
    <w:multiLevelType w:val="hybridMultilevel"/>
    <w:tmpl w:val="3692C87A"/>
    <w:styleLink w:val="ImportedStyle101"/>
    <w:lvl w:ilvl="0" w:tplc="9302599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A282B0">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8EAA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CE011A">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0C5A92">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D6AF9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A166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94CEC3E">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9CB0F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4" w15:restartNumberingAfterBreak="0">
    <w:nsid w:val="5B6B59E9"/>
    <w:multiLevelType w:val="hybridMultilevel"/>
    <w:tmpl w:val="1AB4CBA4"/>
    <w:styleLink w:val="ImportedStyle72"/>
    <w:lvl w:ilvl="0" w:tplc="F87A07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1DAA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3A157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66AE7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7456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8AB2B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CAE8A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E6E6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92791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5" w15:restartNumberingAfterBreak="0">
    <w:nsid w:val="5C27175A"/>
    <w:multiLevelType w:val="hybridMultilevel"/>
    <w:tmpl w:val="16368280"/>
    <w:styleLink w:val="ImportedStyle91"/>
    <w:lvl w:ilvl="0" w:tplc="0DBC6306">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3F8AC36">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63024C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82CA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772D77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B4BCF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A4734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BCBAE4">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8FCAAF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6" w15:restartNumberingAfterBreak="0">
    <w:nsid w:val="5C432F0A"/>
    <w:multiLevelType w:val="hybridMultilevel"/>
    <w:tmpl w:val="B6602150"/>
    <w:styleLink w:val="ImportedStyle8"/>
    <w:lvl w:ilvl="0" w:tplc="4B1E0F9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1EB42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67604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64B4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7B82F8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2EAF2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E663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744EC2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F2A77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7" w15:restartNumberingAfterBreak="0">
    <w:nsid w:val="5CA26CC2"/>
    <w:multiLevelType w:val="hybridMultilevel"/>
    <w:tmpl w:val="1BB09272"/>
    <w:styleLink w:val="ImportedStyle119"/>
    <w:lvl w:ilvl="0" w:tplc="99A03F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D0F7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50B05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ADA48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9A4D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CC141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7F6BA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E87A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DAE7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8" w15:restartNumberingAfterBreak="0">
    <w:nsid w:val="5D670511"/>
    <w:multiLevelType w:val="hybridMultilevel"/>
    <w:tmpl w:val="2070E758"/>
    <w:styleLink w:val="ImportedStyle59"/>
    <w:lvl w:ilvl="0" w:tplc="BDCE089A">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F0FA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788A4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CEB47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3C09E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3ADC5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E02DB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986D3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3A543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9" w15:restartNumberingAfterBreak="0">
    <w:nsid w:val="5D710138"/>
    <w:multiLevelType w:val="hybridMultilevel"/>
    <w:tmpl w:val="D660C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5E441272"/>
    <w:multiLevelType w:val="hybridMultilevel"/>
    <w:tmpl w:val="A20065F4"/>
    <w:styleLink w:val="ImportedStyle46"/>
    <w:lvl w:ilvl="0" w:tplc="BDE6B27C">
      <w:start w:val="1"/>
      <w:numFmt w:val="arabicAbjad"/>
      <w:lvlText w:val="%1."/>
      <w:lvlJc w:val="left"/>
      <w:pPr>
        <w:ind w:left="99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689E78">
      <w:start w:val="1"/>
      <w:numFmt w:val="lowerLetter"/>
      <w:lvlText w:val="%2."/>
      <w:lvlJc w:val="left"/>
      <w:pPr>
        <w:ind w:left="17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DC7586">
      <w:start w:val="1"/>
      <w:numFmt w:val="lowerRoman"/>
      <w:lvlText w:val="%3."/>
      <w:lvlJc w:val="left"/>
      <w:pPr>
        <w:ind w:left="2431"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3FCE112">
      <w:start w:val="1"/>
      <w:numFmt w:val="decimal"/>
      <w:lvlText w:val="%4."/>
      <w:lvlJc w:val="left"/>
      <w:pPr>
        <w:ind w:left="31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829C82">
      <w:start w:val="1"/>
      <w:numFmt w:val="lowerLetter"/>
      <w:lvlText w:val="%5."/>
      <w:lvlJc w:val="left"/>
      <w:pPr>
        <w:ind w:left="38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9E7FD0">
      <w:start w:val="1"/>
      <w:numFmt w:val="lowerRoman"/>
      <w:lvlText w:val="%6."/>
      <w:lvlJc w:val="left"/>
      <w:pPr>
        <w:ind w:left="4591"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ED4F64A">
      <w:start w:val="1"/>
      <w:numFmt w:val="decimal"/>
      <w:lvlText w:val="%7."/>
      <w:lvlJc w:val="left"/>
      <w:pPr>
        <w:ind w:left="53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2259B6">
      <w:start w:val="1"/>
      <w:numFmt w:val="lowerLetter"/>
      <w:lvlText w:val="%8."/>
      <w:lvlJc w:val="left"/>
      <w:pPr>
        <w:ind w:left="60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90B75E">
      <w:start w:val="1"/>
      <w:numFmt w:val="lowerRoman"/>
      <w:lvlText w:val="%9."/>
      <w:lvlJc w:val="left"/>
      <w:pPr>
        <w:ind w:left="6751"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1" w15:restartNumberingAfterBreak="0">
    <w:nsid w:val="5E7A2A77"/>
    <w:multiLevelType w:val="hybridMultilevel"/>
    <w:tmpl w:val="111CBF4E"/>
    <w:numStyleLink w:val="ImportedStyle34"/>
  </w:abstractNum>
  <w:abstractNum w:abstractNumId="232" w15:restartNumberingAfterBreak="0">
    <w:nsid w:val="61181C92"/>
    <w:multiLevelType w:val="hybridMultilevel"/>
    <w:tmpl w:val="67FA5A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3" w15:restartNumberingAfterBreak="0">
    <w:nsid w:val="61D57592"/>
    <w:multiLevelType w:val="hybridMultilevel"/>
    <w:tmpl w:val="8B825DCC"/>
    <w:styleLink w:val="ImportedStyle102"/>
    <w:lvl w:ilvl="0" w:tplc="D45C7B2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7EE0F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2EEA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FCD09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C849C0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68566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781E4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E04562">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21BC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4" w15:restartNumberingAfterBreak="0">
    <w:nsid w:val="62390129"/>
    <w:multiLevelType w:val="hybridMultilevel"/>
    <w:tmpl w:val="DFC407C6"/>
    <w:numStyleLink w:val="ImportedStyle29"/>
  </w:abstractNum>
  <w:abstractNum w:abstractNumId="235" w15:restartNumberingAfterBreak="0">
    <w:nsid w:val="623F4FC2"/>
    <w:multiLevelType w:val="hybridMultilevel"/>
    <w:tmpl w:val="04128108"/>
    <w:styleLink w:val="ImportedStyle67"/>
    <w:lvl w:ilvl="0" w:tplc="A28C7BB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B22324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E3E3E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048E2A">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AF623A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42E9EA">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B84B9A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4E65756">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558759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6" w15:restartNumberingAfterBreak="0">
    <w:nsid w:val="632600CE"/>
    <w:multiLevelType w:val="hybridMultilevel"/>
    <w:tmpl w:val="406E1D1A"/>
    <w:numStyleLink w:val="ImportedStyle12"/>
  </w:abstractNum>
  <w:abstractNum w:abstractNumId="237" w15:restartNumberingAfterBreak="0">
    <w:nsid w:val="639B019A"/>
    <w:multiLevelType w:val="hybridMultilevel"/>
    <w:tmpl w:val="F9DC0000"/>
    <w:numStyleLink w:val="ImportedStyle26"/>
  </w:abstractNum>
  <w:abstractNum w:abstractNumId="238" w15:restartNumberingAfterBreak="0">
    <w:nsid w:val="63CD70C0"/>
    <w:multiLevelType w:val="hybridMultilevel"/>
    <w:tmpl w:val="A72E30A8"/>
    <w:styleLink w:val="ImportedStyle38"/>
    <w:lvl w:ilvl="0" w:tplc="045CB06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BB04FC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8A8611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D64CB70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20213F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3D8123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73A63AB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46AF99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236A44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39" w15:restartNumberingAfterBreak="0">
    <w:nsid w:val="647F1791"/>
    <w:multiLevelType w:val="hybridMultilevel"/>
    <w:tmpl w:val="B470CCF4"/>
    <w:numStyleLink w:val="ImportedStyle83"/>
  </w:abstractNum>
  <w:abstractNum w:abstractNumId="240" w15:restartNumberingAfterBreak="0">
    <w:nsid w:val="64A722BC"/>
    <w:multiLevelType w:val="hybridMultilevel"/>
    <w:tmpl w:val="96DC1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64D74B24"/>
    <w:multiLevelType w:val="hybridMultilevel"/>
    <w:tmpl w:val="BCAA45E6"/>
    <w:styleLink w:val="ImportedStyle19"/>
    <w:lvl w:ilvl="0" w:tplc="E0EC3D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5415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6223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D60B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72E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E6DD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A805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9A413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70024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2" w15:restartNumberingAfterBreak="0">
    <w:nsid w:val="65EE1A96"/>
    <w:multiLevelType w:val="hybridMultilevel"/>
    <w:tmpl w:val="406E1D1A"/>
    <w:styleLink w:val="ImportedStyle12"/>
    <w:lvl w:ilvl="0" w:tplc="F1E226A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C56FA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90A5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949D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822E8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8A4E0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883E5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2A946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60C660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3" w15:restartNumberingAfterBreak="0">
    <w:nsid w:val="66687C69"/>
    <w:multiLevelType w:val="hybridMultilevel"/>
    <w:tmpl w:val="0BAE54B8"/>
    <w:numStyleLink w:val="ImportedStyle127"/>
  </w:abstractNum>
  <w:abstractNum w:abstractNumId="244" w15:restartNumberingAfterBreak="0">
    <w:nsid w:val="66866B3E"/>
    <w:multiLevelType w:val="hybridMultilevel"/>
    <w:tmpl w:val="0B5ACD98"/>
    <w:styleLink w:val="ImportedStyle129"/>
    <w:lvl w:ilvl="0" w:tplc="E39A129C">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A018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DAA3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3CE89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3CB8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60881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8A003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1029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DCFA6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5" w15:restartNumberingAfterBreak="0">
    <w:nsid w:val="67056CFD"/>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6" w15:restartNumberingAfterBreak="0">
    <w:nsid w:val="67090D9C"/>
    <w:multiLevelType w:val="hybridMultilevel"/>
    <w:tmpl w:val="AD5C285A"/>
    <w:styleLink w:val="ImportedStyle32"/>
    <w:lvl w:ilvl="0" w:tplc="56C894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C070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9638E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D0854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226F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C60ED7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09273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164D0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20E7C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7" w15:restartNumberingAfterBreak="0">
    <w:nsid w:val="672258BB"/>
    <w:multiLevelType w:val="hybridMultilevel"/>
    <w:tmpl w:val="5C42DE3C"/>
    <w:numStyleLink w:val="ImportedStyle50"/>
  </w:abstractNum>
  <w:abstractNum w:abstractNumId="248" w15:restartNumberingAfterBreak="0">
    <w:nsid w:val="67487EE9"/>
    <w:multiLevelType w:val="hybridMultilevel"/>
    <w:tmpl w:val="E9F299D2"/>
    <w:numStyleLink w:val="ImportedStyle116"/>
  </w:abstractNum>
  <w:abstractNum w:abstractNumId="249" w15:restartNumberingAfterBreak="0">
    <w:nsid w:val="67C412BF"/>
    <w:multiLevelType w:val="hybridMultilevel"/>
    <w:tmpl w:val="D7545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0" w15:restartNumberingAfterBreak="0">
    <w:nsid w:val="688B65CD"/>
    <w:multiLevelType w:val="hybridMultilevel"/>
    <w:tmpl w:val="A20065F4"/>
    <w:numStyleLink w:val="ImportedStyle46"/>
  </w:abstractNum>
  <w:abstractNum w:abstractNumId="251" w15:restartNumberingAfterBreak="0">
    <w:nsid w:val="68961AAD"/>
    <w:multiLevelType w:val="hybridMultilevel"/>
    <w:tmpl w:val="DAFA38EC"/>
    <w:numStyleLink w:val="ImportedStyle73"/>
  </w:abstractNum>
  <w:abstractNum w:abstractNumId="252" w15:restartNumberingAfterBreak="0">
    <w:nsid w:val="69CF6CF6"/>
    <w:multiLevelType w:val="hybridMultilevel"/>
    <w:tmpl w:val="A19C83F0"/>
    <w:numStyleLink w:val="ImportedStyle61"/>
  </w:abstractNum>
  <w:abstractNum w:abstractNumId="253" w15:restartNumberingAfterBreak="0">
    <w:nsid w:val="6A8C56BC"/>
    <w:multiLevelType w:val="hybridMultilevel"/>
    <w:tmpl w:val="52C84060"/>
    <w:styleLink w:val="ImportedStyle78"/>
    <w:lvl w:ilvl="0" w:tplc="FECA2F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B800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3FCD0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10EAE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E80D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1C7F2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7484FE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10A5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5A86D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4" w15:restartNumberingAfterBreak="0">
    <w:nsid w:val="6B957778"/>
    <w:multiLevelType w:val="hybridMultilevel"/>
    <w:tmpl w:val="C64CC6A8"/>
    <w:numStyleLink w:val="ImportedStyle57"/>
  </w:abstractNum>
  <w:abstractNum w:abstractNumId="255" w15:restartNumberingAfterBreak="0">
    <w:nsid w:val="6BA5698D"/>
    <w:multiLevelType w:val="hybridMultilevel"/>
    <w:tmpl w:val="1F764348"/>
    <w:numStyleLink w:val="ImportedStyle14"/>
  </w:abstractNum>
  <w:abstractNum w:abstractNumId="256" w15:restartNumberingAfterBreak="0">
    <w:nsid w:val="6CF128D9"/>
    <w:multiLevelType w:val="hybridMultilevel"/>
    <w:tmpl w:val="D4705628"/>
    <w:numStyleLink w:val="ImportedStyle130"/>
  </w:abstractNum>
  <w:abstractNum w:abstractNumId="257" w15:restartNumberingAfterBreak="0">
    <w:nsid w:val="6D244454"/>
    <w:multiLevelType w:val="hybridMultilevel"/>
    <w:tmpl w:val="913C413C"/>
    <w:numStyleLink w:val="ImportedStyle126"/>
  </w:abstractNum>
  <w:abstractNum w:abstractNumId="258" w15:restartNumberingAfterBreak="0">
    <w:nsid w:val="6DBA3A53"/>
    <w:multiLevelType w:val="hybridMultilevel"/>
    <w:tmpl w:val="7408E5A0"/>
    <w:styleLink w:val="ImportedStyle44"/>
    <w:lvl w:ilvl="0" w:tplc="BB96D8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3A49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FE60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2413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745B4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75840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F276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2665E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4244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9" w15:restartNumberingAfterBreak="0">
    <w:nsid w:val="6DEA04EB"/>
    <w:multiLevelType w:val="hybridMultilevel"/>
    <w:tmpl w:val="97EA554E"/>
    <w:styleLink w:val="ImportedStyle131"/>
    <w:lvl w:ilvl="0" w:tplc="FF1C814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EA2F3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E4B7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57A45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501C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8C98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CBE21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CEBD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5C25E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0" w15:restartNumberingAfterBreak="0">
    <w:nsid w:val="6E213023"/>
    <w:multiLevelType w:val="hybridMultilevel"/>
    <w:tmpl w:val="D6A87B30"/>
    <w:numStyleLink w:val="ImportedStyle60"/>
  </w:abstractNum>
  <w:abstractNum w:abstractNumId="261" w15:restartNumberingAfterBreak="0">
    <w:nsid w:val="6E254522"/>
    <w:multiLevelType w:val="hybridMultilevel"/>
    <w:tmpl w:val="FB221008"/>
    <w:styleLink w:val="ImportedStyle56"/>
    <w:lvl w:ilvl="0" w:tplc="53DC8F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B86F4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E0FC8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CA0DD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F2E5A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E6186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6049C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CC4DEC">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846D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2" w15:restartNumberingAfterBreak="0">
    <w:nsid w:val="6E394AD3"/>
    <w:multiLevelType w:val="hybridMultilevel"/>
    <w:tmpl w:val="1BB09272"/>
    <w:numStyleLink w:val="ImportedStyle119"/>
  </w:abstractNum>
  <w:abstractNum w:abstractNumId="263" w15:restartNumberingAfterBreak="0">
    <w:nsid w:val="6E6E313A"/>
    <w:multiLevelType w:val="hybridMultilevel"/>
    <w:tmpl w:val="869A45BE"/>
    <w:styleLink w:val="ImportedStyle141"/>
    <w:lvl w:ilvl="0" w:tplc="1206E92C">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444EAE">
      <w:start w:val="1"/>
      <w:numFmt w:val="decimal"/>
      <w:lvlText w:val="%2."/>
      <w:lvlJc w:val="left"/>
      <w:pPr>
        <w:ind w:left="1680" w:hanging="600"/>
      </w:pPr>
      <w:rPr>
        <w:rFonts w:hAnsi="Arial Unicode MS"/>
        <w:caps w:val="0"/>
        <w:smallCaps w:val="0"/>
        <w:strike w:val="0"/>
        <w:dstrike w:val="0"/>
        <w:outline w:val="0"/>
        <w:emboss w:val="0"/>
        <w:imprint w:val="0"/>
        <w:spacing w:val="0"/>
        <w:w w:val="100"/>
        <w:kern w:val="0"/>
        <w:position w:val="0"/>
        <w:highlight w:val="none"/>
        <w:vertAlign w:val="baseline"/>
      </w:rPr>
    </w:lvl>
    <w:lvl w:ilvl="2" w:tplc="F094F3BE">
      <w:start w:val="1"/>
      <w:numFmt w:val="decimal"/>
      <w:lvlText w:val="%3."/>
      <w:lvlJc w:val="left"/>
      <w:pPr>
        <w:ind w:left="2280" w:hanging="480"/>
      </w:pPr>
      <w:rPr>
        <w:rFonts w:hAnsi="Arial Unicode MS"/>
        <w:caps w:val="0"/>
        <w:smallCaps w:val="0"/>
        <w:strike w:val="0"/>
        <w:dstrike w:val="0"/>
        <w:outline w:val="0"/>
        <w:emboss w:val="0"/>
        <w:imprint w:val="0"/>
        <w:spacing w:val="0"/>
        <w:w w:val="100"/>
        <w:kern w:val="0"/>
        <w:position w:val="0"/>
        <w:highlight w:val="none"/>
        <w:vertAlign w:val="baseline"/>
      </w:rPr>
    </w:lvl>
    <w:lvl w:ilvl="3" w:tplc="74EAB5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D652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1234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47440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4264F9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DDF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4" w15:restartNumberingAfterBreak="0">
    <w:nsid w:val="6FDE572B"/>
    <w:multiLevelType w:val="hybridMultilevel"/>
    <w:tmpl w:val="0E0AE4F8"/>
    <w:numStyleLink w:val="ImportedStyle42"/>
  </w:abstractNum>
  <w:abstractNum w:abstractNumId="265" w15:restartNumberingAfterBreak="0">
    <w:nsid w:val="700B1A8A"/>
    <w:multiLevelType w:val="hybridMultilevel"/>
    <w:tmpl w:val="488EC068"/>
    <w:numStyleLink w:val="ImportedStyle133"/>
  </w:abstractNum>
  <w:abstractNum w:abstractNumId="266" w15:restartNumberingAfterBreak="0">
    <w:nsid w:val="70676E65"/>
    <w:multiLevelType w:val="hybridMultilevel"/>
    <w:tmpl w:val="D4DEE7F4"/>
    <w:styleLink w:val="ImportedStyle90"/>
    <w:lvl w:ilvl="0" w:tplc="2B6A0DC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048FC3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D9E6C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52F0C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2A6328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8D8B74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C76C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1D251FE">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034C4A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7" w15:restartNumberingAfterBreak="0">
    <w:nsid w:val="70E26526"/>
    <w:multiLevelType w:val="hybridMultilevel"/>
    <w:tmpl w:val="66D213F8"/>
    <w:styleLink w:val="ImportedStyle121"/>
    <w:lvl w:ilvl="0" w:tplc="5A246C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4009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60564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20095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543C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3A940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6B211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DCC7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62ED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8" w15:restartNumberingAfterBreak="0">
    <w:nsid w:val="718F3BCC"/>
    <w:multiLevelType w:val="hybridMultilevel"/>
    <w:tmpl w:val="824863A6"/>
    <w:numStyleLink w:val="ImportedStyle47"/>
  </w:abstractNum>
  <w:abstractNum w:abstractNumId="269" w15:restartNumberingAfterBreak="0">
    <w:nsid w:val="72DE70E1"/>
    <w:multiLevelType w:val="hybridMultilevel"/>
    <w:tmpl w:val="CB762CA6"/>
    <w:numStyleLink w:val="ImportedStyle132"/>
  </w:abstractNum>
  <w:abstractNum w:abstractNumId="270" w15:restartNumberingAfterBreak="0">
    <w:nsid w:val="73B6620C"/>
    <w:multiLevelType w:val="hybridMultilevel"/>
    <w:tmpl w:val="97EA554E"/>
    <w:numStyleLink w:val="ImportedStyle131"/>
  </w:abstractNum>
  <w:abstractNum w:abstractNumId="271" w15:restartNumberingAfterBreak="0">
    <w:nsid w:val="73B94573"/>
    <w:multiLevelType w:val="hybridMultilevel"/>
    <w:tmpl w:val="A4EEAFAA"/>
    <w:numStyleLink w:val="ImportedStyle16"/>
  </w:abstractNum>
  <w:abstractNum w:abstractNumId="272" w15:restartNumberingAfterBreak="0">
    <w:nsid w:val="73CB0576"/>
    <w:multiLevelType w:val="hybridMultilevel"/>
    <w:tmpl w:val="4E2A2E3E"/>
    <w:styleLink w:val="ImportedStyle70"/>
    <w:lvl w:ilvl="0" w:tplc="7C5A01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20C0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140B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D0087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EC0A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B273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788828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F654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3081B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3" w15:restartNumberingAfterBreak="0">
    <w:nsid w:val="73E57B10"/>
    <w:multiLevelType w:val="hybridMultilevel"/>
    <w:tmpl w:val="16368280"/>
    <w:numStyleLink w:val="ImportedStyle91"/>
  </w:abstractNum>
  <w:abstractNum w:abstractNumId="274" w15:restartNumberingAfterBreak="0">
    <w:nsid w:val="756279A0"/>
    <w:multiLevelType w:val="hybridMultilevel"/>
    <w:tmpl w:val="3692C87A"/>
    <w:numStyleLink w:val="ImportedStyle101"/>
  </w:abstractNum>
  <w:abstractNum w:abstractNumId="275" w15:restartNumberingAfterBreak="0">
    <w:nsid w:val="75FD4B43"/>
    <w:multiLevelType w:val="hybridMultilevel"/>
    <w:tmpl w:val="819A95FC"/>
    <w:numStyleLink w:val="ImportedStyle15"/>
  </w:abstractNum>
  <w:abstractNum w:abstractNumId="276" w15:restartNumberingAfterBreak="0">
    <w:nsid w:val="7647503D"/>
    <w:multiLevelType w:val="hybridMultilevel"/>
    <w:tmpl w:val="16227C5C"/>
    <w:styleLink w:val="ImportedStyle80"/>
    <w:lvl w:ilvl="0" w:tplc="4D6A477C">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D6ECA6">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B410F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92D496">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64B68">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69836E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C2A924">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CA581E">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AEA74A">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7" w15:restartNumberingAfterBreak="0">
    <w:nsid w:val="76EC11E8"/>
    <w:multiLevelType w:val="hybridMultilevel"/>
    <w:tmpl w:val="FA0C41A2"/>
    <w:numStyleLink w:val="ImportedStyle106"/>
  </w:abstractNum>
  <w:abstractNum w:abstractNumId="278" w15:restartNumberingAfterBreak="0">
    <w:nsid w:val="77D212E0"/>
    <w:multiLevelType w:val="hybridMultilevel"/>
    <w:tmpl w:val="0096CAF2"/>
    <w:numStyleLink w:val="ImportedStyle76"/>
  </w:abstractNum>
  <w:abstractNum w:abstractNumId="279" w15:restartNumberingAfterBreak="0">
    <w:nsid w:val="77E44594"/>
    <w:multiLevelType w:val="hybridMultilevel"/>
    <w:tmpl w:val="68CCC874"/>
    <w:numStyleLink w:val="ImportedStyle93"/>
  </w:abstractNum>
  <w:abstractNum w:abstractNumId="280" w15:restartNumberingAfterBreak="0">
    <w:nsid w:val="786D448A"/>
    <w:multiLevelType w:val="hybridMultilevel"/>
    <w:tmpl w:val="3FB69FE2"/>
    <w:styleLink w:val="ImportedStyle25"/>
    <w:lvl w:ilvl="0" w:tplc="484285B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426B90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E1A99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8890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676599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35ED6D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E0320C">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5B6C12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068AFD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1" w15:restartNumberingAfterBreak="0">
    <w:nsid w:val="787338C0"/>
    <w:multiLevelType w:val="hybridMultilevel"/>
    <w:tmpl w:val="EA963F22"/>
    <w:numStyleLink w:val="ImportedStyle137"/>
  </w:abstractNum>
  <w:abstractNum w:abstractNumId="282" w15:restartNumberingAfterBreak="0">
    <w:nsid w:val="78745C8A"/>
    <w:multiLevelType w:val="hybridMultilevel"/>
    <w:tmpl w:val="FC888D22"/>
    <w:numStyleLink w:val="ImportedStyle27"/>
  </w:abstractNum>
  <w:abstractNum w:abstractNumId="283" w15:restartNumberingAfterBreak="0">
    <w:nsid w:val="79A61698"/>
    <w:multiLevelType w:val="hybridMultilevel"/>
    <w:tmpl w:val="E9F299D2"/>
    <w:styleLink w:val="ImportedStyle116"/>
    <w:lvl w:ilvl="0" w:tplc="95DCBF3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D863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873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36EC1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A2C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601A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CAA7E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5583E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783A9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4" w15:restartNumberingAfterBreak="0">
    <w:nsid w:val="7AD63B97"/>
    <w:multiLevelType w:val="hybridMultilevel"/>
    <w:tmpl w:val="AE0EEDA4"/>
    <w:styleLink w:val="ImportedStyle21"/>
    <w:lvl w:ilvl="0" w:tplc="4DC603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6E52E2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2" w:tplc="7B7A9DF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3" w:tplc="C054F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4" w:tplc="1BEC88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5" w:tplc="A63CBBD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6" w:tplc="F946AF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7" w:tplc="6DE096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8" w:tplc="34FC26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abstractNum>
  <w:abstractNum w:abstractNumId="285" w15:restartNumberingAfterBreak="0">
    <w:nsid w:val="7B096B00"/>
    <w:multiLevelType w:val="hybridMultilevel"/>
    <w:tmpl w:val="369AF984"/>
    <w:styleLink w:val="ImportedStyle64"/>
    <w:lvl w:ilvl="0" w:tplc="FCFACD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9845B8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E2606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9689F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92B5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7709E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AA144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C6F0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36B3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6" w15:restartNumberingAfterBreak="0">
    <w:nsid w:val="7B0F3F43"/>
    <w:multiLevelType w:val="hybridMultilevel"/>
    <w:tmpl w:val="E4342992"/>
    <w:numStyleLink w:val="ImportedStyle33"/>
  </w:abstractNum>
  <w:abstractNum w:abstractNumId="287" w15:restartNumberingAfterBreak="0">
    <w:nsid w:val="7B774E9D"/>
    <w:multiLevelType w:val="hybridMultilevel"/>
    <w:tmpl w:val="9B08F6F0"/>
    <w:numStyleLink w:val="ImportedStyle5"/>
  </w:abstractNum>
  <w:abstractNum w:abstractNumId="288" w15:restartNumberingAfterBreak="0">
    <w:nsid w:val="7BB47A9F"/>
    <w:multiLevelType w:val="multilevel"/>
    <w:tmpl w:val="E2963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BBA6D98"/>
    <w:multiLevelType w:val="hybridMultilevel"/>
    <w:tmpl w:val="C79A0480"/>
    <w:numStyleLink w:val="ImportedStyle18"/>
  </w:abstractNum>
  <w:abstractNum w:abstractNumId="290" w15:restartNumberingAfterBreak="0">
    <w:nsid w:val="7BC47146"/>
    <w:multiLevelType w:val="hybridMultilevel"/>
    <w:tmpl w:val="0352AC5C"/>
    <w:numStyleLink w:val="ImportedStyle23"/>
  </w:abstractNum>
  <w:abstractNum w:abstractNumId="291" w15:restartNumberingAfterBreak="0">
    <w:nsid w:val="7C8F5877"/>
    <w:multiLevelType w:val="hybridMultilevel"/>
    <w:tmpl w:val="3946B2BA"/>
    <w:styleLink w:val="ImportedStyle139"/>
    <w:lvl w:ilvl="0" w:tplc="06E843D6">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66B6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4384C7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CC6C7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14D2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7C058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700B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18FD0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F6F9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2" w15:restartNumberingAfterBreak="0">
    <w:nsid w:val="7C952D50"/>
    <w:multiLevelType w:val="hybridMultilevel"/>
    <w:tmpl w:val="24C864AA"/>
    <w:styleLink w:val="ImportedStyle84"/>
    <w:lvl w:ilvl="0" w:tplc="6B1CAE7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0CAD9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B86D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C228B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76FE8E">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D027B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8435D2">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147658">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524F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3" w15:restartNumberingAfterBreak="0">
    <w:nsid w:val="7D1865BF"/>
    <w:multiLevelType w:val="hybridMultilevel"/>
    <w:tmpl w:val="3D403116"/>
    <w:lvl w:ilvl="0" w:tplc="FD400D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7D254C57"/>
    <w:multiLevelType w:val="hybridMultilevel"/>
    <w:tmpl w:val="B470CCF4"/>
    <w:styleLink w:val="ImportedStyle83"/>
    <w:lvl w:ilvl="0" w:tplc="5A82C2B4">
      <w:start w:val="1"/>
      <w:numFmt w:val="bullet"/>
      <w:lvlText w:val="·"/>
      <w:lvlJc w:val="left"/>
      <w:pPr>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310601C">
      <w:start w:val="1"/>
      <w:numFmt w:val="bullet"/>
      <w:lvlText w:val="o"/>
      <w:lvlJc w:val="left"/>
      <w:pPr>
        <w:ind w:left="1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5E8060">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8A616C">
      <w:start w:val="1"/>
      <w:numFmt w:val="bullet"/>
      <w:lvlText w:val="·"/>
      <w:lvlJc w:val="left"/>
      <w:pPr>
        <w:ind w:left="29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B83236">
      <w:start w:val="1"/>
      <w:numFmt w:val="bullet"/>
      <w:lvlText w:val="o"/>
      <w:lvlJc w:val="left"/>
      <w:pPr>
        <w:ind w:left="3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E625DE">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AA589E">
      <w:start w:val="1"/>
      <w:numFmt w:val="bullet"/>
      <w:lvlText w:val="·"/>
      <w:lvlJc w:val="left"/>
      <w:pPr>
        <w:ind w:left="51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D0DC68">
      <w:start w:val="1"/>
      <w:numFmt w:val="bullet"/>
      <w:lvlText w:val="o"/>
      <w:lvlJc w:val="left"/>
      <w:pPr>
        <w:ind w:left="58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440146">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5" w15:restartNumberingAfterBreak="0">
    <w:nsid w:val="7D92115B"/>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6" w15:restartNumberingAfterBreak="0">
    <w:nsid w:val="7DE624ED"/>
    <w:multiLevelType w:val="hybridMultilevel"/>
    <w:tmpl w:val="9D9634E6"/>
    <w:numStyleLink w:val="ImportedStyle87"/>
  </w:abstractNum>
  <w:abstractNum w:abstractNumId="297" w15:restartNumberingAfterBreak="0">
    <w:nsid w:val="7FB75BE5"/>
    <w:multiLevelType w:val="hybridMultilevel"/>
    <w:tmpl w:val="A3F80D6A"/>
    <w:numStyleLink w:val="ImportedStyle77"/>
  </w:abstractNum>
  <w:num w:numId="1">
    <w:abstractNumId w:val="166"/>
  </w:num>
  <w:num w:numId="2">
    <w:abstractNumId w:val="106"/>
  </w:num>
  <w:num w:numId="3">
    <w:abstractNumId w:val="106"/>
    <w:lvlOverride w:ilvl="0">
      <w:lvl w:ilvl="0" w:tplc="8442740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12A466F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3CD4E2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2348FDC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729C272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27E255B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C54A392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D2FEDE4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0C9C3A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
    <w:abstractNumId w:val="218"/>
  </w:num>
  <w:num w:numId="5">
    <w:abstractNumId w:val="30"/>
  </w:num>
  <w:num w:numId="6">
    <w:abstractNumId w:val="169"/>
  </w:num>
  <w:num w:numId="7">
    <w:abstractNumId w:val="124"/>
  </w:num>
  <w:num w:numId="8">
    <w:abstractNumId w:val="124"/>
    <w:lvlOverride w:ilvl="0">
      <w:lvl w:ilvl="0" w:tplc="340E70A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64A80BD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FE85E58">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B40EF17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39DE788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C784C23E">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5964B4D0">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43C2E9F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21E33E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24"/>
  </w:num>
  <w:num w:numId="10">
    <w:abstractNumId w:val="19"/>
  </w:num>
  <w:num w:numId="11">
    <w:abstractNumId w:val="214"/>
  </w:num>
  <w:num w:numId="12">
    <w:abstractNumId w:val="287"/>
  </w:num>
  <w:num w:numId="13">
    <w:abstractNumId w:val="159"/>
  </w:num>
  <w:num w:numId="14">
    <w:abstractNumId w:val="109"/>
  </w:num>
  <w:num w:numId="15">
    <w:abstractNumId w:val="91"/>
  </w:num>
  <w:num w:numId="16">
    <w:abstractNumId w:val="130"/>
  </w:num>
  <w:num w:numId="17">
    <w:abstractNumId w:val="226"/>
  </w:num>
  <w:num w:numId="18">
    <w:abstractNumId w:val="59"/>
  </w:num>
  <w:num w:numId="19">
    <w:abstractNumId w:val="183"/>
  </w:num>
  <w:num w:numId="20">
    <w:abstractNumId w:val="5"/>
  </w:num>
  <w:num w:numId="21">
    <w:abstractNumId w:val="203"/>
  </w:num>
  <w:num w:numId="22">
    <w:abstractNumId w:val="206"/>
  </w:num>
  <w:num w:numId="23">
    <w:abstractNumId w:val="163"/>
  </w:num>
  <w:num w:numId="24">
    <w:abstractNumId w:val="2"/>
  </w:num>
  <w:num w:numId="25">
    <w:abstractNumId w:val="242"/>
  </w:num>
  <w:num w:numId="26">
    <w:abstractNumId w:val="236"/>
  </w:num>
  <w:num w:numId="27">
    <w:abstractNumId w:val="64"/>
  </w:num>
  <w:num w:numId="28">
    <w:abstractNumId w:val="15"/>
  </w:num>
  <w:num w:numId="29">
    <w:abstractNumId w:val="44"/>
  </w:num>
  <w:num w:numId="30">
    <w:abstractNumId w:val="255"/>
  </w:num>
  <w:num w:numId="31">
    <w:abstractNumId w:val="151"/>
  </w:num>
  <w:num w:numId="32">
    <w:abstractNumId w:val="275"/>
  </w:num>
  <w:num w:numId="33">
    <w:abstractNumId w:val="144"/>
  </w:num>
  <w:num w:numId="34">
    <w:abstractNumId w:val="271"/>
  </w:num>
  <w:num w:numId="35">
    <w:abstractNumId w:val="275"/>
    <w:lvlOverride w:ilvl="0">
      <w:lvl w:ilvl="0" w:tplc="D41CF116">
        <w:start w:val="1"/>
        <w:numFmt w:val="bullet"/>
        <w:lvlText w:val="-"/>
        <w:lvlJc w:val="left"/>
        <w:pPr>
          <w:ind w:left="70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3E60736">
        <w:start w:val="1"/>
        <w:numFmt w:val="bullet"/>
        <w:lvlText w:val="o"/>
        <w:lvlJc w:val="left"/>
        <w:pPr>
          <w:ind w:left="14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9541980">
        <w:start w:val="1"/>
        <w:numFmt w:val="bullet"/>
        <w:lvlText w:val="▪"/>
        <w:lvlJc w:val="left"/>
        <w:pPr>
          <w:ind w:left="214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644CF10">
        <w:start w:val="1"/>
        <w:numFmt w:val="bullet"/>
        <w:lvlText w:val="•"/>
        <w:lvlJc w:val="left"/>
        <w:pPr>
          <w:ind w:left="286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F2054AA">
        <w:start w:val="1"/>
        <w:numFmt w:val="bullet"/>
        <w:lvlText w:val="o"/>
        <w:lvlJc w:val="left"/>
        <w:pPr>
          <w:ind w:left="358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0C4B460">
        <w:start w:val="1"/>
        <w:numFmt w:val="bullet"/>
        <w:lvlText w:val="▪"/>
        <w:lvlJc w:val="left"/>
        <w:pPr>
          <w:ind w:left="430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D5E8602">
        <w:start w:val="1"/>
        <w:numFmt w:val="bullet"/>
        <w:lvlText w:val="•"/>
        <w:lvlJc w:val="left"/>
        <w:pPr>
          <w:ind w:left="50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3BAE538">
        <w:start w:val="1"/>
        <w:numFmt w:val="bullet"/>
        <w:lvlText w:val="o"/>
        <w:lvlJc w:val="left"/>
        <w:pPr>
          <w:ind w:left="574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C343026">
        <w:start w:val="1"/>
        <w:numFmt w:val="bullet"/>
        <w:lvlText w:val="▪"/>
        <w:lvlJc w:val="left"/>
        <w:pPr>
          <w:ind w:left="646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abstractNumId w:val="34"/>
  </w:num>
  <w:num w:numId="37">
    <w:abstractNumId w:val="37"/>
  </w:num>
  <w:num w:numId="38">
    <w:abstractNumId w:val="90"/>
  </w:num>
  <w:num w:numId="39">
    <w:abstractNumId w:val="289"/>
  </w:num>
  <w:num w:numId="40">
    <w:abstractNumId w:val="289"/>
    <w:lvlOverride w:ilvl="0">
      <w:lvl w:ilvl="0" w:tplc="220C7652">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E5E080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E2C7D8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BB08D24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11C4EED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98CDF3A">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688C2420">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679899F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C8645A9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abstractNumId w:val="241"/>
  </w:num>
  <w:num w:numId="42">
    <w:abstractNumId w:val="131"/>
  </w:num>
  <w:num w:numId="43">
    <w:abstractNumId w:val="174"/>
  </w:num>
  <w:num w:numId="44">
    <w:abstractNumId w:val="181"/>
  </w:num>
  <w:num w:numId="45">
    <w:abstractNumId w:val="284"/>
  </w:num>
  <w:num w:numId="46">
    <w:abstractNumId w:val="87"/>
  </w:num>
  <w:num w:numId="47">
    <w:abstractNumId w:val="37"/>
    <w:lvlOverride w:ilvl="0">
      <w:lvl w:ilvl="0" w:tplc="E56C110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91C0DE0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753634B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5470A92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E73212B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9C863F9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1DC45DEA">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6E5E93D6">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19C8917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8">
    <w:abstractNumId w:val="120"/>
  </w:num>
  <w:num w:numId="49">
    <w:abstractNumId w:val="192"/>
  </w:num>
  <w:num w:numId="50">
    <w:abstractNumId w:val="87"/>
    <w:lvlOverride w:ilvl="0">
      <w:startOverride w:val="2"/>
    </w:lvlOverride>
  </w:num>
  <w:num w:numId="51">
    <w:abstractNumId w:val="102"/>
  </w:num>
  <w:num w:numId="52">
    <w:abstractNumId w:val="290"/>
  </w:num>
  <w:num w:numId="53">
    <w:abstractNumId w:val="217"/>
  </w:num>
  <w:num w:numId="54">
    <w:abstractNumId w:val="212"/>
  </w:num>
  <w:num w:numId="55">
    <w:abstractNumId w:val="212"/>
    <w:lvlOverride w:ilvl="0">
      <w:lvl w:ilvl="0" w:tplc="A4E44A28">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5054241E">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B2A1DB2">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B662BF6">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DAEC2AE4">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C0865D12">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E6AE2E76">
        <w:start w:val="1"/>
        <w:numFmt w:val="decimal"/>
        <w:lvlText w:val="%7."/>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A8AB4B2">
        <w:start w:val="1"/>
        <w:numFmt w:val="lowerLetter"/>
        <w:lvlText w:val="%8."/>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6BC341A">
        <w:start w:val="1"/>
        <w:numFmt w:val="lowerRoman"/>
        <w:lvlText w:val="%9."/>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6">
    <w:abstractNumId w:val="280"/>
  </w:num>
  <w:num w:numId="57">
    <w:abstractNumId w:val="21"/>
  </w:num>
  <w:num w:numId="58">
    <w:abstractNumId w:val="170"/>
  </w:num>
  <w:num w:numId="59">
    <w:abstractNumId w:val="237"/>
  </w:num>
  <w:num w:numId="60">
    <w:abstractNumId w:val="103"/>
  </w:num>
  <w:num w:numId="61">
    <w:abstractNumId w:val="282"/>
  </w:num>
  <w:num w:numId="62">
    <w:abstractNumId w:val="176"/>
  </w:num>
  <w:num w:numId="63">
    <w:abstractNumId w:val="187"/>
  </w:num>
  <w:num w:numId="64">
    <w:abstractNumId w:val="95"/>
  </w:num>
  <w:num w:numId="65">
    <w:abstractNumId w:val="234"/>
  </w:num>
  <w:num w:numId="66">
    <w:abstractNumId w:val="136"/>
  </w:num>
  <w:num w:numId="67">
    <w:abstractNumId w:val="215"/>
  </w:num>
  <w:num w:numId="68">
    <w:abstractNumId w:val="26"/>
  </w:num>
  <w:num w:numId="69">
    <w:abstractNumId w:val="129"/>
  </w:num>
  <w:num w:numId="70">
    <w:abstractNumId w:val="246"/>
  </w:num>
  <w:num w:numId="71">
    <w:abstractNumId w:val="107"/>
  </w:num>
  <w:num w:numId="72">
    <w:abstractNumId w:val="186"/>
  </w:num>
  <w:num w:numId="73">
    <w:abstractNumId w:val="286"/>
  </w:num>
  <w:num w:numId="74">
    <w:abstractNumId w:val="286"/>
    <w:lvlOverride w:ilvl="0">
      <w:lvl w:ilvl="0" w:tplc="CED6894A">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D92C95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DD614B8">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EFE38F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3F890C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D3C5AC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38C4B78">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7AAC5F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29CE67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5">
    <w:abstractNumId w:val="210"/>
  </w:num>
  <w:num w:numId="76">
    <w:abstractNumId w:val="231"/>
  </w:num>
  <w:num w:numId="77">
    <w:abstractNumId w:val="96"/>
  </w:num>
  <w:num w:numId="78">
    <w:abstractNumId w:val="162"/>
  </w:num>
  <w:num w:numId="79">
    <w:abstractNumId w:val="202"/>
  </w:num>
  <w:num w:numId="80">
    <w:abstractNumId w:val="115"/>
  </w:num>
  <w:num w:numId="81">
    <w:abstractNumId w:val="162"/>
    <w:lvlOverride w:ilvl="0">
      <w:startOverride w:val="2"/>
    </w:lvlOverride>
  </w:num>
  <w:num w:numId="82">
    <w:abstractNumId w:val="162"/>
    <w:lvlOverride w:ilvl="0">
      <w:lvl w:ilvl="0" w:tplc="EBCEFAD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644A04E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D666A054">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67C21ED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0C3CA73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0A9A357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78DE5BE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D07A714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234A3CA6">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3">
    <w:abstractNumId w:val="129"/>
    <w:lvlOverride w:ilvl="0">
      <w:lvl w:ilvl="0" w:tplc="E5A814AA">
        <w:start w:val="1"/>
        <w:numFmt w:val="bullet"/>
        <w:lvlText w:val="-"/>
        <w:lvlJc w:val="left"/>
        <w:pPr>
          <w:ind w:left="7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404025E2">
        <w:start w:val="1"/>
        <w:numFmt w:val="bullet"/>
        <w:lvlText w:val="o"/>
        <w:lvlJc w:val="left"/>
        <w:pPr>
          <w:ind w:left="14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9A96F964">
        <w:start w:val="1"/>
        <w:numFmt w:val="bullet"/>
        <w:lvlText w:val="▪"/>
        <w:lvlJc w:val="left"/>
        <w:pPr>
          <w:ind w:left="21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0FD84752">
        <w:start w:val="1"/>
        <w:numFmt w:val="bullet"/>
        <w:lvlText w:val="•"/>
        <w:lvlJc w:val="left"/>
        <w:pPr>
          <w:ind w:left="29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848C808E">
        <w:start w:val="1"/>
        <w:numFmt w:val="bullet"/>
        <w:lvlText w:val="o"/>
        <w:lvlJc w:val="left"/>
        <w:pPr>
          <w:ind w:left="362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63DE97BC">
        <w:start w:val="1"/>
        <w:numFmt w:val="bullet"/>
        <w:lvlText w:val="▪"/>
        <w:lvlJc w:val="left"/>
        <w:pPr>
          <w:ind w:left="43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7DE2C02C">
        <w:start w:val="1"/>
        <w:numFmt w:val="bullet"/>
        <w:lvlText w:val="•"/>
        <w:lvlJc w:val="left"/>
        <w:pPr>
          <w:ind w:left="50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D084E53E">
        <w:start w:val="1"/>
        <w:numFmt w:val="bullet"/>
        <w:lvlText w:val="o"/>
        <w:lvlJc w:val="left"/>
        <w:pPr>
          <w:ind w:left="57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1C2082D4">
        <w:start w:val="1"/>
        <w:numFmt w:val="bullet"/>
        <w:lvlText w:val="▪"/>
        <w:lvlJc w:val="left"/>
        <w:pPr>
          <w:ind w:left="65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 w:numId="84">
    <w:abstractNumId w:val="52"/>
  </w:num>
  <w:num w:numId="85">
    <w:abstractNumId w:val="29"/>
  </w:num>
  <w:num w:numId="86">
    <w:abstractNumId w:val="238"/>
  </w:num>
  <w:num w:numId="87">
    <w:abstractNumId w:val="147"/>
  </w:num>
  <w:num w:numId="88">
    <w:abstractNumId w:val="43"/>
  </w:num>
  <w:num w:numId="89">
    <w:abstractNumId w:val="50"/>
  </w:num>
  <w:num w:numId="90">
    <w:abstractNumId w:val="147"/>
    <w:lvlOverride w:ilvl="0">
      <w:startOverride w:val="3"/>
    </w:lvlOverride>
  </w:num>
  <w:num w:numId="91">
    <w:abstractNumId w:val="55"/>
  </w:num>
  <w:num w:numId="92">
    <w:abstractNumId w:val="79"/>
  </w:num>
  <w:num w:numId="93">
    <w:abstractNumId w:val="50"/>
    <w:lvlOverride w:ilvl="0">
      <w:lvl w:ilvl="0" w:tplc="6DE2D3C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9D8F6D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4B0491A">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2CCB00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3C187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0F6983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84048C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5E2819C">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528E06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4">
    <w:abstractNumId w:val="79"/>
    <w:lvlOverride w:ilvl="0">
      <w:startOverride w:val="3"/>
    </w:lvlOverride>
  </w:num>
  <w:num w:numId="95">
    <w:abstractNumId w:val="158"/>
  </w:num>
  <w:num w:numId="96">
    <w:abstractNumId w:val="62"/>
  </w:num>
  <w:num w:numId="97">
    <w:abstractNumId w:val="209"/>
  </w:num>
  <w:num w:numId="98">
    <w:abstractNumId w:val="264"/>
  </w:num>
  <w:num w:numId="99">
    <w:abstractNumId w:val="146"/>
  </w:num>
  <w:num w:numId="100">
    <w:abstractNumId w:val="48"/>
  </w:num>
  <w:num w:numId="101">
    <w:abstractNumId w:val="258"/>
  </w:num>
  <w:num w:numId="102">
    <w:abstractNumId w:val="61"/>
  </w:num>
  <w:num w:numId="103">
    <w:abstractNumId w:val="48"/>
    <w:lvlOverride w:ilvl="0">
      <w:startOverride w:val="2"/>
    </w:lvlOverride>
  </w:num>
  <w:num w:numId="104">
    <w:abstractNumId w:val="165"/>
  </w:num>
  <w:num w:numId="105">
    <w:abstractNumId w:val="75"/>
  </w:num>
  <w:num w:numId="106">
    <w:abstractNumId w:val="230"/>
  </w:num>
  <w:num w:numId="107">
    <w:abstractNumId w:val="250"/>
  </w:num>
  <w:num w:numId="108">
    <w:abstractNumId w:val="117"/>
  </w:num>
  <w:num w:numId="109">
    <w:abstractNumId w:val="268"/>
  </w:num>
  <w:num w:numId="110">
    <w:abstractNumId w:val="75"/>
    <w:lvlOverride w:ilvl="0">
      <w:startOverride w:val="2"/>
    </w:lvlOverride>
  </w:num>
  <w:num w:numId="111">
    <w:abstractNumId w:val="48"/>
    <w:lvlOverride w:ilvl="0">
      <w:startOverride w:val="4"/>
    </w:lvlOverride>
  </w:num>
  <w:num w:numId="112">
    <w:abstractNumId w:val="157"/>
  </w:num>
  <w:num w:numId="113">
    <w:abstractNumId w:val="0"/>
  </w:num>
  <w:num w:numId="114">
    <w:abstractNumId w:val="48"/>
    <w:lvlOverride w:ilvl="0">
      <w:startOverride w:val="5"/>
    </w:lvlOverride>
  </w:num>
  <w:num w:numId="115">
    <w:abstractNumId w:val="152"/>
  </w:num>
  <w:num w:numId="116">
    <w:abstractNumId w:val="49"/>
  </w:num>
  <w:num w:numId="117">
    <w:abstractNumId w:val="168"/>
  </w:num>
  <w:num w:numId="118">
    <w:abstractNumId w:val="247"/>
  </w:num>
  <w:num w:numId="119">
    <w:abstractNumId w:val="119"/>
  </w:num>
  <w:num w:numId="120">
    <w:abstractNumId w:val="149"/>
  </w:num>
  <w:num w:numId="121">
    <w:abstractNumId w:val="110"/>
  </w:num>
  <w:num w:numId="122">
    <w:abstractNumId w:val="178"/>
  </w:num>
  <w:num w:numId="123">
    <w:abstractNumId w:val="177"/>
  </w:num>
  <w:num w:numId="124">
    <w:abstractNumId w:val="51"/>
  </w:num>
  <w:num w:numId="125">
    <w:abstractNumId w:val="76"/>
  </w:num>
  <w:num w:numId="126">
    <w:abstractNumId w:val="188"/>
  </w:num>
  <w:num w:numId="127">
    <w:abstractNumId w:val="191"/>
  </w:num>
  <w:num w:numId="128">
    <w:abstractNumId w:val="145"/>
  </w:num>
  <w:num w:numId="129">
    <w:abstractNumId w:val="261"/>
  </w:num>
  <w:num w:numId="130">
    <w:abstractNumId w:val="200"/>
  </w:num>
  <w:num w:numId="131">
    <w:abstractNumId w:val="161"/>
  </w:num>
  <w:num w:numId="132">
    <w:abstractNumId w:val="254"/>
  </w:num>
  <w:num w:numId="133">
    <w:abstractNumId w:val="20"/>
  </w:num>
  <w:num w:numId="134">
    <w:abstractNumId w:val="3"/>
  </w:num>
  <w:num w:numId="135">
    <w:abstractNumId w:val="228"/>
  </w:num>
  <w:num w:numId="136">
    <w:abstractNumId w:val="180"/>
  </w:num>
  <w:num w:numId="137">
    <w:abstractNumId w:val="204"/>
  </w:num>
  <w:num w:numId="138">
    <w:abstractNumId w:val="260"/>
  </w:num>
  <w:num w:numId="139">
    <w:abstractNumId w:val="67"/>
  </w:num>
  <w:num w:numId="140">
    <w:abstractNumId w:val="252"/>
  </w:num>
  <w:num w:numId="141">
    <w:abstractNumId w:val="81"/>
  </w:num>
  <w:num w:numId="142">
    <w:abstractNumId w:val="135"/>
  </w:num>
  <w:num w:numId="143">
    <w:abstractNumId w:val="221"/>
  </w:num>
  <w:num w:numId="144">
    <w:abstractNumId w:val="126"/>
  </w:num>
  <w:num w:numId="145">
    <w:abstractNumId w:val="285"/>
  </w:num>
  <w:num w:numId="146">
    <w:abstractNumId w:val="153"/>
  </w:num>
  <w:num w:numId="147">
    <w:abstractNumId w:val="63"/>
  </w:num>
  <w:num w:numId="148">
    <w:abstractNumId w:val="116"/>
  </w:num>
  <w:num w:numId="149">
    <w:abstractNumId w:val="9"/>
  </w:num>
  <w:num w:numId="150">
    <w:abstractNumId w:val="141"/>
  </w:num>
  <w:num w:numId="151">
    <w:abstractNumId w:val="235"/>
  </w:num>
  <w:num w:numId="152">
    <w:abstractNumId w:val="150"/>
  </w:num>
  <w:num w:numId="153">
    <w:abstractNumId w:val="97"/>
  </w:num>
  <w:num w:numId="154">
    <w:abstractNumId w:val="196"/>
  </w:num>
  <w:num w:numId="155">
    <w:abstractNumId w:val="25"/>
  </w:num>
  <w:num w:numId="156">
    <w:abstractNumId w:val="199"/>
  </w:num>
  <w:num w:numId="157">
    <w:abstractNumId w:val="272"/>
  </w:num>
  <w:num w:numId="158">
    <w:abstractNumId w:val="143"/>
  </w:num>
  <w:num w:numId="159">
    <w:abstractNumId w:val="1"/>
  </w:num>
  <w:num w:numId="160">
    <w:abstractNumId w:val="154"/>
  </w:num>
  <w:num w:numId="161">
    <w:abstractNumId w:val="224"/>
  </w:num>
  <w:num w:numId="162">
    <w:abstractNumId w:val="111"/>
  </w:num>
  <w:num w:numId="163">
    <w:abstractNumId w:val="88"/>
  </w:num>
  <w:num w:numId="164">
    <w:abstractNumId w:val="251"/>
  </w:num>
  <w:num w:numId="165">
    <w:abstractNumId w:val="54"/>
  </w:num>
  <w:num w:numId="166">
    <w:abstractNumId w:val="216"/>
  </w:num>
  <w:num w:numId="167">
    <w:abstractNumId w:val="121"/>
  </w:num>
  <w:num w:numId="168">
    <w:abstractNumId w:val="175"/>
  </w:num>
  <w:num w:numId="169">
    <w:abstractNumId w:val="18"/>
  </w:num>
  <w:num w:numId="170">
    <w:abstractNumId w:val="278"/>
  </w:num>
  <w:num w:numId="171">
    <w:abstractNumId w:val="198"/>
  </w:num>
  <w:num w:numId="172">
    <w:abstractNumId w:val="297"/>
  </w:num>
  <w:num w:numId="173">
    <w:abstractNumId w:val="253"/>
  </w:num>
  <w:num w:numId="174">
    <w:abstractNumId w:val="31"/>
  </w:num>
  <w:num w:numId="175">
    <w:abstractNumId w:val="31"/>
    <w:lvlOverride w:ilvl="0">
      <w:startOverride w:val="2"/>
    </w:lvlOverride>
  </w:num>
  <w:num w:numId="176">
    <w:abstractNumId w:val="104"/>
  </w:num>
  <w:num w:numId="177">
    <w:abstractNumId w:val="128"/>
  </w:num>
  <w:num w:numId="178">
    <w:abstractNumId w:val="276"/>
  </w:num>
  <w:num w:numId="179">
    <w:abstractNumId w:val="58"/>
  </w:num>
  <w:num w:numId="180">
    <w:abstractNumId w:val="118"/>
  </w:num>
  <w:num w:numId="181">
    <w:abstractNumId w:val="12"/>
  </w:num>
  <w:num w:numId="182">
    <w:abstractNumId w:val="108"/>
  </w:num>
  <w:num w:numId="183">
    <w:abstractNumId w:val="101"/>
  </w:num>
  <w:num w:numId="184">
    <w:abstractNumId w:val="294"/>
  </w:num>
  <w:num w:numId="185">
    <w:abstractNumId w:val="239"/>
  </w:num>
  <w:num w:numId="186">
    <w:abstractNumId w:val="292"/>
  </w:num>
  <w:num w:numId="187">
    <w:abstractNumId w:val="7"/>
  </w:num>
  <w:num w:numId="188">
    <w:abstractNumId w:val="213"/>
  </w:num>
  <w:num w:numId="189">
    <w:abstractNumId w:val="125"/>
  </w:num>
  <w:num w:numId="190">
    <w:abstractNumId w:val="22"/>
  </w:num>
  <w:num w:numId="191">
    <w:abstractNumId w:val="184"/>
  </w:num>
  <w:num w:numId="192">
    <w:abstractNumId w:val="28"/>
  </w:num>
  <w:num w:numId="193">
    <w:abstractNumId w:val="296"/>
  </w:num>
  <w:num w:numId="194">
    <w:abstractNumId w:val="171"/>
  </w:num>
  <w:num w:numId="195">
    <w:abstractNumId w:val="11"/>
  </w:num>
  <w:num w:numId="196">
    <w:abstractNumId w:val="134"/>
  </w:num>
  <w:num w:numId="197">
    <w:abstractNumId w:val="122"/>
  </w:num>
  <w:num w:numId="198">
    <w:abstractNumId w:val="266"/>
  </w:num>
  <w:num w:numId="199">
    <w:abstractNumId w:val="93"/>
  </w:num>
  <w:num w:numId="200">
    <w:abstractNumId w:val="225"/>
  </w:num>
  <w:num w:numId="201">
    <w:abstractNumId w:val="273"/>
  </w:num>
  <w:num w:numId="202">
    <w:abstractNumId w:val="35"/>
  </w:num>
  <w:num w:numId="203">
    <w:abstractNumId w:val="14"/>
  </w:num>
  <w:num w:numId="204">
    <w:abstractNumId w:val="207"/>
  </w:num>
  <w:num w:numId="205">
    <w:abstractNumId w:val="279"/>
  </w:num>
  <w:num w:numId="206">
    <w:abstractNumId w:val="38"/>
  </w:num>
  <w:num w:numId="207">
    <w:abstractNumId w:val="98"/>
  </w:num>
  <w:num w:numId="208">
    <w:abstractNumId w:val="72"/>
  </w:num>
  <w:num w:numId="209">
    <w:abstractNumId w:val="84"/>
  </w:num>
  <w:num w:numId="210">
    <w:abstractNumId w:val="98"/>
    <w:lvlOverride w:ilvl="0">
      <w:startOverride w:val="2"/>
    </w:lvlOverride>
  </w:num>
  <w:num w:numId="211">
    <w:abstractNumId w:val="140"/>
  </w:num>
  <w:num w:numId="212">
    <w:abstractNumId w:val="92"/>
  </w:num>
  <w:num w:numId="213">
    <w:abstractNumId w:val="138"/>
  </w:num>
  <w:num w:numId="214">
    <w:abstractNumId w:val="85"/>
  </w:num>
  <w:num w:numId="215">
    <w:abstractNumId w:val="46"/>
  </w:num>
  <w:num w:numId="216">
    <w:abstractNumId w:val="53"/>
  </w:num>
  <w:num w:numId="217">
    <w:abstractNumId w:val="17"/>
  </w:num>
  <w:num w:numId="218">
    <w:abstractNumId w:val="142"/>
  </w:num>
  <w:num w:numId="219">
    <w:abstractNumId w:val="222"/>
  </w:num>
  <w:num w:numId="220">
    <w:abstractNumId w:val="57"/>
  </w:num>
  <w:num w:numId="221">
    <w:abstractNumId w:val="223"/>
  </w:num>
  <w:num w:numId="222">
    <w:abstractNumId w:val="274"/>
  </w:num>
  <w:num w:numId="223">
    <w:abstractNumId w:val="233"/>
  </w:num>
  <w:num w:numId="224">
    <w:abstractNumId w:val="132"/>
  </w:num>
  <w:num w:numId="225">
    <w:abstractNumId w:val="33"/>
  </w:num>
  <w:num w:numId="226">
    <w:abstractNumId w:val="71"/>
  </w:num>
  <w:num w:numId="227">
    <w:abstractNumId w:val="68"/>
  </w:num>
  <w:num w:numId="228">
    <w:abstractNumId w:val="156"/>
  </w:num>
  <w:num w:numId="229">
    <w:abstractNumId w:val="236"/>
    <w:lvlOverride w:ilvl="0">
      <w:lvl w:ilvl="0" w:tplc="F082571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D0CE56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26A7D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C988B4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348271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C56FD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734B8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454175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A4EB1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0">
    <w:abstractNumId w:val="56"/>
  </w:num>
  <w:num w:numId="231">
    <w:abstractNumId w:val="39"/>
  </w:num>
  <w:num w:numId="232">
    <w:abstractNumId w:val="195"/>
  </w:num>
  <w:num w:numId="233">
    <w:abstractNumId w:val="277"/>
  </w:num>
  <w:num w:numId="234">
    <w:abstractNumId w:val="6"/>
  </w:num>
  <w:num w:numId="235">
    <w:abstractNumId w:val="65"/>
  </w:num>
  <w:num w:numId="236">
    <w:abstractNumId w:val="277"/>
    <w:lvlOverride w:ilvl="0">
      <w:startOverride w:val="4"/>
    </w:lvlOverride>
  </w:num>
  <w:num w:numId="237">
    <w:abstractNumId w:val="69"/>
  </w:num>
  <w:num w:numId="238">
    <w:abstractNumId w:val="4"/>
  </w:num>
  <w:num w:numId="239">
    <w:abstractNumId w:val="193"/>
  </w:num>
  <w:num w:numId="240">
    <w:abstractNumId w:val="94"/>
  </w:num>
  <w:num w:numId="241">
    <w:abstractNumId w:val="4"/>
    <w:lvlOverride w:ilvl="0">
      <w:startOverride w:val="2"/>
    </w:lvlOverride>
  </w:num>
  <w:num w:numId="242">
    <w:abstractNumId w:val="89"/>
  </w:num>
  <w:num w:numId="243">
    <w:abstractNumId w:val="8"/>
    <w:lvlOverride w:ilvl="0">
      <w:startOverride w:val="5"/>
    </w:lvlOverride>
  </w:num>
  <w:num w:numId="244">
    <w:abstractNumId w:val="277"/>
    <w:lvlOverride w:ilvl="0">
      <w:startOverride w:val="5"/>
    </w:lvlOverride>
  </w:num>
  <w:num w:numId="245">
    <w:abstractNumId w:val="137"/>
  </w:num>
  <w:num w:numId="246">
    <w:abstractNumId w:val="194"/>
  </w:num>
  <w:num w:numId="247">
    <w:abstractNumId w:val="77"/>
  </w:num>
  <w:num w:numId="248">
    <w:abstractNumId w:val="16"/>
  </w:num>
  <w:num w:numId="249">
    <w:abstractNumId w:val="194"/>
    <w:lvlOverride w:ilvl="0">
      <w:startOverride w:val="2"/>
    </w:lvlOverride>
  </w:num>
  <w:num w:numId="250">
    <w:abstractNumId w:val="10"/>
  </w:num>
  <w:num w:numId="251">
    <w:abstractNumId w:val="60"/>
  </w:num>
  <w:num w:numId="252">
    <w:abstractNumId w:val="189"/>
  </w:num>
  <w:num w:numId="253">
    <w:abstractNumId w:val="179"/>
  </w:num>
  <w:num w:numId="254">
    <w:abstractNumId w:val="208"/>
  </w:num>
  <w:num w:numId="255">
    <w:abstractNumId w:val="123"/>
  </w:num>
  <w:num w:numId="256">
    <w:abstractNumId w:val="283"/>
  </w:num>
  <w:num w:numId="257">
    <w:abstractNumId w:val="248"/>
  </w:num>
  <w:num w:numId="258">
    <w:abstractNumId w:val="112"/>
  </w:num>
  <w:num w:numId="259">
    <w:abstractNumId w:val="185"/>
  </w:num>
  <w:num w:numId="260">
    <w:abstractNumId w:val="45"/>
  </w:num>
  <w:num w:numId="261">
    <w:abstractNumId w:val="167"/>
  </w:num>
  <w:num w:numId="262">
    <w:abstractNumId w:val="185"/>
    <w:lvlOverride w:ilvl="0">
      <w:startOverride w:val="4"/>
    </w:lvlOverride>
  </w:num>
  <w:num w:numId="263">
    <w:abstractNumId w:val="227"/>
  </w:num>
  <w:num w:numId="264">
    <w:abstractNumId w:val="262"/>
  </w:num>
  <w:num w:numId="265">
    <w:abstractNumId w:val="182"/>
  </w:num>
  <w:num w:numId="266">
    <w:abstractNumId w:val="155"/>
  </w:num>
  <w:num w:numId="267">
    <w:abstractNumId w:val="267"/>
  </w:num>
  <w:num w:numId="268">
    <w:abstractNumId w:val="86"/>
  </w:num>
  <w:num w:numId="269">
    <w:abstractNumId w:val="219"/>
  </w:num>
  <w:num w:numId="270">
    <w:abstractNumId w:val="23"/>
  </w:num>
  <w:num w:numId="271">
    <w:abstractNumId w:val="27"/>
  </w:num>
  <w:num w:numId="272">
    <w:abstractNumId w:val="139"/>
  </w:num>
  <w:num w:numId="273">
    <w:abstractNumId w:val="23"/>
    <w:lvlOverride w:ilvl="0">
      <w:startOverride w:val="2"/>
    </w:lvlOverride>
  </w:num>
  <w:num w:numId="274">
    <w:abstractNumId w:val="148"/>
  </w:num>
  <w:num w:numId="275">
    <w:abstractNumId w:val="74"/>
  </w:num>
  <w:num w:numId="276">
    <w:abstractNumId w:val="133"/>
  </w:num>
  <w:num w:numId="277">
    <w:abstractNumId w:val="205"/>
  </w:num>
  <w:num w:numId="278">
    <w:abstractNumId w:val="13"/>
  </w:num>
  <w:num w:numId="279">
    <w:abstractNumId w:val="257"/>
  </w:num>
  <w:num w:numId="280">
    <w:abstractNumId w:val="70"/>
  </w:num>
  <w:num w:numId="281">
    <w:abstractNumId w:val="243"/>
  </w:num>
  <w:num w:numId="282">
    <w:abstractNumId w:val="40"/>
  </w:num>
  <w:num w:numId="283">
    <w:abstractNumId w:val="99"/>
  </w:num>
  <w:num w:numId="284">
    <w:abstractNumId w:val="244"/>
  </w:num>
  <w:num w:numId="285">
    <w:abstractNumId w:val="201"/>
  </w:num>
  <w:num w:numId="286">
    <w:abstractNumId w:val="82"/>
  </w:num>
  <w:num w:numId="287">
    <w:abstractNumId w:val="256"/>
  </w:num>
  <w:num w:numId="288">
    <w:abstractNumId w:val="99"/>
    <w:lvlOverride w:ilvl="0">
      <w:startOverride w:val="2"/>
    </w:lvlOverride>
  </w:num>
  <w:num w:numId="289">
    <w:abstractNumId w:val="259"/>
  </w:num>
  <w:num w:numId="290">
    <w:abstractNumId w:val="270"/>
  </w:num>
  <w:num w:numId="291">
    <w:abstractNumId w:val="42"/>
  </w:num>
  <w:num w:numId="292">
    <w:abstractNumId w:val="269"/>
  </w:num>
  <w:num w:numId="293">
    <w:abstractNumId w:val="80"/>
  </w:num>
  <w:num w:numId="294">
    <w:abstractNumId w:val="265"/>
  </w:num>
  <w:num w:numId="295">
    <w:abstractNumId w:val="172"/>
  </w:num>
  <w:num w:numId="296">
    <w:abstractNumId w:val="41"/>
  </w:num>
  <w:num w:numId="297">
    <w:abstractNumId w:val="265"/>
    <w:lvlOverride w:ilvl="0">
      <w:startOverride w:val="3"/>
    </w:lvlOverride>
  </w:num>
  <w:num w:numId="298">
    <w:abstractNumId w:val="197"/>
  </w:num>
  <w:num w:numId="299">
    <w:abstractNumId w:val="127"/>
  </w:num>
  <w:num w:numId="300">
    <w:abstractNumId w:val="265"/>
    <w:lvlOverride w:ilvl="0">
      <w:startOverride w:val="4"/>
    </w:lvlOverride>
  </w:num>
  <w:num w:numId="301">
    <w:abstractNumId w:val="269"/>
    <w:lvlOverride w:ilvl="0">
      <w:startOverride w:val="2"/>
    </w:lvlOverride>
  </w:num>
  <w:num w:numId="302">
    <w:abstractNumId w:val="36"/>
  </w:num>
  <w:num w:numId="303">
    <w:abstractNumId w:val="211"/>
  </w:num>
  <w:num w:numId="304">
    <w:abstractNumId w:val="105"/>
  </w:num>
  <w:num w:numId="305">
    <w:abstractNumId w:val="281"/>
  </w:num>
  <w:num w:numId="306">
    <w:abstractNumId w:val="269"/>
    <w:lvlOverride w:ilvl="0">
      <w:startOverride w:val="3"/>
    </w:lvlOverride>
  </w:num>
  <w:num w:numId="307">
    <w:abstractNumId w:val="73"/>
  </w:num>
  <w:num w:numId="308">
    <w:abstractNumId w:val="32"/>
  </w:num>
  <w:num w:numId="309">
    <w:abstractNumId w:val="291"/>
  </w:num>
  <w:num w:numId="310">
    <w:abstractNumId w:val="47"/>
  </w:num>
  <w:num w:numId="311">
    <w:abstractNumId w:val="173"/>
  </w:num>
  <w:num w:numId="312">
    <w:abstractNumId w:val="190"/>
  </w:num>
  <w:num w:numId="313">
    <w:abstractNumId w:val="263"/>
  </w:num>
  <w:num w:numId="314">
    <w:abstractNumId w:val="66"/>
  </w:num>
  <w:num w:numId="315">
    <w:abstractNumId w:val="190"/>
    <w:lvlOverride w:ilvl="0">
      <w:startOverride w:val="2"/>
    </w:lvlOverride>
  </w:num>
  <w:num w:numId="316">
    <w:abstractNumId w:val="249"/>
  </w:num>
  <w:num w:numId="317">
    <w:abstractNumId w:val="113"/>
  </w:num>
  <w:num w:numId="318">
    <w:abstractNumId w:val="232"/>
  </w:num>
  <w:num w:numId="319">
    <w:abstractNumId w:val="100"/>
  </w:num>
  <w:num w:numId="320">
    <w:abstractNumId w:val="240"/>
  </w:num>
  <w:num w:numId="321">
    <w:abstractNumId w:val="229"/>
  </w:num>
  <w:num w:numId="322">
    <w:abstractNumId w:val="245"/>
  </w:num>
  <w:num w:numId="323">
    <w:abstractNumId w:val="295"/>
  </w:num>
  <w:num w:numId="324">
    <w:abstractNumId w:val="114"/>
  </w:num>
  <w:num w:numId="325">
    <w:abstractNumId w:val="220"/>
  </w:num>
  <w:num w:numId="326">
    <w:abstractNumId w:val="164"/>
  </w:num>
  <w:num w:numId="327">
    <w:abstractNumId w:val="293"/>
  </w:num>
  <w:num w:numId="328">
    <w:abstractNumId w:val="83"/>
  </w:num>
  <w:num w:numId="329">
    <w:abstractNumId w:val="288"/>
  </w:num>
  <w:num w:numId="330">
    <w:abstractNumId w:val="160"/>
  </w:num>
  <w:num w:numId="331">
    <w:abstractNumId w:val="78"/>
  </w:num>
  <w:numIdMacAtCleanup w:val="32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Ahmed">
    <w15:presenceInfo w15:providerId="None" w15:userId="DRAhm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defaultTabStop w:val="720"/>
  <w:characterSpacingControl w:val="doNotCompress"/>
  <w:hdrShapeDefaults>
    <o:shapedefaults v:ext="edit" spidmax="2049"/>
  </w:hdrShapeDefaults>
  <w:footnotePr>
    <w:numRestart w:val="eachPage"/>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428"/>
    <w:rsid w:val="00012794"/>
    <w:rsid w:val="00016B14"/>
    <w:rsid w:val="000315C1"/>
    <w:rsid w:val="000344F3"/>
    <w:rsid w:val="0004189D"/>
    <w:rsid w:val="00062754"/>
    <w:rsid w:val="00066A55"/>
    <w:rsid w:val="00087562"/>
    <w:rsid w:val="000A71BE"/>
    <w:rsid w:val="000B4E0E"/>
    <w:rsid w:val="000B6E77"/>
    <w:rsid w:val="000C5106"/>
    <w:rsid w:val="000D0A34"/>
    <w:rsid w:val="000D0EE5"/>
    <w:rsid w:val="000E4146"/>
    <w:rsid w:val="000E6247"/>
    <w:rsid w:val="000F0174"/>
    <w:rsid w:val="000F31CE"/>
    <w:rsid w:val="00111CD4"/>
    <w:rsid w:val="00113335"/>
    <w:rsid w:val="00126ABB"/>
    <w:rsid w:val="001434A9"/>
    <w:rsid w:val="001514C0"/>
    <w:rsid w:val="001552B0"/>
    <w:rsid w:val="0016489B"/>
    <w:rsid w:val="001977E4"/>
    <w:rsid w:val="001B60C2"/>
    <w:rsid w:val="001C07C1"/>
    <w:rsid w:val="001D6F93"/>
    <w:rsid w:val="001F2D43"/>
    <w:rsid w:val="001F4EBA"/>
    <w:rsid w:val="002167C2"/>
    <w:rsid w:val="002329E9"/>
    <w:rsid w:val="00233D81"/>
    <w:rsid w:val="0023579A"/>
    <w:rsid w:val="002633B7"/>
    <w:rsid w:val="002671D5"/>
    <w:rsid w:val="002A3B31"/>
    <w:rsid w:val="002D2096"/>
    <w:rsid w:val="002E069C"/>
    <w:rsid w:val="002F50E4"/>
    <w:rsid w:val="00323404"/>
    <w:rsid w:val="00325358"/>
    <w:rsid w:val="00325A42"/>
    <w:rsid w:val="0034695F"/>
    <w:rsid w:val="00353050"/>
    <w:rsid w:val="0036089B"/>
    <w:rsid w:val="003622FA"/>
    <w:rsid w:val="00396544"/>
    <w:rsid w:val="003C42D1"/>
    <w:rsid w:val="003D5B07"/>
    <w:rsid w:val="003E49E8"/>
    <w:rsid w:val="004443D4"/>
    <w:rsid w:val="00454428"/>
    <w:rsid w:val="00464D24"/>
    <w:rsid w:val="0048398C"/>
    <w:rsid w:val="004A4B12"/>
    <w:rsid w:val="004C13FB"/>
    <w:rsid w:val="004E4265"/>
    <w:rsid w:val="004F34F3"/>
    <w:rsid w:val="005419F9"/>
    <w:rsid w:val="00546E8F"/>
    <w:rsid w:val="00585ACC"/>
    <w:rsid w:val="00591BDE"/>
    <w:rsid w:val="005B098D"/>
    <w:rsid w:val="005B763C"/>
    <w:rsid w:val="005C3094"/>
    <w:rsid w:val="005D6717"/>
    <w:rsid w:val="005E55B5"/>
    <w:rsid w:val="005F48C8"/>
    <w:rsid w:val="005F6599"/>
    <w:rsid w:val="006066DA"/>
    <w:rsid w:val="006122D1"/>
    <w:rsid w:val="00613B84"/>
    <w:rsid w:val="00640E83"/>
    <w:rsid w:val="006430FD"/>
    <w:rsid w:val="00645DEB"/>
    <w:rsid w:val="0068187D"/>
    <w:rsid w:val="006943F2"/>
    <w:rsid w:val="00695E06"/>
    <w:rsid w:val="006B1B4A"/>
    <w:rsid w:val="006F1982"/>
    <w:rsid w:val="006F4C04"/>
    <w:rsid w:val="00704A5B"/>
    <w:rsid w:val="007407C2"/>
    <w:rsid w:val="007430A0"/>
    <w:rsid w:val="007467F1"/>
    <w:rsid w:val="00795A23"/>
    <w:rsid w:val="007A1BD7"/>
    <w:rsid w:val="007D1C0E"/>
    <w:rsid w:val="007D73E8"/>
    <w:rsid w:val="007E301C"/>
    <w:rsid w:val="008036C1"/>
    <w:rsid w:val="00806C0F"/>
    <w:rsid w:val="008154A1"/>
    <w:rsid w:val="00820577"/>
    <w:rsid w:val="008423E0"/>
    <w:rsid w:val="00860084"/>
    <w:rsid w:val="00870E9F"/>
    <w:rsid w:val="00887418"/>
    <w:rsid w:val="008B70DB"/>
    <w:rsid w:val="008D341F"/>
    <w:rsid w:val="008F2357"/>
    <w:rsid w:val="00903948"/>
    <w:rsid w:val="00905279"/>
    <w:rsid w:val="00906FAF"/>
    <w:rsid w:val="0091199A"/>
    <w:rsid w:val="00912ABC"/>
    <w:rsid w:val="00942492"/>
    <w:rsid w:val="00950669"/>
    <w:rsid w:val="00951679"/>
    <w:rsid w:val="0095574B"/>
    <w:rsid w:val="009678B8"/>
    <w:rsid w:val="009F2829"/>
    <w:rsid w:val="009F51E6"/>
    <w:rsid w:val="00A12ECC"/>
    <w:rsid w:val="00A2265C"/>
    <w:rsid w:val="00A271EC"/>
    <w:rsid w:val="00A3604A"/>
    <w:rsid w:val="00A4478D"/>
    <w:rsid w:val="00A663DE"/>
    <w:rsid w:val="00AC366B"/>
    <w:rsid w:val="00AD3BB4"/>
    <w:rsid w:val="00AE5DA1"/>
    <w:rsid w:val="00AF6571"/>
    <w:rsid w:val="00B30BC9"/>
    <w:rsid w:val="00B57F5C"/>
    <w:rsid w:val="00B62CC6"/>
    <w:rsid w:val="00B91FC7"/>
    <w:rsid w:val="00BD7505"/>
    <w:rsid w:val="00C061E8"/>
    <w:rsid w:val="00C1210A"/>
    <w:rsid w:val="00C14C04"/>
    <w:rsid w:val="00C41C97"/>
    <w:rsid w:val="00C464EC"/>
    <w:rsid w:val="00C72A11"/>
    <w:rsid w:val="00C72BA8"/>
    <w:rsid w:val="00C8185C"/>
    <w:rsid w:val="00C8596B"/>
    <w:rsid w:val="00CB462F"/>
    <w:rsid w:val="00CC3E5F"/>
    <w:rsid w:val="00CE27AA"/>
    <w:rsid w:val="00D0796A"/>
    <w:rsid w:val="00D11FCC"/>
    <w:rsid w:val="00D17688"/>
    <w:rsid w:val="00D21748"/>
    <w:rsid w:val="00D35848"/>
    <w:rsid w:val="00D37536"/>
    <w:rsid w:val="00D5241C"/>
    <w:rsid w:val="00D61DE9"/>
    <w:rsid w:val="00D66164"/>
    <w:rsid w:val="00D772C1"/>
    <w:rsid w:val="00D83EFE"/>
    <w:rsid w:val="00D96269"/>
    <w:rsid w:val="00DA1AD1"/>
    <w:rsid w:val="00DA3996"/>
    <w:rsid w:val="00DB5E0D"/>
    <w:rsid w:val="00DB607F"/>
    <w:rsid w:val="00DB75DF"/>
    <w:rsid w:val="00DC5ABB"/>
    <w:rsid w:val="00E039D0"/>
    <w:rsid w:val="00E07D3C"/>
    <w:rsid w:val="00E428C0"/>
    <w:rsid w:val="00E61534"/>
    <w:rsid w:val="00E9455F"/>
    <w:rsid w:val="00EA752A"/>
    <w:rsid w:val="00EC04AD"/>
    <w:rsid w:val="00EF60E1"/>
    <w:rsid w:val="00F12269"/>
    <w:rsid w:val="00F24E0A"/>
    <w:rsid w:val="00F26E82"/>
    <w:rsid w:val="00F31ACA"/>
    <w:rsid w:val="00F32CA6"/>
    <w:rsid w:val="00F44D82"/>
    <w:rsid w:val="00F54382"/>
    <w:rsid w:val="00F557DE"/>
    <w:rsid w:val="00FA02A8"/>
    <w:rsid w:val="00FA299D"/>
    <w:rsid w:val="00FB3269"/>
    <w:rsid w:val="00FB7EF1"/>
    <w:rsid w:val="00FC5C90"/>
    <w:rsid w:val="00FD2A46"/>
    <w:rsid w:val="00FF4D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BD431"/>
  <w15:docId w15:val="{01F63A60-852D-804E-BBA2-86F4635A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sz w:val="28"/>
        <w:szCs w:val="28"/>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0C5106"/>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outlineLvl w:val="1"/>
    </w:pPr>
    <w:rPr>
      <w:rFonts w:ascii="Arial" w:eastAsia="Arial" w:hAnsi="Arial" w:cs="Arial"/>
      <w:b/>
      <w:bCs/>
      <w:sz w:val="32"/>
      <w:szCs w:val="32"/>
      <w:bdr w:val="none" w:sz="0" w:space="0" w:color="auto"/>
    </w:rPr>
  </w:style>
  <w:style w:type="paragraph" w:styleId="Heading3">
    <w:name w:val="heading 3"/>
    <w:basedOn w:val="Normal"/>
    <w:next w:val="Normal"/>
    <w:link w:val="Heading3Char"/>
    <w:uiPriority w:val="9"/>
    <w:semiHidden/>
    <w:unhideWhenUsed/>
    <w:qFormat/>
    <w:rsid w:val="0032340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link w:val="FooterChar"/>
    <w:pPr>
      <w:tabs>
        <w:tab w:val="center" w:pos="4513"/>
        <w:tab w:val="right" w:pos="9026"/>
      </w:tabs>
      <w:bidi/>
    </w:pPr>
    <w:rPr>
      <w:rFonts w:ascii="Calibri" w:hAnsi="Calibri" w:cs="Arial Unicode MS"/>
      <w:color w:val="000000"/>
      <w:sz w:val="22"/>
      <w:szCs w:val="22"/>
      <w:u w:color="000000"/>
    </w:rPr>
  </w:style>
  <w:style w:type="paragraph" w:customStyle="1" w:styleId="Body">
    <w:name w:val="Body"/>
    <w:pPr>
      <w:bidi/>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NoneA">
    <w:name w:val="None A"/>
  </w:style>
  <w:style w:type="paragraph" w:customStyle="1" w:styleId="a">
    <w:name w:val="عنوان"/>
    <w:pPr>
      <w:bidi/>
      <w:spacing w:before="120" w:after="120" w:line="360" w:lineRule="auto"/>
      <w:jc w:val="center"/>
      <w:outlineLvl w:val="1"/>
    </w:pPr>
    <w:rPr>
      <w:rFonts w:eastAsia="Times New Roman"/>
      <w:b/>
      <w:bCs/>
      <w:color w:val="000000"/>
      <w:sz w:val="32"/>
      <w:szCs w:val="32"/>
      <w:u w:color="000000"/>
    </w:rPr>
  </w:style>
  <w:style w:type="paragraph" w:styleId="TOC1">
    <w:name w:val="toc 1"/>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customStyle="1" w:styleId="a0">
    <w:name w:val="جانبي"/>
    <w:pPr>
      <w:bidi/>
      <w:spacing w:before="120" w:after="120" w:line="360" w:lineRule="auto"/>
      <w:jc w:val="both"/>
      <w:outlineLvl w:val="0"/>
    </w:pPr>
    <w:rPr>
      <w:rFonts w:eastAsia="Times New Roman"/>
      <w:b/>
      <w:bCs/>
      <w:color w:val="000000"/>
      <w:u w:color="000000"/>
    </w:rPr>
  </w:style>
  <w:style w:type="paragraph" w:styleId="TOC2">
    <w:name w:val="toc 2"/>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styleId="FootnoteText">
    <w:name w:val="footnote text"/>
    <w:pPr>
      <w:bidi/>
    </w:pPr>
    <w:rPr>
      <w:rFonts w:ascii="Calibri" w:hAnsi="Calibri" w:cs="Arial Unicode MS"/>
      <w:color w:val="000000"/>
      <w:u w:color="000000"/>
    </w:rPr>
  </w:style>
  <w:style w:type="paragraph" w:customStyle="1" w:styleId="1">
    <w:name w:val="نص حاشية سفلية1"/>
    <w:next w:val="FootnoteText"/>
    <w:pPr>
      <w:bidi/>
    </w:pPr>
    <w:rPr>
      <w:rFonts w:ascii="Calibri" w:hAnsi="Calibri" w:cs="Arial Unicode MS"/>
      <w:color w:val="000000"/>
      <w:u w:color="000000"/>
    </w:rPr>
  </w:style>
  <w:style w:type="paragraph" w:styleId="ListParagraph">
    <w:name w:val="List Paragraph"/>
    <w:uiPriority w:val="34"/>
    <w:qFormat/>
    <w:pPr>
      <w:bidi/>
      <w:spacing w:after="160" w:line="259" w:lineRule="auto"/>
      <w:ind w:left="720"/>
    </w:pPr>
    <w:rPr>
      <w:rFonts w:ascii="Arial Unicode MS" w:hAnsi="Arial Unicode MS" w:cs="Calibri" w:hint="c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4"/>
      </w:numPr>
    </w:pPr>
  </w:style>
  <w:style w:type="numbering" w:customStyle="1" w:styleId="ImportedStyle3">
    <w:name w:val="Imported Style 3"/>
    <w:pPr>
      <w:numPr>
        <w:numId w:val="6"/>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u w:val="single" w:color="0563C1"/>
      <w:lang w:val="en-US"/>
    </w:rPr>
  </w:style>
  <w:style w:type="paragraph" w:customStyle="1" w:styleId="BodyA">
    <w:name w:val="Body A"/>
    <w:pPr>
      <w:bidi/>
      <w:spacing w:after="160" w:line="259" w:lineRule="auto"/>
    </w:pPr>
    <w:rPr>
      <w:rFonts w:ascii="Arial Unicode MS" w:hAnsi="Arial Unicode MS" w:cs="Calibri" w:hint="cs"/>
      <w:color w:val="000000"/>
      <w:sz w:val="22"/>
      <w:szCs w:val="22"/>
      <w:u w:color="000000"/>
      <w14:textOutline w14:w="12700" w14:cap="flat" w14:cmpd="sng" w14:algn="ctr">
        <w14:noFill/>
        <w14:prstDash w14:val="solid"/>
        <w14:miter w14:lim="400000"/>
      </w14:textOutline>
    </w:rPr>
  </w:style>
  <w:style w:type="numbering" w:customStyle="1" w:styleId="ImportedStyle4">
    <w:name w:val="Imported Style 4"/>
    <w:pPr>
      <w:numPr>
        <w:numId w:val="9"/>
      </w:numPr>
    </w:pPr>
  </w:style>
  <w:style w:type="numbering" w:customStyle="1" w:styleId="ImportedStyle5">
    <w:name w:val="Imported Style 5"/>
    <w:pPr>
      <w:numPr>
        <w:numId w:val="11"/>
      </w:numPr>
    </w:pPr>
  </w:style>
  <w:style w:type="numbering" w:customStyle="1" w:styleId="ImportedStyle6">
    <w:name w:val="Imported Style 6"/>
    <w:pPr>
      <w:numPr>
        <w:numId w:val="13"/>
      </w:numPr>
    </w:pPr>
  </w:style>
  <w:style w:type="numbering" w:customStyle="1" w:styleId="ImportedStyle7">
    <w:name w:val="Imported Style 7"/>
    <w:pPr>
      <w:numPr>
        <w:numId w:val="15"/>
      </w:numPr>
    </w:pPr>
  </w:style>
  <w:style w:type="numbering" w:customStyle="1" w:styleId="ImportedStyle8">
    <w:name w:val="Imported Style 8"/>
    <w:pPr>
      <w:numPr>
        <w:numId w:val="17"/>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numbering" w:customStyle="1" w:styleId="ImportedStyle11">
    <w:name w:val="Imported Style 11"/>
    <w:pPr>
      <w:numPr>
        <w:numId w:val="23"/>
      </w:numPr>
    </w:pPr>
  </w:style>
  <w:style w:type="numbering" w:customStyle="1" w:styleId="ImportedStyle12">
    <w:name w:val="Imported Style 12"/>
    <w:pPr>
      <w:numPr>
        <w:numId w:val="25"/>
      </w:numPr>
    </w:pPr>
  </w:style>
  <w:style w:type="numbering" w:customStyle="1" w:styleId="ImportedStyle13">
    <w:name w:val="Imported Style 13"/>
    <w:pPr>
      <w:numPr>
        <w:numId w:val="27"/>
      </w:numPr>
    </w:pPr>
  </w:style>
  <w:style w:type="numbering" w:customStyle="1" w:styleId="ImportedStyle14">
    <w:name w:val="Imported Style 14"/>
    <w:pPr>
      <w:numPr>
        <w:numId w:val="29"/>
      </w:numPr>
    </w:pPr>
  </w:style>
  <w:style w:type="numbering" w:customStyle="1" w:styleId="ImportedStyle15">
    <w:name w:val="Imported Style 15"/>
    <w:pPr>
      <w:numPr>
        <w:numId w:val="31"/>
      </w:numPr>
    </w:pPr>
  </w:style>
  <w:style w:type="numbering" w:customStyle="1" w:styleId="ImportedStyle16">
    <w:name w:val="Imported Style 16"/>
    <w:pPr>
      <w:numPr>
        <w:numId w:val="33"/>
      </w:numPr>
    </w:pPr>
  </w:style>
  <w:style w:type="numbering" w:customStyle="1" w:styleId="ImportedStyle17">
    <w:name w:val="Imported Style 17"/>
    <w:pPr>
      <w:numPr>
        <w:numId w:val="36"/>
      </w:numPr>
    </w:pPr>
  </w:style>
  <w:style w:type="numbering" w:customStyle="1" w:styleId="ImportedStyle18">
    <w:name w:val="Imported Style 18"/>
    <w:pPr>
      <w:numPr>
        <w:numId w:val="38"/>
      </w:numPr>
    </w:pPr>
  </w:style>
  <w:style w:type="numbering" w:customStyle="1" w:styleId="ImportedStyle19">
    <w:name w:val="Imported Style 19"/>
    <w:pPr>
      <w:numPr>
        <w:numId w:val="41"/>
      </w:numPr>
    </w:pPr>
  </w:style>
  <w:style w:type="character" w:customStyle="1" w:styleId="None">
    <w:name w:val="None"/>
  </w:style>
  <w:style w:type="character" w:customStyle="1" w:styleId="Hyperlink1">
    <w:name w:val="Hyperlink.1"/>
    <w:basedOn w:val="None"/>
    <w:rPr>
      <w:rFonts w:ascii="Times New Roman" w:eastAsia="Times New Roman" w:hAnsi="Times New Roman" w:cs="Times New Roman"/>
      <w:outline w:val="0"/>
      <w:color w:val="0563C1"/>
      <w:u w:val="single" w:color="0563C1"/>
      <w:lang w:val="en-US"/>
    </w:rPr>
  </w:style>
  <w:style w:type="numbering" w:customStyle="1" w:styleId="ImportedStyle20">
    <w:name w:val="Imported Style 20"/>
    <w:pPr>
      <w:numPr>
        <w:numId w:val="43"/>
      </w:numPr>
    </w:pPr>
  </w:style>
  <w:style w:type="numbering" w:customStyle="1" w:styleId="ImportedStyle21">
    <w:name w:val="Imported Style 21"/>
    <w:pPr>
      <w:numPr>
        <w:numId w:val="45"/>
      </w:numPr>
    </w:pPr>
  </w:style>
  <w:style w:type="numbering" w:customStyle="1" w:styleId="ImportedStyle22">
    <w:name w:val="Imported Style 22"/>
    <w:pPr>
      <w:numPr>
        <w:numId w:val="48"/>
      </w:numPr>
    </w:pPr>
  </w:style>
  <w:style w:type="numbering" w:customStyle="1" w:styleId="ImportedStyle23">
    <w:name w:val="Imported Style 23"/>
    <w:pPr>
      <w:numPr>
        <w:numId w:val="51"/>
      </w:numPr>
    </w:pPr>
  </w:style>
  <w:style w:type="numbering" w:customStyle="1" w:styleId="ImportedStyle24">
    <w:name w:val="Imported Style 24"/>
    <w:pPr>
      <w:numPr>
        <w:numId w:val="53"/>
      </w:numPr>
    </w:pPr>
  </w:style>
  <w:style w:type="numbering" w:customStyle="1" w:styleId="ImportedStyle25">
    <w:name w:val="Imported Style 25"/>
    <w:pPr>
      <w:numPr>
        <w:numId w:val="56"/>
      </w:numPr>
    </w:pPr>
  </w:style>
  <w:style w:type="numbering" w:customStyle="1" w:styleId="ImportedStyle26">
    <w:name w:val="Imported Style 26"/>
    <w:pPr>
      <w:numPr>
        <w:numId w:val="58"/>
      </w:numPr>
    </w:pPr>
  </w:style>
  <w:style w:type="paragraph" w:customStyle="1" w:styleId="Default">
    <w:name w:val="Default"/>
    <w:pPr>
      <w:bidi/>
      <w:spacing w:before="160" w:after="160" w:line="288" w:lineRule="auto"/>
    </w:pPr>
    <w:rPr>
      <w:rFonts w:ascii="Arial Unicode MS" w:hAnsi="Arial Unicode MS" w:cs="Arial Unicode MS"/>
      <w:color w:val="000000"/>
      <w:sz w:val="24"/>
      <w:szCs w:val="24"/>
      <w:u w:color="000000"/>
      <w14:textOutline w14:w="12700" w14:cap="flat" w14:cmpd="sng" w14:algn="ctr">
        <w14:noFill/>
        <w14:prstDash w14:val="solid"/>
        <w14:miter w14:lim="400000"/>
      </w14:textOutline>
    </w:rPr>
  </w:style>
  <w:style w:type="numbering" w:customStyle="1" w:styleId="ImportedStyle27">
    <w:name w:val="Imported Style 27"/>
    <w:pPr>
      <w:numPr>
        <w:numId w:val="60"/>
      </w:numPr>
    </w:pPr>
  </w:style>
  <w:style w:type="numbering" w:customStyle="1" w:styleId="ImportedStyle28">
    <w:name w:val="Imported Style 28"/>
    <w:pPr>
      <w:numPr>
        <w:numId w:val="62"/>
      </w:numPr>
    </w:pPr>
  </w:style>
  <w:style w:type="numbering" w:customStyle="1" w:styleId="ImportedStyle29">
    <w:name w:val="Imported Style 29"/>
    <w:pPr>
      <w:numPr>
        <w:numId w:val="64"/>
      </w:numPr>
    </w:pPr>
  </w:style>
  <w:style w:type="numbering" w:customStyle="1" w:styleId="ImportedStyle30">
    <w:name w:val="Imported Style 30"/>
    <w:pPr>
      <w:numPr>
        <w:numId w:val="66"/>
      </w:numPr>
    </w:pPr>
  </w:style>
  <w:style w:type="numbering" w:customStyle="1" w:styleId="ImportedStyle31">
    <w:name w:val="Imported Style 31"/>
    <w:pPr>
      <w:numPr>
        <w:numId w:val="68"/>
      </w:numPr>
    </w:pPr>
  </w:style>
  <w:style w:type="numbering" w:customStyle="1" w:styleId="ImportedStyle32">
    <w:name w:val="Imported Style 32"/>
    <w:pPr>
      <w:numPr>
        <w:numId w:val="70"/>
      </w:numPr>
    </w:pPr>
  </w:style>
  <w:style w:type="numbering" w:customStyle="1" w:styleId="ImportedStyle33">
    <w:name w:val="Imported Style 33"/>
    <w:pPr>
      <w:numPr>
        <w:numId w:val="72"/>
      </w:numPr>
    </w:pPr>
  </w:style>
  <w:style w:type="numbering" w:customStyle="1" w:styleId="ImportedStyle34">
    <w:name w:val="Imported Style 34"/>
    <w:pPr>
      <w:numPr>
        <w:numId w:val="75"/>
      </w:numPr>
    </w:pPr>
  </w:style>
  <w:style w:type="numbering" w:customStyle="1" w:styleId="ImportedStyle35">
    <w:name w:val="Imported Style 35"/>
    <w:pPr>
      <w:numPr>
        <w:numId w:val="77"/>
      </w:numPr>
    </w:pPr>
  </w:style>
  <w:style w:type="numbering" w:customStyle="1" w:styleId="ImportedStyle36">
    <w:name w:val="Imported Style 36"/>
    <w:pPr>
      <w:numPr>
        <w:numId w:val="79"/>
      </w:numPr>
    </w:pPr>
  </w:style>
  <w:style w:type="character" w:customStyle="1" w:styleId="Hyperlink2">
    <w:name w:val="Hyperlink.2"/>
    <w:basedOn w:val="Link"/>
    <w:rPr>
      <w:rFonts w:ascii="Calibri Light" w:eastAsia="Calibri Light" w:hAnsi="Calibri Light" w:cs="Calibri Light"/>
      <w:outline w:val="0"/>
      <w:color w:val="0563C1"/>
      <w:sz w:val="24"/>
      <w:szCs w:val="24"/>
      <w:u w:val="single" w:color="0563C1"/>
      <w:lang w:val="en-US"/>
    </w:rPr>
  </w:style>
  <w:style w:type="numbering" w:customStyle="1" w:styleId="ImportedStyle37">
    <w:name w:val="Imported Style 37"/>
    <w:pPr>
      <w:numPr>
        <w:numId w:val="84"/>
      </w:numPr>
    </w:pPr>
  </w:style>
  <w:style w:type="numbering" w:customStyle="1" w:styleId="ImportedStyle38">
    <w:name w:val="Imported Style 38"/>
    <w:pPr>
      <w:numPr>
        <w:numId w:val="86"/>
      </w:numPr>
    </w:pPr>
  </w:style>
  <w:style w:type="numbering" w:customStyle="1" w:styleId="ImportedStyle39">
    <w:name w:val="Imported Style 39"/>
    <w:pPr>
      <w:numPr>
        <w:numId w:val="88"/>
      </w:numPr>
    </w:pPr>
  </w:style>
  <w:style w:type="numbering" w:customStyle="1" w:styleId="ImportedStyle40">
    <w:name w:val="Imported Style 40"/>
    <w:pPr>
      <w:numPr>
        <w:numId w:val="91"/>
      </w:numPr>
    </w:pPr>
  </w:style>
  <w:style w:type="character" w:customStyle="1" w:styleId="Hyperlink3">
    <w:name w:val="Hyperlink.3"/>
    <w:basedOn w:val="Link"/>
    <w:rPr>
      <w:rFonts w:ascii="Calibri Light" w:eastAsia="Calibri Light" w:hAnsi="Calibri Light" w:cs="Calibri Light"/>
      <w:outline w:val="0"/>
      <w:color w:val="0563C1"/>
      <w:sz w:val="24"/>
      <w:szCs w:val="24"/>
      <w:u w:val="single" w:color="0563C1"/>
    </w:rPr>
  </w:style>
  <w:style w:type="numbering" w:customStyle="1" w:styleId="ImportedStyle41">
    <w:name w:val="Imported Style 41"/>
    <w:pPr>
      <w:numPr>
        <w:numId w:val="95"/>
      </w:numPr>
    </w:pPr>
  </w:style>
  <w:style w:type="numbering" w:customStyle="1" w:styleId="ImportedStyle42">
    <w:name w:val="Imported Style 42"/>
    <w:pPr>
      <w:numPr>
        <w:numId w:val="97"/>
      </w:numPr>
    </w:pPr>
  </w:style>
  <w:style w:type="numbering" w:customStyle="1" w:styleId="ImportedStyle43">
    <w:name w:val="Imported Style 43"/>
    <w:pPr>
      <w:numPr>
        <w:numId w:val="99"/>
      </w:numPr>
    </w:pPr>
  </w:style>
  <w:style w:type="numbering" w:customStyle="1" w:styleId="ImportedStyle44">
    <w:name w:val="Imported Style 44"/>
    <w:pPr>
      <w:numPr>
        <w:numId w:val="101"/>
      </w:numPr>
    </w:pPr>
  </w:style>
  <w:style w:type="numbering" w:customStyle="1" w:styleId="ImportedStyle45">
    <w:name w:val="Imported Style 45"/>
    <w:pPr>
      <w:numPr>
        <w:numId w:val="104"/>
      </w:numPr>
    </w:pPr>
  </w:style>
  <w:style w:type="numbering" w:customStyle="1" w:styleId="ImportedStyle46">
    <w:name w:val="Imported Style 46"/>
    <w:pPr>
      <w:numPr>
        <w:numId w:val="106"/>
      </w:numPr>
    </w:pPr>
  </w:style>
  <w:style w:type="numbering" w:customStyle="1" w:styleId="ImportedStyle47">
    <w:name w:val="Imported Style 47"/>
    <w:pPr>
      <w:numPr>
        <w:numId w:val="108"/>
      </w:numPr>
    </w:pPr>
  </w:style>
  <w:style w:type="numbering" w:customStyle="1" w:styleId="ImportedStyle48">
    <w:name w:val="Imported Style 48"/>
    <w:pPr>
      <w:numPr>
        <w:numId w:val="112"/>
      </w:numPr>
    </w:pPr>
  </w:style>
  <w:style w:type="numbering" w:customStyle="1" w:styleId="ImportedStyle49">
    <w:name w:val="Imported Style 49"/>
    <w:pPr>
      <w:numPr>
        <w:numId w:val="115"/>
      </w:numPr>
    </w:pPr>
  </w:style>
  <w:style w:type="numbering" w:customStyle="1" w:styleId="ImportedStyle50">
    <w:name w:val="Imported Style 50"/>
    <w:pPr>
      <w:numPr>
        <w:numId w:val="117"/>
      </w:numPr>
    </w:pPr>
  </w:style>
  <w:style w:type="numbering" w:customStyle="1" w:styleId="ImportedStyle51">
    <w:name w:val="Imported Style 51"/>
    <w:pPr>
      <w:numPr>
        <w:numId w:val="119"/>
      </w:numPr>
    </w:pPr>
  </w:style>
  <w:style w:type="numbering" w:customStyle="1" w:styleId="ImportedStyle52">
    <w:name w:val="Imported Style 52"/>
    <w:pPr>
      <w:numPr>
        <w:numId w:val="121"/>
      </w:numPr>
    </w:pPr>
  </w:style>
  <w:style w:type="numbering" w:customStyle="1" w:styleId="ImportedStyle53">
    <w:name w:val="Imported Style 53"/>
    <w:pPr>
      <w:numPr>
        <w:numId w:val="123"/>
      </w:numPr>
    </w:pPr>
  </w:style>
  <w:style w:type="numbering" w:customStyle="1" w:styleId="ImportedStyle54">
    <w:name w:val="Imported Style 54"/>
    <w:pPr>
      <w:numPr>
        <w:numId w:val="125"/>
      </w:numPr>
    </w:pPr>
  </w:style>
  <w:style w:type="character" w:customStyle="1" w:styleId="Hyperlink4">
    <w:name w:val="Hyperlink.4"/>
    <w:basedOn w:val="Link"/>
    <w:rPr>
      <w:rFonts w:ascii="Times New Roman" w:eastAsia="Times New Roman" w:hAnsi="Times New Roman" w:cs="Times New Roman"/>
      <w:outline w:val="0"/>
      <w:color w:val="0563C1"/>
      <w:u w:val="single" w:color="0563C1"/>
    </w:rPr>
  </w:style>
  <w:style w:type="numbering" w:customStyle="1" w:styleId="ImportedStyle55">
    <w:name w:val="Imported Style 55"/>
    <w:pPr>
      <w:numPr>
        <w:numId w:val="127"/>
      </w:numPr>
    </w:pPr>
  </w:style>
  <w:style w:type="numbering" w:customStyle="1" w:styleId="ImportedStyle56">
    <w:name w:val="Imported Style 56"/>
    <w:pPr>
      <w:numPr>
        <w:numId w:val="129"/>
      </w:numPr>
    </w:pPr>
  </w:style>
  <w:style w:type="numbering" w:customStyle="1" w:styleId="ImportedStyle57">
    <w:name w:val="Imported Style 57"/>
    <w:pPr>
      <w:numPr>
        <w:numId w:val="131"/>
      </w:numPr>
    </w:pPr>
  </w:style>
  <w:style w:type="character" w:customStyle="1" w:styleId="Hyperlink5">
    <w:name w:val="Hyperlink.5"/>
    <w:basedOn w:val="None"/>
    <w:rPr>
      <w:rFonts w:ascii="Times New Roman" w:eastAsia="Times New Roman" w:hAnsi="Times New Roman" w:cs="Times New Roman"/>
      <w:i/>
      <w:iCs/>
      <w:outline w:val="0"/>
      <w:color w:val="222222"/>
      <w:u w:color="222222"/>
      <w:shd w:val="clear" w:color="auto" w:fill="FFFFFF"/>
    </w:rPr>
  </w:style>
  <w:style w:type="numbering" w:customStyle="1" w:styleId="ImportedStyle58">
    <w:name w:val="Imported Style 58"/>
    <w:pPr>
      <w:numPr>
        <w:numId w:val="133"/>
      </w:numPr>
    </w:pPr>
  </w:style>
  <w:style w:type="numbering" w:customStyle="1" w:styleId="ImportedStyle59">
    <w:name w:val="Imported Style 59"/>
    <w:pPr>
      <w:numPr>
        <w:numId w:val="135"/>
      </w:numPr>
    </w:pPr>
  </w:style>
  <w:style w:type="numbering" w:customStyle="1" w:styleId="ImportedStyle60">
    <w:name w:val="Imported Style 60"/>
    <w:pPr>
      <w:numPr>
        <w:numId w:val="137"/>
      </w:numPr>
    </w:pPr>
  </w:style>
  <w:style w:type="numbering" w:customStyle="1" w:styleId="ImportedStyle61">
    <w:name w:val="Imported Style 61"/>
    <w:pPr>
      <w:numPr>
        <w:numId w:val="139"/>
      </w:numPr>
    </w:pPr>
  </w:style>
  <w:style w:type="numbering" w:customStyle="1" w:styleId="ImportedStyle62">
    <w:name w:val="Imported Style 62"/>
    <w:pPr>
      <w:numPr>
        <w:numId w:val="141"/>
      </w:numPr>
    </w:pPr>
  </w:style>
  <w:style w:type="numbering" w:customStyle="1" w:styleId="ImportedStyle63">
    <w:name w:val="Imported Style 63"/>
    <w:pPr>
      <w:numPr>
        <w:numId w:val="143"/>
      </w:numPr>
    </w:pPr>
  </w:style>
  <w:style w:type="numbering" w:customStyle="1" w:styleId="ImportedStyle64">
    <w:name w:val="Imported Style 64"/>
    <w:pPr>
      <w:numPr>
        <w:numId w:val="145"/>
      </w:numPr>
    </w:pPr>
  </w:style>
  <w:style w:type="numbering" w:customStyle="1" w:styleId="ImportedStyle65">
    <w:name w:val="Imported Style 65"/>
    <w:pPr>
      <w:numPr>
        <w:numId w:val="147"/>
      </w:numPr>
    </w:pPr>
  </w:style>
  <w:style w:type="numbering" w:customStyle="1" w:styleId="ImportedStyle66">
    <w:name w:val="Imported Style 66"/>
    <w:pPr>
      <w:numPr>
        <w:numId w:val="149"/>
      </w:numPr>
    </w:pPr>
  </w:style>
  <w:style w:type="numbering" w:customStyle="1" w:styleId="ImportedStyle67">
    <w:name w:val="Imported Style 67"/>
    <w:pPr>
      <w:numPr>
        <w:numId w:val="151"/>
      </w:numPr>
    </w:pPr>
  </w:style>
  <w:style w:type="numbering" w:customStyle="1" w:styleId="ImportedStyle68">
    <w:name w:val="Imported Style 68"/>
    <w:pPr>
      <w:numPr>
        <w:numId w:val="153"/>
      </w:numPr>
    </w:pPr>
  </w:style>
  <w:style w:type="numbering" w:customStyle="1" w:styleId="ImportedStyle69">
    <w:name w:val="Imported Style 69"/>
    <w:pPr>
      <w:numPr>
        <w:numId w:val="155"/>
      </w:numPr>
    </w:pPr>
  </w:style>
  <w:style w:type="numbering" w:customStyle="1" w:styleId="ImportedStyle70">
    <w:name w:val="Imported Style 70"/>
    <w:pPr>
      <w:numPr>
        <w:numId w:val="157"/>
      </w:numPr>
    </w:pPr>
  </w:style>
  <w:style w:type="numbering" w:customStyle="1" w:styleId="ImportedStyle71">
    <w:name w:val="Imported Style 71"/>
    <w:pPr>
      <w:numPr>
        <w:numId w:val="159"/>
      </w:numPr>
    </w:pPr>
  </w:style>
  <w:style w:type="numbering" w:customStyle="1" w:styleId="ImportedStyle72">
    <w:name w:val="Imported Style 72"/>
    <w:pPr>
      <w:numPr>
        <w:numId w:val="161"/>
      </w:numPr>
    </w:pPr>
  </w:style>
  <w:style w:type="numbering" w:customStyle="1" w:styleId="ImportedStyle73">
    <w:name w:val="Imported Style 73"/>
    <w:pPr>
      <w:numPr>
        <w:numId w:val="163"/>
      </w:numPr>
    </w:pPr>
  </w:style>
  <w:style w:type="numbering" w:customStyle="1" w:styleId="ImportedStyle74">
    <w:name w:val="Imported Style 74"/>
    <w:pPr>
      <w:numPr>
        <w:numId w:val="165"/>
      </w:numPr>
    </w:pPr>
  </w:style>
  <w:style w:type="paragraph" w:styleId="NormalWeb">
    <w:name w:val="Normal (Web)"/>
    <w:uiPriority w:val="99"/>
    <w:pPr>
      <w:spacing w:before="100" w:after="100"/>
    </w:pPr>
    <w:rPr>
      <w:rFonts w:ascii="Arial Unicode MS" w:hAnsi="Arial Unicode MS" w:hint="cs"/>
      <w:color w:val="000000"/>
      <w:sz w:val="24"/>
      <w:szCs w:val="24"/>
      <w:u w:color="000000"/>
    </w:rPr>
  </w:style>
  <w:style w:type="numbering" w:customStyle="1" w:styleId="ImportedStyle75">
    <w:name w:val="Imported Style 75"/>
    <w:pPr>
      <w:numPr>
        <w:numId w:val="167"/>
      </w:numPr>
    </w:pPr>
  </w:style>
  <w:style w:type="numbering" w:customStyle="1" w:styleId="ImportedStyle76">
    <w:name w:val="Imported Style 76"/>
    <w:pPr>
      <w:numPr>
        <w:numId w:val="169"/>
      </w:numPr>
    </w:pPr>
  </w:style>
  <w:style w:type="numbering" w:customStyle="1" w:styleId="ImportedStyle77">
    <w:name w:val="Imported Style 77"/>
    <w:pPr>
      <w:numPr>
        <w:numId w:val="171"/>
      </w:numPr>
    </w:pPr>
  </w:style>
  <w:style w:type="numbering" w:customStyle="1" w:styleId="ImportedStyle78">
    <w:name w:val="Imported Style 78"/>
    <w:pPr>
      <w:numPr>
        <w:numId w:val="173"/>
      </w:numPr>
    </w:pPr>
  </w:style>
  <w:style w:type="numbering" w:customStyle="1" w:styleId="ImportedStyle79">
    <w:name w:val="Imported Style 79"/>
    <w:pPr>
      <w:numPr>
        <w:numId w:val="176"/>
      </w:numPr>
    </w:pPr>
  </w:style>
  <w:style w:type="numbering" w:customStyle="1" w:styleId="ImportedStyle80">
    <w:name w:val="Imported Style 80"/>
    <w:pPr>
      <w:numPr>
        <w:numId w:val="178"/>
      </w:numPr>
    </w:pPr>
  </w:style>
  <w:style w:type="numbering" w:customStyle="1" w:styleId="ImportedStyle81">
    <w:name w:val="Imported Style 81"/>
    <w:pPr>
      <w:numPr>
        <w:numId w:val="180"/>
      </w:numPr>
    </w:pPr>
  </w:style>
  <w:style w:type="numbering" w:customStyle="1" w:styleId="ImportedStyle82">
    <w:name w:val="Imported Style 82"/>
    <w:pPr>
      <w:numPr>
        <w:numId w:val="182"/>
      </w:numPr>
    </w:pPr>
  </w:style>
  <w:style w:type="numbering" w:customStyle="1" w:styleId="ImportedStyle83">
    <w:name w:val="Imported Style 83"/>
    <w:pPr>
      <w:numPr>
        <w:numId w:val="184"/>
      </w:numPr>
    </w:pPr>
  </w:style>
  <w:style w:type="numbering" w:customStyle="1" w:styleId="ImportedStyle84">
    <w:name w:val="Imported Style 84"/>
    <w:pPr>
      <w:numPr>
        <w:numId w:val="186"/>
      </w:numPr>
    </w:pPr>
  </w:style>
  <w:style w:type="numbering" w:customStyle="1" w:styleId="ImportedStyle85">
    <w:name w:val="Imported Style 85"/>
    <w:pPr>
      <w:numPr>
        <w:numId w:val="188"/>
      </w:numPr>
    </w:pPr>
  </w:style>
  <w:style w:type="numbering" w:customStyle="1" w:styleId="ImportedStyle86">
    <w:name w:val="Imported Style 86"/>
    <w:pPr>
      <w:numPr>
        <w:numId w:val="190"/>
      </w:numPr>
    </w:pPr>
  </w:style>
  <w:style w:type="numbering" w:customStyle="1" w:styleId="ImportedStyle87">
    <w:name w:val="Imported Style 87"/>
    <w:pPr>
      <w:numPr>
        <w:numId w:val="192"/>
      </w:numPr>
    </w:pPr>
  </w:style>
  <w:style w:type="numbering" w:customStyle="1" w:styleId="ImportedStyle88">
    <w:name w:val="Imported Style 88"/>
    <w:pPr>
      <w:numPr>
        <w:numId w:val="194"/>
      </w:numPr>
    </w:pPr>
  </w:style>
  <w:style w:type="numbering" w:customStyle="1" w:styleId="ImportedStyle89">
    <w:name w:val="Imported Style 89"/>
    <w:pPr>
      <w:numPr>
        <w:numId w:val="196"/>
      </w:numPr>
    </w:pPr>
  </w:style>
  <w:style w:type="numbering" w:customStyle="1" w:styleId="ImportedStyle90">
    <w:name w:val="Imported Style 90"/>
    <w:pPr>
      <w:numPr>
        <w:numId w:val="198"/>
      </w:numPr>
    </w:pPr>
  </w:style>
  <w:style w:type="numbering" w:customStyle="1" w:styleId="ImportedStyle91">
    <w:name w:val="Imported Style 91"/>
    <w:pPr>
      <w:numPr>
        <w:numId w:val="200"/>
      </w:numPr>
    </w:pPr>
  </w:style>
  <w:style w:type="numbering" w:customStyle="1" w:styleId="ImportedStyle92">
    <w:name w:val="Imported Style 92"/>
    <w:pPr>
      <w:numPr>
        <w:numId w:val="202"/>
      </w:numPr>
    </w:pPr>
  </w:style>
  <w:style w:type="numbering" w:customStyle="1" w:styleId="ImportedStyle93">
    <w:name w:val="Imported Style 93"/>
    <w:pPr>
      <w:numPr>
        <w:numId w:val="204"/>
      </w:numPr>
    </w:pPr>
  </w:style>
  <w:style w:type="numbering" w:customStyle="1" w:styleId="ImportedStyle94">
    <w:name w:val="Imported Style 94"/>
    <w:pPr>
      <w:numPr>
        <w:numId w:val="206"/>
      </w:numPr>
    </w:pPr>
  </w:style>
  <w:style w:type="numbering" w:customStyle="1" w:styleId="ImportedStyle95">
    <w:name w:val="Imported Style 95"/>
    <w:pPr>
      <w:numPr>
        <w:numId w:val="208"/>
      </w:numPr>
    </w:pPr>
  </w:style>
  <w:style w:type="numbering" w:customStyle="1" w:styleId="ImportedStyle96">
    <w:name w:val="Imported Style 96"/>
    <w:pPr>
      <w:numPr>
        <w:numId w:val="211"/>
      </w:numPr>
    </w:pPr>
  </w:style>
  <w:style w:type="character" w:customStyle="1" w:styleId="Hyperlink6">
    <w:name w:val="Hyperlink.6"/>
    <w:basedOn w:val="Link"/>
    <w:rPr>
      <w:rFonts w:ascii="Times New Roman" w:eastAsia="Times New Roman" w:hAnsi="Times New Roman" w:cs="Times New Roman"/>
      <w:outline w:val="0"/>
      <w:color w:val="0563C1"/>
      <w:u w:val="single" w:color="0563C1"/>
      <w:shd w:val="clear" w:color="auto" w:fill="FFFFFF"/>
      <w:lang w:val="en-US"/>
    </w:rPr>
  </w:style>
  <w:style w:type="numbering" w:customStyle="1" w:styleId="ImportedStyle97">
    <w:name w:val="Imported Style 97"/>
    <w:pPr>
      <w:numPr>
        <w:numId w:val="213"/>
      </w:numPr>
    </w:pPr>
  </w:style>
  <w:style w:type="numbering" w:customStyle="1" w:styleId="ImportedStyle98">
    <w:name w:val="Imported Style 98"/>
    <w:pPr>
      <w:numPr>
        <w:numId w:val="215"/>
      </w:numPr>
    </w:pPr>
  </w:style>
  <w:style w:type="numbering" w:customStyle="1" w:styleId="ImportedStyle99">
    <w:name w:val="Imported Style 99"/>
    <w:pPr>
      <w:numPr>
        <w:numId w:val="217"/>
      </w:numPr>
    </w:pPr>
  </w:style>
  <w:style w:type="numbering" w:customStyle="1" w:styleId="ImportedStyle100">
    <w:name w:val="Imported Style 100"/>
    <w:pPr>
      <w:numPr>
        <w:numId w:val="219"/>
      </w:numPr>
    </w:pPr>
  </w:style>
  <w:style w:type="numbering" w:customStyle="1" w:styleId="ImportedStyle101">
    <w:name w:val="Imported Style 101"/>
    <w:pPr>
      <w:numPr>
        <w:numId w:val="221"/>
      </w:numPr>
    </w:pPr>
  </w:style>
  <w:style w:type="numbering" w:customStyle="1" w:styleId="ImportedStyle102">
    <w:name w:val="Imported Style 102"/>
    <w:pPr>
      <w:numPr>
        <w:numId w:val="223"/>
      </w:numPr>
    </w:pPr>
  </w:style>
  <w:style w:type="numbering" w:customStyle="1" w:styleId="ImportedStyle103">
    <w:name w:val="Imported Style 103"/>
    <w:pPr>
      <w:numPr>
        <w:numId w:val="225"/>
      </w:numPr>
    </w:pPr>
  </w:style>
  <w:style w:type="numbering" w:customStyle="1" w:styleId="ImportedStyle104">
    <w:name w:val="Imported Style 104"/>
    <w:pPr>
      <w:numPr>
        <w:numId w:val="227"/>
      </w:numPr>
    </w:pPr>
  </w:style>
  <w:style w:type="numbering" w:customStyle="1" w:styleId="ImportedStyle105">
    <w:name w:val="Imported Style 105"/>
    <w:pPr>
      <w:numPr>
        <w:numId w:val="230"/>
      </w:numPr>
    </w:pPr>
  </w:style>
  <w:style w:type="numbering" w:customStyle="1" w:styleId="ImportedStyle106">
    <w:name w:val="Imported Style 106"/>
    <w:pPr>
      <w:numPr>
        <w:numId w:val="232"/>
      </w:numPr>
    </w:pPr>
  </w:style>
  <w:style w:type="numbering" w:customStyle="1" w:styleId="ImportedStyle107">
    <w:name w:val="Imported Style 107"/>
    <w:pPr>
      <w:numPr>
        <w:numId w:val="234"/>
      </w:numPr>
    </w:pPr>
  </w:style>
  <w:style w:type="numbering" w:customStyle="1" w:styleId="ImportedStyle108">
    <w:name w:val="Imported Style 108"/>
    <w:pPr>
      <w:numPr>
        <w:numId w:val="237"/>
      </w:numPr>
    </w:pPr>
  </w:style>
  <w:style w:type="numbering" w:customStyle="1" w:styleId="ImportedStyle109">
    <w:name w:val="Imported Style 109"/>
    <w:pPr>
      <w:numPr>
        <w:numId w:val="239"/>
      </w:numPr>
    </w:pPr>
  </w:style>
  <w:style w:type="numbering" w:customStyle="1" w:styleId="ImportedStyle110">
    <w:name w:val="Imported Style 110"/>
    <w:pPr>
      <w:numPr>
        <w:numId w:val="242"/>
      </w:numPr>
    </w:pPr>
  </w:style>
  <w:style w:type="numbering" w:customStyle="1" w:styleId="ImportedStyle111">
    <w:name w:val="Imported Style 111"/>
    <w:pPr>
      <w:numPr>
        <w:numId w:val="245"/>
      </w:numPr>
    </w:pPr>
  </w:style>
  <w:style w:type="numbering" w:customStyle="1" w:styleId="ImportedStyle112">
    <w:name w:val="Imported Style 112"/>
    <w:pPr>
      <w:numPr>
        <w:numId w:val="247"/>
      </w:numPr>
    </w:pPr>
  </w:style>
  <w:style w:type="numbering" w:customStyle="1" w:styleId="ImportedStyle113">
    <w:name w:val="Imported Style 113"/>
    <w:pPr>
      <w:numPr>
        <w:numId w:val="250"/>
      </w:numPr>
    </w:pPr>
  </w:style>
  <w:style w:type="numbering" w:customStyle="1" w:styleId="ImportedStyle114">
    <w:name w:val="Imported Style 114"/>
    <w:pPr>
      <w:numPr>
        <w:numId w:val="252"/>
      </w:numPr>
    </w:pPr>
  </w:style>
  <w:style w:type="numbering" w:customStyle="1" w:styleId="ImportedStyle115">
    <w:name w:val="Imported Style 115"/>
    <w:pPr>
      <w:numPr>
        <w:numId w:val="254"/>
      </w:numPr>
    </w:pPr>
  </w:style>
  <w:style w:type="numbering" w:customStyle="1" w:styleId="ImportedStyle116">
    <w:name w:val="Imported Style 116"/>
    <w:pPr>
      <w:numPr>
        <w:numId w:val="256"/>
      </w:numPr>
    </w:pPr>
  </w:style>
  <w:style w:type="numbering" w:customStyle="1" w:styleId="ImportedStyle117">
    <w:name w:val="Imported Style 117"/>
    <w:pPr>
      <w:numPr>
        <w:numId w:val="258"/>
      </w:numPr>
    </w:pPr>
  </w:style>
  <w:style w:type="numbering" w:customStyle="1" w:styleId="ImportedStyle118">
    <w:name w:val="Imported Style 118"/>
    <w:pPr>
      <w:numPr>
        <w:numId w:val="260"/>
      </w:numPr>
    </w:pPr>
  </w:style>
  <w:style w:type="numbering" w:customStyle="1" w:styleId="ImportedStyle119">
    <w:name w:val="Imported Style 119"/>
    <w:pPr>
      <w:numPr>
        <w:numId w:val="263"/>
      </w:numPr>
    </w:pPr>
  </w:style>
  <w:style w:type="numbering" w:customStyle="1" w:styleId="ImportedStyle120">
    <w:name w:val="Imported Style 120"/>
    <w:pPr>
      <w:numPr>
        <w:numId w:val="265"/>
      </w:numPr>
    </w:pPr>
  </w:style>
  <w:style w:type="numbering" w:customStyle="1" w:styleId="ImportedStyle121">
    <w:name w:val="Imported Style 121"/>
    <w:pPr>
      <w:numPr>
        <w:numId w:val="267"/>
      </w:numPr>
    </w:pPr>
  </w:style>
  <w:style w:type="numbering" w:customStyle="1" w:styleId="ImportedStyle122">
    <w:name w:val="Imported Style 122"/>
    <w:pPr>
      <w:numPr>
        <w:numId w:val="269"/>
      </w:numPr>
    </w:pPr>
  </w:style>
  <w:style w:type="numbering" w:customStyle="1" w:styleId="ImportedStyle123">
    <w:name w:val="Imported Style 123"/>
    <w:pPr>
      <w:numPr>
        <w:numId w:val="271"/>
      </w:numPr>
    </w:pPr>
  </w:style>
  <w:style w:type="numbering" w:customStyle="1" w:styleId="ImportedStyle124">
    <w:name w:val="Imported Style 124"/>
    <w:pPr>
      <w:numPr>
        <w:numId w:val="274"/>
      </w:numPr>
    </w:pPr>
  </w:style>
  <w:style w:type="numbering" w:customStyle="1" w:styleId="ImportedStyle125">
    <w:name w:val="Imported Style 125"/>
    <w:pPr>
      <w:numPr>
        <w:numId w:val="276"/>
      </w:numPr>
    </w:pPr>
  </w:style>
  <w:style w:type="numbering" w:customStyle="1" w:styleId="ImportedStyle126">
    <w:name w:val="Imported Style 126"/>
    <w:pPr>
      <w:numPr>
        <w:numId w:val="278"/>
      </w:numPr>
    </w:pPr>
  </w:style>
  <w:style w:type="numbering" w:customStyle="1" w:styleId="ImportedStyle127">
    <w:name w:val="Imported Style 127"/>
    <w:pPr>
      <w:numPr>
        <w:numId w:val="280"/>
      </w:numPr>
    </w:pPr>
  </w:style>
  <w:style w:type="numbering" w:customStyle="1" w:styleId="ImportedStyle128">
    <w:name w:val="Imported Style 128"/>
    <w:pPr>
      <w:numPr>
        <w:numId w:val="282"/>
      </w:numPr>
    </w:pPr>
  </w:style>
  <w:style w:type="numbering" w:customStyle="1" w:styleId="ImportedStyle129">
    <w:name w:val="Imported Style 129"/>
    <w:pPr>
      <w:numPr>
        <w:numId w:val="284"/>
      </w:numPr>
    </w:pPr>
  </w:style>
  <w:style w:type="numbering" w:customStyle="1" w:styleId="ImportedStyle130">
    <w:name w:val="Imported Style 130"/>
    <w:pPr>
      <w:numPr>
        <w:numId w:val="286"/>
      </w:numPr>
    </w:pPr>
  </w:style>
  <w:style w:type="numbering" w:customStyle="1" w:styleId="ImportedStyle131">
    <w:name w:val="Imported Style 131"/>
    <w:pPr>
      <w:numPr>
        <w:numId w:val="289"/>
      </w:numPr>
    </w:pPr>
  </w:style>
  <w:style w:type="numbering" w:customStyle="1" w:styleId="ImportedStyle132">
    <w:name w:val="Imported Style 132"/>
    <w:pPr>
      <w:numPr>
        <w:numId w:val="291"/>
      </w:numPr>
    </w:pPr>
  </w:style>
  <w:style w:type="numbering" w:customStyle="1" w:styleId="ImportedStyle133">
    <w:name w:val="Imported Style 133"/>
    <w:pPr>
      <w:numPr>
        <w:numId w:val="293"/>
      </w:numPr>
    </w:pPr>
  </w:style>
  <w:style w:type="numbering" w:customStyle="1" w:styleId="ImportedStyle134">
    <w:name w:val="Imported Style 134"/>
    <w:pPr>
      <w:numPr>
        <w:numId w:val="295"/>
      </w:numPr>
    </w:pPr>
  </w:style>
  <w:style w:type="numbering" w:customStyle="1" w:styleId="ImportedStyle135">
    <w:name w:val="Imported Style 135"/>
    <w:pPr>
      <w:numPr>
        <w:numId w:val="298"/>
      </w:numPr>
    </w:pPr>
  </w:style>
  <w:style w:type="numbering" w:customStyle="1" w:styleId="ImportedStyle136">
    <w:name w:val="Imported Style 136"/>
    <w:pPr>
      <w:numPr>
        <w:numId w:val="302"/>
      </w:numPr>
    </w:pPr>
  </w:style>
  <w:style w:type="numbering" w:customStyle="1" w:styleId="ImportedStyle137">
    <w:name w:val="Imported Style 137"/>
    <w:pPr>
      <w:numPr>
        <w:numId w:val="304"/>
      </w:numPr>
    </w:pPr>
  </w:style>
  <w:style w:type="numbering" w:customStyle="1" w:styleId="ImportedStyle138">
    <w:name w:val="Imported Style 138"/>
    <w:pPr>
      <w:numPr>
        <w:numId w:val="307"/>
      </w:numPr>
    </w:pPr>
  </w:style>
  <w:style w:type="numbering" w:customStyle="1" w:styleId="ImportedStyle139">
    <w:name w:val="Imported Style 139"/>
    <w:pPr>
      <w:numPr>
        <w:numId w:val="309"/>
      </w:numPr>
    </w:pPr>
  </w:style>
  <w:style w:type="numbering" w:customStyle="1" w:styleId="ImportedStyle140">
    <w:name w:val="Imported Style 140"/>
    <w:pPr>
      <w:numPr>
        <w:numId w:val="311"/>
      </w:numPr>
    </w:pPr>
  </w:style>
  <w:style w:type="numbering" w:customStyle="1" w:styleId="ImportedStyle141">
    <w:name w:val="Imported Style 141"/>
    <w:pPr>
      <w:numPr>
        <w:numId w:val="313"/>
      </w:numPr>
    </w:pPr>
  </w:style>
  <w:style w:type="character" w:customStyle="1" w:styleId="Hyperlink7">
    <w:name w:val="Hyperlink.7"/>
    <w:basedOn w:val="Link"/>
    <w:rPr>
      <w:rFonts w:ascii="Times New Roman" w:eastAsia="Times New Roman" w:hAnsi="Times New Roman" w:cs="Times New Roman"/>
      <w:outline w:val="0"/>
      <w:color w:val="0563C1"/>
      <w:sz w:val="24"/>
      <w:szCs w:val="24"/>
      <w:u w:val="single" w:color="0563C1"/>
    </w:rPr>
  </w:style>
  <w:style w:type="character" w:customStyle="1" w:styleId="Hyperlink8">
    <w:name w:val="Hyperlink.8"/>
    <w:basedOn w:val="Link"/>
    <w:rPr>
      <w:rFonts w:ascii="Times New Roman" w:eastAsia="Times New Roman" w:hAnsi="Times New Roman" w:cs="Times New Roman"/>
      <w:i/>
      <w:iCs/>
      <w:outline w:val="0"/>
      <w:color w:val="222222"/>
      <w:sz w:val="24"/>
      <w:szCs w:val="24"/>
      <w:u w:val="single" w:color="222222"/>
      <w:shd w:val="clear" w:color="auto" w:fill="FFFFFF"/>
    </w:rPr>
  </w:style>
  <w:style w:type="character" w:customStyle="1" w:styleId="Hyperlink9">
    <w:name w:val="Hyperlink.9"/>
    <w:basedOn w:val="None"/>
    <w:rPr>
      <w:rFonts w:ascii="Calibri" w:eastAsia="Calibri" w:hAnsi="Calibri" w:cs="Calibri"/>
      <w:i/>
      <w:iCs/>
      <w:outline w:val="0"/>
      <w:color w:val="222222"/>
      <w:u w:color="222222"/>
      <w:shd w:val="clear" w:color="auto" w:fill="FFFFFF"/>
    </w:rPr>
  </w:style>
  <w:style w:type="character" w:customStyle="1" w:styleId="Hyperlink10">
    <w:name w:val="Hyperlink.10"/>
    <w:basedOn w:val="Link"/>
    <w:rPr>
      <w:rFonts w:ascii="Times New Roman" w:eastAsia="Times New Roman" w:hAnsi="Times New Roman" w:cs="Times New Roman"/>
      <w:outline w:val="0"/>
      <w:color w:val="0563C1"/>
      <w:sz w:val="24"/>
      <w:szCs w:val="24"/>
      <w:u w:val="single" w:color="0563C1"/>
      <w:lang w:val="en-US"/>
    </w:rPr>
  </w:style>
  <w:style w:type="character" w:customStyle="1" w:styleId="Hyperlink11">
    <w:name w:val="Hyperlink.11"/>
    <w:basedOn w:val="None"/>
    <w:rPr>
      <w:rFonts w:ascii="Times New Roman" w:eastAsia="Times New Roman" w:hAnsi="Times New Roman" w:cs="Times New Roman"/>
      <w:outline w:val="0"/>
      <w:color w:val="0563C1"/>
      <w:sz w:val="24"/>
      <w:szCs w:val="24"/>
      <w:u w:val="single" w:color="0563C1"/>
    </w:rPr>
  </w:style>
  <w:style w:type="character" w:customStyle="1" w:styleId="Hyperlink12">
    <w:name w:val="Hyperlink.12"/>
    <w:basedOn w:val="Link"/>
    <w:rPr>
      <w:rFonts w:ascii="Times New Roman" w:eastAsia="Times New Roman" w:hAnsi="Times New Roman" w:cs="Times New Roman"/>
      <w:outline w:val="0"/>
      <w:color w:val="0563C1"/>
      <w:sz w:val="24"/>
      <w:szCs w:val="24"/>
      <w:u w:val="single" w:color="0563C1"/>
      <w:shd w:val="clear" w:color="auto" w:fill="FFFFFF"/>
    </w:rPr>
  </w:style>
  <w:style w:type="character" w:customStyle="1" w:styleId="Hyperlink13">
    <w:name w:val="Hyperlink.13"/>
    <w:basedOn w:val="None"/>
    <w:rPr>
      <w:rFonts w:ascii="Times New Roman" w:eastAsia="Times New Roman" w:hAnsi="Times New Roman" w:cs="Times New Roman"/>
      <w:outline w:val="0"/>
      <w:color w:val="0563C1"/>
      <w:sz w:val="24"/>
      <w:szCs w:val="24"/>
      <w:u w:val="single" w:color="0563C1"/>
      <w:lang w:val="en-US"/>
    </w:rPr>
  </w:style>
  <w:style w:type="paragraph" w:styleId="Header">
    <w:name w:val="header"/>
    <w:basedOn w:val="Normal"/>
    <w:link w:val="HeaderChar"/>
    <w:uiPriority w:val="99"/>
    <w:unhideWhenUsed/>
    <w:rsid w:val="00A663DE"/>
    <w:pPr>
      <w:tabs>
        <w:tab w:val="center" w:pos="4680"/>
        <w:tab w:val="right" w:pos="9360"/>
      </w:tabs>
    </w:pPr>
  </w:style>
  <w:style w:type="character" w:customStyle="1" w:styleId="HeaderChar">
    <w:name w:val="Header Char"/>
    <w:basedOn w:val="DefaultParagraphFont"/>
    <w:link w:val="Header"/>
    <w:uiPriority w:val="99"/>
    <w:rsid w:val="00A663DE"/>
    <w:rPr>
      <w:sz w:val="24"/>
      <w:szCs w:val="24"/>
    </w:rPr>
  </w:style>
  <w:style w:type="character" w:styleId="FootnoteReference">
    <w:name w:val="footnote reference"/>
    <w:basedOn w:val="DefaultParagraphFont"/>
    <w:uiPriority w:val="99"/>
    <w:semiHidden/>
    <w:unhideWhenUsed/>
    <w:rsid w:val="005B098D"/>
    <w:rPr>
      <w:vertAlign w:val="superscript"/>
    </w:rPr>
  </w:style>
  <w:style w:type="paragraph" w:styleId="TOC3">
    <w:name w:val="toc 3"/>
    <w:basedOn w:val="Normal"/>
    <w:next w:val="Normal"/>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480"/>
    </w:pPr>
    <w:rPr>
      <w:rFonts w:asciiTheme="minorHAnsi" w:eastAsiaTheme="minorEastAsia" w:hAnsiTheme="minorHAnsi" w:cstheme="minorBidi"/>
      <w:kern w:val="2"/>
      <w:bdr w:val="none" w:sz="0" w:space="0" w:color="auto"/>
      <w14:ligatures w14:val="standardContextual"/>
    </w:rPr>
  </w:style>
  <w:style w:type="paragraph" w:styleId="TOC4">
    <w:name w:val="toc 4"/>
    <w:basedOn w:val="Normal"/>
    <w:next w:val="Normal"/>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720"/>
    </w:pPr>
    <w:rPr>
      <w:rFonts w:asciiTheme="minorHAnsi" w:eastAsiaTheme="minorEastAsia" w:hAnsiTheme="minorHAnsi" w:cstheme="minorBidi"/>
      <w:kern w:val="2"/>
      <w:bdr w:val="none" w:sz="0" w:space="0" w:color="auto"/>
      <w14:ligatures w14:val="standardContextual"/>
    </w:rPr>
  </w:style>
  <w:style w:type="paragraph" w:styleId="TOC5">
    <w:name w:val="toc 5"/>
    <w:basedOn w:val="Normal"/>
    <w:next w:val="Normal"/>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960"/>
    </w:pPr>
    <w:rPr>
      <w:rFonts w:asciiTheme="minorHAnsi" w:eastAsiaTheme="minorEastAsia" w:hAnsiTheme="minorHAnsi" w:cstheme="minorBidi"/>
      <w:kern w:val="2"/>
      <w:bdr w:val="none" w:sz="0" w:space="0" w:color="auto"/>
      <w14:ligatures w14:val="standardContextual"/>
    </w:rPr>
  </w:style>
  <w:style w:type="paragraph" w:styleId="TOC6">
    <w:name w:val="toc 6"/>
    <w:basedOn w:val="Normal"/>
    <w:next w:val="Normal"/>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200"/>
    </w:pPr>
    <w:rPr>
      <w:rFonts w:asciiTheme="minorHAnsi" w:eastAsiaTheme="minorEastAsia" w:hAnsiTheme="minorHAnsi" w:cstheme="minorBidi"/>
      <w:kern w:val="2"/>
      <w:bdr w:val="none" w:sz="0" w:space="0" w:color="auto"/>
      <w14:ligatures w14:val="standardContextual"/>
    </w:rPr>
  </w:style>
  <w:style w:type="paragraph" w:styleId="TOC7">
    <w:name w:val="toc 7"/>
    <w:basedOn w:val="Normal"/>
    <w:next w:val="Normal"/>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440"/>
    </w:pPr>
    <w:rPr>
      <w:rFonts w:asciiTheme="minorHAnsi" w:eastAsiaTheme="minorEastAsia" w:hAnsiTheme="minorHAnsi" w:cstheme="minorBidi"/>
      <w:kern w:val="2"/>
      <w:bdr w:val="none" w:sz="0" w:space="0" w:color="auto"/>
      <w14:ligatures w14:val="standardContextual"/>
    </w:rPr>
  </w:style>
  <w:style w:type="paragraph" w:styleId="TOC8">
    <w:name w:val="toc 8"/>
    <w:basedOn w:val="Normal"/>
    <w:next w:val="Normal"/>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680"/>
    </w:pPr>
    <w:rPr>
      <w:rFonts w:asciiTheme="minorHAnsi" w:eastAsiaTheme="minorEastAsia" w:hAnsiTheme="minorHAnsi" w:cstheme="minorBidi"/>
      <w:kern w:val="2"/>
      <w:bdr w:val="none" w:sz="0" w:space="0" w:color="auto"/>
      <w14:ligatures w14:val="standardContextual"/>
    </w:rPr>
  </w:style>
  <w:style w:type="paragraph" w:styleId="TOC9">
    <w:name w:val="toc 9"/>
    <w:basedOn w:val="Normal"/>
    <w:next w:val="Normal"/>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920"/>
    </w:pPr>
    <w:rPr>
      <w:rFonts w:asciiTheme="minorHAnsi" w:eastAsiaTheme="minorEastAsia" w:hAnsiTheme="minorHAnsi" w:cstheme="minorBidi"/>
      <w:kern w:val="2"/>
      <w:bdr w:val="none" w:sz="0" w:space="0" w:color="auto"/>
      <w14:ligatures w14:val="standardContextual"/>
    </w:rPr>
  </w:style>
  <w:style w:type="character" w:customStyle="1" w:styleId="UnresolvedMention">
    <w:name w:val="Unresolved Mention"/>
    <w:basedOn w:val="DefaultParagraphFont"/>
    <w:uiPriority w:val="99"/>
    <w:semiHidden/>
    <w:unhideWhenUsed/>
    <w:rsid w:val="00E9455F"/>
    <w:rPr>
      <w:color w:val="605E5C"/>
      <w:shd w:val="clear" w:color="auto" w:fill="E1DFDD"/>
    </w:rPr>
  </w:style>
  <w:style w:type="table" w:styleId="TableGrid">
    <w:name w:val="Table Grid"/>
    <w:basedOn w:val="TableNormal"/>
    <w:uiPriority w:val="39"/>
    <w:rsid w:val="003253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C5106"/>
    <w:rPr>
      <w:rFonts w:ascii="Arial" w:eastAsia="Arial" w:hAnsi="Arial" w:cs="Arial"/>
      <w:b/>
      <w:bCs/>
      <w:sz w:val="32"/>
      <w:szCs w:val="32"/>
      <w:bdr w:val="none" w:sz="0" w:space="0" w:color="auto"/>
    </w:rPr>
  </w:style>
  <w:style w:type="paragraph" w:styleId="BodyText">
    <w:name w:val="Body Text"/>
    <w:basedOn w:val="Normal"/>
    <w:link w:val="BodyTextChar"/>
    <w:uiPriority w:val="1"/>
    <w:qFormat/>
    <w:rsid w:val="00591BD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eastAsia="Times New Roman"/>
      <w:b/>
      <w:bCs/>
      <w:bdr w:val="none" w:sz="0" w:space="0" w:color="auto"/>
    </w:rPr>
  </w:style>
  <w:style w:type="character" w:customStyle="1" w:styleId="BodyTextChar">
    <w:name w:val="Body Text Char"/>
    <w:basedOn w:val="DefaultParagraphFont"/>
    <w:link w:val="BodyText"/>
    <w:uiPriority w:val="1"/>
    <w:rsid w:val="00591BDE"/>
    <w:rPr>
      <w:rFonts w:eastAsia="Times New Roman"/>
      <w:b/>
      <w:bCs/>
      <w:sz w:val="28"/>
      <w:szCs w:val="28"/>
      <w:bdr w:val="none" w:sz="0" w:space="0" w:color="auto"/>
    </w:rPr>
  </w:style>
  <w:style w:type="character" w:customStyle="1" w:styleId="FooterChar">
    <w:name w:val="Footer Char"/>
    <w:basedOn w:val="DefaultParagraphFont"/>
    <w:link w:val="Footer"/>
    <w:rsid w:val="001F4EBA"/>
    <w:rPr>
      <w:rFonts w:ascii="Calibri" w:hAnsi="Calibri" w:cs="Arial Unicode MS"/>
      <w:color w:val="000000"/>
      <w:sz w:val="22"/>
      <w:szCs w:val="22"/>
      <w:u w:color="000000"/>
    </w:rPr>
  </w:style>
  <w:style w:type="character" w:styleId="CommentReference">
    <w:name w:val="annotation reference"/>
    <w:basedOn w:val="DefaultParagraphFont"/>
    <w:uiPriority w:val="99"/>
    <w:semiHidden/>
    <w:unhideWhenUsed/>
    <w:rsid w:val="005C3094"/>
    <w:rPr>
      <w:sz w:val="16"/>
      <w:szCs w:val="16"/>
    </w:rPr>
  </w:style>
  <w:style w:type="paragraph" w:styleId="CommentText">
    <w:name w:val="annotation text"/>
    <w:basedOn w:val="Normal"/>
    <w:link w:val="CommentTextChar"/>
    <w:uiPriority w:val="99"/>
    <w:semiHidden/>
    <w:unhideWhenUsed/>
    <w:rsid w:val="005C3094"/>
    <w:rPr>
      <w:sz w:val="20"/>
      <w:szCs w:val="20"/>
    </w:rPr>
  </w:style>
  <w:style w:type="character" w:customStyle="1" w:styleId="CommentTextChar">
    <w:name w:val="Comment Text Char"/>
    <w:basedOn w:val="DefaultParagraphFont"/>
    <w:link w:val="CommentText"/>
    <w:uiPriority w:val="99"/>
    <w:semiHidden/>
    <w:rsid w:val="005C3094"/>
  </w:style>
  <w:style w:type="paragraph" w:styleId="CommentSubject">
    <w:name w:val="annotation subject"/>
    <w:basedOn w:val="CommentText"/>
    <w:next w:val="CommentText"/>
    <w:link w:val="CommentSubjectChar"/>
    <w:uiPriority w:val="99"/>
    <w:semiHidden/>
    <w:unhideWhenUsed/>
    <w:rsid w:val="005C3094"/>
    <w:rPr>
      <w:b/>
      <w:bCs/>
    </w:rPr>
  </w:style>
  <w:style w:type="character" w:customStyle="1" w:styleId="CommentSubjectChar">
    <w:name w:val="Comment Subject Char"/>
    <w:basedOn w:val="CommentTextChar"/>
    <w:link w:val="CommentSubject"/>
    <w:uiPriority w:val="99"/>
    <w:semiHidden/>
    <w:rsid w:val="005C3094"/>
    <w:rPr>
      <w:b/>
      <w:bCs/>
    </w:rPr>
  </w:style>
  <w:style w:type="paragraph" w:styleId="BalloonText">
    <w:name w:val="Balloon Text"/>
    <w:basedOn w:val="Normal"/>
    <w:link w:val="BalloonTextChar"/>
    <w:uiPriority w:val="99"/>
    <w:semiHidden/>
    <w:unhideWhenUsed/>
    <w:rsid w:val="005C30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094"/>
    <w:rPr>
      <w:rFonts w:ascii="Segoe UI" w:hAnsi="Segoe UI" w:cs="Segoe UI"/>
      <w:sz w:val="18"/>
      <w:szCs w:val="18"/>
    </w:rPr>
  </w:style>
  <w:style w:type="character" w:customStyle="1" w:styleId="citation-38">
    <w:name w:val="citation-38"/>
    <w:basedOn w:val="DefaultParagraphFont"/>
    <w:rsid w:val="005C3094"/>
  </w:style>
  <w:style w:type="character" w:customStyle="1" w:styleId="citation-37">
    <w:name w:val="citation-37"/>
    <w:basedOn w:val="DefaultParagraphFont"/>
    <w:rsid w:val="005C3094"/>
  </w:style>
  <w:style w:type="character" w:customStyle="1" w:styleId="citation-153">
    <w:name w:val="citation-153"/>
    <w:basedOn w:val="DefaultParagraphFont"/>
    <w:rsid w:val="006066DA"/>
  </w:style>
  <w:style w:type="character" w:customStyle="1" w:styleId="Heading3Char">
    <w:name w:val="Heading 3 Char"/>
    <w:basedOn w:val="DefaultParagraphFont"/>
    <w:link w:val="Heading3"/>
    <w:uiPriority w:val="9"/>
    <w:semiHidden/>
    <w:rsid w:val="0032340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925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csis.org/analysis/intellectual-property-rights-and-future-us-technological-leadership" TargetMode="External"/><Relationship Id="rId26" Type="http://schemas.openxmlformats.org/officeDocument/2006/relationships/hyperlink" Target="https://www.lawshelf.com/coursewarecontentview/history-and-sources-of-intellectual-property-law" TargetMode="External"/><Relationship Id="rId39" Type="http://schemas.openxmlformats.org/officeDocument/2006/relationships/hyperlink" Target="https://www.ipoi.gov.ie/en/commercialise-your-ip/using-ip-to-grow-your-business/what-is-intellectual-property-/" TargetMode="External"/><Relationship Id="rId21" Type="http://schemas.openxmlformats.org/officeDocument/2006/relationships/hyperlink" Target="https://www.congress.gov/crs-product/IF10986" TargetMode="External"/><Relationship Id="rId34" Type="http://schemas.openxmlformats.org/officeDocument/2006/relationships/hyperlink" Target="https://www.law.georgetown.edu/your-life-career/career-exploration-professional-development/for-jd-students/explore-legal-careers/practice-areas/intellectual-property-law/" TargetMode="External"/><Relationship Id="rId42" Type="http://schemas.openxmlformats.org/officeDocument/2006/relationships/hyperlink" Target="https://usinfo.org/trade/bg9515e.htm" TargetMode="External"/><Relationship Id="rId47" Type="http://schemas.openxmlformats.org/officeDocument/2006/relationships/hyperlink" Target="https://www.legifrance.gouv.fr/codes/article_lc/LEGIARTI000006278891/" TargetMode="External"/><Relationship Id="rId50" Type="http://schemas.openxmlformats.org/officeDocument/2006/relationships/hyperlink" Target="https://www.law.cornell.edu/uscode/text/17/504?utm_source=chatgpt.com" TargetMode="External"/><Relationship Id="rId55" Type="http://schemas.openxmlformats.org/officeDocument/2006/relationships/hyperlink" Target="https://prospectlaw.co.uk/news/article/protecting-and-exploiting-uk-intellectual-property/" TargetMode="External"/><Relationship Id="rId63" Type="http://schemas.openxmlformats.org/officeDocument/2006/relationships/hyperlink" Target="https://www.copyright.gov/docs/ipo.html" TargetMode="External"/><Relationship Id="rId68" Type="http://schemas.openxmlformats.org/officeDocument/2006/relationships/hyperlink" Target="https://www.wipo.int/wipolex/en/legislation/details/14446" TargetMode="External"/><Relationship Id="rId76" Type="http://schemas.openxmlformats.org/officeDocument/2006/relationships/hyperlink" Target="https://www.saip.gov.sa/committees-secretariat/1412/" TargetMode="External"/><Relationship Id="rId84" Type="http://schemas.openxmlformats.org/officeDocument/2006/relationships/hyperlink" Target="https://www.mordorintelligence.com/ar/industry-reports/saudi-arabia-ecommerce-market" TargetMode="External"/><Relationship Id="rId7" Type="http://schemas.openxmlformats.org/officeDocument/2006/relationships/endnotes" Target="endnotes.xml"/><Relationship Id="rId71" Type="http://schemas.openxmlformats.org/officeDocument/2006/relationships/hyperlink" Target="https://www.wipo.int/edocs/pubdocs/en/wipo_pub_909_2016.pdf" TargetMode="External"/><Relationship Id="rId2" Type="http://schemas.openxmlformats.org/officeDocument/2006/relationships/numbering" Target="numbering.xml"/><Relationship Id="rId16" Type="http://schemas.openxmlformats.org/officeDocument/2006/relationships/hyperlink" Target="https://www.ala.org/advocacy/copyright/dmca?utm_source" TargetMode="External"/><Relationship Id="rId29" Type="http://schemas.openxmlformats.org/officeDocument/2006/relationships/hyperlink" Target="https://2u.pw/g1P5N" TargetMode="External"/><Relationship Id="rId11" Type="http://schemas.openxmlformats.org/officeDocument/2006/relationships/image" Target="media/image2.png"/><Relationship Id="rId24" Type="http://schemas.openxmlformats.org/officeDocument/2006/relationships/hyperlink" Target="https://copyrightalliance.org/education/copyright-law-explained/copyright-infringement/copyright-statutory-damages/?utm_source=chatgpt.com" TargetMode="External"/><Relationship Id="rId32" Type="http://schemas.openxmlformats.org/officeDocument/2006/relationships/hyperlink" Target="https://www.britannica.com/topic/intellectual-property-law" TargetMode="External"/><Relationship Id="rId37" Type="http://schemas.openxmlformats.org/officeDocument/2006/relationships/hyperlink" Target="https://iplac.org/about/history/intellectual-property-timeline/" TargetMode="External"/><Relationship Id="rId40" Type="http://schemas.openxmlformats.org/officeDocument/2006/relationships/hyperlink" Target="https://www.irational.org/APD/CCIPS/netsum.htm?utm_source=chatgpt.com" TargetMode="External"/><Relationship Id="rId45" Type="http://schemas.openxmlformats.org/officeDocument/2006/relationships/hyperlink" Target="https://www.legifrance.gouv.fr/codes/article_lc/LEGIARTI000028716663/2016-06-05" TargetMode="External"/><Relationship Id="rId53" Type="http://schemas.openxmlformats.org/officeDocument/2006/relationships/hyperlink" Target="https://www.oecd.org/en/publications/access-to-public-research-data-toolkit_a12e8998-en/law-for-a-digital-republic_b99868b0-en.html" TargetMode="External"/><Relationship Id="rId58" Type="http://schemas.openxmlformats.org/officeDocument/2006/relationships/hyperlink" Target="https://sunwater.org/adoption-of-intellectual-property-laws-across-the-globe-timeline/" TargetMode="External"/><Relationship Id="rId66" Type="http://schemas.openxmlformats.org/officeDocument/2006/relationships/hyperlink" Target="https://www.law.uh.edu/faculty/cjoyce/copyright/release10/universal.html" TargetMode="External"/><Relationship Id="rId74" Type="http://schemas.openxmlformats.org/officeDocument/2006/relationships/hyperlink" Target="https://www.wipo.int/pressroom/ar/articles/2024/article_0003.html" TargetMode="External"/><Relationship Id="rId79" Type="http://schemas.openxmlformats.org/officeDocument/2006/relationships/hyperlink" Target="https://eparticipation.my.gov.sa/e-consultations/consultations/legal/legal-consultation-25811" TargetMode="External"/><Relationship Id="rId87"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lawreview.gmu.edu/print__issues/the-future-of-criminal-enforcement-of-copyright-the-promise-of-civil-enforcement/?utm_source=chatgpt.com" TargetMode="External"/><Relationship Id="rId82" Type="http://schemas.openxmlformats.org/officeDocument/2006/relationships/hyperlink" Target="https://www.wipo.int/copyright/ar" TargetMode="External"/><Relationship Id="rId19" Type="http://schemas.openxmlformats.org/officeDocument/2006/relationships/hyperlink" Target="https://ciohub.org/post/2023/06/a-brief-history-how-intellectual-property-protection-evolved-over-time/?utm_source=chatgpt.com"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 Id="rId22" Type="http://schemas.openxmlformats.org/officeDocument/2006/relationships/hyperlink" Target="https://www.congress.gov/crs-product/IF10033" TargetMode="External"/><Relationship Id="rId27" Type="http://schemas.openxmlformats.org/officeDocument/2006/relationships/hyperlink" Target="https://www.dalloz.fr/documentation/Document?id=CODE_CPPI_ARTI_L331-1-3&amp;scrll=CPPI008882&amp;FromId=CODES_SECS_CPPI_TALPHA" TargetMode="External"/><Relationship Id="rId30" Type="http://schemas.openxmlformats.org/officeDocument/2006/relationships/hyperlink" Target="https://www.dreyfus.fr/en/2024/10/21/frances-ip-legislation-mastering-trademarks-in-a-global-playground/" TargetMode="External"/><Relationship Id="rId35" Type="http://schemas.openxmlformats.org/officeDocument/2006/relationships/hyperlink" Target="https://cyber.harvard.edu/property00/alternatives/dmca.html?utm_source" TargetMode="External"/><Relationship Id="rId43" Type="http://schemas.openxmlformats.org/officeDocument/2006/relationships/hyperlink" Target="https://www.lawjournalnewsletters.com/2003/08/22/no-electronic-theft-act-is-a-partial-success/?utm_source=chatgpt.com&amp;slreturn=20250817034910" TargetMode="External"/><Relationship Id="rId48" Type="http://schemas.openxmlformats.org/officeDocument/2006/relationships/hyperlink" Target="https://www.legifrance.gouv.fr/codes/article_lc/LEGIARTI000006278958" TargetMode="External"/><Relationship Id="rId56" Type="http://schemas.openxmlformats.org/officeDocument/2006/relationships/hyperlink" Target="https://www.rpclegal.com/-/media/rpc/files/perspectives/ip/france.pdf" TargetMode="External"/><Relationship Id="rId64" Type="http://schemas.openxmlformats.org/officeDocument/2006/relationships/hyperlink" Target="https://www.state.gov/intellectual-property-enforcement" TargetMode="External"/><Relationship Id="rId69" Type="http://schemas.openxmlformats.org/officeDocument/2006/relationships/hyperlink" Target="https://www.wired.com/2016/06/hacker-lexicon-digital-millennium-copyright-act/?utm_source=chatgpt.com" TargetMode="External"/><Relationship Id="rId77" Type="http://schemas.openxmlformats.org/officeDocument/2006/relationships/hyperlink" Target="https://www.saip.gov.sa/committees-secretariat/" TargetMode="External"/><Relationship Id="rId8" Type="http://schemas.openxmlformats.org/officeDocument/2006/relationships/image" Target="media/image1.png"/><Relationship Id="rId51" Type="http://schemas.openxmlformats.org/officeDocument/2006/relationships/hyperlink" Target="https://reposit.nupp.edu.ua/bitstream/PoltNTU/12441/1/75%2520%25D0%25A2.1-441-442.pdf" TargetMode="External"/><Relationship Id="rId72" Type="http://schemas.openxmlformats.org/officeDocument/2006/relationships/hyperlink" Target="https://www.wto.org/English/tratop_e/trips_e/intel1_e.htm" TargetMode="External"/><Relationship Id="rId80" Type="http://schemas.openxmlformats.org/officeDocument/2006/relationships/hyperlink" Target="https://www.saip.gov.sa/about/brief/" TargetMode="Externa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bja.ojp.gov/program/intellectual-property-enforcement-program/overview?utm_source=chatgpt.com" TargetMode="External"/><Relationship Id="rId25" Type="http://schemas.openxmlformats.org/officeDocument/2006/relationships/hyperlink" Target="https://www.copyright.gov/dmca/" TargetMode="External"/><Relationship Id="rId33" Type="http://schemas.openxmlformats.org/officeDocument/2006/relationships/hyperlink" Target="https://french-business-law.com/french-legislation/legitext000006069414-french-intellectual-property-code/page/3/" TargetMode="External"/><Relationship Id="rId38" Type="http://schemas.openxmlformats.org/officeDocument/2006/relationships/hyperlink" Target="https://assets.publishing.service.gov.uk/media/5a80bf68e5274a2e87dbb972/IP_rights_in_USA.pdf" TargetMode="External"/><Relationship Id="rId46" Type="http://schemas.openxmlformats.org/officeDocument/2006/relationships/hyperlink" Target="https://www.legifrance.gouv.fr/codes/article_lc/LEGIARTI000032655082" TargetMode="External"/><Relationship Id="rId59" Type="http://schemas.openxmlformats.org/officeDocument/2006/relationships/hyperlink" Target="https://www.testu-avocat.fr/droit-auteur-avocat-bordeaux/les-sanctions-de-l-atteinte-aux-droits-d-auteur" TargetMode="External"/><Relationship Id="rId67" Type="http://schemas.openxmlformats.org/officeDocument/2006/relationships/hyperlink" Target="https://www.uspto.gov/ip-policy/enforcement-policy/enforcement-initiatives?utm_source=chatgpt.com" TargetMode="External"/><Relationship Id="rId20" Type="http://schemas.openxmlformats.org/officeDocument/2006/relationships/hyperlink" Target="https://cacm.acm.org/opinion/statutory-damages-as-a-threat-to-innovation/?utm_source=chatgpt.com" TargetMode="External"/><Relationship Id="rId41" Type="http://schemas.openxmlformats.org/officeDocument/2006/relationships/hyperlink" Target="https://justice.pappers.fr/loi/LEGITEXT000006069414/article/LEGIARTI000028716676?utm_source=chatgpt.com" TargetMode="External"/><Relationship Id="rId54" Type="http://schemas.openxmlformats.org/officeDocument/2006/relationships/hyperlink" Target="https://muse.jhu.edu/pub/1/article/777601" TargetMode="External"/><Relationship Id="rId62" Type="http://schemas.openxmlformats.org/officeDocument/2006/relationships/hyperlink" Target="https://www.uspto.gov/sites/default/files/documents/uspto-ip-us-economy-third-edition.pdf" TargetMode="External"/><Relationship Id="rId70" Type="http://schemas.openxmlformats.org/officeDocument/2006/relationships/hyperlink" Target="https://www.wired.com/1997/12/industry-1-academics-0-clinton-signs-copyright-bill/?utm_source=chatgpt.com" TargetMode="External"/><Relationship Id="rId75" Type="http://schemas.openxmlformats.org/officeDocument/2006/relationships/hyperlink" Target="https://www.saip.gov.sa/committees-secretariat/1457/" TargetMode="External"/><Relationship Id="rId83" Type="http://schemas.openxmlformats.org/officeDocument/2006/relationships/hyperlink" Target="https://www.sama.gov.sa/ar-sa/News/Pages/news-1083.aspx"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ippi.org/news/a-century-of-excellence-the-french-legacy-in-global-intellectual-property/" TargetMode="External"/><Relationship Id="rId23" Type="http://schemas.openxmlformats.org/officeDocument/2006/relationships/hyperlink" Target="https://scholarlycommons.law.cwsl.edu/fs/422" TargetMode="External"/><Relationship Id="rId28" Type="http://schemas.openxmlformats.org/officeDocument/2006/relationships/hyperlink" Target="https://www.august-debouzy.com/en/blog/1258-trade-secrets-better-protected-by-french-law-and-by-the-courts" TargetMode="External"/><Relationship Id="rId36" Type="http://schemas.openxmlformats.org/officeDocument/2006/relationships/hyperlink" Target="https://www.hg.org/intell.html" TargetMode="External"/><Relationship Id="rId49" Type="http://schemas.openxmlformats.org/officeDocument/2006/relationships/hyperlink" Target="https://lesi.org/ip-related-aspects-of-the-french-law-on-modernization-of-the-economy/" TargetMode="External"/><Relationship Id="rId57" Type="http://schemas.openxmlformats.org/officeDocument/2006/relationships/hyperlink" Target="https://www.sacd.fr/en/authors-rights-and-their-work" TargetMode="External"/><Relationship Id="rId10" Type="http://schemas.microsoft.com/office/2011/relationships/commentsExtended" Target="commentsExtended.xml"/><Relationship Id="rId31" Type="http://schemas.openxmlformats.org/officeDocument/2006/relationships/hyperlink" Target="https://www.dreyfus.fr/en/2024/10/21/frances-ip-legislation-mastering-trademarks-in-a-global-playground/" TargetMode="External"/><Relationship Id="rId44" Type="http://schemas.openxmlformats.org/officeDocument/2006/relationships/hyperlink" Target="https://lawyersitaly.eu/intellectual-property-in-italy/" TargetMode="External"/><Relationship Id="rId52" Type="http://schemas.openxmlformats.org/officeDocument/2006/relationships/hyperlink" Target="https://nclnet.org/drm/" TargetMode="External"/><Relationship Id="rId60" Type="http://schemas.openxmlformats.org/officeDocument/2006/relationships/hyperlink" Target="https://fedsoc.org/commentary/fedsoc-blog/the-forgotten-history-of-the-intellectual-property-clause" TargetMode="External"/><Relationship Id="rId65" Type="http://schemas.openxmlformats.org/officeDocument/2006/relationships/hyperlink" Target="https://www.govinfo.gov/content/pkg/USCODE-2023-title17/html/USCODE-2023-title17-chap5-sec504.htm?utm_source=chatgpt.com" TargetMode="External"/><Relationship Id="rId73" Type="http://schemas.openxmlformats.org/officeDocument/2006/relationships/hyperlink" Target="https://www.wipo.int/pressroom/ar/articles/2024/article_0004.html?utm_source=chatgpt.com" TargetMode="External"/><Relationship Id="rId78" Type="http://schemas.openxmlformats.org/officeDocument/2006/relationships/hyperlink" Target="https://www.saip.gov.sa/committees-secretariat/1456/" TargetMode="External"/><Relationship Id="rId81" Type="http://schemas.openxmlformats.org/officeDocument/2006/relationships/hyperlink" Target="https://www.saip.gov.sa/pct" TargetMode="External"/><Relationship Id="rId86"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sama.gov.sa/ar-sa/News/Pages/news-1083.aspx" TargetMode="External"/><Relationship Id="rId18" Type="http://schemas.openxmlformats.org/officeDocument/2006/relationships/hyperlink" Target="https://www.uspto.gov/sites/default/files/documents/uspto-ip-us-economy-third-edition.pdf" TargetMode="External"/><Relationship Id="rId26" Type="http://schemas.openxmlformats.org/officeDocument/2006/relationships/hyperlink" Target="https://www.csis.org/analysis/intellectual-property-rights-and-future-us-technological-leadership" TargetMode="External"/><Relationship Id="rId39" Type="http://schemas.openxmlformats.org/officeDocument/2006/relationships/hyperlink" Target="https://www.legifrance.gouv.fr/codes/article_lc/LEGIARTI000006278958" TargetMode="External"/><Relationship Id="rId21" Type="http://schemas.openxmlformats.org/officeDocument/2006/relationships/hyperlink" Target="https://iplac.org/about/history/intellectual-property-timeline/" TargetMode="External"/><Relationship Id="rId34" Type="http://schemas.openxmlformats.org/officeDocument/2006/relationships/hyperlink" Target="https://reposit.nupp.edu.ua/bitstream/PoltNTU/12441/1/75%2520%25D0%25A2.1-441-442.pdf" TargetMode="External"/><Relationship Id="rId42" Type="http://schemas.openxmlformats.org/officeDocument/2006/relationships/hyperlink" Target="https://www.testu-avocat.fr/droit-auteur-avocat-bordeaux/les-sanctions-de-l-atteinte-aux-droits-d-auteur" TargetMode="External"/><Relationship Id="rId47" Type="http://schemas.openxmlformats.org/officeDocument/2006/relationships/hyperlink" Target="https://copyrightalliance.org/education/copyright-law-explained/copyright-infringement/copyright-statutory-damages/?utm_source=chatgpt.com" TargetMode="External"/><Relationship Id="rId50" Type="http://schemas.openxmlformats.org/officeDocument/2006/relationships/hyperlink" Target="https://www.lawjournalnewsletters.com/2003/08/22/no-electronic-theft-act-is-a-partial-success/?utm_source=chatgpt.com&amp;slreturn=20250817034910" TargetMode="External"/><Relationship Id="rId55" Type="http://schemas.openxmlformats.org/officeDocument/2006/relationships/hyperlink" Target="https://ciohub.org/post/2023/06/a-brief-history-how-intellectual-property-protection-evolved-over-time/?utm_source=chatgpt.com" TargetMode="External"/><Relationship Id="rId63" Type="http://schemas.openxmlformats.org/officeDocument/2006/relationships/hyperlink" Target="https://nclnet.org/drm/" TargetMode="External"/><Relationship Id="rId68" Type="http://schemas.openxmlformats.org/officeDocument/2006/relationships/hyperlink" Target="https://www.rpclegal.com/-/media/rpc/files/perspectives/ip/france.pdf" TargetMode="External"/><Relationship Id="rId7" Type="http://schemas.openxmlformats.org/officeDocument/2006/relationships/hyperlink" Target="https://lawyersitaly.eu/intellectual-property-in-italy/" TargetMode="External"/><Relationship Id="rId2" Type="http://schemas.openxmlformats.org/officeDocument/2006/relationships/hyperlink" Target="https://www.wipo.int/copyright/ar" TargetMode="External"/><Relationship Id="rId16" Type="http://schemas.openxmlformats.org/officeDocument/2006/relationships/hyperlink" Target="https://eparticipation.my.gov.sa/e-consultations/consultations/legal/legal-consultation-25811" TargetMode="External"/><Relationship Id="rId29" Type="http://schemas.openxmlformats.org/officeDocument/2006/relationships/hyperlink" Target="https://www.ipoi.gov.ie/en/commercialise-your-ip/using-ip-to-grow-your-business/what-is-intellectual-property-/" TargetMode="External"/><Relationship Id="rId1" Type="http://schemas.openxmlformats.org/officeDocument/2006/relationships/hyperlink" Target="https://2u.pw/g1P5N" TargetMode="External"/><Relationship Id="rId6" Type="http://schemas.openxmlformats.org/officeDocument/2006/relationships/hyperlink" Target="https://www.dreyfus.fr/en/2024/10/21/frances-ip-legislation-mastering-trademarks-in-a-global-playground/" TargetMode="External"/><Relationship Id="rId11" Type="http://schemas.openxmlformats.org/officeDocument/2006/relationships/hyperlink" Target="https://www.saip.gov.sa/committees-secretariat/1412/" TargetMode="External"/><Relationship Id="rId24" Type="http://schemas.openxmlformats.org/officeDocument/2006/relationships/hyperlink" Target="https://www.congress.gov/crs-product/IF10986" TargetMode="External"/><Relationship Id="rId32" Type="http://schemas.openxmlformats.org/officeDocument/2006/relationships/hyperlink" Target="https://www.aippi.org/news/a-century-of-excellence-the-french-legacy-in-global-intellectual-property/" TargetMode="External"/><Relationship Id="rId37" Type="http://schemas.openxmlformats.org/officeDocument/2006/relationships/hyperlink" Target="https://www.saip.gov.sa/about/brief/" TargetMode="External"/><Relationship Id="rId40" Type="http://schemas.openxmlformats.org/officeDocument/2006/relationships/hyperlink" Target="https://justice.pappers.fr/loi/LEGITEXT000006069414/article/LEGIARTI000028716676?utm_source=chatgpt.com" TargetMode="External"/><Relationship Id="rId45" Type="http://schemas.openxmlformats.org/officeDocument/2006/relationships/hyperlink" Target="https://www.govinfo.gov/content/pkg/USCODE-2023-title17/html/USCODE-2023-title17-chap5-sec504.htm?utm_source=chatgpt.com" TargetMode="External"/><Relationship Id="rId53" Type="http://schemas.openxmlformats.org/officeDocument/2006/relationships/hyperlink" Target="https://cacm.acm.org/opinion/statutory-damages-as-a-threat-to-innovation/?utm_source=chatgpt.com" TargetMode="External"/><Relationship Id="rId58" Type="http://schemas.openxmlformats.org/officeDocument/2006/relationships/hyperlink" Target="https://www.wired.com/2016/06/hacker-lexicon-digital-millennium-copyright-act/?utm_source=chatgpt.com" TargetMode="External"/><Relationship Id="rId66" Type="http://schemas.openxmlformats.org/officeDocument/2006/relationships/hyperlink" Target="https://french-business-law.com/french-legislation/legitext000006069414-french-intellectual-property-code/page/3/" TargetMode="External"/><Relationship Id="rId5" Type="http://schemas.openxmlformats.org/officeDocument/2006/relationships/hyperlink" Target="https://prospectlaw.co.uk/news/article/protecting-and-exploiting-uk-intellectual-property/" TargetMode="External"/><Relationship Id="rId15" Type="http://schemas.openxmlformats.org/officeDocument/2006/relationships/hyperlink" Target="https://scholarlycommons.law.cwsl.edu/fs/422" TargetMode="External"/><Relationship Id="rId23" Type="http://schemas.openxmlformats.org/officeDocument/2006/relationships/hyperlink" Target="https://assets.publishing.service.gov.uk/media/5a80bf68e5274a2e87dbb972/IP_rights_in_USA.pdf" TargetMode="External"/><Relationship Id="rId28" Type="http://schemas.openxmlformats.org/officeDocument/2006/relationships/hyperlink" Target="https://www.state.gov/intellectual-property-enforcement" TargetMode="External"/><Relationship Id="rId36" Type="http://schemas.openxmlformats.org/officeDocument/2006/relationships/hyperlink" Target="https://www.dreyfus.fr/en/2024/10/21/frances-ip-legislation-mastering-trademarks-in-a-global-playground/" TargetMode="External"/><Relationship Id="rId49" Type="http://schemas.openxmlformats.org/officeDocument/2006/relationships/hyperlink" Target="https://www.wired.com/1997/12/industry-1-academics-0-clinton-signs-copyright-bill/?utm_source=chatgpt.com" TargetMode="External"/><Relationship Id="rId57" Type="http://schemas.openxmlformats.org/officeDocument/2006/relationships/hyperlink" Target="https://www.ala.org/advocacy/copyright/dmca?utm_source" TargetMode="External"/><Relationship Id="rId61" Type="http://schemas.openxmlformats.org/officeDocument/2006/relationships/hyperlink" Target="https://bja.ojp.gov/program/intellectual-property-enforcement-program/overview?utm_source=chatgpt.com" TargetMode="External"/><Relationship Id="rId10" Type="http://schemas.openxmlformats.org/officeDocument/2006/relationships/hyperlink" Target="https://www.saip.gov.sa/committees-secretariat/1456/" TargetMode="External"/><Relationship Id="rId19" Type="http://schemas.openxmlformats.org/officeDocument/2006/relationships/hyperlink" Target="https://www.law.georgetown.edu/your-life-career/career-exploration-professional-development/for-jd-students/explore-legal-careers/practice-areas/intellectual-property-law//" TargetMode="External"/><Relationship Id="rId31" Type="http://schemas.openxmlformats.org/officeDocument/2006/relationships/hyperlink" Target="https://sunwater.org/adoption-of-intellectual-property-laws-across-the-globe-timeline/" TargetMode="External"/><Relationship Id="rId44" Type="http://schemas.openxmlformats.org/officeDocument/2006/relationships/hyperlink" Target="https://www.legifrance.gouv.fr/codes/article_lc/LEGIARTI000028716663/2016-06-05" TargetMode="External"/><Relationship Id="rId52" Type="http://schemas.openxmlformats.org/officeDocument/2006/relationships/hyperlink" Target="https://cyber.harvard.edu/property00/alternatives/dmca.html?utm_source" TargetMode="External"/><Relationship Id="rId60" Type="http://schemas.openxmlformats.org/officeDocument/2006/relationships/hyperlink" Target="https://www.copyright.gov/dmca/" TargetMode="External"/><Relationship Id="rId65" Type="http://schemas.openxmlformats.org/officeDocument/2006/relationships/hyperlink" Target="https://www.wipo.int/wipolex/en/legislation/details/14446" TargetMode="External"/><Relationship Id="rId4" Type="http://schemas.openxmlformats.org/officeDocument/2006/relationships/hyperlink" Target="https://www.wipo.int/edocs/pubdocs/en/wipo_pub_909_2016.pdf" TargetMode="External"/><Relationship Id="rId9" Type="http://schemas.openxmlformats.org/officeDocument/2006/relationships/hyperlink" Target="https://www.saip.gov.sa/committees-secretariat/1457/" TargetMode="External"/><Relationship Id="rId14" Type="http://schemas.openxmlformats.org/officeDocument/2006/relationships/hyperlink" Target="https://www.mordorintelligence.com/ar/industry-reports/saudi-arabia-ecommerce-market" TargetMode="External"/><Relationship Id="rId22" Type="http://schemas.openxmlformats.org/officeDocument/2006/relationships/hyperlink" Target="https://fedsoc.org/commentary/fedsoc-blog/the-forgotten-history-of-the-intellectual-property-clause" TargetMode="External"/><Relationship Id="rId27" Type="http://schemas.openxmlformats.org/officeDocument/2006/relationships/hyperlink" Target="https://www.copyright.gov/docs/ipo.html" TargetMode="External"/><Relationship Id="rId30" Type="http://schemas.openxmlformats.org/officeDocument/2006/relationships/hyperlink" Target="https://muse.jhu.edu/pub/1/article/777601" TargetMode="External"/><Relationship Id="rId35" Type="http://schemas.openxmlformats.org/officeDocument/2006/relationships/hyperlink" Target="https://lesi.org/ip-related-aspects-of-the-french-law-on-modernization-of-the-economy/" TargetMode="External"/><Relationship Id="rId43" Type="http://schemas.openxmlformats.org/officeDocument/2006/relationships/hyperlink" Target="https://www.legifrance.gouv.fr/codes/article_lc/LEGIARTI000032655082" TargetMode="External"/><Relationship Id="rId48" Type="http://schemas.openxmlformats.org/officeDocument/2006/relationships/hyperlink" Target="https://lawreview.gmu.edu/print__issues/the-future-of-criminal-enforcement-of-copyright-the-promise-of-civil-enforcement/?utm_source=chatgpt.com" TargetMode="External"/><Relationship Id="rId56" Type="http://schemas.openxmlformats.org/officeDocument/2006/relationships/hyperlink" Target="https://www.britannica.com/topic/intellectual-property-law" TargetMode="External"/><Relationship Id="rId64" Type="http://schemas.openxmlformats.org/officeDocument/2006/relationships/hyperlink" Target="https://www.law.uh.edu/faculty/cjoyce/copyright/release10/universal.html" TargetMode="External"/><Relationship Id="rId69" Type="http://schemas.openxmlformats.org/officeDocument/2006/relationships/hyperlink" Target="https://www.legifrance.gouv.fr/codes/article_lc/LEGIARTI000006278891/" TargetMode="External"/><Relationship Id="rId8" Type="http://schemas.openxmlformats.org/officeDocument/2006/relationships/hyperlink" Target="https://www.saip.gov.sa/committees-secretariat/" TargetMode="External"/><Relationship Id="rId51" Type="http://schemas.openxmlformats.org/officeDocument/2006/relationships/hyperlink" Target="https://www.irational.org/APD/CCIPS/netsum.htm?utm_source=chatgpt.com" TargetMode="External"/><Relationship Id="rId3" Type="http://schemas.openxmlformats.org/officeDocument/2006/relationships/hyperlink" Target="https://www.wipo.int/pressroom/ar/articles/2024/article_0003.html" TargetMode="External"/><Relationship Id="rId12" Type="http://schemas.openxmlformats.org/officeDocument/2006/relationships/hyperlink" Target="https://www.wipo.int/pressroom/ar/articles/2024/article_0004.html?utm_source=chatgpt.com" TargetMode="External"/><Relationship Id="rId17" Type="http://schemas.openxmlformats.org/officeDocument/2006/relationships/hyperlink" Target="https://www.saip.gov.sa/pct" TargetMode="External"/><Relationship Id="rId25" Type="http://schemas.openxmlformats.org/officeDocument/2006/relationships/hyperlink" Target="https://www.hg.org/intell.html" TargetMode="External"/><Relationship Id="rId33" Type="http://schemas.openxmlformats.org/officeDocument/2006/relationships/hyperlink" Target="https://usinfo.org/trade/bg9515e.htm" TargetMode="External"/><Relationship Id="rId38" Type="http://schemas.openxmlformats.org/officeDocument/2006/relationships/hyperlink" Target="https://www.august-debouzy.com/en/blog/1258-trade-secrets-better-protected-by-french-law-and-by-the-courts" TargetMode="External"/><Relationship Id="rId46" Type="http://schemas.openxmlformats.org/officeDocument/2006/relationships/hyperlink" Target="https://www.law.cornell.edu/uscode/text/17/504?utm_source=chatgpt.com" TargetMode="External"/><Relationship Id="rId59" Type="http://schemas.openxmlformats.org/officeDocument/2006/relationships/hyperlink" Target="https://www.congress.gov/crs-product/IF10033" TargetMode="External"/><Relationship Id="rId67" Type="http://schemas.openxmlformats.org/officeDocument/2006/relationships/hyperlink" Target="https://www.oecd.org/en/publications/access-to-public-research-data-toolkit_a12e8998-en/law-for-a-digital-republic_b99868b0-en.html" TargetMode="External"/><Relationship Id="rId20" Type="http://schemas.openxmlformats.org/officeDocument/2006/relationships/hyperlink" Target="https://www.lawshelf.com/coursewarecontentview/history-and-sources-of-intellectual-property-law" TargetMode="External"/><Relationship Id="rId41" Type="http://schemas.openxmlformats.org/officeDocument/2006/relationships/hyperlink" Target="https://www.dalloz.fr/documentation/Document?id=CODE_CPPI_ARTI_L331-1-3&amp;scrll=CPPI008882&amp;FromId=CODES_SECS_CPPI_TALPHA" TargetMode="External"/><Relationship Id="rId54" Type="http://schemas.openxmlformats.org/officeDocument/2006/relationships/hyperlink" Target="https://www.wto.org/English/tratop_e/trips_e/intel1_e.htm" TargetMode="External"/><Relationship Id="rId62" Type="http://schemas.openxmlformats.org/officeDocument/2006/relationships/hyperlink" Target="https://www.uspto.gov/ip-policy/enforcement-policy/enforcement-initiatives?utm_source=chatgpt.com" TargetMode="External"/><Relationship Id="rId70" Type="http://schemas.openxmlformats.org/officeDocument/2006/relationships/hyperlink" Target="https://www.sacd.fr/en/authors-rights-and-their-work" TargetMode="Externa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C9B2A-CEA2-4530-8D84-F70297BD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185</Pages>
  <Words>79800</Words>
  <Characters>454865</Characters>
  <Application>Microsoft Office Word</Application>
  <DocSecurity>0</DocSecurity>
  <Lines>3790</Lines>
  <Paragraphs>1067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111111111111111</dc:creator>
  <cp:lastModifiedBy>Windows User</cp:lastModifiedBy>
  <cp:revision>62</cp:revision>
  <cp:lastPrinted>2026-04-16T15:17:00Z</cp:lastPrinted>
  <dcterms:created xsi:type="dcterms:W3CDTF">2026-04-16T15:16:00Z</dcterms:created>
  <dcterms:modified xsi:type="dcterms:W3CDTF">2026-07-09T18:17:00Z</dcterms:modified>
</cp:coreProperties>
</file>