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ADFA85" w14:textId="1E579F20" w:rsidR="00D32F52" w:rsidRPr="00396255" w:rsidRDefault="00F76CAC"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lang w:bidi="ar-EG"/>
        </w:rPr>
      </w:pPr>
      <w:r w:rsidRPr="00396255">
        <w:rPr>
          <w:rFonts w:ascii="Sakkal Majalla" w:eastAsia="Calibri" w:hAnsi="Sakkal Majalla" w:cs="Sakkal Majalla"/>
          <w:b/>
          <w:bCs/>
          <w:noProof/>
          <w:color w:val="000000" w:themeColor="text1"/>
          <w:sz w:val="32"/>
          <w:szCs w:val="32"/>
        </w:rPr>
        <w:drawing>
          <wp:anchor distT="0" distB="0" distL="114300" distR="114300" simplePos="0" relativeHeight="251659264" behindDoc="0" locked="0" layoutInCell="1" allowOverlap="1" wp14:anchorId="7ABC6485" wp14:editId="3FCB451C">
            <wp:simplePos x="0" y="0"/>
            <wp:positionH relativeFrom="margin">
              <wp:align>left</wp:align>
            </wp:positionH>
            <wp:positionV relativeFrom="margin">
              <wp:posOffset>7620</wp:posOffset>
            </wp:positionV>
            <wp:extent cx="1945640" cy="1805940"/>
            <wp:effectExtent l="0" t="0" r="0" b="381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945640" cy="1805940"/>
                    </a:xfrm>
                    <a:prstGeom prst="rect">
                      <a:avLst/>
                    </a:prstGeom>
                  </pic:spPr>
                </pic:pic>
              </a:graphicData>
            </a:graphic>
            <wp14:sizeRelH relativeFrom="margin">
              <wp14:pctWidth>0</wp14:pctWidth>
            </wp14:sizeRelH>
            <wp14:sizeRelV relativeFrom="margin">
              <wp14:pctHeight>0</wp14:pctHeight>
            </wp14:sizeRelV>
          </wp:anchor>
        </w:drawing>
      </w:r>
      <w:r w:rsidR="00D32F52" w:rsidRPr="00396255">
        <w:rPr>
          <w:rFonts w:ascii="Sakkal Majalla" w:eastAsia="Calibri" w:hAnsi="Sakkal Majalla" w:cs="Sakkal Majalla"/>
          <w:b/>
          <w:bCs/>
          <w:color w:val="000000" w:themeColor="text1"/>
          <w:sz w:val="32"/>
          <w:szCs w:val="32"/>
          <w:rtl/>
          <w:lang w:bidi="ar-EG"/>
        </w:rPr>
        <w:t xml:space="preserve">جامعة </w:t>
      </w:r>
      <w:proofErr w:type="spellStart"/>
      <w:r w:rsidR="00D32F52" w:rsidRPr="00396255">
        <w:rPr>
          <w:rFonts w:ascii="Sakkal Majalla" w:eastAsia="Calibri" w:hAnsi="Sakkal Majalla" w:cs="Sakkal Majalla"/>
          <w:b/>
          <w:bCs/>
          <w:color w:val="000000" w:themeColor="text1"/>
          <w:sz w:val="32"/>
          <w:szCs w:val="32"/>
          <w:rtl/>
          <w:lang w:bidi="ar-EG"/>
        </w:rPr>
        <w:t>ميدأوشن</w:t>
      </w:r>
      <w:proofErr w:type="spellEnd"/>
      <w:r w:rsidR="00D32F52" w:rsidRPr="00396255">
        <w:rPr>
          <w:rFonts w:ascii="Sakkal Majalla" w:eastAsia="Calibri" w:hAnsi="Sakkal Majalla" w:cs="Sakkal Majalla"/>
          <w:b/>
          <w:bCs/>
          <w:color w:val="000000" w:themeColor="text1"/>
          <w:sz w:val="32"/>
          <w:szCs w:val="32"/>
          <w:rtl/>
          <w:lang w:bidi="ar-EG"/>
        </w:rPr>
        <w:t xml:space="preserve"> </w:t>
      </w:r>
    </w:p>
    <w:p w14:paraId="1D708D32" w14:textId="7E5502C1" w:rsidR="00D32F52" w:rsidRPr="00396255" w:rsidRDefault="00D32F52"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96255">
        <w:rPr>
          <w:rFonts w:ascii="Sakkal Majalla" w:eastAsia="Calibri" w:hAnsi="Sakkal Majalla" w:cs="Sakkal Majalla"/>
          <w:b/>
          <w:bCs/>
          <w:color w:val="000000" w:themeColor="text1"/>
          <w:sz w:val="32"/>
          <w:szCs w:val="32"/>
          <w:rtl/>
          <w:lang w:bidi="ar-EG"/>
        </w:rPr>
        <w:t xml:space="preserve">كلية الإدارة </w:t>
      </w:r>
    </w:p>
    <w:p w14:paraId="01E57895" w14:textId="37220418" w:rsidR="00D32F52" w:rsidRPr="00396255" w:rsidRDefault="00670443"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96255">
        <w:rPr>
          <w:rFonts w:ascii="Sakkal Majalla" w:eastAsia="Calibri" w:hAnsi="Sakkal Majalla" w:cs="Sakkal Majalla"/>
          <w:b/>
          <w:bCs/>
          <w:color w:val="000000" w:themeColor="text1"/>
          <w:sz w:val="32"/>
          <w:szCs w:val="32"/>
          <w:rtl/>
          <w:lang w:bidi="ar-EG"/>
        </w:rPr>
        <w:t xml:space="preserve">ماجستير إدارة </w:t>
      </w:r>
      <w:r w:rsidR="008B3EF5" w:rsidRPr="00396255">
        <w:rPr>
          <w:rFonts w:ascii="Sakkal Majalla" w:eastAsia="Calibri" w:hAnsi="Sakkal Majalla" w:cs="Sakkal Majalla"/>
          <w:b/>
          <w:bCs/>
          <w:color w:val="000000" w:themeColor="text1"/>
          <w:sz w:val="32"/>
          <w:szCs w:val="32"/>
          <w:rtl/>
          <w:lang w:bidi="ar-EG"/>
        </w:rPr>
        <w:t>المخاطر</w:t>
      </w:r>
    </w:p>
    <w:p w14:paraId="5B4F8F32" w14:textId="77777777" w:rsidR="00D32F52" w:rsidRPr="00396255" w:rsidRDefault="00D32F52"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774ED2A8" w14:textId="742725D9" w:rsidR="003E1F37" w:rsidRPr="00396255" w:rsidRDefault="003E1F37" w:rsidP="00F76CAC">
      <w:pPr>
        <w:bidi/>
        <w:spacing w:before="100" w:beforeAutospacing="1" w:after="100" w:afterAutospacing="1" w:line="360" w:lineRule="auto"/>
        <w:jc w:val="center"/>
        <w:rPr>
          <w:rFonts w:ascii="Sakkal Majalla" w:eastAsia="Calibri" w:hAnsi="Sakkal Majalla" w:cs="Sakkal Majalla"/>
          <w:b/>
          <w:bCs/>
          <w:color w:val="000000" w:themeColor="text1"/>
          <w:sz w:val="40"/>
          <w:szCs w:val="40"/>
          <w:rtl/>
        </w:rPr>
      </w:pPr>
      <w:r w:rsidRPr="00396255">
        <w:rPr>
          <w:rFonts w:ascii="Sakkal Majalla" w:eastAsia="Calibri" w:hAnsi="Sakkal Majalla" w:cs="Sakkal Majalla"/>
          <w:b/>
          <w:bCs/>
          <w:color w:val="000000" w:themeColor="text1"/>
          <w:sz w:val="40"/>
          <w:szCs w:val="40"/>
          <w:rtl/>
        </w:rPr>
        <w:t>دور التكامل بين التحول الرقمي وإدارة المخاطر في تحسين كفاءة المستودعات الحكومية الصحية: دراسة تطبيقية على هيئة الهلال الأحمر</w:t>
      </w:r>
    </w:p>
    <w:p w14:paraId="3AAB7D3D" w14:textId="4DB8D8E5" w:rsidR="00D32F52" w:rsidRDefault="00D32F52" w:rsidP="00F76CAC">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96255">
        <w:rPr>
          <w:rFonts w:ascii="Sakkal Majalla" w:eastAsia="Calibri" w:hAnsi="Sakkal Majalla" w:cs="Sakkal Majalla"/>
          <w:b/>
          <w:bCs/>
          <w:color w:val="000000" w:themeColor="text1"/>
          <w:sz w:val="36"/>
          <w:szCs w:val="36"/>
          <w:rtl/>
          <w:lang w:bidi="ar-EG"/>
        </w:rPr>
        <w:t>إعداد الطالب/</w:t>
      </w:r>
    </w:p>
    <w:p w14:paraId="1336EE4C" w14:textId="77777777" w:rsidR="00197536" w:rsidRDefault="00197536" w:rsidP="00197536">
      <w:pPr>
        <w:bidi/>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Pr>
          <w:rFonts w:ascii="Sakkal Majalla" w:eastAsia="Calibri" w:hAnsi="Sakkal Majalla" w:cs="Sakkal Majalla"/>
          <w:b/>
          <w:bCs/>
          <w:color w:val="000000" w:themeColor="text1"/>
          <w:sz w:val="36"/>
          <w:szCs w:val="36"/>
          <w:rtl/>
          <w:lang w:bidi="ar-EG"/>
        </w:rPr>
        <w:t>خالد ناصر إبراهيم المسبحي</w:t>
      </w:r>
    </w:p>
    <w:p w14:paraId="22794142" w14:textId="71ED6BD8" w:rsidR="00BC2986" w:rsidRPr="00396255" w:rsidRDefault="00197536" w:rsidP="00197536">
      <w:pPr>
        <w:bidi/>
        <w:spacing w:before="100" w:beforeAutospacing="1" w:after="100" w:afterAutospacing="1" w:line="360" w:lineRule="auto"/>
        <w:jc w:val="center"/>
        <w:rPr>
          <w:rFonts w:ascii="Sakkal Majalla" w:eastAsia="Calibri" w:hAnsi="Sakkal Majalla" w:cs="Sakkal Majalla"/>
          <w:b/>
          <w:bCs/>
          <w:color w:val="000000" w:themeColor="text1"/>
          <w:sz w:val="36"/>
          <w:szCs w:val="36"/>
        </w:rPr>
      </w:pPr>
      <w:r>
        <w:rPr>
          <w:rFonts w:ascii="Sakkal Majalla" w:eastAsia="Calibri" w:hAnsi="Sakkal Majalla" w:cs="Sakkal Majalla"/>
          <w:b/>
          <w:bCs/>
          <w:color w:val="000000" w:themeColor="text1"/>
          <w:sz w:val="36"/>
          <w:szCs w:val="36"/>
          <w:lang w:bidi="ar-EG"/>
        </w:rPr>
        <w:t>251002374</w:t>
      </w:r>
    </w:p>
    <w:p w14:paraId="7470BEA2" w14:textId="77777777" w:rsidR="00D32F52" w:rsidRPr="00396255" w:rsidRDefault="00D32F52" w:rsidP="00F76CAC">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96255">
        <w:rPr>
          <w:rFonts w:ascii="Sakkal Majalla" w:eastAsia="Calibri" w:hAnsi="Sakkal Majalla" w:cs="Sakkal Majalla"/>
          <w:b/>
          <w:bCs/>
          <w:color w:val="000000" w:themeColor="text1"/>
          <w:sz w:val="36"/>
          <w:szCs w:val="36"/>
          <w:rtl/>
          <w:lang w:bidi="ar-EG"/>
        </w:rPr>
        <w:t>إشراف/</w:t>
      </w:r>
    </w:p>
    <w:p w14:paraId="244E5200" w14:textId="77777777" w:rsidR="00D32F52" w:rsidRPr="00396255" w:rsidRDefault="00D32F52" w:rsidP="00F76CAC">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396255">
        <w:rPr>
          <w:rFonts w:ascii="Sakkal Majalla" w:eastAsia="Calibri" w:hAnsi="Sakkal Majalla" w:cs="Sakkal Majalla"/>
          <w:color w:val="000000" w:themeColor="text1"/>
          <w:sz w:val="36"/>
          <w:szCs w:val="36"/>
          <w:rtl/>
          <w:lang w:bidi="ar-EG"/>
        </w:rPr>
        <w:t>د. الفيصل عبد الحميد محمد حسن</w:t>
      </w:r>
    </w:p>
    <w:p w14:paraId="6BAC9B4B" w14:textId="7E9AD395" w:rsidR="00D32F52" w:rsidRPr="00396255" w:rsidRDefault="00F76CAC" w:rsidP="00F76CAC">
      <w:pPr>
        <w:bidi/>
        <w:spacing w:before="100" w:beforeAutospacing="1" w:after="100" w:afterAutospacing="1" w:line="360" w:lineRule="auto"/>
        <w:jc w:val="center"/>
        <w:rPr>
          <w:rFonts w:ascii="Sakkal Majalla" w:eastAsia="Calibri" w:hAnsi="Sakkal Majalla" w:cs="Sakkal Majalla"/>
          <w:color w:val="000000" w:themeColor="text1"/>
          <w:sz w:val="36"/>
          <w:szCs w:val="36"/>
          <w:rtl/>
          <w:lang w:bidi="ar-EG"/>
        </w:rPr>
      </w:pPr>
      <w:r w:rsidRPr="00396255">
        <w:rPr>
          <w:rFonts w:ascii="Sakkal Majalla" w:eastAsia="Calibri" w:hAnsi="Sakkal Majalla" w:cs="Sakkal Majalla" w:hint="cs"/>
          <w:color w:val="000000" w:themeColor="text1"/>
          <w:sz w:val="36"/>
          <w:szCs w:val="36"/>
          <w:rtl/>
          <w:lang w:bidi="ar-EG"/>
        </w:rPr>
        <w:t>د. فايز جراد</w:t>
      </w:r>
    </w:p>
    <w:p w14:paraId="57CE8F85" w14:textId="77777777" w:rsidR="00D32F52" w:rsidRPr="00396255" w:rsidRDefault="00D32F52" w:rsidP="00F76CAC">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pPr>
      <w:r w:rsidRPr="00396255">
        <w:rPr>
          <w:rFonts w:ascii="Sakkal Majalla" w:eastAsia="Calibri" w:hAnsi="Sakkal Majalla" w:cs="Sakkal Majalla"/>
          <w:b/>
          <w:bCs/>
          <w:color w:val="000000" w:themeColor="text1"/>
          <w:sz w:val="36"/>
          <w:szCs w:val="36"/>
          <w:rtl/>
          <w:lang w:bidi="ar-EG"/>
        </w:rPr>
        <w:t>العام الدراسي:</w:t>
      </w:r>
    </w:p>
    <w:p w14:paraId="3BF63DC4" w14:textId="77777777" w:rsidR="00F76CAC" w:rsidRPr="00396255" w:rsidRDefault="00F76CAC" w:rsidP="00F76CAC">
      <w:pPr>
        <w:bidi/>
        <w:spacing w:before="100" w:beforeAutospacing="1" w:after="100" w:afterAutospacing="1" w:line="360" w:lineRule="auto"/>
        <w:jc w:val="center"/>
        <w:rPr>
          <w:rFonts w:ascii="Sakkal Majalla" w:eastAsia="Calibri" w:hAnsi="Sakkal Majalla" w:cs="Sakkal Majalla"/>
          <w:b/>
          <w:bCs/>
          <w:color w:val="000000" w:themeColor="text1"/>
          <w:sz w:val="36"/>
          <w:szCs w:val="36"/>
          <w:rtl/>
          <w:lang w:bidi="ar-EG"/>
        </w:rPr>
        <w:sectPr w:rsidR="00F76CAC" w:rsidRPr="00396255" w:rsidSect="00197536">
          <w:type w:val="continuous"/>
          <w:pgSz w:w="11907" w:h="16840" w:code="9"/>
          <w:pgMar w:top="1440" w:right="1985" w:bottom="1440" w:left="1134" w:header="720" w:footer="720" w:gutter="567"/>
          <w:pgNumType w:fmt="arabicAbjad" w:start="1"/>
          <w:cols w:space="708"/>
          <w:bidi/>
          <w:rtlGutter/>
          <w:docGrid w:linePitch="360"/>
        </w:sectPr>
      </w:pPr>
      <w:r w:rsidRPr="00396255">
        <w:rPr>
          <w:rFonts w:ascii="Sakkal Majalla" w:eastAsia="Calibri" w:hAnsi="Sakkal Majalla" w:cs="Sakkal Majalla" w:hint="cs"/>
          <w:b/>
          <w:bCs/>
          <w:color w:val="000000" w:themeColor="text1"/>
          <w:sz w:val="36"/>
          <w:szCs w:val="36"/>
          <w:rtl/>
          <w:lang w:bidi="ar-EG"/>
        </w:rPr>
        <w:t xml:space="preserve">1447 </w:t>
      </w:r>
      <w:r w:rsidRPr="00396255">
        <w:rPr>
          <w:rFonts w:ascii="Sakkal Majalla" w:eastAsia="Calibri" w:hAnsi="Sakkal Majalla" w:cs="Sakkal Majalla"/>
          <w:b/>
          <w:bCs/>
          <w:color w:val="000000" w:themeColor="text1"/>
          <w:sz w:val="36"/>
          <w:szCs w:val="36"/>
          <w:rtl/>
          <w:lang w:bidi="ar-EG"/>
        </w:rPr>
        <w:t>–</w:t>
      </w:r>
      <w:r w:rsidRPr="00396255">
        <w:rPr>
          <w:rFonts w:ascii="Sakkal Majalla" w:eastAsia="Calibri" w:hAnsi="Sakkal Majalla" w:cs="Sakkal Majalla" w:hint="cs"/>
          <w:b/>
          <w:bCs/>
          <w:color w:val="000000" w:themeColor="text1"/>
          <w:sz w:val="36"/>
          <w:szCs w:val="36"/>
          <w:rtl/>
          <w:lang w:bidi="ar-EG"/>
        </w:rPr>
        <w:t xml:space="preserve"> 2025</w:t>
      </w:r>
    </w:p>
    <w:p w14:paraId="1A741620" w14:textId="6B7ACAA9" w:rsidR="000F23D7" w:rsidRPr="00396255" w:rsidRDefault="000F23D7" w:rsidP="002F2D57">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lang w:bidi="ar-EG"/>
        </w:rPr>
      </w:pPr>
      <w:bookmarkStart w:id="0" w:name="_Toc214151630"/>
      <w:r w:rsidRPr="00396255">
        <w:rPr>
          <w:rFonts w:ascii="Sakkal Majalla" w:eastAsia="Calibri" w:hAnsi="Sakkal Majalla" w:cs="Sakkal Majalla" w:hint="cs"/>
          <w:b/>
          <w:bCs/>
          <w:color w:val="000000" w:themeColor="text1"/>
          <w:sz w:val="40"/>
          <w:szCs w:val="40"/>
          <w:rtl/>
          <w:lang w:bidi="ar-EG"/>
        </w:rPr>
        <w:lastRenderedPageBreak/>
        <w:t>الفصل الأول: الإطار العام للدراسة</w:t>
      </w:r>
      <w:bookmarkEnd w:id="0"/>
    </w:p>
    <w:p w14:paraId="60BDB7B1" w14:textId="7F7EDA28" w:rsidR="000F23D7" w:rsidRPr="00396255" w:rsidRDefault="000F23D7" w:rsidP="002F2D57">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 w:name="_Toc214151631"/>
      <w:r w:rsidRPr="00396255">
        <w:rPr>
          <w:rFonts w:ascii="Sakkal Majalla" w:eastAsia="Calibri" w:hAnsi="Sakkal Majalla" w:cs="Sakkal Majalla" w:hint="cs"/>
          <w:b/>
          <w:bCs/>
          <w:color w:val="000000" w:themeColor="text1"/>
          <w:sz w:val="36"/>
          <w:szCs w:val="36"/>
          <w:rtl/>
          <w:lang w:bidi="ar-EG"/>
        </w:rPr>
        <w:t>1.1 المقدمة</w:t>
      </w:r>
      <w:bookmarkEnd w:id="1"/>
    </w:p>
    <w:p w14:paraId="52BF1096" w14:textId="52BF1098" w:rsidR="00866FD2" w:rsidRPr="00396255" w:rsidRDefault="00866FD2"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في ظل التطورات المتسارعة في التكنولوجيا وتزايد التحديات التشغيلية واللوجستية، أصبحت المستودعات الحكومية الصحية تواجه ضغوطًا متنامية لضمان استمرارية تدفق الإمدادات الطبية بكفاءة وفعالية، خاصة في أوقات الأزمات مثل الجوائح أو الكوارث الطبيعية. ومن هذا المنطلق، يبرز دور التكامل بين التحول الرقمي وإدارة المخاطر كرافعتين أساسيتين لتحسين الأداء التشغيلي، وتعزيز القدرة المؤسسية لتلك المستودعات على الاستجابة السريعة والفعالة للتغيرات المفاجئة في الطلب، أو الانقطاعات المحتملة في سلاسل التوريد، أو حتى المشكلات المتعلقة بجودة وسلامة المنتجات الصحية المخزنة</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(جاب الله، 2024)</w:t>
      </w:r>
    </w:p>
    <w:p w14:paraId="2CB07D40" w14:textId="759CB3FC" w:rsidR="00866FD2" w:rsidRPr="00396255" w:rsidRDefault="00866FD2"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يمثل التحول الرقمي نقلة نوعية في كيفية إدارة العمليات داخل المستودعات الصحية الحكومية، حيث يُمكّن من أتمتة المهام المتكررة، وتحسين تتبع المخزون، وتعزيز الشفافية في إدارة سلسلة التوريد. وتُسهم التقنيات الحديثة مثل أنظمة إدارة المستودعات</w:t>
      </w:r>
      <w:r w:rsidRPr="00396255">
        <w:rPr>
          <w:rFonts w:ascii="Sakkal Majalla" w:eastAsia="Calibri" w:hAnsi="Sakkal Majalla" w:cs="Sakkal Majalla"/>
          <w:color w:val="000000" w:themeColor="text1"/>
          <w:sz w:val="28"/>
          <w:szCs w:val="28"/>
          <w:lang w:bidi="ar-EG"/>
        </w:rPr>
        <w:t xml:space="preserve"> (WMS)</w:t>
      </w:r>
      <w:r w:rsidRPr="00396255">
        <w:rPr>
          <w:rFonts w:ascii="Sakkal Majalla" w:eastAsia="Calibri" w:hAnsi="Sakkal Majalla" w:cs="Sakkal Majalla"/>
          <w:color w:val="000000" w:themeColor="text1"/>
          <w:sz w:val="28"/>
          <w:szCs w:val="28"/>
          <w:rtl/>
          <w:lang w:bidi="ar-EG"/>
        </w:rPr>
        <w:t>، وتقنيات إنترنت الأشياء</w:t>
      </w:r>
      <w:r w:rsidRPr="00396255">
        <w:rPr>
          <w:rFonts w:ascii="Sakkal Majalla" w:eastAsia="Calibri" w:hAnsi="Sakkal Majalla" w:cs="Sakkal Majalla"/>
          <w:color w:val="000000" w:themeColor="text1"/>
          <w:sz w:val="28"/>
          <w:szCs w:val="28"/>
          <w:lang w:bidi="ar-EG"/>
        </w:rPr>
        <w:t xml:space="preserve"> (IoT)</w:t>
      </w:r>
      <w:r w:rsidRPr="00396255">
        <w:rPr>
          <w:rFonts w:ascii="Sakkal Majalla" w:eastAsia="Calibri" w:hAnsi="Sakkal Majalla" w:cs="Sakkal Majalla"/>
          <w:color w:val="000000" w:themeColor="text1"/>
          <w:sz w:val="28"/>
          <w:szCs w:val="28"/>
          <w:rtl/>
          <w:lang w:bidi="ar-EG"/>
        </w:rPr>
        <w:t>، والذكاء الاصطناعي، في تقديم تحليلات تنبؤية دقيقة تدعم اتخاذ القرار بشكل استباقي، وتسهم في خفض نسب الهدر والتلف، بالإضافة إلى ضمان الامتثال للمعايير الصحية والدوائية. غير أن تطبيق هذه التقنيات لا يخلو من التحديات، لا سيما ما يتعلق بمخاطر الاختراقات السيبرانية، أو الأعطال التقنية، أو ضعف جاهزية الكوادر البشرية</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(الجبور، 2022)</w:t>
      </w:r>
    </w:p>
    <w:p w14:paraId="6A743192" w14:textId="61163831" w:rsidR="00866FD2" w:rsidRPr="00396255" w:rsidRDefault="00866FD2"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وهنا تتجلى أهمية إدارة المخاطر كعنصر مكمل لا غنى عنه، إذ تتيح بناء إطار منهجي لتحديد التهديدات المحتملة، وتقييم آثارها، ووضع خطط استجابة مرنة تحافظ على استقرار العمليات الحيوية في المستودعات الصحية. فعندما يتم دمج التحول الرقمي مع مبادئ إدارة المخاطر بشكل استراتيجي، يتحقق توازن بين الاستفادة من الابتكار التكنولوجي وبين الحماية من الفوضى المحتملة الناتجة عن أي فشل أو سوء استخدام لهذه التقنيات</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(جرادات، 2023)</w:t>
      </w:r>
    </w:p>
    <w:p w14:paraId="2BE9D5E0" w14:textId="7C0028D6" w:rsidR="00E12842" w:rsidRPr="00396255" w:rsidRDefault="00866FD2"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 xml:space="preserve">وعليه، فإن التكامل بين التحول الرقمي وإدارة المخاطر لا يُعد خيارًا تقنيًا أو إداريًا فحسب، بل هو ضرورة مؤسسية تفرضها طبيعة الدور الحيوي للمستودعات الصحية الحكومية في تأمين حياة المواطنين. كما أن هذا </w:t>
      </w:r>
      <w:r w:rsidRPr="00396255">
        <w:rPr>
          <w:rFonts w:ascii="Sakkal Majalla" w:eastAsia="Calibri" w:hAnsi="Sakkal Majalla" w:cs="Sakkal Majalla"/>
          <w:color w:val="000000" w:themeColor="text1"/>
          <w:sz w:val="28"/>
          <w:szCs w:val="28"/>
          <w:rtl/>
          <w:lang w:bidi="ar-EG"/>
        </w:rPr>
        <w:lastRenderedPageBreak/>
        <w:t>التكامل يُعزز من موثوقية الأنظمة الصحية الوطنية، ويُسهم في تحسين كفاءة الإنفاق العام، ويضع اللبنات الأساسية نحو نموذج تشغيلي أكثر مرونة واستدامة في قطاع الرعاية الصحية الحكومي.</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w:t>
      </w:r>
      <w:proofErr w:type="spellStart"/>
      <w:r w:rsidR="00947A7A" w:rsidRPr="00396255">
        <w:rPr>
          <w:rFonts w:ascii="Sakkal Majalla" w:eastAsia="Calibri" w:hAnsi="Sakkal Majalla" w:cs="Sakkal Majalla"/>
          <w:color w:val="000000" w:themeColor="text1"/>
          <w:sz w:val="28"/>
          <w:szCs w:val="28"/>
          <w:rtl/>
          <w:lang w:bidi="ar-EG"/>
        </w:rPr>
        <w:t>الجلامدة</w:t>
      </w:r>
      <w:proofErr w:type="spellEnd"/>
      <w:r w:rsidR="00947A7A" w:rsidRPr="00396255">
        <w:rPr>
          <w:rFonts w:ascii="Sakkal Majalla" w:eastAsia="Calibri" w:hAnsi="Sakkal Majalla" w:cs="Sakkal Majalla"/>
          <w:color w:val="000000" w:themeColor="text1"/>
          <w:sz w:val="28"/>
          <w:szCs w:val="28"/>
          <w:rtl/>
          <w:lang w:bidi="ar-EG"/>
        </w:rPr>
        <w:t>، 2023)</w:t>
      </w:r>
    </w:p>
    <w:p w14:paraId="528D28DC" w14:textId="6E16B858" w:rsidR="00866FD2" w:rsidRPr="00396255" w:rsidRDefault="00866FD2"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في العصر الحديث، أصبح التحول الرقمي أحد أبرز الظواهر التي تُعيد تشكيل بيئة الأعمال والمؤسسات على مختلف الأصعدة، من خلال دمج التكنولوجيا في صميم العمليات والإجراءات اليومية، بهدف رفع الكفاءة وتحقيق السرعة والدقة وتحسين جودة الخدمات. فالتحول الرقمي لا يقتصر فقط على استبدال العمليات الورقية أو التقليدية بالتطبيقات الحاسوبية، بل يمتد ليشمل إعادة هيكلة شاملة لنظم العمل، ونماذج الأعمال، والتفكير الاستراتيجي. وتعتمد المؤسسات التي تسعى إلى التحول الرقمي الناجح على تقنيات مثل الذكاء الاصطناعي، وإنترنت الأشياء، والحوسبة السحابية، والبيانات الضخمة، وذلك في سبيل اتخاذ قرارات قائمة على البيانات وتحقيق مرونة عالية في التكيف مع متغيرات السوق والتحديات المفاجئة</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(حسين، 2023)</w:t>
      </w:r>
    </w:p>
    <w:p w14:paraId="2B02B38B" w14:textId="4FAEB472" w:rsidR="00866FD2" w:rsidRPr="00396255" w:rsidRDefault="00866FD2"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وفي موازاة هذا التقدم، تبرز إدارة المخاطر كإطار تنظيمي لا يقل أهمية عن التقنيات ذاتها. فبينما يمكّن التحول الرقمي المؤسسات من تسريع الإنجاز وتطوير الخدمات، فإنه في المقابل يُعرّضها لمخاطر جديدة ومعقدة، مثل التهديدات السيبرانية، وفقدان البيانات، وفشل الأنظمة التكنولوجية، وضعف الامتثال للمعايير التنظيمية. وهنا تأتي إدارة المخاطر باعتبارها عملية استراتيجية تهدف إلى تحديد تلك التهديدات، وتقييم احتمالات حدوثها، وتحليل آثارها، ومن ثم تصميم استجابات فعّالة تضمن استمرارية العمل واستدامة الأداء</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(خطيب، 2022)</w:t>
      </w:r>
    </w:p>
    <w:p w14:paraId="435BD959" w14:textId="1762B717" w:rsidR="00866FD2" w:rsidRPr="00396255" w:rsidRDefault="00866FD2"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إن العلاقة بين التحول الرقمي وإدارة المخاطر هي علاقة تكاملية تتطلب توازناً دقيقاً. فكلما توسعت المؤسسات في تبني الحلول الرقمية، زادت حاجتها إلى إطار حوكمة رشيد لإدارة المخاطر المرتبطة بها. ولهذا السبب، لم تعد إدارة المخاطر مسؤولية محصورة في وحدات الامتثال أو فرق التدقيق الداخلي، بل أصبحت عنصراً محورياً في القرارات التنفيذية وخطط التحول المؤسسي. فالتحول الرقمي الناجح لا يتحقق بمعزل عن وعي استباقي بالمخاطر، ولا يمكن لإدارة المخاطر أن تواكب التحديات الحديثة دون فهم عميق للأدوات الرقمية</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(الربيع، 2024)</w:t>
      </w:r>
    </w:p>
    <w:p w14:paraId="76AC21F3" w14:textId="0503631E" w:rsidR="00866FD2" w:rsidRPr="00396255" w:rsidRDefault="00866FD2"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 xml:space="preserve">وتتزايد أهمية هذا التكامل في القطاعات الحيوية مثل الصحة، والتعليم، والخدمات الحكومية، حيث ترتبط جودة الخدمات بقدرة الأنظمة الرقمية على العمل بكفاءة واستمرارية. لذلك فإن إدماج مبادئ إدارة المخاطر </w:t>
      </w:r>
      <w:r w:rsidRPr="00396255">
        <w:rPr>
          <w:rFonts w:ascii="Sakkal Majalla" w:eastAsia="Calibri" w:hAnsi="Sakkal Majalla" w:cs="Sakkal Majalla"/>
          <w:color w:val="000000" w:themeColor="text1"/>
          <w:sz w:val="28"/>
          <w:szCs w:val="28"/>
          <w:rtl/>
          <w:lang w:bidi="ar-EG"/>
        </w:rPr>
        <w:lastRenderedPageBreak/>
        <w:t>ضمن استراتيجية التحول الرقمي يسهم في خلق بيئة تشغيلية أكثر مرونة وأمانًا، تُحافظ على ثقة المتعاملين، وتُقلّل من الخسائر المحتملة، وتدفع نحو تحقيق أهداف التنمية والابتكار بكفاءة واستدامة.</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(سعيد، 2023)</w:t>
      </w:r>
    </w:p>
    <w:p w14:paraId="32BB7D59" w14:textId="6E12969B" w:rsidR="00FC1B40" w:rsidRPr="00396255" w:rsidRDefault="00FC1B40"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 xml:space="preserve">تُعدّ كفاءة المستودعات الحكومية الصحية من العوامل المحورية في دعم المنظومة الصحية وضمان استمراريتها وجودة خدماتها، إذ إن هذه المستودعات تمثل نقطة الربط الأساسية بين عمليات الشراء والتخزين والتوزيع والإمداد للمستلزمات الطبية، والأدوية، والمعدات، ومواد المختبرات، وغيرها من الاحتياجات الحيوية للمرافق الصحية الحكومية. وفي ظل التحديات المتزايدة التي </w:t>
      </w:r>
      <w:proofErr w:type="spellStart"/>
      <w:r w:rsidRPr="00396255">
        <w:rPr>
          <w:rFonts w:ascii="Sakkal Majalla" w:eastAsia="Calibri" w:hAnsi="Sakkal Majalla" w:cs="Sakkal Majalla"/>
          <w:color w:val="000000" w:themeColor="text1"/>
          <w:sz w:val="28"/>
          <w:szCs w:val="28"/>
          <w:rtl/>
          <w:lang w:bidi="ar-EG"/>
        </w:rPr>
        <w:t>يواجهها</w:t>
      </w:r>
      <w:proofErr w:type="spellEnd"/>
      <w:r w:rsidRPr="00396255">
        <w:rPr>
          <w:rFonts w:ascii="Sakkal Majalla" w:eastAsia="Calibri" w:hAnsi="Sakkal Majalla" w:cs="Sakkal Majalla"/>
          <w:color w:val="000000" w:themeColor="text1"/>
          <w:sz w:val="28"/>
          <w:szCs w:val="28"/>
          <w:rtl/>
          <w:lang w:bidi="ar-EG"/>
        </w:rPr>
        <w:t xml:space="preserve"> القطاع الصحي – سواء تلك المتعلقة بالضغط على الموارد، أو الطوارئ الصحية، أو الأزمات الوبائية – أصبحت الحاجة ملحة لإعادة النظر في مدى كفاءة عمل المستودعات الحكومية، ومدى قدرتها على الاستجابة السريعة والفعالة للطلب، وتقليل الهدر، وضمان استدامة المخزون الاستراتيجي</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(شحاتة، 2024)</w:t>
      </w:r>
    </w:p>
    <w:p w14:paraId="584C54A4" w14:textId="40009E0B" w:rsidR="00FC1B40" w:rsidRPr="00396255" w:rsidRDefault="00FC1B40"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تعتمد كفاءة المستودعات الصحية الحكومية على مجموعة من العناصر المتكاملة تشمل: جودة البنية التحتية التخزينية، ودقة نظم إدارة المخزون، وفاعلية آليات الرقابة والتتبع، وكفاءة الكوادر البشرية المشغّلة، بالإضافة إلى توافر أنظمة معلومات متقدمة قادرة على دعم اتخاذ القرار بشكل فوري. حيث إن أي قصور في هذه العناصر قد ينعكس سلبًا على أداء القطاع الصحي ككل، من خلال تأخير وصول الإمدادات الطبية، أو نفاد بعض الأصناف الحيوية، أو تراكم مخزونات غير مستخدمة تُكبد المؤسسات خسائر مالية وتشغيلية</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(الشقاحين، 2024)</w:t>
      </w:r>
    </w:p>
    <w:p w14:paraId="3C270AE4" w14:textId="42008956" w:rsidR="00FC1B40" w:rsidRPr="00396255" w:rsidRDefault="00FC1B40"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وفي هذا السياق، تُواجه المستودعات الحكومية الصحية تحديات متزايدة تتعلق بالشفافية، وتعدد مستويات الإمداد، وارتفاع تكلفة التخزين، ومحدودية القدرات التحليلية في التنبؤ بالطلب. وهو ما يتطلب اعتماد سياسات أكثر ذكاءً في إدارة المخزون، مبنية على مؤشرات أداء دقيقة مثل معدلات الدوران، ومعدل النقص، ومدة التوصيل، وتكاليف الاحتفاظ. كما أن التحوّل نحو الرقمنة والأتمتة أصبح أمرًا ضروريًا لتحسين التكامل بين وحدات التخزين والتوزيع، ولضمان تتبع المواد منذ لحظة الاستلام حتى صرفها للمستخدم النهائي في المنشآت الصحية</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(شلهوب، 2024)</w:t>
      </w:r>
    </w:p>
    <w:p w14:paraId="0C40BA37" w14:textId="40917F7F" w:rsidR="00FC1B40" w:rsidRPr="00396255" w:rsidRDefault="00FC1B40" w:rsidP="002F2D57">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lastRenderedPageBreak/>
        <w:t>وعليه، فإن تعزيز كفاءة المستودعات الحكومية الصحية لا يُعد مجرد مسعى إداري، بل هو شرط أساسي لتحقيق الأمن الدوائي والصحي، وضمان جودة الرعاية المقدمة للمرضى، لا سيما في أوقات الأزمات والطوارئ. كما أن أي جهود إصلاحية للقطاع الصحي لا يمكن أن تكتمل دون تطوير منظومة الإمداد والتموين الطبي، التي تشكّل فيها المستودعات المحور الأساسي لضمان استقرار الإمدادات وسلامة العمليات التشغيلية. لذلك، فإن تقييم وتحسين كفاءة هذه المستودعات يُعد من الأولويات الاستراتيجية لكل نظام صحي يطمح إلى التميز والاستدامة.</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w:t>
      </w:r>
      <w:proofErr w:type="spellStart"/>
      <w:r w:rsidR="00947A7A" w:rsidRPr="00396255">
        <w:rPr>
          <w:rFonts w:ascii="Sakkal Majalla" w:eastAsia="Calibri" w:hAnsi="Sakkal Majalla" w:cs="Sakkal Majalla"/>
          <w:color w:val="000000" w:themeColor="text1"/>
          <w:sz w:val="28"/>
          <w:szCs w:val="28"/>
          <w:rtl/>
          <w:lang w:bidi="ar-EG"/>
        </w:rPr>
        <w:t>الصبيحات</w:t>
      </w:r>
      <w:proofErr w:type="spellEnd"/>
      <w:r w:rsidR="00947A7A" w:rsidRPr="00396255">
        <w:rPr>
          <w:rFonts w:ascii="Sakkal Majalla" w:eastAsia="Calibri" w:hAnsi="Sakkal Majalla" w:cs="Sakkal Majalla"/>
          <w:color w:val="000000" w:themeColor="text1"/>
          <w:sz w:val="28"/>
          <w:szCs w:val="28"/>
          <w:rtl/>
          <w:lang w:bidi="ar-EG"/>
        </w:rPr>
        <w:t>، 2024)</w:t>
      </w:r>
    </w:p>
    <w:p w14:paraId="5AE95B83" w14:textId="3EBB4BBF" w:rsidR="006B10E4" w:rsidRPr="00396255" w:rsidRDefault="002F2D57"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2" w:name="_Toc214151632"/>
      <w:r w:rsidRPr="00396255">
        <w:rPr>
          <w:rFonts w:ascii="Sakkal Majalla" w:eastAsia="Calibri" w:hAnsi="Sakkal Majalla" w:cs="Sakkal Majalla" w:hint="cs"/>
          <w:b/>
          <w:bCs/>
          <w:color w:val="000000" w:themeColor="text1"/>
          <w:sz w:val="36"/>
          <w:szCs w:val="36"/>
          <w:rtl/>
          <w:lang w:bidi="ar-EG"/>
        </w:rPr>
        <w:t xml:space="preserve">2.1 </w:t>
      </w:r>
      <w:r w:rsidR="006B10E4" w:rsidRPr="00396255">
        <w:rPr>
          <w:rFonts w:ascii="Sakkal Majalla" w:eastAsia="Calibri" w:hAnsi="Sakkal Majalla" w:cs="Sakkal Majalla"/>
          <w:b/>
          <w:bCs/>
          <w:color w:val="000000" w:themeColor="text1"/>
          <w:sz w:val="36"/>
          <w:szCs w:val="36"/>
          <w:rtl/>
          <w:lang w:bidi="ar-EG"/>
        </w:rPr>
        <w:t>مشكلة الدراسة</w:t>
      </w:r>
      <w:bookmarkEnd w:id="2"/>
    </w:p>
    <w:p w14:paraId="50FE9FEE" w14:textId="66C91F97" w:rsidR="00FC1B40" w:rsidRPr="00396255" w:rsidRDefault="00FC1B40"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تشهد المنظومات الصحية في العصر الحديث تحولات جذرية مدفوعة بتطورات التكنولوجيا الرقمية وزيادة التحديات التشغيلية، الأمر الذي فرض ضرورة إعادة النظر في كيفية إدارة الموارد الحيوية داخل القطاع الصحي، وفي مقدمتها المستودعات الحكومية الصحية. وتُعد هذه المستودعات عنصراً حيوياً لضمان توفر الإمدادات الطبية والأدوية والمستلزمات العلاجية في الوقت المناسب وبالجودة المطلوبة. غير أن الواقع العملي يكشف عن وجود العديد من الإشكالات التي تحدّ من كفاءتها التشغيلية، مثل ضعف الرقابة على المخزون، التأخير في الإمداد، غياب الرؤية الموحدة لسلسلة التوريد، والاعتماد على إجراءات يدوية تقليدية تُزيد من احتمالية وقوع الأخطاء وسوء التقدير</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w:t>
      </w:r>
      <w:proofErr w:type="spellStart"/>
      <w:r w:rsidR="00947A7A" w:rsidRPr="00396255">
        <w:rPr>
          <w:rFonts w:ascii="Sakkal Majalla" w:eastAsia="Calibri" w:hAnsi="Sakkal Majalla" w:cs="Sakkal Majalla"/>
          <w:color w:val="000000" w:themeColor="text1"/>
          <w:sz w:val="28"/>
          <w:szCs w:val="28"/>
          <w:rtl/>
          <w:lang w:bidi="ar-EG"/>
        </w:rPr>
        <w:t>العريمي</w:t>
      </w:r>
      <w:proofErr w:type="spellEnd"/>
      <w:r w:rsidR="00947A7A" w:rsidRPr="00396255">
        <w:rPr>
          <w:rFonts w:ascii="Sakkal Majalla" w:eastAsia="Calibri" w:hAnsi="Sakkal Majalla" w:cs="Sakkal Majalla"/>
          <w:color w:val="000000" w:themeColor="text1"/>
          <w:sz w:val="28"/>
          <w:szCs w:val="28"/>
          <w:rtl/>
          <w:lang w:bidi="ar-EG"/>
        </w:rPr>
        <w:t>، 2024)</w:t>
      </w:r>
    </w:p>
    <w:p w14:paraId="534A5A8E" w14:textId="26FAE4DA" w:rsidR="00FC1B40" w:rsidRPr="00396255" w:rsidRDefault="00FC1B40"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في ظل هذه التحديات، يُطرح التحول الرقمي كمدخل أساسي لإحداث تغيير إيجابي في إدارة المستودعات الصحية، من خلال أنظمة معلومات متكاملة، وأدوات تحليلية متقدمة، وتقنيات إنترنت الأشياء</w:t>
      </w:r>
      <w:r w:rsidRPr="00396255">
        <w:rPr>
          <w:rFonts w:ascii="Sakkal Majalla" w:eastAsia="Calibri" w:hAnsi="Sakkal Majalla" w:cs="Sakkal Majalla"/>
          <w:color w:val="000000" w:themeColor="text1"/>
          <w:sz w:val="28"/>
          <w:szCs w:val="28"/>
          <w:lang w:bidi="ar-EG"/>
        </w:rPr>
        <w:t xml:space="preserve"> (IoT) </w:t>
      </w:r>
      <w:r w:rsidRPr="00396255">
        <w:rPr>
          <w:rFonts w:ascii="Sakkal Majalla" w:eastAsia="Calibri" w:hAnsi="Sakkal Majalla" w:cs="Sakkal Majalla"/>
          <w:color w:val="000000" w:themeColor="text1"/>
          <w:sz w:val="28"/>
          <w:szCs w:val="28"/>
          <w:rtl/>
          <w:lang w:bidi="ar-EG"/>
        </w:rPr>
        <w:t>والتتبع الذكي، التي تُمكّن من مراقبة حركة المخزون وتوقع الطلب وتحقيق الشفافية في العمليات. ومع ذلك، فإن هذا التحول لا يخلو من المخاطر، سواء على مستوى أمن البيانات، أو تعقيد التكامل بين الأنظمة، أو ضعف التأهيل الرقمي للكادر البشري، أو حتى مقاومة التغيير المؤسسي. ومن هنا تبرز أهمية دور إدارة المخاطر كعنصر تكاملي ضروري لضمان نجاح هذا التحول وتحقيق الأهداف المرجوة دون الإضرار باستقرار عمليات التخزين والتوزيع</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(العمارات، 2023)</w:t>
      </w:r>
    </w:p>
    <w:p w14:paraId="2E684C37" w14:textId="5F676B1E" w:rsidR="00FC1B40" w:rsidRPr="00396255" w:rsidRDefault="00FC1B40"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lastRenderedPageBreak/>
        <w:t>وعليه، تنبع مشكلة الدراسة من التساؤل الرئيس: إلى أي مدى يُمكن أن يُسهم التكامل الفعّال بين التحول الرقمي وإدارة المخاطر في تحسين كفاءة المستودعات الحكومية الصحية؟ ويزداد هذا التساؤل أهمية بالنظر إلى ضعف البنية التقنية لبعض المؤسسات الصحية الحكومية، وغياب سياسة واضحة لإدارة المخاطر الرقمية، مما يجعل محاولات التحسين عرضة للفشل أو محدود الأثر. كما أن معظم الدراسات السابقة تناولت التحول الرقمي أو إدارة المخاطر كلٌ على حدة، دون معالجة العلاقة التفاعلية بينهما كعامل مركب مؤثر على كفاءة أداء المستودعات</w:t>
      </w:r>
      <w:r w:rsidRPr="00396255">
        <w:rPr>
          <w:rFonts w:ascii="Sakkal Majalla" w:eastAsia="Calibri" w:hAnsi="Sakkal Majalla" w:cs="Sakkal Majalla"/>
          <w:color w:val="000000" w:themeColor="text1"/>
          <w:sz w:val="28"/>
          <w:szCs w:val="28"/>
          <w:lang w:bidi="ar-EG"/>
        </w:rPr>
        <w:t>.</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(العمريين، 2023)</w:t>
      </w:r>
    </w:p>
    <w:p w14:paraId="1DDDB2CF" w14:textId="20D8B172" w:rsidR="00510EFA" w:rsidRPr="00396255" w:rsidRDefault="00FC1B40"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من هنا، تأتي هذه الدراسة لتسد فجوة معرفية وتطبيقية في الأدبيات، من خلال استكشاف كيف يمكن للتكامل المدروس بين التحول الرقمي وإدارة المخاطر أن يشكّل رافعة استراتيجية لتطوير كفاءة المستودعات الصحية الحكومية، وضمان استمرارية التوريد الطبي وجودته في مختلف الظروف التشغيلية، لا سيما في أوقات الأزمات والكوارث الصحية.</w:t>
      </w:r>
      <w:r w:rsidR="00947A7A" w:rsidRPr="00396255">
        <w:rPr>
          <w:rFonts w:ascii="Sakkal Majalla" w:hAnsi="Sakkal Majalla" w:cs="Sakkal Majalla"/>
          <w:color w:val="000000" w:themeColor="text1"/>
          <w:sz w:val="28"/>
          <w:szCs w:val="28"/>
          <w:rtl/>
        </w:rPr>
        <w:t xml:space="preserve"> </w:t>
      </w:r>
      <w:r w:rsidR="00947A7A" w:rsidRPr="00396255">
        <w:rPr>
          <w:rFonts w:ascii="Sakkal Majalla" w:eastAsia="Calibri" w:hAnsi="Sakkal Majalla" w:cs="Sakkal Majalla"/>
          <w:color w:val="000000" w:themeColor="text1"/>
          <w:sz w:val="28"/>
          <w:szCs w:val="28"/>
          <w:rtl/>
          <w:lang w:bidi="ar-EG"/>
        </w:rPr>
        <w:t>(</w:t>
      </w:r>
      <w:proofErr w:type="spellStart"/>
      <w:r w:rsidR="00947A7A" w:rsidRPr="00396255">
        <w:rPr>
          <w:rFonts w:ascii="Sakkal Majalla" w:eastAsia="Calibri" w:hAnsi="Sakkal Majalla" w:cs="Sakkal Majalla"/>
          <w:color w:val="000000" w:themeColor="text1"/>
          <w:sz w:val="28"/>
          <w:szCs w:val="28"/>
          <w:rtl/>
          <w:lang w:bidi="ar-EG"/>
        </w:rPr>
        <w:t>القطاونة</w:t>
      </w:r>
      <w:proofErr w:type="spellEnd"/>
      <w:r w:rsidR="00947A7A" w:rsidRPr="00396255">
        <w:rPr>
          <w:rFonts w:ascii="Sakkal Majalla" w:eastAsia="Calibri" w:hAnsi="Sakkal Majalla" w:cs="Sakkal Majalla"/>
          <w:color w:val="000000" w:themeColor="text1"/>
          <w:sz w:val="28"/>
          <w:szCs w:val="28"/>
          <w:rtl/>
          <w:lang w:bidi="ar-EG"/>
        </w:rPr>
        <w:t>، 2023)</w:t>
      </w:r>
    </w:p>
    <w:p w14:paraId="664B8C47" w14:textId="41B494A4" w:rsidR="00A94E52"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3" w:name="_Toc201352812"/>
      <w:bookmarkStart w:id="4" w:name="_Toc214151633"/>
      <w:r w:rsidRPr="00396255">
        <w:rPr>
          <w:rFonts w:ascii="Sakkal Majalla" w:eastAsia="Calibri" w:hAnsi="Sakkal Majalla" w:cs="Sakkal Majalla" w:hint="cs"/>
          <w:b/>
          <w:bCs/>
          <w:color w:val="000000" w:themeColor="text1"/>
          <w:sz w:val="36"/>
          <w:szCs w:val="36"/>
          <w:rtl/>
          <w:lang w:bidi="ar-EG"/>
        </w:rPr>
        <w:t xml:space="preserve">3.1 </w:t>
      </w:r>
      <w:r w:rsidR="00A94E52" w:rsidRPr="00396255">
        <w:rPr>
          <w:rFonts w:ascii="Sakkal Majalla" w:eastAsia="Calibri" w:hAnsi="Sakkal Majalla" w:cs="Sakkal Majalla"/>
          <w:b/>
          <w:bCs/>
          <w:color w:val="000000" w:themeColor="text1"/>
          <w:sz w:val="36"/>
          <w:szCs w:val="36"/>
          <w:rtl/>
          <w:lang w:bidi="ar-EG"/>
        </w:rPr>
        <w:t>أهمية الدراسة</w:t>
      </w:r>
      <w:bookmarkEnd w:id="3"/>
      <w:bookmarkEnd w:id="4"/>
    </w:p>
    <w:p w14:paraId="0E930A5E" w14:textId="77777777" w:rsidR="00FC1B40" w:rsidRPr="00396255" w:rsidRDefault="00FC1B40"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تُعد هذه الدراسة ذات أهمية بالغة، نظراً لما تمثّله المستودعات الحكومية الصحية من ركيزة أساسية لضمان استمرارية الخدمات الطبية في القطاع العام، سواء في الظروف الاعتيادية أو في أوقات الطوارئ الصحية مثل الأوبئة والكوارث. فالمستودعات لا تؤدي دوراً خدمياً لوجستياً فحسب، بل ترتبط بكفاءة الأداء الصحي العام، إذ إن أي خلل في إدارتها ينعكس مباشرة على كفاءة تقديم الرعاية الصحية وجودتها. ومن هذا المنطلق، فإن فهم كيفية تحسين هذه الكفاءة من خلال التكامل بين التحول الرقمي وإدارة المخاطر يشكّل ضرورة استراتيجية لصناع القرار ومخططي السياسات الصحية</w:t>
      </w:r>
      <w:r w:rsidRPr="00396255">
        <w:rPr>
          <w:rFonts w:ascii="Sakkal Majalla" w:eastAsia="Calibri" w:hAnsi="Sakkal Majalla" w:cs="Sakkal Majalla"/>
          <w:color w:val="000000" w:themeColor="text1"/>
          <w:sz w:val="28"/>
          <w:szCs w:val="28"/>
          <w:lang w:bidi="ar-EG"/>
        </w:rPr>
        <w:t>.</w:t>
      </w:r>
    </w:p>
    <w:p w14:paraId="2E3BFC99" w14:textId="4BF71AFE" w:rsidR="00FC1B40" w:rsidRPr="00396255" w:rsidRDefault="00FC1B40"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 xml:space="preserve">تأتي أهمية الدراسة من كونها تسلّط الضوء على جانب تكاملي مهم لم يحظَ بما يكفي من البحث في السياق العربي بشكل عام، والسعودي بشكل خاص، وهو العلاقة المتبادلة بين التحول الرقمي – بما يتضمنه من أنظمة معلومات صحية ذكية، وتقنيات تتبع المخزون، ومنصات الربط الإلكتروني – وبين إدارة المخاطر التي تسعى </w:t>
      </w:r>
      <w:r w:rsidRPr="00396255">
        <w:rPr>
          <w:rFonts w:ascii="Sakkal Majalla" w:eastAsia="Calibri" w:hAnsi="Sakkal Majalla" w:cs="Sakkal Majalla"/>
          <w:color w:val="000000" w:themeColor="text1"/>
          <w:sz w:val="28"/>
          <w:szCs w:val="28"/>
          <w:rtl/>
          <w:lang w:bidi="ar-EG"/>
        </w:rPr>
        <w:lastRenderedPageBreak/>
        <w:t>إلى تقليل التهديدات التشغيلية المحتملة وضمان مرونة الأداء. حيث يُتوقع أن يحقق هذا التكامل تحسيناً فعّالاً في الكفاءة التشغيلية، من خلال تقليل الفاقد، وتسريع الاستجابة، وتحسين القرارات المرتبطة بالتخزين والتوزيع</w:t>
      </w:r>
      <w:r w:rsidRPr="00396255">
        <w:rPr>
          <w:rFonts w:ascii="Sakkal Majalla" w:eastAsia="Calibri" w:hAnsi="Sakkal Majalla" w:cs="Sakkal Majalla"/>
          <w:color w:val="000000" w:themeColor="text1"/>
          <w:sz w:val="28"/>
          <w:szCs w:val="28"/>
          <w:lang w:bidi="ar-EG"/>
        </w:rPr>
        <w:t>.</w:t>
      </w:r>
    </w:p>
    <w:p w14:paraId="5FEDD1DD" w14:textId="61D35392" w:rsidR="00FC1B40" w:rsidRPr="00396255" w:rsidRDefault="00FC1B40"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كما تبرز أهمية الدراسة أيضاً في بعدها التطبيقي، إذ توفر نتائجها مؤشرات عملية يمكن أن يستفيد منها العاملون في الإدارات الصحية، سواء في وزارات الصحة أو في إدارات المستودعات المركزية والفرعية، وذلك في تطوير نماذج تشغيلية مستندة إلى البيانات، وبناء أطر استراتيجية رقمية مؤمنة بمبادئ إدارة المخاطر الحديثة. ويساهم هذا في دعم جهود التحول الوطني نحو نظام صحي رقمي ومستدام، يتوافق مع رؤية المملكة 2030 التي تضع التحول الرقمي والحوكمة الرشيدة في صميم أولوياتها</w:t>
      </w:r>
      <w:r w:rsidRPr="00396255">
        <w:rPr>
          <w:rFonts w:ascii="Sakkal Majalla" w:eastAsia="Calibri" w:hAnsi="Sakkal Majalla" w:cs="Sakkal Majalla"/>
          <w:color w:val="000000" w:themeColor="text1"/>
          <w:sz w:val="28"/>
          <w:szCs w:val="28"/>
          <w:lang w:bidi="ar-EG"/>
        </w:rPr>
        <w:t>.</w:t>
      </w:r>
    </w:p>
    <w:p w14:paraId="4B8878D0" w14:textId="4198EF17" w:rsidR="002F1465" w:rsidRPr="00396255" w:rsidRDefault="00FC1B40"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علاوة على ذلك، تأتي أهمية الدراسة في كونها تفتح المجال أمام الباحثين والمهنيين لتطوير أبحاث مستقبلية تستند إلى نموذج تكاملي يجمع بين التكنولوجيا والحوكمة، ويُطبق في بيئات مشابهة. كما أنها تتيح فرصة لتقييم الواقع الفعلي لكفاءة المستودعات الصحية الحكومية وقياس تأثير التدخلات الرقمية عليها، وهو ما يساهم في وضع أساس معرفي وتطبيقي يمكن البناء عليه في تحسين سلسلة الإمداد الدوائي والخدمات اللوجستية الصحية بشكل عام</w:t>
      </w:r>
      <w:r w:rsidR="00510EFA" w:rsidRPr="00396255">
        <w:rPr>
          <w:rFonts w:ascii="Sakkal Majalla" w:eastAsia="Calibri" w:hAnsi="Sakkal Majalla" w:cs="Sakkal Majalla"/>
          <w:color w:val="000000" w:themeColor="text1"/>
          <w:sz w:val="28"/>
          <w:szCs w:val="28"/>
          <w:rtl/>
          <w:lang w:bidi="ar-EG"/>
        </w:rPr>
        <w:t>.</w:t>
      </w:r>
    </w:p>
    <w:p w14:paraId="7E4EEDA2" w14:textId="3577AF2F" w:rsidR="00410DB9" w:rsidRPr="00396255" w:rsidRDefault="00A94E52"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تعتمد أهمية هذه الدراسة على إسهاماتها النظرية والتطبيقية فيما يلي:</w:t>
      </w:r>
    </w:p>
    <w:p w14:paraId="34FF5DF5" w14:textId="77777777" w:rsidR="00A94E52" w:rsidRPr="00396255" w:rsidRDefault="00A94E52"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96255">
        <w:rPr>
          <w:rFonts w:ascii="Sakkal Majalla" w:eastAsia="Calibri" w:hAnsi="Sakkal Majalla" w:cs="Sakkal Majalla"/>
          <w:b/>
          <w:bCs/>
          <w:color w:val="000000" w:themeColor="text1"/>
          <w:sz w:val="32"/>
          <w:szCs w:val="32"/>
          <w:rtl/>
          <w:lang w:bidi="ar-EG"/>
        </w:rPr>
        <w:t>الأهمية النظرية</w:t>
      </w:r>
    </w:p>
    <w:p w14:paraId="5A9EFF72" w14:textId="2F9ECFF0" w:rsidR="008C0F58" w:rsidRPr="00396255" w:rsidRDefault="008C0F58" w:rsidP="000C54A5">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توسيع القاعدة المعرفية حول العلاقة بين التحول الرقمي وإدارة المخاطر في القطاع الصحي.</w:t>
      </w:r>
    </w:p>
    <w:p w14:paraId="353B233A" w14:textId="6D3BB4C3" w:rsidR="008C0F58" w:rsidRPr="00396255" w:rsidRDefault="008C0F58" w:rsidP="000C54A5">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الإسهام في تطوير نماذج نظرية توضح آلية التكامل بين التقنية وإدارة المخاطر في بيئات المستودعات.</w:t>
      </w:r>
    </w:p>
    <w:p w14:paraId="3642D3A0" w14:textId="5FA22160" w:rsidR="008C0F58" w:rsidRPr="00396255" w:rsidRDefault="008C0F58" w:rsidP="000C54A5">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دعم أدبيات البحث في مجالات التحول الرقمي وسلسلة الإمداد الصحي وإدارة الكفاءة التشغيلية.</w:t>
      </w:r>
    </w:p>
    <w:p w14:paraId="6B47AFF4" w14:textId="3CBD8501" w:rsidR="002B3AFE" w:rsidRPr="00396255" w:rsidRDefault="008C0F58" w:rsidP="000C54A5">
      <w:pPr>
        <w:pStyle w:val="a6"/>
        <w:numPr>
          <w:ilvl w:val="0"/>
          <w:numId w:val="1"/>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توفير أساس علمي يمكن البناء عليه في دراسات مستقبلية مشابهة ضمن نطاقات مختلفة (مثل التعليم أو البلديات)</w:t>
      </w:r>
      <w:r w:rsidR="002B3AFE" w:rsidRPr="00396255">
        <w:rPr>
          <w:rFonts w:ascii="Sakkal Majalla" w:eastAsia="Calibri" w:hAnsi="Sakkal Majalla" w:cs="Sakkal Majalla"/>
          <w:color w:val="000000" w:themeColor="text1"/>
          <w:sz w:val="28"/>
          <w:szCs w:val="28"/>
          <w:lang w:bidi="ar-EG"/>
        </w:rPr>
        <w:t>.</w:t>
      </w:r>
    </w:p>
    <w:p w14:paraId="38360832" w14:textId="77777777" w:rsidR="002B3AFE" w:rsidRPr="00396255" w:rsidRDefault="002B3AFE" w:rsidP="00F76CAC">
      <w:pPr>
        <w:bidi/>
        <w:spacing w:before="100" w:beforeAutospacing="1" w:after="100" w:afterAutospacing="1" w:line="360" w:lineRule="auto"/>
        <w:jc w:val="both"/>
        <w:rPr>
          <w:rFonts w:ascii="Sakkal Majalla" w:eastAsia="Calibri" w:hAnsi="Sakkal Majalla" w:cs="Sakkal Majalla"/>
          <w:b/>
          <w:bCs/>
          <w:color w:val="000000" w:themeColor="text1"/>
          <w:sz w:val="32"/>
          <w:szCs w:val="32"/>
          <w:rtl/>
          <w:lang w:bidi="ar-EG"/>
        </w:rPr>
      </w:pPr>
      <w:r w:rsidRPr="00396255">
        <w:rPr>
          <w:rFonts w:ascii="Sakkal Majalla" w:eastAsia="Calibri" w:hAnsi="Sakkal Majalla" w:cs="Sakkal Majalla"/>
          <w:b/>
          <w:bCs/>
          <w:color w:val="000000" w:themeColor="text1"/>
          <w:sz w:val="32"/>
          <w:szCs w:val="32"/>
          <w:rtl/>
          <w:lang w:bidi="ar-EG"/>
        </w:rPr>
        <w:t>الأهمية العملية</w:t>
      </w:r>
    </w:p>
    <w:p w14:paraId="785E841B" w14:textId="4F3D37D3" w:rsidR="008C0F58" w:rsidRPr="00396255" w:rsidRDefault="008C0F58" w:rsidP="000C54A5">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lastRenderedPageBreak/>
        <w:t>تقديم حلول عملية لتحسين كفاءة إدارة المستودعات الصحية الحكومية عبر أدوات رقمية فعالة.</w:t>
      </w:r>
    </w:p>
    <w:p w14:paraId="3AB966FB" w14:textId="0D11BEFB" w:rsidR="008C0F58" w:rsidRPr="00396255" w:rsidRDefault="008C0F58" w:rsidP="000C54A5">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مساعدة صناع القرار في وضع استراتيجيات رقمية متكاملة مع خطط إدارة المخاطر.</w:t>
      </w:r>
    </w:p>
    <w:p w14:paraId="0D374806" w14:textId="1AA8F84B" w:rsidR="008C0F58" w:rsidRPr="00396255" w:rsidRDefault="008C0F58" w:rsidP="000C54A5">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دعم الجهات الحكومية في تقييم الأداء التشغيلي لمستودعاتها وتطويره بشكل مبني على بيانات وتحليلات دقيقة.</w:t>
      </w:r>
    </w:p>
    <w:p w14:paraId="7B9E161F" w14:textId="1CD2BD03" w:rsidR="00410DB9" w:rsidRPr="00396255" w:rsidRDefault="008C0F58" w:rsidP="000C54A5">
      <w:pPr>
        <w:pStyle w:val="a6"/>
        <w:numPr>
          <w:ilvl w:val="0"/>
          <w:numId w:val="2"/>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تحسين كفاءة سلسلة الإمداد الدوائي وتقليل الهدر وتحقيق الاستجابة السريعة في حالات الطوارئ الصحية</w:t>
      </w:r>
      <w:r w:rsidR="002B3AFE" w:rsidRPr="00396255">
        <w:rPr>
          <w:rFonts w:ascii="Sakkal Majalla" w:eastAsia="Calibri" w:hAnsi="Sakkal Majalla" w:cs="Sakkal Majalla"/>
          <w:color w:val="000000" w:themeColor="text1"/>
          <w:sz w:val="28"/>
          <w:szCs w:val="28"/>
          <w:rtl/>
          <w:lang w:bidi="ar-EG"/>
        </w:rPr>
        <w:t>.</w:t>
      </w:r>
    </w:p>
    <w:p w14:paraId="7AC3AE2D" w14:textId="0EA245D0" w:rsidR="00A94E52"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5" w:name="_Toc201352813"/>
      <w:bookmarkStart w:id="6" w:name="_Toc214151634"/>
      <w:r w:rsidRPr="00396255">
        <w:rPr>
          <w:rFonts w:ascii="Sakkal Majalla" w:eastAsia="Calibri" w:hAnsi="Sakkal Majalla" w:cs="Sakkal Majalla" w:hint="cs"/>
          <w:b/>
          <w:bCs/>
          <w:color w:val="000000" w:themeColor="text1"/>
          <w:sz w:val="36"/>
          <w:szCs w:val="36"/>
          <w:rtl/>
          <w:lang w:bidi="ar-EG"/>
        </w:rPr>
        <w:t xml:space="preserve">4.1 </w:t>
      </w:r>
      <w:r w:rsidR="002B3AFE" w:rsidRPr="00396255">
        <w:rPr>
          <w:rFonts w:ascii="Sakkal Majalla" w:eastAsia="Calibri" w:hAnsi="Sakkal Majalla" w:cs="Sakkal Majalla"/>
          <w:b/>
          <w:bCs/>
          <w:color w:val="000000" w:themeColor="text1"/>
          <w:sz w:val="36"/>
          <w:szCs w:val="36"/>
          <w:rtl/>
          <w:lang w:bidi="ar-EG"/>
        </w:rPr>
        <w:t>اهداف الدراسة</w:t>
      </w:r>
      <w:bookmarkEnd w:id="5"/>
      <w:bookmarkEnd w:id="6"/>
    </w:p>
    <w:p w14:paraId="3FFDEB8F" w14:textId="57B83C87" w:rsidR="002B3AFE" w:rsidRPr="00396255" w:rsidRDefault="002B3AFE"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 xml:space="preserve">تهدف الدراسة إلى معرفة مدى </w:t>
      </w:r>
      <w:r w:rsidR="008C0F58" w:rsidRPr="00396255">
        <w:rPr>
          <w:rFonts w:ascii="Sakkal Majalla" w:eastAsia="Calibri" w:hAnsi="Sakkal Majalla" w:cs="Sakkal Majalla"/>
          <w:color w:val="000000" w:themeColor="text1"/>
          <w:sz w:val="28"/>
          <w:szCs w:val="28"/>
          <w:rtl/>
          <w:lang w:bidi="ar-EG"/>
        </w:rPr>
        <w:t>دور التكامل بين التحول الرقمي وإدارة المخاطر بأبعادها المختلفة (البنية التحتية التكنولوجية، الرؤية الاستراتيجية، المهارات الرقمية، النهج المتحور حول العملاء) في تحسين كفاءة المستودعات الحكومية الصحية: دراسة تطبيقية على هيئة الهلال الأحمر</w:t>
      </w:r>
      <w:r w:rsidRPr="00396255">
        <w:rPr>
          <w:rFonts w:ascii="Sakkal Majalla" w:eastAsia="Calibri" w:hAnsi="Sakkal Majalla" w:cs="Sakkal Majalla"/>
          <w:color w:val="000000" w:themeColor="text1"/>
          <w:sz w:val="28"/>
          <w:szCs w:val="28"/>
          <w:rtl/>
          <w:lang w:bidi="ar-EG"/>
        </w:rPr>
        <w:t>، ويتفرع منه مجموعة من الأهداف الفرعية:</w:t>
      </w:r>
    </w:p>
    <w:p w14:paraId="3504FB85" w14:textId="77777777" w:rsidR="00A65A02" w:rsidRPr="00396255" w:rsidRDefault="00A65A02" w:rsidP="000C54A5">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bookmarkStart w:id="7" w:name="_Hlk202366562"/>
      <w:r w:rsidRPr="00396255">
        <w:rPr>
          <w:rFonts w:ascii="Sakkal Majalla" w:eastAsia="Calibri" w:hAnsi="Sakkal Majalla" w:cs="Sakkal Majalla"/>
          <w:color w:val="000000" w:themeColor="text1"/>
          <w:sz w:val="28"/>
          <w:szCs w:val="28"/>
          <w:rtl/>
          <w:lang w:bidi="ar-EG"/>
        </w:rPr>
        <w:t>التعرف على البنية التحتية التكنولوجية ومدى انعكاسها في تحسين كفاءة المستودعات الحكومية الصحية</w:t>
      </w:r>
      <w:r w:rsidRPr="00396255">
        <w:rPr>
          <w:rFonts w:ascii="Sakkal Majalla" w:eastAsia="Calibri" w:hAnsi="Sakkal Majalla" w:cs="Sakkal Majalla"/>
          <w:color w:val="000000" w:themeColor="text1"/>
          <w:sz w:val="28"/>
          <w:szCs w:val="28"/>
          <w:lang w:bidi="ar-EG"/>
        </w:rPr>
        <w:t>.</w:t>
      </w:r>
    </w:p>
    <w:p w14:paraId="1B31EB78" w14:textId="77777777" w:rsidR="00A65A02" w:rsidRPr="00396255" w:rsidRDefault="00A65A02" w:rsidP="000C54A5">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التعرف على الرؤية الاستراتيجية ومدى انعكاسها في تحسين كفاءة المستودعات الحكومية الصحية</w:t>
      </w:r>
      <w:r w:rsidRPr="00396255">
        <w:rPr>
          <w:rFonts w:ascii="Sakkal Majalla" w:eastAsia="Calibri" w:hAnsi="Sakkal Majalla" w:cs="Sakkal Majalla"/>
          <w:color w:val="000000" w:themeColor="text1"/>
          <w:sz w:val="28"/>
          <w:szCs w:val="28"/>
          <w:lang w:bidi="ar-EG"/>
        </w:rPr>
        <w:t>.</w:t>
      </w:r>
    </w:p>
    <w:p w14:paraId="65231F60" w14:textId="77777777" w:rsidR="00A65A02" w:rsidRPr="00396255" w:rsidRDefault="00A65A02" w:rsidP="000C54A5">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التعرف على المهارات الرقمية ومدى انعكاسها في تحسين كفاءة المستودعات الحكومية الصحية</w:t>
      </w:r>
      <w:r w:rsidRPr="00396255">
        <w:rPr>
          <w:rFonts w:ascii="Sakkal Majalla" w:eastAsia="Calibri" w:hAnsi="Sakkal Majalla" w:cs="Sakkal Majalla"/>
          <w:color w:val="000000" w:themeColor="text1"/>
          <w:sz w:val="28"/>
          <w:szCs w:val="28"/>
          <w:lang w:bidi="ar-EG"/>
        </w:rPr>
        <w:t>.</w:t>
      </w:r>
    </w:p>
    <w:p w14:paraId="512B2B23" w14:textId="0F779C57" w:rsidR="00D51F8F" w:rsidRPr="00396255" w:rsidRDefault="00A65A02" w:rsidP="000C54A5">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التعرف على النهج المتحور حول العملاء ومدى انعكاسها في تحسين كفاءة المستودعات الحكومية الصحية</w:t>
      </w:r>
      <w:r w:rsidR="00AC31BF" w:rsidRPr="00396255">
        <w:rPr>
          <w:rFonts w:ascii="Sakkal Majalla" w:eastAsia="Calibri" w:hAnsi="Sakkal Majalla" w:cs="Sakkal Majalla"/>
          <w:color w:val="000000" w:themeColor="text1"/>
          <w:sz w:val="28"/>
          <w:szCs w:val="28"/>
          <w:rtl/>
          <w:lang w:bidi="ar-EG"/>
        </w:rPr>
        <w:t>.</w:t>
      </w:r>
    </w:p>
    <w:p w14:paraId="04150CBD" w14:textId="0EF0A231" w:rsidR="00953064"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8" w:name="_Toc201352814"/>
      <w:bookmarkStart w:id="9" w:name="_Toc214151635"/>
      <w:bookmarkEnd w:id="7"/>
      <w:r w:rsidRPr="00396255">
        <w:rPr>
          <w:rFonts w:ascii="Sakkal Majalla" w:eastAsia="Calibri" w:hAnsi="Sakkal Majalla" w:cs="Sakkal Majalla" w:hint="cs"/>
          <w:b/>
          <w:bCs/>
          <w:color w:val="000000" w:themeColor="text1"/>
          <w:sz w:val="36"/>
          <w:szCs w:val="36"/>
          <w:rtl/>
          <w:lang w:bidi="ar-EG"/>
        </w:rPr>
        <w:t xml:space="preserve">5.1 </w:t>
      </w:r>
      <w:r w:rsidR="00953064" w:rsidRPr="00396255">
        <w:rPr>
          <w:rFonts w:ascii="Sakkal Majalla" w:eastAsia="Calibri" w:hAnsi="Sakkal Majalla" w:cs="Sakkal Majalla"/>
          <w:b/>
          <w:bCs/>
          <w:color w:val="000000" w:themeColor="text1"/>
          <w:sz w:val="36"/>
          <w:szCs w:val="36"/>
          <w:rtl/>
          <w:lang w:bidi="ar-EG"/>
        </w:rPr>
        <w:t>تساؤلات الدراسة</w:t>
      </w:r>
      <w:bookmarkEnd w:id="8"/>
      <w:bookmarkEnd w:id="9"/>
    </w:p>
    <w:p w14:paraId="36966223" w14:textId="6371FA03" w:rsidR="00953064" w:rsidRPr="00396255" w:rsidRDefault="00953064"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السؤال الرئيسي الأول:</w:t>
      </w:r>
      <w:r w:rsidRPr="00396255">
        <w:rPr>
          <w:rFonts w:ascii="Sakkal Majalla" w:eastAsia="Calibri" w:hAnsi="Sakkal Majalla" w:cs="Sakkal Majalla"/>
          <w:color w:val="000000" w:themeColor="text1"/>
          <w:sz w:val="28"/>
          <w:szCs w:val="28"/>
          <w:rtl/>
          <w:lang w:bidi="ar-EG"/>
        </w:rPr>
        <w:t xml:space="preserve"> ما </w:t>
      </w:r>
      <w:r w:rsidR="00A65A02" w:rsidRPr="00396255">
        <w:rPr>
          <w:rFonts w:ascii="Sakkal Majalla" w:eastAsia="Calibri" w:hAnsi="Sakkal Majalla" w:cs="Sakkal Majalla"/>
          <w:color w:val="000000" w:themeColor="text1"/>
          <w:sz w:val="28"/>
          <w:szCs w:val="28"/>
          <w:rtl/>
          <w:lang w:bidi="ar-EG"/>
        </w:rPr>
        <w:t>دور التكامل بين التحول الرقمي وإدارة المخاطر بأبعادها المختلفة (البنية التحتية التكنولوجية، الرؤية الاستراتيجية، المهارات الرقمية، النهج المتحور حول العملاء) في تحسين كفاءة المستودعات الحكومية الصحية: دراسة تطبيقية على هيئة الهلال الأحمر</w:t>
      </w:r>
      <w:r w:rsidRPr="00396255">
        <w:rPr>
          <w:rFonts w:ascii="Sakkal Majalla" w:eastAsia="Calibri" w:hAnsi="Sakkal Majalla" w:cs="Sakkal Majalla"/>
          <w:color w:val="000000" w:themeColor="text1"/>
          <w:sz w:val="28"/>
          <w:szCs w:val="28"/>
          <w:rtl/>
          <w:lang w:bidi="ar-EG"/>
        </w:rPr>
        <w:t>، وتتفرع منه عدة أسئلة فرعية كالتالي:</w:t>
      </w:r>
    </w:p>
    <w:p w14:paraId="602DCA03" w14:textId="7040B3B1" w:rsidR="00AC31BF" w:rsidRPr="00396255" w:rsidRDefault="00AC31BF" w:rsidP="000C54A5">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bookmarkStart w:id="10" w:name="_Hlk202366688"/>
      <w:r w:rsidRPr="00396255">
        <w:rPr>
          <w:rFonts w:ascii="Sakkal Majalla" w:eastAsia="Calibri" w:hAnsi="Sakkal Majalla" w:cs="Sakkal Majalla"/>
          <w:color w:val="000000" w:themeColor="text1"/>
          <w:sz w:val="28"/>
          <w:szCs w:val="28"/>
          <w:rtl/>
          <w:lang w:bidi="ar-EG"/>
        </w:rPr>
        <w:t xml:space="preserve">ما أثر التعرف على </w:t>
      </w:r>
      <w:r w:rsidR="00A65A02" w:rsidRPr="00396255">
        <w:rPr>
          <w:rFonts w:ascii="Sakkal Majalla" w:eastAsia="Calibri" w:hAnsi="Sakkal Majalla" w:cs="Sakkal Majalla"/>
          <w:color w:val="000000" w:themeColor="text1"/>
          <w:sz w:val="28"/>
          <w:szCs w:val="28"/>
          <w:rtl/>
          <w:lang w:bidi="ar-EG"/>
        </w:rPr>
        <w:t>البنية التحتية التكنولوجية ومدى انعكاسها في تحسين كفاءة المستودعات الحكومية الصحية</w:t>
      </w:r>
      <w:r w:rsidRPr="00396255">
        <w:rPr>
          <w:rFonts w:ascii="Sakkal Majalla" w:eastAsia="Calibri" w:hAnsi="Sakkal Majalla" w:cs="Sakkal Majalla"/>
          <w:color w:val="000000" w:themeColor="text1"/>
          <w:sz w:val="28"/>
          <w:szCs w:val="28"/>
          <w:rtl/>
          <w:lang w:bidi="ar-EG"/>
        </w:rPr>
        <w:t>؟</w:t>
      </w:r>
    </w:p>
    <w:p w14:paraId="57ABB7EB" w14:textId="11B5A92E" w:rsidR="00AC31BF" w:rsidRPr="00396255" w:rsidRDefault="00AC31BF" w:rsidP="000C54A5">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lastRenderedPageBreak/>
        <w:t xml:space="preserve">ما أثر التعرف على </w:t>
      </w:r>
      <w:r w:rsidR="00A65A02" w:rsidRPr="00396255">
        <w:rPr>
          <w:rFonts w:ascii="Sakkal Majalla" w:eastAsia="Calibri" w:hAnsi="Sakkal Majalla" w:cs="Sakkal Majalla"/>
          <w:color w:val="000000" w:themeColor="text1"/>
          <w:sz w:val="28"/>
          <w:szCs w:val="28"/>
          <w:rtl/>
          <w:lang w:bidi="ar-EG"/>
        </w:rPr>
        <w:t>الرؤية الاستراتيجية ومدى انعكاسها في تحسين كفاءة المستودعات الحكومية الصحية</w:t>
      </w:r>
      <w:r w:rsidRPr="00396255">
        <w:rPr>
          <w:rFonts w:ascii="Sakkal Majalla" w:eastAsia="Calibri" w:hAnsi="Sakkal Majalla" w:cs="Sakkal Majalla"/>
          <w:color w:val="000000" w:themeColor="text1"/>
          <w:sz w:val="28"/>
          <w:szCs w:val="28"/>
          <w:rtl/>
          <w:lang w:bidi="ar-EG"/>
        </w:rPr>
        <w:t>؟</w:t>
      </w:r>
    </w:p>
    <w:p w14:paraId="71BBA29C" w14:textId="62991BFD" w:rsidR="00AC31BF" w:rsidRPr="00396255" w:rsidRDefault="00AC31BF" w:rsidP="000C54A5">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 xml:space="preserve">ما أثر التعرف على </w:t>
      </w:r>
      <w:r w:rsidR="00A65A02" w:rsidRPr="00396255">
        <w:rPr>
          <w:rFonts w:ascii="Sakkal Majalla" w:eastAsia="Calibri" w:hAnsi="Sakkal Majalla" w:cs="Sakkal Majalla"/>
          <w:color w:val="000000" w:themeColor="text1"/>
          <w:sz w:val="28"/>
          <w:szCs w:val="28"/>
          <w:rtl/>
          <w:lang w:bidi="ar-EG"/>
        </w:rPr>
        <w:t>المهارات الرقمية ومدى انعكاسها في تحسين كفاءة المستودعات الحكومية الصحية</w:t>
      </w:r>
      <w:r w:rsidRPr="00396255">
        <w:rPr>
          <w:rFonts w:ascii="Sakkal Majalla" w:eastAsia="Calibri" w:hAnsi="Sakkal Majalla" w:cs="Sakkal Majalla"/>
          <w:color w:val="000000" w:themeColor="text1"/>
          <w:sz w:val="28"/>
          <w:szCs w:val="28"/>
          <w:rtl/>
          <w:lang w:bidi="ar-EG"/>
        </w:rPr>
        <w:t>؟</w:t>
      </w:r>
    </w:p>
    <w:p w14:paraId="50768245" w14:textId="7557FEDE" w:rsidR="00410DB9" w:rsidRPr="00396255" w:rsidRDefault="00AC31BF" w:rsidP="000C54A5">
      <w:pPr>
        <w:pStyle w:val="a6"/>
        <w:numPr>
          <w:ilvl w:val="0"/>
          <w:numId w:val="3"/>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 xml:space="preserve">ما أثر التعرف على </w:t>
      </w:r>
      <w:bookmarkEnd w:id="10"/>
      <w:r w:rsidR="00A65A02" w:rsidRPr="00396255">
        <w:rPr>
          <w:rFonts w:ascii="Sakkal Majalla" w:eastAsia="Calibri" w:hAnsi="Sakkal Majalla" w:cs="Sakkal Majalla"/>
          <w:color w:val="000000" w:themeColor="text1"/>
          <w:sz w:val="28"/>
          <w:szCs w:val="28"/>
          <w:rtl/>
          <w:lang w:bidi="ar-EG"/>
        </w:rPr>
        <w:t>النهج المتحور حول العملاء ومدى انعكاسها في تحسين كفاءة المستودعات الحكومية الصحية</w:t>
      </w:r>
      <w:r w:rsidR="00953064" w:rsidRPr="00396255">
        <w:rPr>
          <w:rFonts w:ascii="Sakkal Majalla" w:eastAsia="Calibri" w:hAnsi="Sakkal Majalla" w:cs="Sakkal Majalla"/>
          <w:color w:val="000000" w:themeColor="text1"/>
          <w:sz w:val="28"/>
          <w:szCs w:val="28"/>
          <w:rtl/>
          <w:lang w:bidi="ar-EG"/>
        </w:rPr>
        <w:t>؟</w:t>
      </w:r>
    </w:p>
    <w:p w14:paraId="6D708368" w14:textId="7AD9F2E8" w:rsidR="002F60B8"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1" w:name="_Toc201352815"/>
      <w:bookmarkStart w:id="12" w:name="_Toc214151636"/>
      <w:r w:rsidRPr="00396255">
        <w:rPr>
          <w:rFonts w:ascii="Sakkal Majalla" w:eastAsia="Calibri" w:hAnsi="Sakkal Majalla" w:cs="Sakkal Majalla" w:hint="cs"/>
          <w:b/>
          <w:bCs/>
          <w:color w:val="000000" w:themeColor="text1"/>
          <w:sz w:val="36"/>
          <w:szCs w:val="36"/>
          <w:rtl/>
          <w:lang w:bidi="ar-EG"/>
        </w:rPr>
        <w:t xml:space="preserve">6.1 </w:t>
      </w:r>
      <w:r w:rsidR="002F60B8" w:rsidRPr="00396255">
        <w:rPr>
          <w:rFonts w:ascii="Sakkal Majalla" w:eastAsia="Calibri" w:hAnsi="Sakkal Majalla" w:cs="Sakkal Majalla"/>
          <w:b/>
          <w:bCs/>
          <w:color w:val="000000" w:themeColor="text1"/>
          <w:sz w:val="36"/>
          <w:szCs w:val="36"/>
          <w:rtl/>
          <w:lang w:bidi="ar-EG"/>
        </w:rPr>
        <w:t>فروض الدراسة</w:t>
      </w:r>
      <w:r w:rsidR="002F60B8" w:rsidRPr="00396255">
        <w:rPr>
          <w:rFonts w:ascii="Sakkal Majalla" w:eastAsia="Calibri" w:hAnsi="Sakkal Majalla" w:cs="Sakkal Majalla"/>
          <w:b/>
          <w:bCs/>
          <w:color w:val="000000" w:themeColor="text1"/>
          <w:sz w:val="36"/>
          <w:szCs w:val="36"/>
          <w:lang w:bidi="ar-EG"/>
        </w:rPr>
        <w:t>:</w:t>
      </w:r>
      <w:bookmarkEnd w:id="11"/>
      <w:bookmarkEnd w:id="12"/>
    </w:p>
    <w:p w14:paraId="106E0DAB" w14:textId="77777777" w:rsidR="002F60B8" w:rsidRPr="00396255" w:rsidRDefault="002F60B8"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لتحقيق أهداف الدراسة والإجابة على تساؤلاتها يمكن للباحث اعتماداً على الإطار النظري المتعلق بالدراسة، واستناداً إلى نتائج الدراسات السابقة تم صياغة الفرضيات التالية</w:t>
      </w:r>
      <w:r w:rsidRPr="00396255">
        <w:rPr>
          <w:rFonts w:ascii="Sakkal Majalla" w:eastAsia="Calibri" w:hAnsi="Sakkal Majalla" w:cs="Sakkal Majalla"/>
          <w:color w:val="000000" w:themeColor="text1"/>
          <w:sz w:val="28"/>
          <w:szCs w:val="28"/>
          <w:lang w:bidi="ar-EG"/>
        </w:rPr>
        <w:t>:</w:t>
      </w:r>
    </w:p>
    <w:p w14:paraId="690F075A" w14:textId="78AF916D" w:rsidR="002F60B8" w:rsidRPr="00396255" w:rsidRDefault="002F60B8"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الفرضية الرئيسة الأول</w:t>
      </w:r>
      <w:r w:rsidRPr="00396255">
        <w:rPr>
          <w:rFonts w:ascii="Sakkal Majalla" w:eastAsia="Calibri" w:hAnsi="Sakkal Majalla" w:cs="Sakkal Majalla"/>
          <w:color w:val="000000" w:themeColor="text1"/>
          <w:sz w:val="28"/>
          <w:szCs w:val="28"/>
          <w:rtl/>
          <w:lang w:bidi="ar-EG"/>
        </w:rPr>
        <w:t xml:space="preserve">: لا يوجد أثر ذو دلالة إحصائية </w:t>
      </w:r>
      <w:r w:rsidR="00A65A02" w:rsidRPr="00396255">
        <w:rPr>
          <w:rFonts w:ascii="Sakkal Majalla" w:eastAsia="Calibri" w:hAnsi="Sakkal Majalla" w:cs="Sakkal Majalla"/>
          <w:color w:val="000000" w:themeColor="text1"/>
          <w:sz w:val="28"/>
          <w:szCs w:val="28"/>
          <w:rtl/>
          <w:lang w:bidi="ar-EG"/>
        </w:rPr>
        <w:t>لدور التكامل بين التحول الرقمي وإدارة المخاطر بأبعادها المختلفة (البنية التحتية التكنولوجية، الرؤية الاستراتيجية، المهارات الرقمية، النهج المتحور حول العملاء) في تحسين كفاءة المستودعات الحكومية الصحية: دراسة تطبيقية على هيئة الهلال الأحمر</w:t>
      </w:r>
    </w:p>
    <w:p w14:paraId="0099E450" w14:textId="68FC97F5" w:rsidR="002F60B8" w:rsidRPr="00396255" w:rsidRDefault="002F60B8" w:rsidP="000C54A5">
      <w:pPr>
        <w:bidi/>
        <w:spacing w:before="100" w:beforeAutospacing="1" w:after="100" w:afterAutospacing="1" w:line="360" w:lineRule="auto"/>
        <w:ind w:firstLine="707"/>
        <w:jc w:val="both"/>
        <w:rPr>
          <w:rFonts w:ascii="Sakkal Majalla" w:eastAsia="Calibri" w:hAnsi="Sakkal Majalla" w:cs="Sakkal Majalla"/>
          <w:b/>
          <w:bCs/>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وينبثق من هذه الفرضية الفرضيات الفرعية ال</w:t>
      </w:r>
      <w:r w:rsidR="001735A7" w:rsidRPr="00396255">
        <w:rPr>
          <w:rFonts w:ascii="Sakkal Majalla" w:eastAsia="Calibri" w:hAnsi="Sakkal Majalla" w:cs="Sakkal Majalla"/>
          <w:b/>
          <w:bCs/>
          <w:color w:val="000000" w:themeColor="text1"/>
          <w:sz w:val="28"/>
          <w:szCs w:val="28"/>
          <w:rtl/>
          <w:lang w:bidi="ar-EG"/>
        </w:rPr>
        <w:t>اربعة</w:t>
      </w:r>
      <w:r w:rsidRPr="00396255">
        <w:rPr>
          <w:rFonts w:ascii="Sakkal Majalla" w:eastAsia="Calibri" w:hAnsi="Sakkal Majalla" w:cs="Sakkal Majalla"/>
          <w:b/>
          <w:bCs/>
          <w:color w:val="000000" w:themeColor="text1"/>
          <w:sz w:val="28"/>
          <w:szCs w:val="28"/>
          <w:rtl/>
          <w:lang w:bidi="ar-EG"/>
        </w:rPr>
        <w:t xml:space="preserve"> التالية</w:t>
      </w:r>
      <w:r w:rsidRPr="00396255">
        <w:rPr>
          <w:rFonts w:ascii="Sakkal Majalla" w:eastAsia="Calibri" w:hAnsi="Sakkal Majalla" w:cs="Sakkal Majalla"/>
          <w:b/>
          <w:bCs/>
          <w:color w:val="000000" w:themeColor="text1"/>
          <w:sz w:val="28"/>
          <w:szCs w:val="28"/>
          <w:lang w:bidi="ar-EG"/>
        </w:rPr>
        <w:t>:</w:t>
      </w:r>
    </w:p>
    <w:p w14:paraId="2AD871A8" w14:textId="1F85A9AC" w:rsidR="002F60B8" w:rsidRPr="00396255" w:rsidRDefault="002F60B8" w:rsidP="000C54A5">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 xml:space="preserve">لا يوجد أثر ذو دلالة إحصائية </w:t>
      </w:r>
      <w:r w:rsidR="00A65A02" w:rsidRPr="00396255">
        <w:rPr>
          <w:rFonts w:ascii="Sakkal Majalla" w:eastAsia="Calibri" w:hAnsi="Sakkal Majalla" w:cs="Sakkal Majalla"/>
          <w:color w:val="000000" w:themeColor="text1"/>
          <w:sz w:val="28"/>
          <w:szCs w:val="28"/>
          <w:rtl/>
          <w:lang w:bidi="ar-EG"/>
        </w:rPr>
        <w:t>للبنية التحتية التكنولوجية ومدى انعكاسها في تحسين كفاءة المستودعات الحكومية الصحية</w:t>
      </w:r>
      <w:r w:rsidR="00AC31BF" w:rsidRPr="00396255">
        <w:rPr>
          <w:rFonts w:ascii="Sakkal Majalla" w:eastAsia="Calibri" w:hAnsi="Sakkal Majalla" w:cs="Sakkal Majalla"/>
          <w:color w:val="000000" w:themeColor="text1"/>
          <w:sz w:val="28"/>
          <w:szCs w:val="28"/>
          <w:rtl/>
          <w:lang w:bidi="ar-EG"/>
        </w:rPr>
        <w:t>.</w:t>
      </w:r>
      <w:r w:rsidRPr="00396255">
        <w:rPr>
          <w:rFonts w:ascii="Sakkal Majalla" w:eastAsia="Calibri" w:hAnsi="Sakkal Majalla" w:cs="Sakkal Majalla"/>
          <w:color w:val="000000" w:themeColor="text1"/>
          <w:sz w:val="28"/>
          <w:szCs w:val="28"/>
          <w:rtl/>
          <w:lang w:bidi="ar-EG"/>
        </w:rPr>
        <w:t xml:space="preserve"> </w:t>
      </w:r>
    </w:p>
    <w:p w14:paraId="4C8D1465" w14:textId="4ACBBB3C" w:rsidR="002F60B8" w:rsidRPr="00396255" w:rsidRDefault="002F60B8" w:rsidP="000C54A5">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 xml:space="preserve">لا يوجد أثر ذو دلالة إحصائية </w:t>
      </w:r>
      <w:r w:rsidR="00A65A02" w:rsidRPr="00396255">
        <w:rPr>
          <w:rFonts w:ascii="Sakkal Majalla" w:eastAsia="Calibri" w:hAnsi="Sakkal Majalla" w:cs="Sakkal Majalla"/>
          <w:color w:val="000000" w:themeColor="text1"/>
          <w:sz w:val="28"/>
          <w:szCs w:val="28"/>
          <w:rtl/>
          <w:lang w:bidi="ar-EG"/>
        </w:rPr>
        <w:t>للرؤية الاستراتيجية ومدى انعكاسها في تحسين كفاءة المستودعات الحكومية الصحية</w:t>
      </w:r>
      <w:r w:rsidR="0021216C" w:rsidRPr="00396255">
        <w:rPr>
          <w:rFonts w:ascii="Sakkal Majalla" w:eastAsia="Calibri" w:hAnsi="Sakkal Majalla" w:cs="Sakkal Majalla"/>
          <w:color w:val="000000" w:themeColor="text1"/>
          <w:sz w:val="28"/>
          <w:szCs w:val="28"/>
          <w:rtl/>
          <w:lang w:bidi="ar-EG"/>
        </w:rPr>
        <w:t>.</w:t>
      </w:r>
    </w:p>
    <w:p w14:paraId="5B544E47" w14:textId="2C2DF193" w:rsidR="002F60B8" w:rsidRPr="00396255" w:rsidRDefault="002F60B8" w:rsidP="000C54A5">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 xml:space="preserve">لا يوجد أثر ذو دلالة إحصائية </w:t>
      </w:r>
      <w:r w:rsidR="00A65A02" w:rsidRPr="00396255">
        <w:rPr>
          <w:rFonts w:ascii="Sakkal Majalla" w:eastAsia="Calibri" w:hAnsi="Sakkal Majalla" w:cs="Sakkal Majalla"/>
          <w:color w:val="000000" w:themeColor="text1"/>
          <w:sz w:val="28"/>
          <w:szCs w:val="28"/>
          <w:rtl/>
          <w:lang w:bidi="ar-EG"/>
        </w:rPr>
        <w:t>المهارات للرقمية ومدى انعكاسها في تحسين كفاءة المستودعات الحكومية الصحية</w:t>
      </w:r>
      <w:r w:rsidR="0021216C" w:rsidRPr="00396255">
        <w:rPr>
          <w:rFonts w:ascii="Sakkal Majalla" w:eastAsia="Calibri" w:hAnsi="Sakkal Majalla" w:cs="Sakkal Majalla"/>
          <w:color w:val="000000" w:themeColor="text1"/>
          <w:sz w:val="28"/>
          <w:szCs w:val="28"/>
          <w:rtl/>
          <w:lang w:bidi="ar-EG"/>
        </w:rPr>
        <w:t>.</w:t>
      </w:r>
    </w:p>
    <w:p w14:paraId="14B5D0C7" w14:textId="12A1127B" w:rsidR="00AC31BF" w:rsidRPr="00396255" w:rsidRDefault="00AC31BF" w:rsidP="000C54A5">
      <w:pPr>
        <w:pStyle w:val="a6"/>
        <w:numPr>
          <w:ilvl w:val="0"/>
          <w:numId w:val="4"/>
        </w:numPr>
        <w:bidi/>
        <w:spacing w:before="100" w:beforeAutospacing="1" w:after="100" w:afterAutospacing="1" w:line="360" w:lineRule="auto"/>
        <w:ind w:left="424"/>
        <w:contextualSpacing w:val="0"/>
        <w:jc w:val="both"/>
        <w:rPr>
          <w:rFonts w:ascii="Sakkal Majalla" w:eastAsia="Calibri" w:hAnsi="Sakkal Majalla" w:cs="Sakkal Majalla"/>
          <w:color w:val="000000" w:themeColor="text1"/>
          <w:sz w:val="28"/>
          <w:szCs w:val="28"/>
          <w:lang w:bidi="ar-EG"/>
        </w:rPr>
      </w:pPr>
      <w:r w:rsidRPr="00396255">
        <w:rPr>
          <w:rFonts w:ascii="Sakkal Majalla" w:eastAsia="Calibri" w:hAnsi="Sakkal Majalla" w:cs="Sakkal Majalla"/>
          <w:color w:val="000000" w:themeColor="text1"/>
          <w:sz w:val="28"/>
          <w:szCs w:val="28"/>
          <w:rtl/>
          <w:lang w:bidi="ar-EG"/>
        </w:rPr>
        <w:t>لا يوجد أثر ذو دلالة إحصائية</w:t>
      </w:r>
      <w:r w:rsidR="00BA4DDC" w:rsidRPr="00396255">
        <w:rPr>
          <w:rFonts w:ascii="Sakkal Majalla" w:eastAsia="Calibri" w:hAnsi="Sakkal Majalla" w:cs="Sakkal Majalla"/>
          <w:color w:val="000000" w:themeColor="text1"/>
          <w:sz w:val="28"/>
          <w:szCs w:val="28"/>
          <w:rtl/>
          <w:lang w:bidi="ar-EG"/>
        </w:rPr>
        <w:t xml:space="preserve"> </w:t>
      </w:r>
      <w:r w:rsidR="00A65A02" w:rsidRPr="00396255">
        <w:rPr>
          <w:rFonts w:ascii="Sakkal Majalla" w:eastAsia="Calibri" w:hAnsi="Sakkal Majalla" w:cs="Sakkal Majalla"/>
          <w:color w:val="000000" w:themeColor="text1"/>
          <w:sz w:val="28"/>
          <w:szCs w:val="28"/>
          <w:rtl/>
          <w:lang w:bidi="ar-EG"/>
        </w:rPr>
        <w:t>للنهج المتحور حول العملاء ومدى انعكاسها في تحسين كفاءة المستودعات الحكومية الصحية</w:t>
      </w:r>
      <w:r w:rsidR="00F96361" w:rsidRPr="00396255">
        <w:rPr>
          <w:rFonts w:ascii="Sakkal Majalla" w:eastAsia="Calibri" w:hAnsi="Sakkal Majalla" w:cs="Sakkal Majalla"/>
          <w:color w:val="000000" w:themeColor="text1"/>
          <w:sz w:val="28"/>
          <w:szCs w:val="28"/>
          <w:rtl/>
          <w:lang w:bidi="ar-EG"/>
        </w:rPr>
        <w:t>.</w:t>
      </w:r>
    </w:p>
    <w:p w14:paraId="4C4BEB62" w14:textId="4CA114EA" w:rsidR="002F60B8"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3" w:name="_Toc201352816"/>
      <w:bookmarkStart w:id="14" w:name="_Toc214151637"/>
      <w:r w:rsidRPr="00396255">
        <w:rPr>
          <w:rFonts w:ascii="Sakkal Majalla" w:eastAsia="Calibri" w:hAnsi="Sakkal Majalla" w:cs="Sakkal Majalla" w:hint="cs"/>
          <w:b/>
          <w:bCs/>
          <w:color w:val="000000" w:themeColor="text1"/>
          <w:sz w:val="36"/>
          <w:szCs w:val="36"/>
          <w:rtl/>
          <w:lang w:bidi="ar-EG"/>
        </w:rPr>
        <w:t xml:space="preserve">7.1 </w:t>
      </w:r>
      <w:r w:rsidR="002F60B8" w:rsidRPr="00396255">
        <w:rPr>
          <w:rFonts w:ascii="Sakkal Majalla" w:eastAsia="Calibri" w:hAnsi="Sakkal Majalla" w:cs="Sakkal Majalla"/>
          <w:b/>
          <w:bCs/>
          <w:color w:val="000000" w:themeColor="text1"/>
          <w:sz w:val="36"/>
          <w:szCs w:val="36"/>
          <w:rtl/>
          <w:lang w:bidi="ar-EG"/>
        </w:rPr>
        <w:t>نموذج الدراسة</w:t>
      </w:r>
      <w:r w:rsidR="002F60B8" w:rsidRPr="00396255">
        <w:rPr>
          <w:rFonts w:ascii="Sakkal Majalla" w:eastAsia="Calibri" w:hAnsi="Sakkal Majalla" w:cs="Sakkal Majalla"/>
          <w:b/>
          <w:bCs/>
          <w:color w:val="000000" w:themeColor="text1"/>
          <w:sz w:val="36"/>
          <w:szCs w:val="36"/>
          <w:lang w:bidi="ar-EG"/>
        </w:rPr>
        <w:t>:</w:t>
      </w:r>
      <w:bookmarkEnd w:id="13"/>
      <w:bookmarkEnd w:id="14"/>
    </w:p>
    <w:p w14:paraId="6756553F" w14:textId="2F4D27BB" w:rsidR="00D47753" w:rsidRPr="00396255" w:rsidRDefault="002F60B8" w:rsidP="005C278D">
      <w:pPr>
        <w:pStyle w:val="a6"/>
        <w:numPr>
          <w:ilvl w:val="0"/>
          <w:numId w:val="1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lastRenderedPageBreak/>
        <w:t>المتغير المستقل</w:t>
      </w:r>
      <w:r w:rsidRPr="00396255">
        <w:rPr>
          <w:rFonts w:ascii="Sakkal Majalla" w:eastAsia="Calibri" w:hAnsi="Sakkal Majalla" w:cs="Sakkal Majalla"/>
          <w:color w:val="000000" w:themeColor="text1"/>
          <w:sz w:val="28"/>
          <w:szCs w:val="28"/>
          <w:rtl/>
          <w:lang w:bidi="ar-EG"/>
        </w:rPr>
        <w:t xml:space="preserve">: </w:t>
      </w:r>
      <w:r w:rsidR="00A65A02" w:rsidRPr="00396255">
        <w:rPr>
          <w:rFonts w:ascii="Sakkal Majalla" w:eastAsia="Calibri" w:hAnsi="Sakkal Majalla" w:cs="Sakkal Majalla"/>
          <w:color w:val="000000" w:themeColor="text1"/>
          <w:sz w:val="28"/>
          <w:szCs w:val="28"/>
          <w:rtl/>
          <w:lang w:bidi="ar-EG"/>
        </w:rPr>
        <w:t>التحول الرقمي وإدارة المخاطر بأبعادها المختلفة (البنية التحتية التكنولوجية، الرؤية الاستراتيجية، المهارات الرقمية، النهج المتحور حول العملاء</w:t>
      </w:r>
      <w:r w:rsidR="00BA4DDC" w:rsidRPr="00396255">
        <w:rPr>
          <w:rFonts w:ascii="Sakkal Majalla" w:eastAsia="Calibri" w:hAnsi="Sakkal Majalla" w:cs="Sakkal Majalla"/>
          <w:color w:val="000000" w:themeColor="text1"/>
          <w:sz w:val="28"/>
          <w:szCs w:val="28"/>
          <w:rtl/>
          <w:lang w:bidi="ar-EG"/>
        </w:rPr>
        <w:t>)</w:t>
      </w:r>
    </w:p>
    <w:p w14:paraId="28EBBB52" w14:textId="13D48ED8" w:rsidR="00E337C0" w:rsidRPr="00396255" w:rsidRDefault="002F60B8" w:rsidP="005C278D">
      <w:pPr>
        <w:pStyle w:val="a6"/>
        <w:numPr>
          <w:ilvl w:val="0"/>
          <w:numId w:val="1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المتغير التابع</w:t>
      </w:r>
      <w:r w:rsidRPr="00396255">
        <w:rPr>
          <w:rFonts w:ascii="Sakkal Majalla" w:eastAsia="Calibri" w:hAnsi="Sakkal Majalla" w:cs="Sakkal Majalla"/>
          <w:color w:val="000000" w:themeColor="text1"/>
          <w:sz w:val="28"/>
          <w:szCs w:val="28"/>
          <w:rtl/>
          <w:lang w:bidi="ar-EG"/>
        </w:rPr>
        <w:t xml:space="preserve">: </w:t>
      </w:r>
      <w:r w:rsidR="00A65A02" w:rsidRPr="00396255">
        <w:rPr>
          <w:rFonts w:ascii="Sakkal Majalla" w:eastAsia="Calibri" w:hAnsi="Sakkal Majalla" w:cs="Sakkal Majalla"/>
          <w:color w:val="000000" w:themeColor="text1"/>
          <w:sz w:val="28"/>
          <w:szCs w:val="28"/>
          <w:rtl/>
          <w:lang w:bidi="ar-EG"/>
        </w:rPr>
        <w:t>كفاءة المستودعات الحكومية</w:t>
      </w:r>
    </w:p>
    <w:p w14:paraId="366C2763" w14:textId="06018791" w:rsidR="00947A7A" w:rsidRPr="00396255" w:rsidRDefault="000C54A5" w:rsidP="000C54A5">
      <w:pPr>
        <w:bidi/>
        <w:spacing w:before="100" w:beforeAutospacing="1" w:after="100" w:afterAutospacing="1" w:line="360" w:lineRule="auto"/>
        <w:jc w:val="center"/>
        <w:rPr>
          <w:rFonts w:ascii="Sakkal Majalla" w:eastAsia="Calibri" w:hAnsi="Sakkal Majalla" w:cs="Sakkal Majalla"/>
          <w:b/>
          <w:bCs/>
          <w:color w:val="000000" w:themeColor="text1"/>
          <w:sz w:val="28"/>
          <w:szCs w:val="28"/>
          <w:rtl/>
          <w:lang w:bidi="ar-EG"/>
        </w:rPr>
      </w:pPr>
      <w:r w:rsidRPr="00396255">
        <w:rPr>
          <w:rFonts w:ascii="Sakkal Majalla" w:eastAsia="Calibri" w:hAnsi="Sakkal Majalla" w:cs="Sakkal Majalla"/>
          <w:noProof/>
          <w:color w:val="000000" w:themeColor="text1"/>
          <w:kern w:val="0"/>
          <w:sz w:val="28"/>
          <w:szCs w:val="28"/>
        </w:rPr>
        <mc:AlternateContent>
          <mc:Choice Requires="wpg">
            <w:drawing>
              <wp:anchor distT="0" distB="0" distL="114300" distR="114300" simplePos="0" relativeHeight="251661312" behindDoc="0" locked="0" layoutInCell="1" allowOverlap="1" wp14:anchorId="1D903BF0" wp14:editId="30261975">
                <wp:simplePos x="0" y="0"/>
                <wp:positionH relativeFrom="margin">
                  <wp:align>left</wp:align>
                </wp:positionH>
                <wp:positionV relativeFrom="paragraph">
                  <wp:posOffset>213995</wp:posOffset>
                </wp:positionV>
                <wp:extent cx="5238750" cy="2324100"/>
                <wp:effectExtent l="0" t="0" r="19050" b="19050"/>
                <wp:wrapNone/>
                <wp:docPr id="1871407117" name="Group 5"/>
                <wp:cNvGraphicFramePr/>
                <a:graphic xmlns:a="http://schemas.openxmlformats.org/drawingml/2006/main">
                  <a:graphicData uri="http://schemas.microsoft.com/office/word/2010/wordprocessingGroup">
                    <wpg:wgp>
                      <wpg:cNvGrpSpPr/>
                      <wpg:grpSpPr>
                        <a:xfrm>
                          <a:off x="0" y="0"/>
                          <a:ext cx="5238750" cy="2324100"/>
                          <a:chOff x="0" y="0"/>
                          <a:chExt cx="5695950" cy="2647950"/>
                        </a:xfrm>
                      </wpg:grpSpPr>
                      <wps:wsp>
                        <wps:cNvPr id="455053129" name="Rectangle: Rounded Corners 1"/>
                        <wps:cNvSpPr/>
                        <wps:spPr>
                          <a:xfrm>
                            <a:off x="3076575" y="0"/>
                            <a:ext cx="2619375" cy="2647950"/>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39316817" name="Rectangle: Rounded Corners 1"/>
                        <wps:cNvSpPr/>
                        <wps:spPr>
                          <a:xfrm>
                            <a:off x="9525" y="561975"/>
                            <a:ext cx="2057400" cy="1476375"/>
                          </a:xfrm>
                          <a:prstGeom prst="ellipse">
                            <a:avLst/>
                          </a:prstGeom>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70575606" name="Text Box 2"/>
                        <wps:cNvSpPr txBox="1"/>
                        <wps:spPr>
                          <a:xfrm>
                            <a:off x="3333750" y="219075"/>
                            <a:ext cx="2066925" cy="228600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55869CD8" w14:textId="77777777" w:rsidR="001465F6" w:rsidRPr="00806716" w:rsidRDefault="00146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4BBFFF48" w14:textId="77777777" w:rsidR="001465F6" w:rsidRPr="00A65A02" w:rsidRDefault="001465F6" w:rsidP="00A65A02">
                              <w:pPr>
                                <w:bidi/>
                                <w:spacing w:line="259" w:lineRule="auto"/>
                                <w:ind w:left="-99"/>
                                <w:jc w:val="center"/>
                                <w:rPr>
                                  <w:rFonts w:ascii="Traditional Arabic" w:hAnsi="Traditional Arabic" w:cs="Traditional Arabic"/>
                                  <w:sz w:val="28"/>
                                  <w:szCs w:val="28"/>
                                </w:rPr>
                              </w:pPr>
                              <w:r w:rsidRPr="00A65A02">
                                <w:rPr>
                                  <w:rFonts w:ascii="Traditional Arabic" w:hAnsi="Traditional Arabic" w:cs="Traditional Arabic"/>
                                  <w:b/>
                                  <w:bCs/>
                                  <w:sz w:val="28"/>
                                  <w:szCs w:val="28"/>
                                  <w:rtl/>
                                </w:rPr>
                                <w:t xml:space="preserve">التحول الرقمي وإدارة المخاطر </w:t>
                              </w:r>
                            </w:p>
                            <w:p w14:paraId="45B5BF3F" w14:textId="77777777" w:rsidR="001465F6" w:rsidRDefault="001465F6" w:rsidP="000C54A5">
                              <w:pPr>
                                <w:pStyle w:val="a6"/>
                                <w:numPr>
                                  <w:ilvl w:val="0"/>
                                  <w:numId w:val="5"/>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البنية التحتية التكنولوجية</w:t>
                              </w:r>
                            </w:p>
                            <w:p w14:paraId="5FB606DE" w14:textId="77777777" w:rsidR="001465F6" w:rsidRDefault="001465F6" w:rsidP="000C54A5">
                              <w:pPr>
                                <w:pStyle w:val="a6"/>
                                <w:numPr>
                                  <w:ilvl w:val="0"/>
                                  <w:numId w:val="5"/>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الرؤية الاستراتيجية</w:t>
                              </w:r>
                            </w:p>
                            <w:p w14:paraId="61CB0759" w14:textId="77777777" w:rsidR="001465F6" w:rsidRDefault="001465F6" w:rsidP="000C54A5">
                              <w:pPr>
                                <w:pStyle w:val="a6"/>
                                <w:numPr>
                                  <w:ilvl w:val="0"/>
                                  <w:numId w:val="5"/>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المهارات الرقمية</w:t>
                              </w:r>
                            </w:p>
                            <w:p w14:paraId="316440C7" w14:textId="31A9FFE7" w:rsidR="001465F6" w:rsidRPr="001735A7" w:rsidRDefault="001465F6" w:rsidP="000C54A5">
                              <w:pPr>
                                <w:pStyle w:val="a6"/>
                                <w:numPr>
                                  <w:ilvl w:val="0"/>
                                  <w:numId w:val="5"/>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النهج المتحور حول العملاء</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932259579" name="Text Box 2"/>
                        <wps:cNvSpPr txBox="1"/>
                        <wps:spPr>
                          <a:xfrm>
                            <a:off x="0" y="857250"/>
                            <a:ext cx="2066925" cy="933450"/>
                          </a:xfrm>
                          <a:prstGeom prst="rect">
                            <a:avLst/>
                          </a:prstGeom>
                          <a:ln/>
                        </wps:spPr>
                        <wps:style>
                          <a:lnRef idx="2">
                            <a:schemeClr val="accent1"/>
                          </a:lnRef>
                          <a:fillRef idx="1">
                            <a:schemeClr val="lt1"/>
                          </a:fillRef>
                          <a:effectRef idx="0">
                            <a:schemeClr val="accent1"/>
                          </a:effectRef>
                          <a:fontRef idx="minor">
                            <a:schemeClr val="dk1"/>
                          </a:fontRef>
                        </wps:style>
                        <wps:txbx>
                          <w:txbxContent>
                            <w:p w14:paraId="6B72C9EE" w14:textId="77777777" w:rsidR="001465F6" w:rsidRPr="00806716" w:rsidRDefault="00146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55AA170A" w:rsidR="001465F6" w:rsidRPr="00806716" w:rsidRDefault="001465F6" w:rsidP="00A65A02">
                              <w:pPr>
                                <w:bidi/>
                                <w:jc w:val="center"/>
                                <w:rPr>
                                  <w:rFonts w:ascii="Traditional Arabic" w:hAnsi="Traditional Arabic" w:cs="Traditional Arabic"/>
                                  <w:b/>
                                  <w:bCs/>
                                  <w:sz w:val="28"/>
                                  <w:szCs w:val="28"/>
                                </w:rPr>
                              </w:pPr>
                              <w:r w:rsidRPr="00A65A02">
                                <w:rPr>
                                  <w:rFonts w:ascii="Traditional Arabic" w:hAnsi="Traditional Arabic" w:cs="Traditional Arabic"/>
                                  <w:b/>
                                  <w:bCs/>
                                  <w:sz w:val="28"/>
                                  <w:szCs w:val="28"/>
                                  <w:rtl/>
                                </w:rPr>
                                <w:t>كفاءة المستودعات الحكومية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D903BF0" id="Group 5" o:spid="_x0000_s1026" style="position:absolute;left:0;text-align:left;margin-left:0;margin-top:16.85pt;width:412.5pt;height:183pt;z-index:251661312;mso-position-horizontal:left;mso-position-horizontal-relative:margin;mso-width-relative:margin;mso-height-relative:margin" coordsize="56959,264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">
                <v:oval id="Rectangle: Rounded Corners 1" o:spid="_x0000_s1027" style="position:absolute;left:30765;width:26194;height:2647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" fillcolor="white [3201]" strokecolor="#4472c4 [3204]" strokeweight="1pt">
                  <v:stroke joinstyle="miter"/>
                </v:oval>
                <v:oval id="Rectangle: Rounded Corners 1" o:spid="_x0000_s1028" style="position:absolute;left:95;top:5619;width:20574;height:14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" fillcolor="white [3201]" strokecolor="#4472c4 [3204]" strokeweight="1pt">
                  <v:stroke joinstyle="miter"/>
                </v:oval>
                <v:shapetype id="_x0000_t202" coordsize="21600,21600" o:spt="202" path="m,l,21600r21600,l21600,xe">
                  <v:stroke joinstyle="miter"/>
                  <v:path gradientshapeok="t" o:connecttype="rect"/>
                </v:shapetype>
                <v:shape id="Text Box 2" o:spid="_x0000_s1029" type="#_x0000_t202" style="position:absolute;left:33337;top:2190;width:20669;height:228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" fillcolor="white [3201]" strokecolor="#4472c4 [3204]" strokeweight="1pt">
                  <v:textbox>
                    <w:txbxContent>
                      <w:p w14:paraId="55869CD8" w14:textId="77777777" w:rsidR="001465F6" w:rsidRPr="00806716" w:rsidRDefault="00146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المستقل</w:t>
                        </w:r>
                      </w:p>
                      <w:p w14:paraId="4BBFFF48" w14:textId="77777777" w:rsidR="001465F6" w:rsidRPr="00A65A02" w:rsidRDefault="001465F6" w:rsidP="00A65A02">
                        <w:pPr>
                          <w:bidi/>
                          <w:spacing w:line="259" w:lineRule="auto"/>
                          <w:ind w:left="-99"/>
                          <w:jc w:val="center"/>
                          <w:rPr>
                            <w:rFonts w:ascii="Traditional Arabic" w:hAnsi="Traditional Arabic" w:cs="Traditional Arabic"/>
                            <w:sz w:val="28"/>
                            <w:szCs w:val="28"/>
                          </w:rPr>
                        </w:pPr>
                        <w:r w:rsidRPr="00A65A02">
                          <w:rPr>
                            <w:rFonts w:ascii="Traditional Arabic" w:hAnsi="Traditional Arabic" w:cs="Traditional Arabic"/>
                            <w:b/>
                            <w:bCs/>
                            <w:sz w:val="28"/>
                            <w:szCs w:val="28"/>
                            <w:rtl/>
                          </w:rPr>
                          <w:t xml:space="preserve">التحول الرقمي وإدارة المخاطر </w:t>
                        </w:r>
                      </w:p>
                      <w:p w14:paraId="45B5BF3F" w14:textId="77777777" w:rsidR="001465F6" w:rsidRDefault="001465F6" w:rsidP="000C54A5">
                        <w:pPr>
                          <w:pStyle w:val="a6"/>
                          <w:numPr>
                            <w:ilvl w:val="0"/>
                            <w:numId w:val="5"/>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البنية التحتية التكنولوجية</w:t>
                        </w:r>
                      </w:p>
                      <w:p w14:paraId="5FB606DE" w14:textId="77777777" w:rsidR="001465F6" w:rsidRDefault="001465F6" w:rsidP="000C54A5">
                        <w:pPr>
                          <w:pStyle w:val="a6"/>
                          <w:numPr>
                            <w:ilvl w:val="0"/>
                            <w:numId w:val="5"/>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الرؤية الاستراتيجية</w:t>
                        </w:r>
                      </w:p>
                      <w:p w14:paraId="61CB0759" w14:textId="77777777" w:rsidR="001465F6" w:rsidRDefault="001465F6" w:rsidP="000C54A5">
                        <w:pPr>
                          <w:pStyle w:val="a6"/>
                          <w:numPr>
                            <w:ilvl w:val="0"/>
                            <w:numId w:val="5"/>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المهارات الرقمية</w:t>
                        </w:r>
                      </w:p>
                      <w:p w14:paraId="316440C7" w14:textId="31A9FFE7" w:rsidR="001465F6" w:rsidRPr="001735A7" w:rsidRDefault="001465F6" w:rsidP="000C54A5">
                        <w:pPr>
                          <w:pStyle w:val="a6"/>
                          <w:numPr>
                            <w:ilvl w:val="0"/>
                            <w:numId w:val="5"/>
                          </w:numPr>
                          <w:bidi/>
                          <w:spacing w:line="259" w:lineRule="auto"/>
                          <w:ind w:left="261"/>
                          <w:rPr>
                            <w:rFonts w:ascii="Traditional Arabic" w:hAnsi="Traditional Arabic" w:cs="Traditional Arabic"/>
                            <w:sz w:val="28"/>
                            <w:szCs w:val="28"/>
                          </w:rPr>
                        </w:pPr>
                        <w:r w:rsidRPr="00A65A02">
                          <w:rPr>
                            <w:rFonts w:ascii="Traditional Arabic" w:hAnsi="Traditional Arabic" w:cs="Traditional Arabic"/>
                            <w:sz w:val="28"/>
                            <w:szCs w:val="28"/>
                            <w:rtl/>
                          </w:rPr>
                          <w:t>النهج المتحور حول العملاء</w:t>
                        </w:r>
                      </w:p>
                    </w:txbxContent>
                  </v:textbox>
                </v:shape>
                <v:shape id="Text Box 2" o:spid="_x0000_s1030" type="#_x0000_t202" style="position:absolute;top:8572;width:20669;height:93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" fillcolor="white [3201]" strokecolor="#4472c4 [3204]" strokeweight="1pt">
                  <v:textbox>
                    <w:txbxContent>
                      <w:p w14:paraId="6B72C9EE" w14:textId="77777777" w:rsidR="001465F6" w:rsidRPr="00806716" w:rsidRDefault="001465F6" w:rsidP="002F60B8">
                        <w:pPr>
                          <w:jc w:val="center"/>
                          <w:rPr>
                            <w:rFonts w:ascii="Traditional Arabic" w:hAnsi="Traditional Arabic" w:cs="Traditional Arabic"/>
                            <w:b/>
                            <w:bCs/>
                            <w:sz w:val="28"/>
                            <w:szCs w:val="28"/>
                            <w:rtl/>
                          </w:rPr>
                        </w:pPr>
                        <w:r w:rsidRPr="00806716">
                          <w:rPr>
                            <w:rFonts w:ascii="Traditional Arabic" w:hAnsi="Traditional Arabic" w:cs="Traditional Arabic"/>
                            <w:b/>
                            <w:bCs/>
                            <w:sz w:val="28"/>
                            <w:szCs w:val="28"/>
                            <w:rtl/>
                          </w:rPr>
                          <w:t>المتغير ال</w:t>
                        </w:r>
                        <w:r>
                          <w:rPr>
                            <w:rFonts w:ascii="Traditional Arabic" w:hAnsi="Traditional Arabic" w:cs="Traditional Arabic" w:hint="cs"/>
                            <w:b/>
                            <w:bCs/>
                            <w:sz w:val="28"/>
                            <w:szCs w:val="28"/>
                            <w:rtl/>
                          </w:rPr>
                          <w:t>تابع</w:t>
                        </w:r>
                      </w:p>
                      <w:p w14:paraId="2DB9A553" w14:textId="55AA170A" w:rsidR="001465F6" w:rsidRPr="00806716" w:rsidRDefault="001465F6" w:rsidP="00A65A02">
                        <w:pPr>
                          <w:bidi/>
                          <w:jc w:val="center"/>
                          <w:rPr>
                            <w:rFonts w:ascii="Traditional Arabic" w:hAnsi="Traditional Arabic" w:cs="Traditional Arabic"/>
                            <w:b/>
                            <w:bCs/>
                            <w:sz w:val="28"/>
                            <w:szCs w:val="28"/>
                          </w:rPr>
                        </w:pPr>
                        <w:r w:rsidRPr="00A65A02">
                          <w:rPr>
                            <w:rFonts w:ascii="Traditional Arabic" w:hAnsi="Traditional Arabic" w:cs="Traditional Arabic"/>
                            <w:b/>
                            <w:bCs/>
                            <w:sz w:val="28"/>
                            <w:szCs w:val="28"/>
                            <w:rtl/>
                          </w:rPr>
                          <w:t>كفاءة المستودعات الحكومية</w:t>
                        </w:r>
                      </w:p>
                    </w:txbxContent>
                  </v:textbox>
                </v:shape>
                <w10:wrap anchorx="margin"/>
              </v:group>
            </w:pict>
          </mc:Fallback>
        </mc:AlternateContent>
      </w:r>
      <w:r w:rsidRPr="00396255">
        <w:rPr>
          <w:rFonts w:ascii="Sakkal Majalla" w:eastAsia="Calibri" w:hAnsi="Sakkal Majalla" w:cs="Sakkal Majalla" w:hint="cs"/>
          <w:b/>
          <w:bCs/>
          <w:color w:val="000000" w:themeColor="text1"/>
          <w:sz w:val="28"/>
          <w:szCs w:val="28"/>
          <w:rtl/>
          <w:lang w:bidi="ar-EG"/>
        </w:rPr>
        <w:t>الشكل رقم (1) نموذج الدراسة</w:t>
      </w:r>
    </w:p>
    <w:p w14:paraId="3AB95BBA" w14:textId="0CAA8D75" w:rsidR="00947A7A" w:rsidRPr="00396255" w:rsidRDefault="00947A7A"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2D043E0B" w14:textId="2D7F3C76" w:rsidR="00D6040F" w:rsidRPr="00396255" w:rsidRDefault="00D6040F"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16CCF3EE" w14:textId="77777777" w:rsidR="00D6040F" w:rsidRPr="00396255" w:rsidRDefault="00D6040F"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lang w:bidi="ar-EG"/>
        </w:rPr>
      </w:pPr>
    </w:p>
    <w:p w14:paraId="3F6F0D7C" w14:textId="77517CC6" w:rsidR="00D6040F"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5" w:name="_Toc201352817"/>
      <w:bookmarkStart w:id="16" w:name="_Toc214151638"/>
      <w:r w:rsidRPr="00396255">
        <w:rPr>
          <w:rFonts w:ascii="Sakkal Majalla" w:eastAsia="Calibri" w:hAnsi="Sakkal Majalla" w:cs="Sakkal Majalla" w:hint="cs"/>
          <w:b/>
          <w:bCs/>
          <w:color w:val="000000" w:themeColor="text1"/>
          <w:sz w:val="36"/>
          <w:szCs w:val="36"/>
          <w:rtl/>
          <w:lang w:bidi="ar-EG"/>
        </w:rPr>
        <w:t xml:space="preserve">8.1 </w:t>
      </w:r>
      <w:r w:rsidR="00D6040F" w:rsidRPr="00396255">
        <w:rPr>
          <w:rFonts w:ascii="Sakkal Majalla" w:eastAsia="Calibri" w:hAnsi="Sakkal Majalla" w:cs="Sakkal Majalla"/>
          <w:b/>
          <w:bCs/>
          <w:color w:val="000000" w:themeColor="text1"/>
          <w:sz w:val="36"/>
          <w:szCs w:val="36"/>
          <w:rtl/>
          <w:lang w:bidi="ar-EG"/>
        </w:rPr>
        <w:t>دراسات سابقة</w:t>
      </w:r>
      <w:bookmarkEnd w:id="15"/>
      <w:bookmarkEnd w:id="16"/>
    </w:p>
    <w:p w14:paraId="66403FD9" w14:textId="1A66AE45" w:rsidR="00A65A02" w:rsidRPr="00396255" w:rsidRDefault="00A65A02" w:rsidP="005C278D">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دراسة (الجبور، 2022) بعنوان:</w:t>
      </w:r>
      <w:r w:rsidR="000C54A5" w:rsidRPr="00396255">
        <w:rPr>
          <w:rFonts w:ascii="Sakkal Majalla" w:eastAsia="Calibri" w:hAnsi="Sakkal Majalla" w:cs="Sakkal Majalla" w:hint="cs"/>
          <w:b/>
          <w:bCs/>
          <w:color w:val="000000" w:themeColor="text1"/>
          <w:sz w:val="28"/>
          <w:szCs w:val="28"/>
          <w:rtl/>
          <w:lang w:bidi="ar-EG"/>
        </w:rPr>
        <w:t xml:space="preserve"> </w:t>
      </w:r>
      <w:r w:rsidRPr="00396255">
        <w:rPr>
          <w:rFonts w:ascii="Sakkal Majalla" w:eastAsia="Calibri" w:hAnsi="Sakkal Majalla" w:cs="Sakkal Majalla"/>
          <w:b/>
          <w:bCs/>
          <w:color w:val="000000" w:themeColor="text1"/>
          <w:sz w:val="28"/>
          <w:szCs w:val="28"/>
          <w:rtl/>
          <w:lang w:bidi="ar-EG"/>
        </w:rPr>
        <w:t>أثر التحول الرقمي في تطوير الأداء المؤسسي: دراسة حالة أمانة عمان الكبرى / الأردن</w:t>
      </w:r>
    </w:p>
    <w:p w14:paraId="49DE65F0" w14:textId="77777777" w:rsidR="00A65A02" w:rsidRPr="00396255" w:rsidRDefault="00A65A02" w:rsidP="000C54A5">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 xml:space="preserve">هدفت الدراسة إلى التعرف على أثر التحول الرقمي بأبعاده مجتمعة: (الاستراتيجية، والثقافة التنظيمية، والقيادة التحويلية، والموارد البشرية)، على تطوير الأداء المؤسسي بأبعاده مجتمعة: (الكفاءة والفعالية)، دراسة حالة: أمانة عمان الكبرى، الأردن. تم استخدام المنهج الوصفي التحليلي، وتكوّن مجتمع الدراسة من موظفي أمانة عمان الكبرى، والبالغ عددهم (12640) موظفًا وموظفة. تم توزيع الاستبانة إلكترونيًا على عينة من موظفي أمانة عمان الكبرى، بعد اختيار عينة ممثلة بالاعتماد على جدول (2000 </w:t>
      </w:r>
      <w:proofErr w:type="spellStart"/>
      <w:r w:rsidRPr="00396255">
        <w:rPr>
          <w:rFonts w:ascii="Sakkal Majalla" w:eastAsia="Calibri" w:hAnsi="Sakkal Majalla" w:cs="Sakkal Majalla"/>
          <w:color w:val="000000" w:themeColor="text1"/>
          <w:sz w:val="28"/>
          <w:szCs w:val="28"/>
          <w:lang w:bidi="ar-EG"/>
        </w:rPr>
        <w:t>Sekeran</w:t>
      </w:r>
      <w:proofErr w:type="spellEnd"/>
      <w:r w:rsidRPr="00396255">
        <w:rPr>
          <w:rFonts w:ascii="Sakkal Majalla" w:eastAsia="Calibri" w:hAnsi="Sakkal Majalla" w:cs="Sakkal Majalla"/>
          <w:color w:val="000000" w:themeColor="text1"/>
          <w:sz w:val="28"/>
          <w:szCs w:val="28"/>
          <w:rtl/>
          <w:lang w:bidi="ar-EG"/>
        </w:rPr>
        <w:t xml:space="preserve">)، بحيث بلغ عدد أفراد العينة (249) موظفًا وموظفة. تم استخدام الاستبانة كأداة لجمع بيانات الدراسة. وبعد إجراء المعالجة الإحصائية، توصلت الدراسة إلى عدد من النتائج، كان أبرزها: أن مستوى التحول الرقمي في أمانة عمان الكبرى كان في مستوى متوسط، وأن مستوى تطوير الأداء المؤسسي كان في مستوى متوسط. يوجد أثر ذو دلالة إحصائية عند مستوى دلالة (0.05) للتحول الرقمي بأبعاده الاستراتيجية، والثقافة التنظيمية، والقيادة التحويلية، والموارد البشرية، على تطوير الأداء المؤسسي بأبعاده مجتمعة: (الكفاءة والفعالية). وأوصت الدراسة بضرورة الاستفادة من تجارب الدول المتقدمة في </w:t>
      </w:r>
      <w:r w:rsidRPr="00396255">
        <w:rPr>
          <w:rFonts w:ascii="Sakkal Majalla" w:eastAsia="Calibri" w:hAnsi="Sakkal Majalla" w:cs="Sakkal Majalla"/>
          <w:color w:val="000000" w:themeColor="text1"/>
          <w:sz w:val="28"/>
          <w:szCs w:val="28"/>
          <w:rtl/>
          <w:lang w:bidi="ar-EG"/>
        </w:rPr>
        <w:lastRenderedPageBreak/>
        <w:t>مجال التحول الرقمي، مما يُمكّن من تحسين جودة الخدمات في أمانة عمان الكبرى والوزارات الحكومية الأخرى بشكل عام.</w:t>
      </w:r>
    </w:p>
    <w:p w14:paraId="44464C00" w14:textId="718AB311" w:rsidR="00A65A02" w:rsidRPr="00396255" w:rsidRDefault="00A65A02" w:rsidP="005C278D">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دراسة (مياس، 2022) بعنوان:</w:t>
      </w:r>
      <w:r w:rsidR="000C54A5" w:rsidRPr="00396255">
        <w:rPr>
          <w:rFonts w:ascii="Sakkal Majalla" w:eastAsia="Calibri" w:hAnsi="Sakkal Majalla" w:cs="Sakkal Majalla" w:hint="cs"/>
          <w:b/>
          <w:bCs/>
          <w:color w:val="000000" w:themeColor="text1"/>
          <w:sz w:val="28"/>
          <w:szCs w:val="28"/>
          <w:rtl/>
          <w:lang w:bidi="ar-EG"/>
        </w:rPr>
        <w:t xml:space="preserve"> </w:t>
      </w:r>
      <w:r w:rsidRPr="00396255">
        <w:rPr>
          <w:rFonts w:ascii="Sakkal Majalla" w:eastAsia="Calibri" w:hAnsi="Sakkal Majalla" w:cs="Sakkal Majalla"/>
          <w:b/>
          <w:bCs/>
          <w:color w:val="000000" w:themeColor="text1"/>
          <w:sz w:val="28"/>
          <w:szCs w:val="28"/>
          <w:rtl/>
          <w:lang w:bidi="ar-EG"/>
        </w:rPr>
        <w:t>أثر التحسين المستمر في التحول الرقمي: دراسة حالة دائرة الجمارك الأردنية</w:t>
      </w:r>
    </w:p>
    <w:p w14:paraId="57DE862C" w14:textId="77777777" w:rsidR="00A65A02" w:rsidRPr="00396255" w:rsidRDefault="00A65A02" w:rsidP="000C54A5">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هدفت هذه الدراسة إلى بيان أثر التحسين المستمر على التحول الرقمي، دراسة حالة دائرة الجمارك الأردنية. تضمنت الدراسة متغيرًا مستقلًا وهو التحسين المستمر بأبعاده (الإعداد، والتخطيط، والتنفيذ، والرقابة)، والمتغير التابع هو التحول الرقمي بأبعاده. وتتمثل الأبعاد في الدراسة في: البنية التحتية الرقمية، المهارات الرقمية، الخدمات المالية الرقمية، المنصات الرقمية. ولتحقيق ذلك، اعتمد الباحث على استخدام المنهج الوصفي التحليلي المناسب لطبيعة الدراسة، حيث تم تطوير استبانة كأداة لجمع البيانات. تم اختيار عينة الدراسة من الموظفين في مختلف المستويات الإدارية العليا والوسطى والتشغيلية في دائرة الجمارك الأردنية، والتي شملت (400) فردًا. وبلغ عدد الاستبانات الصالحة للتحليل (345). واستخدم الباحث الأساليب الإحصائية المناسبة من خلال برنامج (</w:t>
      </w:r>
      <w:r w:rsidRPr="00396255">
        <w:rPr>
          <w:rFonts w:ascii="Sakkal Majalla" w:eastAsia="Calibri" w:hAnsi="Sakkal Majalla" w:cs="Sakkal Majalla"/>
          <w:color w:val="000000" w:themeColor="text1"/>
          <w:sz w:val="28"/>
          <w:szCs w:val="28"/>
          <w:lang w:bidi="ar-EG"/>
        </w:rPr>
        <w:t>SPSS</w:t>
      </w:r>
      <w:r w:rsidRPr="00396255">
        <w:rPr>
          <w:rFonts w:ascii="Sakkal Majalla" w:eastAsia="Calibri" w:hAnsi="Sakkal Majalla" w:cs="Sakkal Majalla"/>
          <w:color w:val="000000" w:themeColor="text1"/>
          <w:sz w:val="28"/>
          <w:szCs w:val="28"/>
          <w:rtl/>
          <w:lang w:bidi="ar-EG"/>
        </w:rPr>
        <w:t>). وخلصت الدراسة إلى وجود أثر للتحسين المستمر بأبعاده (الإعداد، والتخطيط، والتنفيذ، والرقابة) على التحول الرقمي بأبعاده (البنية التحتية الرقمية، المهارات الرقمية، الخدمات المالية الرقمية، والمنصات الرقمية). توجد فروق في مستويات التحول الرقمي وفقًا للمؤهلات العملية، والعمر، والمسمى الوظيفي. وأوصت الدراسة بالتركيز على مرحلة الإعداد في بناء وتطوير البنية التحتية الرقمية، وإعداد الكوادر البشرية اللازمة لاستخدام البنية التحتية الرقمية في دائرة الجمارك.</w:t>
      </w:r>
    </w:p>
    <w:p w14:paraId="16DDF9DA" w14:textId="1E57C038" w:rsidR="00A65A02" w:rsidRPr="00396255" w:rsidRDefault="00A65A02" w:rsidP="005C278D">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دراسة (جرادات، 2023) بعنوان:</w:t>
      </w:r>
      <w:r w:rsidR="000C54A5" w:rsidRPr="00396255">
        <w:rPr>
          <w:rFonts w:ascii="Sakkal Majalla" w:eastAsia="Calibri" w:hAnsi="Sakkal Majalla" w:cs="Sakkal Majalla" w:hint="cs"/>
          <w:b/>
          <w:bCs/>
          <w:color w:val="000000" w:themeColor="text1"/>
          <w:sz w:val="28"/>
          <w:szCs w:val="28"/>
          <w:rtl/>
          <w:lang w:bidi="ar-EG"/>
        </w:rPr>
        <w:t xml:space="preserve"> </w:t>
      </w:r>
      <w:r w:rsidRPr="00396255">
        <w:rPr>
          <w:rFonts w:ascii="Sakkal Majalla" w:eastAsia="Calibri" w:hAnsi="Sakkal Majalla" w:cs="Sakkal Majalla"/>
          <w:b/>
          <w:bCs/>
          <w:color w:val="000000" w:themeColor="text1"/>
          <w:sz w:val="28"/>
          <w:szCs w:val="28"/>
          <w:rtl/>
          <w:lang w:bidi="ar-EG"/>
        </w:rPr>
        <w:t>التحول الرقمي وأثره في التنمية المستدامة: دراسة تحليلية لآراء عينة من موظفي شركات الاتصالات الأردنية</w:t>
      </w:r>
    </w:p>
    <w:p w14:paraId="5CC6CD00" w14:textId="77777777" w:rsidR="00A65A02" w:rsidRPr="00396255" w:rsidRDefault="00A65A02" w:rsidP="000C54A5">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 xml:space="preserve">هدفت هذه الدراسة إلى التعرف على التحول الرقمي وأثره في تحقيق التنمية المستدامة. وقد تم قياس التحول الرقمي من خلال ثلاثة أبعاد: الاستراتيجية الرقمية، والموارد البشرية الرقمية، والتكنولوجيا الرقمية. بينما اعتمدت التنمية المستدامة الأبعاد الاقتصادية والاجتماعية والبيئية. وتألف مجتمع الدراسة من العاملين في شركات الاتصالات الأردنية في الوظائف الإدارية والإشرافية والبالغ عددهم (680) موظفًا. واعتمدت الدراسة على </w:t>
      </w:r>
      <w:r w:rsidRPr="00396255">
        <w:rPr>
          <w:rFonts w:ascii="Sakkal Majalla" w:eastAsia="Calibri" w:hAnsi="Sakkal Majalla" w:cs="Sakkal Majalla"/>
          <w:color w:val="000000" w:themeColor="text1"/>
          <w:sz w:val="28"/>
          <w:szCs w:val="28"/>
          <w:rtl/>
          <w:lang w:bidi="ar-EG"/>
        </w:rPr>
        <w:lastRenderedPageBreak/>
        <w:t>المنهج الوصفي التحليلي الذي كان مناسبًا لطبيعة الدراسة. وتم استخدام الأساليب الإحصائية المناسبة من خلال برنامج (</w:t>
      </w:r>
      <w:r w:rsidRPr="00396255">
        <w:rPr>
          <w:rFonts w:ascii="Sakkal Majalla" w:eastAsia="Calibri" w:hAnsi="Sakkal Majalla" w:cs="Sakkal Majalla"/>
          <w:color w:val="000000" w:themeColor="text1"/>
          <w:sz w:val="28"/>
          <w:szCs w:val="28"/>
          <w:lang w:bidi="ar-EG"/>
        </w:rPr>
        <w:t>SPSS</w:t>
      </w:r>
      <w:r w:rsidRPr="00396255">
        <w:rPr>
          <w:rFonts w:ascii="Sakkal Majalla" w:eastAsia="Calibri" w:hAnsi="Sakkal Majalla" w:cs="Sakkal Majalla"/>
          <w:color w:val="000000" w:themeColor="text1"/>
          <w:sz w:val="28"/>
          <w:szCs w:val="28"/>
          <w:rtl/>
          <w:lang w:bidi="ar-EG"/>
        </w:rPr>
        <w:t>). وتم توزيع (350) استبانة، وبلغ عدد المستجيبين (268) موظفًا، شكلوا عينة الدراسة بمعدل استجابة يقارب (77). وتم اعتماد آلية التوزيع الإلكتروني. وخلصت الدراسة إلى وجود أثر إيجابي للتحول الرقمي بكافة أبعاده على التنمية المستدامة بكافة أبعادها من وجهة نظر العاملين في شركات الاتصالات الأردنية. وقد بلغ مستوى تطبيق واهتمام شركات الاتصالات الأردنية بكل من التحول الرقمي والتنمية المستدامة قيمة عالية. وخلصت الدراسة إلى ضرورة استمرار شركات الاتصالات الأردنية في عملية التحول الرقمي، ومواصلة العمل على تطويرها بما يتسق مع التغيرات الرقمية والمهام المطلوبة، ومواصلة جهود الإدارة العليا للشركات للمساهمة بشكل مباشر في جهود التنمية المستدامة.</w:t>
      </w:r>
    </w:p>
    <w:p w14:paraId="6B0FEAA6" w14:textId="0F96C76F" w:rsidR="00A65A02" w:rsidRPr="00396255" w:rsidRDefault="00A65A02" w:rsidP="005C278D">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دراسة (خطيب، 2022) بعنوان:</w:t>
      </w:r>
      <w:r w:rsidR="000C54A5" w:rsidRPr="00396255">
        <w:rPr>
          <w:rFonts w:ascii="Sakkal Majalla" w:eastAsia="Calibri" w:hAnsi="Sakkal Majalla" w:cs="Sakkal Majalla" w:hint="cs"/>
          <w:b/>
          <w:bCs/>
          <w:color w:val="000000" w:themeColor="text1"/>
          <w:sz w:val="28"/>
          <w:szCs w:val="28"/>
          <w:rtl/>
          <w:lang w:bidi="ar-EG"/>
        </w:rPr>
        <w:t xml:space="preserve"> </w:t>
      </w:r>
      <w:r w:rsidRPr="00396255">
        <w:rPr>
          <w:rFonts w:ascii="Sakkal Majalla" w:eastAsia="Calibri" w:hAnsi="Sakkal Majalla" w:cs="Sakkal Majalla"/>
          <w:b/>
          <w:bCs/>
          <w:color w:val="000000" w:themeColor="text1"/>
          <w:sz w:val="28"/>
          <w:szCs w:val="28"/>
          <w:rtl/>
          <w:lang w:bidi="ar-EG"/>
        </w:rPr>
        <w:t>القدرات الديناميكية وأثرها في التحول الرقمي: الدور المعدل لإدارة علاقات العملاء الإلكترونية والتجديد الاستراتيجي كمتغير وسيط في الجامعات الفلسطينية</w:t>
      </w:r>
    </w:p>
    <w:p w14:paraId="5CA9DBE9" w14:textId="77777777" w:rsidR="00A65A02" w:rsidRPr="00396255" w:rsidRDefault="00A65A02" w:rsidP="000C54A5">
      <w:pPr>
        <w:pStyle w:val="a6"/>
        <w:tabs>
          <w:tab w:val="left" w:pos="-1"/>
        </w:tabs>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 xml:space="preserve">هدفت الدراسة إلى بيان أثر القدرات الديناميكية بأبعادها (قدرات الاستشعار، وقدرات التعلم، وقدرات التكامل، وقدرات التنسيق) على التحول الرقمي بأبعاده (التمكين الرقمي، وتوليد القيمة، والتغييرات الهيكلية، والقيادة الرقمية، والتشغيل الرقمي المرن، وتنفيذ استراتيجية الأعمال الرقمية) في ضوء إدارة علاقات العملاء الإلكترونية كمتغير مُعدل، والتجديد الاستراتيجي كمتغير وسيط، في الجامعات الفلسطينية. ولتحقيق أهداف هذه الدراسة والإجابة على أسئلتها، اعتمدت الدراسة على المنهج الكمي (الوصفي التحليلي) من خلال الاستبانة كأداة لجمع البيانات الأولية. وتكوّن مجتمع الدراسة من جميع الجامعات الفلسطينية في الضفة الغربية وقطاع غزة، الحكومية والخاصة، بشقيها التقليدي والمفتوح، والبالغ عددها (18) جامعة. وتمثلت وحدة العينة في القيادات والمديرين من مستويات الإدارة "العليا والوسطى" في الجامعات الفلسطينية، والبالغ عددهم (313). بتوزيع استبيان إلكتروني مُصمم وفقًا لمقياس </w:t>
      </w:r>
      <w:proofErr w:type="spellStart"/>
      <w:r w:rsidRPr="00396255">
        <w:rPr>
          <w:rFonts w:ascii="Sakkal Majalla" w:eastAsia="Calibri" w:hAnsi="Sakkal Majalla" w:cs="Sakkal Majalla"/>
          <w:color w:val="000000" w:themeColor="text1"/>
          <w:sz w:val="28"/>
          <w:szCs w:val="28"/>
          <w:rtl/>
          <w:lang w:bidi="ar-EG"/>
        </w:rPr>
        <w:t>ليكرت</w:t>
      </w:r>
      <w:proofErr w:type="spellEnd"/>
      <w:r w:rsidRPr="00396255">
        <w:rPr>
          <w:rFonts w:ascii="Sakkal Majalla" w:eastAsia="Calibri" w:hAnsi="Sakkal Majalla" w:cs="Sakkal Majalla"/>
          <w:color w:val="000000" w:themeColor="text1"/>
          <w:sz w:val="28"/>
          <w:szCs w:val="28"/>
          <w:rtl/>
          <w:lang w:bidi="ar-EG"/>
        </w:rPr>
        <w:t xml:space="preserve"> سباعي الدرجات، وباستخدام أسلوب العينة العشوائية الطبقية المتناسبة، استخدمت الدراسة برنامج الحزمة الإحصائية للعلوم الاجتماعية (</w:t>
      </w:r>
      <w:r w:rsidRPr="00396255">
        <w:rPr>
          <w:rFonts w:ascii="Sakkal Majalla" w:eastAsia="Calibri" w:hAnsi="Sakkal Majalla" w:cs="Sakkal Majalla"/>
          <w:color w:val="000000" w:themeColor="text1"/>
          <w:sz w:val="28"/>
          <w:szCs w:val="28"/>
          <w:lang w:bidi="ar-EG"/>
        </w:rPr>
        <w:t>SPSS</w:t>
      </w:r>
      <w:r w:rsidRPr="00396255">
        <w:rPr>
          <w:rFonts w:ascii="Sakkal Majalla" w:eastAsia="Calibri" w:hAnsi="Sakkal Majalla" w:cs="Sakkal Majalla"/>
          <w:color w:val="000000" w:themeColor="text1"/>
          <w:sz w:val="28"/>
          <w:szCs w:val="28"/>
          <w:rtl/>
          <w:lang w:bidi="ar-EG"/>
        </w:rPr>
        <w:t xml:space="preserve">) لتحليل البيانات. وخلصت الدراسة إلى مجموعة من النتائج، أهمها: ارتفاع مستوى القدرات الديناميكية، والابتكار الاستراتيجي، والتحول الرقمي، وإدارة علاقات العملاء الإلكترونية في الجامعات الفلسطينية. كما أظهرت الدراسة وجود أثر ذي دلالة إحصائية للقدرات الديناميكية على التحول الرقمي والابتكار الاستراتيجي. كما أظهرت الدراسة وجود أثر ذي دلالة إحصائية للابتكار </w:t>
      </w:r>
      <w:r w:rsidRPr="00396255">
        <w:rPr>
          <w:rFonts w:ascii="Sakkal Majalla" w:eastAsia="Calibri" w:hAnsi="Sakkal Majalla" w:cs="Sakkal Majalla"/>
          <w:color w:val="000000" w:themeColor="text1"/>
          <w:sz w:val="28"/>
          <w:szCs w:val="28"/>
          <w:rtl/>
          <w:lang w:bidi="ar-EG"/>
        </w:rPr>
        <w:lastRenderedPageBreak/>
        <w:t>الاستراتيجي على التحول الرقمي. كما أظهرت نتائج الدراسة أن المتغير المُعدل "إدارة علاقات العملاء الإلكترونية" قد حسّن بشكل ملحوظ من تأثير القدرات الديناميكية على التحول الرقمي. كما أظهرت نتائج الدراسة وجود أثر إيجابي للابتكار الاستراتيجي في الجامعات الفلسطينية كمتغير وسيط بين القدرات الديناميكية والتحول الرقمي في الجامعات الفلسطينية. كما توصلت الدراسة إلى عدد من التوصيات، أبرزها: اقترحت الدراسة مقاربة للقدرات الديناميكية في القطاع الجامعي الفلسطيني، تقوم على "تكامل الحلول من منظور شامل لا جزئي"، بالإضافة إلى تفعيل المواطنة الوظيفية من خلال تشكيل مجموعات المعرفة وحلقات الجودة، والاعتماد على منظور العدسات الاستراتيجية في التجديد الاستراتيجي (منظور الأنظمة الاجتماعية والتقنية، ومنظور نموذج الأعمال الإلكتروني الديناميكي). وفي مجال إدارة علاقات العملاء الإلكترونية، أوصت الدراسة بتحويل تجربة العميل إلى تجربة أكثر رقمية بالاعتماد على أنظمة التعلم الآلي، وتطبيقات ومنصات برامج الولاء، والويب الدلالي.</w:t>
      </w:r>
    </w:p>
    <w:p w14:paraId="5F63DDC8" w14:textId="7CE903AF" w:rsidR="00A65A02" w:rsidRPr="00396255" w:rsidRDefault="00A65A02" w:rsidP="005C278D">
      <w:pPr>
        <w:pStyle w:val="a6"/>
        <w:numPr>
          <w:ilvl w:val="0"/>
          <w:numId w:val="10"/>
        </w:numPr>
        <w:bidi/>
        <w:spacing w:before="100" w:beforeAutospacing="1" w:after="100" w:afterAutospacing="1" w:line="360" w:lineRule="auto"/>
        <w:ind w:left="424"/>
        <w:contextualSpacing w:val="0"/>
        <w:jc w:val="both"/>
        <w:rPr>
          <w:rFonts w:ascii="Sakkal Majalla" w:eastAsia="Calibri" w:hAnsi="Sakkal Majalla" w:cs="Sakkal Majalla"/>
          <w:b/>
          <w:bCs/>
          <w:color w:val="000000" w:themeColor="text1"/>
          <w:sz w:val="28"/>
          <w:szCs w:val="28"/>
          <w:rtl/>
          <w:lang w:bidi="ar-EG"/>
        </w:rPr>
      </w:pPr>
      <w:r w:rsidRPr="00396255">
        <w:rPr>
          <w:rFonts w:ascii="Sakkal Majalla" w:eastAsia="Calibri" w:hAnsi="Sakkal Majalla" w:cs="Sakkal Majalla"/>
          <w:b/>
          <w:bCs/>
          <w:color w:val="000000" w:themeColor="text1"/>
          <w:sz w:val="28"/>
          <w:szCs w:val="28"/>
          <w:rtl/>
          <w:lang w:bidi="ar-EG"/>
        </w:rPr>
        <w:t>دراسة (المومني، 2024) بعنوان:</w:t>
      </w:r>
      <w:r w:rsidR="000C54A5" w:rsidRPr="00396255">
        <w:rPr>
          <w:rFonts w:ascii="Sakkal Majalla" w:eastAsia="Calibri" w:hAnsi="Sakkal Majalla" w:cs="Sakkal Majalla" w:hint="cs"/>
          <w:b/>
          <w:bCs/>
          <w:color w:val="000000" w:themeColor="text1"/>
          <w:sz w:val="28"/>
          <w:szCs w:val="28"/>
          <w:rtl/>
          <w:lang w:bidi="ar-EG"/>
        </w:rPr>
        <w:t xml:space="preserve"> </w:t>
      </w:r>
      <w:r w:rsidRPr="00396255">
        <w:rPr>
          <w:rFonts w:ascii="Sakkal Majalla" w:eastAsia="Calibri" w:hAnsi="Sakkal Majalla" w:cs="Sakkal Majalla"/>
          <w:b/>
          <w:bCs/>
          <w:color w:val="000000" w:themeColor="text1"/>
          <w:sz w:val="28"/>
          <w:szCs w:val="28"/>
          <w:rtl/>
          <w:lang w:bidi="ar-EG"/>
        </w:rPr>
        <w:t>أثر التحول الرقمي في تطوير الأداء المؤسسي: دراسة تطبيقية على المنظمات الدولية في الأردن</w:t>
      </w:r>
    </w:p>
    <w:p w14:paraId="65007220" w14:textId="0E68A3E2" w:rsidR="00EB2685" w:rsidRPr="00396255" w:rsidRDefault="00A65A02" w:rsidP="000C54A5">
      <w:pPr>
        <w:pStyle w:val="a6"/>
        <w:bidi/>
        <w:spacing w:before="100" w:beforeAutospacing="1" w:after="100" w:afterAutospacing="1" w:line="360" w:lineRule="auto"/>
        <w:ind w:left="-1" w:firstLine="708"/>
        <w:contextualSpacing w:val="0"/>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هدفت الدراسة بشكل رئيسي إلى التعرف على أثر التحول الرقمي على تطوير الأداء المؤسسي في المنظمات الدولية العاملة في الأردن. ولتحقيق هذا الهدف، تم استخدام المنهج الوصفي التحليلي لقياس التحول الرقمي من خلال أربعة أبعاد: البنية التحتية التكنولوجية، والتشريعات والسياسات، والمهارات الرقمية، وتوفر التمويل اللازم. كما تم قياس الأداء المؤسسي من خلال ثلاثة أبعاد: الأداء الإداري، والأداء الاجتماعي، والأداء الاقتصادي. وتم استخدام استبانة لجمع البيانات. وبلغ عدد المنظمات الدولية وعينة الدراسة من الموظفين في المنظمات الدولية 200 موظف. وتم تحليل البيانات باستخدام برنامج التحليل الإحصائي (</w:t>
      </w:r>
      <w:r w:rsidRPr="00396255">
        <w:rPr>
          <w:rFonts w:ascii="Sakkal Majalla" w:eastAsia="Calibri" w:hAnsi="Sakkal Majalla" w:cs="Sakkal Majalla"/>
          <w:color w:val="000000" w:themeColor="text1"/>
          <w:sz w:val="28"/>
          <w:szCs w:val="28"/>
          <w:lang w:bidi="ar-EG"/>
        </w:rPr>
        <w:t>SPSS</w:t>
      </w:r>
      <w:r w:rsidRPr="00396255">
        <w:rPr>
          <w:rFonts w:ascii="Sakkal Majalla" w:eastAsia="Calibri" w:hAnsi="Sakkal Majalla" w:cs="Sakkal Majalla"/>
          <w:color w:val="000000" w:themeColor="text1"/>
          <w:sz w:val="28"/>
          <w:szCs w:val="28"/>
          <w:rtl/>
          <w:lang w:bidi="ar-EG"/>
        </w:rPr>
        <w:t>). وأظهرت نتائج الدراسة وجود أثر ذي دلالة إحصائية عند مستوى دلالة (0.05) للتحول الرقمي بأبعاده: البنية التحتية التكنولوجية، والتشريعات والسياسات، والمهارات الرقمية، وتوفر التمويل اللازم في تطوير الأداء المؤسسي للمنظمات الدولية العاملة في الأردن. وبناءً على نتائج الدراسة، تم تقديم توصيات أهمها: ضرورة توفير الدعم اللازم للموظفين وتوعيتهم بأهمية التحول الرقمي وفوائده. ويجب أيضًا أن يكون هناك تواصل فعال وشفاف مع الموظفين ويجب تشجيعهم على المشاركة وتقديم التعليقات والاقتراحات.</w:t>
      </w:r>
    </w:p>
    <w:p w14:paraId="41AF406A" w14:textId="0F7FA59B" w:rsidR="00755C2B"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7" w:name="_Toc201352818"/>
      <w:bookmarkStart w:id="18" w:name="_Toc214151639"/>
      <w:r w:rsidRPr="00396255">
        <w:rPr>
          <w:rFonts w:ascii="Sakkal Majalla" w:eastAsia="Calibri" w:hAnsi="Sakkal Majalla" w:cs="Sakkal Majalla" w:hint="cs"/>
          <w:b/>
          <w:bCs/>
          <w:color w:val="000000" w:themeColor="text1"/>
          <w:sz w:val="36"/>
          <w:szCs w:val="36"/>
          <w:rtl/>
          <w:lang w:bidi="ar-EG"/>
        </w:rPr>
        <w:lastRenderedPageBreak/>
        <w:t xml:space="preserve">9.1 </w:t>
      </w:r>
      <w:r w:rsidR="00086EC7" w:rsidRPr="00396255">
        <w:rPr>
          <w:rFonts w:ascii="Sakkal Majalla" w:eastAsia="Calibri" w:hAnsi="Sakkal Majalla" w:cs="Sakkal Majalla"/>
          <w:b/>
          <w:bCs/>
          <w:color w:val="000000" w:themeColor="text1"/>
          <w:sz w:val="36"/>
          <w:szCs w:val="36"/>
          <w:rtl/>
          <w:lang w:bidi="ar-EG"/>
        </w:rPr>
        <w:t>الفجوة البحثية</w:t>
      </w:r>
      <w:bookmarkEnd w:id="17"/>
      <w:bookmarkEnd w:id="18"/>
    </w:p>
    <w:p w14:paraId="48BA7FF3" w14:textId="430ECFF1" w:rsidR="00A65A02" w:rsidRPr="00396255" w:rsidRDefault="00A65A02"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على الرغم من تنوع الدراسات السابقة في تناول موضوع التحول الرقمي وأثره في مختلف المجالات، إلا أنها لم تتناول بعمق موضوع التكامل بين التحول الرقمي وإدارة المخاطر كمنهج مزدوج لتحسين كفاءة المستودعات الحكومية الصحية، وهو ما يشكل الفجوة البحثية الرئيسية التي تسعى الدراسة الحالية إلى سدّها. فقد ركزت دراسة (الجبور، 2022) على أثر التحول الرقمي في تطوير الأداء المؤسسي ضمن أمانة عمان الكبرى، متناولة أبعاد التحول الرقمي كالاستراتيجية والثقافة التنظيمية والموارد البشرية، لكنها لم تتطرق إلى بيئة المستودعات أو المخاطر التشغيلية التي تؤثر على كفاءة التخزين والإمداد في القطاع الصحي، كما لم تناقش دور إدارة المخاطر كرافعة داعمة للتحول الرقمي</w:t>
      </w:r>
      <w:r w:rsidRPr="00396255">
        <w:rPr>
          <w:rFonts w:ascii="Sakkal Majalla" w:eastAsia="Calibri" w:hAnsi="Sakkal Majalla" w:cs="Sakkal Majalla"/>
          <w:color w:val="000000" w:themeColor="text1"/>
          <w:sz w:val="28"/>
          <w:szCs w:val="28"/>
          <w:lang w:bidi="ar-EG"/>
        </w:rPr>
        <w:t>.</w:t>
      </w:r>
    </w:p>
    <w:p w14:paraId="59BDDEDC" w14:textId="2A4C1F74" w:rsidR="00A65A02" w:rsidRPr="00396255" w:rsidRDefault="00A65A02"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كذلك، فإن دراسة (مياس، 2022) ركزت على التحسين المستمر كمحرك للتحول الرقمي داخل دائرة الجمارك، ما يعكس اهتمامًا بتطوير القدرات الرقمية التنظيمية، لكنها اقتصرت على نطاق الخدمات المالية والمنصات الرقمية دون ربط ذلك بتحديات إدارة المخاطر أو الجوانب التشغيلية اللوجستية في المؤسسات الصحية، خاصة تلك التي تتعامل مع المستودعات الحكومية</w:t>
      </w:r>
      <w:r w:rsidRPr="00396255">
        <w:rPr>
          <w:rFonts w:ascii="Sakkal Majalla" w:eastAsia="Calibri" w:hAnsi="Sakkal Majalla" w:cs="Sakkal Majalla"/>
          <w:color w:val="000000" w:themeColor="text1"/>
          <w:sz w:val="28"/>
          <w:szCs w:val="28"/>
          <w:lang w:bidi="ar-EG"/>
        </w:rPr>
        <w:t>.</w:t>
      </w:r>
    </w:p>
    <w:p w14:paraId="0D9D3C34" w14:textId="455F62E2" w:rsidR="00A65A02" w:rsidRPr="00396255" w:rsidRDefault="00A65A02"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أما دراسة (جرادات، 2023)، فقد تناولت التحول الرقمي في سياق التنمية المستدامة لدى شركات الاتصالات، مما يجعل سياقها مختلفًا تمامًا من حيث الأهداف، البيئة التشغيلية، ونوع الموارد المُدارة. وعلى الرغم من أهمية البُعد البيئي والاقتصادي في هذه الدراسة، إلا أنها لم تتطرق إلى العمليات اللوجستية أو كيفية إدارة مخاطر التوريد والتخزين في القطاع الحكومي</w:t>
      </w:r>
      <w:r w:rsidRPr="00396255">
        <w:rPr>
          <w:rFonts w:ascii="Sakkal Majalla" w:eastAsia="Calibri" w:hAnsi="Sakkal Majalla" w:cs="Sakkal Majalla"/>
          <w:color w:val="000000" w:themeColor="text1"/>
          <w:sz w:val="28"/>
          <w:szCs w:val="28"/>
          <w:lang w:bidi="ar-EG"/>
        </w:rPr>
        <w:t>.</w:t>
      </w:r>
    </w:p>
    <w:p w14:paraId="07767903" w14:textId="77614559" w:rsidR="00A65A02" w:rsidRPr="00396255" w:rsidRDefault="00A65A02"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وفي السياق نفسه، ركزت دراسة (خطيب، 2022) على القدرات الديناميكية ودورها في التحول الرقمي للجامعات الفلسطينية، وقدمت أطرًا تحليلية مهمة حول التمكين الرقمي والابتكار، لكنها لم تربط بين التحول الرقمي وإدارة المخاطر كوحدة تكاملية واحدة، ولم تدرس كيفية تأثير هذا التلازم على فعالية الأداء التشغيلي في المرافق الحيوية كمستودعات الأدوية أو الإمداد الطبي</w:t>
      </w:r>
      <w:r w:rsidRPr="00396255">
        <w:rPr>
          <w:rFonts w:ascii="Sakkal Majalla" w:eastAsia="Calibri" w:hAnsi="Sakkal Majalla" w:cs="Sakkal Majalla"/>
          <w:color w:val="000000" w:themeColor="text1"/>
          <w:sz w:val="28"/>
          <w:szCs w:val="28"/>
          <w:lang w:bidi="ar-EG"/>
        </w:rPr>
        <w:t>.</w:t>
      </w:r>
    </w:p>
    <w:p w14:paraId="7D09D9CB" w14:textId="69AE71F2" w:rsidR="00A65A02" w:rsidRPr="00396255" w:rsidRDefault="00A65A02"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lastRenderedPageBreak/>
        <w:t>كما تناولت دراسة (المومني، 2024) أثر التحول الرقمي على الأداء المؤسسي في المنظمات الدولية، من خلال أبعاد مثل البنية التحتية والمهارات والتشريعات، لكن دون التطرق للمجال الصحي أو لدور إدارة المخاطر في تحسين أداء العمليات التشغيلية واللوجستية. تركز الدراسة الحالية على مؤسسة صحية حكومية (هيئة الهلال الأحمر) تمتلك مستودعات طبية وتواجه تحديات تتعلق بتعقيد سلاسل الإمداد، وتأخر الاستجابات الطارئة، واحتمالات تلف أو فقدان الأدوية بسبب ضعف نظم التحكم والمراقبة</w:t>
      </w:r>
      <w:r w:rsidRPr="00396255">
        <w:rPr>
          <w:rFonts w:ascii="Sakkal Majalla" w:eastAsia="Calibri" w:hAnsi="Sakkal Majalla" w:cs="Sakkal Majalla"/>
          <w:color w:val="000000" w:themeColor="text1"/>
          <w:sz w:val="28"/>
          <w:szCs w:val="28"/>
          <w:lang w:bidi="ar-EG"/>
        </w:rPr>
        <w:t>.</w:t>
      </w:r>
    </w:p>
    <w:p w14:paraId="52A22D71" w14:textId="7DF53568" w:rsidR="00C245EF" w:rsidRPr="00396255" w:rsidRDefault="00A65A02"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بالتالي، تتمثل الفجوة البحثية الجوهرية في غياب دراسات تطبيقية تدمج بين التحول الرقمي وإدارة المخاطر ضمن نموذج موحد، لدراسة أثر هذا التكامل على كفاءة المستودعات الحكومية الصحية. الدراسة الحالية لا تقتصر على التحول الرقمي كمفهوم تقني ولا على إدارة المخاطر كأداة رقابية، بل تسعى لبحث التكامل بينهما في سبيل تعزيز كفاءة الأداء التشغيلي لمرافق صحية حيوية ترتبط بالأمن الدوائي والجاهزية اللوجستية وقت الأزمات. ومن هنا تأتي أهمية الدراسة الحالية في كونها تقدم مقاربة جديدة تربط بين البعدين وتفتح أفقًا بحثيًا مهمًا لم تتم معالجته بعمق في الأدبيات السابقة</w:t>
      </w:r>
      <w:r w:rsidR="00BC2986" w:rsidRPr="00396255">
        <w:rPr>
          <w:rFonts w:ascii="Sakkal Majalla" w:eastAsia="Calibri" w:hAnsi="Sakkal Majalla" w:cs="Sakkal Majalla"/>
          <w:color w:val="000000" w:themeColor="text1"/>
          <w:sz w:val="28"/>
          <w:szCs w:val="28"/>
          <w:rtl/>
          <w:lang w:bidi="ar-EG"/>
        </w:rPr>
        <w:t>.</w:t>
      </w:r>
    </w:p>
    <w:p w14:paraId="7F749EA7" w14:textId="1C67667D" w:rsidR="00086EC7" w:rsidRPr="00396255" w:rsidRDefault="000C54A5" w:rsidP="000C54A5">
      <w:pPr>
        <w:bidi/>
        <w:spacing w:before="100" w:beforeAutospacing="1" w:after="100" w:afterAutospacing="1" w:line="360" w:lineRule="auto"/>
        <w:jc w:val="both"/>
        <w:outlineLvl w:val="1"/>
        <w:rPr>
          <w:rFonts w:ascii="Sakkal Majalla" w:eastAsia="Calibri" w:hAnsi="Sakkal Majalla" w:cs="Sakkal Majalla"/>
          <w:b/>
          <w:bCs/>
          <w:color w:val="000000" w:themeColor="text1"/>
          <w:sz w:val="36"/>
          <w:szCs w:val="36"/>
          <w:rtl/>
          <w:lang w:bidi="ar-EG"/>
        </w:rPr>
      </w:pPr>
      <w:bookmarkStart w:id="19" w:name="_Toc201352819"/>
      <w:bookmarkStart w:id="20" w:name="_Toc214151640"/>
      <w:r w:rsidRPr="00396255">
        <w:rPr>
          <w:rFonts w:ascii="Sakkal Majalla" w:eastAsia="Calibri" w:hAnsi="Sakkal Majalla" w:cs="Sakkal Majalla" w:hint="cs"/>
          <w:b/>
          <w:bCs/>
          <w:color w:val="000000" w:themeColor="text1"/>
          <w:sz w:val="36"/>
          <w:szCs w:val="36"/>
          <w:rtl/>
          <w:lang w:bidi="ar-EG"/>
        </w:rPr>
        <w:t xml:space="preserve">10.1 </w:t>
      </w:r>
      <w:r w:rsidR="00086EC7" w:rsidRPr="00396255">
        <w:rPr>
          <w:rFonts w:ascii="Sakkal Majalla" w:eastAsia="Calibri" w:hAnsi="Sakkal Majalla" w:cs="Sakkal Majalla"/>
          <w:b/>
          <w:bCs/>
          <w:color w:val="000000" w:themeColor="text1"/>
          <w:sz w:val="36"/>
          <w:szCs w:val="36"/>
          <w:rtl/>
          <w:lang w:bidi="ar-EG"/>
        </w:rPr>
        <w:t>المنطلقات النظرية للدراسة</w:t>
      </w:r>
      <w:bookmarkEnd w:id="19"/>
      <w:bookmarkEnd w:id="20"/>
    </w:p>
    <w:p w14:paraId="31C3753F" w14:textId="56DACAB1" w:rsidR="00947A7A" w:rsidRPr="00396255" w:rsidRDefault="00947A7A"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تستند الدراسة المعنونة بـ "دور التكامل بين التحول الرقمي وإدارة المخاطر في تحسين كفاءة المستودعات الحكومية الصحية" إلى مجموعة من المنطلقات النظرية التي تشكل الإطار المفاهيمي الذي يُبنى عليه تحليل الظاهرة المدروسة، وفهم علاقات التأثير المتبادل بين المتغيرات الرئيسة. وتُعد هذه المنطلقات ضرورة أكاديمية وعملية لفهم الجوانب النظرية والتطبيقية للدراسة</w:t>
      </w:r>
      <w:r w:rsidRPr="00396255">
        <w:rPr>
          <w:rFonts w:ascii="Sakkal Majalla" w:eastAsia="Calibri" w:hAnsi="Sakkal Majalla" w:cs="Sakkal Majalla"/>
          <w:color w:val="000000" w:themeColor="text1"/>
          <w:sz w:val="28"/>
          <w:szCs w:val="28"/>
          <w:lang w:bidi="ar-EG"/>
        </w:rPr>
        <w:t>.</w:t>
      </w:r>
    </w:p>
    <w:p w14:paraId="689A5855" w14:textId="229EBA80" w:rsidR="00947A7A" w:rsidRPr="00396255" w:rsidRDefault="00947A7A"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أولاً، ينطلق التحليل من نظرية النظم، والتي ترى أن المؤسسات (ومنها المستودعات الصحية الحكومية) عبارة عن أنظمة فرعية مترابطة تعتمد على المعلومات والموارد والتقنيات لتحقيق الكفاءة والفاعلية. ومن هذا المنظور، فإن التحول الرقمي يُنظر إليه كأداة لتحسين تفاعل مكونات النظام، من خلال أتمتة العمليات، وتكامل البيانات، وتسهيل التدفق المعلوماتي بين الإدارات المعنية بإدارة المخزون والطلب والإمداد</w:t>
      </w:r>
      <w:r w:rsidRPr="00396255">
        <w:rPr>
          <w:rFonts w:ascii="Sakkal Majalla" w:eastAsia="Calibri" w:hAnsi="Sakkal Majalla" w:cs="Sakkal Majalla"/>
          <w:color w:val="000000" w:themeColor="text1"/>
          <w:sz w:val="28"/>
          <w:szCs w:val="28"/>
          <w:lang w:bidi="ar-EG"/>
        </w:rPr>
        <w:t>.</w:t>
      </w:r>
    </w:p>
    <w:p w14:paraId="7D88675F" w14:textId="3E657DF1" w:rsidR="00947A7A" w:rsidRPr="00396255" w:rsidRDefault="00947A7A"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lastRenderedPageBreak/>
        <w:t>ثانيًا، تعتمد الدراسة على نظرية إدارة المخاطر المؤسسية</w:t>
      </w:r>
      <w:r w:rsidRPr="00396255">
        <w:rPr>
          <w:rFonts w:ascii="Sakkal Majalla" w:eastAsia="Calibri" w:hAnsi="Sakkal Majalla" w:cs="Sakkal Majalla"/>
          <w:color w:val="000000" w:themeColor="text1"/>
          <w:sz w:val="28"/>
          <w:szCs w:val="28"/>
          <w:lang w:bidi="ar-EG"/>
        </w:rPr>
        <w:t xml:space="preserve"> (Enterprise Risk Management) </w:t>
      </w:r>
      <w:r w:rsidRPr="00396255">
        <w:rPr>
          <w:rFonts w:ascii="Sakkal Majalla" w:eastAsia="Calibri" w:hAnsi="Sakkal Majalla" w:cs="Sakkal Majalla"/>
          <w:color w:val="000000" w:themeColor="text1"/>
          <w:sz w:val="28"/>
          <w:szCs w:val="28"/>
          <w:rtl/>
          <w:lang w:bidi="ar-EG"/>
        </w:rPr>
        <w:t>التي تؤكد على أهمية التحديد المسبق لأنواع المخاطر (مثل مخاطر التوريد، التلف، التكدس، أو انقطاع الإمداد)، وتقييم أثرها المحتمل، وتطوير استجابات إستراتيجية لمواجهتها. تُفترض هنا العلاقة التفاعلية بين أدوات التحول الرقمي (مثل أنظمة تتبع المخزون، الذكاء الاصطناعي، التحليلات التنبؤية) وبين القدرة على الكشف المبكر عن المخاطر والتعامل معها بشكل مرن ودقيق</w:t>
      </w:r>
      <w:r w:rsidRPr="00396255">
        <w:rPr>
          <w:rFonts w:ascii="Sakkal Majalla" w:eastAsia="Calibri" w:hAnsi="Sakkal Majalla" w:cs="Sakkal Majalla"/>
          <w:color w:val="000000" w:themeColor="text1"/>
          <w:sz w:val="28"/>
          <w:szCs w:val="28"/>
          <w:lang w:bidi="ar-EG"/>
        </w:rPr>
        <w:t>.</w:t>
      </w:r>
    </w:p>
    <w:p w14:paraId="1C9D2348" w14:textId="569D5E4A" w:rsidR="00947A7A" w:rsidRPr="00396255" w:rsidRDefault="00947A7A"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ثالثًا، تستند الدراسة إلى نظرية الكفاءة التشغيلية، والتي تربط بين مدى قدرة المؤسسات على تقليل الهدر، وتحسين وقت الاستجابة، وتعظيم استخدام الموارد، وبين النتائج التشغيلية المتمثلة في الجاهزية، والسرعة، والدقة في تسليم المواد الطبية. ويفترض هذا المنظور أن التحول الرقمي لا يمكن أن يحقق أثرًا حقيقيًا إلا إذا تم دمجه ضمن سياسات إدارة المخاطر، وليس كأداة تقنية فقط</w:t>
      </w:r>
      <w:r w:rsidRPr="00396255">
        <w:rPr>
          <w:rFonts w:ascii="Sakkal Majalla" w:eastAsia="Calibri" w:hAnsi="Sakkal Majalla" w:cs="Sakkal Majalla"/>
          <w:color w:val="000000" w:themeColor="text1"/>
          <w:sz w:val="28"/>
          <w:szCs w:val="28"/>
          <w:lang w:bidi="ar-EG"/>
        </w:rPr>
        <w:t>.</w:t>
      </w:r>
    </w:p>
    <w:p w14:paraId="07C62D44" w14:textId="6E37319E" w:rsidR="00947A7A" w:rsidRPr="00396255" w:rsidRDefault="00947A7A"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 xml:space="preserve">رابعًا، تأخذ الدراسة </w:t>
      </w:r>
      <w:proofErr w:type="spellStart"/>
      <w:r w:rsidRPr="00396255">
        <w:rPr>
          <w:rFonts w:ascii="Sakkal Majalla" w:eastAsia="Calibri" w:hAnsi="Sakkal Majalla" w:cs="Sakkal Majalla"/>
          <w:color w:val="000000" w:themeColor="text1"/>
          <w:sz w:val="28"/>
          <w:szCs w:val="28"/>
          <w:rtl/>
          <w:lang w:bidi="ar-EG"/>
        </w:rPr>
        <w:t>منطلقاتها</w:t>
      </w:r>
      <w:proofErr w:type="spellEnd"/>
      <w:r w:rsidRPr="00396255">
        <w:rPr>
          <w:rFonts w:ascii="Sakkal Majalla" w:eastAsia="Calibri" w:hAnsi="Sakkal Majalla" w:cs="Sakkal Majalla"/>
          <w:color w:val="000000" w:themeColor="text1"/>
          <w:sz w:val="28"/>
          <w:szCs w:val="28"/>
          <w:rtl/>
          <w:lang w:bidi="ar-EG"/>
        </w:rPr>
        <w:t xml:space="preserve"> من نظرية الموارد والقدرات</w:t>
      </w:r>
      <w:r w:rsidRPr="00396255">
        <w:rPr>
          <w:rFonts w:ascii="Sakkal Majalla" w:eastAsia="Calibri" w:hAnsi="Sakkal Majalla" w:cs="Sakkal Majalla"/>
          <w:color w:val="000000" w:themeColor="text1"/>
          <w:sz w:val="28"/>
          <w:szCs w:val="28"/>
          <w:lang w:bidi="ar-EG"/>
        </w:rPr>
        <w:t xml:space="preserve"> (Resource-Based View) </w:t>
      </w:r>
      <w:r w:rsidRPr="00396255">
        <w:rPr>
          <w:rFonts w:ascii="Sakkal Majalla" w:eastAsia="Calibri" w:hAnsi="Sakkal Majalla" w:cs="Sakkal Majalla"/>
          <w:color w:val="000000" w:themeColor="text1"/>
          <w:sz w:val="28"/>
          <w:szCs w:val="28"/>
          <w:rtl/>
          <w:lang w:bidi="ar-EG"/>
        </w:rPr>
        <w:t>التي ترى أن المؤسسات التي تمتلك موارد رقمية متطورة وتستثمر في رأس المال البشري القادر على تحليل المخاطر وإدارتها، تمتلك ميزة تنافسية مستدامة. وعليه، فإن التكامل بين التحول الرقمي وإدارة المخاطر يمثل موردًا استراتيجيًا يُمكن المستودعات الحكومية من تعزيز قدرتها التشغيلية، وضمان استمرارية التوريد، خصوصًا في الظروف الاستثنائية مثل الجوائح والكوارث</w:t>
      </w:r>
      <w:r w:rsidRPr="00396255">
        <w:rPr>
          <w:rFonts w:ascii="Sakkal Majalla" w:eastAsia="Calibri" w:hAnsi="Sakkal Majalla" w:cs="Sakkal Majalla"/>
          <w:color w:val="000000" w:themeColor="text1"/>
          <w:sz w:val="28"/>
          <w:szCs w:val="28"/>
          <w:lang w:bidi="ar-EG"/>
        </w:rPr>
        <w:t>.</w:t>
      </w:r>
    </w:p>
    <w:p w14:paraId="11F2A10D" w14:textId="58C3492B" w:rsidR="00410DB9" w:rsidRPr="00396255" w:rsidRDefault="00947A7A"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lang w:bidi="ar-EG"/>
        </w:rPr>
        <w:t>وأخيرًا، تستند الدراسة إلى فرضية أن كفاءة المستودعات لا تعتمد فقط على التقنية أو الإدارة بمعزل، وإنما على الدمج الذكي والتكامل الفعال بين المنهجيتين، بحيث تتم إدارة المخاطر بطريقة استباقية مدعومة ببيانات فورية ودقيقة ناتجة عن بنية تحتية رقمية قوية. ومن هذا المنطلق، تبرز أهمية بناء نموذج تكاملي يعكس هذا التداخل، ويُقيّم أثره على تحسين الكفاءة الشاملة لعمليات الإمداد الصحي الحكومي</w:t>
      </w:r>
      <w:r w:rsidR="00BC2986" w:rsidRPr="00396255">
        <w:rPr>
          <w:rFonts w:ascii="Sakkal Majalla" w:eastAsia="Calibri" w:hAnsi="Sakkal Majalla" w:cs="Sakkal Majalla"/>
          <w:color w:val="000000" w:themeColor="text1"/>
          <w:sz w:val="28"/>
          <w:szCs w:val="28"/>
          <w:rtl/>
          <w:lang w:bidi="ar-EG"/>
        </w:rPr>
        <w:t>.</w:t>
      </w:r>
    </w:p>
    <w:p w14:paraId="2419321C" w14:textId="406B6180" w:rsidR="00086EC7" w:rsidRPr="00396255" w:rsidRDefault="000C54A5"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1276596"/>
      <w:bookmarkStart w:id="22" w:name="_Toc201352820"/>
      <w:bookmarkStart w:id="23" w:name="_Toc214151641"/>
      <w:r w:rsidRPr="00396255">
        <w:rPr>
          <w:rFonts w:ascii="Sakkal Majalla" w:hAnsi="Sakkal Majalla" w:cs="Sakkal Majalla" w:hint="cs"/>
          <w:b/>
          <w:bCs/>
          <w:color w:val="000000" w:themeColor="text1"/>
          <w:sz w:val="36"/>
          <w:szCs w:val="36"/>
          <w:rtl/>
        </w:rPr>
        <w:t xml:space="preserve">11.1 </w:t>
      </w:r>
      <w:r w:rsidR="00086EC7" w:rsidRPr="00396255">
        <w:rPr>
          <w:rFonts w:ascii="Sakkal Majalla" w:hAnsi="Sakkal Majalla" w:cs="Sakkal Majalla"/>
          <w:b/>
          <w:bCs/>
          <w:color w:val="000000" w:themeColor="text1"/>
          <w:sz w:val="36"/>
          <w:szCs w:val="36"/>
          <w:rtl/>
        </w:rPr>
        <w:t>المنهجية وطرق البحث:</w:t>
      </w:r>
      <w:bookmarkEnd w:id="21"/>
      <w:bookmarkEnd w:id="22"/>
      <w:bookmarkEnd w:id="23"/>
    </w:p>
    <w:p w14:paraId="75A43376" w14:textId="77777777" w:rsidR="00086EC7" w:rsidRPr="00396255" w:rsidRDefault="00086EC7" w:rsidP="000C54A5">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تم اتباع المنهج الوصفي والمنهج التحليلي كأسلوب مناسب للوصف، الذي يتطابق مع الفصول النظرية أما في الفصل التطبيقي التحليلي والمنهج الاستنباطي من أجل تحليل وتقييم البيانات المتحصل عليها في الاستبانة </w:t>
      </w:r>
      <w:r w:rsidRPr="00396255">
        <w:rPr>
          <w:rFonts w:ascii="Sakkal Majalla" w:eastAsia="Calibri" w:hAnsi="Sakkal Majalla" w:cs="Sakkal Majalla"/>
          <w:color w:val="000000" w:themeColor="text1"/>
          <w:sz w:val="28"/>
          <w:szCs w:val="28"/>
          <w:rtl/>
        </w:rPr>
        <w:lastRenderedPageBreak/>
        <w:t>للمؤسسة محل الدراسة باعتباره ملائما لتقرير الحقائق وفهم مكونات الموضوع، مع إخضاعه للدراسة الدقيقة وتحليل أبعاده، والتي سنتطرق إليها في الفصل التطبيقي في دراسة الحالة.</w:t>
      </w:r>
    </w:p>
    <w:p w14:paraId="37572729" w14:textId="77777777" w:rsidR="00086EC7" w:rsidRPr="00396255" w:rsidRDefault="00086EC7" w:rsidP="00F76CAC">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يعتمد اختيار المنهج الملائم لطبيعة البحث على طبيعة المشكلة والهدف من دراستها، ومن أجل الإحاطة بمختلف جوانب الدراسة سيتم الاعتماد على المنهج الوصفي التحليلي، فالأسلوب الوصفي مناسب للوصف الذي يتطابق مع الفصول النظرية، أما في الفصل التطبيقي التحليلي والمنهج الاستنباطي من أجل تحليل وتقييم البيانات المتحصل عليها في الاستبانة محل الدراسة، حيث يسهم هذا المنهج في الإجابة عن التساؤلات البحثية من خلال جمع البيانات ومن ثم تحليلها ومناقشتها. وهذا المنهج هو المستخدم في معظم الدراسات السابقة.</w:t>
      </w:r>
    </w:p>
    <w:p w14:paraId="25861BF3" w14:textId="5E780EA1" w:rsidR="00086EC7" w:rsidRPr="00396255" w:rsidRDefault="000C54A5"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169790503"/>
      <w:bookmarkStart w:id="25" w:name="_Toc201276597"/>
      <w:bookmarkStart w:id="26" w:name="_Toc201352821"/>
      <w:bookmarkStart w:id="27" w:name="_Toc214151642"/>
      <w:r w:rsidRPr="00396255">
        <w:rPr>
          <w:rFonts w:ascii="Sakkal Majalla" w:hAnsi="Sakkal Majalla" w:cs="Sakkal Majalla" w:hint="cs"/>
          <w:b/>
          <w:bCs/>
          <w:color w:val="000000" w:themeColor="text1"/>
          <w:sz w:val="36"/>
          <w:szCs w:val="36"/>
          <w:rtl/>
        </w:rPr>
        <w:t xml:space="preserve">12.1 </w:t>
      </w:r>
      <w:r w:rsidR="00086EC7" w:rsidRPr="00396255">
        <w:rPr>
          <w:rFonts w:ascii="Sakkal Majalla" w:hAnsi="Sakkal Majalla" w:cs="Sakkal Majalla"/>
          <w:b/>
          <w:bCs/>
          <w:color w:val="000000" w:themeColor="text1"/>
          <w:sz w:val="36"/>
          <w:szCs w:val="36"/>
          <w:rtl/>
        </w:rPr>
        <w:t>مصادر جمع البيانات</w:t>
      </w:r>
      <w:bookmarkEnd w:id="24"/>
      <w:bookmarkEnd w:id="25"/>
      <w:bookmarkEnd w:id="26"/>
      <w:bookmarkEnd w:id="27"/>
      <w:r w:rsidR="00086EC7" w:rsidRPr="00396255">
        <w:rPr>
          <w:rFonts w:ascii="Sakkal Majalla" w:hAnsi="Sakkal Majalla" w:cs="Sakkal Majalla"/>
          <w:b/>
          <w:bCs/>
          <w:color w:val="000000" w:themeColor="text1"/>
          <w:sz w:val="36"/>
          <w:szCs w:val="36"/>
          <w:rtl/>
        </w:rPr>
        <w:t xml:space="preserve"> </w:t>
      </w:r>
    </w:p>
    <w:p w14:paraId="24EAFAC4" w14:textId="77777777" w:rsidR="00086EC7" w:rsidRPr="00396255" w:rsidRDefault="00086EC7" w:rsidP="005C278D">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المصادر الثانوية: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65A30199" w14:textId="77777777" w:rsidR="00086EC7" w:rsidRPr="00396255" w:rsidRDefault="00086EC7" w:rsidP="005C278D">
      <w:pPr>
        <w:numPr>
          <w:ilvl w:val="0"/>
          <w:numId w:val="8"/>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المصادر الأولية: اعتمدت الدراسة على الاستبانة كأداة رئيسية في جمع البيانات من مصادرها والتي تم تصميمها خصيصاً لهذا الغرض على </w:t>
      </w:r>
      <w:r w:rsidRPr="00396255">
        <w:rPr>
          <w:rFonts w:ascii="Sakkal Majalla" w:eastAsia="Calibri" w:hAnsi="Sakkal Majalla" w:cs="Sakkal Majalla"/>
          <w:color w:val="000000" w:themeColor="text1"/>
          <w:sz w:val="28"/>
          <w:szCs w:val="28"/>
        </w:rPr>
        <w:t>Google Forms</w:t>
      </w:r>
      <w:r w:rsidRPr="00396255">
        <w:rPr>
          <w:rFonts w:ascii="Sakkal Majalla" w:eastAsia="Calibri" w:hAnsi="Sakkal Majalla" w:cs="Sakkal Majalla"/>
          <w:color w:val="000000" w:themeColor="text1"/>
          <w:sz w:val="28"/>
          <w:szCs w:val="28"/>
          <w:rtl/>
        </w:rPr>
        <w:t xml:space="preserve"> وإرسال رابطها إلى مجتمع البحث.</w:t>
      </w:r>
    </w:p>
    <w:p w14:paraId="398146F7" w14:textId="3DB25893" w:rsidR="00086EC7" w:rsidRPr="00396255" w:rsidRDefault="000C54A5"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8" w:name="_Toc169790504"/>
      <w:bookmarkStart w:id="29" w:name="_Toc201276598"/>
      <w:bookmarkStart w:id="30" w:name="_Toc201352822"/>
      <w:bookmarkStart w:id="31" w:name="_Toc214151643"/>
      <w:r w:rsidRPr="00396255">
        <w:rPr>
          <w:rFonts w:ascii="Sakkal Majalla" w:hAnsi="Sakkal Majalla" w:cs="Sakkal Majalla" w:hint="cs"/>
          <w:b/>
          <w:bCs/>
          <w:color w:val="000000" w:themeColor="text1"/>
          <w:sz w:val="36"/>
          <w:szCs w:val="36"/>
          <w:rtl/>
        </w:rPr>
        <w:t xml:space="preserve">13.1 </w:t>
      </w:r>
      <w:r w:rsidR="00086EC7" w:rsidRPr="00396255">
        <w:rPr>
          <w:rFonts w:ascii="Sakkal Majalla" w:hAnsi="Sakkal Majalla" w:cs="Sakkal Majalla"/>
          <w:b/>
          <w:bCs/>
          <w:color w:val="000000" w:themeColor="text1"/>
          <w:sz w:val="36"/>
          <w:szCs w:val="36"/>
          <w:rtl/>
        </w:rPr>
        <w:t>أدوات الدراسة:</w:t>
      </w:r>
      <w:bookmarkEnd w:id="28"/>
      <w:bookmarkEnd w:id="29"/>
      <w:bookmarkEnd w:id="30"/>
      <w:bookmarkEnd w:id="31"/>
    </w:p>
    <w:p w14:paraId="2F8C394A" w14:textId="77777777" w:rsidR="00086EC7" w:rsidRPr="00396255" w:rsidRDefault="00086EC7" w:rsidP="00F76CAC">
      <w:pPr>
        <w:bidi/>
        <w:spacing w:before="100" w:beforeAutospacing="1" w:after="100" w:afterAutospacing="1" w:line="360" w:lineRule="auto"/>
        <w:ind w:firstLine="720"/>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تعرف أداة البحث بأنها "الوسيلة التي تتم بواسطتها عملية جمع البيانات بهدف الإجابة عن تساؤلاته ، وسيعتمد الباحثين في جمع البيانات على الاستبانة، والتي تّعرف بأنها "صيغة محددة من الفقرات والأسئلة تهدف إلى جمع البيانات من أفراد البحث"</w:t>
      </w:r>
    </w:p>
    <w:p w14:paraId="317E9145" w14:textId="77777777" w:rsidR="00086EC7" w:rsidRPr="00396255" w:rsidRDefault="00086EC7" w:rsidP="00F76CAC">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96255">
        <w:rPr>
          <w:rFonts w:ascii="Sakkal Majalla" w:eastAsia="Calibri" w:hAnsi="Sakkal Majalla" w:cs="Sakkal Majalla"/>
          <w:b/>
          <w:bCs/>
          <w:color w:val="000000" w:themeColor="text1"/>
          <w:sz w:val="28"/>
          <w:szCs w:val="28"/>
          <w:rtl/>
        </w:rPr>
        <w:t>حيث تكونت من قسمين رئيسين هما:</w:t>
      </w:r>
    </w:p>
    <w:p w14:paraId="5F97BF2F" w14:textId="77777777" w:rsidR="00086EC7" w:rsidRPr="00396255" w:rsidRDefault="00086EC7" w:rsidP="005C278D">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b/>
          <w:bCs/>
          <w:color w:val="000000" w:themeColor="text1"/>
          <w:sz w:val="28"/>
          <w:szCs w:val="28"/>
          <w:rtl/>
        </w:rPr>
        <w:t>القسم الأول</w:t>
      </w:r>
      <w:r w:rsidRPr="00396255">
        <w:rPr>
          <w:rFonts w:ascii="Sakkal Majalla" w:eastAsia="Calibri" w:hAnsi="Sakkal Majalla" w:cs="Sakkal Majalla"/>
          <w:color w:val="000000" w:themeColor="text1"/>
          <w:sz w:val="28"/>
          <w:szCs w:val="28"/>
          <w:rtl/>
        </w:rPr>
        <w:t xml:space="preserve">: وهو الجزء الخاص بالمتغيرات الديمغرافية لأفراد عينة الدراسة ، والمتمثلة بـ: النوع ، والعمر، والمؤهل العلمي، والمستوى </w:t>
      </w:r>
      <w:proofErr w:type="spellStart"/>
      <w:r w:rsidRPr="00396255">
        <w:rPr>
          <w:rFonts w:ascii="Sakkal Majalla" w:eastAsia="Calibri" w:hAnsi="Sakkal Majalla" w:cs="Sakkal Majalla"/>
          <w:color w:val="000000" w:themeColor="text1"/>
          <w:sz w:val="28"/>
          <w:szCs w:val="28"/>
          <w:rtl/>
        </w:rPr>
        <w:t>الوظيفى</w:t>
      </w:r>
      <w:proofErr w:type="spellEnd"/>
      <w:r w:rsidRPr="00396255">
        <w:rPr>
          <w:rFonts w:ascii="Sakkal Majalla" w:eastAsia="Calibri" w:hAnsi="Sakkal Majalla" w:cs="Sakkal Majalla"/>
          <w:color w:val="000000" w:themeColor="text1"/>
          <w:sz w:val="28"/>
          <w:szCs w:val="28"/>
          <w:rtl/>
        </w:rPr>
        <w:t>.</w:t>
      </w:r>
    </w:p>
    <w:p w14:paraId="5B8E53FA" w14:textId="77777777" w:rsidR="00086EC7" w:rsidRPr="00396255" w:rsidRDefault="00086EC7" w:rsidP="005C278D">
      <w:pPr>
        <w:numPr>
          <w:ilvl w:val="0"/>
          <w:numId w:val="7"/>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396255">
        <w:rPr>
          <w:rFonts w:ascii="Sakkal Majalla" w:eastAsia="Calibri" w:hAnsi="Sakkal Majalla" w:cs="Sakkal Majalla"/>
          <w:b/>
          <w:bCs/>
          <w:color w:val="000000" w:themeColor="text1"/>
          <w:sz w:val="28"/>
          <w:szCs w:val="28"/>
          <w:rtl/>
        </w:rPr>
        <w:lastRenderedPageBreak/>
        <w:t>القسم الثاني</w:t>
      </w:r>
      <w:r w:rsidRPr="00396255">
        <w:rPr>
          <w:rFonts w:ascii="Sakkal Majalla" w:eastAsia="Calibri" w:hAnsi="Sakkal Majalla" w:cs="Sakkal Majalla"/>
          <w:color w:val="000000" w:themeColor="text1"/>
          <w:sz w:val="28"/>
          <w:szCs w:val="28"/>
          <w:rtl/>
        </w:rPr>
        <w:t>: اشتمل القسم الثاني على الفقرات والأبعاد التي تقيس متغيرات الدراسة المستقل والتابع.</w:t>
      </w:r>
    </w:p>
    <w:p w14:paraId="7E3878DB" w14:textId="43C04D32" w:rsidR="00086EC7" w:rsidRPr="00396255" w:rsidRDefault="000C54A5"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193461959"/>
      <w:bookmarkStart w:id="33" w:name="_Toc201352823"/>
      <w:bookmarkStart w:id="34" w:name="_Toc214151644"/>
      <w:r w:rsidRPr="00396255">
        <w:rPr>
          <w:rFonts w:ascii="Sakkal Majalla" w:hAnsi="Sakkal Majalla" w:cs="Sakkal Majalla" w:hint="cs"/>
          <w:b/>
          <w:bCs/>
          <w:color w:val="000000" w:themeColor="text1"/>
          <w:sz w:val="36"/>
          <w:szCs w:val="36"/>
          <w:rtl/>
        </w:rPr>
        <w:t xml:space="preserve">13.1 </w:t>
      </w:r>
      <w:r w:rsidR="00086EC7" w:rsidRPr="00396255">
        <w:rPr>
          <w:rFonts w:ascii="Sakkal Majalla" w:hAnsi="Sakkal Majalla" w:cs="Sakkal Majalla"/>
          <w:b/>
          <w:bCs/>
          <w:color w:val="000000" w:themeColor="text1"/>
          <w:sz w:val="36"/>
          <w:szCs w:val="36"/>
          <w:rtl/>
        </w:rPr>
        <w:t>الأساليب الإحصائية المستخدمة</w:t>
      </w:r>
      <w:bookmarkEnd w:id="32"/>
      <w:bookmarkEnd w:id="33"/>
      <w:bookmarkEnd w:id="34"/>
    </w:p>
    <w:p w14:paraId="57815DFF" w14:textId="77777777" w:rsidR="00086EC7" w:rsidRPr="00396255" w:rsidRDefault="00086EC7" w:rsidP="00F76CAC">
      <w:pPr>
        <w:bidi/>
        <w:spacing w:before="100" w:beforeAutospacing="1" w:after="100" w:afterAutospacing="1" w:line="360" w:lineRule="auto"/>
        <w:jc w:val="both"/>
        <w:rPr>
          <w:rFonts w:ascii="Sakkal Majalla" w:eastAsia="Calibri" w:hAnsi="Sakkal Majalla" w:cs="Sakkal Majalla"/>
          <w:b/>
          <w:bCs/>
          <w:color w:val="000000" w:themeColor="text1"/>
          <w:sz w:val="28"/>
          <w:szCs w:val="28"/>
          <w:rtl/>
        </w:rPr>
      </w:pPr>
      <w:r w:rsidRPr="00396255">
        <w:rPr>
          <w:rFonts w:ascii="Sakkal Majalla" w:eastAsia="Calibri" w:hAnsi="Sakkal Majalla" w:cs="Sakkal Majalla"/>
          <w:b/>
          <w:bCs/>
          <w:color w:val="000000" w:themeColor="text1"/>
          <w:sz w:val="28"/>
          <w:szCs w:val="28"/>
          <w:rtl/>
        </w:rPr>
        <w:t>تم استخدام الأساليب الإحصائية التالية لتحقيق أهداف الدراسة:</w:t>
      </w:r>
    </w:p>
    <w:p w14:paraId="18FFE3F8" w14:textId="77777777" w:rsidR="00086EC7" w:rsidRPr="00396255" w:rsidRDefault="00086EC7" w:rsidP="005C278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bookmarkStart w:id="35" w:name="_Hlk162514366"/>
      <w:r w:rsidRPr="00396255">
        <w:rPr>
          <w:rFonts w:ascii="Sakkal Majalla" w:eastAsia="Calibri" w:hAnsi="Sakkal Majalla" w:cs="Sakkal Majalla"/>
          <w:color w:val="000000" w:themeColor="text1"/>
          <w:sz w:val="28"/>
          <w:szCs w:val="28"/>
          <w:rtl/>
        </w:rPr>
        <w:t xml:space="preserve">معامل " ألفا </w:t>
      </w:r>
      <w:proofErr w:type="spellStart"/>
      <w:r w:rsidRPr="00396255">
        <w:rPr>
          <w:rFonts w:ascii="Sakkal Majalla" w:eastAsia="Calibri" w:hAnsi="Sakkal Majalla" w:cs="Sakkal Majalla"/>
          <w:color w:val="000000" w:themeColor="text1"/>
          <w:sz w:val="28"/>
          <w:szCs w:val="28"/>
          <w:rtl/>
        </w:rPr>
        <w:t>كرونباخ</w:t>
      </w:r>
      <w:proofErr w:type="spellEnd"/>
      <w:r w:rsidRPr="00396255">
        <w:rPr>
          <w:rFonts w:ascii="Sakkal Majalla" w:eastAsia="Calibri" w:hAnsi="Sakkal Majalla" w:cs="Sakkal Majalla"/>
          <w:color w:val="000000" w:themeColor="text1"/>
          <w:sz w:val="28"/>
          <w:szCs w:val="28"/>
          <w:rtl/>
        </w:rPr>
        <w:t xml:space="preserve">" لقياس ثبات أداة الدراسة ومعامل الارتباط بيرسون  لقياس صدق أداة الدراسة والعلاقة بين المتغيرات </w:t>
      </w:r>
    </w:p>
    <w:bookmarkEnd w:id="35"/>
    <w:p w14:paraId="2BD95CE3" w14:textId="77777777" w:rsidR="00086EC7" w:rsidRPr="00396255" w:rsidRDefault="00086EC7" w:rsidP="005C278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 التكرارات والنسب المئوية والمتوسط الحسابي والانحراف المعياري المتعلقة بمتغيرات الدراسة ولجميع الاستجابات على فقرات الاستبيان.</w:t>
      </w:r>
    </w:p>
    <w:p w14:paraId="4CCD485B" w14:textId="77777777" w:rsidR="00086EC7" w:rsidRPr="00396255" w:rsidRDefault="00086EC7" w:rsidP="005C278D">
      <w:pPr>
        <w:numPr>
          <w:ilvl w:val="1"/>
          <w:numId w:val="9"/>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معامل الانحدار الخطي البسيط لقياس أثر كل بعد من أبعاد المتغير المستقل على المتغير التابع </w:t>
      </w:r>
    </w:p>
    <w:p w14:paraId="2D9E6E3D" w14:textId="09B4393B" w:rsidR="00086EC7" w:rsidRPr="00396255" w:rsidRDefault="000C54A5" w:rsidP="000C54A5">
      <w:pPr>
        <w:bidi/>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6" w:name="_Toc169790505"/>
      <w:bookmarkStart w:id="37" w:name="_Toc201276599"/>
      <w:bookmarkStart w:id="38" w:name="_Toc201352825"/>
      <w:bookmarkStart w:id="39" w:name="_Toc214151645"/>
      <w:r w:rsidRPr="00396255">
        <w:rPr>
          <w:rFonts w:ascii="Sakkal Majalla" w:hAnsi="Sakkal Majalla" w:cs="Sakkal Majalla" w:hint="cs"/>
          <w:b/>
          <w:bCs/>
          <w:color w:val="000000" w:themeColor="text1"/>
          <w:sz w:val="36"/>
          <w:szCs w:val="36"/>
          <w:rtl/>
        </w:rPr>
        <w:t xml:space="preserve">14.1 </w:t>
      </w:r>
      <w:r w:rsidR="00086EC7" w:rsidRPr="00396255">
        <w:rPr>
          <w:rFonts w:ascii="Sakkal Majalla" w:hAnsi="Sakkal Majalla" w:cs="Sakkal Majalla"/>
          <w:b/>
          <w:bCs/>
          <w:color w:val="000000" w:themeColor="text1"/>
          <w:sz w:val="36"/>
          <w:szCs w:val="36"/>
          <w:rtl/>
        </w:rPr>
        <w:t>حدود الدراسة:</w:t>
      </w:r>
      <w:bookmarkEnd w:id="36"/>
      <w:bookmarkEnd w:id="37"/>
      <w:bookmarkEnd w:id="38"/>
      <w:bookmarkEnd w:id="39"/>
    </w:p>
    <w:p w14:paraId="33B914BA" w14:textId="744924D3" w:rsidR="00EC4F46" w:rsidRPr="00396255" w:rsidRDefault="00086EC7" w:rsidP="005C278D">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396255">
        <w:rPr>
          <w:rFonts w:ascii="Sakkal Majalla" w:eastAsia="Calibri" w:hAnsi="Sakkal Majalla" w:cs="Sakkal Majalla"/>
          <w:b/>
          <w:bCs/>
          <w:color w:val="000000" w:themeColor="text1"/>
          <w:sz w:val="28"/>
          <w:szCs w:val="28"/>
          <w:rtl/>
        </w:rPr>
        <w:t>حدود موضوعية</w:t>
      </w:r>
      <w:r w:rsidRPr="00396255">
        <w:rPr>
          <w:rFonts w:ascii="Sakkal Majalla" w:eastAsia="Calibri" w:hAnsi="Sakkal Majalla" w:cs="Sakkal Majalla"/>
          <w:color w:val="000000" w:themeColor="text1"/>
          <w:sz w:val="28"/>
          <w:szCs w:val="28"/>
          <w:rtl/>
        </w:rPr>
        <w:t xml:space="preserve">: تقتصر الدراسة على تحليل </w:t>
      </w:r>
      <w:r w:rsidR="00947A7A" w:rsidRPr="00396255">
        <w:rPr>
          <w:rFonts w:ascii="Sakkal Majalla" w:eastAsia="Calibri" w:hAnsi="Sakkal Majalla" w:cs="Sakkal Majalla"/>
          <w:color w:val="000000" w:themeColor="text1"/>
          <w:sz w:val="28"/>
          <w:szCs w:val="28"/>
          <w:rtl/>
        </w:rPr>
        <w:t>دور التكامل بين التحول الرقمي وإدارة المخاطر بأبعادها المختلفة (البنية التحتية التكنولوجية، الرؤية الاستراتيجية، المهارات الرقمية، النهج المتحور حول العملاء) في تحسين كفاءة المستودعات الحكومية الصحية: دراسة تطبيقية على هيئة الهلال الأحمر</w:t>
      </w:r>
    </w:p>
    <w:p w14:paraId="61F63230" w14:textId="77777777" w:rsidR="00947A7A" w:rsidRPr="00396255" w:rsidRDefault="00086EC7" w:rsidP="005C278D">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Pr>
      </w:pPr>
      <w:r w:rsidRPr="00396255">
        <w:rPr>
          <w:rFonts w:ascii="Sakkal Majalla" w:eastAsia="Calibri" w:hAnsi="Sakkal Majalla" w:cs="Sakkal Majalla"/>
          <w:b/>
          <w:bCs/>
          <w:color w:val="000000" w:themeColor="text1"/>
          <w:sz w:val="28"/>
          <w:szCs w:val="28"/>
          <w:rtl/>
        </w:rPr>
        <w:t>حدود زمانية</w:t>
      </w:r>
      <w:r w:rsidRPr="00396255">
        <w:rPr>
          <w:rFonts w:ascii="Sakkal Majalla" w:eastAsia="Calibri" w:hAnsi="Sakkal Majalla" w:cs="Sakkal Majalla"/>
          <w:color w:val="000000" w:themeColor="text1"/>
          <w:sz w:val="28"/>
          <w:szCs w:val="28"/>
          <w:rtl/>
        </w:rPr>
        <w:t xml:space="preserve"> : تم إعداد الدراسة في عام 2025.</w:t>
      </w:r>
    </w:p>
    <w:p w14:paraId="0286A8A3" w14:textId="7E148697" w:rsidR="00B76880" w:rsidRPr="00396255" w:rsidRDefault="00086EC7" w:rsidP="005C278D">
      <w:pPr>
        <w:numPr>
          <w:ilvl w:val="0"/>
          <w:numId w:val="6"/>
        </w:numPr>
        <w:bidi/>
        <w:spacing w:before="100" w:beforeAutospacing="1" w:after="100" w:afterAutospacing="1" w:line="360" w:lineRule="auto"/>
        <w:ind w:left="424"/>
        <w:jc w:val="both"/>
        <w:rPr>
          <w:rFonts w:ascii="Sakkal Majalla" w:eastAsia="Calibri" w:hAnsi="Sakkal Majalla" w:cs="Sakkal Majalla"/>
          <w:color w:val="000000" w:themeColor="text1"/>
          <w:sz w:val="28"/>
          <w:szCs w:val="28"/>
          <w:u w:val="single"/>
          <w:rtl/>
        </w:rPr>
      </w:pPr>
      <w:r w:rsidRPr="00396255">
        <w:rPr>
          <w:rFonts w:ascii="Sakkal Majalla" w:eastAsia="Calibri" w:hAnsi="Sakkal Majalla" w:cs="Sakkal Majalla"/>
          <w:b/>
          <w:bCs/>
          <w:color w:val="000000" w:themeColor="text1"/>
          <w:sz w:val="28"/>
          <w:szCs w:val="28"/>
          <w:rtl/>
        </w:rPr>
        <w:t>حدود بشرية</w:t>
      </w:r>
      <w:r w:rsidRPr="00396255">
        <w:rPr>
          <w:rFonts w:ascii="Sakkal Majalla" w:eastAsia="Calibri" w:hAnsi="Sakkal Majalla" w:cs="Sakkal Majalla"/>
          <w:color w:val="000000" w:themeColor="text1"/>
          <w:sz w:val="28"/>
          <w:szCs w:val="28"/>
          <w:rtl/>
        </w:rPr>
        <w:t xml:space="preserve">: تقتصر الحدود البشرية لهذه الدراسة على </w:t>
      </w:r>
      <w:r w:rsidR="00EC4F46" w:rsidRPr="00396255">
        <w:rPr>
          <w:rFonts w:ascii="Sakkal Majalla" w:eastAsia="Calibri" w:hAnsi="Sakkal Majalla" w:cs="Sakkal Majalla"/>
          <w:color w:val="000000" w:themeColor="text1"/>
          <w:sz w:val="28"/>
          <w:szCs w:val="28"/>
          <w:rtl/>
        </w:rPr>
        <w:t xml:space="preserve">العاملين في </w:t>
      </w:r>
      <w:r w:rsidR="00947A7A" w:rsidRPr="00396255">
        <w:rPr>
          <w:rFonts w:ascii="Sakkal Majalla" w:eastAsia="Calibri" w:hAnsi="Sakkal Majalla" w:cs="Sakkal Majalla"/>
          <w:color w:val="000000" w:themeColor="text1"/>
          <w:sz w:val="28"/>
          <w:szCs w:val="28"/>
          <w:rtl/>
        </w:rPr>
        <w:t>هيئة الهلال الأحمر</w:t>
      </w:r>
    </w:p>
    <w:p w14:paraId="5A227591" w14:textId="77777777" w:rsidR="00410DB9" w:rsidRPr="00396255" w:rsidRDefault="00410DB9"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58B2414B" w14:textId="77777777" w:rsidR="000C54A5" w:rsidRPr="00396255" w:rsidRDefault="000C54A5">
      <w:pPr>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br w:type="page"/>
      </w:r>
    </w:p>
    <w:p w14:paraId="497FBE0D" w14:textId="5E14FB17" w:rsidR="000C54A5" w:rsidRPr="00396255" w:rsidRDefault="000C54A5" w:rsidP="00EA32BE">
      <w:pPr>
        <w:bidi/>
        <w:spacing w:before="100" w:beforeAutospacing="1" w:after="100" w:afterAutospacing="1" w:line="360" w:lineRule="auto"/>
        <w:jc w:val="center"/>
        <w:outlineLvl w:val="0"/>
        <w:rPr>
          <w:rFonts w:ascii="Sakkal Majalla" w:eastAsia="Calibri" w:hAnsi="Sakkal Majalla" w:cs="Sakkal Majalla"/>
          <w:b/>
          <w:bCs/>
          <w:color w:val="000000" w:themeColor="text1"/>
          <w:sz w:val="40"/>
          <w:szCs w:val="40"/>
          <w:rtl/>
        </w:rPr>
      </w:pPr>
      <w:bookmarkStart w:id="40" w:name="_Toc214151646"/>
      <w:r w:rsidRPr="00396255">
        <w:rPr>
          <w:rFonts w:ascii="Sakkal Majalla" w:eastAsia="Calibri" w:hAnsi="Sakkal Majalla" w:cs="Sakkal Majalla" w:hint="cs"/>
          <w:b/>
          <w:bCs/>
          <w:color w:val="000000" w:themeColor="text1"/>
          <w:sz w:val="40"/>
          <w:szCs w:val="40"/>
          <w:rtl/>
        </w:rPr>
        <w:lastRenderedPageBreak/>
        <w:t>الفصل الثاني: الإطار النظري</w:t>
      </w:r>
      <w:bookmarkEnd w:id="40"/>
    </w:p>
    <w:p w14:paraId="0D405495" w14:textId="4C607276" w:rsidR="000B7C0D" w:rsidRPr="00396255" w:rsidRDefault="000B7C0D" w:rsidP="00EA32BE">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1" w:name="_Toc214151647"/>
      <w:r w:rsidRPr="00396255">
        <w:rPr>
          <w:rFonts w:ascii="Sakkal Majalla" w:eastAsia="Calibri" w:hAnsi="Sakkal Majalla" w:cs="Sakkal Majalla"/>
          <w:b/>
          <w:bCs/>
          <w:color w:val="000000" w:themeColor="text1"/>
          <w:sz w:val="36"/>
          <w:szCs w:val="36"/>
          <w:rtl/>
        </w:rPr>
        <w:t>المبحث الأول: التحول الرقمي وإدارة المخاطر</w:t>
      </w:r>
      <w:bookmarkEnd w:id="41"/>
    </w:p>
    <w:p w14:paraId="77F993B2" w14:textId="32BF2951" w:rsidR="000B7C0D" w:rsidRPr="00396255" w:rsidRDefault="00EA32BE" w:rsidP="00EA32B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2" w:name="_Toc214151648"/>
      <w:r w:rsidRPr="00396255">
        <w:rPr>
          <w:rFonts w:ascii="Sakkal Majalla" w:eastAsia="Calibri" w:hAnsi="Sakkal Majalla" w:cs="Sakkal Majalla" w:hint="cs"/>
          <w:b/>
          <w:bCs/>
          <w:color w:val="000000" w:themeColor="text1"/>
          <w:sz w:val="32"/>
          <w:szCs w:val="32"/>
          <w:rtl/>
        </w:rPr>
        <w:t>1.1.2</w:t>
      </w:r>
      <w:r w:rsidR="000B7C0D" w:rsidRPr="00396255">
        <w:rPr>
          <w:rFonts w:ascii="Sakkal Majalla" w:eastAsia="Calibri" w:hAnsi="Sakkal Majalla" w:cs="Sakkal Majalla"/>
          <w:b/>
          <w:bCs/>
          <w:color w:val="000000" w:themeColor="text1"/>
          <w:sz w:val="32"/>
          <w:szCs w:val="32"/>
          <w:rtl/>
        </w:rPr>
        <w:t xml:space="preserve"> تمهيد</w:t>
      </w:r>
      <w:bookmarkEnd w:id="42"/>
    </w:p>
    <w:p w14:paraId="3CA3FD04"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يشهد العالم في العقود الأخيرة تحولات نوعية عميقة تقودها الثورة الرقمية والتطورات التكنولوجية المتسارعة التي أعادت تشكيل المنظمات وطرق عملها، لاسيما في القطاعات الحيوية كالقطاع الصحي. لم يعد التحول الرقمي مجرد خيار تقني، بل أصبح توجهاً استراتيجياً حتمياً لتحديث أنظمة العمل، ورفع كفاءة الأداء، وتلبية توقعات المستفيدين بكفاءة أعلى. وفي المقابل، فإن هذا التحول التقني يقترن بتزايد وتعقيد المخاطر بأنواعها المختلفة، من مخاطر تشغيلية وتقنية إلى مخاطر تتعلق بالخصوصية والأمن </w:t>
      </w:r>
      <w:proofErr w:type="spellStart"/>
      <w:r w:rsidRPr="00396255">
        <w:rPr>
          <w:rFonts w:ascii="Sakkal Majalla" w:eastAsia="Calibri" w:hAnsi="Sakkal Majalla" w:cs="Sakkal Majalla"/>
          <w:color w:val="000000" w:themeColor="text1"/>
          <w:sz w:val="28"/>
          <w:szCs w:val="28"/>
          <w:rtl/>
        </w:rPr>
        <w:t>السيبراني</w:t>
      </w:r>
      <w:proofErr w:type="spellEnd"/>
      <w:r w:rsidRPr="00396255">
        <w:rPr>
          <w:rFonts w:ascii="Sakkal Majalla" w:eastAsia="Calibri" w:hAnsi="Sakkal Majalla" w:cs="Sakkal Majalla"/>
          <w:color w:val="000000" w:themeColor="text1"/>
          <w:sz w:val="28"/>
          <w:szCs w:val="28"/>
          <w:rtl/>
        </w:rPr>
        <w:t xml:space="preserve"> وسلامة المعلومات</w:t>
      </w:r>
      <w:r w:rsidRPr="00396255">
        <w:rPr>
          <w:rFonts w:ascii="Sakkal Majalla" w:eastAsia="Calibri" w:hAnsi="Sakkal Majalla" w:cs="Sakkal Majalla"/>
          <w:color w:val="000000" w:themeColor="text1"/>
          <w:sz w:val="28"/>
          <w:szCs w:val="28"/>
        </w:rPr>
        <w:t>.</w:t>
      </w:r>
    </w:p>
    <w:p w14:paraId="7A2E44E9"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وفي هذا السياق، برزت أهمية الربط الوثيق بين التحول الرقمي من جهة، وإدارة المخاطر من جهة أخرى، باعتبار أن أي مبادرة رقمية لا تراعي المخاطر المحتملة قد تبوء بالفشل، كما أن تطبيقات إدارة المخاطر التقليدية دون مرونة رقمية قد تعيق فرص التطوير والتحسين</w:t>
      </w:r>
      <w:r w:rsidRPr="00396255">
        <w:rPr>
          <w:rFonts w:ascii="Sakkal Majalla" w:eastAsia="Calibri" w:hAnsi="Sakkal Majalla" w:cs="Sakkal Majalla"/>
          <w:color w:val="000000" w:themeColor="text1"/>
          <w:sz w:val="28"/>
          <w:szCs w:val="28"/>
        </w:rPr>
        <w:t>.</w:t>
      </w:r>
    </w:p>
    <w:p w14:paraId="5C16A344" w14:textId="023A4F32"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وتزداد هذه الأهمية عندما يكون الحديث عن المستودعات الحكومية الصحية، التي تُعد عنصراً محورياً في سلاسل الإمداد الطبي، وركيزة لضمان استدامة توفير الأدوية والمستلزمات.</w:t>
      </w:r>
    </w:p>
    <w:p w14:paraId="6B825505"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ومن هنا تأتي أهمية هذا المبحث، لتقديم إطار مفاهيمي ونظري شامل حول التكامل بين التحول الرقمي وإدارة المخاطر، وبما يُمهّد للمبحث الثاني المرتبط بكفاءة المستودعات</w:t>
      </w:r>
      <w:r w:rsidRPr="00396255">
        <w:rPr>
          <w:rFonts w:ascii="Sakkal Majalla" w:eastAsia="Calibri" w:hAnsi="Sakkal Majalla" w:cs="Sakkal Majalla"/>
          <w:color w:val="000000" w:themeColor="text1"/>
          <w:sz w:val="28"/>
          <w:szCs w:val="28"/>
        </w:rPr>
        <w:t>.</w:t>
      </w:r>
    </w:p>
    <w:p w14:paraId="3BD05A12" w14:textId="5A059F89" w:rsidR="000B7C0D" w:rsidRPr="00396255" w:rsidRDefault="00EA32BE" w:rsidP="00EA32B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3" w:name="_Toc214151649"/>
      <w:r w:rsidRPr="00396255">
        <w:rPr>
          <w:rFonts w:ascii="Sakkal Majalla" w:eastAsia="Calibri" w:hAnsi="Sakkal Majalla" w:cs="Sakkal Majalla" w:hint="cs"/>
          <w:b/>
          <w:bCs/>
          <w:color w:val="000000" w:themeColor="text1"/>
          <w:sz w:val="32"/>
          <w:szCs w:val="32"/>
          <w:rtl/>
        </w:rPr>
        <w:t xml:space="preserve">2.1.2 </w:t>
      </w:r>
      <w:r w:rsidR="000B7C0D" w:rsidRPr="00396255">
        <w:rPr>
          <w:rFonts w:ascii="Sakkal Majalla" w:eastAsia="Calibri" w:hAnsi="Sakkal Majalla" w:cs="Sakkal Majalla"/>
          <w:b/>
          <w:bCs/>
          <w:color w:val="000000" w:themeColor="text1"/>
          <w:sz w:val="32"/>
          <w:szCs w:val="32"/>
          <w:rtl/>
        </w:rPr>
        <w:t>تعريفات الباحثين لمفهوم التكامل بين التحول الرقمي وإدارة المخاطر</w:t>
      </w:r>
      <w:bookmarkEnd w:id="43"/>
    </w:p>
    <w:p w14:paraId="431C33D0"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تناولت الأدبيات الحديثة مفهوم "التحول الرقمي" و"إدارة المخاطر" كلٌ على حدة، ثم بدأت الدراسات في السنوات الأخيرة في الربط بينهما بوصفهما عنصرين متكاملين لا يمكن فصلهما في بيئات العمل المعاصرة، خاصة في المؤسسات الحيوية كالمستشفيات والمستودعات الصحية</w:t>
      </w:r>
      <w:r w:rsidRPr="00396255">
        <w:rPr>
          <w:rFonts w:ascii="Sakkal Majalla" w:eastAsia="Calibri" w:hAnsi="Sakkal Majalla" w:cs="Sakkal Majalla"/>
          <w:color w:val="000000" w:themeColor="text1"/>
          <w:sz w:val="28"/>
          <w:szCs w:val="28"/>
        </w:rPr>
        <w:t>.</w:t>
      </w:r>
    </w:p>
    <w:p w14:paraId="2BFC9326"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lastRenderedPageBreak/>
        <w:t>عرّف الجبور والزيديين</w:t>
      </w:r>
      <w:r w:rsidRPr="00396255">
        <w:rPr>
          <w:rFonts w:ascii="Sakkal Majalla" w:eastAsia="Calibri" w:hAnsi="Sakkal Majalla" w:cs="Sakkal Majalla"/>
          <w:color w:val="000000" w:themeColor="text1"/>
          <w:sz w:val="28"/>
          <w:szCs w:val="28"/>
        </w:rPr>
        <w:t xml:space="preserve"> (2022) </w:t>
      </w:r>
      <w:r w:rsidRPr="00396255">
        <w:rPr>
          <w:rFonts w:ascii="Sakkal Majalla" w:eastAsia="Calibri" w:hAnsi="Sakkal Majalla" w:cs="Sakkal Majalla"/>
          <w:color w:val="000000" w:themeColor="text1"/>
          <w:sz w:val="28"/>
          <w:szCs w:val="28"/>
          <w:rtl/>
        </w:rPr>
        <w:t>التحول الرقمي بأنه "عملية مستمرة تهدف إلى إعادة تشكيل النماذج المؤسسية من خلال دمج التكنولوجيا الرقمية في كافة الأنشطة والإجراءات، بما يؤدي إلى تحسين الكفاءة وتقديم خدمات أكثر جودة". ويتفق معهم حسين وآخرون</w:t>
      </w:r>
      <w:r w:rsidRPr="00396255">
        <w:rPr>
          <w:rFonts w:ascii="Sakkal Majalla" w:eastAsia="Calibri" w:hAnsi="Sakkal Majalla" w:cs="Sakkal Majalla"/>
          <w:color w:val="000000" w:themeColor="text1"/>
          <w:sz w:val="28"/>
          <w:szCs w:val="28"/>
        </w:rPr>
        <w:t xml:space="preserve"> (2023) </w:t>
      </w:r>
      <w:r w:rsidRPr="00396255">
        <w:rPr>
          <w:rFonts w:ascii="Sakkal Majalla" w:eastAsia="Calibri" w:hAnsi="Sakkal Majalla" w:cs="Sakkal Majalla"/>
          <w:color w:val="000000" w:themeColor="text1"/>
          <w:sz w:val="28"/>
          <w:szCs w:val="28"/>
          <w:rtl/>
        </w:rPr>
        <w:t>في التأكيد على أن التحول الرقمي يتجاوز مجرد استخدام التكنولوجيا ليشكل تحوّلاً ثقافياً وهيكلياً في طريقة تفكير المؤسسة واتخاذ القرار فيها</w:t>
      </w:r>
      <w:r w:rsidRPr="00396255">
        <w:rPr>
          <w:rFonts w:ascii="Sakkal Majalla" w:eastAsia="Calibri" w:hAnsi="Sakkal Majalla" w:cs="Sakkal Majalla"/>
          <w:color w:val="000000" w:themeColor="text1"/>
          <w:sz w:val="28"/>
          <w:szCs w:val="28"/>
        </w:rPr>
        <w:t>.</w:t>
      </w:r>
    </w:p>
    <w:p w14:paraId="13A5D174"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أما </w:t>
      </w:r>
      <w:proofErr w:type="spellStart"/>
      <w:r w:rsidRPr="00396255">
        <w:rPr>
          <w:rFonts w:ascii="Sakkal Majalla" w:eastAsia="Calibri" w:hAnsi="Sakkal Majalla" w:cs="Sakkal Majalla"/>
          <w:color w:val="000000" w:themeColor="text1"/>
          <w:sz w:val="28"/>
          <w:szCs w:val="28"/>
          <w:rtl/>
        </w:rPr>
        <w:t>الصبيحات</w:t>
      </w:r>
      <w:proofErr w:type="spellEnd"/>
      <w:r w:rsidRPr="00396255">
        <w:rPr>
          <w:rFonts w:ascii="Sakkal Majalla" w:eastAsia="Calibri" w:hAnsi="Sakkal Majalla" w:cs="Sakkal Majalla"/>
          <w:color w:val="000000" w:themeColor="text1"/>
          <w:sz w:val="28"/>
          <w:szCs w:val="28"/>
          <w:rtl/>
        </w:rPr>
        <w:t xml:space="preserve"> وبني خالد</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فقد أشاروا إلى أن التحول الرقمي "يمثل إطاراً شاملاً لتبني التقنيات الذكية في إدارة العمليات التشغيلية، ويُعد مدخلاً لتحقيق الأداء العالي والاستجابة السريعة في المؤسسات العامة</w:t>
      </w:r>
      <w:r w:rsidRPr="00396255">
        <w:rPr>
          <w:rFonts w:ascii="Sakkal Majalla" w:eastAsia="Calibri" w:hAnsi="Sakkal Majalla" w:cs="Sakkal Majalla"/>
          <w:color w:val="000000" w:themeColor="text1"/>
          <w:sz w:val="28"/>
          <w:szCs w:val="28"/>
        </w:rPr>
        <w:t>".</w:t>
      </w:r>
    </w:p>
    <w:p w14:paraId="5B610EE7" w14:textId="63DC70F2"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 تشير دراسة</w:t>
      </w:r>
      <w:r w:rsidRPr="00396255">
        <w:rPr>
          <w:rFonts w:ascii="Sakkal Majalla" w:eastAsia="Calibri" w:hAnsi="Sakkal Majalla" w:cs="Sakkal Majalla"/>
          <w:color w:val="000000" w:themeColor="text1"/>
          <w:sz w:val="28"/>
          <w:szCs w:val="28"/>
        </w:rPr>
        <w:t xml:space="preserve"> </w:t>
      </w:r>
      <w:proofErr w:type="spellStart"/>
      <w:r w:rsidRPr="00396255">
        <w:rPr>
          <w:rFonts w:ascii="Sakkal Majalla" w:eastAsia="Calibri" w:hAnsi="Sakkal Majalla" w:cs="Sakkal Majalla"/>
          <w:color w:val="000000" w:themeColor="text1"/>
          <w:sz w:val="28"/>
          <w:szCs w:val="28"/>
        </w:rPr>
        <w:t>Pemmasani</w:t>
      </w:r>
      <w:proofErr w:type="spellEnd"/>
      <w:r w:rsidRPr="00396255">
        <w:rPr>
          <w:rFonts w:ascii="Sakkal Majalla" w:eastAsia="Calibri" w:hAnsi="Sakkal Majalla" w:cs="Sakkal Majalla"/>
          <w:color w:val="000000" w:themeColor="text1"/>
          <w:sz w:val="28"/>
          <w:szCs w:val="28"/>
        </w:rPr>
        <w:t xml:space="preserve"> &amp; Anderson (2020) </w:t>
      </w:r>
      <w:r w:rsidRPr="00396255">
        <w:rPr>
          <w:rFonts w:ascii="Sakkal Majalla" w:eastAsia="Calibri" w:hAnsi="Sakkal Majalla" w:cs="Sakkal Majalla"/>
          <w:color w:val="000000" w:themeColor="text1"/>
          <w:sz w:val="28"/>
          <w:szCs w:val="28"/>
          <w:rtl/>
        </w:rPr>
        <w:t xml:space="preserve">إلى أن إدارة المخاطر هي "مجموعة منهجيات ونظم تُعنى بتحديد وتقييم وتقليل احتمالية تأثير الأحداث غير المتوقعة على أهداف المؤسسة، خصوصاً في ظل التحولات الرقمية المتسارعة"، ويرى </w:t>
      </w:r>
      <w:proofErr w:type="spellStart"/>
      <w:r w:rsidRPr="00396255">
        <w:rPr>
          <w:rFonts w:ascii="Sakkal Majalla" w:eastAsia="Calibri" w:hAnsi="Sakkal Majalla" w:cs="Sakkal Majalla"/>
          <w:color w:val="000000" w:themeColor="text1"/>
          <w:sz w:val="28"/>
          <w:szCs w:val="28"/>
        </w:rPr>
        <w:t>Rauniyar</w:t>
      </w:r>
      <w:proofErr w:type="spellEnd"/>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وآخرون</w:t>
      </w:r>
      <w:r w:rsidRPr="00396255">
        <w:rPr>
          <w:rFonts w:ascii="Sakkal Majalla" w:eastAsia="Calibri" w:hAnsi="Sakkal Majalla" w:cs="Sakkal Majalla"/>
          <w:color w:val="000000" w:themeColor="text1"/>
          <w:sz w:val="28"/>
          <w:szCs w:val="28"/>
        </w:rPr>
        <w:t xml:space="preserve"> (2023) </w:t>
      </w:r>
      <w:r w:rsidRPr="00396255">
        <w:rPr>
          <w:rFonts w:ascii="Sakkal Majalla" w:eastAsia="Calibri" w:hAnsi="Sakkal Majalla" w:cs="Sakkal Majalla"/>
          <w:color w:val="000000" w:themeColor="text1"/>
          <w:sz w:val="28"/>
          <w:szCs w:val="28"/>
          <w:rtl/>
        </w:rPr>
        <w:t>أن إدارة المخاطر الرقمية لم تعد تقتصر على الحماية من التهديدات التقنية، بل أصبحت عنصراً استراتيجياً في دعم القرار المؤسسي وبناء المرونة التشغيلية</w:t>
      </w:r>
      <w:r w:rsidRPr="00396255">
        <w:rPr>
          <w:rFonts w:ascii="Sakkal Majalla" w:eastAsia="Calibri" w:hAnsi="Sakkal Majalla" w:cs="Sakkal Majalla"/>
          <w:color w:val="000000" w:themeColor="text1"/>
          <w:sz w:val="28"/>
          <w:szCs w:val="28"/>
        </w:rPr>
        <w:t>.</w:t>
      </w:r>
    </w:p>
    <w:p w14:paraId="3585A3DD"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وقد سعت بعض الدراسات إلى الربط بين المجالين، حيث يرى </w:t>
      </w:r>
      <w:proofErr w:type="spellStart"/>
      <w:r w:rsidRPr="00396255">
        <w:rPr>
          <w:rFonts w:ascii="Sakkal Majalla" w:eastAsia="Calibri" w:hAnsi="Sakkal Majalla" w:cs="Sakkal Majalla"/>
          <w:color w:val="000000" w:themeColor="text1"/>
          <w:sz w:val="28"/>
          <w:szCs w:val="28"/>
        </w:rPr>
        <w:t>Avinash</w:t>
      </w:r>
      <w:proofErr w:type="spellEnd"/>
      <w:r w:rsidRPr="00396255">
        <w:rPr>
          <w:rFonts w:ascii="Sakkal Majalla" w:eastAsia="Calibri" w:hAnsi="Sakkal Majalla" w:cs="Sakkal Majalla"/>
          <w:color w:val="000000" w:themeColor="text1"/>
          <w:sz w:val="28"/>
          <w:szCs w:val="28"/>
        </w:rPr>
        <w:t xml:space="preserve"> &amp; Joseph (2024) </w:t>
      </w:r>
      <w:r w:rsidRPr="00396255">
        <w:rPr>
          <w:rFonts w:ascii="Sakkal Majalla" w:eastAsia="Calibri" w:hAnsi="Sakkal Majalla" w:cs="Sakkal Majalla"/>
          <w:color w:val="000000" w:themeColor="text1"/>
          <w:sz w:val="28"/>
          <w:szCs w:val="28"/>
          <w:rtl/>
        </w:rPr>
        <w:t xml:space="preserve">أن "التحول الرقمي دون إدارة فعّالة للمخاطر قد يقود إلى تعقيدات تشغيلية وأمنية، في حين أن تضمين إدارة المخاطر كعنصر مدمج في استراتيجيات التحول يضمن استدامة الأنظمة الرقمية". ويدعم ذلك ما جاء في دراسة </w:t>
      </w:r>
      <w:r w:rsidRPr="00396255">
        <w:rPr>
          <w:rFonts w:ascii="Sakkal Majalla" w:eastAsia="Calibri" w:hAnsi="Sakkal Majalla" w:cs="Sakkal Majalla"/>
          <w:color w:val="000000" w:themeColor="text1"/>
          <w:sz w:val="28"/>
          <w:szCs w:val="28"/>
        </w:rPr>
        <w:t xml:space="preserve">Saeed </w:t>
      </w:r>
      <w:r w:rsidRPr="00396255">
        <w:rPr>
          <w:rFonts w:ascii="Sakkal Majalla" w:eastAsia="Calibri" w:hAnsi="Sakkal Majalla" w:cs="Sakkal Majalla"/>
          <w:color w:val="000000" w:themeColor="text1"/>
          <w:sz w:val="28"/>
          <w:szCs w:val="28"/>
          <w:rtl/>
        </w:rPr>
        <w:t>وآخرون</w:t>
      </w:r>
      <w:r w:rsidRPr="00396255">
        <w:rPr>
          <w:rFonts w:ascii="Sakkal Majalla" w:eastAsia="Calibri" w:hAnsi="Sakkal Majalla" w:cs="Sakkal Majalla"/>
          <w:color w:val="000000" w:themeColor="text1"/>
          <w:sz w:val="28"/>
          <w:szCs w:val="28"/>
        </w:rPr>
        <w:t xml:space="preserve"> (2023) </w:t>
      </w:r>
      <w:r w:rsidRPr="00396255">
        <w:rPr>
          <w:rFonts w:ascii="Sakkal Majalla" w:eastAsia="Calibri" w:hAnsi="Sakkal Majalla" w:cs="Sakkal Majalla"/>
          <w:color w:val="000000" w:themeColor="text1"/>
          <w:sz w:val="28"/>
          <w:szCs w:val="28"/>
          <w:rtl/>
        </w:rPr>
        <w:t>التي أشارت إلى أن "التكامل بين التحول الرقمي وإدارة المخاطر يشكل عاملاً حاسمًا في بناء منظمات أكثر مرونة وكفاءة، لا سيما في البيئات التي تتطلب استجابة دقيقة مثل القطاع الصحي</w:t>
      </w:r>
      <w:r w:rsidRPr="00396255">
        <w:rPr>
          <w:rFonts w:ascii="Sakkal Majalla" w:eastAsia="Calibri" w:hAnsi="Sakkal Majalla" w:cs="Sakkal Majalla"/>
          <w:color w:val="000000" w:themeColor="text1"/>
          <w:sz w:val="28"/>
          <w:szCs w:val="28"/>
        </w:rPr>
        <w:t>".</w:t>
      </w:r>
    </w:p>
    <w:p w14:paraId="62EC16FF"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كما يؤكد </w:t>
      </w:r>
      <w:r w:rsidRPr="00396255">
        <w:rPr>
          <w:rFonts w:ascii="Sakkal Majalla" w:eastAsia="Calibri" w:hAnsi="Sakkal Majalla" w:cs="Sakkal Majalla"/>
          <w:color w:val="000000" w:themeColor="text1"/>
          <w:sz w:val="28"/>
          <w:szCs w:val="28"/>
        </w:rPr>
        <w:t xml:space="preserve">Marques &amp; Ferreira (2020) </w:t>
      </w:r>
      <w:r w:rsidRPr="00396255">
        <w:rPr>
          <w:rFonts w:ascii="Sakkal Majalla" w:eastAsia="Calibri" w:hAnsi="Sakkal Majalla" w:cs="Sakkal Majalla"/>
          <w:color w:val="000000" w:themeColor="text1"/>
          <w:sz w:val="28"/>
          <w:szCs w:val="28"/>
          <w:rtl/>
        </w:rPr>
        <w:t>على أن المؤسسات الناجحة في العصر الرقمي هي تلك التي تبني أنظمة رقمية متكاملة مع منظومة إدارة المخاطر المؤسسية، بحيث تعمل التكنولوجيا كأداة كشف وتنبؤ، لا مجرد وسيلة تنفيذ</w:t>
      </w:r>
      <w:r w:rsidRPr="00396255">
        <w:rPr>
          <w:rFonts w:ascii="Sakkal Majalla" w:eastAsia="Calibri" w:hAnsi="Sakkal Majalla" w:cs="Sakkal Majalla"/>
          <w:color w:val="000000" w:themeColor="text1"/>
          <w:sz w:val="28"/>
          <w:szCs w:val="28"/>
        </w:rPr>
        <w:t>.</w:t>
      </w:r>
    </w:p>
    <w:p w14:paraId="07CDC329" w14:textId="4CBB173A"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انطلاقاً من التعريفات السابقة، يرى الباحث أن التكامل بين التحول الرقمي وإدارة المخاطر هو</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 xml:space="preserve">عملية استراتيجية تسعى إلى المواءمة بين التحديث التقني الشامل لعمليات المؤسسة من جهة، والقدرة المنهجية على توقع </w:t>
      </w:r>
      <w:r w:rsidRPr="00396255">
        <w:rPr>
          <w:rFonts w:ascii="Sakkal Majalla" w:eastAsia="Calibri" w:hAnsi="Sakkal Majalla" w:cs="Sakkal Majalla"/>
          <w:color w:val="000000" w:themeColor="text1"/>
          <w:sz w:val="28"/>
          <w:szCs w:val="28"/>
          <w:rtl/>
        </w:rPr>
        <w:lastRenderedPageBreak/>
        <w:t>التهديدات وتقليل آثارها من جهة أخرى، وذلك ضمن إطار تشغيلي وإداري متكامل يضمن تحقيق الكفاءة والاستجابة والاستدامة، لا سيما في المؤسسات ذات الطابع الحيوي كالمستودعات الحكومية الصحية</w:t>
      </w:r>
      <w:r w:rsidRPr="00396255">
        <w:rPr>
          <w:rFonts w:ascii="Sakkal Majalla" w:eastAsia="Calibri" w:hAnsi="Sakkal Majalla" w:cs="Sakkal Majalla"/>
          <w:color w:val="000000" w:themeColor="text1"/>
          <w:sz w:val="28"/>
          <w:szCs w:val="28"/>
        </w:rPr>
        <w:t>."</w:t>
      </w:r>
    </w:p>
    <w:p w14:paraId="569E4A4D" w14:textId="79EE9963" w:rsidR="000B7C0D" w:rsidRPr="00396255" w:rsidRDefault="00EA32BE" w:rsidP="00EA32B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4" w:name="_Toc214151650"/>
      <w:r w:rsidRPr="00396255">
        <w:rPr>
          <w:rFonts w:ascii="Sakkal Majalla" w:eastAsia="Calibri" w:hAnsi="Sakkal Majalla" w:cs="Sakkal Majalla" w:hint="cs"/>
          <w:b/>
          <w:bCs/>
          <w:color w:val="000000" w:themeColor="text1"/>
          <w:sz w:val="32"/>
          <w:szCs w:val="32"/>
          <w:rtl/>
        </w:rPr>
        <w:t xml:space="preserve">3.1.2 </w:t>
      </w:r>
      <w:r w:rsidR="000B7C0D" w:rsidRPr="00396255">
        <w:rPr>
          <w:rFonts w:ascii="Sakkal Majalla" w:eastAsia="Calibri" w:hAnsi="Sakkal Majalla" w:cs="Sakkal Majalla"/>
          <w:b/>
          <w:bCs/>
          <w:color w:val="000000" w:themeColor="text1"/>
          <w:sz w:val="32"/>
          <w:szCs w:val="32"/>
          <w:rtl/>
        </w:rPr>
        <w:t>أهمية التكامل بين التحول الرقمي وإدارة المخاطر</w:t>
      </w:r>
      <w:bookmarkEnd w:id="44"/>
    </w:p>
    <w:p w14:paraId="119545D1" w14:textId="46CA2862"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في ظل التغيرات المتسارعة التي يشهدها العالم الرقمي، وما يصاحبها من تحديات تقنية وتشغيلية وتنظيمية، تبرز الحاجة الماسّة إلى إيجاد توازن دقيق بين تبني أدوات وتقنيات التحول الرقمي، وبين تفعيل إدارة فعالة للمخاطر المرتبطة بتلك التحولات، فلا يمكن اليوم أن تتحقق الكفاءة المؤسسية، ولا سيما في القطاعات الحكومية الحيوية، من خلال اعتماد التكنولوجيا فحسب، دون الالتفات إلى التحديات والمخاطر المحتملة ، فإن الإفراط في التركيز على إدارة المخاطر دون تفعيل أدوات التحول الرقمي قد يُبقي المؤسسات رهينة الإجراءات التقليدية، ويُفقدها القدرة على التنافس والتكيّف</w:t>
      </w:r>
      <w:r w:rsidRPr="00396255">
        <w:rPr>
          <w:rFonts w:ascii="Sakkal Majalla" w:eastAsia="Calibri" w:hAnsi="Sakkal Majalla" w:cs="Sakkal Majalla"/>
          <w:color w:val="000000" w:themeColor="text1"/>
          <w:sz w:val="28"/>
          <w:szCs w:val="28"/>
        </w:rPr>
        <w:t>.</w:t>
      </w:r>
    </w:p>
    <w:p w14:paraId="26A40E3C" w14:textId="2205F618"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إن التكامل بين التحول الرقمي وإدارة المخاطر يمثّل نقطة التقاء استراتيجية بين الرغبة في التحديث والابتكار من جهة، والحاجة إلى الحماية والامتثال والاستقرار من جهة أخرى، وتزداد أهمية هذا التكامل بشكل خاص في مجال المستودعات الصحية الحكومية، التي تمثل مكوناً حيوياً في استمرارية الخدمة الصحية وسرعة الاستجابة للطوارئ</w:t>
      </w:r>
      <w:r w:rsidRPr="00396255">
        <w:rPr>
          <w:rFonts w:ascii="Sakkal Majalla" w:eastAsia="Calibri" w:hAnsi="Sakkal Majalla" w:cs="Sakkal Majalla"/>
          <w:color w:val="000000" w:themeColor="text1"/>
          <w:sz w:val="28"/>
          <w:szCs w:val="28"/>
        </w:rPr>
        <w:t>.</w:t>
      </w:r>
    </w:p>
    <w:p w14:paraId="7EC2ED2F"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ويشير الربيع ومفلح</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إلى أن أهمية هذا التكامل تتجلى في عدة أبعاد، من أبرزها</w:t>
      </w:r>
      <w:r w:rsidRPr="00396255">
        <w:rPr>
          <w:rFonts w:ascii="Sakkal Majalla" w:eastAsia="Calibri" w:hAnsi="Sakkal Majalla" w:cs="Sakkal Majalla"/>
          <w:color w:val="000000" w:themeColor="text1"/>
          <w:sz w:val="28"/>
          <w:szCs w:val="28"/>
        </w:rPr>
        <w:t>:</w:t>
      </w:r>
    </w:p>
    <w:p w14:paraId="171218AA" w14:textId="77777777" w:rsidR="000B7C0D" w:rsidRPr="00396255" w:rsidRDefault="000B7C0D" w:rsidP="005C278D">
      <w:pPr>
        <w:numPr>
          <w:ilvl w:val="0"/>
          <w:numId w:val="1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رفع كفاءة العمليات التشغيلية</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حيث يسهم التحول الرقمي في تسريع وتبسيط الإجراءات، في حين تسهم إدارة المخاطر في ضبط الأداء وتقليل التهديدات المحتملة التي قد تعيق سير العمل</w:t>
      </w:r>
      <w:r w:rsidRPr="00396255">
        <w:rPr>
          <w:rFonts w:ascii="Sakkal Majalla" w:eastAsia="Calibri" w:hAnsi="Sakkal Majalla" w:cs="Sakkal Majalla"/>
          <w:color w:val="000000" w:themeColor="text1"/>
          <w:sz w:val="28"/>
          <w:szCs w:val="28"/>
        </w:rPr>
        <w:t>.</w:t>
      </w:r>
    </w:p>
    <w:p w14:paraId="2C48FD83" w14:textId="77777777" w:rsidR="000B7C0D" w:rsidRPr="00396255" w:rsidRDefault="000B7C0D" w:rsidP="005C278D">
      <w:pPr>
        <w:numPr>
          <w:ilvl w:val="0"/>
          <w:numId w:val="1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تحقيق التوازن بين المرونة والرقابة</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فالأنظمة الرقمية تتيح مرونة وسرعة عالية، بينما تُعد إدارة المخاطر أداة للحفاظ على جودة القرارات وتجنّب التهور التنظيمي</w:t>
      </w:r>
      <w:r w:rsidRPr="00396255">
        <w:rPr>
          <w:rFonts w:ascii="Sakkal Majalla" w:eastAsia="Calibri" w:hAnsi="Sakkal Majalla" w:cs="Sakkal Majalla"/>
          <w:color w:val="000000" w:themeColor="text1"/>
          <w:sz w:val="28"/>
          <w:szCs w:val="28"/>
        </w:rPr>
        <w:t>.</w:t>
      </w:r>
    </w:p>
    <w:p w14:paraId="07325692" w14:textId="77777777" w:rsidR="000B7C0D" w:rsidRPr="00396255" w:rsidRDefault="000B7C0D" w:rsidP="005C278D">
      <w:pPr>
        <w:numPr>
          <w:ilvl w:val="0"/>
          <w:numId w:val="11"/>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ضمان استدامة الأداء المؤسسي</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من خلال تعزيز القدرة على التنبؤ بالمخاطر، وتطويع أدوات التحول الرقمي لبناء منظومة إنذار مبكر واتخاذ قرارات مبنية على البيانات</w:t>
      </w:r>
      <w:r w:rsidRPr="00396255">
        <w:rPr>
          <w:rFonts w:ascii="Sakkal Majalla" w:eastAsia="Calibri" w:hAnsi="Sakkal Majalla" w:cs="Sakkal Majalla"/>
          <w:color w:val="000000" w:themeColor="text1"/>
          <w:sz w:val="28"/>
          <w:szCs w:val="28"/>
        </w:rPr>
        <w:t>.</w:t>
      </w:r>
    </w:p>
    <w:p w14:paraId="312FD98F"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lastRenderedPageBreak/>
        <w:t>كما يرى الشقاحين والعزب</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أن أهمية التكامل بين التحول الرقمي وإدارة المخاطر تنبع من قدرته على</w:t>
      </w:r>
      <w:r w:rsidRPr="00396255">
        <w:rPr>
          <w:rFonts w:ascii="Sakkal Majalla" w:eastAsia="Calibri" w:hAnsi="Sakkal Majalla" w:cs="Sakkal Majalla"/>
          <w:color w:val="000000" w:themeColor="text1"/>
          <w:sz w:val="28"/>
          <w:szCs w:val="28"/>
        </w:rPr>
        <w:t>:</w:t>
      </w:r>
    </w:p>
    <w:p w14:paraId="13BA1779" w14:textId="77777777" w:rsidR="000B7C0D" w:rsidRPr="00396255" w:rsidRDefault="000B7C0D" w:rsidP="005C278D">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تعزيز موثوقية الخدمات العامة</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لاسيما في المؤسسات الخدمية الحساسة مثل المستودعات الصحية، حيث يُسهم هذا التكامل في تقليل الأخطاء، وضمان وصول الخدمات في الوقت المناسب</w:t>
      </w:r>
      <w:r w:rsidRPr="00396255">
        <w:rPr>
          <w:rFonts w:ascii="Sakkal Majalla" w:eastAsia="Calibri" w:hAnsi="Sakkal Majalla" w:cs="Sakkal Majalla"/>
          <w:color w:val="000000" w:themeColor="text1"/>
          <w:sz w:val="28"/>
          <w:szCs w:val="28"/>
        </w:rPr>
        <w:t>.</w:t>
      </w:r>
    </w:p>
    <w:p w14:paraId="65232C3C" w14:textId="77777777" w:rsidR="000B7C0D" w:rsidRPr="00396255" w:rsidRDefault="000B7C0D" w:rsidP="005C278D">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تحسين القدرة المؤسسية على التكيف</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من خلال تفعيل أنظمة معلومات متكاملة تساعد في مراقبة المخاطر وتحليل البيانات بصورة لحظية، وبالتالي رفع مستوى الجاهزية المؤسسية</w:t>
      </w:r>
      <w:r w:rsidRPr="00396255">
        <w:rPr>
          <w:rFonts w:ascii="Sakkal Majalla" w:eastAsia="Calibri" w:hAnsi="Sakkal Majalla" w:cs="Sakkal Majalla"/>
          <w:color w:val="000000" w:themeColor="text1"/>
          <w:sz w:val="28"/>
          <w:szCs w:val="28"/>
        </w:rPr>
        <w:t>.</w:t>
      </w:r>
    </w:p>
    <w:p w14:paraId="1164EB3E" w14:textId="77777777" w:rsidR="000B7C0D" w:rsidRPr="00396255" w:rsidRDefault="000B7C0D" w:rsidP="005C278D">
      <w:pPr>
        <w:numPr>
          <w:ilvl w:val="0"/>
          <w:numId w:val="12"/>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تحقيق أعلى درجات الشفافية والرقابة</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إذ تُمكن الأدوات الرقمية من تتبع العمليات بدقة، بينما تُوفر إدارة المخاطر آلية للتدقيق والتقييم المستمر، مما يخلق بيئة عمل محكومة بالحوكمة الرشيدة والمساءلة</w:t>
      </w:r>
      <w:r w:rsidRPr="00396255">
        <w:rPr>
          <w:rFonts w:ascii="Sakkal Majalla" w:eastAsia="Calibri" w:hAnsi="Sakkal Majalla" w:cs="Sakkal Majalla"/>
          <w:color w:val="000000" w:themeColor="text1"/>
          <w:sz w:val="28"/>
          <w:szCs w:val="28"/>
        </w:rPr>
        <w:t>.</w:t>
      </w:r>
    </w:p>
    <w:p w14:paraId="6082CFAD" w14:textId="59BEC757" w:rsidR="001B4725"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ويرى الباحث أن أهمية هذا التكامل لا تقتصر على الجوانب التقنية أو التشغيلية فقط، بل تمتد لتشمل التحول في الثقافة المؤسسية ذاتها، حيث يصبح التفكير الرقمي جزءاً من أدوات إدارة المخاطر، وتُبنى الهياكل التنظيمية على أساس من التفاعل الديناميكي بين الابتكار والامتثال، بين المرونة والانضباط. </w:t>
      </w:r>
    </w:p>
    <w:p w14:paraId="3EADA464" w14:textId="30DDB6E0" w:rsidR="000B7C0D" w:rsidRPr="00396255" w:rsidRDefault="00EA32BE" w:rsidP="00EA32B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5" w:name="_Toc214151651"/>
      <w:r w:rsidRPr="00396255">
        <w:rPr>
          <w:rFonts w:ascii="Sakkal Majalla" w:eastAsia="Calibri" w:hAnsi="Sakkal Majalla" w:cs="Sakkal Majalla" w:hint="cs"/>
          <w:b/>
          <w:bCs/>
          <w:color w:val="000000" w:themeColor="text1"/>
          <w:sz w:val="32"/>
          <w:szCs w:val="32"/>
          <w:rtl/>
        </w:rPr>
        <w:t>4.1.2 ا</w:t>
      </w:r>
      <w:r w:rsidR="000B7C0D" w:rsidRPr="00396255">
        <w:rPr>
          <w:rFonts w:ascii="Sakkal Majalla" w:eastAsia="Calibri" w:hAnsi="Sakkal Majalla" w:cs="Sakkal Majalla"/>
          <w:b/>
          <w:bCs/>
          <w:color w:val="000000" w:themeColor="text1"/>
          <w:sz w:val="32"/>
          <w:szCs w:val="32"/>
          <w:rtl/>
        </w:rPr>
        <w:t>لأبعاد الرئيسة للتكامل بين التحول الرقمي وإدارة المخاطر</w:t>
      </w:r>
      <w:bookmarkEnd w:id="45"/>
    </w:p>
    <w:p w14:paraId="26886EE4"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تم تحديد الأبعاد الأربعة الرئيسة للتكامل بين التحول الرقمي وإدارة المخاطر في هذه الدراسة استنادًا إلى ما ورد في دراسة العمارات والمحاسنة</w:t>
      </w:r>
      <w:r w:rsidRPr="00396255">
        <w:rPr>
          <w:rFonts w:ascii="Sakkal Majalla" w:eastAsia="Calibri" w:hAnsi="Sakkal Majalla" w:cs="Sakkal Majalla"/>
          <w:color w:val="000000" w:themeColor="text1"/>
          <w:sz w:val="28"/>
          <w:szCs w:val="28"/>
        </w:rPr>
        <w:t xml:space="preserve"> (2023) </w:t>
      </w:r>
      <w:r w:rsidRPr="00396255">
        <w:rPr>
          <w:rFonts w:ascii="Sakkal Majalla" w:eastAsia="Calibri" w:hAnsi="Sakkal Majalla" w:cs="Sakkal Majalla"/>
          <w:color w:val="000000" w:themeColor="text1"/>
          <w:sz w:val="28"/>
          <w:szCs w:val="28"/>
          <w:rtl/>
        </w:rPr>
        <w:t>التي ركزت على العلاقة بين التحول الرقمي والابتكار التكنولوجي، وكذلك دراسة الشقاحين والعزب</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 xml:space="preserve">التي تناولت جودة الخدمات الحكومية من منظور رقمي وإداري، إلى جانب ما طرحه </w:t>
      </w:r>
      <w:proofErr w:type="spellStart"/>
      <w:r w:rsidRPr="00396255">
        <w:rPr>
          <w:rFonts w:ascii="Sakkal Majalla" w:eastAsia="Calibri" w:hAnsi="Sakkal Majalla" w:cs="Sakkal Majalla"/>
          <w:color w:val="000000" w:themeColor="text1"/>
          <w:sz w:val="28"/>
          <w:szCs w:val="28"/>
        </w:rPr>
        <w:t>Pemmasani</w:t>
      </w:r>
      <w:proofErr w:type="spellEnd"/>
      <w:r w:rsidRPr="00396255">
        <w:rPr>
          <w:rFonts w:ascii="Sakkal Majalla" w:eastAsia="Calibri" w:hAnsi="Sakkal Majalla" w:cs="Sakkal Majalla"/>
          <w:color w:val="000000" w:themeColor="text1"/>
          <w:sz w:val="28"/>
          <w:szCs w:val="28"/>
        </w:rPr>
        <w:t xml:space="preserve"> &amp; Anderson (2020) </w:t>
      </w:r>
      <w:r w:rsidRPr="00396255">
        <w:rPr>
          <w:rFonts w:ascii="Sakkal Majalla" w:eastAsia="Calibri" w:hAnsi="Sakkal Majalla" w:cs="Sakkal Majalla"/>
          <w:color w:val="000000" w:themeColor="text1"/>
          <w:sz w:val="28"/>
          <w:szCs w:val="28"/>
          <w:rtl/>
        </w:rPr>
        <w:t xml:space="preserve">حول تكامل إدارة المخاطر ضمن بيئات رقمية متطورة، ودراسة </w:t>
      </w:r>
      <w:proofErr w:type="spellStart"/>
      <w:r w:rsidRPr="00396255">
        <w:rPr>
          <w:rFonts w:ascii="Sakkal Majalla" w:eastAsia="Calibri" w:hAnsi="Sakkal Majalla" w:cs="Sakkal Majalla"/>
          <w:color w:val="000000" w:themeColor="text1"/>
          <w:sz w:val="28"/>
          <w:szCs w:val="28"/>
        </w:rPr>
        <w:t>Avinash</w:t>
      </w:r>
      <w:proofErr w:type="spellEnd"/>
      <w:r w:rsidRPr="00396255">
        <w:rPr>
          <w:rFonts w:ascii="Sakkal Majalla" w:eastAsia="Calibri" w:hAnsi="Sakkal Majalla" w:cs="Sakkal Majalla"/>
          <w:color w:val="000000" w:themeColor="text1"/>
          <w:sz w:val="28"/>
          <w:szCs w:val="28"/>
        </w:rPr>
        <w:t xml:space="preserve"> &amp; Joseph (2024) </w:t>
      </w:r>
      <w:r w:rsidRPr="00396255">
        <w:rPr>
          <w:rFonts w:ascii="Sakkal Majalla" w:eastAsia="Calibri" w:hAnsi="Sakkal Majalla" w:cs="Sakkal Majalla"/>
          <w:color w:val="000000" w:themeColor="text1"/>
          <w:sz w:val="28"/>
          <w:szCs w:val="28"/>
          <w:rtl/>
        </w:rPr>
        <w:t>التي استعرضت كفاءة سلاسل الإمداد الصحي في ظل التحول الرقمي</w:t>
      </w:r>
      <w:r w:rsidRPr="00396255">
        <w:rPr>
          <w:rFonts w:ascii="Sakkal Majalla" w:eastAsia="Calibri" w:hAnsi="Sakkal Majalla" w:cs="Sakkal Majalla"/>
          <w:color w:val="000000" w:themeColor="text1"/>
          <w:sz w:val="28"/>
          <w:szCs w:val="28"/>
        </w:rPr>
        <w:t>.</w:t>
      </w:r>
    </w:p>
    <w:p w14:paraId="7DBAB6BE" w14:textId="5FEA28E5"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وقد تم اعتماد أربعة أبعاد تمثل المكونات الجوهرية التي تُعبر عن طبيعة هذا التكامل، وهي</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البنية التحتية التكنولوجية، الرؤية الاستراتيجية، المهارات الرقمية، النهج المتحوّر حول العملاء</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ويُنظر إلى هذه الأبعاد على أنها مترابطة وتفاعلية، حيث لا يمكن تحقيق تكامل فعّال ما لم تكن هذه المكونات مفعّلة ومتداخلة ضمن الإطار المؤسسي</w:t>
      </w:r>
      <w:r w:rsidR="00EA32BE" w:rsidRPr="00396255">
        <w:rPr>
          <w:rFonts w:ascii="Sakkal Majalla" w:eastAsia="Calibri" w:hAnsi="Sakkal Majalla" w:cs="Sakkal Majalla"/>
          <w:color w:val="000000" w:themeColor="text1"/>
          <w:sz w:val="28"/>
          <w:szCs w:val="28"/>
        </w:rPr>
        <w:t>.</w:t>
      </w:r>
    </w:p>
    <w:p w14:paraId="7F01A336" w14:textId="352FBC19" w:rsidR="000B7C0D" w:rsidRPr="00396255" w:rsidRDefault="000B7C0D"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lastRenderedPageBreak/>
        <w:t>البنية التحتية التكنولوجية</w:t>
      </w:r>
    </w:p>
    <w:p w14:paraId="7CDF491F" w14:textId="01E9AEA3"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تمثل البنية التحتية التكنولوجية الركيزة الأساس لأي مبادرة رقمية ناجحة، إذ تشمل الأجهزة، البرمجيات، الشبكات، قواعد البيانات، الحوسبة السحابية، أنظمة المعلومات، بالإضافة إلى أدوات التكامل بين الأنظمة</w:t>
      </w:r>
      <w:r w:rsidR="00ED5763" w:rsidRPr="00396255">
        <w:rPr>
          <w:rFonts w:ascii="Sakkal Majalla" w:eastAsia="Calibri" w:hAnsi="Sakkal Majalla" w:cs="Sakkal Majalla"/>
          <w:color w:val="000000" w:themeColor="text1"/>
          <w:sz w:val="28"/>
          <w:szCs w:val="28"/>
          <w:rtl/>
        </w:rPr>
        <w:t>،</w:t>
      </w:r>
      <w:r w:rsidRPr="00396255">
        <w:rPr>
          <w:rFonts w:ascii="Sakkal Majalla" w:eastAsia="Calibri" w:hAnsi="Sakkal Majalla" w:cs="Sakkal Majalla"/>
          <w:color w:val="000000" w:themeColor="text1"/>
          <w:sz w:val="28"/>
          <w:szCs w:val="28"/>
          <w:rtl/>
        </w:rPr>
        <w:t xml:space="preserve"> إن توفر بنية تحتية تقنية قوية يُمكّن المؤسسات من تنفيذ عملياتها بكفاءة، ويعزز من قدرتها على جمع وتحليل البيانات، وتقديم الخدمات في الوقت المناسب</w:t>
      </w:r>
      <w:r w:rsidRPr="00396255">
        <w:rPr>
          <w:rFonts w:ascii="Sakkal Majalla" w:eastAsia="Calibri" w:hAnsi="Sakkal Majalla" w:cs="Sakkal Majalla"/>
          <w:color w:val="000000" w:themeColor="text1"/>
          <w:sz w:val="28"/>
          <w:szCs w:val="28"/>
        </w:rPr>
        <w:t>.</w:t>
      </w:r>
    </w:p>
    <w:p w14:paraId="1D0529DE"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وقد أكدت دراسة شلهوب وبني خالد</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 xml:space="preserve">أن قوة البنية التحتية التكنولوجية ترتبط مباشرة بمستوى الجاهزية الرقمية، بينما أشار </w:t>
      </w:r>
      <w:proofErr w:type="spellStart"/>
      <w:r w:rsidRPr="00396255">
        <w:rPr>
          <w:rFonts w:ascii="Sakkal Majalla" w:eastAsia="Calibri" w:hAnsi="Sakkal Majalla" w:cs="Sakkal Majalla"/>
          <w:color w:val="000000" w:themeColor="text1"/>
          <w:sz w:val="28"/>
          <w:szCs w:val="28"/>
        </w:rPr>
        <w:t>Rauniyar</w:t>
      </w:r>
      <w:proofErr w:type="spellEnd"/>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وآخرون</w:t>
      </w:r>
      <w:r w:rsidRPr="00396255">
        <w:rPr>
          <w:rFonts w:ascii="Sakkal Majalla" w:eastAsia="Calibri" w:hAnsi="Sakkal Majalla" w:cs="Sakkal Majalla"/>
          <w:color w:val="000000" w:themeColor="text1"/>
          <w:sz w:val="28"/>
          <w:szCs w:val="28"/>
        </w:rPr>
        <w:t xml:space="preserve"> (2023) </w:t>
      </w:r>
      <w:r w:rsidRPr="00396255">
        <w:rPr>
          <w:rFonts w:ascii="Sakkal Majalla" w:eastAsia="Calibri" w:hAnsi="Sakkal Majalla" w:cs="Sakkal Majalla"/>
          <w:color w:val="000000" w:themeColor="text1"/>
          <w:sz w:val="28"/>
          <w:szCs w:val="28"/>
          <w:rtl/>
        </w:rPr>
        <w:t>إلى أن هذه البنية تُعد أداة رئيسة لتمكين إدارة المخاطر، من خلال مراقبة الأنشطة، واكتشاف التهديدات مبكرًا، وتقديم تقارير لحظية تدعم اتخاذ القرار</w:t>
      </w:r>
      <w:r w:rsidRPr="00396255">
        <w:rPr>
          <w:rFonts w:ascii="Sakkal Majalla" w:eastAsia="Calibri" w:hAnsi="Sakkal Majalla" w:cs="Sakkal Majalla"/>
          <w:color w:val="000000" w:themeColor="text1"/>
          <w:sz w:val="28"/>
          <w:szCs w:val="28"/>
        </w:rPr>
        <w:t>.</w:t>
      </w:r>
    </w:p>
    <w:p w14:paraId="7ED5500D" w14:textId="4BEDE28F"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وفي سياق المستودعات الصحية، تتيح البنية التحتية الرقمية تتبع الأدوية، مراقبة مستويات المخزون، التحذير من الانتهاء أو النقص، والتكامل مع أنظمة المستشفيات، وكلها عمليات تقلل من الهدر وتُسهم في الاستجابة الفورية للاحتياجات</w:t>
      </w:r>
      <w:r w:rsidR="00ED5763" w:rsidRPr="00396255">
        <w:rPr>
          <w:rFonts w:ascii="Sakkal Majalla" w:eastAsia="Calibri" w:hAnsi="Sakkal Majalla" w:cs="Sakkal Majalla"/>
          <w:color w:val="000000" w:themeColor="text1"/>
          <w:sz w:val="28"/>
          <w:szCs w:val="28"/>
          <w:rtl/>
        </w:rPr>
        <w:t>،</w:t>
      </w:r>
      <w:r w:rsidRPr="00396255">
        <w:rPr>
          <w:rFonts w:ascii="Sakkal Majalla" w:eastAsia="Calibri" w:hAnsi="Sakkal Majalla" w:cs="Sakkal Majalla"/>
          <w:color w:val="000000" w:themeColor="text1"/>
          <w:sz w:val="28"/>
          <w:szCs w:val="28"/>
          <w:rtl/>
        </w:rPr>
        <w:t xml:space="preserve"> كما أن ضعف البنية التحتية يؤدي إلى تعطل الأنظمة، وفقدان البيانات، وضعف الأمان </w:t>
      </w:r>
      <w:proofErr w:type="spellStart"/>
      <w:r w:rsidRPr="00396255">
        <w:rPr>
          <w:rFonts w:ascii="Sakkal Majalla" w:eastAsia="Calibri" w:hAnsi="Sakkal Majalla" w:cs="Sakkal Majalla"/>
          <w:color w:val="000000" w:themeColor="text1"/>
          <w:sz w:val="28"/>
          <w:szCs w:val="28"/>
          <w:rtl/>
        </w:rPr>
        <w:t>السيبراني</w:t>
      </w:r>
      <w:proofErr w:type="spellEnd"/>
      <w:r w:rsidRPr="00396255">
        <w:rPr>
          <w:rFonts w:ascii="Sakkal Majalla" w:eastAsia="Calibri" w:hAnsi="Sakkal Majalla" w:cs="Sakkal Majalla"/>
          <w:color w:val="000000" w:themeColor="text1"/>
          <w:sz w:val="28"/>
          <w:szCs w:val="28"/>
          <w:rtl/>
        </w:rPr>
        <w:t>، ما يعرض المؤسسة لمخاطر كبيرة</w:t>
      </w:r>
      <w:r w:rsidRPr="00396255">
        <w:rPr>
          <w:rFonts w:ascii="Sakkal Majalla" w:eastAsia="Calibri" w:hAnsi="Sakkal Majalla" w:cs="Sakkal Majalla"/>
          <w:color w:val="000000" w:themeColor="text1"/>
          <w:sz w:val="28"/>
          <w:szCs w:val="28"/>
        </w:rPr>
        <w:t>.</w:t>
      </w:r>
    </w:p>
    <w:p w14:paraId="586CF031" w14:textId="001972CD" w:rsidR="000B7C0D" w:rsidRPr="00396255" w:rsidRDefault="000B7C0D"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الرؤية الاستراتيجية</w:t>
      </w:r>
    </w:p>
    <w:p w14:paraId="6647702D"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تشير الرؤية الاستراتيجية إلى إدراك الإدارة العليا لأهمية التحول الرقمي وتضمين إدارة المخاطر كجزء لا يتجزأ من التخطيط المؤسسي طويل المدى. فهي تحدد الاتجاه، وتوجه الموارد، وتُهيئ البيئة الداخلية لتبني التغيير. وقد أوضحت دراسة الربيع ومفلح</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أن غياب الرؤية الاستراتيجية يؤدي إلى مشاريع رقمية مجزأة وغير متكاملة، مما يقلل من الأثر ويزيد من المخاطر التشغيلية</w:t>
      </w:r>
      <w:r w:rsidRPr="00396255">
        <w:rPr>
          <w:rFonts w:ascii="Sakkal Majalla" w:eastAsia="Calibri" w:hAnsi="Sakkal Majalla" w:cs="Sakkal Majalla"/>
          <w:color w:val="000000" w:themeColor="text1"/>
          <w:sz w:val="28"/>
          <w:szCs w:val="28"/>
        </w:rPr>
        <w:t>.</w:t>
      </w:r>
    </w:p>
    <w:p w14:paraId="5DA74929" w14:textId="1E41840A"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ويرى </w:t>
      </w:r>
      <w:r w:rsidRPr="00396255">
        <w:rPr>
          <w:rFonts w:ascii="Sakkal Majalla" w:eastAsia="Calibri" w:hAnsi="Sakkal Majalla" w:cs="Sakkal Majalla"/>
          <w:color w:val="000000" w:themeColor="text1"/>
          <w:sz w:val="28"/>
          <w:szCs w:val="28"/>
        </w:rPr>
        <w:t xml:space="preserve">Browder et al. (2024) </w:t>
      </w:r>
      <w:r w:rsidRPr="00396255">
        <w:rPr>
          <w:rFonts w:ascii="Sakkal Majalla" w:eastAsia="Calibri" w:hAnsi="Sakkal Majalla" w:cs="Sakkal Majalla"/>
          <w:color w:val="000000" w:themeColor="text1"/>
          <w:sz w:val="28"/>
          <w:szCs w:val="28"/>
          <w:rtl/>
        </w:rPr>
        <w:t>أن المؤسسات التي تدمج إدارة المخاطر ضمن استراتيجيتها الرقمية تُحقق مستويات أعلى من المرونة المؤسسية والتكيف في الأزمات، مثل ما حدث في ظل جائحة كوفيد</w:t>
      </w:r>
      <w:r w:rsidRPr="00396255">
        <w:rPr>
          <w:rFonts w:ascii="Sakkal Majalla" w:eastAsia="Calibri" w:hAnsi="Sakkal Majalla" w:cs="Sakkal Majalla"/>
          <w:color w:val="000000" w:themeColor="text1"/>
          <w:sz w:val="28"/>
          <w:szCs w:val="28"/>
          <w:rtl/>
        </w:rPr>
        <w:noBreakHyphen/>
        <w:t>19</w:t>
      </w:r>
      <w:r w:rsidR="00ED5763" w:rsidRPr="00396255">
        <w:rPr>
          <w:rFonts w:ascii="Sakkal Majalla" w:eastAsia="Calibri" w:hAnsi="Sakkal Majalla" w:cs="Sakkal Majalla"/>
          <w:color w:val="000000" w:themeColor="text1"/>
          <w:sz w:val="28"/>
          <w:szCs w:val="28"/>
          <w:rtl/>
        </w:rPr>
        <w:t xml:space="preserve"> </w:t>
      </w:r>
      <w:r w:rsidRPr="00396255">
        <w:rPr>
          <w:rFonts w:ascii="Sakkal Majalla" w:eastAsia="Calibri" w:hAnsi="Sakkal Majalla" w:cs="Sakkal Majalla"/>
          <w:color w:val="000000" w:themeColor="text1"/>
          <w:sz w:val="28"/>
          <w:szCs w:val="28"/>
          <w:rtl/>
        </w:rPr>
        <w:t xml:space="preserve">، </w:t>
      </w:r>
      <w:r w:rsidR="00ED5763" w:rsidRPr="00396255">
        <w:rPr>
          <w:rFonts w:ascii="Sakkal Majalla" w:eastAsia="Calibri" w:hAnsi="Sakkal Majalla" w:cs="Sakkal Majalla"/>
          <w:color w:val="000000" w:themeColor="text1"/>
          <w:sz w:val="28"/>
          <w:szCs w:val="28"/>
          <w:rtl/>
        </w:rPr>
        <w:t>و</w:t>
      </w:r>
      <w:r w:rsidRPr="00396255">
        <w:rPr>
          <w:rFonts w:ascii="Sakkal Majalla" w:eastAsia="Calibri" w:hAnsi="Sakkal Majalla" w:cs="Sakkal Majalla"/>
          <w:color w:val="000000" w:themeColor="text1"/>
          <w:sz w:val="28"/>
          <w:szCs w:val="28"/>
          <w:rtl/>
        </w:rPr>
        <w:t>تُعد الرؤية الاستراتيجية ضرورية لربط التحول الرقمي باحتياجات الرعاية الصحية، وضمان أمن سلسلة الإمداد الطبي</w:t>
      </w:r>
      <w:r w:rsidRPr="00396255">
        <w:rPr>
          <w:rFonts w:ascii="Sakkal Majalla" w:eastAsia="Calibri" w:hAnsi="Sakkal Majalla" w:cs="Sakkal Majalla"/>
          <w:color w:val="000000" w:themeColor="text1"/>
          <w:sz w:val="28"/>
          <w:szCs w:val="28"/>
        </w:rPr>
        <w:t>.</w:t>
      </w:r>
    </w:p>
    <w:p w14:paraId="43DB0B24" w14:textId="18A2B7BC"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lastRenderedPageBreak/>
        <w:t xml:space="preserve">وتُمكن هذه الرؤية من اتخاذ قرارات استباقية بشأن الاستثمارات التكنولوجية، وإعادة هندسة العمليات، وبناء ثقافة تنظيمية داعمة </w:t>
      </w:r>
      <w:proofErr w:type="spellStart"/>
      <w:r w:rsidRPr="00396255">
        <w:rPr>
          <w:rFonts w:ascii="Sakkal Majalla" w:eastAsia="Calibri" w:hAnsi="Sakkal Majalla" w:cs="Sakkal Majalla"/>
          <w:color w:val="000000" w:themeColor="text1"/>
          <w:sz w:val="28"/>
          <w:szCs w:val="28"/>
          <w:rtl/>
        </w:rPr>
        <w:t>للرقمنة</w:t>
      </w:r>
      <w:proofErr w:type="spellEnd"/>
      <w:r w:rsidRPr="00396255">
        <w:rPr>
          <w:rFonts w:ascii="Sakkal Majalla" w:eastAsia="Calibri" w:hAnsi="Sakkal Majalla" w:cs="Sakkal Majalla"/>
          <w:color w:val="000000" w:themeColor="text1"/>
          <w:sz w:val="28"/>
          <w:szCs w:val="28"/>
          <w:rtl/>
        </w:rPr>
        <w:t xml:space="preserve"> والمخاطرة المحسوبة، بدلاً من ردود الفعل المتأخرة</w:t>
      </w:r>
      <w:r w:rsidR="00EA32BE" w:rsidRPr="00396255">
        <w:rPr>
          <w:rFonts w:ascii="Sakkal Majalla" w:eastAsia="Calibri" w:hAnsi="Sakkal Majalla" w:cs="Sakkal Majalla"/>
          <w:color w:val="000000" w:themeColor="text1"/>
          <w:sz w:val="28"/>
          <w:szCs w:val="28"/>
        </w:rPr>
        <w:t>.</w:t>
      </w:r>
    </w:p>
    <w:p w14:paraId="45473753" w14:textId="356F6A49" w:rsidR="000B7C0D" w:rsidRPr="00396255" w:rsidRDefault="000B7C0D"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المهارات الرقمية</w:t>
      </w:r>
    </w:p>
    <w:p w14:paraId="58223D6C" w14:textId="01D6ADFE"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تُعد المهارات الرقمية من العوامل الحاسمة في نجاح مبادرات التحول الرقمي وتقليل المخاطر التشغيلية. وتشمل هذه المهارات: القدرة على استخدام الأدوات الرقمية، التعامل مع البيانات وتحليلها، فهم أساسيات الأمن </w:t>
      </w:r>
      <w:proofErr w:type="spellStart"/>
      <w:r w:rsidRPr="00396255">
        <w:rPr>
          <w:rFonts w:ascii="Sakkal Majalla" w:eastAsia="Calibri" w:hAnsi="Sakkal Majalla" w:cs="Sakkal Majalla"/>
          <w:color w:val="000000" w:themeColor="text1"/>
          <w:sz w:val="28"/>
          <w:szCs w:val="28"/>
          <w:rtl/>
        </w:rPr>
        <w:t>السيبراني</w:t>
      </w:r>
      <w:proofErr w:type="spellEnd"/>
      <w:r w:rsidRPr="00396255">
        <w:rPr>
          <w:rFonts w:ascii="Sakkal Majalla" w:eastAsia="Calibri" w:hAnsi="Sakkal Majalla" w:cs="Sakkal Majalla"/>
          <w:color w:val="000000" w:themeColor="text1"/>
          <w:sz w:val="28"/>
          <w:szCs w:val="28"/>
          <w:rtl/>
        </w:rPr>
        <w:t>، والإلمام بتقنيات نظم المعلومات، وتشير دراسة خطيب والشوابكة</w:t>
      </w:r>
      <w:r w:rsidRPr="00396255">
        <w:rPr>
          <w:rFonts w:ascii="Sakkal Majalla" w:eastAsia="Calibri" w:hAnsi="Sakkal Majalla" w:cs="Sakkal Majalla"/>
          <w:color w:val="000000" w:themeColor="text1"/>
          <w:sz w:val="28"/>
          <w:szCs w:val="28"/>
        </w:rPr>
        <w:t xml:space="preserve"> (2022) </w:t>
      </w:r>
      <w:r w:rsidRPr="00396255">
        <w:rPr>
          <w:rFonts w:ascii="Sakkal Majalla" w:eastAsia="Calibri" w:hAnsi="Sakkal Majalla" w:cs="Sakkal Majalla"/>
          <w:color w:val="000000" w:themeColor="text1"/>
          <w:sz w:val="28"/>
          <w:szCs w:val="28"/>
          <w:rtl/>
        </w:rPr>
        <w:t>إلى أن ضعف المهارات الرقمية يُعد من أبرز التحديات التي تواجه التحول الرقمي في المؤسسات الأكاديمية والخدمية على حد سواء</w:t>
      </w:r>
      <w:r w:rsidRPr="00396255">
        <w:rPr>
          <w:rFonts w:ascii="Sakkal Majalla" w:eastAsia="Calibri" w:hAnsi="Sakkal Majalla" w:cs="Sakkal Majalla"/>
          <w:color w:val="000000" w:themeColor="text1"/>
          <w:sz w:val="28"/>
          <w:szCs w:val="28"/>
        </w:rPr>
        <w:t>.</w:t>
      </w:r>
    </w:p>
    <w:p w14:paraId="349B4302"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ويوضح </w:t>
      </w:r>
      <w:r w:rsidRPr="00396255">
        <w:rPr>
          <w:rFonts w:ascii="Sakkal Majalla" w:eastAsia="Calibri" w:hAnsi="Sakkal Majalla" w:cs="Sakkal Majalla"/>
          <w:color w:val="000000" w:themeColor="text1"/>
          <w:sz w:val="28"/>
          <w:szCs w:val="28"/>
        </w:rPr>
        <w:t xml:space="preserve">Singh et al. (2023) </w:t>
      </w:r>
      <w:r w:rsidRPr="00396255">
        <w:rPr>
          <w:rFonts w:ascii="Sakkal Majalla" w:eastAsia="Calibri" w:hAnsi="Sakkal Majalla" w:cs="Sakkal Majalla"/>
          <w:color w:val="000000" w:themeColor="text1"/>
          <w:sz w:val="28"/>
          <w:szCs w:val="28"/>
          <w:rtl/>
        </w:rPr>
        <w:t>أن المهارات الرقمية لا تؤثر فقط على قدرة الأفراد في استخدام الأنظمة، بل تمتد إلى كيفية تفسيرهم للبيانات واتخاذ قرارات قائمة على تحليل المخاطر. كما أن العاملين في المستودعات الصحية بحاجة إلى مهارات تمكّنهم من إدخال البيانات بدقة، مراقبة الإنذارات الرقمية، وتفسير المؤشرات التشغيلية</w:t>
      </w:r>
      <w:r w:rsidRPr="00396255">
        <w:rPr>
          <w:rFonts w:ascii="Sakkal Majalla" w:eastAsia="Calibri" w:hAnsi="Sakkal Majalla" w:cs="Sakkal Majalla"/>
          <w:color w:val="000000" w:themeColor="text1"/>
          <w:sz w:val="28"/>
          <w:szCs w:val="28"/>
        </w:rPr>
        <w:t>.</w:t>
      </w:r>
    </w:p>
    <w:p w14:paraId="4CFD6015" w14:textId="484C8F2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فكلما زادت قدرة العاملين على التفاعل مع الأدوات الرقمية وفهم منطقها الداخلي، كلما قلّ احتمال الخطأ البشري، وزادت كفاءة العمليات، وانخفضت المخاطر المتعلقة بتشغيل الأنظمة أو تعطيلها</w:t>
      </w:r>
      <w:r w:rsidR="00EA32BE" w:rsidRPr="00396255">
        <w:rPr>
          <w:rFonts w:ascii="Sakkal Majalla" w:eastAsia="Calibri" w:hAnsi="Sakkal Majalla" w:cs="Sakkal Majalla"/>
          <w:color w:val="000000" w:themeColor="text1"/>
          <w:sz w:val="28"/>
          <w:szCs w:val="28"/>
        </w:rPr>
        <w:t>.</w:t>
      </w:r>
    </w:p>
    <w:p w14:paraId="2F5BDBCC" w14:textId="3C1CB5CB" w:rsidR="000B7C0D" w:rsidRPr="00396255" w:rsidRDefault="000B7C0D"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النهج المتحوّر حول العملاء</w:t>
      </w:r>
    </w:p>
    <w:p w14:paraId="720BF69A" w14:textId="2E379450"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يقصد بالنهج المتحوّر حول العملاء قدرة المؤسسة على تصميم الأنظمة الرقمية والعمليات التشغيلية بما يُركز على احتياجات الجهات المستفيدة، مثل المستشفيات، مراكز الإسعاف، الفرق الميدانية، والمرضى غير المباشرين، لم تعد التكنولوجيا تُدار من الداخل إلى الخارج فقط، بل بات مطلوبًا أن تُصمم من الخارج إلى الداخل، استنادًا إلى منطق الخدمة لا المنتج</w:t>
      </w:r>
      <w:r w:rsidRPr="00396255">
        <w:rPr>
          <w:rFonts w:ascii="Sakkal Majalla" w:eastAsia="Calibri" w:hAnsi="Sakkal Majalla" w:cs="Sakkal Majalla"/>
          <w:color w:val="000000" w:themeColor="text1"/>
          <w:sz w:val="28"/>
          <w:szCs w:val="28"/>
        </w:rPr>
        <w:t>.</w:t>
      </w:r>
    </w:p>
    <w:p w14:paraId="50005573" w14:textId="77777777"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وتشير دراسة شحاتة ورضوان</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 xml:space="preserve">إلى أن التحول الرقمي الفعّال يبدأ من فهم عميق لتوقعات المستفيدين، وتصميم حلول تتسم بالبساطة والسرعة والدقة، وهو ما يتطلب أن يكون المستخدم (العميل) في </w:t>
      </w:r>
      <w:r w:rsidRPr="00396255">
        <w:rPr>
          <w:rFonts w:ascii="Sakkal Majalla" w:eastAsia="Calibri" w:hAnsi="Sakkal Majalla" w:cs="Sakkal Majalla"/>
          <w:color w:val="000000" w:themeColor="text1"/>
          <w:sz w:val="28"/>
          <w:szCs w:val="28"/>
          <w:rtl/>
        </w:rPr>
        <w:lastRenderedPageBreak/>
        <w:t>مركز عملية التصميم والابتكار. كما أن هذا النهج يُقلل من المقاومة الداخلية للتغيير، ويزيد من فعالية العمليات، ويُسرّع الاستجابة</w:t>
      </w:r>
      <w:r w:rsidRPr="00396255">
        <w:rPr>
          <w:rFonts w:ascii="Sakkal Majalla" w:eastAsia="Calibri" w:hAnsi="Sakkal Majalla" w:cs="Sakkal Majalla"/>
          <w:color w:val="000000" w:themeColor="text1"/>
          <w:sz w:val="28"/>
          <w:szCs w:val="28"/>
        </w:rPr>
        <w:t>.</w:t>
      </w:r>
    </w:p>
    <w:p w14:paraId="37DAFF02" w14:textId="504E2D41" w:rsidR="000B7C0D" w:rsidRPr="00396255" w:rsidRDefault="000B7C0D"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وفي بيئة المستودعات الصحية، فإن التركيز على العميل يعني تقديم خدمة إمداد موثوقة وسريعة، تتماشى مع خطط المستشفيات واحتياجاتها الفعلية، مع تقارير لحظية تتعلق بتوفر الأصناف، وتوقعات الطلب، وتوزيع الشحنات</w:t>
      </w:r>
      <w:r w:rsidR="00ED5763" w:rsidRPr="00396255">
        <w:rPr>
          <w:rFonts w:ascii="Sakkal Majalla" w:eastAsia="Calibri" w:hAnsi="Sakkal Majalla" w:cs="Sakkal Majalla"/>
          <w:color w:val="000000" w:themeColor="text1"/>
          <w:sz w:val="28"/>
          <w:szCs w:val="28"/>
          <w:rtl/>
        </w:rPr>
        <w:t>،</w:t>
      </w:r>
      <w:r w:rsidRPr="00396255">
        <w:rPr>
          <w:rFonts w:ascii="Sakkal Majalla" w:eastAsia="Calibri" w:hAnsi="Sakkal Majalla" w:cs="Sakkal Majalla"/>
          <w:color w:val="000000" w:themeColor="text1"/>
          <w:sz w:val="28"/>
          <w:szCs w:val="28"/>
          <w:rtl/>
        </w:rPr>
        <w:t xml:space="preserve"> كما أن الفشل في استيعاب احتياجات "العملاء الداخليين" يؤدي إلى تراكم المخزون أو نقصه، وهدر الموارد، وتأخير التوصيل، ما يُعرض المؤسسة لمخاطر متراكبة</w:t>
      </w:r>
      <w:r w:rsidRPr="00396255">
        <w:rPr>
          <w:rFonts w:ascii="Sakkal Majalla" w:eastAsia="Calibri" w:hAnsi="Sakkal Majalla" w:cs="Sakkal Majalla"/>
          <w:color w:val="000000" w:themeColor="text1"/>
          <w:sz w:val="28"/>
          <w:szCs w:val="28"/>
        </w:rPr>
        <w:t>.</w:t>
      </w:r>
    </w:p>
    <w:p w14:paraId="5066F5C9" w14:textId="70F4FC98" w:rsidR="00ED5763" w:rsidRPr="00396255" w:rsidRDefault="00EA32BE" w:rsidP="00EA32BE">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6" w:name="_Toc214151652"/>
      <w:r w:rsidRPr="00396255">
        <w:rPr>
          <w:rFonts w:ascii="Sakkal Majalla" w:eastAsia="Calibri" w:hAnsi="Sakkal Majalla" w:cs="Sakkal Majalla" w:hint="cs"/>
          <w:b/>
          <w:bCs/>
          <w:color w:val="000000" w:themeColor="text1"/>
          <w:sz w:val="32"/>
          <w:szCs w:val="32"/>
          <w:rtl/>
        </w:rPr>
        <w:t xml:space="preserve">5.1.2 </w:t>
      </w:r>
      <w:r w:rsidR="00ED5763" w:rsidRPr="00396255">
        <w:rPr>
          <w:rFonts w:ascii="Sakkal Majalla" w:eastAsia="Calibri" w:hAnsi="Sakkal Majalla" w:cs="Sakkal Majalla"/>
          <w:b/>
          <w:bCs/>
          <w:color w:val="000000" w:themeColor="text1"/>
          <w:sz w:val="32"/>
          <w:szCs w:val="32"/>
          <w:rtl/>
        </w:rPr>
        <w:t>التحديات التي تواجه التكامل بين التحول الرقمي وإدارة المخاطر</w:t>
      </w:r>
      <w:bookmarkEnd w:id="46"/>
    </w:p>
    <w:p w14:paraId="18F0076C" w14:textId="39DF65FB"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رغم الفوائد الكبيرة المتوقعة من التكامل بين التحول الرقمي وإدارة المخاطر، إلا أن تطبيق هذا التكامل في الواقع العملي، وخصوصًا في المؤسسات الحكومية الصحية مثل المستودعات الطبية، يواجه مجموعة من التحديات التي قد تعيق تحقيق الأثر المرجو، وتختلف هذه التحديات في طبيعتها ومصدرها، فمنها ما يرتبط بالبنية التحتية، ومنها ما يرتبط بالعوامل البشرية والثقافية، وأخرى تتعلق بالإدارة والتشريعات، وأخرى تتعلق بالتكنولوجيا ذاتها</w:t>
      </w:r>
      <w:r w:rsidRPr="00396255">
        <w:rPr>
          <w:rFonts w:ascii="Sakkal Majalla" w:eastAsia="Calibri" w:hAnsi="Sakkal Majalla" w:cs="Sakkal Majalla"/>
          <w:color w:val="000000" w:themeColor="text1"/>
          <w:sz w:val="28"/>
          <w:szCs w:val="28"/>
        </w:rPr>
        <w:t>.</w:t>
      </w:r>
    </w:p>
    <w:p w14:paraId="4B59872F" w14:textId="697F7ADB" w:rsidR="00ED5763" w:rsidRPr="00396255" w:rsidRDefault="00ED5763"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ضعف البنية التحتية الرقمية</w:t>
      </w:r>
    </w:p>
    <w:p w14:paraId="6359B199" w14:textId="25C6BE6D"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أحد أبرز التحديات يتمثل في محدودية أو ضعف البنية التحتية الرقمية، مثل غياب أنظمة معلومات متكاملة، أو نقص في تجهيزات الاتصالات وشبكات البيانات، أو الاعتماد على أنظمة تقليدية غير مترابطة. ويؤدي هذا القصور إلى صعوبة بناء نظام رقمي قادر على التفاعل مع مدخلات إدارة المخاطر، مما يُفقد المؤسسة مزايا التنبؤ والتحكم اللحظي، كما أشار الشقاحين والعزب</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إلى أن ضعف الاستثمار في البنية التحتية الرقمية في المؤسسات الحكومية يُعد من أبرز أسباب تعثر مشاريع التحول الرقمي</w:t>
      </w:r>
      <w:r w:rsidRPr="00396255">
        <w:rPr>
          <w:rFonts w:ascii="Sakkal Majalla" w:eastAsia="Calibri" w:hAnsi="Sakkal Majalla" w:cs="Sakkal Majalla"/>
          <w:color w:val="000000" w:themeColor="text1"/>
          <w:sz w:val="28"/>
          <w:szCs w:val="28"/>
        </w:rPr>
        <w:t>.</w:t>
      </w:r>
    </w:p>
    <w:p w14:paraId="02FF1519" w14:textId="548410A5" w:rsidR="00ED5763" w:rsidRPr="00396255" w:rsidRDefault="00ED5763"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محدودية الكفاءات والمهارات الرقمية</w:t>
      </w:r>
    </w:p>
    <w:p w14:paraId="3B3D0AB1" w14:textId="76BF9BD1"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lastRenderedPageBreak/>
        <w:t xml:space="preserve">تمثل المهارات الرقمية لدى العاملين تحديًا رئيسيًا أمام تطبيق هذا التكامل، فالكثير من الموظفين لا يمتلكون التدريب الكافي للتعامل مع الأنظمة الحديثة، أو يفتقرون للوعي بأهمية البيانات في تحليل المخاطر واتخاذ القرار، وقد بينت دراسة </w:t>
      </w:r>
      <w:proofErr w:type="spellStart"/>
      <w:r w:rsidRPr="00396255">
        <w:rPr>
          <w:rFonts w:ascii="Sakkal Majalla" w:eastAsia="Calibri" w:hAnsi="Sakkal Majalla" w:cs="Sakkal Majalla"/>
          <w:color w:val="000000" w:themeColor="text1"/>
          <w:sz w:val="28"/>
          <w:szCs w:val="28"/>
          <w:rtl/>
        </w:rPr>
        <w:t>الصبيحات</w:t>
      </w:r>
      <w:proofErr w:type="spellEnd"/>
      <w:r w:rsidRPr="00396255">
        <w:rPr>
          <w:rFonts w:ascii="Sakkal Majalla" w:eastAsia="Calibri" w:hAnsi="Sakkal Majalla" w:cs="Sakkal Majalla"/>
          <w:color w:val="000000" w:themeColor="text1"/>
          <w:sz w:val="28"/>
          <w:szCs w:val="28"/>
          <w:rtl/>
        </w:rPr>
        <w:t xml:space="preserve"> وبني خالد</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أن ضعف الكفاءات الرقمية يؤدي إلى أخطاء تشغيلية، وسوء استغلال للأنظمة، ورفض ضمني للتغيير ، تزداد أهمية هذا التحدي نظرًا لحساسية البيانات، وسرعة التفاعل المطلوب، وخطورة الأخطاء المحتملة</w:t>
      </w:r>
      <w:r w:rsidRPr="00396255">
        <w:rPr>
          <w:rFonts w:ascii="Sakkal Majalla" w:eastAsia="Calibri" w:hAnsi="Sakkal Majalla" w:cs="Sakkal Majalla"/>
          <w:color w:val="000000" w:themeColor="text1"/>
          <w:sz w:val="28"/>
          <w:szCs w:val="28"/>
        </w:rPr>
        <w:t>.</w:t>
      </w:r>
    </w:p>
    <w:p w14:paraId="2FCFEA8A" w14:textId="2FC99810" w:rsidR="00ED5763" w:rsidRPr="00396255" w:rsidRDefault="00ED5763"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غياب الرؤية الاستراتيجية المتكاملة</w:t>
      </w:r>
    </w:p>
    <w:p w14:paraId="0DF28395" w14:textId="09697A15"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من التحديات الجوهرية أيضًا افتقار المؤسسات لرؤية استراتيجية تربط بين مشاريع التحول الرقمي وإدارة المخاطر، فغالبًا ما يتم التعامل مع هذين المجالين على أنهما مبادرتان منفصلتان، ما يؤدي إلى ازدواجية في التوجهات، وتعارض في القرارات، وغياب التكامل الوظيفي، وقد أشارت دراسة العمريين </w:t>
      </w:r>
      <w:proofErr w:type="spellStart"/>
      <w:r w:rsidRPr="00396255">
        <w:rPr>
          <w:rFonts w:ascii="Sakkal Majalla" w:eastAsia="Calibri" w:hAnsi="Sakkal Majalla" w:cs="Sakkal Majalla"/>
          <w:color w:val="000000" w:themeColor="text1"/>
          <w:sz w:val="28"/>
          <w:szCs w:val="28"/>
          <w:rtl/>
        </w:rPr>
        <w:t>والربابعة</w:t>
      </w:r>
      <w:proofErr w:type="spellEnd"/>
      <w:r w:rsidRPr="00396255">
        <w:rPr>
          <w:rFonts w:ascii="Sakkal Majalla" w:eastAsia="Calibri" w:hAnsi="Sakkal Majalla" w:cs="Sakkal Majalla"/>
          <w:color w:val="000000" w:themeColor="text1"/>
          <w:sz w:val="28"/>
          <w:szCs w:val="28"/>
        </w:rPr>
        <w:t xml:space="preserve"> (2023) </w:t>
      </w:r>
      <w:r w:rsidRPr="00396255">
        <w:rPr>
          <w:rFonts w:ascii="Sakkal Majalla" w:eastAsia="Calibri" w:hAnsi="Sakkal Majalla" w:cs="Sakkal Majalla"/>
          <w:color w:val="000000" w:themeColor="text1"/>
          <w:sz w:val="28"/>
          <w:szCs w:val="28"/>
          <w:rtl/>
        </w:rPr>
        <w:t>إلى أن العديد من المؤسسات تُخطط للتحول الرقمي بمعزل عن تحليل المخاطر، مما يعرّض المشاريع للفشل الجزئي أو الكلي</w:t>
      </w:r>
      <w:r w:rsidRPr="00396255">
        <w:rPr>
          <w:rFonts w:ascii="Sakkal Majalla" w:eastAsia="Calibri" w:hAnsi="Sakkal Majalla" w:cs="Sakkal Majalla"/>
          <w:color w:val="000000" w:themeColor="text1"/>
          <w:sz w:val="28"/>
          <w:szCs w:val="28"/>
        </w:rPr>
        <w:t>.</w:t>
      </w:r>
    </w:p>
    <w:p w14:paraId="2BAEB66F" w14:textId="497B0994" w:rsidR="00ED5763" w:rsidRPr="00396255" w:rsidRDefault="00ED5763"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مقاومة التغيير التنظيمي</w:t>
      </w:r>
    </w:p>
    <w:p w14:paraId="65240CCD" w14:textId="4811415B"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تُعد مقاومة التغيير من التحديات السلوكية التي تظهر عند محاولة إدخال تقنيات جديدة أو أنظمة رقابة رقمية. فبعض العاملين قد يُظهرون تحفظًا على الاستخدام الكامل للأدوات الرقمية أو يفضلون الأنماط التقليدية، وقد تكون هذه المقاومة مدفوعة بالخوف من فقدان الوظيفة أو السلطة أو تعقيد الإجراءات. وتُظهر نتائج دراسة شلهوب وبني خالد</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أن المؤسسات التي لم تُدر التغيير بشكل تدريجي ومدروس واجهت صعوبات في تبني الأنظمة الرقمية بالشكل المطلوب</w:t>
      </w:r>
      <w:r w:rsidRPr="00396255">
        <w:rPr>
          <w:rFonts w:ascii="Sakkal Majalla" w:eastAsia="Calibri" w:hAnsi="Sakkal Majalla" w:cs="Sakkal Majalla"/>
          <w:color w:val="000000" w:themeColor="text1"/>
          <w:sz w:val="28"/>
          <w:szCs w:val="28"/>
        </w:rPr>
        <w:t>.</w:t>
      </w:r>
    </w:p>
    <w:p w14:paraId="330C0D1C" w14:textId="12A740C6" w:rsidR="00ED5763" w:rsidRPr="00396255" w:rsidRDefault="00ED5763"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 xml:space="preserve">التحديات الأمنية </w:t>
      </w:r>
      <w:proofErr w:type="spellStart"/>
      <w:r w:rsidRPr="00396255">
        <w:rPr>
          <w:rFonts w:ascii="Sakkal Majalla" w:eastAsia="Calibri" w:hAnsi="Sakkal Majalla" w:cs="Sakkal Majalla"/>
          <w:b/>
          <w:bCs/>
          <w:color w:val="000000" w:themeColor="text1"/>
          <w:sz w:val="28"/>
          <w:szCs w:val="28"/>
          <w:rtl/>
        </w:rPr>
        <w:t>والسيبرانية</w:t>
      </w:r>
      <w:proofErr w:type="spellEnd"/>
    </w:p>
    <w:p w14:paraId="21DFBAC0" w14:textId="32E4E80E"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كلما زاد الاعتماد على الأنظمة الرقمية، زادت احتمالات التعرض للتهديدات </w:t>
      </w:r>
      <w:proofErr w:type="spellStart"/>
      <w:r w:rsidRPr="00396255">
        <w:rPr>
          <w:rFonts w:ascii="Sakkal Majalla" w:eastAsia="Calibri" w:hAnsi="Sakkal Majalla" w:cs="Sakkal Majalla"/>
          <w:color w:val="000000" w:themeColor="text1"/>
          <w:sz w:val="28"/>
          <w:szCs w:val="28"/>
          <w:rtl/>
        </w:rPr>
        <w:t>السيبرانية</w:t>
      </w:r>
      <w:proofErr w:type="spellEnd"/>
      <w:r w:rsidRPr="00396255">
        <w:rPr>
          <w:rFonts w:ascii="Sakkal Majalla" w:eastAsia="Calibri" w:hAnsi="Sakkal Majalla" w:cs="Sakkal Majalla"/>
          <w:color w:val="000000" w:themeColor="text1"/>
          <w:sz w:val="28"/>
          <w:szCs w:val="28"/>
          <w:rtl/>
        </w:rPr>
        <w:t xml:space="preserve"> مثل اختراق الأنظمة، تسريب البيانات، أو هجمات الفدية، ويُعد هذا الخطر من أبرز التحديات أمام إدارات المخاطر، خاصة في المؤسسات التي تتعامل مع بيانات صحية حساسة مثل سجلات الدواء والمستلزمات، وقد أشار </w:t>
      </w:r>
      <w:r w:rsidRPr="00396255">
        <w:rPr>
          <w:rFonts w:ascii="Sakkal Majalla" w:eastAsia="Calibri" w:hAnsi="Sakkal Majalla" w:cs="Sakkal Majalla"/>
          <w:color w:val="000000" w:themeColor="text1"/>
          <w:sz w:val="28"/>
          <w:szCs w:val="28"/>
        </w:rPr>
        <w:t xml:space="preserve">Saeed et al. </w:t>
      </w:r>
      <w:r w:rsidRPr="00396255">
        <w:rPr>
          <w:rFonts w:ascii="Sakkal Majalla" w:eastAsia="Calibri" w:hAnsi="Sakkal Majalla" w:cs="Sakkal Majalla"/>
          <w:color w:val="000000" w:themeColor="text1"/>
          <w:sz w:val="28"/>
          <w:szCs w:val="28"/>
        </w:rPr>
        <w:lastRenderedPageBreak/>
        <w:t xml:space="preserve">(2023) </w:t>
      </w:r>
      <w:r w:rsidRPr="00396255">
        <w:rPr>
          <w:rFonts w:ascii="Sakkal Majalla" w:eastAsia="Calibri" w:hAnsi="Sakkal Majalla" w:cs="Sakkal Majalla"/>
          <w:color w:val="000000" w:themeColor="text1"/>
          <w:sz w:val="28"/>
          <w:szCs w:val="28"/>
          <w:rtl/>
        </w:rPr>
        <w:t xml:space="preserve">إلى أن غياب سياسات واضحة للأمن </w:t>
      </w:r>
      <w:proofErr w:type="spellStart"/>
      <w:r w:rsidRPr="00396255">
        <w:rPr>
          <w:rFonts w:ascii="Sakkal Majalla" w:eastAsia="Calibri" w:hAnsi="Sakkal Majalla" w:cs="Sakkal Majalla"/>
          <w:color w:val="000000" w:themeColor="text1"/>
          <w:sz w:val="28"/>
          <w:szCs w:val="28"/>
          <w:rtl/>
        </w:rPr>
        <w:t>السيبراني</w:t>
      </w:r>
      <w:proofErr w:type="spellEnd"/>
      <w:r w:rsidRPr="00396255">
        <w:rPr>
          <w:rFonts w:ascii="Sakkal Majalla" w:eastAsia="Calibri" w:hAnsi="Sakkal Majalla" w:cs="Sakkal Majalla"/>
          <w:color w:val="000000" w:themeColor="text1"/>
          <w:sz w:val="28"/>
          <w:szCs w:val="28"/>
          <w:rtl/>
        </w:rPr>
        <w:t>، أو ضعف أدوات الحماية، يؤدي إلى هشاشة رقمية تُقوّض ثقة المستفيدين</w:t>
      </w:r>
      <w:r w:rsidRPr="00396255">
        <w:rPr>
          <w:rFonts w:ascii="Sakkal Majalla" w:eastAsia="Calibri" w:hAnsi="Sakkal Majalla" w:cs="Sakkal Majalla"/>
          <w:color w:val="000000" w:themeColor="text1"/>
          <w:sz w:val="28"/>
          <w:szCs w:val="28"/>
        </w:rPr>
        <w:t>.</w:t>
      </w:r>
    </w:p>
    <w:p w14:paraId="1F0C2681" w14:textId="356C9DAF" w:rsidR="00ED5763" w:rsidRPr="00396255" w:rsidRDefault="00ED5763"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تجزئة البيانات وصعوبة التكامل بين الأنظمة</w:t>
      </w:r>
    </w:p>
    <w:p w14:paraId="68F7BF9D" w14:textId="25C718A2"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في الكثير من </w:t>
      </w:r>
      <w:proofErr w:type="spellStart"/>
      <w:r w:rsidR="00EA32BE" w:rsidRPr="00396255">
        <w:rPr>
          <w:rFonts w:ascii="Sakkal Majalla" w:eastAsia="Calibri" w:hAnsi="Sakkal Majalla" w:cs="Sakkal Majalla"/>
          <w:color w:val="000000" w:themeColor="text1"/>
          <w:sz w:val="28"/>
          <w:szCs w:val="28"/>
          <w:rtl/>
        </w:rPr>
        <w:t>المؤسسات،</w:t>
      </w:r>
      <w:r w:rsidRPr="00396255">
        <w:rPr>
          <w:rFonts w:ascii="Sakkal Majalla" w:eastAsia="Calibri" w:hAnsi="Sakkal Majalla" w:cs="Sakkal Majalla"/>
          <w:color w:val="000000" w:themeColor="text1"/>
          <w:sz w:val="28"/>
          <w:szCs w:val="28"/>
          <w:rtl/>
        </w:rPr>
        <w:t>تعمل</w:t>
      </w:r>
      <w:proofErr w:type="spellEnd"/>
      <w:r w:rsidRPr="00396255">
        <w:rPr>
          <w:rFonts w:ascii="Sakkal Majalla" w:eastAsia="Calibri" w:hAnsi="Sakkal Majalla" w:cs="Sakkal Majalla"/>
          <w:color w:val="000000" w:themeColor="text1"/>
          <w:sz w:val="28"/>
          <w:szCs w:val="28"/>
          <w:rtl/>
        </w:rPr>
        <w:t xml:space="preserve"> الأنظمة الرقمية كوحدات مستقلة</w:t>
      </w:r>
      <w:r w:rsidRPr="00396255">
        <w:rPr>
          <w:rFonts w:ascii="Sakkal Majalla" w:eastAsia="Calibri" w:hAnsi="Sakkal Majalla" w:cs="Sakkal Majalla"/>
          <w:color w:val="000000" w:themeColor="text1"/>
          <w:sz w:val="28"/>
          <w:szCs w:val="28"/>
        </w:rPr>
        <w:t xml:space="preserve"> (</w:t>
      </w:r>
      <w:proofErr w:type="spellStart"/>
      <w:r w:rsidRPr="00396255">
        <w:rPr>
          <w:rFonts w:ascii="Sakkal Majalla" w:eastAsia="Calibri" w:hAnsi="Sakkal Majalla" w:cs="Sakkal Majalla"/>
          <w:color w:val="000000" w:themeColor="text1"/>
          <w:sz w:val="28"/>
          <w:szCs w:val="28"/>
        </w:rPr>
        <w:t>Siloses</w:t>
      </w:r>
      <w:proofErr w:type="spellEnd"/>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 xml:space="preserve">دون وجود تكامل بينها، مما يجعل عملية تبادل البيانات وتحليلها صعبة وغير فعالة، هذا التحدي يُعرقل تطبيق إدارة المخاطر التي تعتمد على بيانات شاملة ودقيقة، ويرى </w:t>
      </w:r>
      <w:proofErr w:type="spellStart"/>
      <w:r w:rsidRPr="00396255">
        <w:rPr>
          <w:rFonts w:ascii="Sakkal Majalla" w:eastAsia="Calibri" w:hAnsi="Sakkal Majalla" w:cs="Sakkal Majalla"/>
          <w:color w:val="000000" w:themeColor="text1"/>
          <w:sz w:val="28"/>
          <w:szCs w:val="28"/>
        </w:rPr>
        <w:t>Rauniyar</w:t>
      </w:r>
      <w:proofErr w:type="spellEnd"/>
      <w:r w:rsidRPr="00396255">
        <w:rPr>
          <w:rFonts w:ascii="Sakkal Majalla" w:eastAsia="Calibri" w:hAnsi="Sakkal Majalla" w:cs="Sakkal Majalla"/>
          <w:color w:val="000000" w:themeColor="text1"/>
          <w:sz w:val="28"/>
          <w:szCs w:val="28"/>
        </w:rPr>
        <w:t xml:space="preserve"> et al. (2023) </w:t>
      </w:r>
      <w:r w:rsidRPr="00396255">
        <w:rPr>
          <w:rFonts w:ascii="Sakkal Majalla" w:eastAsia="Calibri" w:hAnsi="Sakkal Majalla" w:cs="Sakkal Majalla"/>
          <w:color w:val="000000" w:themeColor="text1"/>
          <w:sz w:val="28"/>
          <w:szCs w:val="28"/>
          <w:rtl/>
        </w:rPr>
        <w:t>أن غياب التكامل بين الأنظمة يُعد من أبرز العقبات التي تواجه التحول الرقمي الفعّال في سلاسل الإمداد الصحي</w:t>
      </w:r>
      <w:r w:rsidRPr="00396255">
        <w:rPr>
          <w:rFonts w:ascii="Sakkal Majalla" w:eastAsia="Calibri" w:hAnsi="Sakkal Majalla" w:cs="Sakkal Majalla"/>
          <w:color w:val="000000" w:themeColor="text1"/>
          <w:sz w:val="28"/>
          <w:szCs w:val="28"/>
        </w:rPr>
        <w:t>.</w:t>
      </w:r>
    </w:p>
    <w:p w14:paraId="037ECD8B" w14:textId="6208B612" w:rsidR="00ED5763" w:rsidRPr="00396255" w:rsidRDefault="00ED5763"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الإطار التشريعي والتنظيمي المحدود</w:t>
      </w:r>
    </w:p>
    <w:p w14:paraId="409413A5" w14:textId="7DA8318D"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 xml:space="preserve">في بعض السياقات، لا تتوفر تشريعات كافية لتنظيم التحول الرقمي أو حماية البيانات أو إلزام المؤسسات بتفعيل إدارة المخاطر، كما قد تكون القوانين متأخرة عن التغيرات التكنولوجية السريعة، مما يخلق فجوة تنظيمية تعيق التوسع في التطبيقات الرقمية، وقد ناقش </w:t>
      </w:r>
      <w:r w:rsidRPr="00396255">
        <w:rPr>
          <w:rFonts w:ascii="Sakkal Majalla" w:eastAsia="Calibri" w:hAnsi="Sakkal Majalla" w:cs="Sakkal Majalla"/>
          <w:color w:val="000000" w:themeColor="text1"/>
          <w:sz w:val="28"/>
          <w:szCs w:val="28"/>
        </w:rPr>
        <w:t xml:space="preserve">Kim &amp; Kim (2020) </w:t>
      </w:r>
      <w:r w:rsidRPr="00396255">
        <w:rPr>
          <w:rFonts w:ascii="Sakkal Majalla" w:eastAsia="Calibri" w:hAnsi="Sakkal Majalla" w:cs="Sakkal Majalla"/>
          <w:color w:val="000000" w:themeColor="text1"/>
          <w:sz w:val="28"/>
          <w:szCs w:val="28"/>
          <w:rtl/>
        </w:rPr>
        <w:t>هذه الإشكالية في السياق الكوري، حيث بيّنوا أن التشريعات الصارمة أو المتأخرة قد تُشكّل قيدًا على الابتكار الرقمي المؤسسي</w:t>
      </w:r>
      <w:r w:rsidRPr="00396255">
        <w:rPr>
          <w:rFonts w:ascii="Sakkal Majalla" w:eastAsia="Calibri" w:hAnsi="Sakkal Majalla" w:cs="Sakkal Majalla"/>
          <w:color w:val="000000" w:themeColor="text1"/>
          <w:sz w:val="28"/>
          <w:szCs w:val="28"/>
        </w:rPr>
        <w:t>.</w:t>
      </w:r>
    </w:p>
    <w:p w14:paraId="0BC27923" w14:textId="3881DE51" w:rsidR="00ED5763" w:rsidRPr="00396255" w:rsidRDefault="00ED5763" w:rsidP="005C278D">
      <w:pPr>
        <w:pStyle w:val="a6"/>
        <w:numPr>
          <w:ilvl w:val="0"/>
          <w:numId w:val="18"/>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تكلفة التحول وندرة الموارد المالية</w:t>
      </w:r>
    </w:p>
    <w:p w14:paraId="3EADDF2C" w14:textId="773E1A11"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يشكل الجانب المالي تحديًا أمام الكثير من المؤسسات الحكومية، حيث تتطلب مشاريع التحول الرقمي استثمارات كبيرة في البنية التحتية، التدريب، الأنظمة، وتأمين البيانات، وقد لا يتوفر هذا التمويل بسهولة، ما يدفع المؤسسة إلى تبنّي حلول مؤقتة أو ناقصة لا تحقق الفاعلية ولا تدعم إدارة المخاطر بشكل كافٍ، وأشارت دراسة </w:t>
      </w:r>
      <w:proofErr w:type="spellStart"/>
      <w:r w:rsidRPr="00396255">
        <w:rPr>
          <w:rFonts w:ascii="Sakkal Majalla" w:eastAsia="Calibri" w:hAnsi="Sakkal Majalla" w:cs="Sakkal Majalla"/>
          <w:color w:val="000000" w:themeColor="text1"/>
          <w:sz w:val="28"/>
          <w:szCs w:val="28"/>
          <w:rtl/>
        </w:rPr>
        <w:t>العريمي</w:t>
      </w:r>
      <w:proofErr w:type="spellEnd"/>
      <w:r w:rsidRPr="00396255">
        <w:rPr>
          <w:rFonts w:ascii="Sakkal Majalla" w:eastAsia="Calibri" w:hAnsi="Sakkal Majalla" w:cs="Sakkal Majalla"/>
          <w:color w:val="000000" w:themeColor="text1"/>
          <w:sz w:val="28"/>
          <w:szCs w:val="28"/>
          <w:rtl/>
        </w:rPr>
        <w:t xml:space="preserve"> والحراحشة</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إلى أن ضعف التمويل يُعد من أبرز العوامل المعيقة لتطبيق التحول الرقمي الكامل في القطاع الحكومي الأردني</w:t>
      </w:r>
      <w:r w:rsidRPr="00396255">
        <w:rPr>
          <w:rFonts w:ascii="Sakkal Majalla" w:eastAsia="Calibri" w:hAnsi="Sakkal Majalla" w:cs="Sakkal Majalla"/>
          <w:color w:val="000000" w:themeColor="text1"/>
          <w:sz w:val="28"/>
          <w:szCs w:val="28"/>
        </w:rPr>
        <w:t>.</w:t>
      </w:r>
    </w:p>
    <w:p w14:paraId="167BFF9A" w14:textId="77777777" w:rsidR="000B7C0D" w:rsidRPr="00396255" w:rsidRDefault="000B7C0D" w:rsidP="00F76CAC">
      <w:pPr>
        <w:bidi/>
        <w:spacing w:before="100" w:beforeAutospacing="1" w:after="100" w:afterAutospacing="1" w:line="360" w:lineRule="auto"/>
        <w:jc w:val="both"/>
        <w:rPr>
          <w:rFonts w:ascii="Sakkal Majalla" w:eastAsia="Calibri" w:hAnsi="Sakkal Majalla" w:cs="Sakkal Majalla"/>
          <w:color w:val="000000" w:themeColor="text1"/>
          <w:sz w:val="28"/>
          <w:szCs w:val="28"/>
          <w:rtl/>
        </w:rPr>
      </w:pPr>
    </w:p>
    <w:p w14:paraId="393F5BF7" w14:textId="77777777" w:rsidR="00EA32BE" w:rsidRPr="00396255" w:rsidRDefault="00EA32BE">
      <w:pPr>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br w:type="page"/>
      </w:r>
    </w:p>
    <w:p w14:paraId="563C39BE" w14:textId="31F5AECA" w:rsidR="00ED5763" w:rsidRPr="00396255" w:rsidRDefault="00ED5763" w:rsidP="008D13D4">
      <w:pPr>
        <w:bidi/>
        <w:spacing w:before="100" w:beforeAutospacing="1" w:after="100" w:afterAutospacing="1" w:line="360" w:lineRule="auto"/>
        <w:jc w:val="center"/>
        <w:outlineLvl w:val="1"/>
        <w:rPr>
          <w:rFonts w:ascii="Sakkal Majalla" w:eastAsia="Calibri" w:hAnsi="Sakkal Majalla" w:cs="Sakkal Majalla"/>
          <w:b/>
          <w:bCs/>
          <w:color w:val="000000" w:themeColor="text1"/>
          <w:sz w:val="36"/>
          <w:szCs w:val="36"/>
        </w:rPr>
      </w:pPr>
      <w:bookmarkStart w:id="47" w:name="_Toc214151653"/>
      <w:r w:rsidRPr="00396255">
        <w:rPr>
          <w:rFonts w:ascii="Sakkal Majalla" w:eastAsia="Calibri" w:hAnsi="Sakkal Majalla" w:cs="Sakkal Majalla"/>
          <w:b/>
          <w:bCs/>
          <w:color w:val="000000" w:themeColor="text1"/>
          <w:sz w:val="36"/>
          <w:szCs w:val="36"/>
          <w:rtl/>
        </w:rPr>
        <w:lastRenderedPageBreak/>
        <w:t>المبحث الثاني: كفاءة المستودعات الحكومية الصحية – مدخل مفاهيمي وتطبيقي</w:t>
      </w:r>
      <w:bookmarkEnd w:id="47"/>
    </w:p>
    <w:p w14:paraId="5F802289" w14:textId="72DA758C" w:rsidR="00ED5763" w:rsidRPr="00396255" w:rsidRDefault="008D13D4" w:rsidP="004C238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8" w:name="_Toc214151654"/>
      <w:r w:rsidRPr="00396255">
        <w:rPr>
          <w:rFonts w:ascii="Sakkal Majalla" w:eastAsia="Calibri" w:hAnsi="Sakkal Majalla" w:cs="Sakkal Majalla" w:hint="cs"/>
          <w:b/>
          <w:bCs/>
          <w:color w:val="000000" w:themeColor="text1"/>
          <w:sz w:val="32"/>
          <w:szCs w:val="32"/>
          <w:rtl/>
        </w:rPr>
        <w:t>1.2.2</w:t>
      </w:r>
      <w:r w:rsidR="00ED5763" w:rsidRPr="00396255">
        <w:rPr>
          <w:rFonts w:ascii="Sakkal Majalla" w:eastAsia="Calibri" w:hAnsi="Sakkal Majalla" w:cs="Sakkal Majalla"/>
          <w:b/>
          <w:bCs/>
          <w:color w:val="000000" w:themeColor="text1"/>
          <w:sz w:val="32"/>
          <w:szCs w:val="32"/>
          <w:rtl/>
        </w:rPr>
        <w:t xml:space="preserve"> تمهيد</w:t>
      </w:r>
      <w:bookmarkEnd w:id="48"/>
    </w:p>
    <w:p w14:paraId="51B9CCEB" w14:textId="2298FCCE" w:rsidR="00ED5763" w:rsidRPr="00396255" w:rsidRDefault="00ED5763" w:rsidP="00EA32BE">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t>تُعد المستودعات الصحية الحكومية حجر الزاوية في سلاسل الإمداد الطبي، حيث تضمن توفر الأدوية والمستلزمات في الوقت والمكان المناسبين، وبما يدعم جودة الرعاية الصحية العامة. وتتسم كفاءة هذه المستودعات بأهمية خاصة في ظل الظروف الصحية الطارئة أو الأزمات الوبائية، إذ يُقاس عليها مدى جاهزية النظام الصحي وقدرته على الاستجابة الفاعلة، ومع التطورات التقنية المتسارعة، والتوجه العالمي نحو الحوكمة الرشيدة، أصبحت الكفاءة التشغيلية للمستودعات الصحية الحكومية مؤشراً استراتيجيًا للأداء المؤسسي، وحلقة حيوية في تحقيق الاستدامة وجودة الخدمات</w:t>
      </w:r>
      <w:r w:rsidRPr="00396255">
        <w:rPr>
          <w:rFonts w:ascii="Sakkal Majalla" w:eastAsia="Calibri" w:hAnsi="Sakkal Majalla" w:cs="Sakkal Majalla"/>
          <w:color w:val="000000" w:themeColor="text1"/>
          <w:sz w:val="28"/>
          <w:szCs w:val="28"/>
        </w:rPr>
        <w:t>.</w:t>
      </w:r>
    </w:p>
    <w:p w14:paraId="7AE7BD71" w14:textId="25E30D0A" w:rsidR="00ED5763" w:rsidRPr="00396255" w:rsidRDefault="004C2380" w:rsidP="004C238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49" w:name="_Toc214151655"/>
      <w:r w:rsidRPr="00396255">
        <w:rPr>
          <w:rFonts w:ascii="Sakkal Majalla" w:eastAsia="Calibri" w:hAnsi="Sakkal Majalla" w:cs="Sakkal Majalla" w:hint="cs"/>
          <w:b/>
          <w:bCs/>
          <w:color w:val="000000" w:themeColor="text1"/>
          <w:sz w:val="32"/>
          <w:szCs w:val="32"/>
          <w:rtl/>
        </w:rPr>
        <w:t>2.2.2 م</w:t>
      </w:r>
      <w:r w:rsidR="00ED5763" w:rsidRPr="00396255">
        <w:rPr>
          <w:rFonts w:ascii="Sakkal Majalla" w:eastAsia="Calibri" w:hAnsi="Sakkal Majalla" w:cs="Sakkal Majalla"/>
          <w:b/>
          <w:bCs/>
          <w:color w:val="000000" w:themeColor="text1"/>
          <w:sz w:val="32"/>
          <w:szCs w:val="32"/>
          <w:rtl/>
        </w:rPr>
        <w:t>فهوم كفاءة المستودعات الحكومية الصحية</w:t>
      </w:r>
      <w:bookmarkEnd w:id="49"/>
    </w:p>
    <w:p w14:paraId="275BA31F"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تعددت تعاريف الباحثين لمفهوم كفاءة المستودعات الصحية الحكومية باختلاف خلفياتهم وتخصصاتهم، إلا أن معظمهم اتفق على أن الكفاءة في هذا السياق ترتبط بالقدرة على إدارة الموارد الطبية بشكل فعّال، وتوفير الأدوية والمستلزمات في الوقت والمكان المناسبين، بأقل تكلفة ممكنة، مع ضمان الجودة والاستجابة للطوارئ</w:t>
      </w:r>
      <w:r w:rsidRPr="00396255">
        <w:rPr>
          <w:rFonts w:ascii="Sakkal Majalla" w:eastAsia="Calibri" w:hAnsi="Sakkal Majalla" w:cs="Sakkal Majalla"/>
          <w:color w:val="000000" w:themeColor="text1"/>
          <w:sz w:val="28"/>
          <w:szCs w:val="28"/>
        </w:rPr>
        <w:t>.</w:t>
      </w:r>
    </w:p>
    <w:p w14:paraId="2F880F0E" w14:textId="40BBEE2E"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وقد عرّف </w:t>
      </w:r>
      <w:proofErr w:type="spellStart"/>
      <w:r w:rsidRPr="00396255">
        <w:rPr>
          <w:rFonts w:ascii="Sakkal Majalla" w:eastAsia="Calibri" w:hAnsi="Sakkal Majalla" w:cs="Sakkal Majalla"/>
          <w:color w:val="000000" w:themeColor="text1"/>
          <w:sz w:val="28"/>
          <w:szCs w:val="28"/>
        </w:rPr>
        <w:t>Avinash</w:t>
      </w:r>
      <w:proofErr w:type="spellEnd"/>
      <w:r w:rsidRPr="00396255">
        <w:rPr>
          <w:rFonts w:ascii="Sakkal Majalla" w:eastAsia="Calibri" w:hAnsi="Sakkal Majalla" w:cs="Sakkal Majalla"/>
          <w:color w:val="000000" w:themeColor="text1"/>
          <w:sz w:val="28"/>
          <w:szCs w:val="28"/>
        </w:rPr>
        <w:t xml:space="preserve"> &amp; Joseph (2024) </w:t>
      </w:r>
      <w:r w:rsidRPr="00396255">
        <w:rPr>
          <w:rFonts w:ascii="Sakkal Majalla" w:eastAsia="Calibri" w:hAnsi="Sakkal Majalla" w:cs="Sakkal Majalla"/>
          <w:color w:val="000000" w:themeColor="text1"/>
          <w:sz w:val="28"/>
          <w:szCs w:val="28"/>
          <w:rtl/>
        </w:rPr>
        <w:t>كفاءة المستودعات الصحية بأنها</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 xml:space="preserve"> </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القدرة التشغيلية والتقنية للمستودع على إدارة حركة الإمدادات الطبية بكفاءة عالية، بما يضمن تقليل الهدر، وتحقيق الشفافية، وزيادة الاستجابة لتقلبات الطلب في النظام الصحي</w:t>
      </w:r>
      <w:r w:rsidRPr="00396255">
        <w:rPr>
          <w:rFonts w:ascii="Sakkal Majalla" w:eastAsia="Calibri" w:hAnsi="Sakkal Majalla" w:cs="Sakkal Majalla"/>
          <w:color w:val="000000" w:themeColor="text1"/>
          <w:sz w:val="28"/>
          <w:szCs w:val="28"/>
        </w:rPr>
        <w:t>."</w:t>
      </w:r>
    </w:p>
    <w:p w14:paraId="11B66A46"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أما </w:t>
      </w:r>
      <w:r w:rsidRPr="00396255">
        <w:rPr>
          <w:rFonts w:ascii="Sakkal Majalla" w:eastAsia="Calibri" w:hAnsi="Sakkal Majalla" w:cs="Sakkal Majalla"/>
          <w:color w:val="000000" w:themeColor="text1"/>
          <w:sz w:val="28"/>
          <w:szCs w:val="28"/>
        </w:rPr>
        <w:t xml:space="preserve">Marques &amp; Ferreira (2020) </w:t>
      </w:r>
      <w:r w:rsidRPr="00396255">
        <w:rPr>
          <w:rFonts w:ascii="Sakkal Majalla" w:eastAsia="Calibri" w:hAnsi="Sakkal Majalla" w:cs="Sakkal Majalla"/>
          <w:color w:val="000000" w:themeColor="text1"/>
          <w:sz w:val="28"/>
          <w:szCs w:val="28"/>
          <w:rtl/>
        </w:rPr>
        <w:t>فقد أكّدا أن كفاءة المستودع الصحي لا تُقاس فقط بالإنتاجية، بل أيضًا بقدرته على تلبية الاحتياجات الطبية ضمن حدود المخزون المثالي، وتخفيض زمن الدورة، وتقليل حالات النقص أو الفائض</w:t>
      </w:r>
      <w:r w:rsidRPr="00396255">
        <w:rPr>
          <w:rFonts w:ascii="Sakkal Majalla" w:eastAsia="Calibri" w:hAnsi="Sakkal Majalla" w:cs="Sakkal Majalla"/>
          <w:color w:val="000000" w:themeColor="text1"/>
          <w:sz w:val="28"/>
          <w:szCs w:val="28"/>
        </w:rPr>
        <w:t>.</w:t>
      </w:r>
    </w:p>
    <w:p w14:paraId="11CAC6C4" w14:textId="35D1B49E"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lastRenderedPageBreak/>
        <w:t>أشار الشقاحين والعزب</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إلى أن الكفاءة التشغيلية للمستودع الصحي الحكومي هي</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 xml:space="preserve"> </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تحقيق أفضل استغلال ممكن للموارد التخزينية واللوجستية في المؤسسات الصحية الحكومية، عبر تحسين عمليات الاستلام، والتخزين، والتوزيع، بما يسهم في رفع جودة الخدمة الصحية المقدمة للمواطنين، دون تحميل النظام تكاليف غير ضرورية</w:t>
      </w:r>
      <w:r w:rsidRPr="00396255">
        <w:rPr>
          <w:rFonts w:ascii="Sakkal Majalla" w:eastAsia="Calibri" w:hAnsi="Sakkal Majalla" w:cs="Sakkal Majalla"/>
          <w:color w:val="000000" w:themeColor="text1"/>
          <w:sz w:val="28"/>
          <w:szCs w:val="28"/>
        </w:rPr>
        <w:t>."</w:t>
      </w:r>
    </w:p>
    <w:p w14:paraId="2B380B35"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كما بيّن العمريين </w:t>
      </w:r>
      <w:proofErr w:type="spellStart"/>
      <w:r w:rsidRPr="00396255">
        <w:rPr>
          <w:rFonts w:ascii="Sakkal Majalla" w:eastAsia="Calibri" w:hAnsi="Sakkal Majalla" w:cs="Sakkal Majalla"/>
          <w:color w:val="000000" w:themeColor="text1"/>
          <w:sz w:val="28"/>
          <w:szCs w:val="28"/>
          <w:rtl/>
        </w:rPr>
        <w:t>والربابعة</w:t>
      </w:r>
      <w:proofErr w:type="spellEnd"/>
      <w:r w:rsidRPr="00396255">
        <w:rPr>
          <w:rFonts w:ascii="Sakkal Majalla" w:eastAsia="Calibri" w:hAnsi="Sakkal Majalla" w:cs="Sakkal Majalla"/>
          <w:color w:val="000000" w:themeColor="text1"/>
          <w:sz w:val="28"/>
          <w:szCs w:val="28"/>
        </w:rPr>
        <w:t xml:space="preserve"> (2023) </w:t>
      </w:r>
      <w:r w:rsidRPr="00396255">
        <w:rPr>
          <w:rFonts w:ascii="Sakkal Majalla" w:eastAsia="Calibri" w:hAnsi="Sakkal Majalla" w:cs="Sakkal Majalla"/>
          <w:color w:val="000000" w:themeColor="text1"/>
          <w:sz w:val="28"/>
          <w:szCs w:val="28"/>
          <w:rtl/>
        </w:rPr>
        <w:t>أن كفاءة المستودعات ترتبط ارتباطًا مباشرًا بمستوى التخطيط، وفعالية النظام الرقمي، ومهارات العاملين، مشيرين إلى أن المستودع يُعد ناجحًا إذا استطاع أن يلبي الطلب بدقة وسرعة، ويُقلل الفاقد، ويُحافظ على جودة المخزون</w:t>
      </w:r>
      <w:r w:rsidRPr="00396255">
        <w:rPr>
          <w:rFonts w:ascii="Sakkal Majalla" w:eastAsia="Calibri" w:hAnsi="Sakkal Majalla" w:cs="Sakkal Majalla"/>
          <w:color w:val="000000" w:themeColor="text1"/>
          <w:sz w:val="28"/>
          <w:szCs w:val="28"/>
        </w:rPr>
        <w:t>.</w:t>
      </w:r>
    </w:p>
    <w:p w14:paraId="0AC4A922" w14:textId="3DEEF121"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في حين يُركّز </w:t>
      </w:r>
      <w:r w:rsidRPr="00396255">
        <w:rPr>
          <w:rFonts w:ascii="Sakkal Majalla" w:eastAsia="Calibri" w:hAnsi="Sakkal Majalla" w:cs="Sakkal Majalla"/>
          <w:color w:val="000000" w:themeColor="text1"/>
          <w:sz w:val="28"/>
          <w:szCs w:val="28"/>
        </w:rPr>
        <w:t xml:space="preserve">Kim &amp; Kim (2020) </w:t>
      </w:r>
      <w:r w:rsidRPr="00396255">
        <w:rPr>
          <w:rFonts w:ascii="Sakkal Majalla" w:eastAsia="Calibri" w:hAnsi="Sakkal Majalla" w:cs="Sakkal Majalla"/>
          <w:color w:val="000000" w:themeColor="text1"/>
          <w:sz w:val="28"/>
          <w:szCs w:val="28"/>
          <w:rtl/>
        </w:rPr>
        <w:t>في تعريفهم على البُعد المعلوماتي، حيث يرون أن كفاءة المستودع تنبع من</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 xml:space="preserve"> </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دقة البيانات، وسرعة تحليلها، وتكامل أنظمة المعلومات، مما يوفّر رؤية واضحة للمخزون، ويُسهّل اتخاذ القرار في الوقت المناسب</w:t>
      </w:r>
      <w:r w:rsidRPr="00396255">
        <w:rPr>
          <w:rFonts w:ascii="Sakkal Majalla" w:eastAsia="Calibri" w:hAnsi="Sakkal Majalla" w:cs="Sakkal Majalla"/>
          <w:color w:val="000000" w:themeColor="text1"/>
          <w:sz w:val="28"/>
          <w:szCs w:val="28"/>
        </w:rPr>
        <w:t>."</w:t>
      </w:r>
    </w:p>
    <w:p w14:paraId="3599337D"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أما </w:t>
      </w:r>
      <w:r w:rsidRPr="00396255">
        <w:rPr>
          <w:rFonts w:ascii="Sakkal Majalla" w:eastAsia="Calibri" w:hAnsi="Sakkal Majalla" w:cs="Sakkal Majalla"/>
          <w:color w:val="000000" w:themeColor="text1"/>
          <w:sz w:val="28"/>
          <w:szCs w:val="28"/>
        </w:rPr>
        <w:t xml:space="preserve">Wang et al. (2021) </w:t>
      </w:r>
      <w:r w:rsidRPr="00396255">
        <w:rPr>
          <w:rFonts w:ascii="Sakkal Majalla" w:eastAsia="Calibri" w:hAnsi="Sakkal Majalla" w:cs="Sakkal Majalla"/>
          <w:color w:val="000000" w:themeColor="text1"/>
          <w:sz w:val="28"/>
          <w:szCs w:val="28"/>
          <w:rtl/>
        </w:rPr>
        <w:t>فقد أضافوا بعدًا مهمًا يتمثل في القدرة على الاستجابة لحالات الطوارئ الصحية الوطنية، مؤكدين أن المستودعات الصحية الكفؤة تُعد خط الدفاع الأول في مواجهة الأوبئة والكوارث</w:t>
      </w:r>
      <w:r w:rsidRPr="00396255">
        <w:rPr>
          <w:rFonts w:ascii="Sakkal Majalla" w:eastAsia="Calibri" w:hAnsi="Sakkal Majalla" w:cs="Sakkal Majalla"/>
          <w:color w:val="000000" w:themeColor="text1"/>
          <w:sz w:val="28"/>
          <w:szCs w:val="28"/>
        </w:rPr>
        <w:t>.</w:t>
      </w:r>
    </w:p>
    <w:p w14:paraId="1DB5206F" w14:textId="37F141EF"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انطلاقًا من هذه التعريفات المتنوعة، يرى الباحث أن كفاءة المستودعات الحكومية الصحية تُعرّف بأنها</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 xml:space="preserve"> </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القدرة الشاملة للمستودع الصحي الحكومي على إدارة الموارد الطبية والدوائية بكفاءة تشغيلية ومعلوماتية عالية، بما يضمن تلبية احتياجات الجهات الصحية المختلفة في الوقت المحدد، وبأقل تكلفة ممكنة، مع الحفاظ على جودة الأصناف، وتوفير مستويات مناسبة من المخزون، والقدرة على التنبؤ والاستجابة للأزمات الصحية</w:t>
      </w:r>
      <w:r w:rsidRPr="00396255">
        <w:rPr>
          <w:rFonts w:ascii="Sakkal Majalla" w:eastAsia="Calibri" w:hAnsi="Sakkal Majalla" w:cs="Sakkal Majalla"/>
          <w:color w:val="000000" w:themeColor="text1"/>
          <w:sz w:val="28"/>
          <w:szCs w:val="28"/>
        </w:rPr>
        <w:t>."</w:t>
      </w:r>
    </w:p>
    <w:p w14:paraId="189E586A" w14:textId="403E1249" w:rsidR="00ED5763" w:rsidRPr="00396255" w:rsidRDefault="004C2380" w:rsidP="004C238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0" w:name="_Toc214151656"/>
      <w:r w:rsidRPr="00396255">
        <w:rPr>
          <w:rFonts w:ascii="Sakkal Majalla" w:eastAsia="Calibri" w:hAnsi="Sakkal Majalla" w:cs="Sakkal Majalla" w:hint="cs"/>
          <w:b/>
          <w:bCs/>
          <w:color w:val="000000" w:themeColor="text1"/>
          <w:sz w:val="32"/>
          <w:szCs w:val="32"/>
          <w:rtl/>
        </w:rPr>
        <w:t>3.2.2 مؤشرات</w:t>
      </w:r>
      <w:r w:rsidR="00ED5763" w:rsidRPr="00396255">
        <w:rPr>
          <w:rFonts w:ascii="Sakkal Majalla" w:eastAsia="Calibri" w:hAnsi="Sakkal Majalla" w:cs="Sakkal Majalla"/>
          <w:b/>
          <w:bCs/>
          <w:color w:val="000000" w:themeColor="text1"/>
          <w:sz w:val="32"/>
          <w:szCs w:val="32"/>
          <w:rtl/>
        </w:rPr>
        <w:t xml:space="preserve"> قياس كفاءة المستودعات الحكومية الصحية</w:t>
      </w:r>
      <w:bookmarkEnd w:id="50"/>
    </w:p>
    <w:p w14:paraId="0DB28692"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تُعد مؤشرات القياس أداة حيوية لتقييم كفاءة المستودعات الصحية الحكومية، فهي تتيح للإدارة الوقوف على مستوى الأداء الفعلي، وتحديد نقاط القوة والقصور، واتخاذ قرارات مبنية على بيانات كمية دقيقة. وتعكس هذه المؤشرات مدى قدرة المستودع على تحقيق أهدافه التشغيلية والخدمية والمالية، خاصة في بيئة تتسم بالديناميكية والتعقيد، كقطاع الرعاية الصحية</w:t>
      </w:r>
      <w:r w:rsidRPr="00396255">
        <w:rPr>
          <w:rFonts w:ascii="Sakkal Majalla" w:eastAsia="Calibri" w:hAnsi="Sakkal Majalla" w:cs="Sakkal Majalla"/>
          <w:color w:val="000000" w:themeColor="text1"/>
          <w:sz w:val="28"/>
          <w:szCs w:val="28"/>
        </w:rPr>
        <w:t>.</w:t>
      </w:r>
    </w:p>
    <w:p w14:paraId="14E13B06"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lastRenderedPageBreak/>
        <w:t xml:space="preserve">وقد أكد </w:t>
      </w:r>
      <w:proofErr w:type="spellStart"/>
      <w:r w:rsidRPr="00396255">
        <w:rPr>
          <w:rFonts w:ascii="Sakkal Majalla" w:eastAsia="Calibri" w:hAnsi="Sakkal Majalla" w:cs="Sakkal Majalla"/>
          <w:color w:val="000000" w:themeColor="text1"/>
          <w:sz w:val="28"/>
          <w:szCs w:val="28"/>
        </w:rPr>
        <w:t>Avinash</w:t>
      </w:r>
      <w:proofErr w:type="spellEnd"/>
      <w:r w:rsidRPr="00396255">
        <w:rPr>
          <w:rFonts w:ascii="Sakkal Majalla" w:eastAsia="Calibri" w:hAnsi="Sakkal Majalla" w:cs="Sakkal Majalla"/>
          <w:color w:val="000000" w:themeColor="text1"/>
          <w:sz w:val="28"/>
          <w:szCs w:val="28"/>
        </w:rPr>
        <w:t xml:space="preserve"> &amp; Joseph (2024) </w:t>
      </w:r>
      <w:r w:rsidRPr="00396255">
        <w:rPr>
          <w:rFonts w:ascii="Sakkal Majalla" w:eastAsia="Calibri" w:hAnsi="Sakkal Majalla" w:cs="Sakkal Majalla"/>
          <w:color w:val="000000" w:themeColor="text1"/>
          <w:sz w:val="28"/>
          <w:szCs w:val="28"/>
          <w:rtl/>
        </w:rPr>
        <w:t>أن القياس الدقيق لأداء المستودعات الصحية يعد شرطًا أساسيًا لتحقيق التميز التشغيلي وضمان استمرارية سلسلة الإمداد، مشيرين إلى أن مؤشرات الكفاءة يجب أن تكون متعددة الأبعاد، وتجمع بين الكفاءة الزمنية، واللوجستية، والمالية، وخدمة العملاء</w:t>
      </w:r>
      <w:r w:rsidRPr="00396255">
        <w:rPr>
          <w:rFonts w:ascii="Sakkal Majalla" w:eastAsia="Calibri" w:hAnsi="Sakkal Majalla" w:cs="Sakkal Majalla"/>
          <w:color w:val="000000" w:themeColor="text1"/>
          <w:sz w:val="28"/>
          <w:szCs w:val="28"/>
        </w:rPr>
        <w:t>.</w:t>
      </w:r>
    </w:p>
    <w:p w14:paraId="1FA2208F"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في السياق نفسه، يشير </w:t>
      </w:r>
      <w:r w:rsidRPr="00396255">
        <w:rPr>
          <w:rFonts w:ascii="Sakkal Majalla" w:eastAsia="Calibri" w:hAnsi="Sakkal Majalla" w:cs="Sakkal Majalla"/>
          <w:color w:val="000000" w:themeColor="text1"/>
          <w:sz w:val="28"/>
          <w:szCs w:val="28"/>
        </w:rPr>
        <w:t xml:space="preserve">Marques &amp; Ferreira (2020) </w:t>
      </w:r>
      <w:r w:rsidRPr="00396255">
        <w:rPr>
          <w:rFonts w:ascii="Sakkal Majalla" w:eastAsia="Calibri" w:hAnsi="Sakkal Majalla" w:cs="Sakkal Majalla"/>
          <w:color w:val="000000" w:themeColor="text1"/>
          <w:sz w:val="28"/>
          <w:szCs w:val="28"/>
          <w:rtl/>
        </w:rPr>
        <w:t>إلى أن استخدام مؤشرات قياس الأداء في المستودعات الصحية يمكّن من التقييم المستمر لمستوى الإنتاجية، وجودة الخدمة، ومستوى الالتزام بالمواعيد، ويُقلل من التقديرات العشوائية التي تتسبب في سوء إدارة الموارد</w:t>
      </w:r>
      <w:r w:rsidRPr="00396255">
        <w:rPr>
          <w:rFonts w:ascii="Sakkal Majalla" w:eastAsia="Calibri" w:hAnsi="Sakkal Majalla" w:cs="Sakkal Majalla"/>
          <w:color w:val="000000" w:themeColor="text1"/>
          <w:sz w:val="28"/>
          <w:szCs w:val="28"/>
        </w:rPr>
        <w:t>.</w:t>
      </w:r>
    </w:p>
    <w:p w14:paraId="738753E6" w14:textId="7B4C0090"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وفي ضوء الأدبيات السابقة، يمكن تصنيف مؤشرات كفاءة المستودعات الصحية الحكومية إلى خمسة محاور رئيسية</w:t>
      </w:r>
      <w:r w:rsidR="004C2380" w:rsidRPr="00396255">
        <w:rPr>
          <w:rFonts w:ascii="Sakkal Majalla" w:eastAsia="Calibri" w:hAnsi="Sakkal Majalla" w:cs="Sakkal Majalla"/>
          <w:color w:val="000000" w:themeColor="text1"/>
          <w:sz w:val="28"/>
          <w:szCs w:val="28"/>
        </w:rPr>
        <w:t>:</w:t>
      </w:r>
    </w:p>
    <w:p w14:paraId="29AA9791" w14:textId="67F5F01F" w:rsidR="00ED5763" w:rsidRPr="00396255" w:rsidRDefault="004C2380" w:rsidP="00F76CAC">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hint="cs"/>
          <w:b/>
          <w:bCs/>
          <w:color w:val="000000" w:themeColor="text1"/>
          <w:sz w:val="28"/>
          <w:szCs w:val="28"/>
          <w:rtl/>
        </w:rPr>
        <w:t xml:space="preserve">1. </w:t>
      </w:r>
      <w:r w:rsidR="00ED5763" w:rsidRPr="00396255">
        <w:rPr>
          <w:rFonts w:ascii="Sakkal Majalla" w:eastAsia="Calibri" w:hAnsi="Sakkal Majalla" w:cs="Sakkal Majalla"/>
          <w:b/>
          <w:bCs/>
          <w:color w:val="000000" w:themeColor="text1"/>
          <w:sz w:val="28"/>
          <w:szCs w:val="28"/>
          <w:rtl/>
        </w:rPr>
        <w:t>مؤشرات الكفاءة التشغيلية</w:t>
      </w:r>
    </w:p>
    <w:p w14:paraId="108556A4"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وتركز على مدى فاعلية الأداء الداخلي للمستودع، وتشمل</w:t>
      </w:r>
      <w:r w:rsidRPr="00396255">
        <w:rPr>
          <w:rFonts w:ascii="Sakkal Majalla" w:eastAsia="Calibri" w:hAnsi="Sakkal Majalla" w:cs="Sakkal Majalla"/>
          <w:color w:val="000000" w:themeColor="text1"/>
          <w:sz w:val="28"/>
          <w:szCs w:val="28"/>
        </w:rPr>
        <w:t>:</w:t>
      </w:r>
    </w:p>
    <w:p w14:paraId="6659978F" w14:textId="77777777" w:rsidR="00ED5763" w:rsidRPr="00396255" w:rsidRDefault="00ED5763" w:rsidP="005C278D">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معدل دوران المخزون</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عدد المرات التي يتم فيها استهلاك المخزون وإعادة ملئه خلال فترة زمنية محددة</w:t>
      </w:r>
      <w:r w:rsidRPr="00396255">
        <w:rPr>
          <w:rFonts w:ascii="Sakkal Majalla" w:eastAsia="Calibri" w:hAnsi="Sakkal Majalla" w:cs="Sakkal Majalla"/>
          <w:color w:val="000000" w:themeColor="text1"/>
          <w:sz w:val="28"/>
          <w:szCs w:val="28"/>
        </w:rPr>
        <w:t>.</w:t>
      </w:r>
    </w:p>
    <w:p w14:paraId="16183BD1" w14:textId="77777777" w:rsidR="00ED5763" w:rsidRPr="00396255" w:rsidRDefault="00ED5763" w:rsidP="005C278D">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متوسط زمن الاستجابة للطلبات</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الوقت المستغرق من لحظة استلام الطلب حتى تسليمه للجهة الطالبة</w:t>
      </w:r>
      <w:r w:rsidRPr="00396255">
        <w:rPr>
          <w:rFonts w:ascii="Sakkal Majalla" w:eastAsia="Calibri" w:hAnsi="Sakkal Majalla" w:cs="Sakkal Majalla"/>
          <w:color w:val="000000" w:themeColor="text1"/>
          <w:sz w:val="28"/>
          <w:szCs w:val="28"/>
        </w:rPr>
        <w:t>.</w:t>
      </w:r>
    </w:p>
    <w:p w14:paraId="470B26F5" w14:textId="3B9F44AE" w:rsidR="00ED5763" w:rsidRPr="00396255" w:rsidRDefault="00ED5763" w:rsidP="005C278D">
      <w:pPr>
        <w:numPr>
          <w:ilvl w:val="0"/>
          <w:numId w:val="13"/>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دقة العمليات التشغيلية</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نسبة تنفيذ الطلبات بشكل مطابق لما طُلب فعليًا، دون أخطاء في الكمية أو الصنف أو الوقت</w:t>
      </w:r>
      <w:r w:rsidRPr="00396255">
        <w:rPr>
          <w:rFonts w:ascii="Sakkal Majalla" w:eastAsia="Calibri" w:hAnsi="Sakkal Majalla" w:cs="Sakkal Majalla"/>
          <w:color w:val="000000" w:themeColor="text1"/>
          <w:sz w:val="28"/>
          <w:szCs w:val="28"/>
        </w:rPr>
        <w:t>.</w:t>
      </w:r>
    </w:p>
    <w:p w14:paraId="11E25D46" w14:textId="307B6395" w:rsidR="00ED5763" w:rsidRPr="00396255" w:rsidRDefault="004C2380" w:rsidP="00F76CAC">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hint="cs"/>
          <w:b/>
          <w:bCs/>
          <w:color w:val="000000" w:themeColor="text1"/>
          <w:sz w:val="28"/>
          <w:szCs w:val="28"/>
          <w:rtl/>
        </w:rPr>
        <w:t xml:space="preserve">2. </w:t>
      </w:r>
      <w:r w:rsidR="00ED5763" w:rsidRPr="00396255">
        <w:rPr>
          <w:rFonts w:ascii="Sakkal Majalla" w:eastAsia="Calibri" w:hAnsi="Sakkal Majalla" w:cs="Sakkal Majalla"/>
          <w:b/>
          <w:bCs/>
          <w:color w:val="000000" w:themeColor="text1"/>
          <w:sz w:val="28"/>
          <w:szCs w:val="28"/>
          <w:rtl/>
        </w:rPr>
        <w:t>مؤشرات الكفاءة المالية</w:t>
      </w:r>
    </w:p>
    <w:p w14:paraId="3420F8DC"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تعكس مدى قدرة المستودع على تقليل النفقات وتعظيم القيمة المضافة، ومنها</w:t>
      </w:r>
      <w:r w:rsidRPr="00396255">
        <w:rPr>
          <w:rFonts w:ascii="Sakkal Majalla" w:eastAsia="Calibri" w:hAnsi="Sakkal Majalla" w:cs="Sakkal Majalla"/>
          <w:color w:val="000000" w:themeColor="text1"/>
          <w:sz w:val="28"/>
          <w:szCs w:val="28"/>
        </w:rPr>
        <w:t>:</w:t>
      </w:r>
    </w:p>
    <w:p w14:paraId="6FF7CCC3" w14:textId="77777777" w:rsidR="00ED5763" w:rsidRPr="00396255" w:rsidRDefault="00ED5763" w:rsidP="005C278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تكلفة التخزين لكل وحدة</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ويقاس ذلك بمقارنة إجمالي التكاليف التشغيلية بمستوى المخزون</w:t>
      </w:r>
      <w:r w:rsidRPr="00396255">
        <w:rPr>
          <w:rFonts w:ascii="Sakkal Majalla" w:eastAsia="Calibri" w:hAnsi="Sakkal Majalla" w:cs="Sakkal Majalla"/>
          <w:color w:val="000000" w:themeColor="text1"/>
          <w:sz w:val="28"/>
          <w:szCs w:val="28"/>
        </w:rPr>
        <w:t>.</w:t>
      </w:r>
    </w:p>
    <w:p w14:paraId="10774190" w14:textId="77777777" w:rsidR="00ED5763" w:rsidRPr="00396255" w:rsidRDefault="00ED5763" w:rsidP="005C278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معدل الفاقد أو التالف</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نسبة المواد المنتهية أو المتضررة أو غير القابلة للاستخدام إلى إجمالي الأصناف المخزّنة</w:t>
      </w:r>
      <w:r w:rsidRPr="00396255">
        <w:rPr>
          <w:rFonts w:ascii="Sakkal Majalla" w:eastAsia="Calibri" w:hAnsi="Sakkal Majalla" w:cs="Sakkal Majalla"/>
          <w:color w:val="000000" w:themeColor="text1"/>
          <w:sz w:val="28"/>
          <w:szCs w:val="28"/>
        </w:rPr>
        <w:t>.</w:t>
      </w:r>
    </w:p>
    <w:p w14:paraId="0803C5D0" w14:textId="4EB3162C" w:rsidR="00ED5763" w:rsidRPr="00396255" w:rsidRDefault="00ED5763" w:rsidP="005C278D">
      <w:pPr>
        <w:numPr>
          <w:ilvl w:val="0"/>
          <w:numId w:val="14"/>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تكاليف الشراء العاجل</w:t>
      </w:r>
      <w:r w:rsidRPr="00396255">
        <w:rPr>
          <w:rFonts w:ascii="Sakkal Majalla" w:eastAsia="Calibri" w:hAnsi="Sakkal Majalla" w:cs="Sakkal Majalla"/>
          <w:color w:val="000000" w:themeColor="text1"/>
          <w:sz w:val="28"/>
          <w:szCs w:val="28"/>
        </w:rPr>
        <w:t xml:space="preserve">: </w:t>
      </w:r>
      <w:r w:rsidRPr="00396255">
        <w:rPr>
          <w:rFonts w:ascii="Sakkal Majalla" w:eastAsia="Calibri" w:hAnsi="Sakkal Majalla" w:cs="Sakkal Majalla"/>
          <w:color w:val="000000" w:themeColor="text1"/>
          <w:sz w:val="28"/>
          <w:szCs w:val="28"/>
          <w:rtl/>
        </w:rPr>
        <w:t>وهي التكاليف الناتجة عن سوء التخطيط أو ضعف المخزون الاحتياطي</w:t>
      </w:r>
      <w:r w:rsidRPr="00396255">
        <w:rPr>
          <w:rFonts w:ascii="Sakkal Majalla" w:eastAsia="Calibri" w:hAnsi="Sakkal Majalla" w:cs="Sakkal Majalla"/>
          <w:color w:val="000000" w:themeColor="text1"/>
          <w:sz w:val="28"/>
          <w:szCs w:val="28"/>
        </w:rPr>
        <w:t>.</w:t>
      </w:r>
    </w:p>
    <w:p w14:paraId="13C871FD" w14:textId="3E1E60C0" w:rsidR="00ED5763" w:rsidRPr="00396255" w:rsidRDefault="004C2380" w:rsidP="00F76CAC">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hint="cs"/>
          <w:b/>
          <w:bCs/>
          <w:color w:val="000000" w:themeColor="text1"/>
          <w:sz w:val="28"/>
          <w:szCs w:val="28"/>
          <w:rtl/>
        </w:rPr>
        <w:lastRenderedPageBreak/>
        <w:t xml:space="preserve">3. </w:t>
      </w:r>
      <w:r w:rsidR="00ED5763" w:rsidRPr="00396255">
        <w:rPr>
          <w:rFonts w:ascii="Sakkal Majalla" w:eastAsia="Calibri" w:hAnsi="Sakkal Majalla" w:cs="Sakkal Majalla"/>
          <w:b/>
          <w:bCs/>
          <w:color w:val="000000" w:themeColor="text1"/>
          <w:sz w:val="28"/>
          <w:szCs w:val="28"/>
          <w:rtl/>
        </w:rPr>
        <w:t>مؤشرات الكفاءة التكنولوجية</w:t>
      </w:r>
    </w:p>
    <w:p w14:paraId="0BC9BDF2"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ترتبط بمستوى اعتماد الأنظمة الرقمية والتقنيات في إدارة المستودع، مثل</w:t>
      </w:r>
      <w:r w:rsidRPr="00396255">
        <w:rPr>
          <w:rFonts w:ascii="Sakkal Majalla" w:eastAsia="Calibri" w:hAnsi="Sakkal Majalla" w:cs="Sakkal Majalla"/>
          <w:color w:val="000000" w:themeColor="text1"/>
          <w:sz w:val="28"/>
          <w:szCs w:val="28"/>
        </w:rPr>
        <w:t>:</w:t>
      </w:r>
    </w:p>
    <w:p w14:paraId="5588A7E2" w14:textId="77777777" w:rsidR="00ED5763" w:rsidRPr="00396255" w:rsidRDefault="00ED5763" w:rsidP="005C278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مستوى استخدام أنظمة إدارة المخزون</w:t>
      </w:r>
      <w:r w:rsidRPr="00396255">
        <w:rPr>
          <w:rFonts w:ascii="Sakkal Majalla" w:eastAsia="Calibri" w:hAnsi="Sakkal Majalla" w:cs="Sakkal Majalla"/>
          <w:color w:val="000000" w:themeColor="text1"/>
          <w:sz w:val="28"/>
          <w:szCs w:val="28"/>
        </w:rPr>
        <w:t xml:space="preserve"> (WMS)</w:t>
      </w:r>
    </w:p>
    <w:p w14:paraId="769D6110" w14:textId="77777777" w:rsidR="00ED5763" w:rsidRPr="00396255" w:rsidRDefault="00ED5763" w:rsidP="005C278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مدى تطبيق التتبع الإلكتروني للمنتجات</w:t>
      </w:r>
    </w:p>
    <w:p w14:paraId="0EA1AC76" w14:textId="77777777" w:rsidR="00ED5763" w:rsidRPr="00396255" w:rsidRDefault="00ED5763" w:rsidP="005C278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عدد العمليات المؤتمتة مقابل العمليات اليدوية</w:t>
      </w:r>
    </w:p>
    <w:p w14:paraId="6B61D1E7" w14:textId="77777777" w:rsidR="00ED5763" w:rsidRPr="00396255" w:rsidRDefault="00ED5763" w:rsidP="005C278D">
      <w:pPr>
        <w:numPr>
          <w:ilvl w:val="0"/>
          <w:numId w:val="15"/>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تكامل النظام الرقمي مع الجهات المستفيدة والموردين</w:t>
      </w:r>
    </w:p>
    <w:p w14:paraId="00D26E1F" w14:textId="1954FCAB"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وقد أوضح </w:t>
      </w:r>
      <w:r w:rsidRPr="00396255">
        <w:rPr>
          <w:rFonts w:ascii="Sakkal Majalla" w:eastAsia="Calibri" w:hAnsi="Sakkal Majalla" w:cs="Sakkal Majalla"/>
          <w:color w:val="000000" w:themeColor="text1"/>
          <w:sz w:val="28"/>
          <w:szCs w:val="28"/>
        </w:rPr>
        <w:t xml:space="preserve">Singh et al. (2023) </w:t>
      </w:r>
      <w:r w:rsidRPr="00396255">
        <w:rPr>
          <w:rFonts w:ascii="Sakkal Majalla" w:eastAsia="Calibri" w:hAnsi="Sakkal Majalla" w:cs="Sakkal Majalla"/>
          <w:color w:val="000000" w:themeColor="text1"/>
          <w:sz w:val="28"/>
          <w:szCs w:val="28"/>
          <w:rtl/>
        </w:rPr>
        <w:t>أن الكفاءة التكنولوجية لا تقتصر على توفير الأنظمة، بل تقاس بمدى استخدامها الفعلي واستثمارها في تقليل المخاطر وتحسين التنبؤ بالطلب</w:t>
      </w:r>
      <w:r w:rsidRPr="00396255">
        <w:rPr>
          <w:rFonts w:ascii="Sakkal Majalla" w:eastAsia="Calibri" w:hAnsi="Sakkal Majalla" w:cs="Sakkal Majalla"/>
          <w:color w:val="000000" w:themeColor="text1"/>
          <w:sz w:val="28"/>
          <w:szCs w:val="28"/>
        </w:rPr>
        <w:t>.</w:t>
      </w:r>
    </w:p>
    <w:p w14:paraId="23D751A9" w14:textId="5F064295" w:rsidR="00ED5763" w:rsidRPr="00396255" w:rsidRDefault="004C2380" w:rsidP="00F76CAC">
      <w:pPr>
        <w:bidi/>
        <w:spacing w:before="100" w:beforeAutospacing="1" w:after="100" w:afterAutospacing="1" w:line="360" w:lineRule="auto"/>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hint="cs"/>
          <w:b/>
          <w:bCs/>
          <w:color w:val="000000" w:themeColor="text1"/>
          <w:sz w:val="28"/>
          <w:szCs w:val="28"/>
          <w:rtl/>
        </w:rPr>
        <w:t xml:space="preserve">4. </w:t>
      </w:r>
      <w:r w:rsidR="00ED5763" w:rsidRPr="00396255">
        <w:rPr>
          <w:rFonts w:ascii="Sakkal Majalla" w:eastAsia="Calibri" w:hAnsi="Sakkal Majalla" w:cs="Sakkal Majalla"/>
          <w:b/>
          <w:bCs/>
          <w:color w:val="000000" w:themeColor="text1"/>
          <w:sz w:val="28"/>
          <w:szCs w:val="28"/>
          <w:rtl/>
        </w:rPr>
        <w:t>مؤشرات رضا المستفيدين (العملاء)</w:t>
      </w:r>
    </w:p>
    <w:p w14:paraId="1664954B"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وتُعد من أبرز مؤشرات الجودة في المستودعات الصحية، وتشمل</w:t>
      </w:r>
      <w:r w:rsidRPr="00396255">
        <w:rPr>
          <w:rFonts w:ascii="Sakkal Majalla" w:eastAsia="Calibri" w:hAnsi="Sakkal Majalla" w:cs="Sakkal Majalla"/>
          <w:color w:val="000000" w:themeColor="text1"/>
          <w:sz w:val="28"/>
          <w:szCs w:val="28"/>
        </w:rPr>
        <w:t>:</w:t>
      </w:r>
    </w:p>
    <w:p w14:paraId="2BC01582" w14:textId="77777777" w:rsidR="00ED5763" w:rsidRPr="00396255" w:rsidRDefault="00ED5763" w:rsidP="005C278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مستوى رضا الجهات الصحية المستفيدة (المستشفيات، العيادات، الإسعاف)</w:t>
      </w:r>
    </w:p>
    <w:p w14:paraId="0305E15A" w14:textId="77777777" w:rsidR="00ED5763" w:rsidRPr="00396255" w:rsidRDefault="00ED5763" w:rsidP="005C278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عدد شكاوى الخدمة أو تأخر التوصيل</w:t>
      </w:r>
    </w:p>
    <w:p w14:paraId="13A2EF9C" w14:textId="77777777" w:rsidR="00ED5763" w:rsidRPr="00396255" w:rsidRDefault="00ED5763" w:rsidP="005C278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نسبة تنفيذ الطلبات في الموعد المحدد دون تأخير</w:t>
      </w:r>
    </w:p>
    <w:p w14:paraId="6CCEEE74" w14:textId="77777777" w:rsidR="00ED5763" w:rsidRPr="00396255" w:rsidRDefault="00ED5763" w:rsidP="005C278D">
      <w:pPr>
        <w:numPr>
          <w:ilvl w:val="0"/>
          <w:numId w:val="16"/>
        </w:numPr>
        <w:tabs>
          <w:tab w:val="clear" w:pos="720"/>
          <w:tab w:val="num" w:pos="424"/>
        </w:tabs>
        <w:bidi/>
        <w:spacing w:before="100" w:beforeAutospacing="1" w:after="100" w:afterAutospacing="1" w:line="360" w:lineRule="auto"/>
        <w:ind w:left="424"/>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سهولة التواصل والاستجابة مع إدارة المستودع</w:t>
      </w:r>
    </w:p>
    <w:p w14:paraId="599EC8DE" w14:textId="7F7B5914"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tl/>
          <w:lang w:bidi="ar-EG"/>
        </w:rPr>
      </w:pPr>
      <w:r w:rsidRPr="00396255">
        <w:rPr>
          <w:rFonts w:ascii="Sakkal Majalla" w:eastAsia="Calibri" w:hAnsi="Sakkal Majalla" w:cs="Sakkal Majalla"/>
          <w:color w:val="000000" w:themeColor="text1"/>
          <w:sz w:val="28"/>
          <w:szCs w:val="28"/>
          <w:rtl/>
        </w:rPr>
        <w:t>وفقًا لـ الشقاحين والعزب</w:t>
      </w:r>
      <w:r w:rsidRPr="00396255">
        <w:rPr>
          <w:rFonts w:ascii="Sakkal Majalla" w:eastAsia="Calibri" w:hAnsi="Sakkal Majalla" w:cs="Sakkal Majalla"/>
          <w:color w:val="000000" w:themeColor="text1"/>
          <w:sz w:val="28"/>
          <w:szCs w:val="28"/>
        </w:rPr>
        <w:t xml:space="preserve"> (2024)</w:t>
      </w:r>
      <w:r w:rsidRPr="00396255">
        <w:rPr>
          <w:rFonts w:ascii="Sakkal Majalla" w:eastAsia="Calibri" w:hAnsi="Sakkal Majalla" w:cs="Sakkal Majalla"/>
          <w:color w:val="000000" w:themeColor="text1"/>
          <w:sz w:val="28"/>
          <w:szCs w:val="28"/>
          <w:rtl/>
        </w:rPr>
        <w:t>، فإن تحقيق الرضا يتطلب مستودعات تعمل وفق نموذج تشغيلي مرن يعتمد على التكنولوجيا، ويأخذ بعين الاعتبار طبيعة وخصوصية الطلبات الصحية</w:t>
      </w:r>
    </w:p>
    <w:p w14:paraId="2B83C9D0" w14:textId="2F4676B7" w:rsidR="00ED5763" w:rsidRPr="00396255" w:rsidRDefault="004C2380" w:rsidP="004C2380">
      <w:pPr>
        <w:bidi/>
        <w:spacing w:before="100" w:beforeAutospacing="1" w:after="100" w:afterAutospacing="1" w:line="360" w:lineRule="auto"/>
        <w:jc w:val="both"/>
        <w:outlineLvl w:val="2"/>
        <w:rPr>
          <w:rFonts w:ascii="Sakkal Majalla" w:eastAsia="Calibri" w:hAnsi="Sakkal Majalla" w:cs="Sakkal Majalla"/>
          <w:b/>
          <w:bCs/>
          <w:color w:val="000000" w:themeColor="text1"/>
          <w:sz w:val="32"/>
          <w:szCs w:val="32"/>
        </w:rPr>
      </w:pPr>
      <w:bookmarkStart w:id="51" w:name="_Toc214151657"/>
      <w:r w:rsidRPr="00396255">
        <w:rPr>
          <w:rFonts w:ascii="Sakkal Majalla" w:eastAsia="Calibri" w:hAnsi="Sakkal Majalla" w:cs="Sakkal Majalla" w:hint="cs"/>
          <w:b/>
          <w:bCs/>
          <w:color w:val="000000" w:themeColor="text1"/>
          <w:sz w:val="32"/>
          <w:szCs w:val="32"/>
          <w:rtl/>
        </w:rPr>
        <w:t xml:space="preserve">4.2.2 </w:t>
      </w:r>
      <w:r w:rsidR="00ED5763" w:rsidRPr="00396255">
        <w:rPr>
          <w:rFonts w:ascii="Sakkal Majalla" w:eastAsia="Calibri" w:hAnsi="Sakkal Majalla" w:cs="Sakkal Majalla"/>
          <w:b/>
          <w:bCs/>
          <w:color w:val="000000" w:themeColor="text1"/>
          <w:sz w:val="32"/>
          <w:szCs w:val="32"/>
        </w:rPr>
        <w:t xml:space="preserve"> </w:t>
      </w:r>
      <w:r w:rsidR="00ED5763" w:rsidRPr="00396255">
        <w:rPr>
          <w:rFonts w:ascii="Sakkal Majalla" w:eastAsia="Calibri" w:hAnsi="Sakkal Majalla" w:cs="Sakkal Majalla"/>
          <w:b/>
          <w:bCs/>
          <w:color w:val="000000" w:themeColor="text1"/>
          <w:sz w:val="32"/>
          <w:szCs w:val="32"/>
          <w:rtl/>
        </w:rPr>
        <w:t>التحديات التي تواجه كفاءة المستودعات الحكومية الصحية</w:t>
      </w:r>
      <w:bookmarkEnd w:id="51"/>
    </w:p>
    <w:p w14:paraId="79E20561"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 xml:space="preserve">على الرغم من الأهمية الاستراتيجية لكفاءة المستودعات الصحية في دعم استمرارية النظام الصحي وتحقيق الاستجابة السريعة والفعّالة، إلا أن هذه الكفاءة لا تتحقق دائمًا بسهولة. فثمة مجموعة من التحديات </w:t>
      </w:r>
      <w:r w:rsidRPr="00396255">
        <w:rPr>
          <w:rFonts w:ascii="Sakkal Majalla" w:eastAsia="Calibri" w:hAnsi="Sakkal Majalla" w:cs="Sakkal Majalla"/>
          <w:color w:val="000000" w:themeColor="text1"/>
          <w:sz w:val="28"/>
          <w:szCs w:val="28"/>
          <w:rtl/>
        </w:rPr>
        <w:lastRenderedPageBreak/>
        <w:t>البنيوية والتنظيمية والتكنولوجية والبشرية تُعيق تحقيق الكفاءة المثلى، خاصة في المستودعات الحكومية التي تُدار غالبًا في بيئات معقدة وتخضع لضغوط إدارية ومالية وتشغيلية</w:t>
      </w:r>
      <w:r w:rsidRPr="00396255">
        <w:rPr>
          <w:rFonts w:ascii="Sakkal Majalla" w:eastAsia="Calibri" w:hAnsi="Sakkal Majalla" w:cs="Sakkal Majalla"/>
          <w:color w:val="000000" w:themeColor="text1"/>
          <w:sz w:val="28"/>
          <w:szCs w:val="28"/>
        </w:rPr>
        <w:t>.</w:t>
      </w:r>
    </w:p>
    <w:p w14:paraId="6EF54BC1"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وقد أشارت دراسة الشقاحين والعزب</w:t>
      </w:r>
      <w:r w:rsidRPr="00396255">
        <w:rPr>
          <w:rFonts w:ascii="Sakkal Majalla" w:eastAsia="Calibri" w:hAnsi="Sakkal Majalla" w:cs="Sakkal Majalla"/>
          <w:color w:val="000000" w:themeColor="text1"/>
          <w:sz w:val="28"/>
          <w:szCs w:val="28"/>
        </w:rPr>
        <w:t xml:space="preserve"> (2024) </w:t>
      </w:r>
      <w:r w:rsidRPr="00396255">
        <w:rPr>
          <w:rFonts w:ascii="Sakkal Majalla" w:eastAsia="Calibri" w:hAnsi="Sakkal Majalla" w:cs="Sakkal Majalla"/>
          <w:color w:val="000000" w:themeColor="text1"/>
          <w:sz w:val="28"/>
          <w:szCs w:val="28"/>
          <w:rtl/>
        </w:rPr>
        <w:t xml:space="preserve">إلى أن أهم هذه التحديات تتعلق بضعف التنسيق المؤسسي، ونقص الأنظمة الإلكترونية المتقدمة، وغياب المؤشرات الدقيقة لقياس الأداء. كما لفتت دراسة </w:t>
      </w:r>
      <w:r w:rsidRPr="00396255">
        <w:rPr>
          <w:rFonts w:ascii="Sakkal Majalla" w:eastAsia="Calibri" w:hAnsi="Sakkal Majalla" w:cs="Sakkal Majalla"/>
          <w:color w:val="000000" w:themeColor="text1"/>
          <w:sz w:val="28"/>
          <w:szCs w:val="28"/>
        </w:rPr>
        <w:t xml:space="preserve">Marques &amp; Ferreira (2020) </w:t>
      </w:r>
      <w:r w:rsidRPr="00396255">
        <w:rPr>
          <w:rFonts w:ascii="Sakkal Majalla" w:eastAsia="Calibri" w:hAnsi="Sakkal Majalla" w:cs="Sakkal Majalla"/>
          <w:color w:val="000000" w:themeColor="text1"/>
          <w:sz w:val="28"/>
          <w:szCs w:val="28"/>
          <w:rtl/>
        </w:rPr>
        <w:t>إلى أن الكفاءة في المستودعات الصحية لا تُقاس فقط بمدى توفر الأصناف، بل بقدرة النظام على التنبؤ، والتسليم الدقيق، وضمان استدامة الإمداد، وهو ما يتطلب منظومة متكاملة قد تواجه عراقيل مختلفة</w:t>
      </w:r>
      <w:r w:rsidRPr="00396255">
        <w:rPr>
          <w:rFonts w:ascii="Sakkal Majalla" w:eastAsia="Calibri" w:hAnsi="Sakkal Majalla" w:cs="Sakkal Majalla"/>
          <w:color w:val="000000" w:themeColor="text1"/>
          <w:sz w:val="28"/>
          <w:szCs w:val="28"/>
        </w:rPr>
        <w:t>.</w:t>
      </w:r>
    </w:p>
    <w:p w14:paraId="59A6C9F9" w14:textId="6EE0DCB4"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وفيما يلي أبرز التحديات التي تواجه كفاءة المستودعات الحكومية الصحية</w:t>
      </w:r>
      <w:r w:rsidR="004C2380" w:rsidRPr="00396255">
        <w:rPr>
          <w:rFonts w:ascii="Sakkal Majalla" w:eastAsia="Calibri" w:hAnsi="Sakkal Majalla" w:cs="Sakkal Majalla"/>
          <w:color w:val="000000" w:themeColor="text1"/>
          <w:sz w:val="28"/>
          <w:szCs w:val="28"/>
        </w:rPr>
        <w:t>:</w:t>
      </w:r>
    </w:p>
    <w:p w14:paraId="6E9F29D3" w14:textId="437FE405" w:rsidR="00ED5763" w:rsidRPr="00396255" w:rsidRDefault="00ED5763" w:rsidP="005C278D">
      <w:pPr>
        <w:pStyle w:val="a6"/>
        <w:numPr>
          <w:ilvl w:val="0"/>
          <w:numId w:val="19"/>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ضعف البنية التحتية التخزينية واللوجستية</w:t>
      </w:r>
    </w:p>
    <w:p w14:paraId="0A5B999B" w14:textId="069DB719"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تعاني العديد من المستودعات الحكومية من محدودية المساحات التخزينية أو افتقارها للتصميم المناسب لأنواع الأدوية والمستلزمات الطبية (كالمواد الحساسة للحرارة أو القابلة للتلف). كما قد تكون معدات النقل والمناولة قديمة أو غير متوافقة مع المعايير الطبية، مما يؤدي إلى تلف المواد أو تأخير في التوزيع</w:t>
      </w:r>
      <w:r w:rsidR="004C2380" w:rsidRPr="00396255">
        <w:rPr>
          <w:rFonts w:ascii="Sakkal Majalla" w:eastAsia="Calibri" w:hAnsi="Sakkal Majalla" w:cs="Sakkal Majalla"/>
          <w:color w:val="000000" w:themeColor="text1"/>
          <w:sz w:val="28"/>
          <w:szCs w:val="28"/>
        </w:rPr>
        <w:t>.</w:t>
      </w:r>
    </w:p>
    <w:p w14:paraId="7720893A" w14:textId="6B85DD85" w:rsidR="00ED5763" w:rsidRPr="00396255" w:rsidRDefault="00ED5763" w:rsidP="005C278D">
      <w:pPr>
        <w:pStyle w:val="a6"/>
        <w:numPr>
          <w:ilvl w:val="0"/>
          <w:numId w:val="19"/>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الاعتماد على أنظمة تقليدية في إدارة المخزون</w:t>
      </w:r>
    </w:p>
    <w:p w14:paraId="6B883449" w14:textId="50748C00"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ما يزال عدد كبير من المستودعات الصحية يستخدم طرقًا يدوية أو أنظمة غير مترابطة</w:t>
      </w:r>
      <w:r w:rsidRPr="00396255">
        <w:rPr>
          <w:rFonts w:ascii="Sakkal Majalla" w:eastAsia="Calibri" w:hAnsi="Sakkal Majalla" w:cs="Sakkal Majalla"/>
          <w:color w:val="000000" w:themeColor="text1"/>
          <w:sz w:val="28"/>
          <w:szCs w:val="28"/>
        </w:rPr>
        <w:t xml:space="preserve"> (Excel </w:t>
      </w:r>
      <w:r w:rsidRPr="00396255">
        <w:rPr>
          <w:rFonts w:ascii="Sakkal Majalla" w:eastAsia="Calibri" w:hAnsi="Sakkal Majalla" w:cs="Sakkal Majalla"/>
          <w:color w:val="000000" w:themeColor="text1"/>
          <w:sz w:val="28"/>
          <w:szCs w:val="28"/>
          <w:rtl/>
        </w:rPr>
        <w:t>أو قواعد بيانات محلية</w:t>
      </w:r>
      <w:r w:rsidRPr="00396255">
        <w:rPr>
          <w:rFonts w:ascii="Sakkal Majalla" w:eastAsia="Calibri" w:hAnsi="Sakkal Majalla" w:cs="Sakkal Majalla"/>
          <w:color w:val="000000" w:themeColor="text1"/>
          <w:sz w:val="28"/>
          <w:szCs w:val="28"/>
        </w:rPr>
        <w:t>)</w:t>
      </w:r>
      <w:r w:rsidRPr="00396255">
        <w:rPr>
          <w:rFonts w:ascii="Sakkal Majalla" w:eastAsia="Calibri" w:hAnsi="Sakkal Majalla" w:cs="Sakkal Majalla"/>
          <w:color w:val="000000" w:themeColor="text1"/>
          <w:sz w:val="28"/>
          <w:szCs w:val="28"/>
          <w:rtl/>
        </w:rPr>
        <w:t>، مما يؤدي إلى تأخر في تحديث البيانات، وضعف القدرة على اتخاذ قرارات مبنية على تحليل لحظي. ويؤدي هذا إلى تراكم المخزون أو نفاده دون مبرر، ويُفقد الإدارة الرؤية الشاملة لسلسلة التوريد</w:t>
      </w:r>
      <w:r w:rsidR="004C2380" w:rsidRPr="00396255">
        <w:rPr>
          <w:rFonts w:ascii="Sakkal Majalla" w:eastAsia="Calibri" w:hAnsi="Sakkal Majalla" w:cs="Sakkal Majalla"/>
          <w:color w:val="000000" w:themeColor="text1"/>
          <w:sz w:val="28"/>
          <w:szCs w:val="28"/>
        </w:rPr>
        <w:t>.</w:t>
      </w:r>
    </w:p>
    <w:p w14:paraId="634AC2F6" w14:textId="222BC0A1" w:rsidR="00ED5763" w:rsidRPr="00396255" w:rsidRDefault="00ED5763" w:rsidP="005C278D">
      <w:pPr>
        <w:pStyle w:val="a6"/>
        <w:numPr>
          <w:ilvl w:val="0"/>
          <w:numId w:val="19"/>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نقص الكفاءات المتخصصة في إدارة الإمداد الطبي</w:t>
      </w:r>
    </w:p>
    <w:p w14:paraId="467EDEC8" w14:textId="6C977E56"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لا يقتصر التحدي على المهارات الرقمية فحسب، بل يشمل أيضًا نقص الكوادر ذات الخبرة في إدارة سلاسل الإمداد الطبي، وفهم خصائص المواد الدوائية، ومتطلبات التخزين الصحي السليم. وغالبًا ما يُكلّف موظفون إداريون أو فنيون بمسؤوليات لوجستية دون تدريب كافٍ، ما ينعكس سلبًا على جودة الأداء</w:t>
      </w:r>
      <w:r w:rsidRPr="00396255">
        <w:rPr>
          <w:rFonts w:ascii="Sakkal Majalla" w:eastAsia="Calibri" w:hAnsi="Sakkal Majalla" w:cs="Sakkal Majalla"/>
          <w:color w:val="000000" w:themeColor="text1"/>
          <w:sz w:val="28"/>
          <w:szCs w:val="28"/>
        </w:rPr>
        <w:t>.</w:t>
      </w:r>
    </w:p>
    <w:p w14:paraId="0C357EF1" w14:textId="0AD699F0" w:rsidR="00ED5763" w:rsidRPr="00396255" w:rsidRDefault="00ED5763" w:rsidP="005C278D">
      <w:pPr>
        <w:pStyle w:val="a6"/>
        <w:numPr>
          <w:ilvl w:val="0"/>
          <w:numId w:val="19"/>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lastRenderedPageBreak/>
        <w:t>ضعف التنسيق مع الجهات الصحية المستفيدة</w:t>
      </w:r>
    </w:p>
    <w:p w14:paraId="532E7E2F" w14:textId="4E972204"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تُعد العلاقة بين المستودعات والمستشفيات أو مراكز الرعاية من أكثر التحديات حساسية. ففي حالات كثيرة، يتم تقديم الطلبات دون تحليل مسبق للاحتياج الفعلي، أو دون ربط إلكتروني مباشر بين الطرفين، مما يخلق فجوة في التوصيل، وتفاوتًا بين الطلب والتسليم، ومخزونًا غير متوازن</w:t>
      </w:r>
      <w:r w:rsidRPr="00396255">
        <w:rPr>
          <w:rFonts w:ascii="Sakkal Majalla" w:eastAsia="Calibri" w:hAnsi="Sakkal Majalla" w:cs="Sakkal Majalla"/>
          <w:color w:val="000000" w:themeColor="text1"/>
          <w:sz w:val="28"/>
          <w:szCs w:val="28"/>
        </w:rPr>
        <w:t>.</w:t>
      </w:r>
    </w:p>
    <w:p w14:paraId="39ABBF98" w14:textId="1700C0DB" w:rsidR="00ED5763" w:rsidRPr="00396255" w:rsidRDefault="00ED5763" w:rsidP="005C278D">
      <w:pPr>
        <w:pStyle w:val="a6"/>
        <w:numPr>
          <w:ilvl w:val="0"/>
          <w:numId w:val="19"/>
        </w:numPr>
        <w:bidi/>
        <w:spacing w:before="100" w:beforeAutospacing="1" w:after="100" w:afterAutospacing="1" w:line="360" w:lineRule="auto"/>
        <w:ind w:left="424"/>
        <w:jc w:val="both"/>
        <w:rPr>
          <w:rFonts w:ascii="Sakkal Majalla" w:eastAsia="Calibri" w:hAnsi="Sakkal Majalla" w:cs="Sakkal Majalla"/>
          <w:b/>
          <w:bCs/>
          <w:color w:val="000000" w:themeColor="text1"/>
          <w:sz w:val="28"/>
          <w:szCs w:val="28"/>
        </w:rPr>
      </w:pPr>
      <w:r w:rsidRPr="00396255">
        <w:rPr>
          <w:rFonts w:ascii="Sakkal Majalla" w:eastAsia="Calibri" w:hAnsi="Sakkal Majalla" w:cs="Sakkal Majalla"/>
          <w:b/>
          <w:bCs/>
          <w:color w:val="000000" w:themeColor="text1"/>
          <w:sz w:val="28"/>
          <w:szCs w:val="28"/>
          <w:rtl/>
        </w:rPr>
        <w:t>قصور في التخطيط الاستراتيجي والاحتياطي</w:t>
      </w:r>
    </w:p>
    <w:p w14:paraId="0CE200FD" w14:textId="77777777" w:rsidR="00ED5763" w:rsidRPr="00396255" w:rsidRDefault="00ED5763" w:rsidP="004C2380">
      <w:pPr>
        <w:bidi/>
        <w:spacing w:before="100" w:beforeAutospacing="1" w:after="100" w:afterAutospacing="1" w:line="360" w:lineRule="auto"/>
        <w:ind w:firstLine="707"/>
        <w:jc w:val="both"/>
        <w:rPr>
          <w:rFonts w:ascii="Sakkal Majalla" w:eastAsia="Calibri" w:hAnsi="Sakkal Majalla" w:cs="Sakkal Majalla"/>
          <w:color w:val="000000" w:themeColor="text1"/>
          <w:sz w:val="28"/>
          <w:szCs w:val="28"/>
        </w:rPr>
      </w:pPr>
      <w:r w:rsidRPr="00396255">
        <w:rPr>
          <w:rFonts w:ascii="Sakkal Majalla" w:eastAsia="Calibri" w:hAnsi="Sakkal Majalla" w:cs="Sakkal Majalla"/>
          <w:color w:val="000000" w:themeColor="text1"/>
          <w:sz w:val="28"/>
          <w:szCs w:val="28"/>
          <w:rtl/>
        </w:rPr>
        <w:t>كثير من المستودعات الحكومية تفتقر إلى خطط توريد واستبدال طويلة المدى، وتعتمد على الشراء التفاعلي عند ظهور الحاجة. كما تغيب عنها الخطط الاحتياطية لحالات الطوارئ، ما يجعلها معرضة لنقص حاد في المواد في أوقات الأزمات الصحية أو الكوارث</w:t>
      </w:r>
      <w:r w:rsidRPr="00396255">
        <w:rPr>
          <w:rFonts w:ascii="Sakkal Majalla" w:eastAsia="Calibri" w:hAnsi="Sakkal Majalla" w:cs="Sakkal Majalla"/>
          <w:color w:val="000000" w:themeColor="text1"/>
          <w:sz w:val="28"/>
          <w:szCs w:val="28"/>
        </w:rPr>
        <w:t>.</w:t>
      </w:r>
    </w:p>
    <w:p w14:paraId="3EB94CA8" w14:textId="77777777" w:rsidR="004C2380" w:rsidRPr="00396255" w:rsidRDefault="004C2380">
      <w:pPr>
        <w:rPr>
          <w:rFonts w:ascii="Sakkal Majalla" w:eastAsia="Calibri" w:hAnsi="Sakkal Majalla" w:cs="Sakkal Majalla"/>
          <w:color w:val="000000" w:themeColor="text1"/>
          <w:sz w:val="28"/>
          <w:szCs w:val="28"/>
          <w:rtl/>
        </w:rPr>
      </w:pPr>
      <w:r w:rsidRPr="00396255">
        <w:rPr>
          <w:rFonts w:ascii="Sakkal Majalla" w:eastAsia="Calibri" w:hAnsi="Sakkal Majalla" w:cs="Sakkal Majalla"/>
          <w:color w:val="000000" w:themeColor="text1"/>
          <w:sz w:val="28"/>
          <w:szCs w:val="28"/>
          <w:rtl/>
        </w:rPr>
        <w:br w:type="page"/>
      </w:r>
    </w:p>
    <w:p w14:paraId="7B6CD998" w14:textId="45164F35" w:rsidR="00396255" w:rsidRPr="00396255" w:rsidRDefault="00396255" w:rsidP="001A33F6">
      <w:pPr>
        <w:bidi/>
        <w:spacing w:before="100" w:beforeAutospacing="1" w:after="100" w:afterAutospacing="1" w:line="360" w:lineRule="auto"/>
        <w:ind w:left="720"/>
        <w:jc w:val="center"/>
        <w:rPr>
          <w:rFonts w:cs="Sakkal Majalla"/>
          <w:b/>
          <w:bCs/>
          <w:color w:val="000000" w:themeColor="text1"/>
          <w:sz w:val="28"/>
          <w:szCs w:val="32"/>
          <w:rtl/>
        </w:rPr>
        <w:sectPr w:rsidR="00396255" w:rsidRPr="00396255" w:rsidSect="00197536">
          <w:footerReference w:type="default" r:id="rId9"/>
          <w:pgSz w:w="11907" w:h="16840" w:code="9"/>
          <w:pgMar w:top="1440" w:right="1417" w:bottom="1440" w:left="1418" w:header="720" w:footer="720" w:gutter="567"/>
          <w:pgNumType w:start="1"/>
          <w:cols w:space="708"/>
          <w:bidi/>
          <w:rtlGutter/>
          <w:docGrid w:linePitch="360"/>
        </w:sectPr>
      </w:pPr>
    </w:p>
    <w:p w14:paraId="3323730A" w14:textId="77777777" w:rsidR="00670443" w:rsidRPr="00396255" w:rsidRDefault="00670443" w:rsidP="00F76CA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96255">
        <w:rPr>
          <w:rFonts w:ascii="Sakkal Majalla" w:eastAsia="Calibri" w:hAnsi="Sakkal Majalla" w:cs="Sakkal Majalla"/>
          <w:b/>
          <w:bCs/>
          <w:noProof/>
          <w:color w:val="000000" w:themeColor="text1"/>
          <w:sz w:val="32"/>
          <w:szCs w:val="32"/>
        </w:rPr>
        <w:lastRenderedPageBreak/>
        <w:drawing>
          <wp:anchor distT="0" distB="0" distL="114300" distR="114300" simplePos="0" relativeHeight="251663360" behindDoc="0" locked="0" layoutInCell="1" allowOverlap="1" wp14:anchorId="3348E2EC" wp14:editId="0DD931D6">
            <wp:simplePos x="0" y="0"/>
            <wp:positionH relativeFrom="margin">
              <wp:align>right</wp:align>
            </wp:positionH>
            <wp:positionV relativeFrom="paragraph">
              <wp:posOffset>0</wp:posOffset>
            </wp:positionV>
            <wp:extent cx="1796415" cy="1664167"/>
            <wp:effectExtent l="0" t="0" r="0" b="0"/>
            <wp:wrapNone/>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96415" cy="1664167"/>
                    </a:xfrm>
                    <a:prstGeom prst="rect">
                      <a:avLst/>
                    </a:prstGeom>
                    <a:noFill/>
                  </pic:spPr>
                </pic:pic>
              </a:graphicData>
            </a:graphic>
            <wp14:sizeRelH relativeFrom="margin">
              <wp14:pctWidth>0</wp14:pctWidth>
            </wp14:sizeRelH>
            <wp14:sizeRelV relativeFrom="margin">
              <wp14:pctHeight>0</wp14:pctHeight>
            </wp14:sizeRelV>
          </wp:anchor>
        </w:drawing>
      </w:r>
      <w:r w:rsidRPr="00396255">
        <w:rPr>
          <w:rFonts w:ascii="Sakkal Majalla" w:eastAsia="Calibri" w:hAnsi="Sakkal Majalla" w:cs="Sakkal Majalla"/>
          <w:b/>
          <w:bCs/>
          <w:color w:val="000000" w:themeColor="text1"/>
          <w:kern w:val="0"/>
          <w:sz w:val="32"/>
          <w:szCs w:val="32"/>
          <w:lang w:bidi="ar-EG"/>
          <w14:ligatures w14:val="none"/>
        </w:rPr>
        <w:t>Mid-Ocean University</w:t>
      </w:r>
    </w:p>
    <w:p w14:paraId="7201251D" w14:textId="77777777" w:rsidR="00670443" w:rsidRPr="00396255" w:rsidRDefault="00670443" w:rsidP="00F76CA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96255">
        <w:rPr>
          <w:rFonts w:ascii="Sakkal Majalla" w:eastAsia="Calibri" w:hAnsi="Sakkal Majalla" w:cs="Sakkal Majalla"/>
          <w:b/>
          <w:bCs/>
          <w:color w:val="000000" w:themeColor="text1"/>
          <w:kern w:val="0"/>
          <w:sz w:val="32"/>
          <w:szCs w:val="32"/>
          <w:lang w:bidi="ar-EG"/>
          <w14:ligatures w14:val="none"/>
        </w:rPr>
        <w:t>College of Management</w:t>
      </w:r>
    </w:p>
    <w:p w14:paraId="30F9CB9D" w14:textId="12EA5719" w:rsidR="00670443" w:rsidRPr="00396255" w:rsidRDefault="00670443" w:rsidP="00F76CAC">
      <w:pPr>
        <w:spacing w:before="100" w:beforeAutospacing="1" w:after="100" w:afterAutospacing="1" w:line="360" w:lineRule="auto"/>
        <w:jc w:val="both"/>
        <w:rPr>
          <w:rFonts w:ascii="Sakkal Majalla" w:eastAsia="Calibri" w:hAnsi="Sakkal Majalla" w:cs="Sakkal Majalla"/>
          <w:b/>
          <w:bCs/>
          <w:color w:val="000000" w:themeColor="text1"/>
          <w:kern w:val="0"/>
          <w:sz w:val="32"/>
          <w:szCs w:val="32"/>
          <w:rtl/>
          <w14:ligatures w14:val="none"/>
        </w:rPr>
      </w:pPr>
      <w:r w:rsidRPr="00396255">
        <w:rPr>
          <w:rFonts w:ascii="Sakkal Majalla" w:eastAsia="Calibri" w:hAnsi="Sakkal Majalla" w:cs="Sakkal Majalla"/>
          <w:b/>
          <w:bCs/>
          <w:color w:val="000000" w:themeColor="text1"/>
          <w:kern w:val="0"/>
          <w:sz w:val="32"/>
          <w:szCs w:val="32"/>
          <w14:ligatures w14:val="none"/>
        </w:rPr>
        <w:t xml:space="preserve">Master of </w:t>
      </w:r>
      <w:r w:rsidR="008B3EF5" w:rsidRPr="00396255">
        <w:rPr>
          <w:rFonts w:ascii="Sakkal Majalla" w:eastAsia="Calibri" w:hAnsi="Sakkal Majalla" w:cs="Sakkal Majalla"/>
          <w:b/>
          <w:bCs/>
          <w:color w:val="000000" w:themeColor="text1"/>
          <w:kern w:val="0"/>
          <w:sz w:val="32"/>
          <w:szCs w:val="32"/>
          <w14:ligatures w14:val="none"/>
        </w:rPr>
        <w:t xml:space="preserve">risk management </w:t>
      </w:r>
    </w:p>
    <w:p w14:paraId="36D8AFFA" w14:textId="1468D1C5" w:rsidR="00BC2986" w:rsidRPr="00396255" w:rsidRDefault="003E1F37"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396255">
        <w:rPr>
          <w:rFonts w:ascii="Sakkal Majalla" w:eastAsia="Calibri" w:hAnsi="Sakkal Majalla" w:cs="Sakkal Majalla"/>
          <w:b/>
          <w:bCs/>
          <w:color w:val="000000" w:themeColor="text1"/>
          <w:kern w:val="0"/>
          <w:sz w:val="40"/>
          <w:szCs w:val="40"/>
          <w:lang w:bidi="ar-EG"/>
          <w14:ligatures w14:val="none"/>
        </w:rPr>
        <w:t>The role of integration between digital transformation and risk management in improving the efficiency of government health warehouses: an applied study on the Red Crescent Authority.</w:t>
      </w:r>
    </w:p>
    <w:p w14:paraId="1047D4F8" w14:textId="77777777" w:rsidR="00670443"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96255">
        <w:rPr>
          <w:rFonts w:ascii="Sakkal Majalla" w:eastAsia="Calibri" w:hAnsi="Sakkal Majalla" w:cs="Sakkal Majalla"/>
          <w:b/>
          <w:bCs/>
          <w:color w:val="000000" w:themeColor="text1"/>
          <w:kern w:val="0"/>
          <w:sz w:val="36"/>
          <w:szCs w:val="36"/>
          <w:lang w:bidi="ar-EG"/>
          <w14:ligatures w14:val="none"/>
        </w:rPr>
        <w:t>Preparation</w:t>
      </w:r>
      <w:r w:rsidRPr="00396255">
        <w:rPr>
          <w:rFonts w:ascii="Sakkal Majalla" w:eastAsia="Calibri" w:hAnsi="Sakkal Majalla" w:cs="Sakkal Majalla"/>
          <w:b/>
          <w:bCs/>
          <w:color w:val="000000" w:themeColor="text1"/>
          <w:kern w:val="0"/>
          <w:sz w:val="36"/>
          <w:szCs w:val="36"/>
          <w:rtl/>
          <w:lang w:bidi="ar-EG"/>
          <w14:ligatures w14:val="none"/>
        </w:rPr>
        <w:t>:</w:t>
      </w:r>
    </w:p>
    <w:p w14:paraId="1EB44DEF" w14:textId="744F5427" w:rsidR="00670443" w:rsidRDefault="00197536" w:rsidP="00396255">
      <w:pPr>
        <w:spacing w:before="100" w:beforeAutospacing="1" w:after="100" w:afterAutospacing="1" w:line="360" w:lineRule="auto"/>
        <w:jc w:val="center"/>
        <w:rPr>
          <w:b/>
          <w:bCs/>
          <w:sz w:val="28"/>
          <w:szCs w:val="28"/>
        </w:rPr>
      </w:pPr>
      <w:bookmarkStart w:id="52" w:name="_GoBack"/>
      <w:r w:rsidRPr="00197536">
        <w:rPr>
          <w:b/>
          <w:bCs/>
          <w:sz w:val="28"/>
          <w:szCs w:val="28"/>
        </w:rPr>
        <w:t>KHALED NASSER ALMESABHI</w:t>
      </w:r>
    </w:p>
    <w:p w14:paraId="0F4294D4" w14:textId="75A3F080" w:rsidR="00BC2986" w:rsidRPr="00197536" w:rsidRDefault="00197536" w:rsidP="00197536">
      <w:pPr>
        <w:spacing w:before="100" w:beforeAutospacing="1" w:after="100" w:afterAutospacing="1" w:line="360" w:lineRule="auto"/>
        <w:jc w:val="center"/>
        <w:rPr>
          <w:rFonts w:ascii="Sakkal Majalla" w:eastAsia="Calibri" w:hAnsi="Sakkal Majalla" w:cs="Sakkal Majalla"/>
          <w:b/>
          <w:bCs/>
          <w:color w:val="000000" w:themeColor="text1"/>
          <w:kern w:val="0"/>
          <w:sz w:val="44"/>
          <w:szCs w:val="44"/>
          <w:rtl/>
          <w:lang w:bidi="ar-EG"/>
          <w14:ligatures w14:val="none"/>
        </w:rPr>
      </w:pPr>
      <w:r w:rsidRPr="00197536">
        <w:rPr>
          <w:b/>
          <w:bCs/>
          <w:sz w:val="28"/>
          <w:szCs w:val="28"/>
        </w:rPr>
        <w:t>251002374</w:t>
      </w:r>
    </w:p>
    <w:bookmarkEnd w:id="52"/>
    <w:p w14:paraId="74EE130B" w14:textId="77777777" w:rsidR="00670443"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96255">
        <w:rPr>
          <w:rFonts w:ascii="Sakkal Majalla" w:eastAsia="Calibri" w:hAnsi="Sakkal Majalla" w:cs="Sakkal Majalla"/>
          <w:b/>
          <w:bCs/>
          <w:color w:val="000000" w:themeColor="text1"/>
          <w:kern w:val="0"/>
          <w:sz w:val="36"/>
          <w:szCs w:val="36"/>
          <w:lang w:bidi="ar-EG"/>
          <w14:ligatures w14:val="none"/>
        </w:rPr>
        <w:t>Supervision:</w:t>
      </w:r>
    </w:p>
    <w:p w14:paraId="66512B44" w14:textId="77777777" w:rsidR="00396255"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96255">
        <w:rPr>
          <w:rFonts w:ascii="Sakkal Majalla" w:eastAsia="Calibri" w:hAnsi="Sakkal Majalla" w:cs="Sakkal Majalla"/>
          <w:b/>
          <w:bCs/>
          <w:color w:val="000000" w:themeColor="text1"/>
          <w:kern w:val="0"/>
          <w:sz w:val="36"/>
          <w:szCs w:val="36"/>
          <w:lang w:bidi="ar-EG"/>
          <w14:ligatures w14:val="none"/>
        </w:rPr>
        <w:t>Dr. Al-Faisal Abdelhamid Mohamed Hassan</w:t>
      </w:r>
    </w:p>
    <w:p w14:paraId="553ABA71" w14:textId="77777777" w:rsidR="00396255" w:rsidRPr="00396255" w:rsidRDefault="00396255" w:rsidP="00396255">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96255">
        <w:rPr>
          <w:rFonts w:ascii="Sakkal Majalla" w:eastAsia="Calibri" w:hAnsi="Sakkal Majalla" w:cs="Sakkal Majalla"/>
          <w:b/>
          <w:bCs/>
          <w:color w:val="000000" w:themeColor="text1"/>
          <w:kern w:val="0"/>
          <w:sz w:val="36"/>
          <w:szCs w:val="36"/>
          <w:lang w:bidi="ar-EG"/>
          <w14:ligatures w14:val="none"/>
        </w:rPr>
        <w:t>Dr. Fayez Grad</w:t>
      </w:r>
    </w:p>
    <w:p w14:paraId="3BB89470" w14:textId="490F5E30" w:rsidR="00670443" w:rsidRPr="00396255" w:rsidRDefault="00670443" w:rsidP="00396255">
      <w:pPr>
        <w:spacing w:before="100" w:beforeAutospacing="1" w:after="100" w:afterAutospacing="1" w:line="360" w:lineRule="auto"/>
        <w:jc w:val="center"/>
        <w:rPr>
          <w:rFonts w:ascii="Sakkal Majalla" w:eastAsia="Calibri" w:hAnsi="Sakkal Majalla" w:cs="Sakkal Majalla"/>
          <w:b/>
          <w:bCs/>
          <w:color w:val="000000" w:themeColor="text1"/>
          <w:sz w:val="36"/>
          <w:szCs w:val="36"/>
          <w:u w:val="single"/>
        </w:rPr>
      </w:pPr>
      <w:r w:rsidRPr="00396255">
        <w:rPr>
          <w:rFonts w:ascii="Sakkal Majalla" w:eastAsia="Calibri" w:hAnsi="Sakkal Majalla" w:cs="Sakkal Majalla"/>
          <w:b/>
          <w:bCs/>
          <w:color w:val="000000" w:themeColor="text1"/>
          <w:kern w:val="0"/>
          <w:sz w:val="36"/>
          <w:szCs w:val="36"/>
          <w:lang w:bidi="ar-EG"/>
          <w14:ligatures w14:val="none"/>
        </w:rPr>
        <w:t>144</w:t>
      </w:r>
      <w:r w:rsidR="008B3EF5" w:rsidRPr="00396255">
        <w:rPr>
          <w:rFonts w:ascii="Sakkal Majalla" w:eastAsia="Calibri" w:hAnsi="Sakkal Majalla" w:cs="Sakkal Majalla"/>
          <w:b/>
          <w:bCs/>
          <w:color w:val="000000" w:themeColor="text1"/>
          <w:kern w:val="0"/>
          <w:sz w:val="36"/>
          <w:szCs w:val="36"/>
          <w:lang w:bidi="ar-EG"/>
          <w14:ligatures w14:val="none"/>
        </w:rPr>
        <w:t>7</w:t>
      </w:r>
      <w:r w:rsidRPr="00396255">
        <w:rPr>
          <w:rFonts w:ascii="Sakkal Majalla" w:eastAsia="Calibri" w:hAnsi="Sakkal Majalla" w:cs="Sakkal Majalla"/>
          <w:b/>
          <w:bCs/>
          <w:color w:val="000000" w:themeColor="text1"/>
          <w:kern w:val="0"/>
          <w:sz w:val="36"/>
          <w:szCs w:val="36"/>
          <w:lang w:bidi="ar-EG"/>
          <w14:ligatures w14:val="none"/>
        </w:rPr>
        <w:t>-2025</w:t>
      </w:r>
    </w:p>
    <w:sectPr w:rsidR="00670443" w:rsidRPr="00396255" w:rsidSect="00197536">
      <w:footerReference w:type="default" r:id="rId11"/>
      <w:pgSz w:w="11907" w:h="16840" w:code="9"/>
      <w:pgMar w:top="1440" w:right="127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3A571A" w14:textId="77777777" w:rsidR="004D2A22" w:rsidRDefault="004D2A22" w:rsidP="00F76CAC">
      <w:pPr>
        <w:spacing w:after="0" w:line="240" w:lineRule="auto"/>
      </w:pPr>
      <w:r>
        <w:separator/>
      </w:r>
    </w:p>
  </w:endnote>
  <w:endnote w:type="continuationSeparator" w:id="0">
    <w:p w14:paraId="56453506" w14:textId="77777777" w:rsidR="004D2A22" w:rsidRDefault="004D2A22" w:rsidP="00F76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6883145"/>
      <w:docPartObj>
        <w:docPartGallery w:val="Page Numbers (Bottom of Page)"/>
        <w:docPartUnique/>
      </w:docPartObj>
    </w:sdtPr>
    <w:sdtEndPr/>
    <w:sdtContent>
      <w:p w14:paraId="1FC7E62C" w14:textId="77777777" w:rsidR="001465F6" w:rsidRDefault="001465F6">
        <w:pPr>
          <w:pStyle w:val="ae"/>
        </w:pPr>
        <w:r>
          <w:rPr>
            <w:noProof/>
          </w:rPr>
          <mc:AlternateContent>
            <mc:Choice Requires="wpg">
              <w:drawing>
                <wp:anchor distT="0" distB="0" distL="114300" distR="114300" simplePos="0" relativeHeight="251663360" behindDoc="0" locked="0" layoutInCell="1" allowOverlap="1" wp14:anchorId="52D5E18D" wp14:editId="723AC792">
                  <wp:simplePos x="0" y="0"/>
                  <wp:positionH relativeFrom="margin">
                    <wp:align>center</wp:align>
                  </wp:positionH>
                  <wp:positionV relativeFrom="bottomMargin">
                    <wp:posOffset>241300</wp:posOffset>
                  </wp:positionV>
                  <wp:extent cx="495300" cy="411480"/>
                  <wp:effectExtent l="38100" t="57150" r="38100" b="45720"/>
                  <wp:wrapNone/>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5300" cy="411480"/>
                            <a:chOff x="10104" y="14464"/>
                            <a:chExt cx="720" cy="548"/>
                          </a:xfrm>
                        </wpg:grpSpPr>
                        <wps:wsp>
                          <wps:cNvPr id="10" name="Rectangle 20"/>
                          <wps:cNvSpPr>
                            <a:spLocks noChangeArrowheads="1"/>
                          </wps:cNvSpPr>
                          <wps:spPr bwMode="auto">
                            <a:xfrm rot="-5786020">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1" name="Rectangle 21"/>
                          <wps:cNvSpPr>
                            <a:spLocks noChangeArrowheads="1"/>
                          </wps:cNvSpPr>
                          <wps:spPr bwMode="auto">
                            <a:xfrm rot="-4936653">
                              <a:off x="10190" y="14378"/>
                              <a:ext cx="548" cy="720"/>
                            </a:xfrm>
                            <a:prstGeom prst="rect">
                              <a:avLst/>
                            </a:prstGeom>
                            <a:solidFill>
                              <a:srgbClr val="FFFFFF"/>
                            </a:solidFill>
                            <a:ln w="9525">
                              <a:solidFill>
                                <a:srgbClr val="737373"/>
                              </a:solidFill>
                              <a:miter lim="800000"/>
                              <a:headEnd/>
                              <a:tailEnd/>
                            </a:ln>
                          </wps:spPr>
                          <wps:bodyPr rot="0" vert="horz" wrap="square" lIns="91440" tIns="45720" rIns="91440" bIns="45720" anchor="t" anchorCtr="0" upright="1">
                            <a:noAutofit/>
                          </wps:bodyPr>
                        </wps:wsp>
                        <wps:wsp>
                          <wps:cNvPr id="12" name="Rectangle 22"/>
                          <wps:cNvSpPr>
                            <a:spLocks noChangeArrowheads="1"/>
                          </wps:cNvSpPr>
                          <wps:spPr bwMode="auto">
                            <a:xfrm rot="-5400000">
                              <a:off x="10190" y="14378"/>
                              <a:ext cx="548" cy="720"/>
                            </a:xfrm>
                            <a:prstGeom prst="rect">
                              <a:avLst/>
                            </a:prstGeom>
                            <a:solidFill>
                              <a:srgbClr val="FFFFFF"/>
                            </a:solidFill>
                            <a:ln w="9525">
                              <a:solidFill>
                                <a:srgbClr val="737373"/>
                              </a:solidFill>
                              <a:miter lim="800000"/>
                              <a:headEnd/>
                              <a:tailEnd/>
                            </a:ln>
                          </wps:spPr>
                          <wps:txbx>
                            <w:txbxContent>
                              <w:p w14:paraId="61088AF6" w14:textId="77777777" w:rsidR="001465F6" w:rsidRPr="00F76CAC" w:rsidRDefault="001465F6">
                                <w:pPr>
                                  <w:pStyle w:val="ae"/>
                                  <w:jc w:val="center"/>
                                  <w:rPr>
                                    <w:rFonts w:ascii="Sakkal Majalla" w:hAnsi="Sakkal Majalla" w:cs="Sakkal Majalla"/>
                                    <w:b/>
                                    <w:bCs/>
                                  </w:rPr>
                                </w:pPr>
                                <w:r w:rsidRPr="00F76CAC">
                                  <w:rPr>
                                    <w:rFonts w:ascii="Sakkal Majalla" w:hAnsi="Sakkal Majalla" w:cs="Sakkal Majalla"/>
                                    <w:b/>
                                    <w:bCs/>
                                  </w:rPr>
                                  <w:fldChar w:fldCharType="begin"/>
                                </w:r>
                                <w:r w:rsidRPr="00F76CAC">
                                  <w:rPr>
                                    <w:rFonts w:ascii="Sakkal Majalla" w:hAnsi="Sakkal Majalla" w:cs="Sakkal Majalla"/>
                                    <w:b/>
                                    <w:bCs/>
                                  </w:rPr>
                                  <w:instrText xml:space="preserve"> PAGE    \* MERGEFORMAT </w:instrText>
                                </w:r>
                                <w:r w:rsidRPr="00F76CAC">
                                  <w:rPr>
                                    <w:rFonts w:ascii="Sakkal Majalla" w:hAnsi="Sakkal Majalla" w:cs="Sakkal Majalla"/>
                                    <w:b/>
                                    <w:bCs/>
                                  </w:rPr>
                                  <w:fldChar w:fldCharType="separate"/>
                                </w:r>
                                <w:r w:rsidR="001A33F6">
                                  <w:rPr>
                                    <w:rFonts w:ascii="Sakkal Majalla" w:hAnsi="Sakkal Majalla" w:cs="Sakkal Majalla"/>
                                    <w:b/>
                                    <w:bCs/>
                                    <w:noProof/>
                                  </w:rPr>
                                  <w:t>34</w:t>
                                </w:r>
                                <w:r w:rsidRPr="00F76CAC">
                                  <w:rPr>
                                    <w:rFonts w:ascii="Sakkal Majalla" w:hAnsi="Sakkal Majalla" w:cs="Sakkal Majalla"/>
                                    <w:b/>
                                    <w:bCs/>
                                    <w:noProof/>
                                  </w:rPr>
                                  <w:fldChar w:fldCharType="end"/>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2D5E18D" id="Group 9" o:spid="_x0000_s1031" style="position:absolute;margin-left:0;margin-top:19pt;width:39pt;height:32.4pt;z-index:251663360;mso-position-horizontal:center;mso-position-horizontal-relative:margin;mso-position-vertical-relative:bottom-margin-area" coordorigin="10104,14464" coordsize="720,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">
                  <v:rect id="Rectangle 20" o:spid="_x0000_s1032" style="position:absolute;left:10190;top:14378;width:548;height:720;rotation:-6319877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" strokecolor="#737373"/>
                  <v:rect id="Rectangle 21" o:spid="_x0000_s1033" style="position:absolute;left:10190;top:14378;width:548;height:720;rotation:-5392142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" strokecolor="#737373"/>
                  <v:rect id="Rectangle 22" o:spid="_x0000_s1034" style="position:absolute;left:10190;top:14378;width:548;height:720;rotation:-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" strokecolor="#737373">
                    <v:textbox>
                      <w:txbxContent>
                        <w:p w14:paraId="61088AF6" w14:textId="77777777" w:rsidR="001465F6" w:rsidRPr="00F76CAC" w:rsidRDefault="001465F6">
                          <w:pPr>
                            <w:pStyle w:val="ae"/>
                            <w:jc w:val="center"/>
                            <w:rPr>
                              <w:rFonts w:ascii="Sakkal Majalla" w:hAnsi="Sakkal Majalla" w:cs="Sakkal Majalla"/>
                              <w:b/>
                              <w:bCs/>
                            </w:rPr>
                          </w:pPr>
                          <w:r w:rsidRPr="00F76CAC">
                            <w:rPr>
                              <w:rFonts w:ascii="Sakkal Majalla" w:hAnsi="Sakkal Majalla" w:cs="Sakkal Majalla"/>
                              <w:b/>
                              <w:bCs/>
                            </w:rPr>
                            <w:fldChar w:fldCharType="begin"/>
                          </w:r>
                          <w:r w:rsidRPr="00F76CAC">
                            <w:rPr>
                              <w:rFonts w:ascii="Sakkal Majalla" w:hAnsi="Sakkal Majalla" w:cs="Sakkal Majalla"/>
                              <w:b/>
                              <w:bCs/>
                            </w:rPr>
                            <w:instrText xml:space="preserve"> PAGE    \* MERGEFORMAT </w:instrText>
                          </w:r>
                          <w:r w:rsidRPr="00F76CAC">
                            <w:rPr>
                              <w:rFonts w:ascii="Sakkal Majalla" w:hAnsi="Sakkal Majalla" w:cs="Sakkal Majalla"/>
                              <w:b/>
                              <w:bCs/>
                            </w:rPr>
                            <w:fldChar w:fldCharType="separate"/>
                          </w:r>
                          <w:r w:rsidR="001A33F6">
                            <w:rPr>
                              <w:rFonts w:ascii="Sakkal Majalla" w:hAnsi="Sakkal Majalla" w:cs="Sakkal Majalla"/>
                              <w:b/>
                              <w:bCs/>
                              <w:noProof/>
                            </w:rPr>
                            <w:t>34</w:t>
                          </w:r>
                          <w:r w:rsidRPr="00F76CAC">
                            <w:rPr>
                              <w:rFonts w:ascii="Sakkal Majalla" w:hAnsi="Sakkal Majalla" w:cs="Sakkal Majalla"/>
                              <w:b/>
                              <w:bCs/>
                              <w:noProof/>
                            </w:rPr>
                            <w:fldChar w:fldCharType="end"/>
                          </w:r>
                        </w:p>
                      </w:txbxContent>
                    </v:textbox>
                  </v:rect>
                  <w10:wrap anchorx="margin"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7A158A" w14:textId="59318EBE" w:rsidR="00396255" w:rsidRDefault="00396255">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6B46ED" w14:textId="77777777" w:rsidR="004D2A22" w:rsidRDefault="004D2A22" w:rsidP="00F76CAC">
      <w:pPr>
        <w:spacing w:after="0" w:line="240" w:lineRule="auto"/>
      </w:pPr>
      <w:r>
        <w:separator/>
      </w:r>
    </w:p>
  </w:footnote>
  <w:footnote w:type="continuationSeparator" w:id="0">
    <w:p w14:paraId="7542EF60" w14:textId="77777777" w:rsidR="004D2A22" w:rsidRDefault="004D2A22" w:rsidP="00F76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B559D"/>
    <w:multiLevelType w:val="multilevel"/>
    <w:tmpl w:val="51F80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CF32DF"/>
    <w:multiLevelType w:val="multilevel"/>
    <w:tmpl w:val="81844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0E205D"/>
    <w:multiLevelType w:val="hybridMultilevel"/>
    <w:tmpl w:val="D272101E"/>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BD0417"/>
    <w:multiLevelType w:val="hybridMultilevel"/>
    <w:tmpl w:val="12405F8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5CA7DF1"/>
    <w:multiLevelType w:val="hybridMultilevel"/>
    <w:tmpl w:val="B0D690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B04112"/>
    <w:multiLevelType w:val="multilevel"/>
    <w:tmpl w:val="41E447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305635"/>
    <w:multiLevelType w:val="hybridMultilevel"/>
    <w:tmpl w:val="7794F0EC"/>
    <w:lvl w:ilvl="0" w:tplc="FFFFFFFF">
      <w:start w:val="1"/>
      <w:numFmt w:val="bullet"/>
      <w:lvlText w:val=""/>
      <w:lvlJc w:val="left"/>
      <w:pPr>
        <w:ind w:left="360" w:hanging="360"/>
      </w:pPr>
      <w:rPr>
        <w:rFonts w:ascii="Symbol" w:hAnsi="Symbol" w:hint="default"/>
      </w:rPr>
    </w:lvl>
    <w:lvl w:ilvl="1" w:tplc="06B83980">
      <w:start w:val="1"/>
      <w:numFmt w:val="bullet"/>
      <w:lvlText w:val=""/>
      <w:lvlJc w:val="left"/>
      <w:pPr>
        <w:ind w:left="1080" w:hanging="360"/>
      </w:pPr>
      <w:rPr>
        <w:rFonts w:ascii="Symbol" w:hAnsi="Symbol" w:hint="default"/>
      </w:rPr>
    </w:lvl>
    <w:lvl w:ilvl="2" w:tplc="6C4AF2A8">
      <w:start w:val="13"/>
      <w:numFmt w:val="bullet"/>
      <w:lvlText w:val="-"/>
      <w:lvlJc w:val="left"/>
      <w:pPr>
        <w:ind w:left="360" w:hanging="360"/>
      </w:pPr>
      <w:rPr>
        <w:rFonts w:ascii="Sakkal Majalla" w:eastAsiaTheme="minorHAnsi" w:hAnsi="Sakkal Majalla" w:cs="Sakkal Majalla"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8" w15:restartNumberingAfterBreak="0">
    <w:nsid w:val="35344F13"/>
    <w:multiLevelType w:val="multilevel"/>
    <w:tmpl w:val="AEE29E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EDE1E3F"/>
    <w:multiLevelType w:val="hybridMultilevel"/>
    <w:tmpl w:val="3E98D4E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02219C"/>
    <w:multiLevelType w:val="hybridMultilevel"/>
    <w:tmpl w:val="362C93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1DE7362"/>
    <w:multiLevelType w:val="multilevel"/>
    <w:tmpl w:val="87A44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F83701"/>
    <w:multiLevelType w:val="hybridMultilevel"/>
    <w:tmpl w:val="91CEEFFA"/>
    <w:lvl w:ilvl="0" w:tplc="0EE4B0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A3F5C9E"/>
    <w:multiLevelType w:val="hybridMultilevel"/>
    <w:tmpl w:val="DC949FE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BC55300"/>
    <w:multiLevelType w:val="hybridMultilevel"/>
    <w:tmpl w:val="E9AE58B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6E53633"/>
    <w:multiLevelType w:val="hybridMultilevel"/>
    <w:tmpl w:val="25E63AA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B2D685E"/>
    <w:multiLevelType w:val="hybridMultilevel"/>
    <w:tmpl w:val="530EC0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69B7A37"/>
    <w:multiLevelType w:val="multilevel"/>
    <w:tmpl w:val="AC387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3"/>
  </w:num>
  <w:num w:numId="3">
    <w:abstractNumId w:val="16"/>
  </w:num>
  <w:num w:numId="4">
    <w:abstractNumId w:val="3"/>
  </w:num>
  <w:num w:numId="5">
    <w:abstractNumId w:val="10"/>
  </w:num>
  <w:num w:numId="6">
    <w:abstractNumId w:val="5"/>
  </w:num>
  <w:num w:numId="7">
    <w:abstractNumId w:val="18"/>
  </w:num>
  <w:num w:numId="8">
    <w:abstractNumId w:val="4"/>
  </w:num>
  <w:num w:numId="9">
    <w:abstractNumId w:val="7"/>
  </w:num>
  <w:num w:numId="10">
    <w:abstractNumId w:val="12"/>
  </w:num>
  <w:num w:numId="11">
    <w:abstractNumId w:val="8"/>
  </w:num>
  <w:num w:numId="12">
    <w:abstractNumId w:val="6"/>
  </w:num>
  <w:num w:numId="13">
    <w:abstractNumId w:val="11"/>
  </w:num>
  <w:num w:numId="14">
    <w:abstractNumId w:val="17"/>
  </w:num>
  <w:num w:numId="15">
    <w:abstractNumId w:val="1"/>
  </w:num>
  <w:num w:numId="16">
    <w:abstractNumId w:val="0"/>
  </w:num>
  <w:num w:numId="17">
    <w:abstractNumId w:val="9"/>
  </w:num>
  <w:num w:numId="18">
    <w:abstractNumId w:val="2"/>
  </w:num>
  <w:num w:numId="19">
    <w:abstractNumId w:val="1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2F52"/>
    <w:rsid w:val="00003B5C"/>
    <w:rsid w:val="00086EC7"/>
    <w:rsid w:val="000B7C0D"/>
    <w:rsid w:val="000C54A5"/>
    <w:rsid w:val="000F23D7"/>
    <w:rsid w:val="001465F6"/>
    <w:rsid w:val="001735A7"/>
    <w:rsid w:val="00197536"/>
    <w:rsid w:val="001A33F6"/>
    <w:rsid w:val="001B0A15"/>
    <w:rsid w:val="001B4725"/>
    <w:rsid w:val="001C608D"/>
    <w:rsid w:val="001E751A"/>
    <w:rsid w:val="001F4533"/>
    <w:rsid w:val="0021216C"/>
    <w:rsid w:val="00232607"/>
    <w:rsid w:val="00243E8A"/>
    <w:rsid w:val="002B3AFE"/>
    <w:rsid w:val="002F1465"/>
    <w:rsid w:val="002F2D57"/>
    <w:rsid w:val="002F60B8"/>
    <w:rsid w:val="002F6CD7"/>
    <w:rsid w:val="00330E8E"/>
    <w:rsid w:val="00335B32"/>
    <w:rsid w:val="00377082"/>
    <w:rsid w:val="00385B7B"/>
    <w:rsid w:val="00396255"/>
    <w:rsid w:val="003D4911"/>
    <w:rsid w:val="003D7197"/>
    <w:rsid w:val="003E1F37"/>
    <w:rsid w:val="00410DB9"/>
    <w:rsid w:val="00431C8C"/>
    <w:rsid w:val="00465599"/>
    <w:rsid w:val="00471BB0"/>
    <w:rsid w:val="0049363B"/>
    <w:rsid w:val="0049562C"/>
    <w:rsid w:val="004B352F"/>
    <w:rsid w:val="004C2380"/>
    <w:rsid w:val="004C6F58"/>
    <w:rsid w:val="004D2A22"/>
    <w:rsid w:val="004E61A7"/>
    <w:rsid w:val="00510EFA"/>
    <w:rsid w:val="00513D84"/>
    <w:rsid w:val="00516225"/>
    <w:rsid w:val="00517E96"/>
    <w:rsid w:val="0057194E"/>
    <w:rsid w:val="005B2435"/>
    <w:rsid w:val="005C278D"/>
    <w:rsid w:val="006276FC"/>
    <w:rsid w:val="00633787"/>
    <w:rsid w:val="0064319C"/>
    <w:rsid w:val="0066195E"/>
    <w:rsid w:val="00670443"/>
    <w:rsid w:val="00686D9C"/>
    <w:rsid w:val="006B10E4"/>
    <w:rsid w:val="006B204F"/>
    <w:rsid w:val="00702F03"/>
    <w:rsid w:val="00722549"/>
    <w:rsid w:val="00746533"/>
    <w:rsid w:val="00755C2B"/>
    <w:rsid w:val="007A201F"/>
    <w:rsid w:val="0082350B"/>
    <w:rsid w:val="00866FD2"/>
    <w:rsid w:val="008A068F"/>
    <w:rsid w:val="008B3EF5"/>
    <w:rsid w:val="008B7A4D"/>
    <w:rsid w:val="008C0F58"/>
    <w:rsid w:val="008D13D4"/>
    <w:rsid w:val="00903CAC"/>
    <w:rsid w:val="00947A7A"/>
    <w:rsid w:val="00953064"/>
    <w:rsid w:val="00974C62"/>
    <w:rsid w:val="00981FD0"/>
    <w:rsid w:val="00A14016"/>
    <w:rsid w:val="00A27421"/>
    <w:rsid w:val="00A4051C"/>
    <w:rsid w:val="00A40FCC"/>
    <w:rsid w:val="00A65A02"/>
    <w:rsid w:val="00A80562"/>
    <w:rsid w:val="00A94E52"/>
    <w:rsid w:val="00A97A87"/>
    <w:rsid w:val="00AA3314"/>
    <w:rsid w:val="00AA33DE"/>
    <w:rsid w:val="00AC31BF"/>
    <w:rsid w:val="00AD5B79"/>
    <w:rsid w:val="00B44A7A"/>
    <w:rsid w:val="00B45B8F"/>
    <w:rsid w:val="00B76880"/>
    <w:rsid w:val="00B84F7F"/>
    <w:rsid w:val="00B913E0"/>
    <w:rsid w:val="00B93482"/>
    <w:rsid w:val="00BA4DDC"/>
    <w:rsid w:val="00BB034F"/>
    <w:rsid w:val="00BB088E"/>
    <w:rsid w:val="00BB7F8F"/>
    <w:rsid w:val="00BC2986"/>
    <w:rsid w:val="00C245EF"/>
    <w:rsid w:val="00C679BF"/>
    <w:rsid w:val="00CB7336"/>
    <w:rsid w:val="00D16BE6"/>
    <w:rsid w:val="00D32F52"/>
    <w:rsid w:val="00D47753"/>
    <w:rsid w:val="00D51F8F"/>
    <w:rsid w:val="00D6040F"/>
    <w:rsid w:val="00DD1EF7"/>
    <w:rsid w:val="00E12842"/>
    <w:rsid w:val="00E337C0"/>
    <w:rsid w:val="00E45683"/>
    <w:rsid w:val="00E9695E"/>
    <w:rsid w:val="00EA32BE"/>
    <w:rsid w:val="00EB2685"/>
    <w:rsid w:val="00EC4F46"/>
    <w:rsid w:val="00ED2895"/>
    <w:rsid w:val="00ED2ED2"/>
    <w:rsid w:val="00ED5763"/>
    <w:rsid w:val="00ED7B4F"/>
    <w:rsid w:val="00F07788"/>
    <w:rsid w:val="00F2181C"/>
    <w:rsid w:val="00F32602"/>
    <w:rsid w:val="00F76CAC"/>
    <w:rsid w:val="00F83178"/>
    <w:rsid w:val="00F96361"/>
    <w:rsid w:val="00FC1B40"/>
    <w:rsid w:val="00FE0178"/>
    <w:rsid w:val="00FE2569"/>
    <w:rsid w:val="00FF70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996FD0"/>
  <w15:chartTrackingRefBased/>
  <w15:docId w15:val="{113809B3-CE31-4FBC-A9C1-D3E3400E3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next w:val="a"/>
    <w:link w:val="1Char"/>
    <w:uiPriority w:val="9"/>
    <w:qFormat/>
    <w:rsid w:val="00D32F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D32F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D32F52"/>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D32F52"/>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D32F52"/>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D32F52"/>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D32F52"/>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D32F52"/>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D32F52"/>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D32F5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D32F5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D32F5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D32F5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D32F52"/>
    <w:rPr>
      <w:rFonts w:eastAsiaTheme="majorEastAsia" w:cstheme="majorBidi"/>
      <w:color w:val="2F5496" w:themeColor="accent1" w:themeShade="BF"/>
    </w:rPr>
  </w:style>
  <w:style w:type="character" w:customStyle="1" w:styleId="6Char">
    <w:name w:val="عنوان 6 Char"/>
    <w:basedOn w:val="a0"/>
    <w:link w:val="6"/>
    <w:uiPriority w:val="9"/>
    <w:semiHidden/>
    <w:rsid w:val="00D32F52"/>
    <w:rPr>
      <w:rFonts w:eastAsiaTheme="majorEastAsia" w:cstheme="majorBidi"/>
      <w:i/>
      <w:iCs/>
      <w:color w:val="595959" w:themeColor="text1" w:themeTint="A6"/>
    </w:rPr>
  </w:style>
  <w:style w:type="character" w:customStyle="1" w:styleId="7Char">
    <w:name w:val="عنوان 7 Char"/>
    <w:basedOn w:val="a0"/>
    <w:link w:val="7"/>
    <w:uiPriority w:val="9"/>
    <w:semiHidden/>
    <w:rsid w:val="00D32F52"/>
    <w:rPr>
      <w:rFonts w:eastAsiaTheme="majorEastAsia" w:cstheme="majorBidi"/>
      <w:color w:val="595959" w:themeColor="text1" w:themeTint="A6"/>
    </w:rPr>
  </w:style>
  <w:style w:type="character" w:customStyle="1" w:styleId="8Char">
    <w:name w:val="عنوان 8 Char"/>
    <w:basedOn w:val="a0"/>
    <w:link w:val="8"/>
    <w:uiPriority w:val="9"/>
    <w:semiHidden/>
    <w:rsid w:val="00D32F52"/>
    <w:rPr>
      <w:rFonts w:eastAsiaTheme="majorEastAsia" w:cstheme="majorBidi"/>
      <w:i/>
      <w:iCs/>
      <w:color w:val="272727" w:themeColor="text1" w:themeTint="D8"/>
    </w:rPr>
  </w:style>
  <w:style w:type="character" w:customStyle="1" w:styleId="9Char">
    <w:name w:val="عنوان 9 Char"/>
    <w:basedOn w:val="a0"/>
    <w:link w:val="9"/>
    <w:uiPriority w:val="9"/>
    <w:semiHidden/>
    <w:rsid w:val="00D32F52"/>
    <w:rPr>
      <w:rFonts w:eastAsiaTheme="majorEastAsia" w:cstheme="majorBidi"/>
      <w:color w:val="272727" w:themeColor="text1" w:themeTint="D8"/>
    </w:rPr>
  </w:style>
  <w:style w:type="paragraph" w:styleId="a3">
    <w:name w:val="Title"/>
    <w:basedOn w:val="a"/>
    <w:next w:val="a"/>
    <w:link w:val="Char"/>
    <w:uiPriority w:val="10"/>
    <w:qFormat/>
    <w:rsid w:val="00D3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D32F5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D32F5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D32F5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D32F52"/>
    <w:pPr>
      <w:spacing w:before="160"/>
      <w:jc w:val="center"/>
    </w:pPr>
    <w:rPr>
      <w:i/>
      <w:iCs/>
      <w:color w:val="404040" w:themeColor="text1" w:themeTint="BF"/>
    </w:rPr>
  </w:style>
  <w:style w:type="character" w:customStyle="1" w:styleId="Char1">
    <w:name w:val="اقتباس Char"/>
    <w:basedOn w:val="a0"/>
    <w:link w:val="a5"/>
    <w:uiPriority w:val="29"/>
    <w:rsid w:val="00D32F52"/>
    <w:rPr>
      <w:i/>
      <w:iCs/>
      <w:color w:val="404040" w:themeColor="text1" w:themeTint="BF"/>
    </w:rPr>
  </w:style>
  <w:style w:type="paragraph" w:styleId="a6">
    <w:name w:val="List Paragraph"/>
    <w:aliases w:val="عنوان رئيسي,سرد الفقراتCxSpLast, سرد الفقرات1, سرد الفقرات11,NumberedList"/>
    <w:basedOn w:val="a"/>
    <w:link w:val="Char2"/>
    <w:uiPriority w:val="34"/>
    <w:qFormat/>
    <w:rsid w:val="00D32F52"/>
    <w:pPr>
      <w:ind w:left="720"/>
      <w:contextualSpacing/>
    </w:pPr>
  </w:style>
  <w:style w:type="character" w:styleId="a7">
    <w:name w:val="Intense Emphasis"/>
    <w:basedOn w:val="a0"/>
    <w:uiPriority w:val="21"/>
    <w:qFormat/>
    <w:rsid w:val="00D32F52"/>
    <w:rPr>
      <w:i/>
      <w:iCs/>
      <w:color w:val="2F5496" w:themeColor="accent1" w:themeShade="BF"/>
    </w:rPr>
  </w:style>
  <w:style w:type="paragraph" w:styleId="a8">
    <w:name w:val="Intense Quote"/>
    <w:basedOn w:val="a"/>
    <w:next w:val="a"/>
    <w:link w:val="Char3"/>
    <w:uiPriority w:val="30"/>
    <w:qFormat/>
    <w:rsid w:val="00D32F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3">
    <w:name w:val="اقتباس مكثف Char"/>
    <w:basedOn w:val="a0"/>
    <w:link w:val="a8"/>
    <w:uiPriority w:val="30"/>
    <w:rsid w:val="00D32F52"/>
    <w:rPr>
      <w:i/>
      <w:iCs/>
      <w:color w:val="2F5496" w:themeColor="accent1" w:themeShade="BF"/>
    </w:rPr>
  </w:style>
  <w:style w:type="character" w:styleId="a9">
    <w:name w:val="Intense Reference"/>
    <w:basedOn w:val="a0"/>
    <w:uiPriority w:val="32"/>
    <w:qFormat/>
    <w:rsid w:val="00D32F52"/>
    <w:rPr>
      <w:b/>
      <w:bCs/>
      <w:smallCaps/>
      <w:color w:val="2F5496" w:themeColor="accent1" w:themeShade="BF"/>
      <w:spacing w:val="5"/>
    </w:rPr>
  </w:style>
  <w:style w:type="character" w:customStyle="1" w:styleId="Char2">
    <w:name w:val=" سرد الفقرات Char"/>
    <w:aliases w:val="عنوان رئيسي Char,سرد الفقراتCxSpLast Char, سرد الفقرات1 Char, سرد الفقرات11 Char,NumberedList Char"/>
    <w:link w:val="a6"/>
    <w:uiPriority w:val="34"/>
    <w:rsid w:val="002F60B8"/>
  </w:style>
  <w:style w:type="paragraph" w:styleId="aa">
    <w:name w:val="TOC Heading"/>
    <w:basedOn w:val="1"/>
    <w:next w:val="a"/>
    <w:uiPriority w:val="39"/>
    <w:unhideWhenUsed/>
    <w:qFormat/>
    <w:rsid w:val="00410DB9"/>
    <w:pPr>
      <w:spacing w:before="240" w:after="0" w:line="259" w:lineRule="auto"/>
      <w:outlineLvl w:val="9"/>
    </w:pPr>
    <w:rPr>
      <w:kern w:val="0"/>
      <w:sz w:val="32"/>
      <w:szCs w:val="32"/>
      <w14:ligatures w14:val="none"/>
    </w:rPr>
  </w:style>
  <w:style w:type="paragraph" w:styleId="10">
    <w:name w:val="toc 1"/>
    <w:basedOn w:val="a"/>
    <w:next w:val="a"/>
    <w:autoRedefine/>
    <w:uiPriority w:val="39"/>
    <w:unhideWhenUsed/>
    <w:rsid w:val="00410DB9"/>
    <w:pPr>
      <w:spacing w:after="100"/>
    </w:pPr>
  </w:style>
  <w:style w:type="character" w:styleId="Hyperlink">
    <w:name w:val="Hyperlink"/>
    <w:basedOn w:val="a0"/>
    <w:uiPriority w:val="99"/>
    <w:unhideWhenUsed/>
    <w:rsid w:val="00410DB9"/>
    <w:rPr>
      <w:color w:val="0563C1" w:themeColor="hyperlink"/>
      <w:u w:val="single"/>
    </w:rPr>
  </w:style>
  <w:style w:type="paragraph" w:styleId="ab">
    <w:name w:val="Normal (Web)"/>
    <w:basedOn w:val="a"/>
    <w:uiPriority w:val="99"/>
    <w:unhideWhenUsed/>
    <w:rsid w:val="00A80562"/>
    <w:rPr>
      <w:rFonts w:ascii="Times New Roman" w:hAnsi="Times New Roman" w:cs="Times New Roman"/>
    </w:rPr>
  </w:style>
  <w:style w:type="character" w:styleId="ac">
    <w:name w:val="Strong"/>
    <w:basedOn w:val="a0"/>
    <w:uiPriority w:val="22"/>
    <w:qFormat/>
    <w:rsid w:val="00A80562"/>
    <w:rPr>
      <w:b/>
      <w:bCs/>
    </w:rPr>
  </w:style>
  <w:style w:type="paragraph" w:styleId="ad">
    <w:name w:val="header"/>
    <w:basedOn w:val="a"/>
    <w:link w:val="Char4"/>
    <w:uiPriority w:val="99"/>
    <w:unhideWhenUsed/>
    <w:rsid w:val="00F76CAC"/>
    <w:pPr>
      <w:tabs>
        <w:tab w:val="center" w:pos="4513"/>
        <w:tab w:val="right" w:pos="9026"/>
      </w:tabs>
      <w:spacing w:after="0" w:line="240" w:lineRule="auto"/>
    </w:pPr>
  </w:style>
  <w:style w:type="character" w:customStyle="1" w:styleId="Char4">
    <w:name w:val="رأس الصفحة Char"/>
    <w:basedOn w:val="a0"/>
    <w:link w:val="ad"/>
    <w:uiPriority w:val="99"/>
    <w:rsid w:val="00F76CAC"/>
  </w:style>
  <w:style w:type="paragraph" w:styleId="ae">
    <w:name w:val="footer"/>
    <w:basedOn w:val="a"/>
    <w:link w:val="Char5"/>
    <w:uiPriority w:val="99"/>
    <w:unhideWhenUsed/>
    <w:rsid w:val="00F76CAC"/>
    <w:pPr>
      <w:tabs>
        <w:tab w:val="center" w:pos="4513"/>
        <w:tab w:val="right" w:pos="9026"/>
      </w:tabs>
      <w:spacing w:after="0" w:line="240" w:lineRule="auto"/>
    </w:pPr>
  </w:style>
  <w:style w:type="character" w:customStyle="1" w:styleId="Char5">
    <w:name w:val="تذييل الصفحة Char"/>
    <w:basedOn w:val="a0"/>
    <w:link w:val="ae"/>
    <w:uiPriority w:val="99"/>
    <w:rsid w:val="00F76CAC"/>
  </w:style>
  <w:style w:type="table" w:styleId="af">
    <w:name w:val="Table Grid"/>
    <w:basedOn w:val="a1"/>
    <w:uiPriority w:val="39"/>
    <w:rsid w:val="000F23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5">
    <w:name w:val="Grid Table 1 Light Accent 5"/>
    <w:basedOn w:val="a1"/>
    <w:uiPriority w:val="46"/>
    <w:rsid w:val="000F23D7"/>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1-6">
    <w:name w:val="Grid Table 1 Light Accent 6"/>
    <w:basedOn w:val="a1"/>
    <w:uiPriority w:val="46"/>
    <w:rsid w:val="001F4533"/>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6-3">
    <w:name w:val="Grid Table 6 Colorful Accent 3"/>
    <w:basedOn w:val="a1"/>
    <w:uiPriority w:val="51"/>
    <w:rsid w:val="001465F6"/>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20">
    <w:name w:val="toc 2"/>
    <w:basedOn w:val="a"/>
    <w:next w:val="a"/>
    <w:autoRedefine/>
    <w:uiPriority w:val="39"/>
    <w:unhideWhenUsed/>
    <w:rsid w:val="001465F6"/>
    <w:pPr>
      <w:spacing w:after="100"/>
      <w:ind w:left="240"/>
    </w:pPr>
  </w:style>
  <w:style w:type="paragraph" w:styleId="30">
    <w:name w:val="toc 3"/>
    <w:basedOn w:val="a"/>
    <w:next w:val="a"/>
    <w:autoRedefine/>
    <w:uiPriority w:val="39"/>
    <w:unhideWhenUsed/>
    <w:rsid w:val="001465F6"/>
    <w:pPr>
      <w:spacing w:after="100"/>
      <w:ind w:left="480"/>
    </w:pPr>
  </w:style>
  <w:style w:type="table" w:styleId="6-6">
    <w:name w:val="Grid Table 6 Colorful Accent 6"/>
    <w:basedOn w:val="a1"/>
    <w:uiPriority w:val="51"/>
    <w:rsid w:val="00FE2569"/>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253862">
      <w:bodyDiv w:val="1"/>
      <w:marLeft w:val="0"/>
      <w:marRight w:val="0"/>
      <w:marTop w:val="0"/>
      <w:marBottom w:val="0"/>
      <w:divBdr>
        <w:top w:val="none" w:sz="0" w:space="0" w:color="auto"/>
        <w:left w:val="none" w:sz="0" w:space="0" w:color="auto"/>
        <w:bottom w:val="none" w:sz="0" w:space="0" w:color="auto"/>
        <w:right w:val="none" w:sz="0" w:space="0" w:color="auto"/>
      </w:divBdr>
    </w:div>
    <w:div w:id="91783150">
      <w:bodyDiv w:val="1"/>
      <w:marLeft w:val="0"/>
      <w:marRight w:val="0"/>
      <w:marTop w:val="0"/>
      <w:marBottom w:val="0"/>
      <w:divBdr>
        <w:top w:val="none" w:sz="0" w:space="0" w:color="auto"/>
        <w:left w:val="none" w:sz="0" w:space="0" w:color="auto"/>
        <w:bottom w:val="none" w:sz="0" w:space="0" w:color="auto"/>
        <w:right w:val="none" w:sz="0" w:space="0" w:color="auto"/>
      </w:divBdr>
    </w:div>
    <w:div w:id="141704554">
      <w:bodyDiv w:val="1"/>
      <w:marLeft w:val="0"/>
      <w:marRight w:val="0"/>
      <w:marTop w:val="0"/>
      <w:marBottom w:val="0"/>
      <w:divBdr>
        <w:top w:val="none" w:sz="0" w:space="0" w:color="auto"/>
        <w:left w:val="none" w:sz="0" w:space="0" w:color="auto"/>
        <w:bottom w:val="none" w:sz="0" w:space="0" w:color="auto"/>
        <w:right w:val="none" w:sz="0" w:space="0" w:color="auto"/>
      </w:divBdr>
      <w:divsChild>
        <w:div w:id="766192540">
          <w:marLeft w:val="0"/>
          <w:marRight w:val="0"/>
          <w:marTop w:val="0"/>
          <w:marBottom w:val="0"/>
          <w:divBdr>
            <w:top w:val="none" w:sz="0" w:space="0" w:color="auto"/>
            <w:left w:val="none" w:sz="0" w:space="0" w:color="auto"/>
            <w:bottom w:val="none" w:sz="0" w:space="0" w:color="auto"/>
            <w:right w:val="none" w:sz="0" w:space="0" w:color="auto"/>
          </w:divBdr>
          <w:divsChild>
            <w:div w:id="786117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20796">
      <w:bodyDiv w:val="1"/>
      <w:marLeft w:val="0"/>
      <w:marRight w:val="0"/>
      <w:marTop w:val="0"/>
      <w:marBottom w:val="0"/>
      <w:divBdr>
        <w:top w:val="none" w:sz="0" w:space="0" w:color="auto"/>
        <w:left w:val="none" w:sz="0" w:space="0" w:color="auto"/>
        <w:bottom w:val="none" w:sz="0" w:space="0" w:color="auto"/>
        <w:right w:val="none" w:sz="0" w:space="0" w:color="auto"/>
      </w:divBdr>
    </w:div>
    <w:div w:id="212816736">
      <w:bodyDiv w:val="1"/>
      <w:marLeft w:val="0"/>
      <w:marRight w:val="0"/>
      <w:marTop w:val="0"/>
      <w:marBottom w:val="0"/>
      <w:divBdr>
        <w:top w:val="none" w:sz="0" w:space="0" w:color="auto"/>
        <w:left w:val="none" w:sz="0" w:space="0" w:color="auto"/>
        <w:bottom w:val="none" w:sz="0" w:space="0" w:color="auto"/>
        <w:right w:val="none" w:sz="0" w:space="0" w:color="auto"/>
      </w:divBdr>
      <w:divsChild>
        <w:div w:id="61876878">
          <w:marLeft w:val="0"/>
          <w:marRight w:val="0"/>
          <w:marTop w:val="0"/>
          <w:marBottom w:val="0"/>
          <w:divBdr>
            <w:top w:val="none" w:sz="0" w:space="0" w:color="auto"/>
            <w:left w:val="none" w:sz="0" w:space="0" w:color="auto"/>
            <w:bottom w:val="none" w:sz="0" w:space="0" w:color="auto"/>
            <w:right w:val="none" w:sz="0" w:space="0" w:color="auto"/>
          </w:divBdr>
          <w:divsChild>
            <w:div w:id="515271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1430434">
      <w:bodyDiv w:val="1"/>
      <w:marLeft w:val="0"/>
      <w:marRight w:val="0"/>
      <w:marTop w:val="0"/>
      <w:marBottom w:val="0"/>
      <w:divBdr>
        <w:top w:val="none" w:sz="0" w:space="0" w:color="auto"/>
        <w:left w:val="none" w:sz="0" w:space="0" w:color="auto"/>
        <w:bottom w:val="none" w:sz="0" w:space="0" w:color="auto"/>
        <w:right w:val="none" w:sz="0" w:space="0" w:color="auto"/>
      </w:divBdr>
    </w:div>
    <w:div w:id="290020973">
      <w:bodyDiv w:val="1"/>
      <w:marLeft w:val="0"/>
      <w:marRight w:val="0"/>
      <w:marTop w:val="0"/>
      <w:marBottom w:val="0"/>
      <w:divBdr>
        <w:top w:val="none" w:sz="0" w:space="0" w:color="auto"/>
        <w:left w:val="none" w:sz="0" w:space="0" w:color="auto"/>
        <w:bottom w:val="none" w:sz="0" w:space="0" w:color="auto"/>
        <w:right w:val="none" w:sz="0" w:space="0" w:color="auto"/>
      </w:divBdr>
      <w:divsChild>
        <w:div w:id="21024088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981747">
      <w:bodyDiv w:val="1"/>
      <w:marLeft w:val="0"/>
      <w:marRight w:val="0"/>
      <w:marTop w:val="0"/>
      <w:marBottom w:val="0"/>
      <w:divBdr>
        <w:top w:val="none" w:sz="0" w:space="0" w:color="auto"/>
        <w:left w:val="none" w:sz="0" w:space="0" w:color="auto"/>
        <w:bottom w:val="none" w:sz="0" w:space="0" w:color="auto"/>
        <w:right w:val="none" w:sz="0" w:space="0" w:color="auto"/>
      </w:divBdr>
      <w:divsChild>
        <w:div w:id="1064568160">
          <w:marLeft w:val="0"/>
          <w:marRight w:val="0"/>
          <w:marTop w:val="0"/>
          <w:marBottom w:val="0"/>
          <w:divBdr>
            <w:top w:val="none" w:sz="0" w:space="0" w:color="auto"/>
            <w:left w:val="none" w:sz="0" w:space="0" w:color="auto"/>
            <w:bottom w:val="none" w:sz="0" w:space="0" w:color="auto"/>
            <w:right w:val="none" w:sz="0" w:space="0" w:color="auto"/>
          </w:divBdr>
          <w:divsChild>
            <w:div w:id="748041782">
              <w:marLeft w:val="0"/>
              <w:marRight w:val="0"/>
              <w:marTop w:val="0"/>
              <w:marBottom w:val="0"/>
              <w:divBdr>
                <w:top w:val="none" w:sz="0" w:space="0" w:color="auto"/>
                <w:left w:val="none" w:sz="0" w:space="0" w:color="auto"/>
                <w:bottom w:val="none" w:sz="0" w:space="0" w:color="auto"/>
                <w:right w:val="none" w:sz="0" w:space="0" w:color="auto"/>
              </w:divBdr>
            </w:div>
          </w:divsChild>
        </w:div>
        <w:div w:id="101931184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4572652">
      <w:bodyDiv w:val="1"/>
      <w:marLeft w:val="0"/>
      <w:marRight w:val="0"/>
      <w:marTop w:val="0"/>
      <w:marBottom w:val="0"/>
      <w:divBdr>
        <w:top w:val="none" w:sz="0" w:space="0" w:color="auto"/>
        <w:left w:val="none" w:sz="0" w:space="0" w:color="auto"/>
        <w:bottom w:val="none" w:sz="0" w:space="0" w:color="auto"/>
        <w:right w:val="none" w:sz="0" w:space="0" w:color="auto"/>
      </w:divBdr>
    </w:div>
    <w:div w:id="538667800">
      <w:bodyDiv w:val="1"/>
      <w:marLeft w:val="0"/>
      <w:marRight w:val="0"/>
      <w:marTop w:val="0"/>
      <w:marBottom w:val="0"/>
      <w:divBdr>
        <w:top w:val="none" w:sz="0" w:space="0" w:color="auto"/>
        <w:left w:val="none" w:sz="0" w:space="0" w:color="auto"/>
        <w:bottom w:val="none" w:sz="0" w:space="0" w:color="auto"/>
        <w:right w:val="none" w:sz="0" w:space="0" w:color="auto"/>
      </w:divBdr>
      <w:divsChild>
        <w:div w:id="1252853418">
          <w:marLeft w:val="0"/>
          <w:marRight w:val="0"/>
          <w:marTop w:val="0"/>
          <w:marBottom w:val="0"/>
          <w:divBdr>
            <w:top w:val="none" w:sz="0" w:space="0" w:color="auto"/>
            <w:left w:val="none" w:sz="0" w:space="0" w:color="auto"/>
            <w:bottom w:val="none" w:sz="0" w:space="0" w:color="auto"/>
            <w:right w:val="none" w:sz="0" w:space="0" w:color="auto"/>
          </w:divBdr>
          <w:divsChild>
            <w:div w:id="1250311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6686610">
      <w:bodyDiv w:val="1"/>
      <w:marLeft w:val="0"/>
      <w:marRight w:val="0"/>
      <w:marTop w:val="0"/>
      <w:marBottom w:val="0"/>
      <w:divBdr>
        <w:top w:val="none" w:sz="0" w:space="0" w:color="auto"/>
        <w:left w:val="none" w:sz="0" w:space="0" w:color="auto"/>
        <w:bottom w:val="none" w:sz="0" w:space="0" w:color="auto"/>
        <w:right w:val="none" w:sz="0" w:space="0" w:color="auto"/>
      </w:divBdr>
    </w:div>
    <w:div w:id="790199371">
      <w:bodyDiv w:val="1"/>
      <w:marLeft w:val="0"/>
      <w:marRight w:val="0"/>
      <w:marTop w:val="0"/>
      <w:marBottom w:val="0"/>
      <w:divBdr>
        <w:top w:val="none" w:sz="0" w:space="0" w:color="auto"/>
        <w:left w:val="none" w:sz="0" w:space="0" w:color="auto"/>
        <w:bottom w:val="none" w:sz="0" w:space="0" w:color="auto"/>
        <w:right w:val="none" w:sz="0" w:space="0" w:color="auto"/>
      </w:divBdr>
    </w:div>
    <w:div w:id="844831842">
      <w:bodyDiv w:val="1"/>
      <w:marLeft w:val="0"/>
      <w:marRight w:val="0"/>
      <w:marTop w:val="0"/>
      <w:marBottom w:val="0"/>
      <w:divBdr>
        <w:top w:val="none" w:sz="0" w:space="0" w:color="auto"/>
        <w:left w:val="none" w:sz="0" w:space="0" w:color="auto"/>
        <w:bottom w:val="none" w:sz="0" w:space="0" w:color="auto"/>
        <w:right w:val="none" w:sz="0" w:space="0" w:color="auto"/>
      </w:divBdr>
    </w:div>
    <w:div w:id="911155826">
      <w:bodyDiv w:val="1"/>
      <w:marLeft w:val="0"/>
      <w:marRight w:val="0"/>
      <w:marTop w:val="0"/>
      <w:marBottom w:val="0"/>
      <w:divBdr>
        <w:top w:val="none" w:sz="0" w:space="0" w:color="auto"/>
        <w:left w:val="none" w:sz="0" w:space="0" w:color="auto"/>
        <w:bottom w:val="none" w:sz="0" w:space="0" w:color="auto"/>
        <w:right w:val="none" w:sz="0" w:space="0" w:color="auto"/>
      </w:divBdr>
      <w:divsChild>
        <w:div w:id="222058638">
          <w:marLeft w:val="0"/>
          <w:marRight w:val="0"/>
          <w:marTop w:val="0"/>
          <w:marBottom w:val="0"/>
          <w:divBdr>
            <w:top w:val="none" w:sz="0" w:space="0" w:color="auto"/>
            <w:left w:val="none" w:sz="0" w:space="0" w:color="auto"/>
            <w:bottom w:val="none" w:sz="0" w:space="0" w:color="auto"/>
            <w:right w:val="none" w:sz="0" w:space="0" w:color="auto"/>
          </w:divBdr>
          <w:divsChild>
            <w:div w:id="1136409247">
              <w:marLeft w:val="0"/>
              <w:marRight w:val="0"/>
              <w:marTop w:val="0"/>
              <w:marBottom w:val="0"/>
              <w:divBdr>
                <w:top w:val="none" w:sz="0" w:space="0" w:color="auto"/>
                <w:left w:val="none" w:sz="0" w:space="0" w:color="auto"/>
                <w:bottom w:val="none" w:sz="0" w:space="0" w:color="auto"/>
                <w:right w:val="none" w:sz="0" w:space="0" w:color="auto"/>
              </w:divBdr>
            </w:div>
          </w:divsChild>
        </w:div>
        <w:div w:id="1936284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3662093">
      <w:bodyDiv w:val="1"/>
      <w:marLeft w:val="0"/>
      <w:marRight w:val="0"/>
      <w:marTop w:val="0"/>
      <w:marBottom w:val="0"/>
      <w:divBdr>
        <w:top w:val="none" w:sz="0" w:space="0" w:color="auto"/>
        <w:left w:val="none" w:sz="0" w:space="0" w:color="auto"/>
        <w:bottom w:val="none" w:sz="0" w:space="0" w:color="auto"/>
        <w:right w:val="none" w:sz="0" w:space="0" w:color="auto"/>
      </w:divBdr>
      <w:divsChild>
        <w:div w:id="1105921966">
          <w:marLeft w:val="0"/>
          <w:marRight w:val="0"/>
          <w:marTop w:val="0"/>
          <w:marBottom w:val="0"/>
          <w:divBdr>
            <w:top w:val="none" w:sz="0" w:space="0" w:color="auto"/>
            <w:left w:val="none" w:sz="0" w:space="0" w:color="auto"/>
            <w:bottom w:val="none" w:sz="0" w:space="0" w:color="auto"/>
            <w:right w:val="none" w:sz="0" w:space="0" w:color="auto"/>
          </w:divBdr>
          <w:divsChild>
            <w:div w:id="647589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7010857">
      <w:bodyDiv w:val="1"/>
      <w:marLeft w:val="0"/>
      <w:marRight w:val="0"/>
      <w:marTop w:val="0"/>
      <w:marBottom w:val="0"/>
      <w:divBdr>
        <w:top w:val="none" w:sz="0" w:space="0" w:color="auto"/>
        <w:left w:val="none" w:sz="0" w:space="0" w:color="auto"/>
        <w:bottom w:val="none" w:sz="0" w:space="0" w:color="auto"/>
        <w:right w:val="none" w:sz="0" w:space="0" w:color="auto"/>
      </w:divBdr>
    </w:div>
    <w:div w:id="954562603">
      <w:bodyDiv w:val="1"/>
      <w:marLeft w:val="0"/>
      <w:marRight w:val="0"/>
      <w:marTop w:val="0"/>
      <w:marBottom w:val="0"/>
      <w:divBdr>
        <w:top w:val="none" w:sz="0" w:space="0" w:color="auto"/>
        <w:left w:val="none" w:sz="0" w:space="0" w:color="auto"/>
        <w:bottom w:val="none" w:sz="0" w:space="0" w:color="auto"/>
        <w:right w:val="none" w:sz="0" w:space="0" w:color="auto"/>
      </w:divBdr>
    </w:div>
    <w:div w:id="981690985">
      <w:bodyDiv w:val="1"/>
      <w:marLeft w:val="0"/>
      <w:marRight w:val="0"/>
      <w:marTop w:val="0"/>
      <w:marBottom w:val="0"/>
      <w:divBdr>
        <w:top w:val="none" w:sz="0" w:space="0" w:color="auto"/>
        <w:left w:val="none" w:sz="0" w:space="0" w:color="auto"/>
        <w:bottom w:val="none" w:sz="0" w:space="0" w:color="auto"/>
        <w:right w:val="none" w:sz="0" w:space="0" w:color="auto"/>
      </w:divBdr>
      <w:divsChild>
        <w:div w:id="272442899">
          <w:blockQuote w:val="1"/>
          <w:marLeft w:val="720"/>
          <w:marRight w:val="720"/>
          <w:marTop w:val="100"/>
          <w:marBottom w:val="100"/>
          <w:divBdr>
            <w:top w:val="none" w:sz="0" w:space="0" w:color="auto"/>
            <w:left w:val="none" w:sz="0" w:space="0" w:color="auto"/>
            <w:bottom w:val="none" w:sz="0" w:space="0" w:color="auto"/>
            <w:right w:val="none" w:sz="0" w:space="0" w:color="auto"/>
          </w:divBdr>
        </w:div>
        <w:div w:id="795219620">
          <w:blockQuote w:val="1"/>
          <w:marLeft w:val="720"/>
          <w:marRight w:val="720"/>
          <w:marTop w:val="100"/>
          <w:marBottom w:val="100"/>
          <w:divBdr>
            <w:top w:val="none" w:sz="0" w:space="0" w:color="auto"/>
            <w:left w:val="none" w:sz="0" w:space="0" w:color="auto"/>
            <w:bottom w:val="none" w:sz="0" w:space="0" w:color="auto"/>
            <w:right w:val="none" w:sz="0" w:space="0" w:color="auto"/>
          </w:divBdr>
        </w:div>
        <w:div w:id="376667178">
          <w:blockQuote w:val="1"/>
          <w:marLeft w:val="720"/>
          <w:marRight w:val="720"/>
          <w:marTop w:val="100"/>
          <w:marBottom w:val="100"/>
          <w:divBdr>
            <w:top w:val="none" w:sz="0" w:space="0" w:color="auto"/>
            <w:left w:val="none" w:sz="0" w:space="0" w:color="auto"/>
            <w:bottom w:val="none" w:sz="0" w:space="0" w:color="auto"/>
            <w:right w:val="none" w:sz="0" w:space="0" w:color="auto"/>
          </w:divBdr>
        </w:div>
        <w:div w:id="1206612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9077597">
      <w:bodyDiv w:val="1"/>
      <w:marLeft w:val="0"/>
      <w:marRight w:val="0"/>
      <w:marTop w:val="0"/>
      <w:marBottom w:val="0"/>
      <w:divBdr>
        <w:top w:val="none" w:sz="0" w:space="0" w:color="auto"/>
        <w:left w:val="none" w:sz="0" w:space="0" w:color="auto"/>
        <w:bottom w:val="none" w:sz="0" w:space="0" w:color="auto"/>
        <w:right w:val="none" w:sz="0" w:space="0" w:color="auto"/>
      </w:divBdr>
    </w:div>
    <w:div w:id="1191335651">
      <w:bodyDiv w:val="1"/>
      <w:marLeft w:val="0"/>
      <w:marRight w:val="0"/>
      <w:marTop w:val="0"/>
      <w:marBottom w:val="0"/>
      <w:divBdr>
        <w:top w:val="none" w:sz="0" w:space="0" w:color="auto"/>
        <w:left w:val="none" w:sz="0" w:space="0" w:color="auto"/>
        <w:bottom w:val="none" w:sz="0" w:space="0" w:color="auto"/>
        <w:right w:val="none" w:sz="0" w:space="0" w:color="auto"/>
      </w:divBdr>
      <w:divsChild>
        <w:div w:id="17253683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27567692">
          <w:blockQuote w:val="1"/>
          <w:marLeft w:val="720"/>
          <w:marRight w:val="720"/>
          <w:marTop w:val="100"/>
          <w:marBottom w:val="100"/>
          <w:divBdr>
            <w:top w:val="none" w:sz="0" w:space="0" w:color="auto"/>
            <w:left w:val="none" w:sz="0" w:space="0" w:color="auto"/>
            <w:bottom w:val="none" w:sz="0" w:space="0" w:color="auto"/>
            <w:right w:val="none" w:sz="0" w:space="0" w:color="auto"/>
          </w:divBdr>
        </w:div>
        <w:div w:id="408187293">
          <w:blockQuote w:val="1"/>
          <w:marLeft w:val="720"/>
          <w:marRight w:val="720"/>
          <w:marTop w:val="100"/>
          <w:marBottom w:val="100"/>
          <w:divBdr>
            <w:top w:val="none" w:sz="0" w:space="0" w:color="auto"/>
            <w:left w:val="none" w:sz="0" w:space="0" w:color="auto"/>
            <w:bottom w:val="none" w:sz="0" w:space="0" w:color="auto"/>
            <w:right w:val="none" w:sz="0" w:space="0" w:color="auto"/>
          </w:divBdr>
        </w:div>
        <w:div w:id="87827913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37588620">
      <w:bodyDiv w:val="1"/>
      <w:marLeft w:val="0"/>
      <w:marRight w:val="0"/>
      <w:marTop w:val="0"/>
      <w:marBottom w:val="0"/>
      <w:divBdr>
        <w:top w:val="none" w:sz="0" w:space="0" w:color="auto"/>
        <w:left w:val="none" w:sz="0" w:space="0" w:color="auto"/>
        <w:bottom w:val="none" w:sz="0" w:space="0" w:color="auto"/>
        <w:right w:val="none" w:sz="0" w:space="0" w:color="auto"/>
      </w:divBdr>
      <w:divsChild>
        <w:div w:id="392000355">
          <w:marLeft w:val="0"/>
          <w:marRight w:val="0"/>
          <w:marTop w:val="0"/>
          <w:marBottom w:val="0"/>
          <w:divBdr>
            <w:top w:val="none" w:sz="0" w:space="0" w:color="auto"/>
            <w:left w:val="none" w:sz="0" w:space="0" w:color="auto"/>
            <w:bottom w:val="none" w:sz="0" w:space="0" w:color="auto"/>
            <w:right w:val="none" w:sz="0" w:space="0" w:color="auto"/>
          </w:divBdr>
          <w:divsChild>
            <w:div w:id="1413041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5325375">
      <w:bodyDiv w:val="1"/>
      <w:marLeft w:val="0"/>
      <w:marRight w:val="0"/>
      <w:marTop w:val="0"/>
      <w:marBottom w:val="0"/>
      <w:divBdr>
        <w:top w:val="none" w:sz="0" w:space="0" w:color="auto"/>
        <w:left w:val="none" w:sz="0" w:space="0" w:color="auto"/>
        <w:bottom w:val="none" w:sz="0" w:space="0" w:color="auto"/>
        <w:right w:val="none" w:sz="0" w:space="0" w:color="auto"/>
      </w:divBdr>
    </w:div>
    <w:div w:id="1422215797">
      <w:bodyDiv w:val="1"/>
      <w:marLeft w:val="0"/>
      <w:marRight w:val="0"/>
      <w:marTop w:val="0"/>
      <w:marBottom w:val="0"/>
      <w:divBdr>
        <w:top w:val="none" w:sz="0" w:space="0" w:color="auto"/>
        <w:left w:val="none" w:sz="0" w:space="0" w:color="auto"/>
        <w:bottom w:val="none" w:sz="0" w:space="0" w:color="auto"/>
        <w:right w:val="none" w:sz="0" w:space="0" w:color="auto"/>
      </w:divBdr>
    </w:div>
    <w:div w:id="1423331854">
      <w:bodyDiv w:val="1"/>
      <w:marLeft w:val="0"/>
      <w:marRight w:val="0"/>
      <w:marTop w:val="0"/>
      <w:marBottom w:val="0"/>
      <w:divBdr>
        <w:top w:val="none" w:sz="0" w:space="0" w:color="auto"/>
        <w:left w:val="none" w:sz="0" w:space="0" w:color="auto"/>
        <w:bottom w:val="none" w:sz="0" w:space="0" w:color="auto"/>
        <w:right w:val="none" w:sz="0" w:space="0" w:color="auto"/>
      </w:divBdr>
    </w:div>
    <w:div w:id="1432160163">
      <w:bodyDiv w:val="1"/>
      <w:marLeft w:val="0"/>
      <w:marRight w:val="0"/>
      <w:marTop w:val="0"/>
      <w:marBottom w:val="0"/>
      <w:divBdr>
        <w:top w:val="none" w:sz="0" w:space="0" w:color="auto"/>
        <w:left w:val="none" w:sz="0" w:space="0" w:color="auto"/>
        <w:bottom w:val="none" w:sz="0" w:space="0" w:color="auto"/>
        <w:right w:val="none" w:sz="0" w:space="0" w:color="auto"/>
      </w:divBdr>
    </w:div>
    <w:div w:id="1433237559">
      <w:bodyDiv w:val="1"/>
      <w:marLeft w:val="0"/>
      <w:marRight w:val="0"/>
      <w:marTop w:val="0"/>
      <w:marBottom w:val="0"/>
      <w:divBdr>
        <w:top w:val="none" w:sz="0" w:space="0" w:color="auto"/>
        <w:left w:val="none" w:sz="0" w:space="0" w:color="auto"/>
        <w:bottom w:val="none" w:sz="0" w:space="0" w:color="auto"/>
        <w:right w:val="none" w:sz="0" w:space="0" w:color="auto"/>
      </w:divBdr>
      <w:divsChild>
        <w:div w:id="1657145084">
          <w:blockQuote w:val="1"/>
          <w:marLeft w:val="720"/>
          <w:marRight w:val="720"/>
          <w:marTop w:val="100"/>
          <w:marBottom w:val="100"/>
          <w:divBdr>
            <w:top w:val="none" w:sz="0" w:space="0" w:color="auto"/>
            <w:left w:val="none" w:sz="0" w:space="0" w:color="auto"/>
            <w:bottom w:val="none" w:sz="0" w:space="0" w:color="auto"/>
            <w:right w:val="none" w:sz="0" w:space="0" w:color="auto"/>
          </w:divBdr>
        </w:div>
        <w:div w:id="2099666626">
          <w:marLeft w:val="0"/>
          <w:marRight w:val="0"/>
          <w:marTop w:val="0"/>
          <w:marBottom w:val="0"/>
          <w:divBdr>
            <w:top w:val="none" w:sz="0" w:space="0" w:color="auto"/>
            <w:left w:val="none" w:sz="0" w:space="0" w:color="auto"/>
            <w:bottom w:val="none" w:sz="0" w:space="0" w:color="auto"/>
            <w:right w:val="none" w:sz="0" w:space="0" w:color="auto"/>
          </w:divBdr>
          <w:divsChild>
            <w:div w:id="167217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027461">
      <w:bodyDiv w:val="1"/>
      <w:marLeft w:val="0"/>
      <w:marRight w:val="0"/>
      <w:marTop w:val="0"/>
      <w:marBottom w:val="0"/>
      <w:divBdr>
        <w:top w:val="none" w:sz="0" w:space="0" w:color="auto"/>
        <w:left w:val="none" w:sz="0" w:space="0" w:color="auto"/>
        <w:bottom w:val="none" w:sz="0" w:space="0" w:color="auto"/>
        <w:right w:val="none" w:sz="0" w:space="0" w:color="auto"/>
      </w:divBdr>
    </w:div>
    <w:div w:id="1530602556">
      <w:bodyDiv w:val="1"/>
      <w:marLeft w:val="0"/>
      <w:marRight w:val="0"/>
      <w:marTop w:val="0"/>
      <w:marBottom w:val="0"/>
      <w:divBdr>
        <w:top w:val="none" w:sz="0" w:space="0" w:color="auto"/>
        <w:left w:val="none" w:sz="0" w:space="0" w:color="auto"/>
        <w:bottom w:val="none" w:sz="0" w:space="0" w:color="auto"/>
        <w:right w:val="none" w:sz="0" w:space="0" w:color="auto"/>
      </w:divBdr>
    </w:div>
    <w:div w:id="1622691335">
      <w:bodyDiv w:val="1"/>
      <w:marLeft w:val="0"/>
      <w:marRight w:val="0"/>
      <w:marTop w:val="0"/>
      <w:marBottom w:val="0"/>
      <w:divBdr>
        <w:top w:val="none" w:sz="0" w:space="0" w:color="auto"/>
        <w:left w:val="none" w:sz="0" w:space="0" w:color="auto"/>
        <w:bottom w:val="none" w:sz="0" w:space="0" w:color="auto"/>
        <w:right w:val="none" w:sz="0" w:space="0" w:color="auto"/>
      </w:divBdr>
      <w:divsChild>
        <w:div w:id="1472791615">
          <w:marLeft w:val="0"/>
          <w:marRight w:val="0"/>
          <w:marTop w:val="0"/>
          <w:marBottom w:val="0"/>
          <w:divBdr>
            <w:top w:val="none" w:sz="0" w:space="0" w:color="auto"/>
            <w:left w:val="none" w:sz="0" w:space="0" w:color="auto"/>
            <w:bottom w:val="none" w:sz="0" w:space="0" w:color="auto"/>
            <w:right w:val="none" w:sz="0" w:space="0" w:color="auto"/>
          </w:divBdr>
          <w:divsChild>
            <w:div w:id="143794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156005">
      <w:bodyDiv w:val="1"/>
      <w:marLeft w:val="0"/>
      <w:marRight w:val="0"/>
      <w:marTop w:val="0"/>
      <w:marBottom w:val="0"/>
      <w:divBdr>
        <w:top w:val="none" w:sz="0" w:space="0" w:color="auto"/>
        <w:left w:val="none" w:sz="0" w:space="0" w:color="auto"/>
        <w:bottom w:val="none" w:sz="0" w:space="0" w:color="auto"/>
        <w:right w:val="none" w:sz="0" w:space="0" w:color="auto"/>
      </w:divBdr>
    </w:div>
    <w:div w:id="1741708096">
      <w:bodyDiv w:val="1"/>
      <w:marLeft w:val="0"/>
      <w:marRight w:val="0"/>
      <w:marTop w:val="0"/>
      <w:marBottom w:val="0"/>
      <w:divBdr>
        <w:top w:val="none" w:sz="0" w:space="0" w:color="auto"/>
        <w:left w:val="none" w:sz="0" w:space="0" w:color="auto"/>
        <w:bottom w:val="none" w:sz="0" w:space="0" w:color="auto"/>
        <w:right w:val="none" w:sz="0" w:space="0" w:color="auto"/>
      </w:divBdr>
    </w:div>
    <w:div w:id="1764257574">
      <w:bodyDiv w:val="1"/>
      <w:marLeft w:val="0"/>
      <w:marRight w:val="0"/>
      <w:marTop w:val="0"/>
      <w:marBottom w:val="0"/>
      <w:divBdr>
        <w:top w:val="none" w:sz="0" w:space="0" w:color="auto"/>
        <w:left w:val="none" w:sz="0" w:space="0" w:color="auto"/>
        <w:bottom w:val="none" w:sz="0" w:space="0" w:color="auto"/>
        <w:right w:val="none" w:sz="0" w:space="0" w:color="auto"/>
      </w:divBdr>
    </w:div>
    <w:div w:id="1965652160">
      <w:bodyDiv w:val="1"/>
      <w:marLeft w:val="0"/>
      <w:marRight w:val="0"/>
      <w:marTop w:val="0"/>
      <w:marBottom w:val="0"/>
      <w:divBdr>
        <w:top w:val="none" w:sz="0" w:space="0" w:color="auto"/>
        <w:left w:val="none" w:sz="0" w:space="0" w:color="auto"/>
        <w:bottom w:val="none" w:sz="0" w:space="0" w:color="auto"/>
        <w:right w:val="none" w:sz="0" w:space="0" w:color="auto"/>
      </w:divBdr>
      <w:divsChild>
        <w:div w:id="1725173230">
          <w:blockQuote w:val="1"/>
          <w:marLeft w:val="720"/>
          <w:marRight w:val="720"/>
          <w:marTop w:val="100"/>
          <w:marBottom w:val="100"/>
          <w:divBdr>
            <w:top w:val="none" w:sz="0" w:space="0" w:color="auto"/>
            <w:left w:val="none" w:sz="0" w:space="0" w:color="auto"/>
            <w:bottom w:val="none" w:sz="0" w:space="0" w:color="auto"/>
            <w:right w:val="none" w:sz="0" w:space="0" w:color="auto"/>
          </w:divBdr>
        </w:div>
        <w:div w:id="1107387665">
          <w:marLeft w:val="0"/>
          <w:marRight w:val="0"/>
          <w:marTop w:val="0"/>
          <w:marBottom w:val="0"/>
          <w:divBdr>
            <w:top w:val="none" w:sz="0" w:space="0" w:color="auto"/>
            <w:left w:val="none" w:sz="0" w:space="0" w:color="auto"/>
            <w:bottom w:val="none" w:sz="0" w:space="0" w:color="auto"/>
            <w:right w:val="none" w:sz="0" w:space="0" w:color="auto"/>
          </w:divBdr>
          <w:divsChild>
            <w:div w:id="464323309">
              <w:marLeft w:val="0"/>
              <w:marRight w:val="0"/>
              <w:marTop w:val="0"/>
              <w:marBottom w:val="0"/>
              <w:divBdr>
                <w:top w:val="none" w:sz="0" w:space="0" w:color="auto"/>
                <w:left w:val="none" w:sz="0" w:space="0" w:color="auto"/>
                <w:bottom w:val="none" w:sz="0" w:space="0" w:color="auto"/>
                <w:right w:val="none" w:sz="0" w:space="0" w:color="auto"/>
              </w:divBdr>
            </w:div>
          </w:divsChild>
        </w:div>
        <w:div w:id="1809085712">
          <w:blockQuote w:val="1"/>
          <w:marLeft w:val="720"/>
          <w:marRight w:val="720"/>
          <w:marTop w:val="100"/>
          <w:marBottom w:val="100"/>
          <w:divBdr>
            <w:top w:val="none" w:sz="0" w:space="0" w:color="auto"/>
            <w:left w:val="none" w:sz="0" w:space="0" w:color="auto"/>
            <w:bottom w:val="none" w:sz="0" w:space="0" w:color="auto"/>
            <w:right w:val="none" w:sz="0" w:space="0" w:color="auto"/>
          </w:divBdr>
        </w:div>
        <w:div w:id="263925531">
          <w:marLeft w:val="0"/>
          <w:marRight w:val="0"/>
          <w:marTop w:val="0"/>
          <w:marBottom w:val="0"/>
          <w:divBdr>
            <w:top w:val="none" w:sz="0" w:space="0" w:color="auto"/>
            <w:left w:val="none" w:sz="0" w:space="0" w:color="auto"/>
            <w:bottom w:val="none" w:sz="0" w:space="0" w:color="auto"/>
            <w:right w:val="none" w:sz="0" w:space="0" w:color="auto"/>
          </w:divBdr>
          <w:divsChild>
            <w:div w:id="1621952269">
              <w:marLeft w:val="0"/>
              <w:marRight w:val="0"/>
              <w:marTop w:val="0"/>
              <w:marBottom w:val="0"/>
              <w:divBdr>
                <w:top w:val="none" w:sz="0" w:space="0" w:color="auto"/>
                <w:left w:val="none" w:sz="0" w:space="0" w:color="auto"/>
                <w:bottom w:val="none" w:sz="0" w:space="0" w:color="auto"/>
                <w:right w:val="none" w:sz="0" w:space="0" w:color="auto"/>
              </w:divBdr>
            </w:div>
          </w:divsChild>
        </w:div>
        <w:div w:id="1097363918">
          <w:blockQuote w:val="1"/>
          <w:marLeft w:val="720"/>
          <w:marRight w:val="720"/>
          <w:marTop w:val="100"/>
          <w:marBottom w:val="100"/>
          <w:divBdr>
            <w:top w:val="none" w:sz="0" w:space="0" w:color="auto"/>
            <w:left w:val="none" w:sz="0" w:space="0" w:color="auto"/>
            <w:bottom w:val="none" w:sz="0" w:space="0" w:color="auto"/>
            <w:right w:val="none" w:sz="0" w:space="0" w:color="auto"/>
          </w:divBdr>
        </w:div>
        <w:div w:id="1639455282">
          <w:marLeft w:val="0"/>
          <w:marRight w:val="0"/>
          <w:marTop w:val="0"/>
          <w:marBottom w:val="0"/>
          <w:divBdr>
            <w:top w:val="none" w:sz="0" w:space="0" w:color="auto"/>
            <w:left w:val="none" w:sz="0" w:space="0" w:color="auto"/>
            <w:bottom w:val="none" w:sz="0" w:space="0" w:color="auto"/>
            <w:right w:val="none" w:sz="0" w:space="0" w:color="auto"/>
          </w:divBdr>
          <w:divsChild>
            <w:div w:id="1475223190">
              <w:marLeft w:val="0"/>
              <w:marRight w:val="0"/>
              <w:marTop w:val="0"/>
              <w:marBottom w:val="0"/>
              <w:divBdr>
                <w:top w:val="none" w:sz="0" w:space="0" w:color="auto"/>
                <w:left w:val="none" w:sz="0" w:space="0" w:color="auto"/>
                <w:bottom w:val="none" w:sz="0" w:space="0" w:color="auto"/>
                <w:right w:val="none" w:sz="0" w:space="0" w:color="auto"/>
              </w:divBdr>
            </w:div>
          </w:divsChild>
        </w:div>
        <w:div w:id="133301287">
          <w:blockQuote w:val="1"/>
          <w:marLeft w:val="720"/>
          <w:marRight w:val="720"/>
          <w:marTop w:val="100"/>
          <w:marBottom w:val="100"/>
          <w:divBdr>
            <w:top w:val="none" w:sz="0" w:space="0" w:color="auto"/>
            <w:left w:val="none" w:sz="0" w:space="0" w:color="auto"/>
            <w:bottom w:val="none" w:sz="0" w:space="0" w:color="auto"/>
            <w:right w:val="none" w:sz="0" w:space="0" w:color="auto"/>
          </w:divBdr>
        </w:div>
        <w:div w:id="785388121">
          <w:marLeft w:val="0"/>
          <w:marRight w:val="0"/>
          <w:marTop w:val="0"/>
          <w:marBottom w:val="0"/>
          <w:divBdr>
            <w:top w:val="none" w:sz="0" w:space="0" w:color="auto"/>
            <w:left w:val="none" w:sz="0" w:space="0" w:color="auto"/>
            <w:bottom w:val="none" w:sz="0" w:space="0" w:color="auto"/>
            <w:right w:val="none" w:sz="0" w:space="0" w:color="auto"/>
          </w:divBdr>
          <w:divsChild>
            <w:div w:id="1084062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998339">
      <w:bodyDiv w:val="1"/>
      <w:marLeft w:val="0"/>
      <w:marRight w:val="0"/>
      <w:marTop w:val="0"/>
      <w:marBottom w:val="0"/>
      <w:divBdr>
        <w:top w:val="none" w:sz="0" w:space="0" w:color="auto"/>
        <w:left w:val="none" w:sz="0" w:space="0" w:color="auto"/>
        <w:bottom w:val="none" w:sz="0" w:space="0" w:color="auto"/>
        <w:right w:val="none" w:sz="0" w:space="0" w:color="auto"/>
      </w:divBdr>
    </w:div>
    <w:div w:id="2018925091">
      <w:bodyDiv w:val="1"/>
      <w:marLeft w:val="0"/>
      <w:marRight w:val="0"/>
      <w:marTop w:val="0"/>
      <w:marBottom w:val="0"/>
      <w:divBdr>
        <w:top w:val="none" w:sz="0" w:space="0" w:color="auto"/>
        <w:left w:val="none" w:sz="0" w:space="0" w:color="auto"/>
        <w:bottom w:val="none" w:sz="0" w:space="0" w:color="auto"/>
        <w:right w:val="none" w:sz="0" w:space="0" w:color="auto"/>
      </w:divBdr>
      <w:divsChild>
        <w:div w:id="524295053">
          <w:marLeft w:val="0"/>
          <w:marRight w:val="0"/>
          <w:marTop w:val="0"/>
          <w:marBottom w:val="0"/>
          <w:divBdr>
            <w:top w:val="none" w:sz="0" w:space="0" w:color="auto"/>
            <w:left w:val="none" w:sz="0" w:space="0" w:color="auto"/>
            <w:bottom w:val="none" w:sz="0" w:space="0" w:color="auto"/>
            <w:right w:val="none" w:sz="0" w:space="0" w:color="auto"/>
          </w:divBdr>
          <w:divsChild>
            <w:div w:id="131795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838810">
      <w:bodyDiv w:val="1"/>
      <w:marLeft w:val="0"/>
      <w:marRight w:val="0"/>
      <w:marTop w:val="0"/>
      <w:marBottom w:val="0"/>
      <w:divBdr>
        <w:top w:val="none" w:sz="0" w:space="0" w:color="auto"/>
        <w:left w:val="none" w:sz="0" w:space="0" w:color="auto"/>
        <w:bottom w:val="none" w:sz="0" w:space="0" w:color="auto"/>
        <w:right w:val="none" w:sz="0" w:space="0" w:color="auto"/>
      </w:divBdr>
    </w:div>
    <w:div w:id="2039312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24559-888E-4BCC-8D39-032C38BD1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34</Pages>
  <Words>7757</Words>
  <Characters>44218</Characters>
  <Application>Microsoft Office Word</Application>
  <DocSecurity>0</DocSecurity>
  <Lines>368</Lines>
  <Paragraphs>103</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2025-11-16T00:26:00Z</cp:lastPrinted>
  <dcterms:created xsi:type="dcterms:W3CDTF">2025-11-16T12:38:00Z</dcterms:created>
  <dcterms:modified xsi:type="dcterms:W3CDTF">2025-11-16T12:58:00Z</dcterms:modified>
</cp:coreProperties>
</file>