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BBB02" w14:textId="77777777" w:rsidR="00297D66" w:rsidRPr="00297D66" w:rsidRDefault="00297D66" w:rsidP="00297D66">
      <w:pPr>
        <w:autoSpaceDE w:val="0"/>
        <w:autoSpaceDN w:val="0"/>
        <w:bidi/>
        <w:adjustRightInd w:val="0"/>
        <w:spacing w:after="120" w:line="360" w:lineRule="auto"/>
        <w:rPr>
          <w:rFonts w:ascii="SimplifiedArabic-Bold" w:hAnsi="Courier New" w:cs="SimplifiedArabic-Bold"/>
          <w:b/>
          <w:bCs/>
          <w:color w:val="000000"/>
          <w:sz w:val="32"/>
          <w:szCs w:val="32"/>
        </w:rPr>
      </w:pPr>
      <w:r w:rsidRPr="00297D66">
        <w:rPr>
          <w:rFonts w:ascii="SimplifiedArabic-Bold" w:hAnsi="Courier New" w:cs="SimplifiedArabic-Bold"/>
          <w:b/>
          <w:bCs/>
          <w:noProof/>
          <w:color w:val="000000"/>
          <w:sz w:val="32"/>
          <w:szCs w:val="32"/>
        </w:rPr>
        <w:drawing>
          <wp:anchor distT="0" distB="0" distL="114300" distR="114300" simplePos="0" relativeHeight="251659264" behindDoc="1" locked="0" layoutInCell="1" allowOverlap="1" wp14:anchorId="4F33D76B" wp14:editId="12DC0654">
            <wp:simplePos x="0" y="0"/>
            <wp:positionH relativeFrom="column">
              <wp:posOffset>-493538</wp:posOffset>
            </wp:positionH>
            <wp:positionV relativeFrom="paragraph">
              <wp:posOffset>-226031</wp:posOffset>
            </wp:positionV>
            <wp:extent cx="2661285" cy="1170940"/>
            <wp:effectExtent l="0" t="0" r="5715" b="0"/>
            <wp:wrapNone/>
            <wp:docPr id="23849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1285" cy="1170940"/>
                    </a:xfrm>
                    <a:prstGeom prst="rect">
                      <a:avLst/>
                    </a:prstGeom>
                    <a:noFill/>
                    <a:ln>
                      <a:noFill/>
                    </a:ln>
                  </pic:spPr>
                </pic:pic>
              </a:graphicData>
            </a:graphic>
          </wp:anchor>
        </w:drawing>
      </w:r>
      <w:r w:rsidRPr="00297D66">
        <w:rPr>
          <w:rFonts w:ascii="SimplifiedArabic-Bold" w:hAnsi="Courier New" w:cs="SimplifiedArabic-Bold" w:hint="cs"/>
          <w:b/>
          <w:bCs/>
          <w:color w:val="000000"/>
          <w:sz w:val="32"/>
          <w:szCs w:val="32"/>
          <w:rtl/>
        </w:rPr>
        <w:t>جامعة</w:t>
      </w:r>
      <w:r w:rsidRPr="00297D66">
        <w:rPr>
          <w:rFonts w:ascii="SimplifiedArabic-Bold" w:hAnsi="Courier New" w:cs="SimplifiedArabic-Bold"/>
          <w:b/>
          <w:bCs/>
          <w:color w:val="000000"/>
          <w:sz w:val="32"/>
          <w:szCs w:val="32"/>
          <w:rtl/>
        </w:rPr>
        <w:t xml:space="preserve"> </w:t>
      </w:r>
      <w:r w:rsidRPr="00297D66">
        <w:rPr>
          <w:rFonts w:ascii="SimplifiedArabic-Bold" w:hAnsi="Courier New" w:cs="SimplifiedArabic-Bold" w:hint="cs"/>
          <w:b/>
          <w:bCs/>
          <w:color w:val="000000"/>
          <w:sz w:val="32"/>
          <w:szCs w:val="32"/>
          <w:rtl/>
        </w:rPr>
        <w:t>ميدأوشن</w:t>
      </w:r>
      <w:r w:rsidRPr="00297D66">
        <w:rPr>
          <w:rFonts w:ascii="SimplifiedArabic-Bold" w:hAnsi="Courier New" w:cs="SimplifiedArabic-Bold"/>
          <w:b/>
          <w:bCs/>
          <w:color w:val="000000"/>
          <w:sz w:val="32"/>
          <w:szCs w:val="32"/>
        </w:rPr>
        <w:t xml:space="preserve"> </w:t>
      </w:r>
    </w:p>
    <w:p w14:paraId="40E1FD4A" w14:textId="77777777" w:rsidR="00297D66" w:rsidRPr="00297D66" w:rsidRDefault="00297D66" w:rsidP="00297D66">
      <w:pPr>
        <w:autoSpaceDE w:val="0"/>
        <w:autoSpaceDN w:val="0"/>
        <w:bidi/>
        <w:adjustRightInd w:val="0"/>
        <w:spacing w:after="120" w:line="360" w:lineRule="auto"/>
        <w:rPr>
          <w:rFonts w:ascii="SimplifiedArabic-Bold" w:hAnsi="Courier New" w:cs="SimplifiedArabic-Bold"/>
          <w:b/>
          <w:bCs/>
          <w:color w:val="000000"/>
          <w:sz w:val="32"/>
          <w:szCs w:val="32"/>
          <w:rtl/>
          <w:lang w:bidi="ar-EG"/>
        </w:rPr>
      </w:pPr>
      <w:r w:rsidRPr="00297D66">
        <w:rPr>
          <w:rFonts w:ascii="SimplifiedArabic-Bold" w:hAnsi="Courier New" w:cs="SimplifiedArabic-Bold" w:hint="cs"/>
          <w:b/>
          <w:bCs/>
          <w:color w:val="000000"/>
          <w:sz w:val="32"/>
          <w:szCs w:val="32"/>
          <w:rtl/>
        </w:rPr>
        <w:t>كلية</w:t>
      </w:r>
      <w:r w:rsidRPr="00297D66">
        <w:rPr>
          <w:rFonts w:ascii="SimplifiedArabic-Bold" w:hAnsi="Courier New" w:cs="SimplifiedArabic-Bold"/>
          <w:b/>
          <w:bCs/>
          <w:color w:val="000000"/>
          <w:sz w:val="32"/>
          <w:szCs w:val="32"/>
          <w:rtl/>
        </w:rPr>
        <w:t xml:space="preserve"> </w:t>
      </w:r>
      <w:r w:rsidRPr="00297D66">
        <w:rPr>
          <w:rFonts w:ascii="SimplifiedArabic-Bold" w:hAnsi="Courier New" w:cs="SimplifiedArabic-Bold" w:hint="cs"/>
          <w:b/>
          <w:bCs/>
          <w:color w:val="000000"/>
          <w:sz w:val="32"/>
          <w:szCs w:val="32"/>
          <w:rtl/>
        </w:rPr>
        <w:t>الإدارة</w:t>
      </w:r>
    </w:p>
    <w:p w14:paraId="38BED740" w14:textId="2F910711" w:rsidR="00297D66" w:rsidRPr="00297D66" w:rsidRDefault="00C37011" w:rsidP="00297D66">
      <w:pPr>
        <w:autoSpaceDE w:val="0"/>
        <w:autoSpaceDN w:val="0"/>
        <w:bidi/>
        <w:adjustRightInd w:val="0"/>
        <w:spacing w:after="120" w:line="360" w:lineRule="auto"/>
        <w:rPr>
          <w:rFonts w:ascii="Simplified Arabic" w:hAnsi="Simplified Arabic" w:cs="Simplified Arabic"/>
          <w:color w:val="000000"/>
          <w:sz w:val="28"/>
          <w:szCs w:val="28"/>
          <w:rtl/>
          <w:lang w:val="en-GB" w:bidi="ar-EG"/>
        </w:rPr>
      </w:pPr>
      <w:r>
        <w:rPr>
          <w:rFonts w:ascii="SimplifiedArabic-Bold" w:hAnsi="Courier New" w:cs="SimplifiedArabic-Bold" w:hint="cs"/>
          <w:b/>
          <w:bCs/>
          <w:color w:val="000000"/>
          <w:sz w:val="32"/>
          <w:szCs w:val="32"/>
          <w:rtl/>
        </w:rPr>
        <w:t>تخصص إدارة الموارد ال</w:t>
      </w:r>
      <w:r w:rsidR="00297D66" w:rsidRPr="00297D66">
        <w:rPr>
          <w:rFonts w:ascii="SimplifiedArabic-Bold" w:hAnsi="Courier New" w:cs="SimplifiedArabic-Bold" w:hint="cs"/>
          <w:b/>
          <w:bCs/>
          <w:color w:val="000000"/>
          <w:sz w:val="32"/>
          <w:szCs w:val="32"/>
          <w:rtl/>
        </w:rPr>
        <w:t>بشرية</w:t>
      </w:r>
    </w:p>
    <w:p w14:paraId="0C548426" w14:textId="77777777" w:rsidR="00297D66" w:rsidRPr="00297D66" w:rsidRDefault="00297D66" w:rsidP="00297D66">
      <w:pPr>
        <w:autoSpaceDE w:val="0"/>
        <w:autoSpaceDN w:val="0"/>
        <w:bidi/>
        <w:adjustRightInd w:val="0"/>
        <w:spacing w:after="0" w:line="240" w:lineRule="auto"/>
        <w:rPr>
          <w:rFonts w:ascii="Simplified Arabic" w:hAnsi="Simplified Arabic" w:cs="Simplified Arabic"/>
          <w:color w:val="000000"/>
          <w:sz w:val="28"/>
          <w:szCs w:val="28"/>
          <w:rtl/>
          <w:lang w:val="en-GB"/>
        </w:rPr>
      </w:pPr>
    </w:p>
    <w:p w14:paraId="215E6DBD" w14:textId="77777777" w:rsidR="00297D66" w:rsidRPr="00297D66" w:rsidRDefault="00297D66" w:rsidP="00297D66">
      <w:pPr>
        <w:autoSpaceDE w:val="0"/>
        <w:autoSpaceDN w:val="0"/>
        <w:bidi/>
        <w:adjustRightInd w:val="0"/>
        <w:spacing w:after="0" w:line="240" w:lineRule="auto"/>
        <w:rPr>
          <w:rFonts w:ascii="Simplified Arabic" w:hAnsi="Simplified Arabic" w:cs="Simplified Arabic"/>
          <w:color w:val="000000"/>
          <w:sz w:val="28"/>
          <w:szCs w:val="28"/>
          <w:rtl/>
          <w:lang w:val="en-GB"/>
        </w:rPr>
      </w:pPr>
    </w:p>
    <w:p w14:paraId="3EA4AD86"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297D66">
        <w:rPr>
          <w:rFonts w:ascii="SimplifiedArabic-Bold" w:hAnsi="Courier New" w:cs="SimplifiedArabic-Bold"/>
          <w:b/>
          <w:bCs/>
          <w:color w:val="000000"/>
          <w:sz w:val="32"/>
          <w:szCs w:val="32"/>
          <w:rtl/>
        </w:rPr>
        <w:t>أثر ممارسات إدارة الموارد البشرية الاستراتيجية على الأداء التنظيمي في الشركات الهندسية في المملكة العربية السعودية</w:t>
      </w:r>
    </w:p>
    <w:p w14:paraId="4EA1BA8E"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2D7EC15D"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lang w:bidi="ar-EG"/>
        </w:rPr>
      </w:pPr>
    </w:p>
    <w:p w14:paraId="72CCD636"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lang w:bidi="ar-EG"/>
        </w:rPr>
      </w:pPr>
    </w:p>
    <w:p w14:paraId="3742D61F"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1A1D2A85"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297D66">
        <w:rPr>
          <w:rFonts w:ascii="SimplifiedArabic-Bold" w:hAnsi="Courier New" w:cs="SimplifiedArabic-Bold" w:hint="cs"/>
          <w:b/>
          <w:bCs/>
          <w:color w:val="000000"/>
          <w:sz w:val="32"/>
          <w:szCs w:val="32"/>
          <w:rtl/>
        </w:rPr>
        <w:t>إعداد/</w:t>
      </w:r>
    </w:p>
    <w:p w14:paraId="6BF50030"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31152368" w14:textId="77777777" w:rsidR="00297D66" w:rsidRPr="00297D66" w:rsidRDefault="00297D66" w:rsidP="00297D66">
      <w:pPr>
        <w:autoSpaceDE w:val="0"/>
        <w:autoSpaceDN w:val="0"/>
        <w:bidi/>
        <w:adjustRightInd w:val="0"/>
        <w:spacing w:after="0" w:line="360" w:lineRule="auto"/>
        <w:jc w:val="center"/>
        <w:rPr>
          <w:rFonts w:ascii="SimplifiedArabic-Bold" w:hAnsi="Courier New" w:cs="SimplifiedArabic-Bold"/>
          <w:b/>
          <w:bCs/>
          <w:color w:val="000000"/>
          <w:sz w:val="32"/>
          <w:szCs w:val="32"/>
          <w:rtl/>
          <w:lang w:bidi="ar-EG"/>
        </w:rPr>
      </w:pPr>
      <w:r w:rsidRPr="00297D66">
        <w:rPr>
          <w:rFonts w:ascii="SimplifiedArabic-Bold" w:hAnsi="Courier New" w:cs="SimplifiedArabic-Bold" w:hint="cs"/>
          <w:b/>
          <w:bCs/>
          <w:color w:val="000000"/>
          <w:sz w:val="32"/>
          <w:szCs w:val="32"/>
          <w:rtl/>
        </w:rPr>
        <w:t xml:space="preserve">الطالب/ </w:t>
      </w:r>
      <w:r w:rsidRPr="00297D66">
        <w:rPr>
          <w:rFonts w:ascii="SimplifiedArabic-Bold" w:hAnsi="Courier New" w:cs="SimplifiedArabic-Bold" w:hint="cs"/>
          <w:b/>
          <w:bCs/>
          <w:color w:val="000000"/>
          <w:sz w:val="32"/>
          <w:szCs w:val="32"/>
          <w:rtl/>
          <w:lang w:bidi="ar-EG"/>
        </w:rPr>
        <w:t xml:space="preserve">علي أحمد الخلف </w:t>
      </w:r>
    </w:p>
    <w:p w14:paraId="12FC0AE6" w14:textId="77777777" w:rsidR="00297D66" w:rsidRPr="00297D66" w:rsidRDefault="00297D66" w:rsidP="00297D66">
      <w:pPr>
        <w:autoSpaceDE w:val="0"/>
        <w:autoSpaceDN w:val="0"/>
        <w:bidi/>
        <w:adjustRightInd w:val="0"/>
        <w:spacing w:after="0" w:line="360" w:lineRule="auto"/>
        <w:jc w:val="center"/>
        <w:rPr>
          <w:rFonts w:ascii="SimplifiedArabic-Bold" w:hAnsi="Courier New" w:cs="SimplifiedArabic-Bold"/>
          <w:b/>
          <w:bCs/>
          <w:color w:val="000000"/>
          <w:sz w:val="32"/>
          <w:szCs w:val="32"/>
          <w:rtl/>
        </w:rPr>
      </w:pPr>
      <w:r w:rsidRPr="00297D66">
        <w:rPr>
          <w:rFonts w:ascii="SimplifiedArabic-Bold" w:hAnsi="Courier New" w:cs="SimplifiedArabic-Bold" w:hint="cs"/>
          <w:b/>
          <w:bCs/>
          <w:color w:val="000000"/>
          <w:sz w:val="32"/>
          <w:szCs w:val="32"/>
          <w:rtl/>
        </w:rPr>
        <w:t>الرقم الأكاديمي/ 252001394</w:t>
      </w:r>
    </w:p>
    <w:p w14:paraId="6A3AE348"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702E372A"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380749AF"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0AA28922"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18738691"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297D66">
        <w:rPr>
          <w:rFonts w:ascii="SimplifiedArabic-Bold" w:hAnsi="Courier New" w:cs="SimplifiedArabic-Bold" w:hint="cs"/>
          <w:b/>
          <w:bCs/>
          <w:color w:val="000000"/>
          <w:sz w:val="36"/>
          <w:szCs w:val="36"/>
          <w:rtl/>
        </w:rPr>
        <w:t>إشراف:</w:t>
      </w:r>
    </w:p>
    <w:p w14:paraId="22FE1868"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000000"/>
          <w:sz w:val="34"/>
          <w:szCs w:val="34"/>
          <w:rtl/>
        </w:rPr>
      </w:pPr>
      <w:r w:rsidRPr="00297D66">
        <w:rPr>
          <w:rFonts w:ascii="SimplifiedArabic-Bold" w:hAnsi="Courier New" w:cs="SimplifiedArabic-Bold" w:hint="cs"/>
          <w:b/>
          <w:bCs/>
          <w:color w:val="000000"/>
          <w:sz w:val="34"/>
          <w:szCs w:val="34"/>
          <w:rtl/>
        </w:rPr>
        <w:t>الدكتور/ الفيصل عبد الحميد محمد                         الدكتور/ فايز علي جراد</w:t>
      </w:r>
    </w:p>
    <w:p w14:paraId="08FB1C4F"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000000"/>
          <w:sz w:val="32"/>
          <w:szCs w:val="32"/>
          <w:rtl/>
        </w:rPr>
      </w:pPr>
      <w:r w:rsidRPr="00297D66">
        <w:rPr>
          <w:rFonts w:ascii="SimplifiedArabic-Bold" w:hAnsi="Courier New" w:cs="SimplifiedArabic-Bold" w:hint="cs"/>
          <w:b/>
          <w:bCs/>
          <w:color w:val="000000"/>
          <w:sz w:val="34"/>
          <w:szCs w:val="34"/>
          <w:rtl/>
        </w:rPr>
        <w:t xml:space="preserve">   كلية الإدارة، جامعة ميدأوشن                       </w:t>
      </w:r>
      <w:r w:rsidRPr="00297D66">
        <w:rPr>
          <w:rFonts w:ascii="SimplifiedArabic-Bold" w:hAnsi="Courier New" w:cs="SimplifiedArabic-Bold"/>
          <w:b/>
          <w:bCs/>
          <w:color w:val="000000"/>
          <w:sz w:val="34"/>
          <w:szCs w:val="34"/>
          <w:rtl/>
        </w:rPr>
        <w:t xml:space="preserve">  كلية الإدارة، جامعة ميدأوشن</w:t>
      </w:r>
    </w:p>
    <w:p w14:paraId="2479C3F7"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6E5F9639"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6412EB16"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r w:rsidRPr="00297D66">
        <w:rPr>
          <w:rFonts w:ascii="SimplifiedArabic-Bold" w:hAnsi="Courier New" w:cs="SimplifiedArabic-Bold" w:hint="cs"/>
          <w:b/>
          <w:bCs/>
          <w:color w:val="000000"/>
          <w:sz w:val="32"/>
          <w:szCs w:val="32"/>
          <w:rtl/>
        </w:rPr>
        <w:t>العام الدراسي</w:t>
      </w:r>
    </w:p>
    <w:p w14:paraId="44D197DD"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000000"/>
          <w:sz w:val="32"/>
          <w:szCs w:val="32"/>
          <w:rtl/>
        </w:rPr>
      </w:pPr>
    </w:p>
    <w:p w14:paraId="34FC1890" w14:textId="77777777" w:rsidR="00B04516" w:rsidRPr="00B04516" w:rsidRDefault="00B04516" w:rsidP="00B04516">
      <w:pPr>
        <w:autoSpaceDE w:val="0"/>
        <w:autoSpaceDN w:val="0"/>
        <w:bidi/>
        <w:adjustRightInd w:val="0"/>
        <w:spacing w:after="0" w:line="240" w:lineRule="auto"/>
        <w:jc w:val="center"/>
        <w:rPr>
          <w:rFonts w:ascii="SimplifiedArabic-Bold" w:hAnsi="Courier New" w:cs="SimplifiedArabic-Bold"/>
          <w:color w:val="000000"/>
          <w:sz w:val="32"/>
          <w:szCs w:val="32"/>
          <w:rtl/>
        </w:rPr>
      </w:pPr>
      <w:r w:rsidRPr="00B04516">
        <w:rPr>
          <w:rFonts w:ascii="SimplifiedArabic-Bold" w:hAnsi="Courier New" w:cs="SimplifiedArabic-Bold" w:hint="cs"/>
          <w:color w:val="000000"/>
          <w:sz w:val="32"/>
          <w:szCs w:val="32"/>
          <w:rtl/>
        </w:rPr>
        <w:t>2025/ 2026م</w:t>
      </w:r>
    </w:p>
    <w:p w14:paraId="3B2F2957"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hint="cs"/>
          <w:b/>
          <w:bCs/>
          <w:color w:val="222222"/>
          <w:sz w:val="42"/>
          <w:szCs w:val="42"/>
          <w:rtl/>
          <w:lang w:bidi="ar-EG"/>
        </w:rPr>
      </w:pPr>
    </w:p>
    <w:p w14:paraId="1B51CF44"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2C892352"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241CBC6F"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7D75B846"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282B6059"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2"/>
          <w:szCs w:val="42"/>
          <w:rtl/>
          <w:lang w:bidi="ar-EG"/>
        </w:rPr>
      </w:pPr>
    </w:p>
    <w:p w14:paraId="49A91FD2"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7836A070"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62B5F121"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78F07659"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3BF91BBC"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5EA9C83F"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327407A2"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28559729"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42"/>
          <w:szCs w:val="42"/>
          <w:rtl/>
        </w:rPr>
      </w:pPr>
    </w:p>
    <w:p w14:paraId="7694DA68"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0"/>
          <w:szCs w:val="40"/>
          <w:u w:val="thick"/>
          <w:rtl/>
        </w:rPr>
      </w:pPr>
      <w:bookmarkStart w:id="0" w:name="_Toc224826630"/>
      <w:r w:rsidRPr="00297D66">
        <w:rPr>
          <w:rFonts w:ascii="SimplifiedArabic-Bold" w:hAnsi="Courier New" w:cs="SimplifiedArabic-Bold" w:hint="cs"/>
          <w:b/>
          <w:bCs/>
          <w:color w:val="222222"/>
          <w:sz w:val="40"/>
          <w:szCs w:val="40"/>
          <w:u w:val="thick"/>
          <w:rtl/>
        </w:rPr>
        <w:t>الفصل</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الأول</w:t>
      </w:r>
      <w:bookmarkEnd w:id="0"/>
    </w:p>
    <w:p w14:paraId="478BB1CE" w14:textId="77777777" w:rsidR="00297D66" w:rsidRPr="00297D66" w:rsidRDefault="00297D66" w:rsidP="00297D66">
      <w:pPr>
        <w:autoSpaceDE w:val="0"/>
        <w:autoSpaceDN w:val="0"/>
        <w:bidi/>
        <w:adjustRightInd w:val="0"/>
        <w:spacing w:after="0" w:line="240" w:lineRule="auto"/>
        <w:jc w:val="center"/>
        <w:outlineLvl w:val="0"/>
        <w:rPr>
          <w:rFonts w:ascii="SimplifiedArabic-Bold" w:hAnsi="Courier New" w:cs="SimplifiedArabic-Bold"/>
          <w:b/>
          <w:bCs/>
          <w:color w:val="222222"/>
          <w:sz w:val="40"/>
          <w:szCs w:val="40"/>
          <w:u w:val="thick"/>
          <w:lang w:bidi="ar-EG"/>
        </w:rPr>
      </w:pPr>
    </w:p>
    <w:p w14:paraId="55310693" w14:textId="77777777" w:rsidR="00297D66" w:rsidRPr="00297D66" w:rsidRDefault="00297D66" w:rsidP="00297D66">
      <w:pPr>
        <w:autoSpaceDE w:val="0"/>
        <w:autoSpaceDN w:val="0"/>
        <w:bidi/>
        <w:adjustRightInd w:val="0"/>
        <w:spacing w:after="0" w:line="240" w:lineRule="auto"/>
        <w:jc w:val="center"/>
        <w:outlineLvl w:val="0"/>
        <w:rPr>
          <w:rFonts w:ascii="Simplified Arabic" w:hAnsi="Simplified Arabic" w:cs="Simplified Arabic"/>
          <w:color w:val="000000"/>
          <w:sz w:val="32"/>
          <w:szCs w:val="32"/>
          <w:u w:val="thick"/>
          <w:rtl/>
          <w:lang w:val="en-GB" w:bidi="ar-EG"/>
        </w:rPr>
      </w:pPr>
      <w:bookmarkStart w:id="1" w:name="_Toc224826631"/>
      <w:r w:rsidRPr="00297D66">
        <w:rPr>
          <w:rFonts w:ascii="SimplifiedArabic-Bold" w:hAnsi="Courier New" w:cs="SimplifiedArabic-Bold" w:hint="cs"/>
          <w:b/>
          <w:bCs/>
          <w:color w:val="222222"/>
          <w:sz w:val="40"/>
          <w:szCs w:val="40"/>
          <w:u w:val="thick"/>
          <w:rtl/>
        </w:rPr>
        <w:t>المدخل</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العام</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للبحث</w:t>
      </w:r>
      <w:bookmarkEnd w:id="1"/>
    </w:p>
    <w:p w14:paraId="54D60DF7"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32E2B165"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3DBC426A"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7A4CA45C"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694A650A"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66132824"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07F7E26B"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4BB5E794"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1C820843"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4383B09B"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2E1B01FA"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5D279B3A"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537ADDE1"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2B9EEA77"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0A959606"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27A91FE6" w14:textId="77777777" w:rsidR="00297D66" w:rsidRPr="00297D66" w:rsidRDefault="00297D66" w:rsidP="00297D66">
      <w:pPr>
        <w:autoSpaceDE w:val="0"/>
        <w:autoSpaceDN w:val="0"/>
        <w:bidi/>
        <w:adjustRightInd w:val="0"/>
        <w:spacing w:after="0" w:line="240" w:lineRule="auto"/>
        <w:jc w:val="center"/>
        <w:rPr>
          <w:rFonts w:ascii="Simplified Arabic" w:hAnsi="Simplified Arabic" w:cs="Simplified Arabic"/>
          <w:color w:val="000000"/>
          <w:sz w:val="32"/>
          <w:szCs w:val="32"/>
          <w:rtl/>
          <w:lang w:val="en-GB" w:bidi="ar-EG"/>
        </w:rPr>
      </w:pPr>
    </w:p>
    <w:p w14:paraId="1E398B7B" w14:textId="77777777" w:rsidR="00297D66" w:rsidRPr="00297D66" w:rsidRDefault="00297D66" w:rsidP="00297D66">
      <w:pPr>
        <w:autoSpaceDE w:val="0"/>
        <w:autoSpaceDN w:val="0"/>
        <w:bidi/>
        <w:adjustRightInd w:val="0"/>
        <w:spacing w:after="0" w:line="240" w:lineRule="auto"/>
        <w:outlineLvl w:val="0"/>
        <w:rPr>
          <w:rFonts w:ascii="Simplified Arabic" w:hAnsi="Simplified Arabic" w:cs="Simplified Arabic"/>
          <w:color w:val="000000"/>
          <w:sz w:val="32"/>
          <w:szCs w:val="32"/>
          <w:u w:val="single"/>
          <w:rtl/>
          <w:lang w:val="en-GB" w:bidi="ar-EG"/>
        </w:rPr>
      </w:pPr>
      <w:bookmarkStart w:id="2" w:name="_Toc224826632"/>
      <w:r w:rsidRPr="00297D66">
        <w:rPr>
          <w:rFonts w:ascii="SimplifiedArabic-Bold" w:hAnsi="Courier New" w:cs="SimplifiedArabic-Bold" w:hint="cs"/>
          <w:b/>
          <w:bCs/>
          <w:color w:val="1F1F1F"/>
          <w:sz w:val="36"/>
          <w:szCs w:val="36"/>
          <w:u w:val="single"/>
          <w:rtl/>
        </w:rPr>
        <w:t>المقدمة</w:t>
      </w:r>
      <w:r w:rsidRPr="00297D66">
        <w:rPr>
          <w:rFonts w:ascii="SimplifiedArabic-Bold" w:hAnsi="Courier New" w:cs="SimplifiedArabic-Bold"/>
          <w:b/>
          <w:bCs/>
          <w:color w:val="1F1F1F"/>
          <w:sz w:val="36"/>
          <w:szCs w:val="36"/>
          <w:u w:val="single"/>
        </w:rPr>
        <w:t>:</w:t>
      </w:r>
      <w:bookmarkEnd w:id="2"/>
    </w:p>
    <w:p w14:paraId="20A8A7C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w:t>
      </w:r>
    </w:p>
    <w:p w14:paraId="0138683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تعتبر إدارة الموارد البشرية الاستراتيجية من العناصر الأساسية في تعزيز قدرة المؤسسات على تحقيق أهدافها بكفاءة وفعالية. إذ ترتكز هذه الإدارة على التخطيط المنهجي للموارد البشرية بما يتناسب مع استراتيجيات المنظمة الشاملة. وفي ظل التغيرات الاقتصادية السريعة والتطور التقني المستمر، أصبحت الشركات الهندسية بحاجة ماسة لتطبيق ممارسات مرنة وذكية لإدارة العاملين. تساهم هذه الممارسات في تحسين الإنتاجية وتعزيز التنافسية بين الشركات. كما تلعب دورًا محوريًا في جذب المواهب والاحتفاظ بها. لذا فإن العلاقة بين الموارد البشرية الاستراتيجية والأداء التنظيمي تمثل محورًا هامًا للدراسة. هذا يتطلب فهمًا دقيقًا للآليات التي تربط بين التخطيط الاستراتيجي وإدارة الأفراد</w:t>
      </w:r>
      <w:r w:rsidRPr="00297D66">
        <w:rPr>
          <w:rFonts w:ascii="SimplifiedArabic" w:hAnsi="Courier New" w:cs="SimplifiedArabic" w:hint="cs"/>
          <w:color w:val="000000"/>
          <w:sz w:val="28"/>
          <w:szCs w:val="28"/>
          <w:rtl/>
        </w:rPr>
        <w:t xml:space="preserve"> (العربيات، 2025).</w:t>
      </w:r>
    </w:p>
    <w:p w14:paraId="6C01C17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Pr>
        <w:t xml:space="preserve"> </w:t>
      </w:r>
      <w:r w:rsidRPr="00297D66">
        <w:rPr>
          <w:rFonts w:ascii="SimplifiedArabic" w:hAnsi="Courier New" w:cs="SimplifiedArabic"/>
          <w:color w:val="000000"/>
          <w:sz w:val="28"/>
          <w:szCs w:val="28"/>
          <w:rtl/>
        </w:rPr>
        <w:t>تركز الشركات الهندسية في المملكة العربية السعودية على الابتكار والتطوير المستمر لضمان جودة المشاريع الهندسية. وفي هذا السياق، تبرز إدارة الموارد البشرية الاستراتيجية كعنصر رئيس في دعم الأداء المؤسسي. إذ تساعد على تنظيم القوى العاملة وتوجيهها نحو تحقيق الأهداف المطلوبة. بالإضافة إلى ذلك، توفر هذه الإدارة أدوات لتقييم الأداء وتحفيز الموظفين على الإبداع والتميز. كما أن الاهتمام بالتدريب والتطوير المستمر للعاملين يعزز من كفاءتهم ويقلل من الفجوات المهارية. ومن هنا، تتضح أهمية الربط بين استراتيجيات الموارد البشرية وتحسين الأداء العام للشركات. هذا يعكس دور الموارد البشرية كعامل حيوي في التنمية المستدامة للشركات الهندسية</w:t>
      </w:r>
      <w:r w:rsidRPr="00297D66">
        <w:rPr>
          <w:rFonts w:ascii="SimplifiedArabic" w:hAnsi="Courier New" w:cs="SimplifiedArabic" w:hint="cs"/>
          <w:color w:val="000000"/>
          <w:sz w:val="28"/>
          <w:szCs w:val="28"/>
          <w:rtl/>
        </w:rPr>
        <w:t>.</w:t>
      </w:r>
    </w:p>
    <w:p w14:paraId="1A66FB4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lastRenderedPageBreak/>
        <w:t xml:space="preserve">     </w:t>
      </w:r>
      <w:r w:rsidRPr="00297D66">
        <w:rPr>
          <w:rFonts w:ascii="SimplifiedArabic" w:hAnsi="Courier New" w:cs="SimplifiedArabic"/>
          <w:color w:val="000000"/>
          <w:sz w:val="28"/>
          <w:szCs w:val="28"/>
        </w:rPr>
        <w:t xml:space="preserve"> </w:t>
      </w:r>
      <w:r w:rsidRPr="00297D66">
        <w:rPr>
          <w:rFonts w:ascii="SimplifiedArabic" w:hAnsi="Courier New" w:cs="SimplifiedArabic"/>
          <w:color w:val="000000"/>
          <w:sz w:val="28"/>
          <w:szCs w:val="28"/>
          <w:rtl/>
        </w:rPr>
        <w:t>تشمل ممارسات إدارة الموارد البشرية الاستراتيجية عددًا من الجوانب الأساسية، منها التخطيط الوظيفي، والتوظيف، والتدريب، وتقييم الأداء، والتحفيز. وتعمل هذه الجوانب على تعزيز جودة العمل وتسهيل الوصول إلى الأهداف المؤسسية. كما تساهم في بناء ثقافة تنظيمية قوية تشجع على الالتزام والانتماء الوظيفي. وتظهر الدراسات أن الشركات التي تطبق ممارسات فعالة في هذا المجال تحقق أداءً تنظيميًا أعلى مقارنة بالشركات التي تتجاهل هذه الممارسات. وهذا يعني أن الاستثمار في الموارد البشرية ليس تكلفة، بل استثمار طويل الأجل يعود بالنفع على الأداء العام. وبالتالي، فإن فهم هذه الممارسات يعد خطوة أساسية لتحقيق التميز المؤسسي</w:t>
      </w:r>
      <w:r w:rsidRPr="00297D66">
        <w:rPr>
          <w:rFonts w:ascii="SimplifiedArabic" w:hAnsi="Courier New" w:cs="SimplifiedArabic" w:hint="cs"/>
          <w:color w:val="000000"/>
          <w:sz w:val="28"/>
          <w:szCs w:val="28"/>
          <w:rtl/>
        </w:rPr>
        <w:t xml:space="preserve"> (الجاسم، 2022).</w:t>
      </w:r>
    </w:p>
    <w:p w14:paraId="7BC1742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Pr>
        <w:t xml:space="preserve"> </w:t>
      </w:r>
      <w:r w:rsidRPr="00297D66">
        <w:rPr>
          <w:rFonts w:ascii="SimplifiedArabic" w:hAnsi="Courier New" w:cs="SimplifiedArabic"/>
          <w:color w:val="000000"/>
          <w:sz w:val="28"/>
          <w:szCs w:val="28"/>
          <w:rtl/>
        </w:rPr>
        <w:t>تواجه الشركات الهندسية في المملكة تحديات متعددة مثل المنافسة المحلية والدولية، وزيادة الطلب على المشاريع الكبيرة والمعقدة، والضغط على جودة التنفيذ. في ظل هذه التحديات، يصبح دور إدارة الموارد البشرية الاستراتيجية أكثر أهمية. إذ تساهم في تحسين توزيع المهام، وضمان وجود الموظفين الأكفاء في الأماكن المهمة. كما تدعم الإدارة الاستراتيجية تطوير خطط للرفع من المهارات التقنية والإدارية للعاملين. وبالتالي، فإن الأداء التنظيمي يتأثر بشكل مباشر بمدى كفاءة إدارة الموارد البشرية. وهذا يشير إلى ضرورة ربط الخطط الاستراتيجية للموارد البشرية بأهداف الشركة لضمان نجاح المشاريع</w:t>
      </w: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القبح، أسعد</w:t>
      </w:r>
      <w:r w:rsidRPr="00297D66">
        <w:rPr>
          <w:rFonts w:ascii="SimplifiedArabic" w:hAnsi="Courier New" w:cs="SimplifiedArabic" w:hint="cs"/>
          <w:color w:val="000000"/>
          <w:sz w:val="28"/>
          <w:szCs w:val="28"/>
          <w:rtl/>
        </w:rPr>
        <w:t>، 2024).</w:t>
      </w:r>
    </w:p>
    <w:p w14:paraId="4792EFD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و</w:t>
      </w:r>
      <w:r w:rsidRPr="00297D66">
        <w:rPr>
          <w:rFonts w:ascii="SimplifiedArabic" w:hAnsi="Courier New" w:cs="SimplifiedArabic"/>
          <w:color w:val="000000"/>
          <w:sz w:val="28"/>
          <w:szCs w:val="28"/>
          <w:rtl/>
        </w:rPr>
        <w:t xml:space="preserve">تلعب التحفيزات المادية والمعنوية دورًا مهمًا في تعزيز الأداء الوظيفي للعاملين في الشركات الهندسية. إذ تسهم السياسات الاستراتيجية للموارد البشرية في تحديد نظام المكافآت والتقدير بما يعكس جهود الموظفين. كما أن التدريب المستمر وتوفير فرص التطوير الوظيفي يعزز الالتزام والانتماء </w:t>
      </w:r>
      <w:r w:rsidRPr="00297D66">
        <w:rPr>
          <w:rFonts w:ascii="SimplifiedArabic" w:hAnsi="Courier New" w:cs="SimplifiedArabic"/>
          <w:color w:val="000000"/>
          <w:sz w:val="28"/>
          <w:szCs w:val="28"/>
          <w:rtl/>
        </w:rPr>
        <w:lastRenderedPageBreak/>
        <w:t>التنظيمي. هذه الممارسات تؤدي إلى تحسين جودة العمل وزيادة الإنتاجية بشكل ملحوظ. ومن ثم، فإن التركيز على الموارد البشرية لا يقتصر على الجوانب الإدارية، بل يمتد إلى دعم الأداء التنظيمي والابتكار في المشاريع. وهذا يظهر العلاقة الوثيقة بين إدارة الموارد البشرية الاستراتيجية وتحقيق التميز المؤسسي</w:t>
      </w: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عبدالصمد،</w:t>
      </w:r>
      <w:r w:rsidRPr="00297D66">
        <w:rPr>
          <w:rFonts w:ascii="SimplifiedArabic" w:hAnsi="Courier New" w:cs="SimplifiedArabic" w:hint="cs"/>
          <w:color w:val="000000"/>
          <w:sz w:val="28"/>
          <w:szCs w:val="28"/>
          <w:rtl/>
        </w:rPr>
        <w:t xml:space="preserve"> 2022).</w:t>
      </w:r>
    </w:p>
    <w:p w14:paraId="6B06D60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color w:val="000000"/>
          <w:sz w:val="28"/>
          <w:szCs w:val="28"/>
        </w:rPr>
        <w:t xml:space="preserve"> </w:t>
      </w: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إن الاستثمار في تدريب الموظفين وتطوير مهاراتهم يظهر بشكل مباشر على فعالية العمليات. كذلك، إدارة الأداء ووضع خطط واضحة للتحفيز تساهم في زيادة رضا الموظفين وتقليص معدل الدوران الوظيفي. من خلال ربط استراتيجيات الموارد البشرية بأهداف الشركة، يمكن تعزيز قدرة المنظمة على مواجهة التحديات وتحقيق أهدافها بكفاءة. لذلك، فإن الشركات التي تعتمد نهجًا استراتيجيًا في إدارة الموارد البشرية تتميز بأداء أعلى ومرونة أكبر في التكيف مع التغيرات</w:t>
      </w: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الغامدي</w:t>
      </w:r>
      <w:r w:rsidRPr="00297D66">
        <w:rPr>
          <w:rFonts w:ascii="SimplifiedArabic" w:hAnsi="Courier New" w:cs="SimplifiedArabic" w:hint="cs"/>
          <w:color w:val="000000"/>
          <w:sz w:val="28"/>
          <w:szCs w:val="28"/>
          <w:rtl/>
        </w:rPr>
        <w:t>، شمسي، 2022).</w:t>
      </w:r>
    </w:p>
    <w:p w14:paraId="004CBD3C" w14:textId="77777777" w:rsidR="00297D66" w:rsidRPr="00297D66" w:rsidRDefault="00297D66" w:rsidP="00297D66">
      <w:pPr>
        <w:autoSpaceDE w:val="0"/>
        <w:autoSpaceDN w:val="0"/>
        <w:bidi/>
        <w:adjustRightInd w:val="0"/>
        <w:spacing w:after="0" w:line="600" w:lineRule="auto"/>
        <w:jc w:val="lowKashida"/>
        <w:rPr>
          <w:rFonts w:ascii="SimplifiedArabic-Bold" w:hAnsi="Courier New" w:cs="SimplifiedArabic-Bold"/>
          <w:b/>
          <w:bCs/>
          <w:color w:val="1F1F1F"/>
          <w:sz w:val="36"/>
          <w:szCs w:val="36"/>
          <w:u w:val="single"/>
          <w:rtl/>
        </w:rPr>
      </w:pP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 xml:space="preserve"> يتضح أن إدارة الموارد البشرية الاستراتيجية تعتبر من الأدوات الفعالة لتحسين الأداء التنظيمي في الشركات الهندسية في المملكة العربية السعودية. فهي تسهم في تعزيز التوافق بين أهداف الشركة واحتياجات الموظفين. كما تساعد في رفع كفاءة العمليات وتحسين جودة المشاريع المقدمة. من خلال تطبيق الممارسات الاستراتيجية، تتمكن الشركات من إنشاء بيئة عمل مثيرة وداعمة للإبداع والابتكار. بالتالي، فإن التركيز على هذا الجانب يمثل ركيزة أساسية للاستدامة والتميز وتحقيق التنافسية. وهنا تأتي أهمية دراسة تأثير هذه الممارسات على القطاع الهندسي في المملكة.</w:t>
      </w:r>
    </w:p>
    <w:p w14:paraId="1B044465" w14:textId="77777777" w:rsidR="00297D66" w:rsidRPr="00297D66" w:rsidRDefault="00297D66" w:rsidP="00297D66">
      <w:pPr>
        <w:autoSpaceDE w:val="0"/>
        <w:autoSpaceDN w:val="0"/>
        <w:bidi/>
        <w:adjustRightInd w:val="0"/>
        <w:spacing w:after="0" w:line="600" w:lineRule="auto"/>
        <w:jc w:val="lowKashida"/>
        <w:rPr>
          <w:rFonts w:ascii="SimplifiedArabic-Bold" w:hAnsi="Courier New" w:cs="SimplifiedArabic-Bold"/>
          <w:b/>
          <w:bCs/>
          <w:color w:val="1F1F1F"/>
          <w:sz w:val="36"/>
          <w:szCs w:val="36"/>
          <w:u w:val="single"/>
          <w:rtl/>
        </w:rPr>
      </w:pPr>
    </w:p>
    <w:p w14:paraId="0DC0A6DF" w14:textId="77777777" w:rsidR="00297D66" w:rsidRPr="00297D66" w:rsidRDefault="00297D66" w:rsidP="00297D66">
      <w:pPr>
        <w:autoSpaceDE w:val="0"/>
        <w:autoSpaceDN w:val="0"/>
        <w:bidi/>
        <w:adjustRightInd w:val="0"/>
        <w:spacing w:after="0" w:line="600" w:lineRule="auto"/>
        <w:jc w:val="lowKashida"/>
        <w:outlineLvl w:val="0"/>
        <w:rPr>
          <w:rFonts w:ascii="Simplified Arabic" w:hAnsi="Simplified Arabic" w:cs="Simplified Arabic"/>
          <w:color w:val="000000"/>
          <w:sz w:val="36"/>
          <w:szCs w:val="36"/>
          <w:u w:val="single"/>
          <w:rtl/>
          <w:lang w:val="en-GB"/>
        </w:rPr>
      </w:pPr>
      <w:bookmarkStart w:id="3" w:name="_Toc224826633"/>
      <w:r w:rsidRPr="00297D66">
        <w:rPr>
          <w:rFonts w:ascii="SimplifiedArabic-Bold" w:hAnsi="Courier New" w:cs="SimplifiedArabic-Bold" w:hint="cs"/>
          <w:b/>
          <w:bCs/>
          <w:color w:val="1F1F1F"/>
          <w:sz w:val="36"/>
          <w:szCs w:val="36"/>
          <w:u w:val="single"/>
          <w:rtl/>
        </w:rPr>
        <w:lastRenderedPageBreak/>
        <w:t>مشكلة</w:t>
      </w:r>
      <w:r w:rsidRPr="00297D66">
        <w:rPr>
          <w:rFonts w:ascii="SimplifiedArabic-Bold" w:hAnsi="Courier New" w:cs="SimplifiedArabic-Bold"/>
          <w:b/>
          <w:bCs/>
          <w:color w:val="1F1F1F"/>
          <w:sz w:val="36"/>
          <w:szCs w:val="36"/>
          <w:u w:val="single"/>
          <w:rtl/>
        </w:rPr>
        <w:t xml:space="preserve"> </w:t>
      </w:r>
      <w:r w:rsidRPr="00297D66">
        <w:rPr>
          <w:rFonts w:ascii="SimplifiedArabic-Bold" w:hAnsi="Courier New" w:cs="SimplifiedArabic-Bold" w:hint="cs"/>
          <w:b/>
          <w:bCs/>
          <w:color w:val="1F1F1F"/>
          <w:sz w:val="36"/>
          <w:szCs w:val="36"/>
          <w:u w:val="single"/>
          <w:rtl/>
        </w:rPr>
        <w:t>البحث</w:t>
      </w:r>
      <w:r w:rsidRPr="00297D66">
        <w:rPr>
          <w:rFonts w:ascii="SimplifiedArabic-Bold" w:hAnsi="Courier New" w:cs="SimplifiedArabic-Bold"/>
          <w:b/>
          <w:bCs/>
          <w:color w:val="1F1F1F"/>
          <w:sz w:val="36"/>
          <w:szCs w:val="36"/>
          <w:u w:val="single"/>
        </w:rPr>
        <w:t>:</w:t>
      </w:r>
      <w:bookmarkEnd w:id="3"/>
    </w:p>
    <w:p w14:paraId="32CE622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000000"/>
          <w:sz w:val="28"/>
          <w:szCs w:val="28"/>
          <w:rtl/>
        </w:rPr>
      </w:pPr>
      <w:r w:rsidRPr="00297D66">
        <w:rPr>
          <w:rFonts w:ascii="SimplifiedArabic" w:hAnsi="Courier New" w:cs="SimplifiedArabic" w:hint="cs"/>
          <w:color w:val="000000"/>
          <w:sz w:val="28"/>
          <w:szCs w:val="28"/>
          <w:rtl/>
        </w:rPr>
        <w:t xml:space="preserve">    </w:t>
      </w:r>
      <w:r w:rsidRPr="00297D66">
        <w:rPr>
          <w:rFonts w:ascii="SimplifiedArabic" w:hAnsi="Courier New" w:cs="SimplifiedArabic"/>
          <w:color w:val="000000"/>
          <w:sz w:val="28"/>
          <w:szCs w:val="28"/>
          <w:rtl/>
        </w:rPr>
        <w:t>تواجه الشركات الهندسية في المملكة العربية السعودية تحديات كبيرة تتعلق بتحقيق الأداء التنظيمي المتميز في ظل التغيرات الاقتصادية والتكنولوجية المستمرة. على الرغم من الأهمية المتزايدة لإدارة الموارد البشرية الاستراتيجية، إلا أن العديد من الشركات لا تزال تواجه صعوبات في ربط ممارسات الموارد البشرية بتحسين الأداء المؤسسي بشكل فعال. تتجلى هذه المشكلة في ضعف التوافق بين الخطط الاستراتيجية للموارد البشرية وأهداف الشركة، مما يؤدي إلى انخفاض الإنتاجية، وزيادة معدل دوران الموظفين، وتأخر تحقيق الأهداف المؤسسية. ومن ثم، تظهر الحاجة الملحة لدراسة أثر ممارسات إدارة الموارد البشرية الاستراتيجية على الأداء التنظيمي لتحديد الأنماط الفاعلة والسياسات المثلى التي تعزز التنافسية والاستدامة للشركات الهندسية.</w:t>
      </w:r>
    </w:p>
    <w:p w14:paraId="32981AEE" w14:textId="77777777" w:rsidR="00297D66" w:rsidRPr="00297D66" w:rsidRDefault="00297D66" w:rsidP="00297D66">
      <w:pPr>
        <w:autoSpaceDE w:val="0"/>
        <w:autoSpaceDN w:val="0"/>
        <w:bidi/>
        <w:adjustRightInd w:val="0"/>
        <w:spacing w:after="0" w:line="240" w:lineRule="auto"/>
        <w:outlineLvl w:val="1"/>
        <w:rPr>
          <w:rFonts w:ascii="SimplifiedArabic-Bold" w:hAnsi="Courier New" w:cs="SimplifiedArabic-Bold"/>
          <w:b/>
          <w:bCs/>
          <w:color w:val="1F1F1F"/>
          <w:sz w:val="28"/>
          <w:szCs w:val="28"/>
          <w:rtl/>
        </w:rPr>
      </w:pPr>
      <w:bookmarkStart w:id="4" w:name="_Toc224826634"/>
      <w:r w:rsidRPr="00297D66">
        <w:rPr>
          <w:rFonts w:ascii="SimplifiedArabic-Bold" w:hAnsi="Courier New" w:cs="SimplifiedArabic-Bold" w:hint="cs"/>
          <w:b/>
          <w:bCs/>
          <w:color w:val="1F1F1F"/>
          <w:sz w:val="30"/>
          <w:szCs w:val="30"/>
          <w:rtl/>
        </w:rPr>
        <w:t>سؤال</w:t>
      </w:r>
      <w:r w:rsidRPr="00297D66">
        <w:rPr>
          <w:rFonts w:ascii="SimplifiedArabic-Bold" w:hAnsi="Courier New" w:cs="SimplifiedArabic-Bold"/>
          <w:b/>
          <w:bCs/>
          <w:color w:val="1F1F1F"/>
          <w:sz w:val="30"/>
          <w:szCs w:val="30"/>
          <w:rtl/>
        </w:rPr>
        <w:t xml:space="preserve"> </w:t>
      </w:r>
      <w:r w:rsidRPr="00297D66">
        <w:rPr>
          <w:rFonts w:ascii="SimplifiedArabic-Bold" w:hAnsi="Courier New" w:cs="SimplifiedArabic-Bold" w:hint="cs"/>
          <w:b/>
          <w:bCs/>
          <w:color w:val="1F1F1F"/>
          <w:sz w:val="30"/>
          <w:szCs w:val="30"/>
          <w:rtl/>
        </w:rPr>
        <w:t>البحث</w:t>
      </w:r>
      <w:r w:rsidRPr="00297D66">
        <w:rPr>
          <w:rFonts w:ascii="SimplifiedArabic-Bold" w:hAnsi="Courier New" w:cs="SimplifiedArabic-Bold"/>
          <w:b/>
          <w:bCs/>
          <w:color w:val="1F1F1F"/>
          <w:sz w:val="30"/>
          <w:szCs w:val="30"/>
          <w:rtl/>
        </w:rPr>
        <w:t xml:space="preserve"> </w:t>
      </w:r>
      <w:r w:rsidRPr="00297D66">
        <w:rPr>
          <w:rFonts w:ascii="SimplifiedArabic-Bold" w:hAnsi="Courier New" w:cs="SimplifiedArabic-Bold" w:hint="cs"/>
          <w:b/>
          <w:bCs/>
          <w:color w:val="1F1F1F"/>
          <w:sz w:val="30"/>
          <w:szCs w:val="30"/>
          <w:rtl/>
        </w:rPr>
        <w:t>الرئيسي</w:t>
      </w:r>
      <w:r w:rsidRPr="00297D66">
        <w:rPr>
          <w:rFonts w:ascii="SimplifiedArabic-Bold" w:hAnsi="Courier New" w:cs="SimplifiedArabic-Bold"/>
          <w:b/>
          <w:bCs/>
          <w:color w:val="1F1F1F"/>
          <w:sz w:val="30"/>
          <w:szCs w:val="30"/>
        </w:rPr>
        <w:t>:</w:t>
      </w:r>
      <w:bookmarkEnd w:id="4"/>
    </w:p>
    <w:p w14:paraId="104DEF1C"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28"/>
          <w:szCs w:val="28"/>
        </w:rPr>
      </w:pPr>
    </w:p>
    <w:p w14:paraId="18DAC61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ما أثر ممارسات إدارة الموارد البشرية الاستراتيجية على الأداء التنظيمي في الشركات الهندسية في المملكة العربية السعودية؟</w:t>
      </w:r>
    </w:p>
    <w:p w14:paraId="1BED12D4" w14:textId="77777777" w:rsidR="00297D66" w:rsidRPr="00297D66" w:rsidRDefault="00297D66" w:rsidP="00297D66">
      <w:pPr>
        <w:autoSpaceDE w:val="0"/>
        <w:autoSpaceDN w:val="0"/>
        <w:bidi/>
        <w:adjustRightInd w:val="0"/>
        <w:spacing w:after="0" w:line="600" w:lineRule="auto"/>
        <w:jc w:val="lowKashida"/>
        <w:outlineLvl w:val="1"/>
        <w:rPr>
          <w:rFonts w:ascii="SimplifiedArabic" w:hAnsi="Courier New" w:cs="SimplifiedArabic"/>
          <w:color w:val="1F1F1F"/>
          <w:sz w:val="28"/>
          <w:szCs w:val="28"/>
          <w:rtl/>
        </w:rPr>
      </w:pPr>
      <w:bookmarkStart w:id="5" w:name="_Toc224826635"/>
      <w:r w:rsidRPr="00297D66">
        <w:rPr>
          <w:rFonts w:ascii="SimplifiedArabic-Bold" w:hAnsi="Courier New" w:cs="SimplifiedArabic-Bold" w:hint="cs"/>
          <w:b/>
          <w:bCs/>
          <w:color w:val="1F1F1F"/>
          <w:sz w:val="32"/>
          <w:szCs w:val="32"/>
          <w:rtl/>
        </w:rPr>
        <w:t>أسئلة</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البحث</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الفرعية</w:t>
      </w:r>
      <w:r w:rsidRPr="00297D66">
        <w:rPr>
          <w:rFonts w:ascii="SimplifiedArabic-Bold" w:hAnsi="Courier New" w:cs="SimplifiedArabic-Bold"/>
          <w:b/>
          <w:bCs/>
          <w:color w:val="1F1F1F"/>
          <w:sz w:val="32"/>
          <w:szCs w:val="32"/>
        </w:rPr>
        <w:t>:</w:t>
      </w:r>
      <w:bookmarkEnd w:id="5"/>
    </w:p>
    <w:p w14:paraId="70F81FA3"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14:ligatures w14:val="none"/>
        </w:rPr>
      </w:pPr>
      <w:r w:rsidRPr="00297D66">
        <w:rPr>
          <w:rFonts w:ascii="SimplifiedArabic" w:eastAsia="Times New Roman" w:hAnsi="Times New Roman" w:cs="SimplifiedArabic"/>
          <w:sz w:val="28"/>
          <w:szCs w:val="28"/>
          <w:rtl/>
          <w14:ligatures w14:val="none"/>
        </w:rPr>
        <w:t xml:space="preserve">ما مستوى تطبيق </w:t>
      </w:r>
      <w:r w:rsidRPr="00297D66">
        <w:rPr>
          <w:rFonts w:ascii="SimplifiedArabic" w:eastAsia="Times New Roman" w:hAnsi="Times New Roman" w:cs="SimplifiedArabic"/>
          <w:color w:val="1F1F1F"/>
          <w:sz w:val="28"/>
          <w:szCs w:val="28"/>
          <w:rtl/>
          <w14:ligatures w14:val="none"/>
        </w:rPr>
        <w:t>ممارسات إدارة الموارد البشرية</w:t>
      </w:r>
      <w:r w:rsidRPr="00297D66">
        <w:rPr>
          <w:rFonts w:ascii="SimplifiedArabic" w:eastAsia="Times New Roman" w:hAnsi="Times New Roman" w:cs="SimplifiedArabic"/>
          <w:sz w:val="28"/>
          <w:szCs w:val="28"/>
          <w:rtl/>
          <w14:ligatures w14:val="none"/>
        </w:rPr>
        <w:t xml:space="preserve"> الاستراتيجية في الشركات الهندسية بالمملكة العربية السعودية؟</w:t>
      </w:r>
    </w:p>
    <w:p w14:paraId="79E29B22"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14:ligatures w14:val="none"/>
        </w:rPr>
      </w:pPr>
      <w:r w:rsidRPr="00297D66">
        <w:rPr>
          <w:rFonts w:ascii="SimplifiedArabic" w:eastAsia="Times New Roman" w:hAnsi="Times New Roman" w:cs="SimplifiedArabic"/>
          <w:sz w:val="28"/>
          <w:szCs w:val="28"/>
          <w:rtl/>
          <w14:ligatures w14:val="none"/>
        </w:rPr>
        <w:t>ما أثر التخطيط الوظيفي والتوظيف على تحسين الأداء التنظيمي في الشركات الهندسية؟</w:t>
      </w:r>
    </w:p>
    <w:p w14:paraId="05666F5A"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14:ligatures w14:val="none"/>
        </w:rPr>
      </w:pPr>
      <w:r w:rsidRPr="00297D66">
        <w:rPr>
          <w:rFonts w:ascii="SimplifiedArabic" w:eastAsia="Times New Roman" w:hAnsi="Times New Roman" w:cs="SimplifiedArabic"/>
          <w:sz w:val="28"/>
          <w:szCs w:val="28"/>
          <w:rtl/>
          <w14:ligatures w14:val="none"/>
        </w:rPr>
        <w:t>ما دور التدريب والتطوير المستمر للموظفين في تعزيز الكفاءة والإنتاجية؟</w:t>
      </w:r>
    </w:p>
    <w:p w14:paraId="45CA76E2"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14:ligatures w14:val="none"/>
        </w:rPr>
      </w:pPr>
      <w:r w:rsidRPr="00297D66">
        <w:rPr>
          <w:rFonts w:ascii="SimplifiedArabic" w:eastAsia="Times New Roman" w:hAnsi="Times New Roman" w:cs="SimplifiedArabic"/>
          <w:sz w:val="28"/>
          <w:szCs w:val="28"/>
          <w:rtl/>
          <w14:ligatures w14:val="none"/>
        </w:rPr>
        <w:t>ما أثر أنظمة تقييم الأداء والتحفيز على الالتزام والانتماء التنظيمي لدى العاملين؟</w:t>
      </w:r>
    </w:p>
    <w:p w14:paraId="033F95DF"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14:ligatures w14:val="none"/>
        </w:rPr>
      </w:pPr>
      <w:r w:rsidRPr="00297D66">
        <w:rPr>
          <w:rFonts w:ascii="SimplifiedArabic" w:eastAsia="Times New Roman" w:hAnsi="Times New Roman" w:cs="SimplifiedArabic"/>
          <w:sz w:val="28"/>
          <w:szCs w:val="28"/>
          <w:rtl/>
          <w14:ligatures w14:val="none"/>
        </w:rPr>
        <w:t>كيف تساهم ممارسات إدارة الموارد البشرية الاستراتيجية في تحسين جودة المشاريع الهندسية وتحقيق الأهداف المؤسسية؟</w:t>
      </w:r>
    </w:p>
    <w:p w14:paraId="3965305A" w14:textId="77777777" w:rsidR="00297D66" w:rsidRPr="00297D66" w:rsidRDefault="00297D66" w:rsidP="00297D66">
      <w:pPr>
        <w:numPr>
          <w:ilvl w:val="0"/>
          <w:numId w:val="11"/>
        </w:numPr>
        <w:autoSpaceDE w:val="0"/>
        <w:autoSpaceDN w:val="0"/>
        <w:bidi/>
        <w:adjustRightInd w:val="0"/>
        <w:spacing w:after="0" w:line="240" w:lineRule="auto"/>
        <w:contextualSpacing/>
        <w:jc w:val="lowKashida"/>
        <w:rPr>
          <w:rFonts w:ascii="SimplifiedArabic" w:eastAsia="Times New Roman" w:hAnsi="Times New Roman" w:cs="SimplifiedArabic"/>
          <w:sz w:val="28"/>
          <w:szCs w:val="28"/>
          <w:rtl/>
          <w14:ligatures w14:val="none"/>
        </w:rPr>
      </w:pPr>
      <w:r w:rsidRPr="00297D66">
        <w:rPr>
          <w:rFonts w:ascii="SimplifiedArabic" w:eastAsia="Times New Roman" w:hAnsi="Times New Roman" w:cs="SimplifiedArabic" w:hint="cs"/>
          <w:sz w:val="28"/>
          <w:szCs w:val="28"/>
          <w:rtl/>
          <w14:ligatures w14:val="none"/>
        </w:rPr>
        <w:t xml:space="preserve"> </w:t>
      </w:r>
      <w:r w:rsidRPr="00297D66">
        <w:rPr>
          <w:rFonts w:ascii="SimplifiedArabic" w:eastAsia="Times New Roman" w:hAnsi="Times New Roman" w:cs="SimplifiedArabic"/>
          <w:sz w:val="28"/>
          <w:szCs w:val="28"/>
          <w:rtl/>
          <w14:ligatures w14:val="none"/>
        </w:rPr>
        <w:t>هل يختلف أثر ممارسات الموارد البشرية الاستراتيجية على الأداء التنظيمي باختلاف خصائص الشركات الهندسية (الحجم، نوع المشروع، عدد الموظفين)؟</w:t>
      </w:r>
    </w:p>
    <w:p w14:paraId="79FCCA34" w14:textId="77777777" w:rsidR="00297D66" w:rsidRPr="00297D66" w:rsidRDefault="00297D66" w:rsidP="00297D66">
      <w:pPr>
        <w:autoSpaceDE w:val="0"/>
        <w:autoSpaceDN w:val="0"/>
        <w:bidi/>
        <w:adjustRightInd w:val="0"/>
        <w:spacing w:after="0" w:line="240" w:lineRule="auto"/>
        <w:rPr>
          <w:rFonts w:ascii="SimplifiedArabic" w:hAnsi="Courier New" w:cs="SimplifiedArabic"/>
          <w:sz w:val="28"/>
          <w:szCs w:val="28"/>
          <w:rtl/>
        </w:rPr>
      </w:pPr>
    </w:p>
    <w:p w14:paraId="71E6381B"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6" w:name="_Toc224826636"/>
      <w:r w:rsidRPr="00297D66">
        <w:rPr>
          <w:rFonts w:ascii="SimplifiedArabic-Bold" w:hAnsi="Courier New" w:cs="SimplifiedArabic-Bold" w:hint="cs"/>
          <w:b/>
          <w:bCs/>
          <w:color w:val="1F1F1F"/>
          <w:sz w:val="36"/>
          <w:szCs w:val="36"/>
          <w:u w:val="single"/>
          <w:rtl/>
        </w:rPr>
        <w:lastRenderedPageBreak/>
        <w:t>أهمية</w:t>
      </w:r>
      <w:r w:rsidRPr="00297D66">
        <w:rPr>
          <w:rFonts w:ascii="SimplifiedArabic-Bold" w:hAnsi="Courier New" w:cs="SimplifiedArabic-Bold"/>
          <w:b/>
          <w:bCs/>
          <w:color w:val="1F1F1F"/>
          <w:sz w:val="36"/>
          <w:szCs w:val="36"/>
          <w:u w:val="single"/>
          <w:rtl/>
        </w:rPr>
        <w:t xml:space="preserve"> </w:t>
      </w:r>
      <w:r w:rsidRPr="00297D66">
        <w:rPr>
          <w:rFonts w:ascii="SimplifiedArabic-Bold" w:hAnsi="Courier New" w:cs="SimplifiedArabic-Bold" w:hint="cs"/>
          <w:b/>
          <w:bCs/>
          <w:color w:val="1F1F1F"/>
          <w:sz w:val="36"/>
          <w:szCs w:val="36"/>
          <w:u w:val="single"/>
          <w:rtl/>
        </w:rPr>
        <w:t>البحث</w:t>
      </w:r>
      <w:r w:rsidRPr="00297D66">
        <w:rPr>
          <w:rFonts w:ascii="SimplifiedArabic-Bold" w:hAnsi="Courier New" w:cs="SimplifiedArabic-Bold"/>
          <w:b/>
          <w:bCs/>
          <w:color w:val="1F1F1F"/>
          <w:sz w:val="36"/>
          <w:szCs w:val="36"/>
          <w:u w:val="single"/>
        </w:rPr>
        <w:t>:</w:t>
      </w:r>
      <w:bookmarkEnd w:id="6"/>
    </w:p>
    <w:p w14:paraId="28035088"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22353A77" w14:textId="77777777" w:rsidR="00297D66" w:rsidRPr="00297D66" w:rsidRDefault="00297D66" w:rsidP="00297D66">
      <w:pPr>
        <w:autoSpaceDE w:val="0"/>
        <w:autoSpaceDN w:val="0"/>
        <w:bidi/>
        <w:adjustRightInd w:val="0"/>
        <w:spacing w:after="0" w:line="600" w:lineRule="auto"/>
        <w:jc w:val="lowKashida"/>
        <w:outlineLvl w:val="1"/>
        <w:rPr>
          <w:rFonts w:ascii="Courier New" w:hAnsi="Courier New" w:cs="SimplifiedArabic"/>
          <w:color w:val="1F1F1F"/>
          <w:sz w:val="28"/>
          <w:szCs w:val="28"/>
          <w:rtl/>
          <w:lang w:val="en-GB"/>
        </w:rPr>
      </w:pPr>
      <w:bookmarkStart w:id="7" w:name="_Toc224826637"/>
      <w:r w:rsidRPr="00297D66">
        <w:rPr>
          <w:rFonts w:ascii="SimplifiedArabic-Bold" w:hAnsi="Courier New" w:cs="SimplifiedArabic-Bold" w:hint="cs"/>
          <w:b/>
          <w:bCs/>
          <w:color w:val="1F1F1F"/>
          <w:sz w:val="32"/>
          <w:szCs w:val="32"/>
          <w:rtl/>
        </w:rPr>
        <w:t>أهمية</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البحث</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النظرية</w:t>
      </w:r>
      <w:r w:rsidRPr="00297D66">
        <w:rPr>
          <w:rFonts w:ascii="SimplifiedArabic-Bold" w:hAnsi="Courier New" w:cs="SimplifiedArabic-Bold"/>
          <w:b/>
          <w:bCs/>
          <w:color w:val="1F1F1F"/>
          <w:sz w:val="32"/>
          <w:szCs w:val="32"/>
        </w:rPr>
        <w:t>:</w:t>
      </w:r>
      <w:bookmarkEnd w:id="7"/>
    </w:p>
    <w:p w14:paraId="6F109E86"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يساهم البحث في توسيع قاعدة المعرفة النظرية المتعلقة بممارسات إدارة الموارد البشرية الاستراتيجية ودورها في تحسين الأداء التنظيمي للشركات الهندسية.</w:t>
      </w:r>
    </w:p>
    <w:p w14:paraId="6B9E7CD4"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يُسهم في إثراء الأدبيات العربية، خاصة في ظل محدودية الدراسات التي تناولت العلاقة بين الموارد البشرية الاستراتيجية والأداء التنظيمي في بيئة الأعمال الهندسية السعودية.</w:t>
      </w:r>
    </w:p>
    <w:p w14:paraId="3A27BE7D"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297D66">
        <w:rPr>
          <w:rFonts w:ascii="SimplifiedArabic" w:eastAsia="Times New Roman" w:hAnsi="Times New Roman" w:cs="SimplifiedArabic"/>
          <w:color w:val="1F1F1F"/>
          <w:sz w:val="28"/>
          <w:szCs w:val="28"/>
          <w:rtl/>
          <w14:ligatures w14:val="none"/>
        </w:rPr>
        <w:t>يتيح البحث فرصة للمقارنة مع الدراسات السابقة المحلية والدولية، مما يساعد على تحديد الفجوات البحثية وتوجيه الاهتمام الأكاديمي نحو مجالات جديدة في إدارة الموارد البشرية</w:t>
      </w:r>
      <w:r w:rsidRPr="00297D66">
        <w:rPr>
          <w:rFonts w:ascii="SimplifiedArabic" w:eastAsia="Times New Roman" w:hAnsi="Times New Roman" w:cs="SimplifiedArabic"/>
          <w:color w:val="1F1F1F"/>
          <w:sz w:val="28"/>
          <w:szCs w:val="28"/>
          <w14:ligatures w14:val="none"/>
        </w:rPr>
        <w:t>.</w:t>
      </w:r>
    </w:p>
    <w:p w14:paraId="21C3836D" w14:textId="77777777" w:rsidR="00297D66" w:rsidRPr="00297D66" w:rsidRDefault="00297D66" w:rsidP="00297D66">
      <w:pPr>
        <w:autoSpaceDE w:val="0"/>
        <w:autoSpaceDN w:val="0"/>
        <w:bidi/>
        <w:adjustRightInd w:val="0"/>
        <w:spacing w:after="0" w:line="600" w:lineRule="auto"/>
        <w:jc w:val="lowKashida"/>
        <w:outlineLvl w:val="1"/>
        <w:rPr>
          <w:rFonts w:ascii="SimplifiedArabic-Bold" w:hAnsi="Courier New" w:cs="SimplifiedArabic-Bold"/>
          <w:b/>
          <w:bCs/>
          <w:color w:val="1F1F1F"/>
          <w:sz w:val="28"/>
          <w:szCs w:val="28"/>
          <w:rtl/>
        </w:rPr>
      </w:pPr>
      <w:bookmarkStart w:id="8" w:name="_Toc224826638"/>
      <w:r w:rsidRPr="00297D66">
        <w:rPr>
          <w:rFonts w:ascii="SimplifiedArabic-Bold" w:hAnsi="Courier New" w:cs="SimplifiedArabic-Bold"/>
          <w:b/>
          <w:bCs/>
          <w:color w:val="1F1F1F"/>
          <w:sz w:val="32"/>
          <w:szCs w:val="32"/>
          <w:rtl/>
        </w:rPr>
        <w:t>أهمية البحث التطبيقية</w:t>
      </w:r>
      <w:r w:rsidRPr="00297D66">
        <w:rPr>
          <w:rFonts w:ascii="SimplifiedArabic-Bold" w:hAnsi="Courier New" w:cs="SimplifiedArabic-Bold"/>
          <w:b/>
          <w:bCs/>
          <w:color w:val="1F1F1F"/>
          <w:sz w:val="28"/>
          <w:szCs w:val="28"/>
        </w:rPr>
        <w:t>:</w:t>
      </w:r>
      <w:bookmarkEnd w:id="8"/>
    </w:p>
    <w:p w14:paraId="6495A10C"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تساعد نتائج البحث الشركات الهندسية في المملكة العربية السعودية على إدراك أهمية تطبيق ممارسات إدارة الموارد البشرية الاستراتيجية كأداة فاعلة لتعزيز الأداء التنظيمي.</w:t>
      </w:r>
    </w:p>
    <w:p w14:paraId="5B5028E4"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يسهم البحث في دعم صناع القرار ومديري الموارد البشرية عند تصميم برامج تطويرية تستهدف تحسين مهارات القيادة والإدارة وتنظيم القوى العاملة.</w:t>
      </w:r>
    </w:p>
    <w:p w14:paraId="2D3DA35F" w14:textId="77777777" w:rsidR="00297D66" w:rsidRPr="00297D66" w:rsidRDefault="00297D66" w:rsidP="00297D66">
      <w:pPr>
        <w:numPr>
          <w:ilvl w:val="0"/>
          <w:numId w:val="1"/>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يُمكّن البحث القيادات الإدارية من تحسين ممارساتهم الإدارية بما ينعكس إيجابًا على الإنتاجية، والالتزام الوظيفي، والاستقرار التنظيمي.</w:t>
      </w:r>
    </w:p>
    <w:p w14:paraId="30B1469C" w14:textId="77777777" w:rsidR="00297D66" w:rsidRPr="00297D66" w:rsidRDefault="00297D66" w:rsidP="00297D66">
      <w:pPr>
        <w:autoSpaceDE w:val="0"/>
        <w:autoSpaceDN w:val="0"/>
        <w:bidi/>
        <w:adjustRightInd w:val="0"/>
        <w:spacing w:after="0" w:line="600" w:lineRule="auto"/>
        <w:jc w:val="lowKashida"/>
        <w:outlineLvl w:val="0"/>
        <w:rPr>
          <w:rFonts w:ascii="SimplifiedArabic-Bold" w:hAnsi="Courier New" w:cs="SimplifiedArabic-Bold"/>
          <w:b/>
          <w:bCs/>
          <w:color w:val="1F1F1F"/>
          <w:sz w:val="36"/>
          <w:szCs w:val="36"/>
          <w:u w:val="single"/>
          <w:rtl/>
        </w:rPr>
      </w:pPr>
    </w:p>
    <w:p w14:paraId="1BEE9302" w14:textId="77777777" w:rsidR="00297D66" w:rsidRPr="00297D66" w:rsidRDefault="00297D66" w:rsidP="00297D66">
      <w:pPr>
        <w:autoSpaceDE w:val="0"/>
        <w:autoSpaceDN w:val="0"/>
        <w:bidi/>
        <w:adjustRightInd w:val="0"/>
        <w:spacing w:after="0" w:line="600" w:lineRule="auto"/>
        <w:jc w:val="lowKashida"/>
        <w:outlineLvl w:val="0"/>
        <w:rPr>
          <w:rFonts w:ascii="SimplifiedArabic-Bold" w:hAnsi="Courier New" w:cs="SimplifiedArabic-Bold"/>
          <w:b/>
          <w:bCs/>
          <w:color w:val="1F1F1F"/>
          <w:sz w:val="36"/>
          <w:szCs w:val="36"/>
          <w:u w:val="single"/>
          <w:rtl/>
        </w:rPr>
      </w:pPr>
    </w:p>
    <w:p w14:paraId="2A8A8061" w14:textId="77777777" w:rsidR="00297D66" w:rsidRPr="00297D66" w:rsidRDefault="00297D66" w:rsidP="00297D66">
      <w:pPr>
        <w:autoSpaceDE w:val="0"/>
        <w:autoSpaceDN w:val="0"/>
        <w:bidi/>
        <w:adjustRightInd w:val="0"/>
        <w:spacing w:after="0" w:line="600" w:lineRule="auto"/>
        <w:jc w:val="lowKashida"/>
        <w:outlineLvl w:val="0"/>
        <w:rPr>
          <w:rFonts w:ascii="SimplifiedArabic" w:hAnsi="Courier New" w:cs="SimplifiedArabic"/>
          <w:color w:val="1F1F1F"/>
          <w:sz w:val="36"/>
          <w:szCs w:val="36"/>
          <w:u w:val="single"/>
          <w:rtl/>
        </w:rPr>
      </w:pPr>
      <w:bookmarkStart w:id="9" w:name="_Toc224826639"/>
      <w:r w:rsidRPr="00297D66">
        <w:rPr>
          <w:rFonts w:ascii="SimplifiedArabic-Bold" w:hAnsi="Courier New" w:cs="SimplifiedArabic-Bold" w:hint="cs"/>
          <w:b/>
          <w:bCs/>
          <w:color w:val="1F1F1F"/>
          <w:sz w:val="36"/>
          <w:szCs w:val="36"/>
          <w:u w:val="single"/>
          <w:rtl/>
        </w:rPr>
        <w:lastRenderedPageBreak/>
        <w:t>أهداف</w:t>
      </w:r>
      <w:r w:rsidRPr="00297D66">
        <w:rPr>
          <w:rFonts w:ascii="SimplifiedArabic-Bold" w:hAnsi="Courier New" w:cs="SimplifiedArabic-Bold"/>
          <w:b/>
          <w:bCs/>
          <w:color w:val="1F1F1F"/>
          <w:sz w:val="36"/>
          <w:szCs w:val="36"/>
          <w:u w:val="single"/>
          <w:rtl/>
        </w:rPr>
        <w:t xml:space="preserve"> </w:t>
      </w:r>
      <w:r w:rsidRPr="00297D66">
        <w:rPr>
          <w:rFonts w:ascii="SimplifiedArabic-Bold" w:hAnsi="Courier New" w:cs="SimplifiedArabic-Bold" w:hint="cs"/>
          <w:b/>
          <w:bCs/>
          <w:color w:val="1F1F1F"/>
          <w:sz w:val="36"/>
          <w:szCs w:val="36"/>
          <w:u w:val="single"/>
          <w:rtl/>
        </w:rPr>
        <w:t>البحث</w:t>
      </w:r>
      <w:r w:rsidRPr="00297D66">
        <w:rPr>
          <w:rFonts w:ascii="SimplifiedArabic" w:hAnsi="Courier New" w:cs="SimplifiedArabic" w:hint="cs"/>
          <w:color w:val="1F1F1F"/>
          <w:sz w:val="36"/>
          <w:szCs w:val="36"/>
          <w:u w:val="single"/>
          <w:rtl/>
        </w:rPr>
        <w:t>:</w:t>
      </w:r>
      <w:bookmarkEnd w:id="9"/>
    </w:p>
    <w:p w14:paraId="1E6BDC1D"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تحديد مستوى تطبيق ممارسات إدارة الموارد البشرية الاستراتيجية في الشركات الهندسية بالمملكة العربية السعودية.</w:t>
      </w:r>
    </w:p>
    <w:p w14:paraId="2AE7F3F7"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قياس أثر التخطيط الوظيفي وأساليب التوظيف على الأداء التنظيمي في هذه الشركات.</w:t>
      </w:r>
    </w:p>
    <w:p w14:paraId="1F8723BF"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استكشاف دور برامج التدريب والتطوير المستمر في تحسين كفاءة وإنتاجية الموظفين.</w:t>
      </w:r>
    </w:p>
    <w:p w14:paraId="1E732823"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تحليل أثر أنظمة تقييم الأداء والتحفيز على الالتزام والانتماء الوظيفي للعاملين.</w:t>
      </w:r>
    </w:p>
    <w:p w14:paraId="42D780B6"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تقييم مساهمة ممارسات الموارد البشرية الاستراتيجية في تحسين جودة المشاريع وتحقيق أهداف الشركة.</w:t>
      </w:r>
    </w:p>
    <w:p w14:paraId="60719038" w14:textId="77777777" w:rsidR="00297D66" w:rsidRPr="00297D66" w:rsidRDefault="00297D66" w:rsidP="00297D66">
      <w:pPr>
        <w:numPr>
          <w:ilvl w:val="0"/>
          <w:numId w:val="12"/>
        </w:numPr>
        <w:autoSpaceDE w:val="0"/>
        <w:autoSpaceDN w:val="0"/>
        <w:bidi/>
        <w:adjustRightInd w:val="0"/>
        <w:spacing w:after="0" w:line="24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دراسة الفروقات المحتملة في أثر ممارسات الموارد البشرية على الأداء التنظيمي وفقًا للخصائص التنظيمية للشركات.</w:t>
      </w:r>
    </w:p>
    <w:p w14:paraId="7FB6A6D5" w14:textId="77777777" w:rsidR="00297D66" w:rsidRPr="00297D66" w:rsidRDefault="00297D66" w:rsidP="00297D66">
      <w:pPr>
        <w:autoSpaceDE w:val="0"/>
        <w:autoSpaceDN w:val="0"/>
        <w:bidi/>
        <w:adjustRightInd w:val="0"/>
        <w:spacing w:after="0" w:line="240" w:lineRule="auto"/>
        <w:ind w:left="720"/>
        <w:contextualSpacing/>
        <w:rPr>
          <w:rFonts w:ascii="SimplifiedArabic" w:eastAsia="Times New Roman" w:hAnsi="Times New Roman" w:cs="SimplifiedArabic"/>
          <w:color w:val="1F1F1F"/>
          <w:sz w:val="28"/>
          <w:szCs w:val="28"/>
          <w:rtl/>
          <w14:ligatures w14:val="none"/>
        </w:rPr>
      </w:pPr>
    </w:p>
    <w:p w14:paraId="1D2B2833"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10" w:name="_Toc224826640"/>
      <w:r w:rsidRPr="00297D66">
        <w:rPr>
          <w:rFonts w:ascii="SimplifiedArabic-Bold" w:hAnsi="Courier New" w:cs="SimplifiedArabic-Bold" w:hint="cs"/>
          <w:b/>
          <w:bCs/>
          <w:color w:val="1F1F1F"/>
          <w:sz w:val="36"/>
          <w:szCs w:val="36"/>
          <w:u w:val="single"/>
          <w:rtl/>
        </w:rPr>
        <w:t>فرضيات</w:t>
      </w:r>
      <w:r w:rsidRPr="00297D66">
        <w:rPr>
          <w:rFonts w:ascii="SimplifiedArabic-Bold" w:hAnsi="Courier New" w:cs="SimplifiedArabic-Bold"/>
          <w:b/>
          <w:bCs/>
          <w:color w:val="1F1F1F"/>
          <w:sz w:val="36"/>
          <w:szCs w:val="36"/>
          <w:u w:val="single"/>
          <w:rtl/>
        </w:rPr>
        <w:t xml:space="preserve"> </w:t>
      </w:r>
      <w:r w:rsidRPr="00297D66">
        <w:rPr>
          <w:rFonts w:ascii="SimplifiedArabic-Bold" w:hAnsi="Courier New" w:cs="SimplifiedArabic-Bold" w:hint="cs"/>
          <w:b/>
          <w:bCs/>
          <w:color w:val="1F1F1F"/>
          <w:sz w:val="36"/>
          <w:szCs w:val="36"/>
          <w:u w:val="single"/>
          <w:rtl/>
        </w:rPr>
        <w:t>البحث</w:t>
      </w:r>
      <w:r w:rsidRPr="00297D66">
        <w:rPr>
          <w:rFonts w:ascii="SimplifiedArabic-Bold" w:hAnsi="Courier New" w:cs="SimplifiedArabic-Bold"/>
          <w:b/>
          <w:bCs/>
          <w:color w:val="1F1F1F"/>
          <w:sz w:val="36"/>
          <w:szCs w:val="36"/>
          <w:u w:val="single"/>
        </w:rPr>
        <w:t>:</w:t>
      </w:r>
      <w:bookmarkEnd w:id="10"/>
    </w:p>
    <w:p w14:paraId="1BB1F8E2"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15A5AD1A"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32"/>
          <w:szCs w:val="32"/>
          <w:rtl/>
        </w:rPr>
      </w:pPr>
      <w:r w:rsidRPr="00297D66">
        <w:rPr>
          <w:rFonts w:ascii="SimplifiedArabic-Bold" w:hAnsi="Courier New" w:cs="SimplifiedArabic-Bold" w:hint="cs"/>
          <w:b/>
          <w:bCs/>
          <w:color w:val="1F1F1F"/>
          <w:sz w:val="32"/>
          <w:szCs w:val="32"/>
          <w:rtl/>
        </w:rPr>
        <w:t>الفرضية</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الرئيسية</w:t>
      </w:r>
      <w:r w:rsidRPr="00297D66">
        <w:rPr>
          <w:rFonts w:ascii="SimplifiedArabic-Bold" w:hAnsi="Courier New" w:cs="SimplifiedArabic-Bold"/>
          <w:b/>
          <w:bCs/>
          <w:color w:val="1F1F1F"/>
          <w:sz w:val="32"/>
          <w:szCs w:val="32"/>
        </w:rPr>
        <w:t>:</w:t>
      </w:r>
    </w:p>
    <w:p w14:paraId="0FEE7E5D" w14:textId="77777777" w:rsidR="00297D66" w:rsidRPr="00297D66" w:rsidRDefault="00297D66" w:rsidP="00297D66">
      <w:pPr>
        <w:autoSpaceDE w:val="0"/>
        <w:autoSpaceDN w:val="0"/>
        <w:bidi/>
        <w:adjustRightInd w:val="0"/>
        <w:spacing w:after="0" w:line="600" w:lineRule="auto"/>
        <w:jc w:val="lowKashida"/>
        <w:rPr>
          <w:rFonts w:ascii="SimplifiedArabic-Bold" w:hAnsi="Courier New" w:cs="SimplifiedArabic-Bold"/>
          <w:b/>
          <w:bCs/>
          <w:color w:val="1F1F1F"/>
          <w:sz w:val="28"/>
          <w:szCs w:val="28"/>
          <w:rtl/>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توجد علاقة ذات دلالة إحصائية بين ممارسات إدارة الموارد البشرية الاستراتيجية والأداء التنظيمي في الشركات الهندسية بالمملكة العربية السعودية.</w:t>
      </w:r>
    </w:p>
    <w:p w14:paraId="4B7266F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32"/>
          <w:szCs w:val="32"/>
          <w:rtl/>
        </w:rPr>
      </w:pPr>
      <w:r w:rsidRPr="00297D66">
        <w:rPr>
          <w:rFonts w:ascii="SimplifiedArabic-Bold" w:hAnsi="Courier New" w:cs="SimplifiedArabic-Bold" w:hint="cs"/>
          <w:b/>
          <w:bCs/>
          <w:color w:val="1F1F1F"/>
          <w:sz w:val="32"/>
          <w:szCs w:val="32"/>
          <w:rtl/>
        </w:rPr>
        <w:t>الفرضيات</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الفرعية</w:t>
      </w:r>
      <w:r w:rsidRPr="00297D66">
        <w:rPr>
          <w:rFonts w:ascii="SimplifiedArabic-Bold" w:hAnsi="Courier New" w:cs="SimplifiedArabic-Bold"/>
          <w:b/>
          <w:bCs/>
          <w:color w:val="1F1F1F"/>
          <w:sz w:val="32"/>
          <w:szCs w:val="32"/>
        </w:rPr>
        <w:t>:</w:t>
      </w:r>
    </w:p>
    <w:p w14:paraId="7EE3E504" w14:textId="77777777" w:rsidR="00297D66" w:rsidRPr="00297D66" w:rsidRDefault="00297D66" w:rsidP="00297D66">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توجد علاقة ذات دلالة إحصائية بين التخطيط الوظيفي وأساليب التوظيف ومستوى الأداء التنظيمي.</w:t>
      </w:r>
    </w:p>
    <w:p w14:paraId="07D5D6DF" w14:textId="77777777" w:rsidR="00297D66" w:rsidRPr="00297D66" w:rsidRDefault="00297D66" w:rsidP="00297D66">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توجد علاقة ذات دلالة إحصائية بين برامج التدريب والتطوير المستمر وكفاءة الموظفين وإنتاجيتهم.</w:t>
      </w:r>
    </w:p>
    <w:p w14:paraId="31A0EBC6" w14:textId="77777777" w:rsidR="00297D66" w:rsidRPr="00297D66" w:rsidRDefault="00297D66" w:rsidP="00297D66">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توجد علاقة ذات دلالة إحصائية بين أنظمة تقييم الأداء والتحفيز ومستوى الالتزام والانتماء التنظيمي لدى الموظفين.</w:t>
      </w:r>
    </w:p>
    <w:p w14:paraId="0581DEB4" w14:textId="77777777" w:rsidR="00297D66" w:rsidRPr="00297D66" w:rsidRDefault="00297D66" w:rsidP="00297D66">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lastRenderedPageBreak/>
        <w:t>توجد علاقة ذات دلالة إحصائية بين ممارسات إدارة الموارد البشرية الاستراتيجية وجودة المشاريع الهندسية وتحقيق أهداف الشركة.</w:t>
      </w:r>
    </w:p>
    <w:p w14:paraId="624955B6" w14:textId="77777777" w:rsidR="00297D66" w:rsidRPr="00297D66" w:rsidRDefault="00297D66" w:rsidP="00297D66">
      <w:pPr>
        <w:numPr>
          <w:ilvl w:val="0"/>
          <w:numId w:val="15"/>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rtl/>
          <w14:ligatures w14:val="none"/>
        </w:rPr>
      </w:pPr>
      <w:r w:rsidRPr="00297D66">
        <w:rPr>
          <w:rFonts w:ascii="SimplifiedArabic" w:eastAsia="Times New Roman" w:hAnsi="Times New Roman" w:cs="SimplifiedArabic"/>
          <w:color w:val="1F1F1F"/>
          <w:sz w:val="28"/>
          <w:szCs w:val="28"/>
          <w:rtl/>
          <w14:ligatures w14:val="none"/>
        </w:rPr>
        <w:t>توجد فروق ذات دلالة إحصائية في أثر ممارسات إدارة الموارد البشرية الاستراتيجية على الأداء التنظيمي تُعزى لاختلاف خصائص الشركات الهندسية (حجم</w:t>
      </w:r>
      <w:r w:rsidRPr="00297D66">
        <w:rPr>
          <w:rFonts w:ascii="SimplifiedArabic" w:eastAsia="Times New Roman" w:hAnsi="Times New Roman" w:cs="SimplifiedArabic" w:hint="cs"/>
          <w:color w:val="1F1F1F"/>
          <w:sz w:val="28"/>
          <w:szCs w:val="28"/>
          <w:rtl/>
          <w14:ligatures w14:val="none"/>
        </w:rPr>
        <w:t xml:space="preserve"> الشركة</w:t>
      </w:r>
      <w:r w:rsidRPr="00297D66">
        <w:rPr>
          <w:rFonts w:ascii="SimplifiedArabic" w:eastAsia="Times New Roman" w:hAnsi="Times New Roman" w:cs="SimplifiedArabic"/>
          <w:color w:val="1F1F1F"/>
          <w:sz w:val="28"/>
          <w:szCs w:val="28"/>
          <w:rtl/>
          <w14:ligatures w14:val="none"/>
        </w:rPr>
        <w:t>، نوع المشروع، عدد الموظفين</w:t>
      </w:r>
      <w:r w:rsidRPr="00297D66">
        <w:rPr>
          <w:rFonts w:ascii="SimplifiedArabic" w:eastAsia="Times New Roman" w:hAnsi="Times New Roman" w:cs="SimplifiedArabic" w:hint="cs"/>
          <w:color w:val="1F1F1F"/>
          <w:sz w:val="28"/>
          <w:szCs w:val="28"/>
          <w:rtl/>
          <w14:ligatures w14:val="none"/>
        </w:rPr>
        <w:t>، مجال العملاء الاساسي</w:t>
      </w:r>
      <w:r w:rsidRPr="00297D66">
        <w:rPr>
          <w:rFonts w:ascii="SimplifiedArabic" w:eastAsia="Times New Roman" w:hAnsi="Times New Roman" w:cs="SimplifiedArabic"/>
          <w:color w:val="1F1F1F"/>
          <w:sz w:val="28"/>
          <w:szCs w:val="28"/>
          <w:rtl/>
          <w14:ligatures w14:val="none"/>
        </w:rPr>
        <w:t>).</w:t>
      </w:r>
    </w:p>
    <w:p w14:paraId="326A1B68"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6"/>
          <w:szCs w:val="36"/>
          <w:u w:val="single"/>
          <w:rtl/>
        </w:rPr>
      </w:pPr>
      <w:bookmarkStart w:id="11" w:name="_Toc224826641"/>
      <w:r w:rsidRPr="00297D66">
        <w:rPr>
          <w:rFonts w:ascii="SimplifiedArabic-Bold" w:hAnsi="Courier New" w:cs="SimplifiedArabic-Bold" w:hint="cs"/>
          <w:b/>
          <w:bCs/>
          <w:color w:val="1F1F1F"/>
          <w:sz w:val="36"/>
          <w:szCs w:val="36"/>
          <w:u w:val="single"/>
          <w:rtl/>
        </w:rPr>
        <w:t>نموذج</w:t>
      </w:r>
      <w:r w:rsidRPr="00297D66">
        <w:rPr>
          <w:rFonts w:ascii="SimplifiedArabic-Bold" w:hAnsi="Courier New" w:cs="SimplifiedArabic-Bold"/>
          <w:b/>
          <w:bCs/>
          <w:color w:val="1F1F1F"/>
          <w:sz w:val="36"/>
          <w:szCs w:val="36"/>
          <w:u w:val="single"/>
          <w:rtl/>
        </w:rPr>
        <w:t xml:space="preserve"> </w:t>
      </w:r>
      <w:r w:rsidRPr="00297D66">
        <w:rPr>
          <w:rFonts w:ascii="SimplifiedArabic-Bold" w:hAnsi="Courier New" w:cs="SimplifiedArabic-Bold" w:hint="cs"/>
          <w:b/>
          <w:bCs/>
          <w:color w:val="1F1F1F"/>
          <w:sz w:val="36"/>
          <w:szCs w:val="36"/>
          <w:u w:val="single"/>
          <w:rtl/>
        </w:rPr>
        <w:t>البحث</w:t>
      </w:r>
      <w:r w:rsidRPr="00297D66">
        <w:rPr>
          <w:rFonts w:ascii="SimplifiedArabic-Bold" w:hAnsi="Courier New" w:cs="SimplifiedArabic-Bold"/>
          <w:b/>
          <w:bCs/>
          <w:color w:val="1F1F1F"/>
          <w:sz w:val="36"/>
          <w:szCs w:val="36"/>
          <w:u w:val="single"/>
        </w:rPr>
        <w:t>:</w:t>
      </w:r>
      <w:bookmarkEnd w:id="11"/>
    </w:p>
    <w:p w14:paraId="2BAA3B06"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3CA731A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Bold" w:hAnsi="Courier New" w:cs="SimplifiedArabic-Bold" w:hint="cs"/>
          <w:b/>
          <w:bCs/>
          <w:color w:val="1F1F1F"/>
          <w:sz w:val="32"/>
          <w:szCs w:val="32"/>
          <w:rtl/>
        </w:rPr>
        <w:t>المتغير</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المستقل</w:t>
      </w:r>
      <w:r w:rsidRPr="00297D66">
        <w:rPr>
          <w:rFonts w:ascii="SimplifiedArabic-Bold" w:hAnsi="Courier New" w:cs="SimplifiedArabic-Bold"/>
          <w:b/>
          <w:bCs/>
          <w:color w:val="1F1F1F"/>
          <w:sz w:val="28"/>
          <w:szCs w:val="28"/>
        </w:rPr>
        <w:t>:</w:t>
      </w:r>
      <w:r w:rsidRPr="00297D66">
        <w:rPr>
          <w:rFonts w:ascii="Courier New" w:hAnsi="Courier New" w:cs="Courier New"/>
          <w:color w:val="000000"/>
          <w:sz w:val="20"/>
          <w:szCs w:val="20"/>
          <w:rtl/>
        </w:rPr>
        <w:t xml:space="preserve"> </w:t>
      </w:r>
      <w:r w:rsidRPr="00297D66">
        <w:rPr>
          <w:rFonts w:ascii="SimplifiedArabic" w:hAnsi="Courier New" w:cs="SimplifiedArabic"/>
          <w:color w:val="1F1F1F"/>
          <w:sz w:val="28"/>
          <w:szCs w:val="28"/>
          <w:rtl/>
        </w:rPr>
        <w:t>ممارسات إدارة الموارد البشرية الاستراتيجية</w:t>
      </w:r>
      <w:r w:rsidRPr="00297D66">
        <w:rPr>
          <w:rFonts w:ascii="SimplifiedArabic" w:hAnsi="Courier New" w:cs="SimplifiedArabic" w:hint="cs"/>
          <w:color w:val="1F1F1F"/>
          <w:sz w:val="28"/>
          <w:szCs w:val="28"/>
          <w:rtl/>
        </w:rPr>
        <w:t>.</w:t>
      </w:r>
    </w:p>
    <w:p w14:paraId="75283FF5" w14:textId="77777777" w:rsidR="00297D66" w:rsidRPr="00297D66" w:rsidRDefault="00297D66" w:rsidP="00297D66">
      <w:pPr>
        <w:autoSpaceDE w:val="0"/>
        <w:autoSpaceDN w:val="0"/>
        <w:bidi/>
        <w:adjustRightInd w:val="0"/>
        <w:spacing w:after="0" w:line="600" w:lineRule="auto"/>
        <w:rPr>
          <w:rFonts w:ascii="SimplifiedArabic" w:hAnsi="Courier New" w:cs="SimplifiedArabic"/>
          <w:color w:val="1F1F1F"/>
          <w:sz w:val="28"/>
          <w:szCs w:val="28"/>
          <w:rtl/>
        </w:rPr>
      </w:pPr>
      <w:r w:rsidRPr="00297D66">
        <w:rPr>
          <w:rFonts w:ascii="SimplifiedArabic-Bold" w:hAnsi="Courier New" w:cs="SimplifiedArabic-Bold"/>
          <w:b/>
          <w:bCs/>
          <w:color w:val="1F1F1F"/>
          <w:sz w:val="32"/>
          <w:szCs w:val="32"/>
          <w:rtl/>
        </w:rPr>
        <w:t>المتغير التابع</w:t>
      </w:r>
      <w:r w:rsidRPr="00297D66">
        <w:rPr>
          <w:rFonts w:ascii="SimplifiedArabic" w:hAnsi="Courier New" w:cs="SimplifiedArabic"/>
          <w:color w:val="1F1F1F"/>
          <w:sz w:val="32"/>
          <w:szCs w:val="32"/>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الأداء التنظيمي، ويتمثل في الأبعاد التالية</w:t>
      </w:r>
      <w:r w:rsidRPr="00297D66">
        <w:rPr>
          <w:rFonts w:ascii="SimplifiedArabic" w:hAnsi="Courier New" w:cs="SimplifiedArabic"/>
          <w:color w:val="1F1F1F"/>
          <w:sz w:val="28"/>
          <w:szCs w:val="28"/>
        </w:rPr>
        <w:t>:</w:t>
      </w:r>
    </w:p>
    <w:p w14:paraId="242AA2FA" w14:textId="77777777" w:rsidR="00297D66" w:rsidRPr="00297D66" w:rsidRDefault="00297D66" w:rsidP="00297D66">
      <w:pPr>
        <w:autoSpaceDE w:val="0"/>
        <w:autoSpaceDN w:val="0"/>
        <w:bidi/>
        <w:adjustRightInd w:val="0"/>
        <w:spacing w:after="0" w:line="600" w:lineRule="auto"/>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جودة تنفيذ المشاريع الهندسية</w:t>
      </w:r>
      <w:r w:rsidRPr="00297D66">
        <w:rPr>
          <w:rFonts w:ascii="SimplifiedArabic" w:hAnsi="Courier New" w:cs="SimplifiedArabic"/>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كفاءة وإنتاجية الموظفين</w:t>
      </w:r>
      <w:r w:rsidRPr="00297D66">
        <w:rPr>
          <w:rFonts w:ascii="SimplifiedArabic" w:hAnsi="Courier New" w:cs="SimplifiedArabic"/>
          <w:color w:val="1F1F1F"/>
          <w:sz w:val="28"/>
          <w:szCs w:val="28"/>
        </w:rPr>
        <w:t>.</w:t>
      </w:r>
    </w:p>
    <w:p w14:paraId="12BB05CC" w14:textId="77777777" w:rsidR="00297D66" w:rsidRPr="00297D66" w:rsidRDefault="00297D66" w:rsidP="00297D66">
      <w:pPr>
        <w:autoSpaceDE w:val="0"/>
        <w:autoSpaceDN w:val="0"/>
        <w:bidi/>
        <w:adjustRightInd w:val="0"/>
        <w:spacing w:after="0" w:line="600" w:lineRule="auto"/>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مستوى الالتزام والانتماء التنظيمي</w:t>
      </w:r>
      <w:r w:rsidRPr="00297D66">
        <w:rPr>
          <w:rFonts w:ascii="SimplifiedArabic" w:hAnsi="Courier New" w:cs="SimplifiedArabic"/>
          <w:color w:val="1F1F1F"/>
          <w:sz w:val="28"/>
          <w:szCs w:val="28"/>
        </w:rPr>
        <w:t>.</w:t>
      </w:r>
      <w:r w:rsidRPr="00297D66">
        <w:rPr>
          <w:rFonts w:ascii="SimplifiedArabic" w:hAnsi="Courier New" w:cs="SimplifiedArabic" w:hint="cs"/>
          <w:color w:val="1F1F1F"/>
          <w:sz w:val="28"/>
          <w:szCs w:val="28"/>
          <w:rtl/>
          <w:lang w:bidi="ar-EG"/>
        </w:rPr>
        <w:t xml:space="preserve">  </w:t>
      </w:r>
      <w:r w:rsidRPr="00297D66">
        <w:rPr>
          <w:rFonts w:ascii="SimplifiedArabic" w:hAnsi="Courier New" w:cs="SimplifiedArabic"/>
          <w:color w:val="1F1F1F"/>
          <w:sz w:val="28"/>
          <w:szCs w:val="28"/>
          <w:rtl/>
        </w:rPr>
        <w:t>تحقيق أهداف الشركة الاستراتيجية.</w:t>
      </w:r>
    </w:p>
    <w:p w14:paraId="2BDA26B2"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noProof/>
          <w:color w:val="1F1F1F"/>
          <w:sz w:val="28"/>
          <w:szCs w:val="28"/>
        </w:rPr>
      </w:pPr>
      <w:r w:rsidRPr="00297D66">
        <w:rPr>
          <w:rFonts w:ascii="SimplifiedArabic" w:hAnsi="Courier New" w:cs="SimplifiedArabic" w:hint="cs"/>
          <w:noProof/>
          <w:color w:val="1F1F1F"/>
          <w:sz w:val="28"/>
          <w:szCs w:val="28"/>
        </w:rPr>
        <w:drawing>
          <wp:inline distT="0" distB="0" distL="0" distR="0" wp14:anchorId="1DEB91EB" wp14:editId="7149B032">
            <wp:extent cx="5486400" cy="2400300"/>
            <wp:effectExtent l="0" t="0" r="0" b="19050"/>
            <wp:docPr id="145986015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B0B4E5B" w14:textId="77777777" w:rsidR="00297D66" w:rsidRPr="00297D66" w:rsidRDefault="00297D66" w:rsidP="00297D66">
      <w:pPr>
        <w:autoSpaceDE w:val="0"/>
        <w:autoSpaceDN w:val="0"/>
        <w:bidi/>
        <w:adjustRightInd w:val="0"/>
        <w:spacing w:after="0" w:line="240" w:lineRule="auto"/>
        <w:jc w:val="center"/>
        <w:rPr>
          <w:rFonts w:ascii="SimplifiedArabic-Bold" w:hAnsi="Courier New" w:cs="SimplifiedArabic-Bold"/>
          <w:b/>
          <w:bCs/>
          <w:color w:val="222222"/>
          <w:sz w:val="24"/>
          <w:szCs w:val="24"/>
          <w:rtl/>
        </w:rPr>
      </w:pPr>
      <w:r w:rsidRPr="00297D66">
        <w:rPr>
          <w:rFonts w:ascii="SimplifiedArabic-Bold" w:hAnsi="Courier New" w:cs="SimplifiedArabic-Bold" w:hint="cs"/>
          <w:b/>
          <w:bCs/>
          <w:color w:val="222222"/>
          <w:sz w:val="24"/>
          <w:szCs w:val="24"/>
          <w:rtl/>
        </w:rPr>
        <w:t>شكل</w:t>
      </w:r>
      <w:r w:rsidRPr="00297D66">
        <w:rPr>
          <w:rFonts w:ascii="SimplifiedArabic-Bold" w:hAnsi="Courier New" w:cs="SimplifiedArabic-Bold"/>
          <w:b/>
          <w:bCs/>
          <w:color w:val="222222"/>
          <w:sz w:val="24"/>
          <w:szCs w:val="24"/>
          <w:rtl/>
        </w:rPr>
        <w:t xml:space="preserve"> </w:t>
      </w:r>
      <w:r w:rsidRPr="00297D66">
        <w:rPr>
          <w:rFonts w:ascii="SimplifiedArabic-Bold" w:hAnsi="Courier New" w:cs="SimplifiedArabic-Bold" w:hint="cs"/>
          <w:b/>
          <w:bCs/>
          <w:color w:val="222222"/>
          <w:sz w:val="24"/>
          <w:szCs w:val="24"/>
          <w:rtl/>
        </w:rPr>
        <w:t>رقم</w:t>
      </w:r>
      <w:r w:rsidRPr="00297D66">
        <w:rPr>
          <w:rFonts w:ascii="SimplifiedArabic-Bold" w:hAnsi="Courier New" w:cs="SimplifiedArabic-Bold"/>
          <w:b/>
          <w:bCs/>
          <w:color w:val="222222"/>
          <w:sz w:val="24"/>
          <w:szCs w:val="24"/>
          <w:rtl/>
        </w:rPr>
        <w:t xml:space="preserve"> </w:t>
      </w:r>
      <w:r w:rsidRPr="00297D66">
        <w:rPr>
          <w:rFonts w:ascii="SimplifiedArabic-Bold" w:hAnsi="Courier New" w:cs="SimplifiedArabic-Bold" w:hint="cs"/>
          <w:b/>
          <w:bCs/>
          <w:color w:val="222222"/>
          <w:sz w:val="24"/>
          <w:szCs w:val="24"/>
          <w:rtl/>
        </w:rPr>
        <w:t>(1-1)</w:t>
      </w:r>
      <w:r w:rsidRPr="00297D66">
        <w:rPr>
          <w:rFonts w:ascii="SimplifiedArabic-Bold" w:hAnsi="Courier New" w:cs="SimplifiedArabic-Bold"/>
          <w:b/>
          <w:bCs/>
          <w:color w:val="222222"/>
          <w:sz w:val="24"/>
          <w:szCs w:val="24"/>
          <w:rtl/>
        </w:rPr>
        <w:t xml:space="preserve"> </w:t>
      </w:r>
      <w:r w:rsidRPr="00297D66">
        <w:rPr>
          <w:rFonts w:ascii="SimplifiedArabic-Bold" w:hAnsi="Courier New" w:cs="SimplifiedArabic-Bold" w:hint="cs"/>
          <w:b/>
          <w:bCs/>
          <w:color w:val="222222"/>
          <w:sz w:val="24"/>
          <w:szCs w:val="24"/>
          <w:rtl/>
        </w:rPr>
        <w:t>نموذج البحث</w:t>
      </w:r>
    </w:p>
    <w:p w14:paraId="2BC9F524"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tl/>
        </w:rPr>
      </w:pPr>
    </w:p>
    <w:p w14:paraId="7DCE381F"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tl/>
        </w:rPr>
      </w:pPr>
    </w:p>
    <w:p w14:paraId="6B4BF97E"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tl/>
        </w:rPr>
      </w:pPr>
    </w:p>
    <w:p w14:paraId="5CAF36E8"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6"/>
          <w:szCs w:val="36"/>
          <w:rtl/>
        </w:rPr>
      </w:pPr>
      <w:bookmarkStart w:id="12" w:name="_Toc224826642"/>
      <w:r w:rsidRPr="00297D66">
        <w:rPr>
          <w:rFonts w:ascii="SimplifiedArabic-Bold" w:hAnsi="Courier New" w:cs="SimplifiedArabic-Bold" w:hint="cs"/>
          <w:b/>
          <w:bCs/>
          <w:color w:val="1F1F1F"/>
          <w:sz w:val="36"/>
          <w:szCs w:val="36"/>
          <w:rtl/>
        </w:rPr>
        <w:lastRenderedPageBreak/>
        <w:t>حدود</w:t>
      </w:r>
      <w:r w:rsidRPr="00297D66">
        <w:rPr>
          <w:rFonts w:ascii="SimplifiedArabic-Bold" w:hAnsi="Courier New" w:cs="SimplifiedArabic-Bold"/>
          <w:b/>
          <w:bCs/>
          <w:color w:val="1F1F1F"/>
          <w:sz w:val="36"/>
          <w:szCs w:val="36"/>
          <w:rtl/>
        </w:rPr>
        <w:t xml:space="preserve"> </w:t>
      </w:r>
      <w:r w:rsidRPr="00297D66">
        <w:rPr>
          <w:rFonts w:ascii="SimplifiedArabic-Bold" w:hAnsi="Courier New" w:cs="SimplifiedArabic-Bold" w:hint="cs"/>
          <w:b/>
          <w:bCs/>
          <w:color w:val="1F1F1F"/>
          <w:sz w:val="36"/>
          <w:szCs w:val="36"/>
          <w:rtl/>
        </w:rPr>
        <w:t>البحث</w:t>
      </w:r>
      <w:r w:rsidRPr="00297D66">
        <w:rPr>
          <w:rFonts w:ascii="SimplifiedArabic-Bold" w:hAnsi="Courier New" w:cs="SimplifiedArabic-Bold"/>
          <w:b/>
          <w:bCs/>
          <w:color w:val="1F1F1F"/>
          <w:sz w:val="36"/>
          <w:szCs w:val="36"/>
        </w:rPr>
        <w:t>:</w:t>
      </w:r>
      <w:bookmarkEnd w:id="12"/>
    </w:p>
    <w:p w14:paraId="48DA3DEB"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77863FD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Bold" w:hAnsi="Courier New" w:cs="SimplifiedArabic-Bold"/>
          <w:b/>
          <w:bCs/>
          <w:color w:val="1F1F1F"/>
          <w:sz w:val="28"/>
          <w:szCs w:val="28"/>
        </w:rPr>
        <w:t xml:space="preserve">- </w:t>
      </w:r>
      <w:r w:rsidRPr="00297D66">
        <w:rPr>
          <w:rFonts w:ascii="SimplifiedArabic-Bold" w:hAnsi="Courier New" w:cs="SimplifiedArabic-Bold" w:hint="cs"/>
          <w:b/>
          <w:bCs/>
          <w:color w:val="1F1F1F"/>
          <w:sz w:val="32"/>
          <w:szCs w:val="32"/>
          <w:rtl/>
        </w:rPr>
        <w:t>المجال</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المكاني</w:t>
      </w:r>
      <w:r w:rsidRPr="00297D66">
        <w:rPr>
          <w:rFonts w:ascii="SimplifiedArabic-Bold" w:hAnsi="Courier New" w:cs="SimplifiedArabic-Bold"/>
          <w:b/>
          <w:bCs/>
          <w:color w:val="1F1F1F"/>
          <w:sz w:val="28"/>
          <w:szCs w:val="28"/>
          <w:rtl/>
        </w:rPr>
        <w:t xml:space="preserve">: </w:t>
      </w:r>
      <w:r w:rsidRPr="00297D66">
        <w:rPr>
          <w:rFonts w:ascii="SimplifiedArabic" w:hAnsi="Courier New" w:cs="SimplifiedArabic"/>
          <w:color w:val="1F1F1F"/>
          <w:sz w:val="28"/>
          <w:szCs w:val="28"/>
          <w:rtl/>
        </w:rPr>
        <w:t>ستُطبق هذه الدراسة على الشركات الهندسية العاملة في المملكة العربية السعودية</w:t>
      </w:r>
      <w:r w:rsidRPr="00297D66">
        <w:rPr>
          <w:rFonts w:ascii="SimplifiedArabic" w:hAnsi="Courier New" w:cs="SimplifiedArabic"/>
          <w:color w:val="1F1F1F"/>
          <w:sz w:val="28"/>
          <w:szCs w:val="28"/>
        </w:rPr>
        <w:t>.</w:t>
      </w:r>
    </w:p>
    <w:p w14:paraId="744B919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Bold" w:hAnsi="Courier New" w:cs="SimplifiedArabic-Bold" w:hint="cs"/>
          <w:b/>
          <w:bCs/>
          <w:color w:val="1F1F1F"/>
          <w:sz w:val="28"/>
          <w:szCs w:val="28"/>
          <w:rtl/>
        </w:rPr>
        <w:t xml:space="preserve">- </w:t>
      </w:r>
      <w:r w:rsidRPr="00297D66">
        <w:rPr>
          <w:rFonts w:ascii="SimplifiedArabic-Bold" w:hAnsi="Courier New" w:cs="SimplifiedArabic-Bold"/>
          <w:b/>
          <w:bCs/>
          <w:color w:val="1F1F1F"/>
          <w:sz w:val="32"/>
          <w:szCs w:val="32"/>
          <w:rtl/>
        </w:rPr>
        <w:t>المجال البشري</w:t>
      </w:r>
      <w:r w:rsidRPr="00297D66">
        <w:rPr>
          <w:rFonts w:ascii="SimplifiedArabic-Bold" w:hAnsi="Courier New" w:cs="SimplifiedArabic-Bold"/>
          <w:b/>
          <w:bCs/>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ستُجرى الدراسة على عينة عشوائية من القيادات الإدارية والعاملين في المستويات الإدارية المختلفة داخل هذه الشركات.</w:t>
      </w:r>
      <w:r w:rsidRPr="00297D66">
        <w:rPr>
          <w:rFonts w:ascii="SimplifiedArabic" w:hAnsi="Courier New" w:cs="SimplifiedArabic"/>
          <w:color w:val="1F1F1F"/>
          <w:sz w:val="28"/>
          <w:szCs w:val="28"/>
        </w:rPr>
        <w:t>.</w:t>
      </w:r>
    </w:p>
    <w:p w14:paraId="121D252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Bold" w:hAnsi="Courier New" w:cs="SimplifiedArabic-Bold" w:hint="cs"/>
          <w:b/>
          <w:bCs/>
          <w:color w:val="1F1F1F"/>
          <w:sz w:val="28"/>
          <w:szCs w:val="28"/>
          <w:rtl/>
        </w:rPr>
        <w:t xml:space="preserve">- </w:t>
      </w:r>
      <w:r w:rsidRPr="00297D66">
        <w:rPr>
          <w:rFonts w:ascii="SimplifiedArabic-Bold" w:hAnsi="Courier New" w:cs="SimplifiedArabic-Bold"/>
          <w:b/>
          <w:bCs/>
          <w:color w:val="1F1F1F"/>
          <w:sz w:val="32"/>
          <w:szCs w:val="32"/>
          <w:rtl/>
        </w:rPr>
        <w:t>المجال الزمني</w:t>
      </w:r>
      <w:r w:rsidRPr="00297D66">
        <w:rPr>
          <w:rFonts w:ascii="SimplifiedArabic" w:hAnsi="Courier New" w:cs="SimplifiedArabic"/>
          <w:color w:val="1F1F1F"/>
          <w:sz w:val="32"/>
          <w:szCs w:val="32"/>
        </w:rPr>
        <w:t>:</w:t>
      </w:r>
      <w:r w:rsidRPr="00297D66">
        <w:rPr>
          <w:rFonts w:ascii="SimplifiedArabic" w:hAnsi="Courier New" w:cs="SimplifiedArabic" w:hint="cs"/>
          <w:color w:val="1F1F1F"/>
          <w:sz w:val="28"/>
          <w:szCs w:val="28"/>
          <w:rtl/>
        </w:rPr>
        <w:t xml:space="preserve"> سوف يتم اجراء</w:t>
      </w:r>
      <w:r w:rsidRPr="00297D66">
        <w:rPr>
          <w:rFonts w:ascii="SimplifiedArabic" w:hAnsi="Courier New" w:cs="SimplifiedArabic"/>
          <w:color w:val="1F1F1F"/>
          <w:sz w:val="28"/>
          <w:szCs w:val="28"/>
          <w:rtl/>
        </w:rPr>
        <w:t xml:space="preserve"> هذه الدراسة خلال الفترة من </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Pr>
        <w:t>.</w:t>
      </w:r>
    </w:p>
    <w:p w14:paraId="0326EDD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Bold" w:hAnsi="Courier New" w:cs="SimplifiedArabic-Bold" w:hint="cs"/>
          <w:b/>
          <w:bCs/>
          <w:color w:val="1F1F1F"/>
          <w:sz w:val="28"/>
          <w:szCs w:val="28"/>
          <w:rtl/>
        </w:rPr>
        <w:t xml:space="preserve">- </w:t>
      </w:r>
      <w:r w:rsidRPr="00297D66">
        <w:rPr>
          <w:rFonts w:ascii="SimplifiedArabic-Bold" w:hAnsi="Courier New" w:cs="SimplifiedArabic-Bold"/>
          <w:b/>
          <w:bCs/>
          <w:color w:val="1F1F1F"/>
          <w:sz w:val="32"/>
          <w:szCs w:val="32"/>
          <w:rtl/>
        </w:rPr>
        <w:t>المجال الموضوعي</w:t>
      </w:r>
      <w:r w:rsidRPr="00297D66">
        <w:rPr>
          <w:rFonts w:ascii="SimplifiedArabic-Bold" w:hAnsi="Courier New" w:cs="SimplifiedArabic-Bold"/>
          <w:b/>
          <w:bCs/>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اقتصرت الدراسة على بحث أثر ممارسات إدارة الموارد البشرية الاستراتيجية على الأداء التنظيمي في الشركات الهندسية، دون التطرق إلى متغيرات تنظيمية أو إدارية أخرى.</w:t>
      </w:r>
    </w:p>
    <w:p w14:paraId="077DF139"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2"/>
          <w:szCs w:val="32"/>
          <w:rtl/>
        </w:rPr>
      </w:pPr>
      <w:bookmarkStart w:id="13" w:name="_Toc224826643"/>
      <w:r w:rsidRPr="00297D66">
        <w:rPr>
          <w:rFonts w:ascii="SimplifiedArabic-Bold" w:hAnsi="Courier New" w:cs="SimplifiedArabic-Bold" w:hint="cs"/>
          <w:b/>
          <w:bCs/>
          <w:color w:val="1F1F1F"/>
          <w:sz w:val="36"/>
          <w:szCs w:val="36"/>
          <w:rtl/>
        </w:rPr>
        <w:t>خاتمة</w:t>
      </w:r>
      <w:r w:rsidRPr="00297D66">
        <w:rPr>
          <w:rFonts w:ascii="SimplifiedArabic-Bold" w:hAnsi="Courier New" w:cs="SimplifiedArabic-Bold"/>
          <w:b/>
          <w:bCs/>
          <w:color w:val="1F1F1F"/>
          <w:sz w:val="36"/>
          <w:szCs w:val="36"/>
          <w:rtl/>
        </w:rPr>
        <w:t xml:space="preserve"> </w:t>
      </w:r>
      <w:r w:rsidRPr="00297D66">
        <w:rPr>
          <w:rFonts w:ascii="SimplifiedArabic-Bold" w:hAnsi="Courier New" w:cs="SimplifiedArabic-Bold" w:hint="cs"/>
          <w:b/>
          <w:bCs/>
          <w:color w:val="1F1F1F"/>
          <w:sz w:val="36"/>
          <w:szCs w:val="36"/>
          <w:rtl/>
        </w:rPr>
        <w:t>الفصل</w:t>
      </w:r>
      <w:r w:rsidRPr="00297D66">
        <w:rPr>
          <w:rFonts w:ascii="SimplifiedArabic-Bold" w:hAnsi="Courier New" w:cs="SimplifiedArabic-Bold"/>
          <w:b/>
          <w:bCs/>
          <w:color w:val="1F1F1F"/>
          <w:sz w:val="32"/>
          <w:szCs w:val="32"/>
        </w:rPr>
        <w:t>:</w:t>
      </w:r>
      <w:bookmarkEnd w:id="13"/>
    </w:p>
    <w:p w14:paraId="059BD514"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464A21AB"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في هذا الفصل تم عرض مقدمة شاملة لموضوع البحث، حيث تم استعراض فكرة عامة حول أثر ممارسات إدارة الموارد البشرية الاستراتيجية على الأداء التنظيمي في الشركات الهندسية بالمملكة العربية السعودية، مع توضيح الدوافع العلمية والعملية لاختيار هذا الموضوع. كما تم تحديد مشكلة البحث وصياغة سؤال البحث الرئيسي والأسئلة الفرعية التي تسعى الدراسة للإجابة عليها</w:t>
      </w:r>
      <w:r w:rsidRPr="00297D66">
        <w:rPr>
          <w:rFonts w:ascii="SimplifiedArabic" w:hAnsi="Courier New" w:cs="SimplifiedArabic"/>
          <w:color w:val="1F1F1F"/>
          <w:sz w:val="28"/>
          <w:szCs w:val="28"/>
        </w:rPr>
        <w:t>.</w:t>
      </w:r>
    </w:p>
    <w:p w14:paraId="24FA7DA9"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كما تطرق الفصل إلى بيان أهمية البحث النظرية والتطبيقية، وتحديد أهدافه، وصياغة فرضيات البحث التي ستقوم الدراسة باختبارها، إضافةً إلى توضيح نموذج البحث وحدوده</w:t>
      </w:r>
      <w:r w:rsidRPr="00297D66">
        <w:rPr>
          <w:rFonts w:ascii="SimplifiedArabic" w:hAnsi="Courier New" w:cs="SimplifiedArabic"/>
          <w:color w:val="1F1F1F"/>
          <w:sz w:val="28"/>
          <w:szCs w:val="28"/>
        </w:rPr>
        <w:t>.</w:t>
      </w:r>
    </w:p>
    <w:p w14:paraId="38B3757E"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بذلك، يُعد هذا الفصل مدخلًا تمهيديًا يمهّد للفصول اللاحقة التي ستتناول الإطار النظري، والدراسة الميدانية، وتحليل النتائج، ومناقشتها وفق المنهجية العلمية المعتمدة.</w:t>
      </w:r>
    </w:p>
    <w:p w14:paraId="57AF25FC"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75510BC3"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413D222A"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6154758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002CC45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5073DA7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07922524" w14:textId="77777777" w:rsidR="00297D66" w:rsidRPr="00297D66" w:rsidRDefault="00297D66" w:rsidP="00297D66">
      <w:pPr>
        <w:autoSpaceDE w:val="0"/>
        <w:autoSpaceDN w:val="0"/>
        <w:adjustRightInd w:val="0"/>
        <w:spacing w:after="0" w:line="240" w:lineRule="auto"/>
        <w:jc w:val="center"/>
        <w:outlineLvl w:val="0"/>
        <w:rPr>
          <w:rFonts w:ascii="SimplifiedArabic-Bold" w:hAnsi="Courier New" w:cs="SimplifiedArabic-Bold"/>
          <w:b/>
          <w:bCs/>
          <w:color w:val="222222"/>
          <w:sz w:val="40"/>
          <w:szCs w:val="40"/>
          <w:u w:val="thick"/>
          <w:rtl/>
        </w:rPr>
      </w:pPr>
      <w:bookmarkStart w:id="14" w:name="_Toc224826644"/>
      <w:r w:rsidRPr="00297D66">
        <w:rPr>
          <w:rFonts w:ascii="SimplifiedArabic-Bold" w:hAnsi="Courier New" w:cs="SimplifiedArabic-Bold" w:hint="cs"/>
          <w:b/>
          <w:bCs/>
          <w:color w:val="222222"/>
          <w:sz w:val="40"/>
          <w:szCs w:val="40"/>
          <w:u w:val="thick"/>
          <w:rtl/>
        </w:rPr>
        <w:t>الفصل</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الثاني</w:t>
      </w:r>
      <w:bookmarkEnd w:id="14"/>
    </w:p>
    <w:p w14:paraId="0CA78044" w14:textId="77777777" w:rsidR="00297D66" w:rsidRPr="00297D66" w:rsidRDefault="00297D66" w:rsidP="00297D66">
      <w:pPr>
        <w:autoSpaceDE w:val="0"/>
        <w:autoSpaceDN w:val="0"/>
        <w:adjustRightInd w:val="0"/>
        <w:spacing w:after="0" w:line="240" w:lineRule="auto"/>
        <w:jc w:val="center"/>
        <w:outlineLvl w:val="0"/>
        <w:rPr>
          <w:rFonts w:ascii="SimplifiedArabic-Bold" w:hAnsi="Courier New" w:cs="SimplifiedArabic-Bold"/>
          <w:b/>
          <w:bCs/>
          <w:color w:val="222222"/>
          <w:sz w:val="40"/>
          <w:szCs w:val="40"/>
          <w:u w:val="thick"/>
        </w:rPr>
      </w:pPr>
    </w:p>
    <w:p w14:paraId="10F06E4C" w14:textId="77777777" w:rsidR="00297D66" w:rsidRPr="00297D66" w:rsidRDefault="00297D66" w:rsidP="00297D66">
      <w:pPr>
        <w:autoSpaceDE w:val="0"/>
        <w:autoSpaceDN w:val="0"/>
        <w:bidi/>
        <w:adjustRightInd w:val="0"/>
        <w:spacing w:after="0" w:line="600" w:lineRule="auto"/>
        <w:jc w:val="center"/>
        <w:outlineLvl w:val="0"/>
        <w:rPr>
          <w:rFonts w:ascii="SimplifiedArabic" w:hAnsi="Courier New" w:cs="SimplifiedArabic"/>
          <w:color w:val="1F1F1F"/>
          <w:sz w:val="28"/>
          <w:szCs w:val="28"/>
          <w:rtl/>
        </w:rPr>
      </w:pPr>
      <w:bookmarkStart w:id="15" w:name="_Toc224826645"/>
      <w:r w:rsidRPr="00297D66">
        <w:rPr>
          <w:rFonts w:ascii="SimplifiedArabic-Bold" w:hAnsi="Courier New" w:cs="SimplifiedArabic-Bold" w:hint="cs"/>
          <w:b/>
          <w:bCs/>
          <w:color w:val="222222"/>
          <w:sz w:val="40"/>
          <w:szCs w:val="40"/>
          <w:u w:val="thick"/>
          <w:rtl/>
        </w:rPr>
        <w:t>الإطار</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النظري</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والدراسات</w:t>
      </w:r>
      <w:r w:rsidRPr="00297D66">
        <w:rPr>
          <w:rFonts w:ascii="SimplifiedArabic-Bold" w:hAnsi="Courier New" w:cs="SimplifiedArabic-Bold"/>
          <w:b/>
          <w:bCs/>
          <w:color w:val="222222"/>
          <w:sz w:val="40"/>
          <w:szCs w:val="40"/>
          <w:u w:val="thick"/>
          <w:rtl/>
        </w:rPr>
        <w:t xml:space="preserve"> </w:t>
      </w:r>
      <w:r w:rsidRPr="00297D66">
        <w:rPr>
          <w:rFonts w:ascii="SimplifiedArabic-Bold" w:hAnsi="Courier New" w:cs="SimplifiedArabic-Bold" w:hint="cs"/>
          <w:b/>
          <w:bCs/>
          <w:color w:val="222222"/>
          <w:sz w:val="40"/>
          <w:szCs w:val="40"/>
          <w:u w:val="thick"/>
          <w:rtl/>
        </w:rPr>
        <w:t>السابقة</w:t>
      </w:r>
      <w:bookmarkEnd w:id="15"/>
    </w:p>
    <w:p w14:paraId="72C418EC"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67FD023A"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704B6BD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18762D12"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08ABC41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408F4555"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53639B9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2F546478"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539F120E"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18848159"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p>
    <w:p w14:paraId="2E62FA24"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222222"/>
          <w:sz w:val="32"/>
          <w:szCs w:val="32"/>
          <w:rtl/>
        </w:rPr>
      </w:pPr>
      <w:bookmarkStart w:id="16" w:name="_Toc224826646"/>
      <w:r w:rsidRPr="00297D66">
        <w:rPr>
          <w:rFonts w:ascii="SimplifiedArabic-Bold" w:hAnsi="Courier New" w:cs="SimplifiedArabic-Bold" w:hint="cs"/>
          <w:b/>
          <w:bCs/>
          <w:color w:val="1F1F1F"/>
          <w:sz w:val="36"/>
          <w:szCs w:val="36"/>
          <w:rtl/>
        </w:rPr>
        <w:lastRenderedPageBreak/>
        <w:t>مقدمة</w:t>
      </w:r>
      <w:r w:rsidRPr="00297D66">
        <w:rPr>
          <w:rFonts w:ascii="SimplifiedArabic-Bold" w:hAnsi="Courier New" w:cs="SimplifiedArabic-Bold"/>
          <w:b/>
          <w:bCs/>
          <w:color w:val="222222"/>
          <w:sz w:val="32"/>
          <w:szCs w:val="32"/>
        </w:rPr>
        <w:t>:</w:t>
      </w:r>
      <w:bookmarkEnd w:id="16"/>
    </w:p>
    <w:p w14:paraId="26230382"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222222"/>
          <w:sz w:val="32"/>
          <w:szCs w:val="32"/>
        </w:rPr>
      </w:pPr>
    </w:p>
    <w:p w14:paraId="284A5032"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سيتناول هذا الفصل الإطار النظري للدراسة، حيث سيتم استعراض المتغيرين الرئيسيين للبحث، وهما ممارسات إدارة الموارد البشرية الاستراتيجية والأداء التنظيمي في الشركات الهندسية، من منظور علمي ومن خلال مراجعة الأدبيات البحثية السابقة. يتضمن الفصل تعريفات ومفاهيم أساسية تتعلق بكل من المتغيرين، مع توضيح الأبعاد المختلفة لكل منهما وعلاقتها بأداء الشركات الهندسية. كما يستعرض الفصل الدراسات السابقة التي تناولت هذه المتغيرات، مع التركيز على النتائج التي توصلت إليها وأوجه الاستفادة الممكنة منها. كذلك، يشير الفصل إلى الفجوات البحثية التي تحاول هذه الدراسة معالجتها، وما يميزها عن الدراسات السابقة من حيث المجال الموضوعي، والأساليب البحثية، والسياق التطبيقي في بيئة الشركات الهندسية السعودية.</w:t>
      </w:r>
      <w:r w:rsidRPr="00297D66">
        <w:rPr>
          <w:rFonts w:ascii="SimplifiedArabic" w:hAnsi="Courier New" w:cs="SimplifiedArabic" w:hint="cs"/>
          <w:color w:val="222222"/>
          <w:sz w:val="28"/>
          <w:szCs w:val="28"/>
          <w:rtl/>
        </w:rPr>
        <w:t>.</w:t>
      </w:r>
    </w:p>
    <w:p w14:paraId="45F349F5" w14:textId="77777777" w:rsidR="00297D66" w:rsidRPr="00297D66" w:rsidRDefault="00297D66" w:rsidP="00297D66">
      <w:pPr>
        <w:autoSpaceDE w:val="0"/>
        <w:autoSpaceDN w:val="0"/>
        <w:bidi/>
        <w:adjustRightInd w:val="0"/>
        <w:spacing w:after="0" w:line="600" w:lineRule="auto"/>
        <w:outlineLvl w:val="0"/>
        <w:rPr>
          <w:rFonts w:ascii="SimplifiedArabic-Bold" w:hAnsi="Courier New" w:cs="SimplifiedArabic-Bold"/>
          <w:b/>
          <w:bCs/>
          <w:color w:val="1F1F1F"/>
          <w:sz w:val="36"/>
          <w:szCs w:val="36"/>
          <w:rtl/>
        </w:rPr>
      </w:pPr>
      <w:bookmarkStart w:id="17" w:name="_Toc224826647"/>
      <w:r w:rsidRPr="00297D66">
        <w:rPr>
          <w:rFonts w:ascii="SimplifiedArabic-Bold" w:hAnsi="Courier New" w:cs="SimplifiedArabic-Bold"/>
          <w:b/>
          <w:bCs/>
          <w:color w:val="1F1F1F"/>
          <w:sz w:val="36"/>
          <w:szCs w:val="36"/>
          <w:rtl/>
        </w:rPr>
        <w:t>الإطار النظري</w:t>
      </w:r>
      <w:r w:rsidRPr="00297D66">
        <w:rPr>
          <w:rFonts w:ascii="SimplifiedArabic-Bold" w:hAnsi="Courier New" w:cs="SimplifiedArabic-Bold" w:hint="cs"/>
          <w:b/>
          <w:bCs/>
          <w:color w:val="1F1F1F"/>
          <w:sz w:val="36"/>
          <w:szCs w:val="36"/>
          <w:rtl/>
        </w:rPr>
        <w:t>:</w:t>
      </w:r>
      <w:bookmarkEnd w:id="17"/>
    </w:p>
    <w:p w14:paraId="216913E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b/>
          <w:bCs/>
          <w:color w:val="1F1F1F"/>
          <w:sz w:val="32"/>
          <w:szCs w:val="32"/>
          <w:rtl/>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يتناول هذا الفصل المتغيرين الرئيسيين للدراسة، وهما ممارسات إدارة الموارد البشرية الاستراتيجية والأداء التنظيمي في الشركات الهندسية بالمملكة العربية السعودية، وذلك من خلال عرض إطار نظري متكامل يوضح طبيعة كل متغير وأهميته. حيث يتم استعراض المفاهيم الأساسية لممارسات إدارة الموارد البشرية الاستراتيجية، وأبرز مكوناتها مثل التخطيط الوظيفي، التوظيف، التدريب والتطوير، وتقييم الأداء والتحفيز، ودورها في دعم التوجهات الاستراتيجية للمنظمات. كما يتم تناول الأداء التنظيمي بوصفه مؤشرًا رئيسيًا لنجاح المؤسسات، من خلال توضيح أبعاده المختلفة. ويشمل </w:t>
      </w:r>
      <w:r w:rsidRPr="00297D66">
        <w:rPr>
          <w:rFonts w:ascii="SimplifiedArabic" w:hAnsi="Courier New" w:cs="SimplifiedArabic"/>
          <w:color w:val="1F1F1F"/>
          <w:sz w:val="28"/>
          <w:szCs w:val="28"/>
          <w:rtl/>
        </w:rPr>
        <w:lastRenderedPageBreak/>
        <w:t xml:space="preserve">الفصل أيضًا عرضًا لأهم الدراسات السابقة العربية والأجنبية وتحليل نتائجها. بالإضافة إلى ذلك، يتم توضيح أوجه الاستفادة من هذه الدراسات والفجوات البحثية التي تسعى الدراسة الحالية إلى معالجتها. </w:t>
      </w:r>
    </w:p>
    <w:p w14:paraId="572D1481" w14:textId="77777777" w:rsidR="00297D66" w:rsidRPr="00297D66" w:rsidRDefault="00297D66" w:rsidP="00297D66">
      <w:pPr>
        <w:autoSpaceDE w:val="0"/>
        <w:autoSpaceDN w:val="0"/>
        <w:bidi/>
        <w:adjustRightInd w:val="0"/>
        <w:spacing w:after="0" w:line="600" w:lineRule="auto"/>
        <w:jc w:val="lowKashida"/>
        <w:outlineLvl w:val="0"/>
        <w:rPr>
          <w:rFonts w:ascii="SimplifiedArabic" w:hAnsi="Courier New" w:cs="SimplifiedArabic"/>
          <w:b/>
          <w:bCs/>
          <w:color w:val="1F1F1F"/>
          <w:sz w:val="32"/>
          <w:szCs w:val="32"/>
          <w:rtl/>
        </w:rPr>
      </w:pPr>
      <w:bookmarkStart w:id="18" w:name="_Toc224826648"/>
      <w:r w:rsidRPr="00297D66">
        <w:rPr>
          <w:rFonts w:ascii="SimplifiedArabic" w:hAnsi="Courier New" w:cs="SimplifiedArabic" w:hint="cs"/>
          <w:b/>
          <w:bCs/>
          <w:color w:val="1F1F1F"/>
          <w:sz w:val="32"/>
          <w:szCs w:val="32"/>
          <w:rtl/>
        </w:rPr>
        <w:t xml:space="preserve">أولا: </w:t>
      </w:r>
      <w:r w:rsidRPr="00297D66">
        <w:rPr>
          <w:rFonts w:ascii="SimplifiedArabic" w:hAnsi="Courier New" w:cs="SimplifiedArabic"/>
          <w:b/>
          <w:bCs/>
          <w:color w:val="1F1F1F"/>
          <w:sz w:val="28"/>
          <w:szCs w:val="28"/>
          <w:rtl/>
        </w:rPr>
        <w:t>ممارسات إدارة الموارد البشرية الاستراتيجية</w:t>
      </w:r>
      <w:r w:rsidRPr="00297D66">
        <w:rPr>
          <w:rFonts w:ascii="SimplifiedArabic" w:hAnsi="Courier New" w:cs="SimplifiedArabic" w:hint="cs"/>
          <w:b/>
          <w:bCs/>
          <w:color w:val="1F1F1F"/>
          <w:sz w:val="32"/>
          <w:szCs w:val="32"/>
          <w:rtl/>
        </w:rPr>
        <w:t>:</w:t>
      </w:r>
      <w:bookmarkEnd w:id="18"/>
    </w:p>
    <w:p w14:paraId="77786A4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b/>
          <w:bCs/>
          <w:color w:val="1F1F1F"/>
          <w:sz w:val="28"/>
          <w:szCs w:val="28"/>
        </w:rPr>
      </w:pPr>
      <w:r w:rsidRPr="00297D66">
        <w:rPr>
          <w:rFonts w:ascii="SimplifiedArabic" w:hAnsi="Courier New" w:cs="SimplifiedArabic" w:hint="cs"/>
          <w:b/>
          <w:bCs/>
          <w:color w:val="1F1F1F"/>
          <w:sz w:val="28"/>
          <w:szCs w:val="28"/>
          <w:rtl/>
        </w:rPr>
        <w:t>الإطار المفاهيمي لل</w:t>
      </w:r>
      <w:r w:rsidRPr="00297D66">
        <w:rPr>
          <w:rFonts w:ascii="SimplifiedArabic" w:hAnsi="Courier New" w:cs="SimplifiedArabic"/>
          <w:b/>
          <w:bCs/>
          <w:color w:val="1F1F1F"/>
          <w:sz w:val="28"/>
          <w:szCs w:val="28"/>
          <w:rtl/>
        </w:rPr>
        <w:t>ممارسات إدارة الموارد البشرية الاستراتيجية</w:t>
      </w:r>
      <w:r w:rsidRPr="00297D66">
        <w:rPr>
          <w:rFonts w:ascii="SimplifiedArabic" w:hAnsi="Courier New" w:cs="SimplifiedArabic" w:hint="cs"/>
          <w:b/>
          <w:bCs/>
          <w:color w:val="1F1F1F"/>
          <w:sz w:val="28"/>
          <w:szCs w:val="28"/>
          <w:rtl/>
        </w:rPr>
        <w:t>:</w:t>
      </w:r>
    </w:p>
    <w:p w14:paraId="6193438C" w14:textId="77777777" w:rsidR="00297D66" w:rsidRPr="00297D66" w:rsidRDefault="00297D66" w:rsidP="00297D66">
      <w:pPr>
        <w:numPr>
          <w:ilvl w:val="0"/>
          <w:numId w:val="2"/>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تشير إدارة الموارد البشرية الاستراتيجية إلى مجموعة السياسات والممارسات المصممة لتحقيق التوافق بين الموارد البشرية وأهداف المنظمة الاستراتيجية. وتركز هذه الإدارة على توظيف الكفاءات المناسبة، تطوير المهارات، تحفيز الموظفين، وضمان تحقيق الأداء الأمثل للمنظمة</w:t>
      </w:r>
      <w:r w:rsidRPr="00297D66">
        <w:rPr>
          <w:rFonts w:ascii="SimplifiedArabic" w:eastAsia="Times New Roman" w:hAnsi="Times New Roman" w:cs="SimplifiedArabic" w:hint="cs"/>
          <w:color w:val="1F1F1F"/>
          <w:sz w:val="28"/>
          <w:szCs w:val="28"/>
          <w:rtl/>
          <w14:ligatures w14:val="none"/>
        </w:rPr>
        <w:t xml:space="preserve"> (رمضان،2020، 70).</w:t>
      </w:r>
    </w:p>
    <w:p w14:paraId="69932C98" w14:textId="77777777" w:rsidR="00297D66" w:rsidRPr="00297D66" w:rsidRDefault="00297D66" w:rsidP="00297D66">
      <w:pPr>
        <w:numPr>
          <w:ilvl w:val="0"/>
          <w:numId w:val="2"/>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 xml:space="preserve">كما </w:t>
      </w:r>
      <w:r w:rsidRPr="00297D66">
        <w:rPr>
          <w:rFonts w:ascii="SimplifiedArabic" w:eastAsia="Times New Roman" w:hAnsi="Times New Roman" w:cs="SimplifiedArabic" w:hint="cs"/>
          <w:color w:val="1F1F1F"/>
          <w:sz w:val="28"/>
          <w:szCs w:val="28"/>
          <w:rtl/>
          <w14:ligatures w14:val="none"/>
        </w:rPr>
        <w:t>تعرف</w:t>
      </w:r>
      <w:r w:rsidRPr="00297D66">
        <w:rPr>
          <w:rFonts w:ascii="SimplifiedArabic" w:eastAsia="Times New Roman" w:hAnsi="Times New Roman" w:cs="SimplifiedArabic"/>
          <w:color w:val="1F1F1F"/>
          <w:sz w:val="28"/>
          <w:szCs w:val="28"/>
          <w:rtl/>
          <w14:ligatures w14:val="none"/>
        </w:rPr>
        <w:t xml:space="preserve"> بأنها نهج شامل يتضمن التخطيط طويل المدى للموارد البشرية لضمان جاهزية المنظمة لمواجهة التحديات الاقتصادية والتكنولوجية، وتحقيق ميزة تنافسية مستدامة من خلال تحسين قدرات الموظفين</w:t>
      </w:r>
      <w:r w:rsidRPr="00297D66">
        <w:rPr>
          <w:rFonts w:ascii="SimplifiedArabic" w:eastAsia="Times New Roman" w:hAnsi="Times New Roman" w:cs="SimplifiedArabic" w:hint="cs"/>
          <w:color w:val="1F1F1F"/>
          <w:sz w:val="28"/>
          <w:szCs w:val="28"/>
          <w:rtl/>
          <w14:ligatures w14:val="none"/>
        </w:rPr>
        <w:t xml:space="preserve"> (</w:t>
      </w:r>
      <w:r w:rsidRPr="00297D66">
        <w:rPr>
          <w:rFonts w:ascii="SimplifiedArabic" w:eastAsia="Times New Roman" w:hAnsi="Times New Roman" w:cs="SimplifiedArabic"/>
          <w:color w:val="1F1F1F"/>
          <w:sz w:val="28"/>
          <w:szCs w:val="28"/>
          <w:rtl/>
          <w14:ligatures w14:val="none"/>
        </w:rPr>
        <w:t>رحال</w:t>
      </w:r>
      <w:r w:rsidRPr="00297D66">
        <w:rPr>
          <w:rFonts w:ascii="SimplifiedArabic" w:eastAsia="Times New Roman" w:hAnsi="Times New Roman" w:cs="SimplifiedArabic" w:hint="cs"/>
          <w:color w:val="1F1F1F"/>
          <w:sz w:val="28"/>
          <w:szCs w:val="28"/>
          <w:rtl/>
          <w14:ligatures w14:val="none"/>
        </w:rPr>
        <w:t xml:space="preserve">، </w:t>
      </w:r>
      <w:r w:rsidRPr="00297D66">
        <w:rPr>
          <w:rFonts w:ascii="SimplifiedArabic" w:eastAsia="Times New Roman" w:hAnsi="Times New Roman" w:cs="SimplifiedArabic"/>
          <w:color w:val="1F1F1F"/>
          <w:sz w:val="28"/>
          <w:szCs w:val="28"/>
          <w:rtl/>
          <w14:ligatures w14:val="none"/>
        </w:rPr>
        <w:t>سواكري</w:t>
      </w:r>
      <w:r w:rsidRPr="00297D66">
        <w:rPr>
          <w:rFonts w:ascii="SimplifiedArabic" w:eastAsia="Times New Roman" w:hAnsi="Times New Roman" w:cs="SimplifiedArabic" w:hint="cs"/>
          <w:color w:val="1F1F1F"/>
          <w:sz w:val="28"/>
          <w:szCs w:val="28"/>
          <w:rtl/>
          <w14:ligatures w14:val="none"/>
        </w:rPr>
        <w:t>، 2020، 596).</w:t>
      </w:r>
    </w:p>
    <w:p w14:paraId="4E22C226" w14:textId="77777777" w:rsidR="00297D66" w:rsidRPr="00297D66" w:rsidRDefault="00297D66" w:rsidP="00297D66">
      <w:pPr>
        <w:numPr>
          <w:ilvl w:val="0"/>
          <w:numId w:val="2"/>
        </w:numPr>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وتؤكد الدراسات الحديثة أن الإدارة الاستراتيجية للموارد البشرية لا تقتصر على تطبيق الإجراءات الإدارية التقليدية، بل تشمل تحليل البيئة الداخلية والخارجية، وتخطيط القوى العاملة، والتدريب المستمر، وتحسين بيئة العمل، وتطوير القيادات</w:t>
      </w:r>
      <w:r w:rsidRPr="00297D66">
        <w:rPr>
          <w:rFonts w:ascii="SimplifiedArabic" w:eastAsia="Times New Roman" w:hAnsi="Times New Roman" w:cs="SimplifiedArabic" w:hint="cs"/>
          <w:color w:val="1F1F1F"/>
          <w:sz w:val="28"/>
          <w:szCs w:val="28"/>
          <w:rtl/>
          <w14:ligatures w14:val="none"/>
        </w:rPr>
        <w:t xml:space="preserve"> (</w:t>
      </w:r>
      <w:r w:rsidRPr="00297D66">
        <w:rPr>
          <w:rFonts w:ascii="SimplifiedArabic" w:eastAsia="Times New Roman" w:hAnsi="Times New Roman" w:cs="SimplifiedArabic"/>
          <w:color w:val="1F1F1F"/>
          <w:sz w:val="28"/>
          <w:szCs w:val="28"/>
          <w:rtl/>
          <w14:ligatures w14:val="none"/>
        </w:rPr>
        <w:t>العربيات</w:t>
      </w:r>
      <w:r w:rsidRPr="00297D66">
        <w:rPr>
          <w:rFonts w:ascii="SimplifiedArabic" w:eastAsia="Times New Roman" w:hAnsi="Times New Roman" w:cs="SimplifiedArabic" w:hint="cs"/>
          <w:color w:val="1F1F1F"/>
          <w:sz w:val="28"/>
          <w:szCs w:val="28"/>
          <w:rtl/>
          <w14:ligatures w14:val="none"/>
        </w:rPr>
        <w:t>، 2025، 7).</w:t>
      </w:r>
    </w:p>
    <w:p w14:paraId="267EFA1B" w14:textId="77777777" w:rsidR="00297D66" w:rsidRPr="00297D66" w:rsidRDefault="00297D66" w:rsidP="00297D66">
      <w:pPr>
        <w:autoSpaceDE w:val="0"/>
        <w:autoSpaceDN w:val="0"/>
        <w:bidi/>
        <w:adjustRightInd w:val="0"/>
        <w:spacing w:after="0" w:line="600" w:lineRule="auto"/>
        <w:rPr>
          <w:rFonts w:ascii="SimplifiedArabic" w:hAnsi="Courier New" w:cs="SimplifiedArabic"/>
          <w:b/>
          <w:bCs/>
          <w:color w:val="1F1F1F"/>
          <w:sz w:val="28"/>
          <w:szCs w:val="28"/>
        </w:rPr>
      </w:pPr>
      <w:r w:rsidRPr="00297D66">
        <w:rPr>
          <w:rFonts w:ascii="SimplifiedArabic" w:hAnsi="Courier New" w:cs="SimplifiedArabic" w:hint="cs"/>
          <w:b/>
          <w:bCs/>
          <w:color w:val="1F1F1F"/>
          <w:sz w:val="28"/>
          <w:szCs w:val="28"/>
          <w:rtl/>
        </w:rPr>
        <w:t xml:space="preserve">أهمية </w:t>
      </w:r>
      <w:r w:rsidRPr="00297D66">
        <w:rPr>
          <w:rFonts w:ascii="SimplifiedArabic" w:hAnsi="Courier New" w:cs="SimplifiedArabic"/>
          <w:b/>
          <w:bCs/>
          <w:color w:val="1F1F1F"/>
          <w:sz w:val="28"/>
          <w:szCs w:val="28"/>
          <w:rtl/>
        </w:rPr>
        <w:t>ممارسات إدارة الموارد البشرية الاستراتيجية</w:t>
      </w:r>
      <w:r w:rsidRPr="00297D66">
        <w:rPr>
          <w:rFonts w:ascii="SimplifiedArabic" w:hAnsi="Courier New" w:cs="SimplifiedArabic" w:hint="cs"/>
          <w:b/>
          <w:bCs/>
          <w:color w:val="1F1F1F"/>
          <w:sz w:val="28"/>
          <w:szCs w:val="28"/>
          <w:rtl/>
        </w:rPr>
        <w:t>:</w:t>
      </w:r>
    </w:p>
    <w:p w14:paraId="704DB087" w14:textId="77777777" w:rsidR="00297D66" w:rsidRPr="00297D66" w:rsidRDefault="00297D66" w:rsidP="00297D66">
      <w:pPr>
        <w:tabs>
          <w:tab w:val="left" w:pos="521"/>
        </w:tabs>
        <w:autoSpaceDE w:val="0"/>
        <w:autoSpaceDN w:val="0"/>
        <w:bidi/>
        <w:adjustRightInd w:val="0"/>
        <w:spacing w:after="0" w:line="600" w:lineRule="auto"/>
        <w:rPr>
          <w:rFonts w:ascii="SimplifiedArabic" w:hAnsi="Courier New" w:cs="SimplifiedArabic"/>
          <w:color w:val="1F1F1F"/>
          <w:sz w:val="28"/>
          <w:szCs w:val="28"/>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تلعب الممارسات الاستراتيجية للموارد البشرية دورًا حيويًا في تعزيز الأداء التنظيمي داخل الشركات الهندسية للأسباب التالية</w:t>
      </w:r>
      <w:r w:rsidRPr="00297D66">
        <w:rPr>
          <w:rFonts w:ascii="SimplifiedArabic" w:hAnsi="Courier New" w:cs="SimplifiedArabic" w:hint="cs"/>
          <w:color w:val="1F1F1F"/>
          <w:sz w:val="28"/>
          <w:szCs w:val="28"/>
          <w:rtl/>
        </w:rPr>
        <w:t xml:space="preserve"> (</w:t>
      </w:r>
      <w:hyperlink r:id="rId13" w:history="1">
        <w:r w:rsidRPr="00297D66">
          <w:rPr>
            <w:rFonts w:ascii="SimplifiedArabic" w:eastAsia="Times New Roman" w:hAnsi="Courier New" w:cs="SimplifiedArabic"/>
            <w:color w:val="1F1F1F"/>
            <w:sz w:val="28"/>
            <w:szCs w:val="28"/>
            <w:rtl/>
          </w:rPr>
          <w:t>المطلق</w:t>
        </w:r>
      </w:hyperlink>
      <w:r w:rsidRPr="00297D66">
        <w:rPr>
          <w:rFonts w:ascii="SimplifiedArabic" w:hAnsi="Courier New" w:cs="SimplifiedArabic" w:hint="cs"/>
          <w:color w:val="1F1F1F"/>
          <w:sz w:val="28"/>
          <w:szCs w:val="28"/>
          <w:rtl/>
        </w:rPr>
        <w:t>، 2021) :</w:t>
      </w:r>
    </w:p>
    <w:p w14:paraId="6F7A1943"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lastRenderedPageBreak/>
        <w:t>تحقيق التوافق الاستراتيجي: تساعد على مواءمة أهداف الموارد البشرية مع الأهداف الاستراتيجية للشركة، مما يضمن تحقيق نتائج ملموسة على مستوى الأداء العام.</w:t>
      </w:r>
    </w:p>
    <w:p w14:paraId="3A2800AC"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رفع الكفاءة والإنتاجية: من خلال التخطيط الدقيق للوظائف، وضمان توظيف الأشخاص المناسبين في المواقع الحرجة، وتحفيزهم على الأداء الأمثل</w:t>
      </w:r>
      <w:r w:rsidRPr="00297D66">
        <w:rPr>
          <w:rFonts w:ascii="SimplifiedArabic" w:eastAsia="Times New Roman" w:hAnsi="Times New Roman" w:cs="SimplifiedArabic" w:hint="cs"/>
          <w:color w:val="1F1F1F"/>
          <w:sz w:val="28"/>
          <w:szCs w:val="28"/>
          <w:rtl/>
          <w14:ligatures w14:val="none"/>
        </w:rPr>
        <w:t>.</w:t>
      </w:r>
      <w:r w:rsidRPr="00297D66">
        <w:rPr>
          <w:rFonts w:ascii="SimplifiedArabic" w:eastAsia="Times New Roman" w:hAnsi="Times New Roman" w:cs="SimplifiedArabic"/>
          <w:color w:val="1F1F1F"/>
          <w:sz w:val="28"/>
          <w:szCs w:val="28"/>
          <w:rtl/>
          <w14:ligatures w14:val="none"/>
        </w:rPr>
        <w:t xml:space="preserve"> </w:t>
      </w:r>
    </w:p>
    <w:p w14:paraId="2BAE9E87"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تعزيز الابتكار والمرونة: تمكّن الشركات من التكيف مع التغيرات التكنولوجية والمنافسة الشديدة من خلال تطوير مهارات الموظفين وتحفيزهم على الابتكار</w:t>
      </w:r>
      <w:r w:rsidRPr="00297D66">
        <w:rPr>
          <w:rFonts w:ascii="SimplifiedArabic" w:eastAsia="Times New Roman" w:hAnsi="Times New Roman" w:cs="SimplifiedArabic" w:hint="cs"/>
          <w:color w:val="1F1F1F"/>
          <w:sz w:val="28"/>
          <w:szCs w:val="28"/>
          <w:rtl/>
          <w14:ligatures w14:val="none"/>
        </w:rPr>
        <w:t>.</w:t>
      </w:r>
    </w:p>
    <w:p w14:paraId="650464ED"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زيادة الالتزام والانتماء الوظيفي: ترتبط الممارسات الاستراتيجية بالتحفيز والتقدير المستمر، ما يقلل من معدل الدوران الوظيفي ويزيد من استقرار القوى العاملة</w:t>
      </w:r>
      <w:r w:rsidRPr="00297D66">
        <w:rPr>
          <w:rFonts w:ascii="SimplifiedArabic" w:eastAsia="Times New Roman" w:hAnsi="Times New Roman" w:cs="SimplifiedArabic" w:hint="cs"/>
          <w:color w:val="1F1F1F"/>
          <w:sz w:val="28"/>
          <w:szCs w:val="28"/>
          <w:rtl/>
          <w14:ligatures w14:val="none"/>
        </w:rPr>
        <w:t>.</w:t>
      </w:r>
    </w:p>
    <w:p w14:paraId="74A0C7AA"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تحسين جودة المشاريع الهندسية: الممارسات الاستراتيجية تساعد على تدريب الفرق الهندسية وتحفيزها لتحقيق أعلى جودة في المشاريع وتقليل الأخطاء والتكاليف الزائدة.</w:t>
      </w:r>
    </w:p>
    <w:p w14:paraId="5718B05B" w14:textId="77777777" w:rsidR="00297D66" w:rsidRPr="00297D66" w:rsidRDefault="00297D66" w:rsidP="00297D66">
      <w:pPr>
        <w:numPr>
          <w:ilvl w:val="0"/>
          <w:numId w:val="3"/>
        </w:numPr>
        <w:tabs>
          <w:tab w:val="left" w:pos="521"/>
        </w:tabs>
        <w:autoSpaceDE w:val="0"/>
        <w:autoSpaceDN w:val="0"/>
        <w:bidi/>
        <w:adjustRightInd w:val="0"/>
        <w:spacing w:after="0" w:line="600" w:lineRule="auto"/>
        <w:contextualSpacing/>
        <w:jc w:val="lowKashida"/>
        <w:rPr>
          <w:rFonts w:ascii="SimplifiedArabic" w:eastAsia="Times New Roman" w:hAnsi="Times New Roman" w:cs="SimplifiedArabic"/>
          <w:color w:val="1F1F1F"/>
          <w:sz w:val="28"/>
          <w:szCs w:val="28"/>
          <w14:ligatures w14:val="none"/>
        </w:rPr>
      </w:pPr>
      <w:r w:rsidRPr="00297D66">
        <w:rPr>
          <w:rFonts w:ascii="SimplifiedArabic" w:eastAsia="Times New Roman" w:hAnsi="Times New Roman" w:cs="SimplifiedArabic"/>
          <w:color w:val="1F1F1F"/>
          <w:sz w:val="28"/>
          <w:szCs w:val="28"/>
          <w:rtl/>
          <w14:ligatures w14:val="none"/>
        </w:rPr>
        <w:t>تطوير القادة والقيادات: توفر برامج التدريب والتطوير المستمر فرصًا لبناء قيادات مؤهلة، ما يسهم في اتخاذ قرارات أفضل وإدارة المشاريع بفاعلية.</w:t>
      </w:r>
    </w:p>
    <w:p w14:paraId="6932669A"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b/>
          <w:bCs/>
          <w:color w:val="1F1F1F"/>
          <w:sz w:val="28"/>
          <w:szCs w:val="28"/>
          <w:rtl/>
        </w:rPr>
      </w:pPr>
      <w:r w:rsidRPr="00297D66">
        <w:rPr>
          <w:rFonts w:ascii="SimplifiedArabic" w:hAnsi="Courier New" w:cs="SimplifiedArabic"/>
          <w:b/>
          <w:bCs/>
          <w:color w:val="1F1F1F"/>
          <w:sz w:val="28"/>
          <w:szCs w:val="28"/>
          <w:rtl/>
        </w:rPr>
        <w:t>أبعاد ممارسات إدارة الموارد البشرية الاستراتيجية</w:t>
      </w:r>
      <w:r w:rsidRPr="00297D66">
        <w:rPr>
          <w:rFonts w:ascii="SimplifiedArabic" w:hAnsi="Courier New" w:cs="SimplifiedArabic" w:hint="cs"/>
          <w:b/>
          <w:bCs/>
          <w:color w:val="1F1F1F"/>
          <w:sz w:val="28"/>
          <w:szCs w:val="28"/>
          <w:rtl/>
        </w:rPr>
        <w:t>:</w:t>
      </w:r>
    </w:p>
    <w:p w14:paraId="4D971017"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يمكن تقسيم الممارسات الاستراتيجية إلى أربعة أبعاد رئيسية، وهي الأكثر دراسة في الأدبيات البحثية</w:t>
      </w:r>
      <w:r w:rsidRPr="00297D66">
        <w:rPr>
          <w:rFonts w:ascii="SimplifiedArabic" w:hAnsi="Courier New" w:cs="SimplifiedArabic" w:hint="cs"/>
          <w:color w:val="1F1F1F"/>
          <w:sz w:val="28"/>
          <w:szCs w:val="28"/>
          <w:rtl/>
        </w:rPr>
        <w:t xml:space="preserve">: </w:t>
      </w:r>
    </w:p>
    <w:p w14:paraId="37511CA5"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Pr>
      </w:pPr>
      <w:r w:rsidRPr="00297D66">
        <w:rPr>
          <w:rFonts w:ascii="SimplifiedArabic" w:hAnsi="Courier New" w:cs="SimplifiedArabic"/>
          <w:color w:val="1F1F1F"/>
          <w:sz w:val="28"/>
          <w:szCs w:val="28"/>
          <w:rtl/>
        </w:rPr>
        <w:t>أ. التخطيط الوظيفي والتوظيف</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يشير التخطيط الوظيفي إلى عملية تحديد الاحتياجات البشرية الحالية والمستقبلية، بما يضمن ملاءمة الموظفين للوظائف المطلوبة</w:t>
      </w:r>
      <w:r w:rsidRPr="00297D66">
        <w:rPr>
          <w:rFonts w:ascii="SimplifiedArabic" w:hAnsi="Courier New" w:cs="SimplifiedArabic" w:hint="cs"/>
          <w:color w:val="1F1F1F"/>
          <w:sz w:val="28"/>
          <w:szCs w:val="28"/>
          <w:rtl/>
          <w:lang w:bidi="ar-EG"/>
        </w:rPr>
        <w:t>.</w:t>
      </w:r>
      <w:r w:rsidRPr="00297D66">
        <w:rPr>
          <w:rFonts w:ascii="Courier New" w:hAnsi="Courier New" w:cs="SimplifiedArabic" w:hint="cs"/>
          <w:color w:val="1F1F1F"/>
          <w:sz w:val="28"/>
          <w:szCs w:val="28"/>
          <w:rtl/>
          <w:lang w:val="en-GB" w:bidi="ar-EG"/>
        </w:rPr>
        <w:t xml:space="preserve"> </w:t>
      </w:r>
      <w:r w:rsidRPr="00297D66">
        <w:rPr>
          <w:rFonts w:ascii="SimplifiedArabic" w:hAnsi="Courier New" w:cs="SimplifiedArabic"/>
          <w:color w:val="1F1F1F"/>
          <w:sz w:val="28"/>
          <w:szCs w:val="28"/>
          <w:rtl/>
        </w:rPr>
        <w:t xml:space="preserve">يشمل التوظيف استقطاب أفضل الكفاءات، </w:t>
      </w:r>
      <w:r w:rsidRPr="00297D66">
        <w:rPr>
          <w:rFonts w:ascii="SimplifiedArabic" w:hAnsi="Courier New" w:cs="SimplifiedArabic"/>
          <w:color w:val="1F1F1F"/>
          <w:sz w:val="28"/>
          <w:szCs w:val="28"/>
          <w:rtl/>
        </w:rPr>
        <w:lastRenderedPageBreak/>
        <w:t>واختيار المرشحين المناسبين وفق معايير دقيقة، لضمان تحقيق أهداف الشركة</w:t>
      </w:r>
      <w:r w:rsidRPr="00297D66">
        <w:rPr>
          <w:rFonts w:ascii="SimplifiedArabic" w:hAnsi="Courier New" w:cs="SimplifiedArabic" w:hint="cs"/>
          <w:color w:val="1F1F1F"/>
          <w:sz w:val="28"/>
          <w:szCs w:val="28"/>
          <w:rtl/>
        </w:rPr>
        <w:t>.</w:t>
      </w:r>
      <w:r w:rsidRPr="00297D66">
        <w:rPr>
          <w:rFonts w:ascii="SimplifiedArabic" w:hAnsi="Courier New" w:cs="SimplifiedArabic" w:hint="cs"/>
          <w:color w:val="1F1F1F"/>
          <w:sz w:val="28"/>
          <w:szCs w:val="28"/>
          <w:rtl/>
          <w:lang w:bidi="ar-EG"/>
        </w:rPr>
        <w:t xml:space="preserve"> </w:t>
      </w:r>
      <w:r w:rsidRPr="00297D66">
        <w:rPr>
          <w:rFonts w:ascii="SimplifiedArabic" w:hAnsi="Courier New" w:cs="SimplifiedArabic"/>
          <w:color w:val="1F1F1F"/>
          <w:sz w:val="28"/>
          <w:szCs w:val="28"/>
          <w:rtl/>
        </w:rPr>
        <w:t xml:space="preserve">الدراسات تشير إلى أن التخطيط الجيد يقلل من الفجوات المهارية ويزيد من مرونة الشركة في مواجهة </w:t>
      </w:r>
      <w:r w:rsidRPr="00297D66">
        <w:rPr>
          <w:rFonts w:ascii="SimplifiedArabic" w:hAnsi="Courier New" w:cs="SimplifiedArabic" w:hint="cs"/>
          <w:color w:val="1F1F1F"/>
          <w:sz w:val="28"/>
          <w:szCs w:val="28"/>
          <w:rtl/>
        </w:rPr>
        <w:t>التغيرات (رمضان،2020، 76).</w:t>
      </w:r>
    </w:p>
    <w:p w14:paraId="3DC4BB0F"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ب. التدريب والتطوير المستمر</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يعد التدريب أحد أهم الأدوات لتحسين الأداء الفردي والجماعي، ويشمل برامج التطوير المهني والفني والإداري</w:t>
      </w:r>
      <w:r w:rsidRPr="00297D66">
        <w:rPr>
          <w:rFonts w:ascii="SimplifiedArabic" w:hAnsi="Courier New" w:cs="SimplifiedArabic"/>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يهدف إلى تعزيز مهارات الموظفين، وتحسين جودة العمل، وزيادة القدرة على الابتكار والتكيف مع المتغيرات</w:t>
      </w:r>
      <w:r w:rsidRPr="00297D66">
        <w:rPr>
          <w:rFonts w:ascii="Courier New" w:hAnsi="Courier New" w:cs="SimplifiedArabic" w:hint="cs"/>
          <w:color w:val="1F1F1F"/>
          <w:sz w:val="28"/>
          <w:szCs w:val="28"/>
          <w:rtl/>
          <w:lang w:bidi="ar-EG"/>
        </w:rPr>
        <w:t xml:space="preserve">، </w:t>
      </w:r>
      <w:r w:rsidRPr="00297D66">
        <w:rPr>
          <w:rFonts w:ascii="SimplifiedArabic" w:hAnsi="Courier New" w:cs="SimplifiedArabic"/>
          <w:color w:val="1F1F1F"/>
          <w:sz w:val="28"/>
          <w:szCs w:val="28"/>
          <w:rtl/>
        </w:rPr>
        <w:t>برامج التطوير القيادي تساعد في بناء قيادات مستقبلية قادرة على اتخاذ قرارات استراتيجية ودعم فرق العمل</w:t>
      </w:r>
      <w:r w:rsidRPr="00297D66">
        <w:rPr>
          <w:rFonts w:ascii="SimplifiedArabic" w:hAnsi="Courier New" w:cs="SimplifiedArabic" w:hint="cs"/>
          <w:color w:val="1F1F1F"/>
          <w:sz w:val="28"/>
          <w:szCs w:val="28"/>
          <w:rtl/>
        </w:rPr>
        <w:t>(</w:t>
      </w:r>
      <w:r w:rsidRPr="00297D66">
        <w:rPr>
          <w:rFonts w:ascii="SimplifiedArabic" w:hAnsi="Courier New" w:cs="SimplifiedArabic"/>
          <w:color w:val="1F1F1F"/>
          <w:sz w:val="28"/>
          <w:szCs w:val="28"/>
          <w:rtl/>
        </w:rPr>
        <w:t>العربيات</w:t>
      </w:r>
      <w:r w:rsidRPr="00297D66">
        <w:rPr>
          <w:rFonts w:ascii="SimplifiedArabic" w:hAnsi="Courier New" w:cs="SimplifiedArabic" w:hint="cs"/>
          <w:color w:val="1F1F1F"/>
          <w:sz w:val="28"/>
          <w:szCs w:val="28"/>
          <w:rtl/>
        </w:rPr>
        <w:t>، 2025، 14).</w:t>
      </w:r>
    </w:p>
    <w:p w14:paraId="3F49157A"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ج. أنظمة تقييم الأداء</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تعلق بتحديد معايير الأداء وقياس إنجازات الموظفين وفق أهداف المنظمة</w:t>
      </w:r>
      <w:r w:rsidRPr="00297D66">
        <w:rPr>
          <w:rFonts w:ascii="SimplifiedArabic" w:hAnsi="Courier New" w:cs="SimplifiedArabic"/>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تساعد هذه الأنظمة في تحديد نقاط القوة والضعف، وتوجيه الموارد التدريبية والتحفيزية حسب الحاجة</w:t>
      </w:r>
      <w:r w:rsidRPr="00297D66">
        <w:rPr>
          <w:rFonts w:ascii="SimplifiedArabic" w:hAnsi="Courier New" w:cs="SimplifiedArabic" w:hint="cs"/>
          <w:color w:val="1F1F1F"/>
          <w:sz w:val="28"/>
          <w:szCs w:val="28"/>
          <w:rtl/>
        </w:rPr>
        <w:t>،</w:t>
      </w:r>
      <w:r w:rsidRPr="00297D66">
        <w:rPr>
          <w:rFonts w:ascii="SimplifiedArabic" w:hAnsi="Courier New" w:cs="SimplifiedArabic"/>
          <w:color w:val="1F1F1F"/>
          <w:sz w:val="28"/>
          <w:szCs w:val="28"/>
        </w:rPr>
        <w:t xml:space="preserve"> </w:t>
      </w:r>
      <w:r w:rsidRPr="00297D66">
        <w:rPr>
          <w:rFonts w:ascii="SimplifiedArabic" w:hAnsi="Courier New" w:cs="SimplifiedArabic"/>
          <w:color w:val="1F1F1F"/>
          <w:sz w:val="28"/>
          <w:szCs w:val="28"/>
          <w:rtl/>
        </w:rPr>
        <w:t>تقييم الأداء المستمر يعزز من العدالة التنظيمية ويزيد من رضا الموظفين والتزامهم</w:t>
      </w:r>
      <w:r w:rsidRPr="00297D66">
        <w:rPr>
          <w:rFonts w:ascii="SimplifiedArabic" w:hAnsi="Courier New" w:cs="SimplifiedArabic" w:hint="cs"/>
          <w:color w:val="1F1F1F"/>
          <w:sz w:val="28"/>
          <w:szCs w:val="28"/>
          <w:rtl/>
        </w:rPr>
        <w:t xml:space="preserve"> (رمضان،2020، 94، 95).</w:t>
      </w:r>
    </w:p>
    <w:p w14:paraId="71C9B9CA"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د. نظم التحفيز والمكافآت</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تشمل المكافآت المالية، والمزايا العينية، والمكافآت المعنوية مثل التقدير والاعتراف بالإنجازات</w:t>
      </w:r>
      <w:r w:rsidRPr="00297D66">
        <w:rPr>
          <w:rFonts w:ascii="SimplifiedArabic" w:hAnsi="Courier New" w:cs="SimplifiedArabic"/>
          <w:color w:val="1F1F1F"/>
          <w:sz w:val="28"/>
          <w:szCs w:val="28"/>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ترتبط هذه النظم بتحفيز الموظفين على الأداء المتميز، وزيادة الرضا الوظيفي، وتقليل الغياب والتأخر</w:t>
      </w:r>
      <w:r w:rsidRPr="00297D66">
        <w:rPr>
          <w:rFonts w:ascii="SimplifiedArabic" w:hAnsi="Courier New" w:cs="SimplifiedArabic" w:hint="cs"/>
          <w:color w:val="1F1F1F"/>
          <w:sz w:val="28"/>
          <w:szCs w:val="28"/>
          <w:rtl/>
          <w:lang w:bidi="ar-EG"/>
        </w:rPr>
        <w:t>ك</w:t>
      </w:r>
      <w:r w:rsidRPr="00297D66">
        <w:rPr>
          <w:rFonts w:ascii="Courier New" w:hAnsi="Courier New" w:cs="SimplifiedArabic" w:hint="cs"/>
          <w:color w:val="1F1F1F"/>
          <w:sz w:val="28"/>
          <w:szCs w:val="28"/>
          <w:rtl/>
          <w:lang w:val="en-GB" w:bidi="ar-EG"/>
        </w:rPr>
        <w:t xml:space="preserve"> </w:t>
      </w:r>
      <w:r w:rsidRPr="00297D66">
        <w:rPr>
          <w:rFonts w:ascii="SimplifiedArabic" w:hAnsi="Courier New" w:cs="SimplifiedArabic"/>
          <w:color w:val="1F1F1F"/>
          <w:sz w:val="28"/>
          <w:szCs w:val="28"/>
          <w:rtl/>
        </w:rPr>
        <w:t>تصميم نظام مكافآت متوازن يعكس جهود الأفراد ويحفزهم على الابتكار والإبداع</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العربيات</w:t>
      </w:r>
      <w:r w:rsidRPr="00297D66">
        <w:rPr>
          <w:rFonts w:ascii="SimplifiedArabic" w:hAnsi="Courier New" w:cs="SimplifiedArabic" w:hint="cs"/>
          <w:color w:val="1F1F1F"/>
          <w:sz w:val="28"/>
          <w:szCs w:val="28"/>
          <w:rtl/>
        </w:rPr>
        <w:t>، 2025، 14، 15).</w:t>
      </w:r>
    </w:p>
    <w:p w14:paraId="62E97DBB"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p>
    <w:p w14:paraId="328958CF"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p>
    <w:p w14:paraId="5A20C9ED"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b/>
          <w:bCs/>
          <w:color w:val="1F1F1F"/>
          <w:sz w:val="28"/>
          <w:szCs w:val="28"/>
          <w:rtl/>
        </w:rPr>
      </w:pPr>
      <w:r w:rsidRPr="00297D66">
        <w:rPr>
          <w:rFonts w:ascii="SimplifiedArabic" w:hAnsi="Courier New" w:cs="SimplifiedArabic"/>
          <w:b/>
          <w:bCs/>
          <w:color w:val="1F1F1F"/>
          <w:sz w:val="28"/>
          <w:szCs w:val="28"/>
          <w:rtl/>
        </w:rPr>
        <w:lastRenderedPageBreak/>
        <w:t>استراتيجيات تنفيذ ممارسات إدارة الموارد البشرية الاستراتيجية</w:t>
      </w:r>
      <w:r w:rsidRPr="00297D66">
        <w:rPr>
          <w:rFonts w:ascii="SimplifiedArabic" w:hAnsi="Courier New" w:cs="SimplifiedArabic" w:hint="cs"/>
          <w:b/>
          <w:bCs/>
          <w:color w:val="1F1F1F"/>
          <w:sz w:val="28"/>
          <w:szCs w:val="28"/>
          <w:rtl/>
        </w:rPr>
        <w:t>:</w:t>
      </w:r>
    </w:p>
    <w:p w14:paraId="36EF62F0"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تحليل البيئة الداخلية والخارجية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تحليل البيئة الداخلية والخارجية يعد خطوة أساسية لتنفيذ ممارسات الموارد البشرية الاستراتيجية بشكل فعّال، إذ يمكّن الشركات من فهم قدراتها ومواردها والفرص والتهديدات المحيطة بها. يتضمن التحليل الداخلي دراسة الهيكل التنظيمي، مستوى كفاءة الموظفين، نقاط القوة والضعف في أداء الفرق، والموارد المتاحة لتحقيق أهداف المشاريع الهندسية. أما التحليل الخارجي فيشمل تقييم التحديات الاقتصادية، التغيرات التكنولوجية، المنافسة في السوق، والاتجاهات التنظيمية الحديثة التي قد تؤثر على سير العمل. يساعد هذا التحليل الإدارة على وضع خطط واقعية لتوظيف الكفاءات المناسبة، تصميم برامج التدريب الملائمة، وتحديد أولويات المشاريع بما يضمن تحقيق الأداء الأمثل. على سبيل المثال، يمكن للشركة الهندسية استخدام تحليل</w:t>
      </w:r>
      <w:r w:rsidRPr="00297D66">
        <w:rPr>
          <w:rFonts w:ascii="SimplifiedArabic" w:hAnsi="Courier New" w:cs="SimplifiedArabic"/>
          <w:color w:val="1F1F1F"/>
          <w:sz w:val="28"/>
          <w:szCs w:val="28"/>
        </w:rPr>
        <w:t xml:space="preserve"> SWOT </w:t>
      </w:r>
      <w:r w:rsidRPr="00297D66">
        <w:rPr>
          <w:rFonts w:ascii="SimplifiedArabic" w:hAnsi="Courier New" w:cs="SimplifiedArabic"/>
          <w:color w:val="1F1F1F"/>
          <w:sz w:val="28"/>
          <w:szCs w:val="28"/>
          <w:rtl/>
        </w:rPr>
        <w:t>لتحديد المجالات التي تحتاج لتطوير المهارات أو إعادة توزيع الفرق وفق الاحتياجات الفعلية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رحال</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سواكري</w:t>
      </w:r>
      <w:r w:rsidRPr="00297D66">
        <w:rPr>
          <w:rFonts w:ascii="SimplifiedArabic" w:hAnsi="Courier New" w:cs="SimplifiedArabic" w:hint="cs"/>
          <w:color w:val="1F1F1F"/>
          <w:sz w:val="28"/>
          <w:szCs w:val="28"/>
          <w:rtl/>
        </w:rPr>
        <w:t>، 2020).</w:t>
      </w:r>
    </w:p>
    <w:p w14:paraId="18B362DD"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ربط الموارد البشرية بالأهداف التنظيمية</w:t>
      </w:r>
      <w:r w:rsidRPr="00297D66">
        <w:rPr>
          <w:rFonts w:ascii="SimplifiedArabic" w:hAnsi="Courier New" w:cs="SimplifiedArabic" w:hint="cs"/>
          <w:b/>
          <w:bCs/>
          <w:color w:val="1F1F1F"/>
          <w:sz w:val="28"/>
          <w:szCs w:val="28"/>
          <w:rtl/>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تعد عملية ربط الموارد البشرية بالأهداف التنظيمية من أهم استراتيجيات الإدارة الاستراتيجية للموارد البشرية، إذ تضمن أن جميع سياسات الموارد البشرية والخطط التنفيذية تتماشى مع أهداف الشركة طويلة وقصيرة المدى. يشمل ذلك وضع مؤشرات أداء رئيسية لكل موظف وربطها بمخرجات المشروع ونتائج الفرق الهندسية، مما يخلق توازناً بين الإنجازات الفردية والجماعية وبين متطلبات المنظمة. يتيح هذا الربط للإدارة القدرة على تقييم مساهمة كل موظف في تحقيق الأهداف، وتحديد المجالات التي تحتاج إلى دعم إضافي أو تطوير مهارات. على سبيل المثال، يمكن وضع خطط تطوير لكل مهندس وفق مهاراته الحالية واحتياجات المشروع، بحيث </w:t>
      </w:r>
      <w:r w:rsidRPr="00297D66">
        <w:rPr>
          <w:rFonts w:ascii="SimplifiedArabic" w:hAnsi="Courier New" w:cs="SimplifiedArabic"/>
          <w:color w:val="1F1F1F"/>
          <w:sz w:val="28"/>
          <w:szCs w:val="28"/>
          <w:rtl/>
        </w:rPr>
        <w:lastRenderedPageBreak/>
        <w:t>تتوافق مع أهداف تحسين جودة المشروع أو تقليل تكاليف التنفيذ</w:t>
      </w:r>
      <w:r w:rsidRPr="00297D66">
        <w:rPr>
          <w:rFonts w:ascii="SimplifiedArabic" w:hAnsi="Courier New" w:cs="SimplifiedArabic" w:hint="cs"/>
          <w:color w:val="1F1F1F"/>
          <w:sz w:val="28"/>
          <w:szCs w:val="28"/>
          <w:rtl/>
        </w:rPr>
        <w:t xml:space="preserve"> (أبو حسين، الفاضل، 2020، 37، 38).</w:t>
      </w:r>
    </w:p>
    <w:p w14:paraId="34E46B50"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التركيز على التعلم المستمر والتطوير</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تعد برامج التعلم المستمر والتطوير المهني جزءاً لا يتجزأ من استراتيجيات إدارة الموارد البشرية الاستراتيجية، إذ تعمل على تعزيز كفاءة الموظفين وتحسين أدائهم باستمرار. يشمل هذا التدريب الفني للموظفين على أحدث الأدوات والبرمجيات الهندسية، وكذلك التدريب الإداري والقيادي للمديرين والفريق التنفيذي لضمان تطوير قدراتهم على التخطيط وإدارة المشاريع. كما تهدف برامج التطوير إلى تشجيع الموظفين على الابتكار والمبادرة في حل المشكلات، بما يدعم تحقيق أهداف الشركة وتحسين جودة المشاريع. على سبيل المثال، يمكن إنشاء أكاديميات تدريب داخلية متخصصة للمهندسين لتطوير مهاراتهم التقنية وتطبيق أحدث المعايير الهندسية، إضافة إلى برامج تدريبية للقيادات على إدارة فرق العمل وحل النزاعات </w:t>
      </w:r>
      <w:r w:rsidRPr="00297D66">
        <w:rPr>
          <w:rFonts w:ascii="SimplifiedArabic" w:hAnsi="Courier New" w:cs="SimplifiedArabic" w:hint="cs"/>
          <w:color w:val="1F1F1F"/>
          <w:sz w:val="28"/>
          <w:szCs w:val="28"/>
          <w:rtl/>
        </w:rPr>
        <w:t>التنظيمية (</w:t>
      </w:r>
      <w:r w:rsidRPr="00297D66">
        <w:rPr>
          <w:rFonts w:ascii="SimplifiedArabic" w:hAnsi="Courier New" w:cs="SimplifiedArabic"/>
          <w:color w:val="1F1F1F"/>
          <w:sz w:val="28"/>
          <w:szCs w:val="28"/>
          <w:rtl/>
        </w:rPr>
        <w:t>العربيات</w:t>
      </w:r>
      <w:r w:rsidRPr="00297D66">
        <w:rPr>
          <w:rFonts w:ascii="SimplifiedArabic" w:hAnsi="Courier New" w:cs="SimplifiedArabic" w:hint="cs"/>
          <w:color w:val="1F1F1F"/>
          <w:sz w:val="28"/>
          <w:szCs w:val="28"/>
          <w:rtl/>
        </w:rPr>
        <w:t>، 2025، 17، 18).</w:t>
      </w:r>
    </w:p>
    <w:p w14:paraId="39F5AA4A"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استخدام التكنولوجيا في إدارة الموارد البشرية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استخدام التكنولوجيا يعد استراتيجية محورية لتحسين فاعلية ممارسات الموارد البشرية الاستراتيجية، حيث توفر نظم معلومات الموارد البشرية</w:t>
      </w:r>
      <w:r w:rsidRPr="00297D66">
        <w:rPr>
          <w:rFonts w:ascii="SimplifiedArabic" w:hAnsi="Courier New" w:cs="SimplifiedArabic"/>
          <w:color w:val="1F1F1F"/>
          <w:sz w:val="28"/>
          <w:szCs w:val="28"/>
        </w:rPr>
        <w:t xml:space="preserve"> (HRIS) </w:t>
      </w:r>
      <w:r w:rsidRPr="00297D66">
        <w:rPr>
          <w:rFonts w:ascii="SimplifiedArabic" w:hAnsi="Courier New" w:cs="SimplifiedArabic"/>
          <w:color w:val="1F1F1F"/>
          <w:sz w:val="28"/>
          <w:szCs w:val="28"/>
          <w:rtl/>
        </w:rPr>
        <w:t>أدوات دقيقة لإدارة التوظيف، تقييم الأداء، وتتبع التدريب والتطوير. تمكن هذه النظم الإدارة من تحليل بيانات الموظفين بشكل دقيق، اتخاذ قرارات سريعة وموضوعية، ورصد نتائج الممارسات الاستراتيجية بشكل دوري. على سبيل المثال، يمكن استخدام برامج مثل</w:t>
      </w:r>
      <w:r w:rsidRPr="00297D66">
        <w:rPr>
          <w:rFonts w:ascii="SimplifiedArabic" w:hAnsi="Courier New" w:cs="SimplifiedArabic"/>
          <w:color w:val="1F1F1F"/>
          <w:sz w:val="28"/>
          <w:szCs w:val="28"/>
        </w:rPr>
        <w:t xml:space="preserve"> SAP HR </w:t>
      </w:r>
      <w:r w:rsidRPr="00297D66">
        <w:rPr>
          <w:rFonts w:ascii="SimplifiedArabic" w:hAnsi="Courier New" w:cs="SimplifiedArabic"/>
          <w:color w:val="1F1F1F"/>
          <w:sz w:val="28"/>
          <w:szCs w:val="28"/>
          <w:rtl/>
        </w:rPr>
        <w:t>أو</w:t>
      </w:r>
      <w:r w:rsidRPr="00297D66">
        <w:rPr>
          <w:rFonts w:ascii="SimplifiedArabic" w:hAnsi="Courier New" w:cs="SimplifiedArabic"/>
          <w:color w:val="1F1F1F"/>
          <w:sz w:val="28"/>
          <w:szCs w:val="28"/>
        </w:rPr>
        <w:t xml:space="preserve"> Oracle HCM </w:t>
      </w:r>
      <w:r w:rsidRPr="00297D66">
        <w:rPr>
          <w:rFonts w:ascii="SimplifiedArabic" w:hAnsi="Courier New" w:cs="SimplifiedArabic"/>
          <w:color w:val="1F1F1F"/>
          <w:sz w:val="28"/>
          <w:szCs w:val="28"/>
          <w:rtl/>
        </w:rPr>
        <w:t xml:space="preserve">لمتابعة تقدم الموظفين في المشاريع الهندسية، قياس أداء الفرق، وربط نتائج الأداء بالمكافآت والتحفيز، ما يعزز </w:t>
      </w:r>
      <w:r w:rsidRPr="00297D66">
        <w:rPr>
          <w:rFonts w:ascii="SimplifiedArabic" w:hAnsi="Courier New" w:cs="SimplifiedArabic"/>
          <w:color w:val="1F1F1F"/>
          <w:sz w:val="28"/>
          <w:szCs w:val="28"/>
          <w:rtl/>
        </w:rPr>
        <w:lastRenderedPageBreak/>
        <w:t>العدالة والشفافية التنظيمية. إضافة إلى ذلك، يساعد استخدام التكنولوجيا على تقليل الأخطاء البشرية، تسريع العمليات الإدارية، وتحسين القدرة على تخطيط القوى العاملة بمرونة أكبر</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جوال</w:t>
      </w:r>
      <w:r w:rsidRPr="00297D66">
        <w:rPr>
          <w:rFonts w:ascii="SimplifiedArabic" w:hAnsi="Courier New" w:cs="SimplifiedArabic" w:hint="cs"/>
          <w:color w:val="1F1F1F"/>
          <w:sz w:val="28"/>
          <w:szCs w:val="28"/>
          <w:rtl/>
        </w:rPr>
        <w:t>، رابحي، لحول، 2020).</w:t>
      </w:r>
    </w:p>
    <w:p w14:paraId="2092A4A3" w14:textId="77777777" w:rsidR="00297D66" w:rsidRPr="00297D66" w:rsidRDefault="00297D66" w:rsidP="00297D66">
      <w:pPr>
        <w:tabs>
          <w:tab w:val="left" w:pos="521"/>
        </w:tabs>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Pr>
        <w:t xml:space="preserve"> </w:t>
      </w:r>
      <w:r w:rsidRPr="00297D66">
        <w:rPr>
          <w:rFonts w:ascii="SimplifiedArabic" w:hAnsi="Courier New" w:cs="SimplifiedArabic"/>
          <w:b/>
          <w:bCs/>
          <w:color w:val="1F1F1F"/>
          <w:sz w:val="28"/>
          <w:szCs w:val="28"/>
          <w:rtl/>
        </w:rPr>
        <w:t>مراجعة دورية للسياسات والإجراءات</w:t>
      </w:r>
      <w:r w:rsidRPr="00297D66">
        <w:rPr>
          <w:rFonts w:ascii="SimplifiedArabic" w:hAnsi="Courier New" w:cs="SimplifiedArabic" w:hint="cs"/>
          <w:color w:val="1F1F1F"/>
          <w:sz w:val="28"/>
          <w:szCs w:val="28"/>
          <w:rtl/>
          <w:lang w:bidi="ar-EG"/>
        </w:rPr>
        <w:t xml:space="preserve">: </w:t>
      </w:r>
      <w:r w:rsidRPr="00297D66">
        <w:rPr>
          <w:rFonts w:ascii="SimplifiedArabic" w:hAnsi="Courier New" w:cs="SimplifiedArabic"/>
          <w:color w:val="1F1F1F"/>
          <w:sz w:val="28"/>
          <w:szCs w:val="28"/>
          <w:rtl/>
        </w:rPr>
        <w:t>تعد المراجعة الدورية للسياسات والإجراءات استراتيجية حيوية لضمان ملاءمة ممارسات الموارد البشرية للتغيرات الاقتصادية، القانونية، والتكنولوجية. يشمل ذلك تقييم فعالية سياسات التدريب، التوظيف، التحفيز، وتقييم الأداء بشكل منتظم، مع تعديلها لتلبية احتياجات المنظمة والموظفين. على سبيل المثال، يمكن عقد اجتماعات سنوية لمراجعة سياسات المكافآت وتحديثها بما يتوافق مع مشاريع الشركة الجديدة أو التغيرات في سوق العمل الهندسي. كما يمكن تحليل البيانات المتعلقة بالموظفين وأدائهم لتحديد المجالات التي تحتاج إلى تحسين أو إعادة هيكلة العمليات</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غراز</w:t>
      </w:r>
      <w:r w:rsidRPr="00297D66">
        <w:rPr>
          <w:rFonts w:ascii="SimplifiedArabic" w:hAnsi="Courier New" w:cs="SimplifiedArabic" w:hint="cs"/>
          <w:color w:val="1F1F1F"/>
          <w:sz w:val="28"/>
          <w:szCs w:val="28"/>
          <w:rtl/>
        </w:rPr>
        <w:t>، سوالمية، 2019).</w:t>
      </w:r>
    </w:p>
    <w:p w14:paraId="34C2CD31" w14:textId="77777777" w:rsidR="00297D66" w:rsidRPr="00297D66" w:rsidRDefault="00297D66" w:rsidP="00297D66">
      <w:pPr>
        <w:autoSpaceDE w:val="0"/>
        <w:autoSpaceDN w:val="0"/>
        <w:bidi/>
        <w:adjustRightInd w:val="0"/>
        <w:spacing w:after="0" w:line="600" w:lineRule="auto"/>
        <w:jc w:val="lowKashida"/>
        <w:outlineLvl w:val="0"/>
        <w:rPr>
          <w:rFonts w:ascii="SimplifiedArabic" w:hAnsi="Courier New" w:cs="SimplifiedArabic"/>
          <w:b/>
          <w:bCs/>
          <w:color w:val="1F1F1F"/>
          <w:sz w:val="30"/>
          <w:szCs w:val="30"/>
          <w:rtl/>
        </w:rPr>
      </w:pPr>
      <w:bookmarkStart w:id="19" w:name="_Toc224826649"/>
      <w:r w:rsidRPr="00297D66">
        <w:rPr>
          <w:rFonts w:ascii="Courier New" w:hAnsi="Courier New" w:cs="SimplifiedArabic"/>
          <w:b/>
          <w:bCs/>
          <w:color w:val="1F1F1F"/>
          <w:sz w:val="32"/>
          <w:szCs w:val="32"/>
          <w:rtl/>
          <w:lang w:val="en-GB" w:bidi="ar-EG"/>
        </w:rPr>
        <w:t>ثانياً: الأداء التنظيمي</w:t>
      </w:r>
      <w:r w:rsidRPr="00297D66">
        <w:rPr>
          <w:rFonts w:ascii="SimplifiedArabic" w:hAnsi="Courier New" w:cs="SimplifiedArabic" w:hint="cs"/>
          <w:b/>
          <w:bCs/>
          <w:color w:val="1F1F1F"/>
          <w:sz w:val="30"/>
          <w:szCs w:val="30"/>
          <w:rtl/>
        </w:rPr>
        <w:t>:</w:t>
      </w:r>
      <w:bookmarkEnd w:id="19"/>
    </w:p>
    <w:p w14:paraId="3046B1AF"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color w:val="1F1F1F"/>
          <w:sz w:val="28"/>
          <w:szCs w:val="28"/>
          <w:rtl/>
          <w:lang w:bidi="ar-EG"/>
        </w:rPr>
      </w:pP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يُعد الأداء التنظيمي أحد أهم مؤشرات نجاح أي منظمة، حيث يعكس قدرتها على تحقيق أهدافها الاستراتيجية بكفاءة وفعالية. </w:t>
      </w:r>
    </w:p>
    <w:p w14:paraId="231B5B18"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b/>
          <w:bCs/>
          <w:color w:val="1F1F1F"/>
          <w:sz w:val="28"/>
          <w:szCs w:val="28"/>
        </w:rPr>
      </w:pPr>
      <w:r w:rsidRPr="00297D66">
        <w:rPr>
          <w:rFonts w:ascii="SimplifiedArabic" w:hAnsi="Courier New" w:cs="SimplifiedArabic"/>
          <w:b/>
          <w:bCs/>
          <w:color w:val="1F1F1F"/>
          <w:sz w:val="28"/>
          <w:szCs w:val="28"/>
          <w:rtl/>
        </w:rPr>
        <w:t>الإطار المفاهيمي للأداء التنظيمي</w:t>
      </w:r>
      <w:r w:rsidRPr="00297D66">
        <w:rPr>
          <w:rFonts w:ascii="SimplifiedArabic" w:hAnsi="Courier New" w:cs="SimplifiedArabic" w:hint="cs"/>
          <w:b/>
          <w:bCs/>
          <w:color w:val="1F1F1F"/>
          <w:sz w:val="28"/>
          <w:szCs w:val="28"/>
          <w:rtl/>
        </w:rPr>
        <w:t>:</w:t>
      </w:r>
    </w:p>
    <w:p w14:paraId="6B827D5C"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297D66">
        <w:rPr>
          <w:rFonts w:ascii="SimplifiedArabic" w:hAnsi="Courier New" w:cs="SimplifiedArabic" w:hint="cs"/>
          <w:color w:val="1F1F1F"/>
          <w:sz w:val="28"/>
          <w:szCs w:val="28"/>
          <w:rtl/>
          <w:lang w:bidi="ar-EG"/>
        </w:rPr>
        <w:t xml:space="preserve">   </w:t>
      </w:r>
      <w:r w:rsidRPr="00297D66">
        <w:rPr>
          <w:rFonts w:ascii="SimplifiedArabic" w:hAnsi="Courier New" w:cs="SimplifiedArabic"/>
          <w:color w:val="1F1F1F"/>
          <w:sz w:val="28"/>
          <w:szCs w:val="28"/>
          <w:rtl/>
        </w:rPr>
        <w:t>يعرف</w:t>
      </w:r>
      <w:r w:rsidRPr="00297D66">
        <w:rPr>
          <w:rFonts w:ascii="SimplifiedArabic" w:hAnsi="Courier New" w:cs="SimplifiedArabic"/>
          <w:color w:val="1F1F1F"/>
          <w:sz w:val="28"/>
          <w:szCs w:val="28"/>
        </w:rPr>
        <w:t xml:space="preserve"> </w:t>
      </w:r>
      <w:r w:rsidRPr="00297D66">
        <w:rPr>
          <w:rFonts w:ascii="SimplifiedArabic" w:hAnsi="Courier New" w:cs="SimplifiedArabic"/>
          <w:color w:val="1F1F1F"/>
          <w:sz w:val="28"/>
          <w:szCs w:val="28"/>
          <w:rtl/>
        </w:rPr>
        <w:t>الأداء التنظيمي بأنه القدرة التي تمتلكها المنظمة لتحقيق أهدافها من خلال استغلال الموارد المتاحة بأفضل شكل ممكن، مشيرًا إلى أنه مقياس شامل يشمل الموارد البشرية، المالية، والتقنية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الزعبي</w:t>
      </w:r>
      <w:r w:rsidRPr="00297D66">
        <w:rPr>
          <w:rFonts w:ascii="SimplifiedArabic" w:hAnsi="Courier New" w:cs="SimplifiedArabic" w:hint="cs"/>
          <w:color w:val="1F1F1F"/>
          <w:sz w:val="28"/>
          <w:szCs w:val="28"/>
          <w:rtl/>
        </w:rPr>
        <w:t>، 2023، 7).</w:t>
      </w:r>
    </w:p>
    <w:p w14:paraId="081023DE"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lastRenderedPageBreak/>
        <w:t xml:space="preserve"> </w:t>
      </w:r>
      <w:r w:rsidRPr="00297D66">
        <w:rPr>
          <w:rFonts w:ascii="SimplifiedArabic" w:hAnsi="Courier New" w:cs="SimplifiedArabic" w:hint="cs"/>
          <w:color w:val="1F1F1F"/>
          <w:sz w:val="28"/>
          <w:szCs w:val="28"/>
          <w:rtl/>
        </w:rPr>
        <w:t>ويُعرف ب</w:t>
      </w:r>
      <w:r w:rsidRPr="00297D66">
        <w:rPr>
          <w:rFonts w:ascii="SimplifiedArabic" w:hAnsi="Courier New" w:cs="SimplifiedArabic"/>
          <w:color w:val="1F1F1F"/>
          <w:sz w:val="28"/>
          <w:szCs w:val="28"/>
          <w:rtl/>
        </w:rPr>
        <w:t>أن</w:t>
      </w:r>
      <w:r w:rsidRPr="00297D66">
        <w:rPr>
          <w:rFonts w:ascii="SimplifiedArabic" w:hAnsi="Courier New" w:cs="SimplifiedArabic" w:hint="cs"/>
          <w:color w:val="1F1F1F"/>
          <w:sz w:val="28"/>
          <w:szCs w:val="28"/>
          <w:rtl/>
        </w:rPr>
        <w:t>ه</w:t>
      </w:r>
      <w:r w:rsidRPr="00297D66">
        <w:rPr>
          <w:rFonts w:ascii="SimplifiedArabic" w:hAnsi="Courier New" w:cs="SimplifiedArabic"/>
          <w:color w:val="1F1F1F"/>
          <w:sz w:val="28"/>
          <w:szCs w:val="28"/>
          <w:rtl/>
        </w:rPr>
        <w:t xml:space="preserve"> الأداء التنظيمي يتضمن تقييم النتائج الملموسة وغير الملموسة، مثل جودة العمليات الداخلية، رضا العملاء، التزام الموظفين، وفاعلية المشاريع المنفذة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دوخ</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برباوي،</w:t>
      </w:r>
      <w:r w:rsidRPr="00297D66">
        <w:rPr>
          <w:rFonts w:ascii="SimplifiedArabic" w:hAnsi="Courier New" w:cs="SimplifiedArabic" w:hint="cs"/>
          <w:color w:val="1F1F1F"/>
          <w:sz w:val="28"/>
          <w:szCs w:val="28"/>
          <w:rtl/>
        </w:rPr>
        <w:t xml:space="preserve"> 2023).</w:t>
      </w:r>
    </w:p>
    <w:p w14:paraId="6E3CAF6C"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من منظور تطبيقي، يعد الأداء التنظيمي مؤشرًا متعدد الأبعاد يعكس مدى توافق جميع عناصر المنظمة مع استراتيجياتها، ويعتبر أساسًا لتحديد النجاحات والفجوات التي تحتاج إلى تحسين</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أبو سليمان</w:t>
      </w:r>
      <w:r w:rsidRPr="00297D66">
        <w:rPr>
          <w:rFonts w:ascii="SimplifiedArabic" w:hAnsi="Courier New" w:cs="SimplifiedArabic" w:hint="cs"/>
          <w:color w:val="1F1F1F"/>
          <w:sz w:val="28"/>
          <w:szCs w:val="28"/>
          <w:rtl/>
        </w:rPr>
        <w:t>، 2021، 6).</w:t>
      </w:r>
    </w:p>
    <w:p w14:paraId="2922AFC8"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b/>
          <w:bCs/>
          <w:color w:val="1F1F1F"/>
          <w:sz w:val="28"/>
          <w:szCs w:val="28"/>
          <w:rtl/>
        </w:rPr>
      </w:pPr>
      <w:r w:rsidRPr="00297D66">
        <w:rPr>
          <w:rFonts w:ascii="SimplifiedArabic" w:hAnsi="Courier New" w:cs="SimplifiedArabic"/>
          <w:b/>
          <w:bCs/>
          <w:color w:val="1F1F1F"/>
          <w:sz w:val="28"/>
          <w:szCs w:val="28"/>
          <w:rtl/>
        </w:rPr>
        <w:t>أهمية الأداء التنظيمي</w:t>
      </w:r>
      <w:r w:rsidRPr="00297D66">
        <w:rPr>
          <w:rFonts w:ascii="SimplifiedArabic" w:hAnsi="Courier New" w:cs="SimplifiedArabic" w:hint="cs"/>
          <w:b/>
          <w:bCs/>
          <w:color w:val="1F1F1F"/>
          <w:sz w:val="28"/>
          <w:szCs w:val="28"/>
          <w:rtl/>
        </w:rPr>
        <w:t>:</w:t>
      </w:r>
    </w:p>
    <w:p w14:paraId="32BE54B6" w14:textId="77777777" w:rsidR="00297D66" w:rsidRPr="00297D66" w:rsidRDefault="00297D66" w:rsidP="00297D66">
      <w:pPr>
        <w:autoSpaceDE w:val="0"/>
        <w:autoSpaceDN w:val="0"/>
        <w:bidi/>
        <w:adjustRightInd w:val="0"/>
        <w:spacing w:after="0" w:line="600" w:lineRule="auto"/>
        <w:jc w:val="lowKashida"/>
        <w:rPr>
          <w:rFonts w:cs="SimplifiedArabic"/>
          <w:color w:val="1F1F1F"/>
          <w:sz w:val="28"/>
          <w:szCs w:val="28"/>
          <w:rtl/>
          <w:lang w:val="en-GB" w:bidi="ar-EG"/>
        </w:rPr>
      </w:pPr>
      <w:r w:rsidRPr="00297D66">
        <w:rPr>
          <w:rFonts w:ascii="SimplifiedArabic" w:hAnsi="Courier New" w:cs="SimplifiedArabic"/>
          <w:color w:val="1F1F1F"/>
          <w:sz w:val="28"/>
          <w:szCs w:val="28"/>
          <w:rtl/>
        </w:rPr>
        <w:t>مؤشر على نجاح المنظمة واستدامتها</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الأداء التنظيمي يعكس قدرة الشركة على تحقيق أهدافها الاستراتيجية بكفاءة وفعالية، وهو مؤشر رئيسي لتقييم نجاحها واستمرارها في السوق. الشركات ذات الأداء العالي تتمكن من البقاء والمنافسة، بينما يؤدي الأداء المنخفض إلى ضعف الاستدامة وفقدان الميزة </w:t>
      </w:r>
      <w:r w:rsidRPr="00297D66">
        <w:rPr>
          <w:rFonts w:ascii="SimplifiedArabic" w:hAnsi="Courier New" w:cs="SimplifiedArabic" w:hint="cs"/>
          <w:color w:val="1F1F1F"/>
          <w:sz w:val="28"/>
          <w:szCs w:val="28"/>
          <w:rtl/>
        </w:rPr>
        <w:t>التنافسية (</w:t>
      </w:r>
      <w:r w:rsidRPr="00297D66">
        <w:rPr>
          <w:rFonts w:cs="SimplifiedArabic" w:hint="cs"/>
          <w:color w:val="1F1F1F"/>
          <w:sz w:val="28"/>
          <w:szCs w:val="28"/>
          <w:rtl/>
          <w:lang w:val="en-GB" w:bidi="ar-EG"/>
        </w:rPr>
        <w:t>عبد الستا</w:t>
      </w:r>
      <w:r w:rsidRPr="00297D66">
        <w:rPr>
          <w:rFonts w:cs="SimplifiedArabic" w:hint="eastAsia"/>
          <w:color w:val="1F1F1F"/>
          <w:sz w:val="28"/>
          <w:szCs w:val="28"/>
          <w:rtl/>
          <w:lang w:val="en-GB" w:bidi="ar-EG"/>
        </w:rPr>
        <w:t>ر</w:t>
      </w:r>
      <w:r w:rsidRPr="00297D66">
        <w:rPr>
          <w:rFonts w:cs="SimplifiedArabic" w:hint="cs"/>
          <w:color w:val="1F1F1F"/>
          <w:sz w:val="28"/>
          <w:szCs w:val="28"/>
          <w:rtl/>
          <w:lang w:val="en-GB" w:bidi="ar-EG"/>
        </w:rPr>
        <w:t>، العنتري، 2025).</w:t>
      </w:r>
    </w:p>
    <w:p w14:paraId="4AC4A7C7" w14:textId="77777777" w:rsidR="00297D66" w:rsidRPr="00297D66" w:rsidRDefault="00297D66" w:rsidP="00297D66">
      <w:pPr>
        <w:autoSpaceDE w:val="0"/>
        <w:autoSpaceDN w:val="0"/>
        <w:bidi/>
        <w:adjustRightInd w:val="0"/>
        <w:spacing w:after="0" w:line="600" w:lineRule="auto"/>
        <w:jc w:val="lowKashida"/>
        <w:rPr>
          <w:rFonts w:cs="SimplifiedArabic"/>
          <w:color w:val="1F1F1F"/>
          <w:sz w:val="28"/>
          <w:szCs w:val="28"/>
          <w:rtl/>
          <w:lang w:val="en-GB" w:bidi="ar-EG"/>
        </w:rPr>
      </w:pPr>
      <w:r w:rsidRPr="00297D66">
        <w:rPr>
          <w:rFonts w:ascii="SimplifiedArabic" w:hAnsi="Courier New" w:cs="SimplifiedArabic"/>
          <w:color w:val="1F1F1F"/>
          <w:sz w:val="28"/>
          <w:szCs w:val="28"/>
          <w:rtl/>
        </w:rPr>
        <w:t>أساس لاتخاذ القرارات الإدارية والتحسين المستمر</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يوفر الأداء التنظيمي بيانات موضوعية للإدارة تساعدها على مراجعة العمليات الداخلية، تحديد نقاط القوة والضعف، واتخاذ قرارات مستنيرة لتحسين الجودة </w:t>
      </w:r>
      <w:r w:rsidRPr="00297D66">
        <w:rPr>
          <w:rFonts w:ascii="SimplifiedArabic" w:hAnsi="Courier New" w:cs="SimplifiedArabic" w:hint="cs"/>
          <w:color w:val="1F1F1F"/>
          <w:sz w:val="28"/>
          <w:szCs w:val="28"/>
          <w:rtl/>
        </w:rPr>
        <w:t xml:space="preserve">والكفاءة </w:t>
      </w:r>
      <w:r w:rsidRPr="00297D66">
        <w:rPr>
          <w:rFonts w:ascii="SimplifiedArabic" w:hAnsi="Courier New" w:cs="SimplifiedArabic"/>
          <w:color w:val="1F1F1F"/>
          <w:sz w:val="28"/>
          <w:szCs w:val="28"/>
          <w:rtl/>
        </w:rPr>
        <w:t>(الزعبي</w:t>
      </w:r>
      <w:r w:rsidRPr="00297D66">
        <w:rPr>
          <w:rFonts w:ascii="SimplifiedArabic" w:hAnsi="Courier New" w:cs="SimplifiedArabic" w:hint="cs"/>
          <w:color w:val="1F1F1F"/>
          <w:sz w:val="28"/>
          <w:szCs w:val="28"/>
          <w:rtl/>
        </w:rPr>
        <w:t>، 2023، 22).</w:t>
      </w:r>
    </w:p>
    <w:p w14:paraId="75655914" w14:textId="77777777" w:rsidR="00297D66" w:rsidRPr="00297D66" w:rsidRDefault="00297D66" w:rsidP="00297D66">
      <w:pPr>
        <w:autoSpaceDE w:val="0"/>
        <w:autoSpaceDN w:val="0"/>
        <w:bidi/>
        <w:adjustRightInd w:val="0"/>
        <w:spacing w:after="0" w:line="600" w:lineRule="auto"/>
        <w:ind w:left="360"/>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تعزيز القدرة التنافسية للشركة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يسهم الأداء التنظيمي المرتفع في تعزيز قدرة الشركات على المنافسة محليًا ودوليًا، من خلال تحسين جودة المشاريع، تقليل التكاليف، الالتزام بالجداول الزمنية، وتقديم منتجات وخدمات عالية المستوى</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أبو سليمان</w:t>
      </w:r>
      <w:r w:rsidRPr="00297D66">
        <w:rPr>
          <w:rFonts w:ascii="SimplifiedArabic" w:hAnsi="Courier New" w:cs="SimplifiedArabic" w:hint="cs"/>
          <w:color w:val="1F1F1F"/>
          <w:sz w:val="28"/>
          <w:szCs w:val="28"/>
          <w:rtl/>
        </w:rPr>
        <w:t>، 2021، 17).</w:t>
      </w:r>
    </w:p>
    <w:p w14:paraId="4C1741A9"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lastRenderedPageBreak/>
        <w:t>رفع جودة وفاعلية المشاريع</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يرتبط الأداء التنظيمي بشكل مباشر بجودة المشاريع، خصوصًا في الشركات الهندسية، حيث يضمن الالتزام بالمعايير الفنية والتقنية، تحسين الإنتاجية، وتقليل الأخطاء والهدر في </w:t>
      </w:r>
      <w:r w:rsidRPr="00297D66">
        <w:rPr>
          <w:rFonts w:ascii="SimplifiedArabic" w:hAnsi="Courier New" w:cs="SimplifiedArabic" w:hint="cs"/>
          <w:color w:val="1F1F1F"/>
          <w:sz w:val="28"/>
          <w:szCs w:val="28"/>
          <w:rtl/>
        </w:rPr>
        <w:t xml:space="preserve">الموارد </w:t>
      </w:r>
      <w:r w:rsidRPr="00297D66">
        <w:rPr>
          <w:rFonts w:ascii="SimplifiedArabic" w:hAnsi="Courier New" w:cs="SimplifiedArabic"/>
          <w:color w:val="1F1F1F"/>
          <w:sz w:val="28"/>
          <w:szCs w:val="28"/>
          <w:rtl/>
        </w:rPr>
        <w:t>(جخدم</w:t>
      </w:r>
      <w:r w:rsidRPr="00297D66">
        <w:rPr>
          <w:rFonts w:ascii="SimplifiedArabic" w:hAnsi="Courier New" w:cs="SimplifiedArabic" w:hint="cs"/>
          <w:color w:val="1F1F1F"/>
          <w:sz w:val="28"/>
          <w:szCs w:val="28"/>
          <w:rtl/>
        </w:rPr>
        <w:t>، 2023).</w:t>
      </w:r>
    </w:p>
    <w:p w14:paraId="333ED1BA" w14:textId="77777777" w:rsidR="00297D66" w:rsidRPr="00297D66" w:rsidRDefault="00297D66" w:rsidP="00297D66">
      <w:pPr>
        <w:autoSpaceDE w:val="0"/>
        <w:autoSpaceDN w:val="0"/>
        <w:bidi/>
        <w:adjustRightInd w:val="0"/>
        <w:spacing w:after="0" w:line="600" w:lineRule="auto"/>
        <w:jc w:val="lowKashida"/>
        <w:rPr>
          <w:rFonts w:cs="SimplifiedArabic"/>
          <w:color w:val="1F1F1F"/>
          <w:sz w:val="28"/>
          <w:szCs w:val="28"/>
          <w:rtl/>
          <w:lang w:bidi="ar-EG"/>
        </w:rPr>
      </w:pPr>
      <w:r w:rsidRPr="00297D66">
        <w:rPr>
          <w:rFonts w:ascii="SimplifiedArabic" w:hAnsi="Courier New" w:cs="SimplifiedArabic"/>
          <w:color w:val="1F1F1F"/>
          <w:sz w:val="28"/>
          <w:szCs w:val="28"/>
          <w:rtl/>
        </w:rPr>
        <w:t>زيادة رضا الموظفين وتحسين الالتزام الوظيفي</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الأداء التنظيمي الجيد يعكس بيئة عمل منظمة وواضحة، مما يعزز رضا الموظفين ويزيد انتماءهم، ويقلل من معدل الدوران الوظيفي ويزيد من استقرار القوى </w:t>
      </w:r>
      <w:r w:rsidRPr="00297D66">
        <w:rPr>
          <w:rFonts w:ascii="SimplifiedArabic" w:hAnsi="Courier New" w:cs="SimplifiedArabic" w:hint="cs"/>
          <w:color w:val="1F1F1F"/>
          <w:sz w:val="28"/>
          <w:szCs w:val="28"/>
          <w:rtl/>
        </w:rPr>
        <w:t>العاملة (</w:t>
      </w:r>
      <w:r w:rsidRPr="00297D66">
        <w:rPr>
          <w:rFonts w:ascii="SimplifiedArabic" w:hAnsi="Courier New" w:cs="SimplifiedArabic"/>
          <w:color w:val="1F1F1F"/>
          <w:sz w:val="28"/>
          <w:szCs w:val="28"/>
          <w:rtl/>
        </w:rPr>
        <w:t>دوخ</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برباوي،</w:t>
      </w:r>
      <w:r w:rsidRPr="00297D66">
        <w:rPr>
          <w:rFonts w:ascii="SimplifiedArabic" w:hAnsi="Courier New" w:cs="SimplifiedArabic" w:hint="cs"/>
          <w:color w:val="1F1F1F"/>
          <w:sz w:val="28"/>
          <w:szCs w:val="28"/>
          <w:rtl/>
        </w:rPr>
        <w:t xml:space="preserve"> 2023).</w:t>
      </w:r>
    </w:p>
    <w:p w14:paraId="0C00A48A"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تحقيق الأهداف الاستراتيجية للشركة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يساعد الأداء التنظيمي في قياس مدى تحقيق الشركة لأهدافها المالية، التشغيلية، والتطويرية، ويضمن مواءمة جميع العمليات مع الاستراتيجية العامة للمنظمة، مما يضمن تحقيق النمو المستدام</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الزعبي</w:t>
      </w:r>
      <w:r w:rsidRPr="00297D66">
        <w:rPr>
          <w:rFonts w:ascii="SimplifiedArabic" w:hAnsi="Courier New" w:cs="SimplifiedArabic" w:hint="cs"/>
          <w:color w:val="1F1F1F"/>
          <w:sz w:val="28"/>
          <w:szCs w:val="28"/>
          <w:rtl/>
        </w:rPr>
        <w:t>، 2023، 23).</w:t>
      </w:r>
    </w:p>
    <w:p w14:paraId="0FB4FF0E"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تطوير صورة الشركة وسمعتها</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الأداء التنظيمي المرتفع يساهم في تعزيز سمعة الشركة بين العملاء والمستثمرين، ويجعلها وجهة مفضلة للعمل</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المرشد</w:t>
      </w:r>
      <w:r w:rsidRPr="00297D66">
        <w:rPr>
          <w:rFonts w:ascii="SimplifiedArabic" w:hAnsi="Courier New" w:cs="SimplifiedArabic" w:hint="cs"/>
          <w:color w:val="1F1F1F"/>
          <w:sz w:val="28"/>
          <w:szCs w:val="28"/>
          <w:rtl/>
        </w:rPr>
        <w:t>، 2019، 179).</w:t>
      </w:r>
    </w:p>
    <w:p w14:paraId="2DA9630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b/>
          <w:bCs/>
          <w:color w:val="1F1F1F"/>
          <w:sz w:val="28"/>
          <w:szCs w:val="28"/>
          <w:rtl/>
        </w:rPr>
      </w:pPr>
      <w:r w:rsidRPr="00297D66">
        <w:rPr>
          <w:rFonts w:ascii="SimplifiedArabic" w:hAnsi="Courier New" w:cs="SimplifiedArabic"/>
          <w:b/>
          <w:bCs/>
          <w:color w:val="1F1F1F"/>
          <w:sz w:val="28"/>
          <w:szCs w:val="28"/>
          <w:rtl/>
        </w:rPr>
        <w:t>أبعاد الأداء التنظيمي</w:t>
      </w:r>
    </w:p>
    <w:p w14:paraId="5649AE95"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color w:val="1F1F1F"/>
          <w:sz w:val="28"/>
          <w:szCs w:val="28"/>
          <w:rtl/>
        </w:rPr>
        <w:t xml:space="preserve">أ. </w:t>
      </w:r>
      <w:r w:rsidRPr="00297D66">
        <w:rPr>
          <w:rFonts w:ascii="SimplifiedArabic" w:hAnsi="Courier New" w:cs="SimplifiedArabic"/>
          <w:b/>
          <w:bCs/>
          <w:color w:val="1F1F1F"/>
          <w:sz w:val="28"/>
          <w:szCs w:val="28"/>
          <w:rtl/>
        </w:rPr>
        <w:t>جودة المشاريع</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جودة المشاريع هي أحد أبرز أبعاد الأداء التنظيمي، إذ تعكس مدى التزام الشركة بالمعايير الفنية المعتمدة في تنفيذ المشاريع. يرتبط هذا البعد مباشرة بمستوى التخطيط والتنظيم الداخلي، قدرة الفرق على الالتزام بالمعايير، وكفاءة استخدام الموارد</w:t>
      </w:r>
      <w:r w:rsidRPr="00297D66">
        <w:rPr>
          <w:rFonts w:ascii="SimplifiedArabic" w:hAnsi="Courier New" w:cs="SimplifiedArabic" w:hint="cs"/>
          <w:color w:val="1F1F1F"/>
          <w:sz w:val="28"/>
          <w:szCs w:val="28"/>
          <w:rtl/>
        </w:rPr>
        <w:t>.</w:t>
      </w:r>
      <w:r w:rsidRPr="00297D66">
        <w:rPr>
          <w:rFonts w:ascii="SimplifiedArabic" w:hAnsi="Courier New" w:cs="SimplifiedArabic"/>
          <w:color w:val="1F1F1F"/>
          <w:sz w:val="28"/>
          <w:szCs w:val="28"/>
          <w:rtl/>
        </w:rPr>
        <w:t xml:space="preserve"> يساهم تحسين جودة المشاريع في تعزيز سمعة الشركة، زيادة رضا العملاء، وتقليل التكاليف الناتجة عن الأخطاء أو إعادة العمل، ما يعكس الأداء التنظيمي الفعلي للشركة ويعزز قدرتها على </w:t>
      </w:r>
      <w:r w:rsidRPr="00297D66">
        <w:rPr>
          <w:rFonts w:ascii="SimplifiedArabic" w:hAnsi="Courier New" w:cs="SimplifiedArabic" w:hint="cs"/>
          <w:color w:val="1F1F1F"/>
          <w:sz w:val="28"/>
          <w:szCs w:val="28"/>
          <w:rtl/>
        </w:rPr>
        <w:t xml:space="preserve">المنافسة </w:t>
      </w:r>
      <w:r w:rsidRPr="00297D66">
        <w:rPr>
          <w:rFonts w:ascii="SimplifiedArabic" w:hAnsi="Courier New" w:cs="SimplifiedArabic"/>
          <w:color w:val="1F1F1F"/>
          <w:sz w:val="28"/>
          <w:szCs w:val="28"/>
          <w:rtl/>
        </w:rPr>
        <w:t>(</w:t>
      </w:r>
      <w:r w:rsidRPr="00297D66">
        <w:rPr>
          <w:rFonts w:cs="SimplifiedArabic"/>
          <w:color w:val="1F1F1F"/>
          <w:sz w:val="28"/>
          <w:szCs w:val="28"/>
          <w:rtl/>
          <w:lang w:val="en-GB" w:bidi="ar-EG"/>
        </w:rPr>
        <w:t>عبدالستار</w:t>
      </w:r>
      <w:r w:rsidRPr="00297D66">
        <w:rPr>
          <w:rFonts w:cs="SimplifiedArabic" w:hint="cs"/>
          <w:color w:val="1F1F1F"/>
          <w:sz w:val="28"/>
          <w:szCs w:val="28"/>
          <w:rtl/>
          <w:lang w:val="en-GB" w:bidi="ar-EG"/>
        </w:rPr>
        <w:t>، العنتري، 2025).</w:t>
      </w:r>
    </w:p>
    <w:p w14:paraId="63BB6132"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lastRenderedPageBreak/>
        <w:t>ب. كفاءة وإنتاجية الموظفين</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كفاءة وإنتاجية الموظفين تمثل البعد الثاني للأداء التنظيمي، إذ تتعلق بقدرة القوى العاملة على إنجاز المهام المطلوبة في الوقت المحدد وبأعلى جودة ممكنة. يشمل هذا البعد تقييم قدرات المهارات الفنية، التنظيمية، والقيادية للموظفين، بالإضافة إلى قدرتهم على الابتكار وحل المشكلات</w:t>
      </w:r>
      <w:r w:rsidRPr="00297D66">
        <w:rPr>
          <w:rFonts w:ascii="SimplifiedArabic" w:hAnsi="Courier New" w:cs="SimplifiedArabic"/>
          <w:color w:val="1F1F1F"/>
          <w:sz w:val="28"/>
          <w:szCs w:val="28"/>
        </w:rPr>
        <w:t xml:space="preserve">. </w:t>
      </w:r>
      <w:r w:rsidRPr="00297D66">
        <w:rPr>
          <w:rFonts w:ascii="SimplifiedArabic" w:hAnsi="Courier New" w:cs="SimplifiedArabic"/>
          <w:color w:val="1F1F1F"/>
          <w:sz w:val="28"/>
          <w:szCs w:val="28"/>
          <w:rtl/>
        </w:rPr>
        <w:t>على سبيل المثال، في فرق التصميم الهندسي، يتم قياس إنتاجية الموظفين من خلال عدد الرسومات والتصاميم المكتملة يوميًا ودرجة توافقها مع المواصفات المطلوبة. تؤدي زيادة كفاءة الموظفين إلى تحسين سرعة التنفيذ وتقليل الهدر في الوقت والموارد، كما تسهم في رفع مستوى رضا العملاء وتحقيق الأهداف الاستراتيجية للشركة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دوخ</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برباوي،</w:t>
      </w:r>
      <w:r w:rsidRPr="00297D66">
        <w:rPr>
          <w:rFonts w:ascii="SimplifiedArabic" w:hAnsi="Courier New" w:cs="SimplifiedArabic" w:hint="cs"/>
          <w:color w:val="1F1F1F"/>
          <w:sz w:val="28"/>
          <w:szCs w:val="28"/>
          <w:rtl/>
        </w:rPr>
        <w:t xml:space="preserve"> 2023).</w:t>
      </w:r>
    </w:p>
    <w:p w14:paraId="268C978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ج. الالتزام والانتماء التنظيمي</w:t>
      </w:r>
      <w:r w:rsidRPr="00297D66">
        <w:rPr>
          <w:rFonts w:ascii="SimplifiedArabic" w:hAnsi="Courier New" w:cs="SimplifiedArabic" w:hint="cs"/>
          <w:b/>
          <w:bCs/>
          <w:color w:val="1F1F1F"/>
          <w:sz w:val="28"/>
          <w:szCs w:val="28"/>
          <w:rtl/>
        </w:rPr>
        <w:t>:</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يشير الالتزام والانتماء التنظيمي إلى مدى التزام الموظفين بسياسات المنظمة ورضاهم عن بيئة العمل، وهو مؤشر حاسم على استقرار المؤسسة وكفاءة مواردها البشرية</w:t>
      </w:r>
      <w:r w:rsidRPr="00297D66">
        <w:rPr>
          <w:rFonts w:ascii="SimplifiedArabic" w:hAnsi="Courier New" w:cs="SimplifiedArabic" w:hint="cs"/>
          <w:color w:val="1F1F1F"/>
          <w:sz w:val="28"/>
          <w:szCs w:val="28"/>
          <w:rtl/>
        </w:rPr>
        <w:t>.</w:t>
      </w:r>
      <w:r w:rsidRPr="00297D66">
        <w:rPr>
          <w:rFonts w:ascii="SimplifiedArabic" w:hAnsi="Courier New" w:cs="SimplifiedArabic"/>
          <w:color w:val="1F1F1F"/>
          <w:sz w:val="28"/>
          <w:szCs w:val="28"/>
        </w:rPr>
        <w:t xml:space="preserve"> </w:t>
      </w:r>
      <w:r w:rsidRPr="00297D66">
        <w:rPr>
          <w:rFonts w:ascii="SimplifiedArabic" w:hAnsi="Courier New" w:cs="SimplifiedArabic"/>
          <w:color w:val="1F1F1F"/>
          <w:sz w:val="28"/>
          <w:szCs w:val="28"/>
          <w:rtl/>
        </w:rPr>
        <w:t xml:space="preserve">يتضمن هذا البعد عناصر مثل الانضباط الوظيفي، تحمل المسؤولية، التعاون بين الفرق، واستجابة الموظفين لتحديات العمل اليومية. على سبيل المثال، الموظف الذي يلتزم بالجدول الزمني للمشروع ويحترم المعايير الداخلية يعكس قدرة المنظمة على الحفاظ على مستويات عالية من الأداء المستدام. يعزز الانتماء التنظيمي الروح التعاونية ويقلل من معدلات الدوران الوظيفي، مما يؤدي إلى استقرار أكبر في فرق العمل وتحقيق أهداف الشركة </w:t>
      </w:r>
      <w:r w:rsidRPr="00297D66">
        <w:rPr>
          <w:rFonts w:ascii="SimplifiedArabic" w:hAnsi="Courier New" w:cs="SimplifiedArabic" w:hint="cs"/>
          <w:color w:val="1F1F1F"/>
          <w:sz w:val="28"/>
          <w:szCs w:val="28"/>
          <w:rtl/>
        </w:rPr>
        <w:t xml:space="preserve">بكفاءة </w:t>
      </w:r>
      <w:r w:rsidRPr="00297D66">
        <w:rPr>
          <w:rFonts w:ascii="SimplifiedArabic" w:hAnsi="Courier New" w:cs="SimplifiedArabic"/>
          <w:color w:val="1F1F1F"/>
          <w:sz w:val="28"/>
          <w:szCs w:val="28"/>
          <w:rtl/>
        </w:rPr>
        <w:t>(الزعبي</w:t>
      </w:r>
      <w:r w:rsidRPr="00297D66">
        <w:rPr>
          <w:rFonts w:ascii="SimplifiedArabic" w:hAnsi="Courier New" w:cs="SimplifiedArabic" w:hint="cs"/>
          <w:color w:val="1F1F1F"/>
          <w:sz w:val="28"/>
          <w:szCs w:val="28"/>
          <w:rtl/>
        </w:rPr>
        <w:t>، 2023، 25، 26).</w:t>
      </w:r>
    </w:p>
    <w:p w14:paraId="7A9ED4A3"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1F1F1F"/>
          <w:sz w:val="28"/>
          <w:szCs w:val="28"/>
          <w:rtl/>
        </w:rPr>
      </w:pPr>
      <w:r w:rsidRPr="00297D66">
        <w:rPr>
          <w:rFonts w:ascii="SimplifiedArabic" w:hAnsi="Courier New" w:cs="SimplifiedArabic"/>
          <w:b/>
          <w:bCs/>
          <w:color w:val="1F1F1F"/>
          <w:sz w:val="28"/>
          <w:szCs w:val="28"/>
          <w:rtl/>
        </w:rPr>
        <w:t>د. تحقيق أهداف الشركة الاستراتيجية</w:t>
      </w:r>
      <w:r w:rsidRPr="00297D66">
        <w:rPr>
          <w:rFonts w:ascii="SimplifiedArabic" w:hAnsi="Courier New" w:cs="SimplifiedArabic" w:hint="cs"/>
          <w:color w:val="1F1F1F"/>
          <w:sz w:val="28"/>
          <w:szCs w:val="28"/>
          <w:rtl/>
        </w:rPr>
        <w:t xml:space="preserve">: </w:t>
      </w:r>
      <w:r w:rsidRPr="00297D66">
        <w:rPr>
          <w:rFonts w:ascii="SimplifiedArabic" w:hAnsi="Courier New" w:cs="SimplifiedArabic"/>
          <w:color w:val="1F1F1F"/>
          <w:sz w:val="28"/>
          <w:szCs w:val="28"/>
          <w:rtl/>
        </w:rPr>
        <w:t xml:space="preserve">يتمثل هذا البعد في قياس مدى قدرة المنظمة على الوصول إلى أهدافها المالية والتشغيلية والتطويرية المحددة. يشمل تقييم المشاريع المنجزة، الأرباح المحققة، تحقيق التوسع التنظيمي، والابتكار في الخدمات والمنتجات. على سبيل المثال، في الشركات الهندسية، يُقاس </w:t>
      </w:r>
      <w:r w:rsidRPr="00297D66">
        <w:rPr>
          <w:rFonts w:ascii="SimplifiedArabic" w:hAnsi="Courier New" w:cs="SimplifiedArabic"/>
          <w:color w:val="1F1F1F"/>
          <w:sz w:val="28"/>
          <w:szCs w:val="28"/>
          <w:rtl/>
        </w:rPr>
        <w:lastRenderedPageBreak/>
        <w:t xml:space="preserve">نجاح المشروع بتحقيق الربحية المطلوبة ضمن الجدول الزمني المحدد، وتحقيق رضا العملاء، وتطبيق معايير السلامة والجودة. يشير الأداء العالي في هذا البعد إلى قدرة الإدارة على توجيه الموارد بشكل فعّال، التخطيط السليم للمشاريع، وضمان مواءمة جميع العمليات مع الاستراتيجية العامة للشركة، مما يعكس فاعلية الأداء التنظيمي الشامل ويعزز القدرة التنافسية على المدى </w:t>
      </w:r>
      <w:r w:rsidRPr="00297D66">
        <w:rPr>
          <w:rFonts w:ascii="SimplifiedArabic" w:hAnsi="Courier New" w:cs="SimplifiedArabic" w:hint="cs"/>
          <w:color w:val="1F1F1F"/>
          <w:sz w:val="28"/>
          <w:szCs w:val="28"/>
          <w:rtl/>
        </w:rPr>
        <w:t xml:space="preserve">الطويل </w:t>
      </w:r>
      <w:r w:rsidRPr="00297D66">
        <w:rPr>
          <w:rFonts w:ascii="SimplifiedArabic" w:hAnsi="Courier New" w:cs="SimplifiedArabic"/>
          <w:color w:val="1F1F1F"/>
          <w:sz w:val="28"/>
          <w:szCs w:val="28"/>
          <w:rtl/>
        </w:rPr>
        <w:t>(المرشد</w:t>
      </w:r>
      <w:r w:rsidRPr="00297D66">
        <w:rPr>
          <w:rFonts w:ascii="SimplifiedArabic" w:hAnsi="Courier New" w:cs="SimplifiedArabic" w:hint="cs"/>
          <w:color w:val="1F1F1F"/>
          <w:sz w:val="28"/>
          <w:szCs w:val="28"/>
          <w:rtl/>
        </w:rPr>
        <w:t>، 2019، 180، 181).</w:t>
      </w:r>
    </w:p>
    <w:p w14:paraId="3A5057F1" w14:textId="77777777" w:rsidR="00297D66" w:rsidRPr="00297D66" w:rsidRDefault="00297D66" w:rsidP="00297D66">
      <w:pPr>
        <w:autoSpaceDE w:val="0"/>
        <w:autoSpaceDN w:val="0"/>
        <w:bidi/>
        <w:adjustRightInd w:val="0"/>
        <w:spacing w:after="0" w:line="240" w:lineRule="auto"/>
        <w:outlineLvl w:val="0"/>
        <w:rPr>
          <w:rFonts w:ascii="SimplifiedArabic-Bold" w:hAnsi="Courier New" w:cs="SimplifiedArabic-Bold"/>
          <w:b/>
          <w:bCs/>
          <w:color w:val="1F1F1F"/>
          <w:sz w:val="36"/>
          <w:szCs w:val="36"/>
          <w:rtl/>
        </w:rPr>
      </w:pPr>
      <w:bookmarkStart w:id="20" w:name="_Toc224826650"/>
      <w:r w:rsidRPr="00297D66">
        <w:rPr>
          <w:rFonts w:ascii="SimplifiedArabic-Bold" w:hAnsi="Courier New" w:cs="SimplifiedArabic-Bold" w:hint="cs"/>
          <w:b/>
          <w:bCs/>
          <w:color w:val="1F1F1F"/>
          <w:sz w:val="36"/>
          <w:szCs w:val="36"/>
          <w:rtl/>
        </w:rPr>
        <w:t>الدراسات</w:t>
      </w:r>
      <w:r w:rsidRPr="00297D66">
        <w:rPr>
          <w:rFonts w:ascii="SimplifiedArabic-Bold" w:hAnsi="Courier New" w:cs="SimplifiedArabic-Bold"/>
          <w:b/>
          <w:bCs/>
          <w:color w:val="1F1F1F"/>
          <w:sz w:val="36"/>
          <w:szCs w:val="36"/>
          <w:rtl/>
        </w:rPr>
        <w:t xml:space="preserve"> </w:t>
      </w:r>
      <w:r w:rsidRPr="00297D66">
        <w:rPr>
          <w:rFonts w:ascii="SimplifiedArabic-Bold" w:hAnsi="Courier New" w:cs="SimplifiedArabic-Bold" w:hint="cs"/>
          <w:b/>
          <w:bCs/>
          <w:color w:val="1F1F1F"/>
          <w:sz w:val="36"/>
          <w:szCs w:val="36"/>
          <w:rtl/>
        </w:rPr>
        <w:t>السابقة</w:t>
      </w:r>
      <w:r w:rsidRPr="00297D66">
        <w:rPr>
          <w:rFonts w:ascii="SimplifiedArabic-Bold" w:hAnsi="Courier New" w:cs="SimplifiedArabic-Bold"/>
          <w:b/>
          <w:bCs/>
          <w:color w:val="1F1F1F"/>
          <w:sz w:val="36"/>
          <w:szCs w:val="36"/>
        </w:rPr>
        <w:t>:</w:t>
      </w:r>
      <w:bookmarkEnd w:id="20"/>
    </w:p>
    <w:p w14:paraId="374A9397" w14:textId="77777777" w:rsidR="00297D66" w:rsidRPr="00297D66" w:rsidRDefault="00297D66" w:rsidP="00297D66">
      <w:pPr>
        <w:autoSpaceDE w:val="0"/>
        <w:autoSpaceDN w:val="0"/>
        <w:bidi/>
        <w:adjustRightInd w:val="0"/>
        <w:spacing w:after="0" w:line="240" w:lineRule="auto"/>
        <w:rPr>
          <w:rFonts w:ascii="SimplifiedArabic-Bold" w:hAnsi="Courier New" w:cs="SimplifiedArabic-Bold"/>
          <w:b/>
          <w:bCs/>
          <w:color w:val="1F1F1F"/>
          <w:sz w:val="32"/>
          <w:szCs w:val="32"/>
        </w:rPr>
      </w:pPr>
    </w:p>
    <w:p w14:paraId="430CD5EE" w14:textId="77777777" w:rsidR="00297D66" w:rsidRPr="00297D66" w:rsidRDefault="00297D66" w:rsidP="00297D66">
      <w:pPr>
        <w:autoSpaceDE w:val="0"/>
        <w:autoSpaceDN w:val="0"/>
        <w:bidi/>
        <w:adjustRightInd w:val="0"/>
        <w:spacing w:after="0" w:line="240" w:lineRule="auto"/>
        <w:rPr>
          <w:rFonts w:ascii="SimplifiedArabic" w:hAnsi="Courier New" w:cs="SimplifiedArabic"/>
          <w:color w:val="222222"/>
          <w:sz w:val="28"/>
          <w:szCs w:val="28"/>
          <w:rtl/>
        </w:rPr>
      </w:pPr>
      <w:r w:rsidRPr="00297D66">
        <w:rPr>
          <w:rFonts w:ascii="SimplifiedArabic" w:hAnsi="Courier New" w:cs="SimplifiedArabic" w:hint="cs"/>
          <w:color w:val="222222"/>
          <w:sz w:val="28"/>
          <w:szCs w:val="28"/>
          <w:rtl/>
        </w:rPr>
        <w:t xml:space="preserve">    من</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خلال</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هذا</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القسم،</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سوف</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نتناول</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فيه</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الدراسات</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السابقة</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وما</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يميز</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هذه</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الدراسة</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عن</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الدراسات</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السابقة</w:t>
      </w:r>
      <w:r w:rsidRPr="00297D66">
        <w:rPr>
          <w:rFonts w:ascii="SimplifiedArabic" w:hAnsi="Courier New" w:cs="SimplifiedArabic"/>
          <w:color w:val="222222"/>
          <w:sz w:val="28"/>
          <w:szCs w:val="28"/>
        </w:rPr>
        <w:t>.</w:t>
      </w:r>
    </w:p>
    <w:p w14:paraId="5E77EFA3" w14:textId="77777777" w:rsidR="00297D66" w:rsidRPr="00297D66" w:rsidRDefault="00297D66" w:rsidP="00297D66">
      <w:pPr>
        <w:autoSpaceDE w:val="0"/>
        <w:autoSpaceDN w:val="0"/>
        <w:bidi/>
        <w:adjustRightInd w:val="0"/>
        <w:spacing w:after="0" w:line="240" w:lineRule="auto"/>
        <w:rPr>
          <w:rFonts w:ascii="SimplifiedArabic" w:hAnsi="Courier New" w:cs="SimplifiedArabic"/>
          <w:color w:val="222222"/>
          <w:sz w:val="28"/>
          <w:szCs w:val="28"/>
          <w:rtl/>
        </w:rPr>
      </w:pPr>
    </w:p>
    <w:p w14:paraId="3A313ACC" w14:textId="77777777" w:rsidR="00297D66" w:rsidRPr="00297D66" w:rsidRDefault="00297D66" w:rsidP="00297D66">
      <w:pPr>
        <w:autoSpaceDE w:val="0"/>
        <w:autoSpaceDN w:val="0"/>
        <w:bidi/>
        <w:adjustRightInd w:val="0"/>
        <w:spacing w:after="0" w:line="240" w:lineRule="auto"/>
        <w:rPr>
          <w:rFonts w:ascii="SimplifiedArabic" w:hAnsi="Courier New" w:cs="SimplifiedArabic"/>
          <w:color w:val="222222"/>
          <w:sz w:val="28"/>
          <w:szCs w:val="28"/>
        </w:rPr>
      </w:pPr>
    </w:p>
    <w:p w14:paraId="0DA9843F" w14:textId="77777777" w:rsidR="00297D66" w:rsidRPr="00297D66" w:rsidRDefault="00297D66" w:rsidP="00297D66">
      <w:pPr>
        <w:autoSpaceDE w:val="0"/>
        <w:autoSpaceDN w:val="0"/>
        <w:bidi/>
        <w:adjustRightInd w:val="0"/>
        <w:spacing w:after="0" w:line="600" w:lineRule="auto"/>
        <w:jc w:val="lowKashida"/>
        <w:outlineLvl w:val="1"/>
        <w:rPr>
          <w:rFonts w:ascii="SimplifiedArabic" w:hAnsi="Courier New" w:cs="SimplifiedArabic"/>
          <w:color w:val="1F1F1F"/>
          <w:sz w:val="32"/>
          <w:szCs w:val="32"/>
          <w:rtl/>
        </w:rPr>
      </w:pPr>
      <w:bookmarkStart w:id="21" w:name="_Toc224826651"/>
      <w:r w:rsidRPr="00297D66">
        <w:rPr>
          <w:rFonts w:ascii="SimplifiedArabic-Bold" w:hAnsi="Courier New" w:cs="SimplifiedArabic-Bold" w:hint="cs"/>
          <w:b/>
          <w:bCs/>
          <w:color w:val="1F1F1F"/>
          <w:sz w:val="32"/>
          <w:szCs w:val="32"/>
          <w:rtl/>
        </w:rPr>
        <w:t>الدراسات</w:t>
      </w:r>
      <w:r w:rsidRPr="00297D66">
        <w:rPr>
          <w:rFonts w:ascii="SimplifiedArabic-Bold" w:hAnsi="Courier New" w:cs="SimplifiedArabic-Bold"/>
          <w:b/>
          <w:bCs/>
          <w:color w:val="1F1F1F"/>
          <w:sz w:val="32"/>
          <w:szCs w:val="32"/>
          <w:rtl/>
        </w:rPr>
        <w:t xml:space="preserve"> </w:t>
      </w:r>
      <w:r w:rsidRPr="00297D66">
        <w:rPr>
          <w:rFonts w:ascii="SimplifiedArabic-Bold" w:hAnsi="Courier New" w:cs="SimplifiedArabic-Bold" w:hint="cs"/>
          <w:b/>
          <w:bCs/>
          <w:color w:val="1F1F1F"/>
          <w:sz w:val="32"/>
          <w:szCs w:val="32"/>
          <w:rtl/>
        </w:rPr>
        <w:t>العربية</w:t>
      </w:r>
      <w:r w:rsidRPr="00297D66">
        <w:rPr>
          <w:rFonts w:ascii="SimplifiedArabic-Bold" w:hAnsi="Courier New" w:cs="SimplifiedArabic-Bold"/>
          <w:b/>
          <w:bCs/>
          <w:color w:val="1F1F1F"/>
          <w:sz w:val="32"/>
          <w:szCs w:val="32"/>
        </w:rPr>
        <w:t>:</w:t>
      </w:r>
      <w:bookmarkEnd w:id="21"/>
    </w:p>
    <w:p w14:paraId="3B431A1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 xml:space="preserve">دراسة (محسن، 2019) </w:t>
      </w:r>
      <w:r w:rsidRPr="00297D66">
        <w:rPr>
          <w:rFonts w:ascii="SimplifiedArabic" w:hAnsi="Courier New" w:cs="SimplifiedArabic"/>
          <w:color w:val="222222"/>
          <w:sz w:val="28"/>
          <w:szCs w:val="28"/>
          <w:rtl/>
        </w:rPr>
        <w:t>يهدف هذا البحث إلى تشخيص طبيعة العلاقة الارتباطية والتأثيرية لاستراتيجيات إدارة الموارد البشرية في تعزيز الأداء التنظيمي، حيث تُعد هذه الاستراتيجيات مجموعة من الإجراءات والممارسات التي تُسهم في إدارة وتوجيه الموارد البشرية داخل المنظمة، في حين يُمثل الأداء التنظيمي أحد أهم المؤشرات التي يُعتمد عليها في قياس كفاءة وفاعلية الموارد البشرية. وقد تم اختيار كلية الإسراء الجامعة كميدان للتطبيق، حيث تم اختيار (197) فردًا من العاملين فيها كعينة للدراسة، واعتمد الباحثان على الاستبانة كأداة رئيسية لجمع البيانات، والتي تم تحليلها باستخدام البرنامج الإحصائي (</w:t>
      </w:r>
      <w:r w:rsidRPr="00297D66">
        <w:rPr>
          <w:rFonts w:ascii="SimplifiedArabic" w:hAnsi="Courier New" w:cs="SimplifiedArabic"/>
          <w:color w:val="222222"/>
          <w:sz w:val="28"/>
          <w:szCs w:val="28"/>
        </w:rPr>
        <w:t>SPSS</w:t>
      </w:r>
      <w:r w:rsidRPr="00297D66">
        <w:rPr>
          <w:rFonts w:ascii="SimplifiedArabic" w:hAnsi="Courier New" w:cs="SimplifiedArabic"/>
          <w:color w:val="222222"/>
          <w:sz w:val="28"/>
          <w:szCs w:val="28"/>
          <w:rtl/>
        </w:rPr>
        <w:t xml:space="preserve">). وقد أظهرت نتائج الدراسة وجود علاقة ذات دلالة إحصائية بين استراتيجيات إدارة الموارد البشرية والأداء التنظيمي، سواء من حيث العلاقة الارتباطية أو التأثيرية، مما أدى إلى قبول الفرضيات الرئيسة للدراسة، وعليه أوصت الدراسة بضرورة قيام المنظمة محل الدراسة بصياغة </w:t>
      </w:r>
      <w:r w:rsidRPr="00297D66">
        <w:rPr>
          <w:rFonts w:ascii="SimplifiedArabic" w:hAnsi="Courier New" w:cs="SimplifiedArabic"/>
          <w:color w:val="222222"/>
          <w:sz w:val="28"/>
          <w:szCs w:val="28"/>
          <w:rtl/>
        </w:rPr>
        <w:lastRenderedPageBreak/>
        <w:t>استراتيجيات فعّالة لإدارة الموارد البشرية، مع التركيز على مهامها وأنشطتها الأساسية بما يسهم في تعزيز الأداء التنظيمي وتحسين مستوى الكفاءة داخل المؤسسة.</w:t>
      </w:r>
    </w:p>
    <w:p w14:paraId="184C967C"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دراسة (</w:t>
      </w:r>
      <w:r w:rsidRPr="00297D66">
        <w:rPr>
          <w:rFonts w:ascii="SimplifiedArabic" w:hAnsi="Courier New" w:cs="SimplifiedArabic"/>
          <w:b/>
          <w:bCs/>
          <w:color w:val="222222"/>
          <w:sz w:val="28"/>
          <w:szCs w:val="28"/>
          <w:rtl/>
        </w:rPr>
        <w:t>الخوالدة،</w:t>
      </w:r>
      <w:r w:rsidRPr="00297D66">
        <w:rPr>
          <w:rFonts w:ascii="SimplifiedArabic" w:hAnsi="Courier New" w:cs="SimplifiedArabic" w:hint="cs"/>
          <w:b/>
          <w:bCs/>
          <w:color w:val="222222"/>
          <w:sz w:val="28"/>
          <w:szCs w:val="28"/>
          <w:rtl/>
        </w:rPr>
        <w:t xml:space="preserve"> 2020)</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الهدف الأساسي من هذه الدراسة هو تقديم مراجعة للأدبيات حول النظريات والدراسات التجريبية لمعرفة العلاقة بين إدارة الموارد البشرية الاستراتيجية، والأداء المنظمي في الشركات الصناعية، واستنباط إطار لمزيد من البحث. استخدمت الدراسة المنهج الوصفي التحليلي. مسترشدة بالمنظورات النظرية والدراسات التجريبية، تضع هذه الدراسة إطارا بحثيا لتوجيه المزيد من البحث في الإدارة الاستراتيجية للموارد البشرية ودورها في الأداء التنظيمي، وخلصت الدراسة إلى أن استراتيجية إدارة الموارد البشرية لها دور رئيس في الأداء التنظيمي في الشركات الصناعية من خلال أداء الابتكار والأداء البيئي كمتغيرات وسيطة. توصلت الدراسة إلى العديد من التوصيات والمقترحات أهمها: الاهتمام أكثر بالموارد البشرية في الشركات الصناعية كمصدر لتحقيق الميزة التنافسية، وإجراء دراسة ميدانية للتحقق من صحة مقترحات الدراسة الحالية واختبار صلاحية النموذج.</w:t>
      </w:r>
    </w:p>
    <w:p w14:paraId="4D35DA6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دراسة (أبوزيد، 2021)</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هدفت الدراسة إلى تحديد أثر ممارسات إدارة الموارد البشرية والمتمثلة في (الاختيار الدقيق ، التدريب ، نظم الأجور ، تقييم الأداء ، ونظم مشار</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ة العاملين ) على تحسين مقومات البراعة التنظيمية والأداء </w:t>
      </w:r>
      <w:r w:rsidRPr="00297D66">
        <w:rPr>
          <w:rFonts w:ascii="SimplifiedArabic" w:hAnsi="Courier New" w:cs="SimplifiedArabic" w:hint="cs"/>
          <w:color w:val="222222"/>
          <w:sz w:val="28"/>
          <w:szCs w:val="28"/>
          <w:rtl/>
        </w:rPr>
        <w:t>الابتكاري</w:t>
      </w:r>
      <w:r w:rsidRPr="00297D66">
        <w:rPr>
          <w:rFonts w:ascii="SimplifiedArabic" w:hAnsi="Courier New" w:cs="SimplifiedArabic"/>
          <w:color w:val="222222"/>
          <w:sz w:val="28"/>
          <w:szCs w:val="28"/>
          <w:rtl/>
        </w:rPr>
        <w:t xml:space="preserve"> ، مع تحديد مدى توسط مقومات الثقافة التنظيمية الداعمة والتي تتمثل في (الرؤية </w:t>
      </w:r>
      <w:r w:rsidRPr="00297D66">
        <w:rPr>
          <w:rFonts w:ascii="SimplifiedArabic" w:hAnsi="Courier New" w:cs="SimplifiedArabic" w:hint="cs"/>
          <w:color w:val="222222"/>
          <w:sz w:val="28"/>
          <w:szCs w:val="28"/>
          <w:rtl/>
        </w:rPr>
        <w:t>المشتركة</w:t>
      </w:r>
      <w:r w:rsidRPr="00297D66">
        <w:rPr>
          <w:rFonts w:ascii="SimplifiedArabic" w:hAnsi="Courier New" w:cs="SimplifiedArabic"/>
          <w:color w:val="222222"/>
          <w:sz w:val="28"/>
          <w:szCs w:val="28"/>
          <w:rtl/>
        </w:rPr>
        <w:t xml:space="preserve"> ، والتنوع التنظيمي ) ، حيث طبقت الدراسة على عينة من الفنادق التي تعمل في مصر بمحافظتي القاهرة والجيزة وشملت (63) فندقاً وتمثلت مفردات الدراسة  في مديري إدارة الموارد البشرية في الفنادق ذات (4،5) نجوم ، ورئيس مجلس الإدارة في حالة الفنادق ذات (3) </w:t>
      </w:r>
      <w:r w:rsidRPr="00297D66">
        <w:rPr>
          <w:rFonts w:ascii="SimplifiedArabic" w:hAnsi="Courier New" w:cs="SimplifiedArabic"/>
          <w:color w:val="222222"/>
          <w:sz w:val="28"/>
          <w:szCs w:val="28"/>
          <w:rtl/>
        </w:rPr>
        <w:lastRenderedPageBreak/>
        <w:t>نجوم ، وباستخدام عدداً من الأساليب الاحصائية تم قياس ملاءمة وجودة المتغيرات بالنموذج المقترح حيث أوضحت النتائج جودة توافق کلية تخطت الـ 80% ، ومن خلال قياس (</w:t>
      </w:r>
      <w:r w:rsidRPr="00297D66">
        <w:rPr>
          <w:rFonts w:ascii="SimplifiedArabic" w:hAnsi="Courier New" w:cs="SimplifiedArabic"/>
          <w:color w:val="222222"/>
          <w:sz w:val="28"/>
          <w:szCs w:val="28"/>
        </w:rPr>
        <w:t>SEM</w:t>
      </w:r>
      <w:r w:rsidRPr="00297D66">
        <w:rPr>
          <w:rFonts w:ascii="SimplifiedArabic" w:hAnsi="Courier New" w:cs="SimplifiedArabic"/>
          <w:color w:val="222222"/>
          <w:sz w:val="28"/>
          <w:szCs w:val="28"/>
          <w:rtl/>
        </w:rPr>
        <w:t>) تم تحديد قيم المسارات بالنموذج ، وأظهرت النتائج وجود علاقة ايجابية بين ممارسات إدارة الموارد البشرية الاستراتيجية والبراعة التنظيمية بقيمة بلغت 72% ، و</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ذل</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بتأثير غير مباشر على البراعة التنظيمية وعن طريق توسط الثقافة التنظيمية بقيمة بلغت 22%، کما أظهرت النتائج توسط جزئي للثقافة التنظيمية للعلاقة ، کما أکدت النتائج وجود تأثير مباشر وقوي للبراعة التنظيمية والأداء </w:t>
      </w:r>
      <w:r w:rsidRPr="00297D66">
        <w:rPr>
          <w:rFonts w:ascii="SimplifiedArabic" w:hAnsi="Courier New" w:cs="SimplifiedArabic" w:hint="cs"/>
          <w:color w:val="222222"/>
          <w:sz w:val="28"/>
          <w:szCs w:val="28"/>
          <w:rtl/>
        </w:rPr>
        <w:t>الابتكاري</w:t>
      </w:r>
      <w:r w:rsidRPr="00297D66">
        <w:rPr>
          <w:rFonts w:ascii="SimplifiedArabic" w:hAnsi="Courier New" w:cs="SimplifiedArabic"/>
          <w:color w:val="222222"/>
          <w:sz w:val="28"/>
          <w:szCs w:val="28"/>
          <w:rtl/>
        </w:rPr>
        <w:t xml:space="preserve"> بقيمة بلغت 63% ، وفي ضوء تل</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النتائج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sidRPr="00297D66">
        <w:rPr>
          <w:rFonts w:ascii="SimplifiedArabic" w:hAnsi="Courier New" w:cs="SimplifiedArabic" w:hint="cs"/>
          <w:color w:val="222222"/>
          <w:sz w:val="28"/>
          <w:szCs w:val="28"/>
          <w:rtl/>
        </w:rPr>
        <w:t>.</w:t>
      </w:r>
    </w:p>
    <w:p w14:paraId="26079215"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 xml:space="preserve">دراسة ( بوثينة، سعيدة، 2021) </w:t>
      </w:r>
      <w:r w:rsidRPr="00297D66">
        <w:rPr>
          <w:rFonts w:ascii="SimplifiedArabic" w:hAnsi="Courier New" w:cs="SimplifiedArabic"/>
          <w:color w:val="222222"/>
          <w:sz w:val="28"/>
          <w:szCs w:val="28"/>
          <w:rtl/>
        </w:rPr>
        <w:t>هدفت هذه الدراسة للتعرف على أثر الممارسات الاستراتيجية لإدارة الموارد البشرية على الأداء المؤسسي في مؤسسة سيدار الحجار بولاية عنابة، وذلك من خلال الاعتماد على الاستبيان كأداة رئيسية لجمع البيانات وتحليلها باستخدام برنامج الحزمة الاحصائية (</w:t>
      </w:r>
      <w:r w:rsidRPr="00297D66">
        <w:rPr>
          <w:rFonts w:ascii="SimplifiedArabic" w:hAnsi="Courier New" w:cs="SimplifiedArabic"/>
          <w:color w:val="222222"/>
          <w:sz w:val="28"/>
          <w:szCs w:val="28"/>
        </w:rPr>
        <w:t>spss v.25</w:t>
      </w:r>
      <w:r w:rsidRPr="00297D66">
        <w:rPr>
          <w:rFonts w:ascii="SimplifiedArabic" w:hAnsi="Courier New" w:cs="SimplifiedArabic"/>
          <w:color w:val="222222"/>
          <w:sz w:val="28"/>
          <w:szCs w:val="28"/>
          <w:rtl/>
        </w:rPr>
        <w:t>). حيث خلصت الدراسة إلى أن مستوى الممارسات الاستراتيجية لإدارة الموارد البشرية متوسط، ومستوى الأداء المؤسسي كذلك متوسط، بالإضافة إلى وجود أثر ذو دلالة إحصائية للممارسات الاستراتيجية لإدارة الموارد البشرية على الأداء المؤسسي بالمؤسسة محل الدراسة، وهو ما يتطلب من المؤسسات إعطاء المزيد من الاهتمام للموارد البشرية كمصدر لبلوغ مستويات أداء جيدة.</w:t>
      </w:r>
    </w:p>
    <w:p w14:paraId="0B7BF71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دراسة (عباس، 2021)</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 xml:space="preserve">يستهدف البحث الحالي اختبار أثر ممارسات إدارة الموارد البشرية المستدامة (التخطيط المستدام، التوظيف المستدام، التدريب المستدام، وتقييم الأداء، والتعويض المستدام) على </w:t>
      </w:r>
      <w:r w:rsidRPr="00297D66">
        <w:rPr>
          <w:rFonts w:ascii="SimplifiedArabic" w:hAnsi="Courier New" w:cs="SimplifiedArabic"/>
          <w:color w:val="222222"/>
          <w:sz w:val="28"/>
          <w:szCs w:val="28"/>
          <w:rtl/>
        </w:rPr>
        <w:lastRenderedPageBreak/>
        <w:t>الأداء التنظيمي للمنظمات في قطاع الفنادق المصرية، وذل</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w:t>
      </w:r>
      <w:r w:rsidRPr="00297D66">
        <w:rPr>
          <w:rFonts w:ascii="SimplifiedArabic" w:hAnsi="Courier New" w:cs="SimplifiedArabic" w:hint="cs"/>
          <w:color w:val="222222"/>
          <w:sz w:val="28"/>
          <w:szCs w:val="28"/>
          <w:rtl/>
        </w:rPr>
        <w:t>اعتمادا</w:t>
      </w:r>
      <w:r w:rsidRPr="00297D66">
        <w:rPr>
          <w:rFonts w:ascii="SimplifiedArabic" w:hAnsi="Courier New" w:cs="SimplifiedArabic"/>
          <w:color w:val="222222"/>
          <w:sz w:val="28"/>
          <w:szCs w:val="28"/>
          <w:rtl/>
        </w:rPr>
        <w:t xml:space="preserve"> على مبادئ نظريات أصحاب المصالح، والرؤية القائمة على الموارد، والنظرية المؤسسية، ومبادرات التنمية المستدامة. وفحص مدى التباين في تأثير هذه الممارسات على الجوانب المختلفة للأداء التنظيمي الاقتصادي والاجتماعي والبيئي للفنادق العاملة في مصر</w:t>
      </w:r>
      <w:r w:rsidRPr="00297D66">
        <w:rPr>
          <w:rFonts w:ascii="SimplifiedArabic" w:hAnsi="Courier New" w:cs="SimplifiedArabic"/>
          <w:color w:val="222222"/>
          <w:sz w:val="28"/>
          <w:szCs w:val="28"/>
        </w:rPr>
        <w:t>.</w:t>
      </w:r>
    </w:p>
    <w:p w14:paraId="2DC3D1F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ووفقاً لذل</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تم تقديم نموذج مفاهيمي مبني على مجموعة من فروض البحث المستخلصة من المراجعة الانتقادية للدراسات السابقة ذات </w:t>
      </w:r>
      <w:r w:rsidRPr="00297D66">
        <w:rPr>
          <w:rFonts w:ascii="SimplifiedArabic" w:hAnsi="Courier New" w:cs="SimplifiedArabic" w:hint="cs"/>
          <w:color w:val="222222"/>
          <w:sz w:val="28"/>
          <w:szCs w:val="28"/>
          <w:rtl/>
        </w:rPr>
        <w:t>الصلة</w:t>
      </w:r>
      <w:r w:rsidRPr="00297D66">
        <w:rPr>
          <w:rFonts w:ascii="SimplifiedArabic" w:hAnsi="Courier New" w:cs="SimplifiedArabic"/>
          <w:color w:val="222222"/>
          <w:sz w:val="28"/>
          <w:szCs w:val="28"/>
          <w:rtl/>
        </w:rPr>
        <w:t xml:space="preserve"> بالروابط بين الاستدامة وإدارة الموارد البشرية من ناحية، والعلاقات بين إدارة الموارد البشرية المستدامة والأداء التنظيمي من ناحية أخرى. وبالتالي تبنى البحث منهجية </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مية تشمل تصميم البحث الوصفي لغرض الاختبار التطبيقي لفروض البحث باستخدام أداة الاستقصاء لجمع البيانات الميدانية من عينة عشوائية طبقية (285) مفردة من المديرين في المستويات الإدارية العليا والوسطى والمباشرة. وتم ترميز وتحليل البيانات من خلال أساليب احصائية </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مية وتطبيقات برنامج الحزمة الاحصائية للعلوم الاجتماعية</w:t>
      </w:r>
      <w:r w:rsidRPr="00297D66">
        <w:rPr>
          <w:rFonts w:ascii="SimplifiedArabic" w:hAnsi="Courier New" w:cs="SimplifiedArabic"/>
          <w:color w:val="222222"/>
          <w:sz w:val="28"/>
          <w:szCs w:val="28"/>
        </w:rPr>
        <w:t>.</w:t>
      </w:r>
    </w:p>
    <w:p w14:paraId="4C5A3CE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 xml:space="preserve">وخلصت نتائج التحليل الإحصائي إلى أن منظمات الفنادق في مصر لديها درجة عالية من الاهتمام بممارسات إدارة الموارد البشرية المستدامة في ظل الظروف البيئية العالمية وانتشار وباء </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ورونا (</w:t>
      </w:r>
      <w:r w:rsidRPr="00297D66">
        <w:rPr>
          <w:rFonts w:ascii="SimplifiedArabic" w:hAnsi="Courier New" w:cs="SimplifiedArabic"/>
          <w:color w:val="222222"/>
          <w:sz w:val="28"/>
          <w:szCs w:val="28"/>
        </w:rPr>
        <w:t>COVID-19</w:t>
      </w:r>
      <w:r w:rsidRPr="00297D66">
        <w:rPr>
          <w:rFonts w:ascii="SimplifiedArabic" w:hAnsi="Courier New" w:cs="SimplifiedArabic"/>
          <w:color w:val="222222"/>
          <w:sz w:val="28"/>
          <w:szCs w:val="28"/>
          <w:rtl/>
        </w:rPr>
        <w:t>). کما اتضح أن هنا</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تأثيرات إيجابية ذات دلالة إحصائية لممارسات إدارة الموارد البشرية المستدامة على </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ل من الأداء الاقتصادي (</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لياً) والاجتماعي والبيئي (جزئياً) للفنادق المصرية. کما لوحظ أيضاً أن هنا</w:t>
      </w:r>
      <w:r w:rsidRPr="00297D66">
        <w:rPr>
          <w:rFonts w:ascii="SimplifiedArabic" w:hAnsi="Courier New" w:cs="SimplifiedArabic" w:hint="cs"/>
          <w:color w:val="222222"/>
          <w:sz w:val="28"/>
          <w:szCs w:val="28"/>
          <w:rtl/>
        </w:rPr>
        <w:t>ك</w:t>
      </w:r>
      <w:r w:rsidRPr="00297D66">
        <w:rPr>
          <w:rFonts w:ascii="SimplifiedArabic" w:hAnsi="Courier New" w:cs="SimplifiedArabic"/>
          <w:color w:val="222222"/>
          <w:sz w:val="28"/>
          <w:szCs w:val="28"/>
          <w:rtl/>
        </w:rPr>
        <w:t xml:space="preserve"> تفاوت في القدرات التنظيمية لإدارة الموارد البشرية التي تقود الأداء التنظيمي </w:t>
      </w:r>
      <w:r w:rsidRPr="00297D66">
        <w:rPr>
          <w:rFonts w:ascii="SimplifiedArabic" w:hAnsi="Courier New" w:cs="SimplifiedArabic"/>
          <w:color w:val="222222"/>
          <w:sz w:val="28"/>
          <w:szCs w:val="28"/>
          <w:rtl/>
        </w:rPr>
        <w:lastRenderedPageBreak/>
        <w:t>عند تتبع استراتيجية الاستدامة، وبخاصةً فيما يتعلق بممارسات تقييم الأداء المستدام والتعويض المستدام بالفنادق موضوع التطبيق.</w:t>
      </w:r>
    </w:p>
    <w:p w14:paraId="3CDE694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دراسة (الغامدي، شمسي، 2022)</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هدفت هذه الدارسة الى معرفة أثر استراتيجيات إدارة الموارد البشرية على أداء العاملين في الشركات القابضة. وشمل مجتمع الدارسة كافة العاملين في الادارة العليا والوسطى في شركة المجدوعي القابضة والبالغ عددهم (٣٥٠) فرداً، واستخدمت الاستبانة أداة رئيسيه لجمع البيانات والمعلومات، حيث تم توزيع الاستبيانات على عينة عشوائية طبقية تناسبية مقدارها (346) فرداً وقد تم استرداد (330) 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كرونباخ الفا للثبات)، وتم استخدام برنامج (</w:t>
      </w:r>
      <w:r w:rsidRPr="00297D66">
        <w:rPr>
          <w:rFonts w:ascii="SimplifiedArabic" w:hAnsi="Courier New" w:cs="SimplifiedArabic"/>
          <w:color w:val="222222"/>
          <w:sz w:val="28"/>
          <w:szCs w:val="28"/>
        </w:rPr>
        <w:t>AMOS</w:t>
      </w:r>
      <w:r w:rsidRPr="00297D66">
        <w:rPr>
          <w:rFonts w:ascii="SimplifiedArabic" w:hAnsi="Courier New" w:cs="SimplifiedArabic"/>
          <w:color w:val="222222"/>
          <w:sz w:val="28"/>
          <w:szCs w:val="28"/>
          <w:rtl/>
        </w:rPr>
        <w:t xml:space="preserve">) اصدار (22) للتأكد من الصدق العاملي التوكيدي في تحليل مسار البيانات. توصلت الدارسة الى مجموعة من النتائج أهمها: أن شركة المجدوعي القابضة تسعى للحصول على أفضل ما هو موجود في سوق العمل السعودي من كوادر بشرية من خلال استراتيجية الاستقطاب والتعيين المعتمدة لديها. كذلك تبين اهتمامها العالي باستراتيجية التدريب والتطوير، بالإضافة الى الاهتمام العالي بأجراء تقييم دوري لأداء العاملين لتحديد النقاط الايجابية والسلبية في أدائهم، والعمل على تحفيزهم بشكل مستمر بما ينعكس على تحسين أدائهم في العمل والوصول الى طموحهم الشخصي. كما بينت الدارسة الاهتمام العالي من قبل العاملين في شركة المجدوعي القابضة بمتطلبات الالتزام بالعمل، والحرص على تطبيق قيمه الصحيحة والابتعاد عن الظواهر السلبية الناتجة عن التأخر في العمل والتهرب من أدائه، والحرص </w:t>
      </w:r>
      <w:r w:rsidRPr="00297D66">
        <w:rPr>
          <w:rFonts w:ascii="SimplifiedArabic" w:hAnsi="Courier New" w:cs="SimplifiedArabic"/>
          <w:color w:val="222222"/>
          <w:sz w:val="28"/>
          <w:szCs w:val="28"/>
          <w:rtl/>
        </w:rPr>
        <w:lastRenderedPageBreak/>
        <w:t>الكبير على مخرجات العمل المنجز (الجودة والكمية) لأداء العمل بالشكل المطلوب. وفي ضوء هذه النتائج أوصت الدراسة بعدة توصيات منها: استقطاب العمالة المتخصصة وتنميتها وتطويرها والحفاظ على استمراريتها بالعمل، ومراعاة التطورات والتقنيات التكنولوجية الحديثة التي يشهدها العالم واستخدمها عند تحديد الاستراتيجيات التدريبية، وضرورة اعتماد نظام حوافز متكامل ومتكافئ يشتمل على الحوافز المادية والمعنوية.</w:t>
      </w:r>
    </w:p>
    <w:p w14:paraId="3B793443"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t>دراسة (التوبة، الشرباتي، 2023).</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 xml:space="preserve">هدف </w:t>
      </w:r>
      <w:r w:rsidRPr="00297D66">
        <w:rPr>
          <w:rFonts w:ascii="SimplifiedArabic" w:hAnsi="Courier New" w:cs="SimplifiedArabic" w:hint="cs"/>
          <w:color w:val="222222"/>
          <w:sz w:val="28"/>
          <w:szCs w:val="28"/>
          <w:rtl/>
        </w:rPr>
        <w:t>ال</w:t>
      </w:r>
      <w:r w:rsidRPr="00297D66">
        <w:rPr>
          <w:rFonts w:ascii="SimplifiedArabic" w:hAnsi="Courier New" w:cs="SimplifiedArabic"/>
          <w:color w:val="222222"/>
          <w:sz w:val="28"/>
          <w:szCs w:val="28"/>
          <w:rtl/>
        </w:rPr>
        <w:t>دراسة</w:t>
      </w:r>
      <w:r w:rsidRPr="00297D66">
        <w:rPr>
          <w:rFonts w:ascii="SimplifiedArabic" w:hAnsi="Courier New" w:cs="SimplifiedArabic" w:hint="cs"/>
          <w:color w:val="222222"/>
          <w:sz w:val="28"/>
          <w:szCs w:val="28"/>
          <w:rtl/>
        </w:rPr>
        <w:t xml:space="preserve"> الي معرفة</w:t>
      </w:r>
      <w:r w:rsidRPr="00297D66">
        <w:rPr>
          <w:rFonts w:ascii="SimplifiedArabic" w:hAnsi="Courier New" w:cs="SimplifiedArabic"/>
          <w:color w:val="222222"/>
          <w:sz w:val="28"/>
          <w:szCs w:val="28"/>
          <w:rtl/>
        </w:rPr>
        <w:t xml:space="preserve"> أثر تطبيق إدارة الجودة الشاملة على الأداء التنظيمي في قطاع صناعة الألمنيوم الأردنية. تم توزيع 140 استبانة على 14 شركة متخصصة في صناعة الألمنيوم لغرض تحقيق هدف الدراسة. تم استرجاع 122 استبانة صالحة للتحليل، حيث تم تحليلها باستخدام برنامج</w:t>
      </w:r>
      <w:r w:rsidRPr="00297D66">
        <w:rPr>
          <w:rFonts w:ascii="SimplifiedArabic" w:hAnsi="Courier New" w:cs="SimplifiedArabic"/>
          <w:color w:val="222222"/>
          <w:sz w:val="28"/>
          <w:szCs w:val="28"/>
        </w:rPr>
        <w:t>SPSS</w:t>
      </w:r>
      <w:r w:rsidRPr="00297D66">
        <w:rPr>
          <w:rFonts w:ascii="SimplifiedArabic" w:hAnsi="Courier New" w:cs="SimplifiedArabic"/>
          <w:color w:val="222222"/>
          <w:sz w:val="28"/>
          <w:szCs w:val="28"/>
          <w:rtl/>
        </w:rPr>
        <w:t>. وبعد أن تم التأكد من صدق وثبات أداة الدراسة وكذلك وجود علاقة بين المتغيرات، تم استخدام اختبار الانحدار لاختبار فرضيات الدراسة. توصلت الدراسة إلى النتائج التالية: أن هناك تطبيقا مرتفعا لإدارة الجودة الشاملة والأداء التنظيمي في شركات صناعة الألمنيوم الأردنية، وأظهرت النتائج أيضاً أن هناك علاقة بين عناصر الجودة الشاملة والأداء التنظيمي، كما بيّنت نتائج الدراسة أن هناك أثراً للجودة الشاملة في تحقيق الأداء التنظيمي بشكل عام، حيث كان هناك أثر ذو دلالة إحصائية لعناصر الجودة الشاملة تكامل الموردين، التركيز على العملاء، والتحسين المستمر، بينما لا يوجد أثر ذو دلاله إحصائية للالتزام بالإدارة العليا وتمكين الموظفين على الأداء التنظيمي. وفي ضوء النتائج، فقد أوصت هذه الدراسة بتطبيق مفهوم إدارة الجودة الشاملة في القطاعات الصناعية الأخرى في الأردن لما لها من أثر في تحقيق الأداء التنظيمي فيها.</w:t>
      </w:r>
    </w:p>
    <w:p w14:paraId="33D6D105"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hint="cs"/>
          <w:b/>
          <w:bCs/>
          <w:color w:val="222222"/>
          <w:sz w:val="28"/>
          <w:szCs w:val="28"/>
          <w:rtl/>
        </w:rPr>
        <w:lastRenderedPageBreak/>
        <w:t xml:space="preserve">دراسة (القبح، أسعد،2024)  </w:t>
      </w:r>
      <w:r w:rsidRPr="00297D66">
        <w:rPr>
          <w:rFonts w:ascii="SimplifiedArabic" w:hAnsi="Courier New" w:cs="SimplifiedArabic"/>
          <w:color w:val="222222"/>
          <w:sz w:val="28"/>
          <w:szCs w:val="28"/>
          <w:rtl/>
        </w:rPr>
        <w:t>تؤكد هذه الدراسة الدور الحيوي لممارسات إدارة الموارد البشرية الاستراتيجية في تعزيز الرشاقة التنظيمية، وهو ما يُعد عنصرًا أساسيًا للنجاح في بيئة عمل ديناميكية ومتغيرة. وعليه، هدفت الدراسة الحالية إلى استكشاف أثر ممارسات إدارة الموارد البشرية الاستراتيجية على الرشاقة التنظيمية في الجهاز المركزي للإحصاء الفلسطيني</w:t>
      </w:r>
      <w:r w:rsidRPr="00297D66">
        <w:rPr>
          <w:rFonts w:ascii="SimplifiedArabic" w:hAnsi="Courier New" w:cs="SimplifiedArabic"/>
          <w:color w:val="222222"/>
          <w:sz w:val="28"/>
          <w:szCs w:val="28"/>
        </w:rPr>
        <w:t>.</w:t>
      </w:r>
    </w:p>
    <w:p w14:paraId="531D8F1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ولتحقيق هذا الهدف، اعتمد الباحثان على المنهج الوصفي التحليلي بهدف تحليل البيانات واستكشاف طبيعة العلاقة بين المتغيرات. كما تم استخدام الاستبانة كأداة رئيسية لجمع البيانات الميدانية من مجتمع الدراسة، الذي تمثل في الموظفين المثبتين في الجهاز المركزي للإحصاء الفلسطيني، والبالغ عددهم (207) موظفًا وموظفة. وقد تم توزيع (135) استبانة على عينة الدراسة المتاحة، بينما خضع (113) استبانة فقط للتحليل الإحصائي</w:t>
      </w:r>
      <w:r w:rsidRPr="00297D66">
        <w:rPr>
          <w:rFonts w:ascii="SimplifiedArabic" w:hAnsi="Courier New" w:cs="SimplifiedArabic"/>
          <w:color w:val="222222"/>
          <w:sz w:val="28"/>
          <w:szCs w:val="28"/>
        </w:rPr>
        <w:t>.</w:t>
      </w:r>
    </w:p>
    <w:p w14:paraId="30087E17"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وباستخدام الحزمة الإحصائية للعلوم الاجتماعية</w:t>
      </w:r>
      <w:r w:rsidRPr="00297D66">
        <w:rPr>
          <w:rFonts w:ascii="SimplifiedArabic" w:hAnsi="Courier New" w:cs="SimplifiedArabic"/>
          <w:color w:val="222222"/>
          <w:sz w:val="28"/>
          <w:szCs w:val="28"/>
        </w:rPr>
        <w:t xml:space="preserve"> (SPSS)</w:t>
      </w:r>
      <w:r w:rsidRPr="00297D66">
        <w:rPr>
          <w:rFonts w:ascii="SimplifiedArabic" w:hAnsi="Courier New" w:cs="SimplifiedArabic"/>
          <w:color w:val="222222"/>
          <w:sz w:val="28"/>
          <w:szCs w:val="28"/>
          <w:rtl/>
        </w:rPr>
        <w:t>، توصلت الدراسة إلى عدد من النتائج، من أبرزها وجود تأثير إيجابي لممارسات إدارة الموارد البشرية الاستراتيجية على الرشاقة التنظيمية. وقد تبين أن بعد تمكين الموظفين هو الأكثر تأثيرًا على الرشاقة التنظيمية، يليه بعد التدريب والتطوير، ثم بعد التعويضات والحوافز. في المقابل، لم يظهر تأثير ذو دلالة لكل من بعدي الاستقطاب والاختيار وتقييم الأداء على الرشاقة التنظيمية</w:t>
      </w:r>
      <w:r w:rsidRPr="00297D66">
        <w:rPr>
          <w:rFonts w:ascii="SimplifiedArabic" w:hAnsi="Courier New" w:cs="SimplifiedArabic"/>
          <w:color w:val="222222"/>
          <w:sz w:val="28"/>
          <w:szCs w:val="28"/>
        </w:rPr>
        <w:t>.</w:t>
      </w:r>
    </w:p>
    <w:p w14:paraId="50DA0C6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b/>
          <w:bCs/>
          <w:color w:val="222222"/>
          <w:sz w:val="28"/>
          <w:szCs w:val="28"/>
          <w:rtl/>
        </w:rPr>
      </w:pPr>
      <w:r w:rsidRPr="00297D66">
        <w:rPr>
          <w:rFonts w:ascii="SimplifiedArabic" w:hAnsi="Courier New" w:cs="SimplifiedArabic"/>
          <w:color w:val="222222"/>
          <w:sz w:val="28"/>
          <w:szCs w:val="28"/>
          <w:rtl/>
        </w:rPr>
        <w:t>كما أوصى الباحثان بضرورة مراجعة وتطوير سياسات تقييم الأداء المعمول بها داخل الجهاز المركزي للإحصاء، بما يتوافق مع التغيرات في بيئة العمل المحيطة، مع العمل على ربط هذه السياسات بنظام حديث وفعّال للمكافآت والحوافز بما يسهم في تعزيز الأداء المؤسسي والرشاقة التنظيمية</w:t>
      </w:r>
      <w:r w:rsidRPr="00297D66">
        <w:rPr>
          <w:rFonts w:ascii="SimplifiedArabic" w:hAnsi="Courier New" w:cs="SimplifiedArabic"/>
          <w:b/>
          <w:bCs/>
          <w:color w:val="222222"/>
          <w:sz w:val="28"/>
          <w:szCs w:val="28"/>
          <w:rtl/>
        </w:rPr>
        <w:t>.</w:t>
      </w:r>
    </w:p>
    <w:p w14:paraId="581B83CB" w14:textId="77777777" w:rsidR="00297D66" w:rsidRPr="00297D66" w:rsidRDefault="00297D66" w:rsidP="00297D66">
      <w:pPr>
        <w:autoSpaceDE w:val="0"/>
        <w:autoSpaceDN w:val="0"/>
        <w:bidi/>
        <w:adjustRightInd w:val="0"/>
        <w:spacing w:after="0" w:line="600" w:lineRule="auto"/>
        <w:jc w:val="lowKashida"/>
        <w:outlineLvl w:val="1"/>
        <w:rPr>
          <w:rFonts w:ascii="SimplifiedArabic" w:hAnsi="Courier New" w:cs="SimplifiedArabic"/>
          <w:b/>
          <w:bCs/>
          <w:color w:val="222222"/>
          <w:sz w:val="32"/>
          <w:szCs w:val="32"/>
          <w:rtl/>
        </w:rPr>
      </w:pPr>
      <w:bookmarkStart w:id="22" w:name="_Toc224826652"/>
      <w:r w:rsidRPr="00297D66">
        <w:rPr>
          <w:rFonts w:ascii="SimplifiedArabic" w:hAnsi="Courier New" w:cs="SimplifiedArabic" w:hint="cs"/>
          <w:b/>
          <w:bCs/>
          <w:color w:val="222222"/>
          <w:sz w:val="32"/>
          <w:szCs w:val="32"/>
          <w:rtl/>
        </w:rPr>
        <w:lastRenderedPageBreak/>
        <w:t>الدراسات الأجنبية:</w:t>
      </w:r>
      <w:bookmarkEnd w:id="22"/>
    </w:p>
    <w:p w14:paraId="329BE68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t>دراسة  (</w:t>
      </w:r>
      <w:r w:rsidRPr="00297D66">
        <w:rPr>
          <w:rFonts w:ascii="SimplifiedArabic" w:hAnsi="Courier New" w:cs="SimplifiedArabic"/>
          <w:b/>
          <w:bCs/>
          <w:color w:val="222222"/>
          <w:sz w:val="28"/>
          <w:szCs w:val="28"/>
        </w:rPr>
        <w:t>Olga Gianzina Kassotaki, 2017</w:t>
      </w:r>
      <w:r w:rsidRPr="00297D66">
        <w:rPr>
          <w:rFonts w:ascii="SimplifiedArabic" w:hAnsi="Courier New" w:cs="SimplifiedArabic"/>
          <w:b/>
          <w:bCs/>
          <w:color w:val="222222"/>
          <w:sz w:val="28"/>
          <w:szCs w:val="28"/>
          <w:rtl/>
        </w:rPr>
        <w:t>)،</w:t>
      </w:r>
      <w:r w:rsidRPr="00297D66">
        <w:rPr>
          <w:rFonts w:ascii="SimplifiedArabic" w:hAnsi="Courier New" w:cs="SimplifiedArabic"/>
          <w:color w:val="222222"/>
          <w:sz w:val="28"/>
          <w:szCs w:val="28"/>
          <w:rtl/>
        </w:rPr>
        <w:t xml:space="preserve"> سعت إلى معالجة الفجوات البحثية في أدبيات القيادة الرشيدة من خلال الربط بين أنماط القيادة على المستوى الجزئي وبنية المنظمة وبيئتها على المستوى الكلي، وذلك بهدف تفسير كيفية اختراق الرشاقة داخل المنظمات، وآليات إدارتها، والتحديات الناتجة عن تطبيقها. كما تناولت الدراسة تساؤلات حول طبيعة وحجم التعقيدات التنظيمية المرتبطة بتبني الرشاقة، والعوامل التنظيمية التي ترتبط بنجاح هذا الاختراق. وقد اعتمدت الدراسة على تحليل بيانات تم جمعها من منظمة حكومية متعددة الوحدات منتشرة في أنحاء أوروبا، بالإضافة إلى ثلاث شركات تعمل في مجالات الطيران والدفاع في كل من أوروبا والولايات المتحدة، حيث تم جمع البيانات عبر </w:t>
      </w:r>
      <w:r w:rsidRPr="00297D66">
        <w:rPr>
          <w:rFonts w:ascii="SimplifiedArabic" w:hAnsi="Courier New" w:cs="SimplifiedArabic" w:hint="cs"/>
          <w:color w:val="222222"/>
          <w:sz w:val="28"/>
          <w:szCs w:val="28"/>
          <w:rtl/>
        </w:rPr>
        <w:t xml:space="preserve">44 مقابلة سرية شخصية ومن خلال البريد الاليكتروني، والي جانب </w:t>
      </w:r>
      <w:r w:rsidRPr="00297D66">
        <w:rPr>
          <w:rFonts w:ascii="SimplifiedArabic" w:hAnsi="Courier New" w:cs="SimplifiedArabic"/>
          <w:color w:val="222222"/>
          <w:sz w:val="28"/>
          <w:szCs w:val="28"/>
          <w:rtl/>
        </w:rPr>
        <w:t>الاطلاع على وثائق أرشيفية، واستغرق ذلك فترة زمنية امتدت لعامين. وقد كشفت النتائج أن خصائص المنظمة مثل الهرمية التنظيمية ومستوى المركزية تؤثر بشكل مباشر في مدى سهولة أو صعوبة تطبيق الرشاقة، كما أظهرت أن أساليب القيادة القائمة على السيطرة والضبط قد تحد من انتشار الرشاقة، في حين تسهم أنماط القيادة التشاركية في تعزيزها. كذلك أوضحت الدراسة أن اختراق الرشاقة عبر مستويات تنظيمية متعددة يتطلب تفاعلات متكاملة بين الوحدات المختلفة، وأن للإدارة الوسطى دورًا محوريًا في ربط المستويات العليا بالدنيا داخل الهيكل التنظيمي، مما يجعلها عنصرًا أساسيًا في تحقيق التكامل ونشر ممارسات الرشاقة داخل المنظمة.</w:t>
      </w:r>
    </w:p>
    <w:p w14:paraId="21E886F7"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lastRenderedPageBreak/>
        <w:t>دراسة</w:t>
      </w:r>
      <w:r w:rsidRPr="00297D66">
        <w:rPr>
          <w:rFonts w:ascii="SimplifiedArabic" w:hAnsi="Courier New" w:cs="SimplifiedArabic"/>
          <w:color w:val="222222"/>
          <w:sz w:val="28"/>
          <w:szCs w:val="28"/>
        </w:rPr>
        <w:t xml:space="preserve"> </w:t>
      </w:r>
      <w:r w:rsidRPr="00297D66">
        <w:rPr>
          <w:rFonts w:ascii="SimplifiedArabic" w:hAnsi="Courier New" w:cs="SimplifiedArabic"/>
          <w:b/>
          <w:bCs/>
          <w:color w:val="222222"/>
          <w:sz w:val="28"/>
          <w:szCs w:val="28"/>
        </w:rPr>
        <w:t>(Sanjay Dhir, 2018)</w:t>
      </w:r>
      <w:r w:rsidRPr="00297D66">
        <w:rPr>
          <w:rFonts w:ascii="SimplifiedArabic" w:hAnsi="Courier New" w:cs="SimplifiedArabic"/>
          <w:color w:val="222222"/>
          <w:sz w:val="28"/>
          <w:szCs w:val="28"/>
        </w:rPr>
        <w:t xml:space="preserve"> </w:t>
      </w:r>
      <w:r w:rsidRPr="00297D66">
        <w:rPr>
          <w:rFonts w:ascii="SimplifiedArabic" w:hAnsi="Courier New" w:cs="SimplifiedArabic"/>
          <w:color w:val="222222"/>
          <w:sz w:val="28"/>
          <w:szCs w:val="28"/>
          <w:rtl/>
        </w:rPr>
        <w:t>أظهرت اهتمامًا بفهم مفهوم الرشاقة في سياق الأسواق الناشئة، إلى جانب تحليل علاقته بمستوى أداء الشركات، مع التركيز على الدور الوسيط لقدرات التعلم في بيئة ديناميكية سريعة التغير. وقد طُبقت الدراسة على الشركات العاملة في مجال التجارة الإلكترونية في الهند، حيث خلصت النتائج إلى أن قدرات التعلم لدى الشركة تؤثر بشكل مباشر في كلا البعدين المرتبطين بالرشاقة التنظيمية والأداء المؤسسي، مما يدل على أهمية الاستثمار في تنمية المعرفة والمهارات داخل المنظمة. وأكدت الدراسة على ضرورة أن تولي الشركات اهتمامًا متوازنًا بكل من المعرفة الداخلية والخارجية، لما لذلك من دور في تعزيز قدرتها على الاستجابة للتغيرات وتحقيق مستويات أعلى من الرشاقة التنظيمية</w:t>
      </w:r>
      <w:r w:rsidRPr="00297D66">
        <w:rPr>
          <w:rFonts w:ascii="SimplifiedArabic" w:hAnsi="Courier New" w:cs="SimplifiedArabic"/>
          <w:color w:val="222222"/>
          <w:sz w:val="28"/>
          <w:szCs w:val="28"/>
        </w:rPr>
        <w:t>.</w:t>
      </w:r>
    </w:p>
    <w:p w14:paraId="708E801A"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t>وفي دراسة أخرى لـ (</w:t>
      </w:r>
      <w:r w:rsidRPr="00297D66">
        <w:rPr>
          <w:rFonts w:ascii="SimplifiedArabic" w:hAnsi="Courier New" w:cs="SimplifiedArabic"/>
          <w:b/>
          <w:bCs/>
          <w:color w:val="222222"/>
          <w:sz w:val="28"/>
          <w:szCs w:val="28"/>
        </w:rPr>
        <w:t>Kia Katter, 2018</w:t>
      </w:r>
      <w:r w:rsidRPr="00297D66">
        <w:rPr>
          <w:rFonts w:ascii="SimplifiedArabic" w:hAnsi="Courier New" w:cs="SimplifiedArabic"/>
          <w:b/>
          <w:bCs/>
          <w:color w:val="222222"/>
          <w:sz w:val="28"/>
          <w:szCs w:val="28"/>
          <w:rtl/>
        </w:rPr>
        <w:t>)،</w:t>
      </w:r>
      <w:r w:rsidRPr="00297D66">
        <w:rPr>
          <w:rFonts w:ascii="SimplifiedArabic" w:hAnsi="Courier New" w:cs="SimplifiedArabic"/>
          <w:color w:val="222222"/>
          <w:sz w:val="28"/>
          <w:szCs w:val="28"/>
          <w:rtl/>
        </w:rPr>
        <w:t xml:space="preserve"> تم التطرق إلى دور الإدارة العليا في دعم وتعزيز الرشاقة داخل فرق العمل، مع التركيز على فهم طبيعة الدور الديناميكي المرتبط بتطوير الكفاءات والقدرات داخل فرق العمل. وقد اعتمدت الدراسة على منهج دراسة الحالة في إحدى شركات الخدمات المالية في السوق النهائية، حيث تم جمع البيانات من خلال مقابلات شبه موجهة مع أعضاء الإدارة العليا، إلى جانب مقابلات مع أعضاء فرق العمل. وأشارت النتائج إلى أن فرق العمل المختلفة تتطلب ممارسات وأنشطة إدارية متنوعة تدعم تحقيق الرشاقة التنظيمية بأساليب ملائمة، كما أوضحت وجود مستويات متعددة من التأثير الإداري، حيث يلعب قائد الفريق دورًا محوريًا في تحفيز الأعضاء وتوجيه سلوكياتهم نحو تبني ممارسات رشاقة فعّالة. كما بيّنت النتائج أن الإدارة العليا لا تتدخل بشكل مباشر في </w:t>
      </w:r>
      <w:r w:rsidRPr="00297D66">
        <w:rPr>
          <w:rFonts w:ascii="SimplifiedArabic" w:hAnsi="Courier New" w:cs="SimplifiedArabic"/>
          <w:color w:val="222222"/>
          <w:sz w:val="28"/>
          <w:szCs w:val="28"/>
          <w:rtl/>
        </w:rPr>
        <w:lastRenderedPageBreak/>
        <w:t>تقييم أداء فرق العمل، وإنما تؤدي دورًا إرشاديًا وتوجيهيًا من خلال توفير الأدوات المناسبة لإدارة المعرفة وتعزيز الثقافة التنظيمية الداعمة للرشاقة.</w:t>
      </w:r>
    </w:p>
    <w:p w14:paraId="25D5658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t>دراسة (</w:t>
      </w:r>
      <w:r w:rsidRPr="00297D66">
        <w:rPr>
          <w:rFonts w:ascii="SimplifiedArabic" w:hAnsi="Courier New" w:cs="SimplifiedArabic"/>
          <w:b/>
          <w:bCs/>
          <w:color w:val="222222"/>
          <w:sz w:val="28"/>
          <w:szCs w:val="28"/>
        </w:rPr>
        <w:t>Hashim Fawzi et al., 2018</w:t>
      </w:r>
      <w:r w:rsidRPr="00297D66">
        <w:rPr>
          <w:rFonts w:ascii="SimplifiedArabic" w:hAnsi="Courier New" w:cs="SimplifiedArabic"/>
          <w:b/>
          <w:bCs/>
          <w:color w:val="222222"/>
          <w:sz w:val="28"/>
          <w:szCs w:val="28"/>
          <w:rtl/>
        </w:rPr>
        <w:t>)</w:t>
      </w:r>
      <w:r w:rsidRPr="00297D66">
        <w:rPr>
          <w:rFonts w:ascii="SimplifiedArabic" w:hAnsi="Courier New" w:cs="SimplifiedArabic"/>
          <w:color w:val="222222"/>
          <w:sz w:val="28"/>
          <w:szCs w:val="28"/>
          <w:rtl/>
        </w:rPr>
        <w:t xml:space="preserve"> تناولت تقديم رؤية تحليلية معمقة لأحد أنماط أو الأشكال التنظيمية الناشئة، وهو مفهوم الرشاقة الاستراتيجية، وذلك من خلال استكشاف العلاقة بين الرشاقة الاستراتيجية والنجاح التنظيمي في ظل بيئة تنافسية متسارعة التغير. كما افترضت الدراسة وجود تأثير وسيط للسيناريو الاستراتيجي في العلاقة بين الرشاقة الاستراتيجية والنجاح التنظيمي، بما يوضح كيفية انتقال أثر الرشاقة إلى الأداء المؤسسي. وقد اعتمدت الدراسة على تصميم قائمة استقصاء مبنية على مقاييس سابقة لقياس متغيرات الدراسة، حيث تم التركيز على تحقيق التوافق التنظيمي والقدرة على التنفيذ كأبعاد رئيسية للرشاقة الاستراتيجية. وأظهرت النتائج أن الرشاقة الاستراتيجية تسهم بشكل فعال في تعزيز النجاح التنظيمي، سواء من خلال تحسين التوافق الداخلي أو رفع كفاءة التنفيذ، كما بيّنت وجود دور مهم للسيناريو الاستراتيجي كعامل وسيط يؤثر في قوة وطبيعة العلاقة بين الرشاقة الاستراتيجية والنجاح التنظيمي، مما يؤكد أهمية التخطيط الاستراتيجي المرن في دعم الأداء المؤسسي.</w:t>
      </w:r>
    </w:p>
    <w:p w14:paraId="06A3A350"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t>دراسة</w:t>
      </w:r>
      <w:r w:rsidRPr="00297D66">
        <w:rPr>
          <w:rFonts w:ascii="SimplifiedArabic" w:hAnsi="Courier New" w:cs="SimplifiedArabic"/>
          <w:color w:val="222222"/>
          <w:sz w:val="28"/>
          <w:szCs w:val="28"/>
        </w:rPr>
        <w:t xml:space="preserve"> </w:t>
      </w:r>
      <w:r w:rsidRPr="00297D66">
        <w:rPr>
          <w:rFonts w:ascii="SimplifiedArabic" w:hAnsi="Courier New" w:cs="SimplifiedArabic"/>
          <w:b/>
          <w:bCs/>
          <w:color w:val="222222"/>
          <w:sz w:val="28"/>
          <w:szCs w:val="28"/>
        </w:rPr>
        <w:t xml:space="preserve">(Kihugwa, 2020) </w:t>
      </w:r>
      <w:r w:rsidRPr="00297D66">
        <w:rPr>
          <w:rFonts w:ascii="SimplifiedArabic" w:hAnsi="Courier New" w:cs="SimplifiedArabic"/>
          <w:color w:val="222222"/>
          <w:sz w:val="28"/>
          <w:szCs w:val="28"/>
          <w:rtl/>
        </w:rPr>
        <w:t>هدفت إلى التعرف على أثر ممارسات إدارة الجودة الشاملة، والمتمثلة في التحسين المستمر، والتركيز على العملاء، وتمكين الموظفين، والتزام الإدارة العليا، على الأداء التنظيمي في قطاع التصنيع في كينيا، وذلك من خلال تطبيقها على شركة</w:t>
      </w:r>
      <w:r w:rsidRPr="00297D66">
        <w:rPr>
          <w:rFonts w:ascii="SimplifiedArabic" w:hAnsi="Courier New" w:cs="SimplifiedArabic"/>
          <w:color w:val="222222"/>
          <w:sz w:val="28"/>
          <w:szCs w:val="28"/>
        </w:rPr>
        <w:t xml:space="preserve"> Mabati Rolling Mills Limited (MRM) </w:t>
      </w:r>
      <w:r w:rsidRPr="00297D66">
        <w:rPr>
          <w:rFonts w:ascii="SimplifiedArabic" w:hAnsi="Courier New" w:cs="SimplifiedArabic"/>
          <w:color w:val="222222"/>
          <w:sz w:val="28"/>
          <w:szCs w:val="28"/>
          <w:rtl/>
        </w:rPr>
        <w:t xml:space="preserve">في منطقة مارياكاني بمقاطعة كيليفي. واعتمدت الدراسة على المنهج الوصفي بأسلوب المسح، حيث تم جمع البيانات الأولية باستخدام استبيان تضمن أسئلة مفتوحة ومغلقة، واستهدف </w:t>
      </w:r>
      <w:r w:rsidRPr="00297D66">
        <w:rPr>
          <w:rFonts w:ascii="SimplifiedArabic" w:hAnsi="Courier New" w:cs="SimplifiedArabic"/>
          <w:color w:val="222222"/>
          <w:sz w:val="28"/>
          <w:szCs w:val="28"/>
          <w:rtl/>
        </w:rPr>
        <w:lastRenderedPageBreak/>
        <w:t>عينة بلغ حجمها (147) مفردة تم اختيارها عشوائيًا من فئات تنظيمية مختلفة، شملت الإدارة العليا، والإدارة الوسطى، والموظفين، والموزعين المعتمدين، بالإضافة إلى العملاء الخارجيين</w:t>
      </w:r>
      <w:r w:rsidRPr="00297D66">
        <w:rPr>
          <w:rFonts w:ascii="SimplifiedArabic" w:hAnsi="Courier New" w:cs="SimplifiedArabic"/>
          <w:color w:val="222222"/>
          <w:sz w:val="28"/>
          <w:szCs w:val="28"/>
        </w:rPr>
        <w:t>.</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وقد استخدمت الدراسة مجموعة من الأساليب الإحصائية الوصفية مثل التكرارات والنسب المئوية والمتوسطات الحسابية والانحرافات المعيارية، إلى جانب الأساليب التحليلية كتحليل الارتباط والانحدار لقياس طبيعة العلاقة بين المتغيرات، كما تم اختبار فرضيات الدراسة باستخدام معامل ارتباط بيرسون عند مستوى دلالة (0.05) من خلال برنامج</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Pr>
        <w:t xml:space="preserve"> (SPSS 21)</w:t>
      </w:r>
      <w:r w:rsidRPr="00297D66">
        <w:rPr>
          <w:rFonts w:ascii="SimplifiedArabic" w:hAnsi="Courier New" w:cs="SimplifiedArabic" w:hint="cs"/>
          <w:color w:val="222222"/>
          <w:sz w:val="28"/>
          <w:szCs w:val="28"/>
          <w:rtl/>
        </w:rPr>
        <w:t>.</w:t>
      </w:r>
    </w:p>
    <w:p w14:paraId="4EBCF64C"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وتوصلت الدراسة إلى وجود تأثير إيجابي معنوي لممارسات إدارة الجودة الشاملة على الأداء التنظيمي، حيث تبين أن التحسين المستمر يسهم بشكل مباشر في رفع مستوى الأداء، كما أن التركيز على العملاء يعزز رضاهم، الأمر الذي ينعكس إيجابًا على الأداء العام للمنظمة. كذلك أظهرت النتائج أن تمكين الموظفين يسهم في تحسين أدائهم، وأن التزام الإدارة العليا بتطبيق ممارسات الجودة يمثل عاملًا حاسمًا في تحقيق الأداء التنظيمي المتميز</w:t>
      </w:r>
      <w:r w:rsidRPr="00297D66">
        <w:rPr>
          <w:rFonts w:ascii="SimplifiedArabic" w:hAnsi="Courier New" w:cs="SimplifiedArabic"/>
          <w:color w:val="222222"/>
          <w:sz w:val="28"/>
          <w:szCs w:val="28"/>
        </w:rPr>
        <w:t>.</w:t>
      </w:r>
      <w:r w:rsidRPr="00297D66">
        <w:rPr>
          <w:rFonts w:ascii="SimplifiedArabic" w:hAnsi="Courier New" w:cs="SimplifiedArabic" w:hint="cs"/>
          <w:color w:val="222222"/>
          <w:sz w:val="28"/>
          <w:szCs w:val="28"/>
          <w:rtl/>
        </w:rPr>
        <w:t xml:space="preserve"> </w:t>
      </w:r>
      <w:r w:rsidRPr="00297D66">
        <w:rPr>
          <w:rFonts w:ascii="SimplifiedArabic" w:hAnsi="Courier New" w:cs="SimplifiedArabic"/>
          <w:color w:val="222222"/>
          <w:sz w:val="28"/>
          <w:szCs w:val="28"/>
          <w:rtl/>
        </w:rPr>
        <w:t>وفي ضوء هذه النتائج، أوصت الدراسة بضرورة تعزيز ثقافة تنظيمية قائمة على الثقة والاحترام المتبادل بين العاملين، وتنمية الشعور بالانتماء داخل المنظمة، بالإضافة إلى التأكيد على أهمية تبني التحسين المستمر كركيزة أساسية لضمان استدامة الأداء. كما أكدت على ضرورة دعم التزام الإدارة العليا بتطبيق ممارسات إدارة الجودة الشاملة من خلال توفير الحوافز المناسبة، ودعت إلى إجراء دراسات مستقبلية تتناول أبعادًا أخرى لممارسات الجودة الشاملة وتأثيرها على الأداء التنظيمي.</w:t>
      </w:r>
    </w:p>
    <w:p w14:paraId="4241B154"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b/>
          <w:bCs/>
          <w:color w:val="222222"/>
          <w:sz w:val="28"/>
          <w:szCs w:val="28"/>
          <w:rtl/>
        </w:rPr>
        <w:lastRenderedPageBreak/>
        <w:t>دراسة</w:t>
      </w:r>
      <w:r w:rsidRPr="00297D66">
        <w:rPr>
          <w:rFonts w:ascii="SimplifiedArabic" w:hAnsi="Courier New" w:cs="SimplifiedArabic"/>
          <w:b/>
          <w:bCs/>
          <w:color w:val="222222"/>
          <w:sz w:val="28"/>
          <w:szCs w:val="28"/>
        </w:rPr>
        <w:t xml:space="preserve"> (Suhendah &amp; Brigita, 2021) </w:t>
      </w:r>
      <w:r w:rsidRPr="00297D66">
        <w:rPr>
          <w:rFonts w:ascii="SimplifiedArabic" w:hAnsi="Courier New" w:cs="SimplifiedArabic"/>
          <w:color w:val="222222"/>
          <w:sz w:val="28"/>
          <w:szCs w:val="28"/>
          <w:rtl/>
        </w:rPr>
        <w:t>هدفت إلى تحليل أثر كلٍ من إدارة الجودة الشاملة والتوجه الريادي على الأداء التنظيمي، مع اختبار الدور الوسيط للابتكار في هذه العلاقة، وذلك بالتطبيق على الشركات المنتجة لزيت النخيل الخام</w:t>
      </w:r>
      <w:r w:rsidRPr="00297D66">
        <w:rPr>
          <w:rFonts w:ascii="SimplifiedArabic" w:hAnsi="Courier New" w:cs="SimplifiedArabic"/>
          <w:color w:val="222222"/>
          <w:sz w:val="28"/>
          <w:szCs w:val="28"/>
        </w:rPr>
        <w:t xml:space="preserve"> (CPO) </w:t>
      </w:r>
      <w:r w:rsidRPr="00297D66">
        <w:rPr>
          <w:rFonts w:ascii="SimplifiedArabic" w:hAnsi="Courier New" w:cs="SimplifiedArabic"/>
          <w:color w:val="222222"/>
          <w:sz w:val="28"/>
          <w:szCs w:val="28"/>
          <w:rtl/>
        </w:rPr>
        <w:t>في منطقتي شرق باريتو وويست كوتاوارينجين بجزيرة كاليمانتان في إندونيسيا. وقد اعتمدت الدراسة على أسلوب العينة الحصصية، حيث شملت (8) شركات عاملة في هذا القطاع بوصفها مجتمعًا تطبيقيًا للدراسة</w:t>
      </w:r>
      <w:r w:rsidRPr="00297D66">
        <w:rPr>
          <w:rFonts w:ascii="SimplifiedArabic" w:hAnsi="Courier New" w:cs="SimplifiedArabic"/>
          <w:color w:val="222222"/>
          <w:sz w:val="28"/>
          <w:szCs w:val="28"/>
        </w:rPr>
        <w:t>.</w:t>
      </w:r>
    </w:p>
    <w:p w14:paraId="6D3CB6A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ولتحليل البيانات، استخدمت الدراسة أسلوب النمذجة بالمعادلات الهيكلية باستخدام طريقة المربعات الصغرى الجزئية</w:t>
      </w:r>
      <w:r w:rsidRPr="00297D66">
        <w:rPr>
          <w:rFonts w:ascii="SimplifiedArabic" w:hAnsi="Courier New" w:cs="SimplifiedArabic"/>
          <w:color w:val="222222"/>
          <w:sz w:val="28"/>
          <w:szCs w:val="28"/>
        </w:rPr>
        <w:t xml:space="preserve"> (PLS)</w:t>
      </w:r>
      <w:r w:rsidRPr="00297D66">
        <w:rPr>
          <w:rFonts w:ascii="SimplifiedArabic" w:hAnsi="Courier New" w:cs="SimplifiedArabic"/>
          <w:color w:val="222222"/>
          <w:sz w:val="28"/>
          <w:szCs w:val="28"/>
          <w:rtl/>
        </w:rPr>
        <w:t>، وذلك من خلال برنامج</w:t>
      </w:r>
      <w:r w:rsidRPr="00297D66">
        <w:rPr>
          <w:rFonts w:ascii="SimplifiedArabic" w:hAnsi="Courier New" w:cs="SimplifiedArabic"/>
          <w:color w:val="222222"/>
          <w:sz w:val="28"/>
          <w:szCs w:val="28"/>
        </w:rPr>
        <w:t xml:space="preserve"> (Smart PLS) </w:t>
      </w:r>
      <w:r w:rsidRPr="00297D66">
        <w:rPr>
          <w:rFonts w:ascii="SimplifiedArabic" w:hAnsi="Courier New" w:cs="SimplifiedArabic"/>
          <w:color w:val="222222"/>
          <w:sz w:val="28"/>
          <w:szCs w:val="28"/>
          <w:rtl/>
        </w:rPr>
        <w:t>الإصدار الثالث، لما يتميز به هذا الأسلوب من قدرة على تحليل العلاقات المعقدة بين المتغيرات واختبار الأدوار الوسيطة</w:t>
      </w:r>
      <w:r w:rsidRPr="00297D66">
        <w:rPr>
          <w:rFonts w:ascii="SimplifiedArabic" w:hAnsi="Courier New" w:cs="SimplifiedArabic"/>
          <w:color w:val="222222"/>
          <w:sz w:val="28"/>
          <w:szCs w:val="28"/>
        </w:rPr>
        <w:t>.</w:t>
      </w:r>
    </w:p>
    <w:p w14:paraId="4D39493D"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وقد أظهرت نتائج الدراسة عددًا من الاستنتاجات المهمة، حيث تبين أن إدارة الجودة الشاملة لا تؤثر بشكل مباشر وإيجابي على الأداء التنظيمي، في حين كان لها تأثير إيجابي معنوي على الابتكار. كما أثبتت النتائج أن الابتكار بدوره يؤثر إيجابيًا على الأداء التنظيمي، مما يشير إلى أهميته كعامل حاسم في تحسين الأداء داخل المنظمات. كذلك كشفت الدراسة عن وجود تأثير غير مباشر لإدارة الجودة الشاملة على الأداء التنظيمي من خلال الابتكار كمتغير وسيط، وهو ما يعزز من أهمية تبني ممارسات الجودة الشاملة كمدخل لدعم الابتكار وليس فقط كأداة مباشرة لتحسين الأداء</w:t>
      </w:r>
      <w:r w:rsidRPr="00297D66">
        <w:rPr>
          <w:rFonts w:ascii="SimplifiedArabic" w:hAnsi="Courier New" w:cs="SimplifiedArabic"/>
          <w:color w:val="222222"/>
          <w:sz w:val="28"/>
          <w:szCs w:val="28"/>
        </w:rPr>
        <w:t>.</w:t>
      </w:r>
    </w:p>
    <w:p w14:paraId="29BB982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rPr>
      </w:pPr>
      <w:r w:rsidRPr="00297D66">
        <w:rPr>
          <w:rFonts w:ascii="SimplifiedArabic" w:hAnsi="Courier New" w:cs="SimplifiedArabic"/>
          <w:color w:val="222222"/>
          <w:sz w:val="28"/>
          <w:szCs w:val="28"/>
          <w:rtl/>
        </w:rPr>
        <w:t xml:space="preserve">إضافة إلى ذلك، أوضحت النتائج أن التوجه الريادي له تأثير إيجابي مباشر على الأداء التنظيمي، مما يعكس أهمية تبني الفكر الريادي في تعزيز قدرة الشركات على المنافسة وتحقيق نتائج أفضل. وبناءً </w:t>
      </w:r>
      <w:r w:rsidRPr="00297D66">
        <w:rPr>
          <w:rFonts w:ascii="SimplifiedArabic" w:hAnsi="Courier New" w:cs="SimplifiedArabic"/>
          <w:color w:val="222222"/>
          <w:sz w:val="28"/>
          <w:szCs w:val="28"/>
          <w:rtl/>
        </w:rPr>
        <w:lastRenderedPageBreak/>
        <w:t>على ذلك، تؤكد الدراسة على ضرورة التكامل بين إدارة الجودة الشاملة والابتكار والتوجه الريادي لتحقيق مستويات مرتفعة من الأداء التنظيمي.</w:t>
      </w:r>
    </w:p>
    <w:p w14:paraId="1CC80434" w14:textId="77777777" w:rsidR="00297D66" w:rsidRPr="00297D66" w:rsidRDefault="00297D66" w:rsidP="00297D66">
      <w:pPr>
        <w:autoSpaceDE w:val="0"/>
        <w:autoSpaceDN w:val="0"/>
        <w:bidi/>
        <w:adjustRightInd w:val="0"/>
        <w:spacing w:after="0" w:line="600" w:lineRule="auto"/>
        <w:jc w:val="lowKashida"/>
        <w:outlineLvl w:val="1"/>
        <w:rPr>
          <w:rFonts w:ascii="SimplifiedArabic" w:hAnsi="Courier New" w:cs="SimplifiedArabic"/>
          <w:b/>
          <w:bCs/>
          <w:color w:val="222222"/>
          <w:sz w:val="32"/>
          <w:szCs w:val="32"/>
          <w:rtl/>
          <w:lang w:bidi="ar-EG"/>
        </w:rPr>
      </w:pPr>
      <w:bookmarkStart w:id="23" w:name="_Toc224826653"/>
      <w:r w:rsidRPr="00297D66">
        <w:rPr>
          <w:rFonts w:ascii="SimplifiedArabic" w:hAnsi="Courier New" w:cs="SimplifiedArabic"/>
          <w:b/>
          <w:bCs/>
          <w:color w:val="222222"/>
          <w:sz w:val="32"/>
          <w:szCs w:val="32"/>
          <w:rtl/>
          <w:lang w:bidi="ar-EG"/>
        </w:rPr>
        <w:t>أوجه الاستفادة من الدراسات السابقة</w:t>
      </w:r>
      <w:r w:rsidRPr="00297D66">
        <w:rPr>
          <w:rFonts w:ascii="SimplifiedArabic" w:hAnsi="Courier New" w:cs="SimplifiedArabic"/>
          <w:b/>
          <w:bCs/>
          <w:color w:val="222222"/>
          <w:sz w:val="32"/>
          <w:szCs w:val="32"/>
          <w:lang w:bidi="ar-EG"/>
        </w:rPr>
        <w:t>:</w:t>
      </w:r>
      <w:bookmarkEnd w:id="23"/>
    </w:p>
    <w:p w14:paraId="40560D0B"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color w:val="222222"/>
          <w:sz w:val="28"/>
          <w:szCs w:val="28"/>
          <w:rtl/>
          <w:lang w:bidi="ar-EG"/>
        </w:rPr>
        <w:t>تم الاستفادة من الدراسات السابقة في عدد من الجوانب العلمية والمنهجية المهمة، ومن أبرزها ما يلي</w:t>
      </w:r>
      <w:r w:rsidRPr="00297D66">
        <w:rPr>
          <w:rFonts w:ascii="SimplifiedArabic" w:hAnsi="Courier New" w:cs="SimplifiedArabic"/>
          <w:color w:val="222222"/>
          <w:sz w:val="28"/>
          <w:szCs w:val="28"/>
          <w:lang w:bidi="ar-EG"/>
        </w:rPr>
        <w:t>:</w:t>
      </w:r>
    </w:p>
    <w:p w14:paraId="403F23C8" w14:textId="77777777" w:rsidR="00297D66" w:rsidRPr="00297D66" w:rsidRDefault="00297D66" w:rsidP="00297D66">
      <w:pPr>
        <w:numPr>
          <w:ilvl w:val="0"/>
          <w:numId w:val="18"/>
        </w:numPr>
        <w:autoSpaceDE w:val="0"/>
        <w:autoSpaceDN w:val="0"/>
        <w:bidi/>
        <w:adjustRightInd w:val="0"/>
        <w:spacing w:after="0" w:line="600" w:lineRule="auto"/>
        <w:contextualSpacing/>
        <w:jc w:val="lowKashida"/>
        <w:rPr>
          <w:rFonts w:ascii="SimplifiedArabic" w:eastAsia="Times New Roman" w:hAnsi="Times New Roman" w:cs="SimplifiedArabic"/>
          <w:color w:val="222222"/>
          <w:sz w:val="28"/>
          <w:szCs w:val="28"/>
          <w:rtl/>
          <w:lang w:bidi="ar-EG"/>
          <w14:ligatures w14:val="none"/>
        </w:rPr>
      </w:pPr>
      <w:r w:rsidRPr="00297D66">
        <w:rPr>
          <w:rFonts w:ascii="SimplifiedArabic" w:eastAsia="Times New Roman" w:hAnsi="Times New Roman" w:cs="SimplifiedArabic"/>
          <w:color w:val="222222"/>
          <w:sz w:val="28"/>
          <w:szCs w:val="28"/>
          <w:rtl/>
          <w:lang w:bidi="ar-EG"/>
          <w14:ligatures w14:val="none"/>
        </w:rPr>
        <w:t>ساهمت مراجعة الدراسات السابقة في تحديد الفجوات البحثية المرتبطة بدور ممارسات إدارة الموارد البشرية الاستراتيجية في تعزيز الأداء التنظيمي، مما أسهم في صياغة مشكلة الدراسة الحالية بشكل علمي واضح ودقيق</w:t>
      </w:r>
      <w:r w:rsidRPr="00297D66">
        <w:rPr>
          <w:rFonts w:ascii="SimplifiedArabic" w:eastAsia="Times New Roman" w:hAnsi="Times New Roman" w:cs="SimplifiedArabic"/>
          <w:color w:val="222222"/>
          <w:sz w:val="28"/>
          <w:szCs w:val="28"/>
          <w:lang w:bidi="ar-EG"/>
          <w14:ligatures w14:val="none"/>
        </w:rPr>
        <w:t>.</w:t>
      </w:r>
    </w:p>
    <w:p w14:paraId="514C7FC1" w14:textId="77777777" w:rsidR="00297D66" w:rsidRPr="00297D66" w:rsidRDefault="00297D66" w:rsidP="00297D66">
      <w:pPr>
        <w:numPr>
          <w:ilvl w:val="0"/>
          <w:numId w:val="18"/>
        </w:numPr>
        <w:autoSpaceDE w:val="0"/>
        <w:autoSpaceDN w:val="0"/>
        <w:bidi/>
        <w:adjustRightInd w:val="0"/>
        <w:spacing w:after="0" w:line="600" w:lineRule="auto"/>
        <w:contextualSpacing/>
        <w:jc w:val="lowKashida"/>
        <w:rPr>
          <w:rFonts w:ascii="SimplifiedArabic" w:eastAsia="Times New Roman" w:hAnsi="Times New Roman" w:cs="SimplifiedArabic"/>
          <w:color w:val="222222"/>
          <w:sz w:val="28"/>
          <w:szCs w:val="28"/>
          <w:rtl/>
          <w:lang w:bidi="ar-EG"/>
          <w14:ligatures w14:val="none"/>
        </w:rPr>
      </w:pPr>
      <w:r w:rsidRPr="00297D66">
        <w:rPr>
          <w:rFonts w:ascii="SimplifiedArabic" w:eastAsia="Times New Roman" w:hAnsi="Times New Roman" w:cs="SimplifiedArabic"/>
          <w:color w:val="222222"/>
          <w:sz w:val="28"/>
          <w:szCs w:val="28"/>
          <w:rtl/>
          <w:lang w:bidi="ar-EG"/>
          <w14:ligatures w14:val="none"/>
        </w:rPr>
        <w:t>أُفيد من الأطر النظرية والنماذج المفاهيمية التي تناولت ممارسات إدارة الموارد البشرية الاستراتيجية، والجودة الشاملة، والابتكار، والبراعة التنظيمية في بناء الإطار النظري للدراسة</w:t>
      </w:r>
      <w:r w:rsidRPr="00297D66">
        <w:rPr>
          <w:rFonts w:ascii="SimplifiedArabic" w:eastAsia="Times New Roman" w:hAnsi="Times New Roman" w:cs="SimplifiedArabic"/>
          <w:color w:val="222222"/>
          <w:sz w:val="28"/>
          <w:szCs w:val="28"/>
          <w:lang w:bidi="ar-EG"/>
          <w14:ligatures w14:val="none"/>
        </w:rPr>
        <w:t>.</w:t>
      </w:r>
    </w:p>
    <w:p w14:paraId="7ECDEF9E" w14:textId="77777777" w:rsidR="00297D66" w:rsidRPr="00297D66" w:rsidRDefault="00297D66" w:rsidP="00297D66">
      <w:pPr>
        <w:numPr>
          <w:ilvl w:val="0"/>
          <w:numId w:val="18"/>
        </w:numPr>
        <w:autoSpaceDE w:val="0"/>
        <w:autoSpaceDN w:val="0"/>
        <w:bidi/>
        <w:adjustRightInd w:val="0"/>
        <w:spacing w:after="0" w:line="600" w:lineRule="auto"/>
        <w:contextualSpacing/>
        <w:jc w:val="lowKashida"/>
        <w:rPr>
          <w:rFonts w:ascii="SimplifiedArabic" w:eastAsia="Times New Roman" w:hAnsi="Times New Roman" w:cs="SimplifiedArabic"/>
          <w:color w:val="222222"/>
          <w:sz w:val="28"/>
          <w:szCs w:val="28"/>
          <w:rtl/>
          <w:lang w:bidi="ar-EG"/>
          <w14:ligatures w14:val="none"/>
        </w:rPr>
      </w:pPr>
      <w:r w:rsidRPr="00297D66">
        <w:rPr>
          <w:rFonts w:ascii="SimplifiedArabic" w:eastAsia="Times New Roman" w:hAnsi="Times New Roman" w:cs="SimplifiedArabic"/>
          <w:color w:val="222222"/>
          <w:sz w:val="28"/>
          <w:szCs w:val="28"/>
          <w:rtl/>
          <w:lang w:bidi="ar-EG"/>
          <w14:ligatures w14:val="none"/>
        </w:rPr>
        <w:t>ساعدت الدراسات السابقة في تحديد المنهج العلمي المناسب، واختيار الأساليب والأدوات الملائمة لجمع البيانات وتحليلها بما يتناسب مع طبيعة متغيرات الدراسة</w:t>
      </w:r>
      <w:r w:rsidRPr="00297D66">
        <w:rPr>
          <w:rFonts w:ascii="SimplifiedArabic" w:eastAsia="Times New Roman" w:hAnsi="Times New Roman" w:cs="SimplifiedArabic"/>
          <w:color w:val="222222"/>
          <w:sz w:val="28"/>
          <w:szCs w:val="28"/>
          <w:lang w:bidi="ar-EG"/>
          <w14:ligatures w14:val="none"/>
        </w:rPr>
        <w:t>.</w:t>
      </w:r>
    </w:p>
    <w:p w14:paraId="3D6E7ECE" w14:textId="77777777" w:rsidR="00297D66" w:rsidRPr="00297D66" w:rsidRDefault="00297D66" w:rsidP="00297D66">
      <w:pPr>
        <w:numPr>
          <w:ilvl w:val="0"/>
          <w:numId w:val="18"/>
        </w:numPr>
        <w:autoSpaceDE w:val="0"/>
        <w:autoSpaceDN w:val="0"/>
        <w:bidi/>
        <w:adjustRightInd w:val="0"/>
        <w:spacing w:after="0" w:line="600" w:lineRule="auto"/>
        <w:contextualSpacing/>
        <w:jc w:val="lowKashida"/>
        <w:rPr>
          <w:rFonts w:ascii="SimplifiedArabic" w:eastAsia="Times New Roman" w:hAnsi="Times New Roman" w:cs="SimplifiedArabic"/>
          <w:color w:val="222222"/>
          <w:sz w:val="28"/>
          <w:szCs w:val="28"/>
          <w:rtl/>
          <w:lang w:bidi="ar-EG"/>
          <w14:ligatures w14:val="none"/>
        </w:rPr>
      </w:pPr>
      <w:r w:rsidRPr="00297D66">
        <w:rPr>
          <w:rFonts w:ascii="SimplifiedArabic" w:eastAsia="Times New Roman" w:hAnsi="Times New Roman" w:cs="SimplifiedArabic"/>
          <w:color w:val="222222"/>
          <w:sz w:val="28"/>
          <w:szCs w:val="28"/>
          <w:rtl/>
          <w:lang w:bidi="ar-EG"/>
          <w14:ligatures w14:val="none"/>
        </w:rPr>
        <w:t>أسهمت نتائج الدراسات السابقة في إبراز الأهمية النظرية والتطبيقية لممارسات إدارة الموارد البشرية الاستراتيجية ودورها في تحسين الأداء التنظيمي في بيئات العمل المختلفة</w:t>
      </w:r>
      <w:r w:rsidRPr="00297D66">
        <w:rPr>
          <w:rFonts w:ascii="SimplifiedArabic" w:eastAsia="Times New Roman" w:hAnsi="Times New Roman" w:cs="SimplifiedArabic"/>
          <w:color w:val="222222"/>
          <w:sz w:val="28"/>
          <w:szCs w:val="28"/>
          <w:lang w:bidi="ar-EG"/>
          <w14:ligatures w14:val="none"/>
        </w:rPr>
        <w:t>.</w:t>
      </w:r>
    </w:p>
    <w:p w14:paraId="530368CC" w14:textId="77777777" w:rsidR="00297D66" w:rsidRPr="00297D66" w:rsidRDefault="00297D66" w:rsidP="00297D66">
      <w:pPr>
        <w:numPr>
          <w:ilvl w:val="0"/>
          <w:numId w:val="18"/>
        </w:numPr>
        <w:autoSpaceDE w:val="0"/>
        <w:autoSpaceDN w:val="0"/>
        <w:bidi/>
        <w:adjustRightInd w:val="0"/>
        <w:spacing w:after="0" w:line="600" w:lineRule="auto"/>
        <w:contextualSpacing/>
        <w:jc w:val="lowKashida"/>
        <w:rPr>
          <w:rFonts w:ascii="SimplifiedArabic" w:eastAsia="Times New Roman" w:hAnsi="Times New Roman" w:cs="SimplifiedArabic"/>
          <w:color w:val="222222"/>
          <w:sz w:val="28"/>
          <w:szCs w:val="28"/>
          <w:lang w:bidi="ar-EG"/>
          <w14:ligatures w14:val="none"/>
        </w:rPr>
      </w:pPr>
      <w:r w:rsidRPr="00297D66">
        <w:rPr>
          <w:rFonts w:ascii="SimplifiedArabic" w:eastAsia="Times New Roman" w:hAnsi="Times New Roman" w:cs="SimplifiedArabic"/>
          <w:color w:val="222222"/>
          <w:sz w:val="28"/>
          <w:szCs w:val="28"/>
          <w:rtl/>
          <w:lang w:bidi="ar-EG"/>
          <w14:ligatures w14:val="none"/>
        </w:rPr>
        <w:t>تم الاستفادة من الأساليب الإحصائية المستخدمة في الدراسات السابقة، مثل تحليل الارتباط والانحدار وتحليل التباين، في اختيار الأساليب الإحصائية المناسبة لمعالجة بيانات الدراسة الحالية وتحقيق دقة النتائج.</w:t>
      </w:r>
    </w:p>
    <w:p w14:paraId="44D82A48"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p>
    <w:p w14:paraId="33DAF3A2" w14:textId="77777777" w:rsidR="00297D66" w:rsidRPr="00297D66" w:rsidRDefault="00297D66" w:rsidP="00297D66">
      <w:pPr>
        <w:autoSpaceDE w:val="0"/>
        <w:autoSpaceDN w:val="0"/>
        <w:bidi/>
        <w:adjustRightInd w:val="0"/>
        <w:spacing w:after="0" w:line="600" w:lineRule="auto"/>
        <w:jc w:val="lowKashida"/>
        <w:outlineLvl w:val="1"/>
        <w:rPr>
          <w:rFonts w:ascii="SimplifiedArabic" w:hAnsi="Courier New" w:cs="SimplifiedArabic"/>
          <w:b/>
          <w:bCs/>
          <w:color w:val="222222"/>
          <w:sz w:val="32"/>
          <w:szCs w:val="32"/>
          <w:rtl/>
          <w:lang w:bidi="ar-EG"/>
        </w:rPr>
      </w:pPr>
      <w:bookmarkStart w:id="24" w:name="_Toc224826654"/>
      <w:r w:rsidRPr="00297D66">
        <w:rPr>
          <w:rFonts w:ascii="SimplifiedArabic" w:hAnsi="Courier New" w:cs="SimplifiedArabic"/>
          <w:b/>
          <w:bCs/>
          <w:color w:val="222222"/>
          <w:sz w:val="32"/>
          <w:szCs w:val="32"/>
          <w:rtl/>
          <w:lang w:bidi="ar-EG"/>
        </w:rPr>
        <w:lastRenderedPageBreak/>
        <w:t>ما يميز هذه الدراسة عن الدراسات السابقة</w:t>
      </w:r>
      <w:r w:rsidRPr="00297D66">
        <w:rPr>
          <w:rFonts w:ascii="SimplifiedArabic" w:hAnsi="Courier New" w:cs="SimplifiedArabic"/>
          <w:b/>
          <w:bCs/>
          <w:color w:val="222222"/>
          <w:sz w:val="32"/>
          <w:szCs w:val="32"/>
          <w:lang w:bidi="ar-EG"/>
        </w:rPr>
        <w:t>:</w:t>
      </w:r>
      <w:bookmarkEnd w:id="24"/>
    </w:p>
    <w:p w14:paraId="71C161C5"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hint="cs"/>
          <w:color w:val="222222"/>
          <w:sz w:val="28"/>
          <w:szCs w:val="28"/>
          <w:rtl/>
          <w:lang w:bidi="ar-EG"/>
        </w:rPr>
        <w:t xml:space="preserve">    </w:t>
      </w:r>
      <w:r w:rsidRPr="00297D66">
        <w:rPr>
          <w:rFonts w:ascii="SimplifiedArabic" w:hAnsi="Courier New" w:cs="SimplifiedArabic"/>
          <w:color w:val="222222"/>
          <w:sz w:val="28"/>
          <w:szCs w:val="28"/>
          <w:rtl/>
          <w:lang w:bidi="ar-EG"/>
        </w:rPr>
        <w:t>تتميز هذه الدراسة بتركيزها على منظمات الأعمال في المملكة العربية السعودية، مما يمنحها بعدًا تطبيقيًا يعكس خصوصية البيئة التنظيمية والاقتصادية في المملكة. كما تأتي هذه الدراسة في ظل التحولات التنموية المتسارعة التي تشهدها المملكة وفق رؤية السعودية 2030، والتي ركزت بشكل كبير على تطوير الموارد البشرية ورفع كفاءة الأداء المؤسسي، الأمر الذي يعزز من أهمية الدراسة ونتائجها</w:t>
      </w:r>
      <w:r w:rsidRPr="00297D66">
        <w:rPr>
          <w:rFonts w:ascii="SimplifiedArabic" w:hAnsi="Courier New" w:cs="SimplifiedArabic"/>
          <w:color w:val="222222"/>
          <w:sz w:val="28"/>
          <w:szCs w:val="28"/>
          <w:lang w:bidi="ar-EG"/>
        </w:rPr>
        <w:t>.</w:t>
      </w:r>
    </w:p>
    <w:p w14:paraId="22D0AD31"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hint="cs"/>
          <w:color w:val="222222"/>
          <w:sz w:val="28"/>
          <w:szCs w:val="28"/>
          <w:rtl/>
          <w:lang w:bidi="ar-EG"/>
        </w:rPr>
        <w:t xml:space="preserve">    </w:t>
      </w:r>
      <w:r w:rsidRPr="00297D66">
        <w:rPr>
          <w:rFonts w:ascii="SimplifiedArabic" w:hAnsi="Courier New" w:cs="SimplifiedArabic"/>
          <w:color w:val="222222"/>
          <w:sz w:val="28"/>
          <w:szCs w:val="28"/>
          <w:rtl/>
          <w:lang w:bidi="ar-EG"/>
        </w:rPr>
        <w:t>كما تتناول هذه الدراسة ممارسات إدارة الموارد البشرية الاستراتيجية بصورة شمولية من خلال مجموعة متكاملة من الأبعاد، مثل التخطيط الوظيفي والتوظيف، التدريب والتطوير، تقييم الأداء والتحفيز، وربطها بمخرجات تنظيمية مهمة كجودة المشاريع، وتحقيق الأهداف المؤسسية، والكفاءة والإنتاجية، والالتزام والانتماء التنظيمي، وهو ما يميزها عن العديد من الدراسات السابقة التي تناولت هذه المتغيرات بشكل منفصل أو جزئي</w:t>
      </w:r>
      <w:r w:rsidRPr="00297D66">
        <w:rPr>
          <w:rFonts w:ascii="SimplifiedArabic" w:hAnsi="Courier New" w:cs="SimplifiedArabic"/>
          <w:color w:val="222222"/>
          <w:sz w:val="28"/>
          <w:szCs w:val="28"/>
          <w:lang w:bidi="ar-EG"/>
        </w:rPr>
        <w:t>.</w:t>
      </w:r>
    </w:p>
    <w:p w14:paraId="3A90F68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hint="cs"/>
          <w:color w:val="222222"/>
          <w:sz w:val="28"/>
          <w:szCs w:val="28"/>
          <w:rtl/>
          <w:lang w:bidi="ar-EG"/>
        </w:rPr>
        <w:t xml:space="preserve">   </w:t>
      </w:r>
      <w:r w:rsidRPr="00297D66">
        <w:rPr>
          <w:rFonts w:ascii="SimplifiedArabic" w:hAnsi="Courier New" w:cs="SimplifiedArabic"/>
          <w:color w:val="222222"/>
          <w:sz w:val="28"/>
          <w:szCs w:val="28"/>
          <w:rtl/>
          <w:lang w:bidi="ar-EG"/>
        </w:rPr>
        <w:t>وعليه، تنفرد هذه الدراسة بدمجها بين عدد من المتغيرات التنظيمية المهمة ضمن نموذج متكامل، وتركيزها على بيئة تطبيقية محددة، بما يعزز من قيمتها العلمية والتطبيقية، ويجعل نتائجها ذات فائدة عملية لصناع القرار والإدارات العليا في منظمات الأعمال</w:t>
      </w:r>
      <w:r w:rsidRPr="00297D66">
        <w:rPr>
          <w:rFonts w:ascii="SimplifiedArabic" w:hAnsi="Courier New" w:cs="SimplifiedArabic"/>
          <w:color w:val="222222"/>
          <w:sz w:val="28"/>
          <w:szCs w:val="28"/>
          <w:lang w:bidi="ar-EG"/>
        </w:rPr>
        <w:t>.</w:t>
      </w:r>
    </w:p>
    <w:p w14:paraId="664FA9E8"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p>
    <w:p w14:paraId="193620F2"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p>
    <w:p w14:paraId="4C9A9A76"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p>
    <w:p w14:paraId="622483B2" w14:textId="77777777" w:rsidR="00297D66" w:rsidRPr="00297D66" w:rsidRDefault="00297D66" w:rsidP="00297D66">
      <w:pPr>
        <w:autoSpaceDE w:val="0"/>
        <w:autoSpaceDN w:val="0"/>
        <w:bidi/>
        <w:adjustRightInd w:val="0"/>
        <w:spacing w:after="0" w:line="600" w:lineRule="auto"/>
        <w:jc w:val="lowKashida"/>
        <w:outlineLvl w:val="0"/>
        <w:rPr>
          <w:rFonts w:ascii="SimplifiedArabic" w:hAnsi="Courier New" w:cs="SimplifiedArabic"/>
          <w:b/>
          <w:bCs/>
          <w:color w:val="222222"/>
          <w:sz w:val="30"/>
          <w:szCs w:val="30"/>
          <w:rtl/>
          <w:lang w:bidi="ar-EG"/>
        </w:rPr>
      </w:pPr>
      <w:bookmarkStart w:id="25" w:name="_Toc224826655"/>
      <w:r w:rsidRPr="00297D66">
        <w:rPr>
          <w:rFonts w:ascii="SimplifiedArabic" w:hAnsi="Courier New" w:cs="SimplifiedArabic"/>
          <w:b/>
          <w:bCs/>
          <w:color w:val="222222"/>
          <w:sz w:val="36"/>
          <w:szCs w:val="36"/>
          <w:rtl/>
          <w:lang w:bidi="ar-EG"/>
        </w:rPr>
        <w:lastRenderedPageBreak/>
        <w:t>خلاصة الفصل</w:t>
      </w:r>
      <w:r w:rsidRPr="00297D66">
        <w:rPr>
          <w:rFonts w:ascii="SimplifiedArabic" w:hAnsi="Courier New" w:cs="SimplifiedArabic"/>
          <w:b/>
          <w:bCs/>
          <w:color w:val="222222"/>
          <w:sz w:val="32"/>
          <w:szCs w:val="32"/>
          <w:lang w:bidi="ar-EG"/>
        </w:rPr>
        <w:t>:</w:t>
      </w:r>
      <w:bookmarkEnd w:id="25"/>
    </w:p>
    <w:p w14:paraId="2DDD33E8"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color w:val="222222"/>
          <w:sz w:val="28"/>
          <w:szCs w:val="28"/>
          <w:rtl/>
          <w:lang w:bidi="ar-EG"/>
        </w:rPr>
        <w:t>تناول هذا الفصل الإطار النظري للدراسة، حيث تم استعراض ممارسات إدارة الموارد البشرية الاستراتيجية بصورة شاملة، بدءًا من المفاهيم الأساسية التي توضح دور هذه الممارسات في إدارة العنصر البشري بكفاءة، مرورًا بأهميتها في دعم التوجهات الاستراتيجية للمنظمات وتعزيز قدرتها التنافسية، وانتهاءً بأهم أبعادها المتمثلة في التخطيط الوظيفي والتوظيف، التدريب والتطوير المستمر، وتقييم الأداء والتحفيز</w:t>
      </w:r>
      <w:r w:rsidRPr="00297D66">
        <w:rPr>
          <w:rFonts w:ascii="SimplifiedArabic" w:hAnsi="Courier New" w:cs="SimplifiedArabic"/>
          <w:color w:val="222222"/>
          <w:sz w:val="28"/>
          <w:szCs w:val="28"/>
          <w:lang w:bidi="ar-EG"/>
        </w:rPr>
        <w:t>.</w:t>
      </w:r>
    </w:p>
    <w:p w14:paraId="1A1D28DF"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color w:val="222222"/>
          <w:sz w:val="28"/>
          <w:szCs w:val="28"/>
          <w:rtl/>
          <w:lang w:bidi="ar-EG"/>
        </w:rPr>
        <w:t>كما تم التطرق إلى مفهوم الأداء التنظيمي باعتباره أحد المخرجات الأساسية لتطبيق ممارسات إدارة الموارد البشرية الاستراتيجية، مع توضيح أبعاده المختلفة مثل جودة المشاريع، تحقيق الأهداف المؤسسية، الكفاءة والإنتاجية، والالتزام والانتماء التنظيمي، وبيان كيفية تفاعل هذه الأبعاد معًا في تحسين مستوى الأداء العام للمنظمات</w:t>
      </w:r>
      <w:r w:rsidRPr="00297D66">
        <w:rPr>
          <w:rFonts w:ascii="SimplifiedArabic" w:hAnsi="Courier New" w:cs="SimplifiedArabic"/>
          <w:color w:val="222222"/>
          <w:sz w:val="28"/>
          <w:szCs w:val="28"/>
          <w:lang w:bidi="ar-EG"/>
        </w:rPr>
        <w:t>.</w:t>
      </w:r>
    </w:p>
    <w:p w14:paraId="6BB5A177" w14:textId="77777777" w:rsidR="00297D66" w:rsidRPr="00297D66" w:rsidRDefault="00297D66" w:rsidP="00297D66">
      <w:pPr>
        <w:autoSpaceDE w:val="0"/>
        <w:autoSpaceDN w:val="0"/>
        <w:bidi/>
        <w:adjustRightInd w:val="0"/>
        <w:spacing w:after="0" w:line="600" w:lineRule="auto"/>
        <w:jc w:val="lowKashida"/>
        <w:rPr>
          <w:rFonts w:ascii="SimplifiedArabic" w:hAnsi="Courier New" w:cs="SimplifiedArabic"/>
          <w:color w:val="222222"/>
          <w:sz w:val="28"/>
          <w:szCs w:val="28"/>
          <w:rtl/>
          <w:lang w:bidi="ar-EG"/>
        </w:rPr>
      </w:pPr>
      <w:r w:rsidRPr="00297D66">
        <w:rPr>
          <w:rFonts w:ascii="SimplifiedArabic" w:hAnsi="Courier New" w:cs="SimplifiedArabic"/>
          <w:color w:val="222222"/>
          <w:sz w:val="28"/>
          <w:szCs w:val="28"/>
          <w:rtl/>
          <w:lang w:bidi="ar-EG"/>
        </w:rPr>
        <w:t>كذلك تناول الفصل العلاقة بين ممارسات إدارة الموارد البشرية الاستراتيجية والأداء التنظيمي، مع إبراز دور هذه الممارسات في تحقيق الفاعلية المؤسسية وتعزيز القدرة على التكيف مع التغيرات البيئية. بالإضافة إلى ذلك، تم استعراض عدد من الدراسات السابقة العربية والأجنبية ذات الصلة، وتحليل نتائجها، وبيان أوجه الاستفادة منها، إلى جانب توضيح ما يميز الدراسة الحالية عنها</w:t>
      </w:r>
      <w:r w:rsidRPr="00297D66">
        <w:rPr>
          <w:rFonts w:ascii="SimplifiedArabic" w:hAnsi="Courier New" w:cs="SimplifiedArabic"/>
          <w:color w:val="222222"/>
          <w:sz w:val="28"/>
          <w:szCs w:val="28"/>
          <w:lang w:bidi="ar-EG"/>
        </w:rPr>
        <w:t>.</w:t>
      </w:r>
    </w:p>
    <w:p w14:paraId="24341EEA" w14:textId="04AE579A" w:rsidR="0053287A" w:rsidRPr="0053037F" w:rsidRDefault="00297D66" w:rsidP="00297D66">
      <w:pPr>
        <w:autoSpaceDE w:val="0"/>
        <w:autoSpaceDN w:val="0"/>
        <w:bidi/>
        <w:adjustRightInd w:val="0"/>
        <w:spacing w:after="0" w:line="600" w:lineRule="auto"/>
        <w:jc w:val="lowKashida"/>
        <w:rPr>
          <w:rtl/>
          <w:lang w:val="en-GB" w:bidi="ar-EG"/>
        </w:rPr>
      </w:pPr>
      <w:r w:rsidRPr="00297D66">
        <w:rPr>
          <w:rFonts w:ascii="SimplifiedArabic" w:hAnsi="Courier New" w:cs="SimplifiedArabic"/>
          <w:color w:val="222222"/>
          <w:sz w:val="28"/>
          <w:szCs w:val="28"/>
          <w:rtl/>
          <w:lang w:bidi="ar-EG"/>
        </w:rPr>
        <w:t>وبناءً على ما سبق، يمهّد هذا الفصل للانتقال إلى الفصل التالي الذي يتناول المنهجية العلمية للدراسة، من حيث تصميم البحث، وأدوات جمع البيانات، والأساليب الإحصائية المستخدمة، وذلك بهدف اختبار الفرضيات وتحقيق أهداف الدراسة بشكل دقيق ومنهجي.</w:t>
      </w:r>
    </w:p>
    <w:sectPr w:rsidR="0053287A" w:rsidRPr="0053037F" w:rsidSect="002651B1">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5D502" w14:textId="77777777" w:rsidR="00FF2681" w:rsidRDefault="00FF2681">
      <w:pPr>
        <w:spacing w:after="0" w:line="240" w:lineRule="auto"/>
      </w:pPr>
      <w:r>
        <w:separator/>
      </w:r>
    </w:p>
  </w:endnote>
  <w:endnote w:type="continuationSeparator" w:id="0">
    <w:p w14:paraId="33C5DECB" w14:textId="77777777" w:rsidR="00FF2681" w:rsidRDefault="00FF2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Arabic">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implifiedArabic-Bold">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356549"/>
      <w:docPartObj>
        <w:docPartGallery w:val="Page Numbers (Bottom of Page)"/>
        <w:docPartUnique/>
      </w:docPartObj>
    </w:sdtPr>
    <w:sdtEndPr>
      <w:rPr>
        <w:noProof/>
      </w:rPr>
    </w:sdtEndPr>
    <w:sdtContent>
      <w:p w14:paraId="32F96779" w14:textId="77777777" w:rsidR="00297D66" w:rsidRDefault="00297D66">
        <w:pPr>
          <w:pStyle w:val="Footer"/>
          <w:jc w:val="center"/>
        </w:pPr>
        <w:r>
          <w:rPr>
            <w:noProof/>
          </w:rPr>
          <mc:AlternateContent>
            <mc:Choice Requires="wps">
              <w:drawing>
                <wp:anchor distT="0" distB="0" distL="114300" distR="114300" simplePos="0" relativeHeight="251658240" behindDoc="1" locked="0" layoutInCell="1" allowOverlap="1" wp14:anchorId="51996AAC" wp14:editId="059E25B3">
                  <wp:simplePos x="0" y="0"/>
                  <wp:positionH relativeFrom="column">
                    <wp:posOffset>2567940</wp:posOffset>
                  </wp:positionH>
                  <wp:positionV relativeFrom="paragraph">
                    <wp:posOffset>-38735</wp:posOffset>
                  </wp:positionV>
                  <wp:extent cx="575310" cy="297815"/>
                  <wp:effectExtent l="0" t="0" r="15240" b="26035"/>
                  <wp:wrapNone/>
                  <wp:docPr id="1502067229" name="Rectangle: Rounded Corners 7"/>
                  <wp:cNvGraphicFramePr/>
                  <a:graphic xmlns:a="http://schemas.openxmlformats.org/drawingml/2006/main">
                    <a:graphicData uri="http://schemas.microsoft.com/office/word/2010/wordprocessingShape">
                      <wps:wsp>
                        <wps:cNvSpPr/>
                        <wps:spPr>
                          <a:xfrm>
                            <a:off x="0" y="0"/>
                            <a:ext cx="575310" cy="29781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5C432D8" id="Rectangle: Rounded Corners 7" o:spid="_x0000_s1026" style="position:absolute;left:0;text-align:left;margin-left:202.2pt;margin-top:-3.05pt;width:45.3pt;height:23.4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" fillcolor="window" strokecolor="windowText" strokeweight="1pt">
                  <v:stroke joinstyle="miter"/>
                </v:roundrect>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250369CC" w14:textId="77777777" w:rsidR="00297D66" w:rsidRDefault="00297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878642"/>
      <w:docPartObj>
        <w:docPartGallery w:val="Page Numbers (Bottom of Page)"/>
        <w:docPartUnique/>
      </w:docPartObj>
    </w:sdtPr>
    <w:sdtContent>
      <w:p w14:paraId="1F18F602" w14:textId="77777777" w:rsidR="00297D66" w:rsidRDefault="00297D66">
        <w:pPr>
          <w:pStyle w:val="Footer"/>
          <w:jc w:val="center"/>
        </w:pPr>
        <w:r w:rsidRPr="0036121A">
          <w:rPr>
            <w:noProof/>
            <w:color w:val="FFFFFF" w:themeColor="background1"/>
          </w:rPr>
          <mc:AlternateContent>
            <mc:Choice Requires="wps">
              <w:drawing>
                <wp:anchor distT="0" distB="0" distL="114300" distR="114300" simplePos="0" relativeHeight="251657216" behindDoc="1" locked="0" layoutInCell="1" allowOverlap="1" wp14:anchorId="3C639511" wp14:editId="535A72A2">
                  <wp:simplePos x="0" y="0"/>
                  <wp:positionH relativeFrom="margin">
                    <wp:posOffset>2561149</wp:posOffset>
                  </wp:positionH>
                  <wp:positionV relativeFrom="paragraph">
                    <wp:posOffset>-77755</wp:posOffset>
                  </wp:positionV>
                  <wp:extent cx="575310" cy="297815"/>
                  <wp:effectExtent l="0" t="0" r="15240" b="26035"/>
                  <wp:wrapNone/>
                  <wp:docPr id="784528143" name="Rectangle: Rounded Corners 7"/>
                  <wp:cNvGraphicFramePr/>
                  <a:graphic xmlns:a="http://schemas.openxmlformats.org/drawingml/2006/main">
                    <a:graphicData uri="http://schemas.microsoft.com/office/word/2010/wordprocessingShape">
                      <wps:wsp>
                        <wps:cNvSpPr/>
                        <wps:spPr>
                          <a:xfrm>
                            <a:off x="0" y="0"/>
                            <a:ext cx="575310" cy="29781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5520EED" id="Rectangle: Rounded Corners 7" o:spid="_x0000_s1026" style="position:absolute;left:0;text-align:left;margin-left:201.65pt;margin-top:-6.1pt;width:45.3pt;height:23.45pt;z-index:-25165721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" fillcolor="window" strokecolor="windowText" strokeweight="1pt">
                  <v:stroke joinstyle="miter"/>
                  <w10:wrap anchorx="margin"/>
                </v:roundrect>
              </w:pict>
            </mc:Fallback>
          </mc:AlternateContent>
        </w:r>
        <w:r w:rsidRPr="0036121A">
          <w:rPr>
            <w:color w:val="FFFFFF" w:themeColor="background1"/>
          </w:rPr>
          <w:fldChar w:fldCharType="begin"/>
        </w:r>
        <w:r w:rsidRPr="0036121A">
          <w:rPr>
            <w:color w:val="FFFFFF" w:themeColor="background1"/>
          </w:rPr>
          <w:instrText xml:space="preserve"> PAGE   \* MERGEFORMAT </w:instrText>
        </w:r>
        <w:r w:rsidRPr="0036121A">
          <w:rPr>
            <w:color w:val="FFFFFF" w:themeColor="background1"/>
          </w:rPr>
          <w:fldChar w:fldCharType="separate"/>
        </w:r>
        <w:r w:rsidRPr="0036121A">
          <w:rPr>
            <w:noProof/>
            <w:color w:val="FFFFFF" w:themeColor="background1"/>
          </w:rPr>
          <w:t>2</w:t>
        </w:r>
        <w:r w:rsidRPr="0036121A">
          <w:rPr>
            <w:noProof/>
            <w:color w:val="FFFFFF" w:themeColor="background1"/>
          </w:rPr>
          <w:fldChar w:fldCharType="end"/>
        </w:r>
      </w:p>
    </w:sdtContent>
  </w:sdt>
  <w:p w14:paraId="1BA26420" w14:textId="77777777" w:rsidR="00297D66" w:rsidRDefault="00297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9ED17" w14:textId="77777777" w:rsidR="00FF2681" w:rsidRDefault="00FF2681">
      <w:pPr>
        <w:spacing w:after="0" w:line="240" w:lineRule="auto"/>
      </w:pPr>
      <w:r>
        <w:separator/>
      </w:r>
    </w:p>
  </w:footnote>
  <w:footnote w:type="continuationSeparator" w:id="0">
    <w:p w14:paraId="04B98CCB" w14:textId="77777777" w:rsidR="00FF2681" w:rsidRDefault="00FF2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C7FB5"/>
    <w:multiLevelType w:val="hybridMultilevel"/>
    <w:tmpl w:val="36500460"/>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160BD"/>
    <w:multiLevelType w:val="hybridMultilevel"/>
    <w:tmpl w:val="FBC2D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06770"/>
    <w:multiLevelType w:val="hybridMultilevel"/>
    <w:tmpl w:val="D744C40C"/>
    <w:lvl w:ilvl="0" w:tplc="3AF2B0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A26C1C"/>
    <w:multiLevelType w:val="hybridMultilevel"/>
    <w:tmpl w:val="639E03D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D17A4"/>
    <w:multiLevelType w:val="hybridMultilevel"/>
    <w:tmpl w:val="073615D6"/>
    <w:lvl w:ilvl="0" w:tplc="38349B70">
      <w:start w:val="1"/>
      <w:numFmt w:val="decimal"/>
      <w:lvlText w:val="%1."/>
      <w:lvlJc w:val="left"/>
      <w:pPr>
        <w:ind w:left="720" w:hanging="360"/>
      </w:pPr>
      <w:rPr>
        <w:b w:val="0"/>
        <w:bCs w:val="0"/>
        <w:i w:val="0"/>
        <w:i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310C7C"/>
    <w:multiLevelType w:val="hybridMultilevel"/>
    <w:tmpl w:val="4E1C1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BE4D3F"/>
    <w:multiLevelType w:val="hybridMultilevel"/>
    <w:tmpl w:val="075C97AE"/>
    <w:lvl w:ilvl="0" w:tplc="7ABABDEC">
      <w:start w:val="4"/>
      <w:numFmt w:val="bullet"/>
      <w:lvlText w:val="-"/>
      <w:lvlJc w:val="left"/>
      <w:pPr>
        <w:ind w:left="720" w:hanging="360"/>
      </w:pPr>
      <w:rPr>
        <w:rFonts w:ascii="Times New Roman" w:eastAsia="Calibri" w:hAnsi="Times New Roman" w:cs="Times New Roman" w:hint="default"/>
        <w:b w:val="0"/>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3F3C8B"/>
    <w:multiLevelType w:val="hybridMultilevel"/>
    <w:tmpl w:val="A8B250E6"/>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155D87"/>
    <w:multiLevelType w:val="hybridMultilevel"/>
    <w:tmpl w:val="347E1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66B7D"/>
    <w:multiLevelType w:val="hybridMultilevel"/>
    <w:tmpl w:val="DD1E5210"/>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557057"/>
    <w:multiLevelType w:val="hybridMultilevel"/>
    <w:tmpl w:val="2D86F666"/>
    <w:lvl w:ilvl="0" w:tplc="E3C8266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1E0638"/>
    <w:multiLevelType w:val="hybridMultilevel"/>
    <w:tmpl w:val="6476787A"/>
    <w:lvl w:ilvl="0" w:tplc="7ABABDEC">
      <w:start w:val="4"/>
      <w:numFmt w:val="bullet"/>
      <w:lvlText w:val="-"/>
      <w:lvlJc w:val="left"/>
      <w:pPr>
        <w:ind w:left="1080" w:hanging="360"/>
      </w:pPr>
      <w:rPr>
        <w:rFonts w:ascii="Times New Roman" w:eastAsia="Calibri" w:hAnsi="Times New Roman" w:cs="Times New Roman" w:hint="default"/>
        <w:b w:val="0"/>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79C3875"/>
    <w:multiLevelType w:val="hybridMultilevel"/>
    <w:tmpl w:val="C7849E36"/>
    <w:lvl w:ilvl="0" w:tplc="BB1A60BC">
      <w:start w:val="4411"/>
      <w:numFmt w:val="bullet"/>
      <w:lvlText w:val="-"/>
      <w:lvlJc w:val="left"/>
      <w:pPr>
        <w:ind w:left="720" w:hanging="360"/>
      </w:pPr>
      <w:rPr>
        <w:rFonts w:ascii="Traditional Arabic" w:eastAsiaTheme="minorHAnsi" w:hAnsi="Traditional Arabic" w:cs="Traditional Arabic" w:hint="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14A1489"/>
    <w:multiLevelType w:val="hybridMultilevel"/>
    <w:tmpl w:val="09709078"/>
    <w:lvl w:ilvl="0" w:tplc="0C9288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DA34FE"/>
    <w:multiLevelType w:val="hybridMultilevel"/>
    <w:tmpl w:val="1A0CA4C8"/>
    <w:lvl w:ilvl="0" w:tplc="8BB40D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0B60AB"/>
    <w:multiLevelType w:val="hybridMultilevel"/>
    <w:tmpl w:val="5C4891CC"/>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AB5D41"/>
    <w:multiLevelType w:val="hybridMultilevel"/>
    <w:tmpl w:val="C736030E"/>
    <w:lvl w:ilvl="0" w:tplc="345C278A">
      <w:start w:val="13"/>
      <w:numFmt w:val="bullet"/>
      <w:lvlText w:val="-"/>
      <w:lvlJc w:val="left"/>
      <w:pPr>
        <w:ind w:left="720" w:hanging="360"/>
      </w:pPr>
      <w:rPr>
        <w:rFonts w:ascii="SimplifiedArabic" w:eastAsiaTheme="minorHAnsi" w:hAnsiTheme="minorHAnsi"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5A273D"/>
    <w:multiLevelType w:val="hybridMultilevel"/>
    <w:tmpl w:val="0002962A"/>
    <w:lvl w:ilvl="0" w:tplc="7ABABDEC">
      <w:start w:val="4"/>
      <w:numFmt w:val="bullet"/>
      <w:lvlText w:val="-"/>
      <w:lvlJc w:val="left"/>
      <w:pPr>
        <w:ind w:left="720" w:hanging="360"/>
      </w:pPr>
      <w:rPr>
        <w:rFonts w:ascii="Times New Roman" w:eastAsia="Calibri" w:hAnsi="Times New Roman" w:cs="Times New Roman"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E24177"/>
    <w:multiLevelType w:val="hybridMultilevel"/>
    <w:tmpl w:val="739A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7237052">
    <w:abstractNumId w:val="15"/>
  </w:num>
  <w:num w:numId="2" w16cid:durableId="2044674763">
    <w:abstractNumId w:val="3"/>
  </w:num>
  <w:num w:numId="3" w16cid:durableId="1208446079">
    <w:abstractNumId w:val="1"/>
  </w:num>
  <w:num w:numId="4" w16cid:durableId="1743484137">
    <w:abstractNumId w:val="16"/>
  </w:num>
  <w:num w:numId="5" w16cid:durableId="1926105972">
    <w:abstractNumId w:val="8"/>
  </w:num>
  <w:num w:numId="6" w16cid:durableId="1389916548">
    <w:abstractNumId w:val="2"/>
  </w:num>
  <w:num w:numId="7" w16cid:durableId="1975990064">
    <w:abstractNumId w:val="17"/>
  </w:num>
  <w:num w:numId="8" w16cid:durableId="1262370557">
    <w:abstractNumId w:val="7"/>
  </w:num>
  <w:num w:numId="9" w16cid:durableId="1831558395">
    <w:abstractNumId w:val="14"/>
  </w:num>
  <w:num w:numId="10" w16cid:durableId="1748723794">
    <w:abstractNumId w:val="10"/>
  </w:num>
  <w:num w:numId="11" w16cid:durableId="1541627754">
    <w:abstractNumId w:val="5"/>
  </w:num>
  <w:num w:numId="12" w16cid:durableId="836841695">
    <w:abstractNumId w:val="4"/>
  </w:num>
  <w:num w:numId="13" w16cid:durableId="1221987157">
    <w:abstractNumId w:val="18"/>
  </w:num>
  <w:num w:numId="14" w16cid:durableId="392393704">
    <w:abstractNumId w:val="12"/>
  </w:num>
  <w:num w:numId="15" w16cid:durableId="835536613">
    <w:abstractNumId w:val="6"/>
  </w:num>
  <w:num w:numId="16" w16cid:durableId="50033756">
    <w:abstractNumId w:val="11"/>
  </w:num>
  <w:num w:numId="17" w16cid:durableId="1377196134">
    <w:abstractNumId w:val="0"/>
  </w:num>
  <w:num w:numId="18" w16cid:durableId="1482036146">
    <w:abstractNumId w:val="9"/>
  </w:num>
  <w:num w:numId="19" w16cid:durableId="17762481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DA2"/>
    <w:rsid w:val="00055B94"/>
    <w:rsid w:val="002651B1"/>
    <w:rsid w:val="00297D66"/>
    <w:rsid w:val="004107F7"/>
    <w:rsid w:val="00430209"/>
    <w:rsid w:val="0053037F"/>
    <w:rsid w:val="0053287A"/>
    <w:rsid w:val="005431B2"/>
    <w:rsid w:val="005508E0"/>
    <w:rsid w:val="00687D2F"/>
    <w:rsid w:val="0073271A"/>
    <w:rsid w:val="007507BA"/>
    <w:rsid w:val="007B7E33"/>
    <w:rsid w:val="00915DA2"/>
    <w:rsid w:val="00AA7D6B"/>
    <w:rsid w:val="00AC409B"/>
    <w:rsid w:val="00B04516"/>
    <w:rsid w:val="00BC362F"/>
    <w:rsid w:val="00C37011"/>
    <w:rsid w:val="00DA4715"/>
    <w:rsid w:val="00FC7C0E"/>
    <w:rsid w:val="00FF26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A5625"/>
  <w15:chartTrackingRefBased/>
  <w15:docId w15:val="{A4FA8874-0E87-4584-9D5D-4AC48141F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15D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9"/>
    <w:unhideWhenUsed/>
    <w:qFormat/>
    <w:rsid w:val="00915D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9"/>
    <w:unhideWhenUsed/>
    <w:qFormat/>
    <w:rsid w:val="00915D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5D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5D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5D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D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D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D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15D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9"/>
    <w:rsid w:val="00915D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rsid w:val="00915D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5D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5D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5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DA2"/>
    <w:rPr>
      <w:rFonts w:eastAsiaTheme="majorEastAsia" w:cstheme="majorBidi"/>
      <w:color w:val="272727" w:themeColor="text1" w:themeTint="D8"/>
    </w:rPr>
  </w:style>
  <w:style w:type="paragraph" w:styleId="Title">
    <w:name w:val="Title"/>
    <w:basedOn w:val="Normal"/>
    <w:next w:val="Normal"/>
    <w:link w:val="TitleChar"/>
    <w:uiPriority w:val="10"/>
    <w:qFormat/>
    <w:rsid w:val="00915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DA2"/>
    <w:pPr>
      <w:spacing w:before="160"/>
      <w:jc w:val="center"/>
    </w:pPr>
    <w:rPr>
      <w:i/>
      <w:iCs/>
      <w:color w:val="404040" w:themeColor="text1" w:themeTint="BF"/>
    </w:rPr>
  </w:style>
  <w:style w:type="character" w:customStyle="1" w:styleId="QuoteChar">
    <w:name w:val="Quote Char"/>
    <w:basedOn w:val="DefaultParagraphFont"/>
    <w:link w:val="Quote"/>
    <w:uiPriority w:val="29"/>
    <w:rsid w:val="00915DA2"/>
    <w:rPr>
      <w:i/>
      <w:iCs/>
      <w:color w:val="404040" w:themeColor="text1" w:themeTint="BF"/>
    </w:rPr>
  </w:style>
  <w:style w:type="paragraph" w:styleId="ListParagraph">
    <w:name w:val="List Paragraph"/>
    <w:basedOn w:val="Normal"/>
    <w:uiPriority w:val="34"/>
    <w:qFormat/>
    <w:rsid w:val="00915DA2"/>
    <w:pPr>
      <w:ind w:left="720"/>
      <w:contextualSpacing/>
    </w:pPr>
  </w:style>
  <w:style w:type="character" w:styleId="IntenseEmphasis">
    <w:name w:val="Intense Emphasis"/>
    <w:basedOn w:val="DefaultParagraphFont"/>
    <w:uiPriority w:val="21"/>
    <w:qFormat/>
    <w:rsid w:val="00915DA2"/>
    <w:rPr>
      <w:i/>
      <w:iCs/>
      <w:color w:val="2F5496" w:themeColor="accent1" w:themeShade="BF"/>
    </w:rPr>
  </w:style>
  <w:style w:type="paragraph" w:styleId="IntenseQuote">
    <w:name w:val="Intense Quote"/>
    <w:basedOn w:val="Normal"/>
    <w:next w:val="Normal"/>
    <w:link w:val="IntenseQuoteChar"/>
    <w:uiPriority w:val="30"/>
    <w:qFormat/>
    <w:rsid w:val="00915D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DA2"/>
    <w:rPr>
      <w:i/>
      <w:iCs/>
      <w:color w:val="2F5496" w:themeColor="accent1" w:themeShade="BF"/>
    </w:rPr>
  </w:style>
  <w:style w:type="character" w:styleId="IntenseReference">
    <w:name w:val="Intense Reference"/>
    <w:basedOn w:val="DefaultParagraphFont"/>
    <w:uiPriority w:val="32"/>
    <w:qFormat/>
    <w:rsid w:val="00915DA2"/>
    <w:rPr>
      <w:b/>
      <w:bCs/>
      <w:smallCaps/>
      <w:color w:val="2F5496" w:themeColor="accent1" w:themeShade="BF"/>
      <w:spacing w:val="5"/>
    </w:rPr>
  </w:style>
  <w:style w:type="numbering" w:customStyle="1" w:styleId="NoList1">
    <w:name w:val="No List1"/>
    <w:next w:val="NoList"/>
    <w:uiPriority w:val="99"/>
    <w:semiHidden/>
    <w:unhideWhenUsed/>
    <w:rsid w:val="00297D66"/>
  </w:style>
  <w:style w:type="character" w:styleId="Hyperlink">
    <w:name w:val="Hyperlink"/>
    <w:basedOn w:val="DefaultParagraphFont"/>
    <w:uiPriority w:val="99"/>
    <w:unhideWhenUsed/>
    <w:rsid w:val="00297D66"/>
    <w:rPr>
      <w:color w:val="0563C1" w:themeColor="hyperlink"/>
      <w:u w:val="single"/>
    </w:rPr>
  </w:style>
  <w:style w:type="character" w:styleId="UnresolvedMention">
    <w:name w:val="Unresolved Mention"/>
    <w:basedOn w:val="DefaultParagraphFont"/>
    <w:uiPriority w:val="99"/>
    <w:semiHidden/>
    <w:unhideWhenUsed/>
    <w:rsid w:val="00297D66"/>
    <w:rPr>
      <w:color w:val="605E5C"/>
      <w:shd w:val="clear" w:color="auto" w:fill="E1DFDD"/>
    </w:rPr>
  </w:style>
  <w:style w:type="paragraph" w:styleId="Header">
    <w:name w:val="header"/>
    <w:basedOn w:val="Normal"/>
    <w:link w:val="HeaderChar"/>
    <w:uiPriority w:val="99"/>
    <w:unhideWhenUsed/>
    <w:rsid w:val="00297D66"/>
    <w:pPr>
      <w:tabs>
        <w:tab w:val="center" w:pos="4513"/>
        <w:tab w:val="right" w:pos="9026"/>
      </w:tabs>
      <w:spacing w:after="0" w:line="240" w:lineRule="auto"/>
    </w:pPr>
    <w:rPr>
      <w:rFonts w:ascii="Times New Roman" w:eastAsia="Times New Roman" w:hAnsi="Times New Roman" w:cs="Times New Roman"/>
      <w:sz w:val="24"/>
      <w:szCs w:val="24"/>
      <w14:ligatures w14:val="none"/>
    </w:rPr>
  </w:style>
  <w:style w:type="character" w:customStyle="1" w:styleId="HeaderChar">
    <w:name w:val="Header Char"/>
    <w:basedOn w:val="DefaultParagraphFont"/>
    <w:link w:val="Header"/>
    <w:uiPriority w:val="99"/>
    <w:rsid w:val="00297D6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297D66"/>
    <w:pPr>
      <w:tabs>
        <w:tab w:val="center" w:pos="4513"/>
        <w:tab w:val="right" w:pos="9026"/>
      </w:tabs>
      <w:spacing w:after="0" w:line="240" w:lineRule="auto"/>
    </w:pPr>
    <w:rPr>
      <w:rFonts w:ascii="Times New Roman" w:eastAsia="Times New Roman" w:hAnsi="Times New Roman" w:cs="Times New Roman"/>
      <w:sz w:val="24"/>
      <w:szCs w:val="24"/>
      <w14:ligatures w14:val="none"/>
    </w:rPr>
  </w:style>
  <w:style w:type="character" w:customStyle="1" w:styleId="FooterChar">
    <w:name w:val="Footer Char"/>
    <w:basedOn w:val="DefaultParagraphFont"/>
    <w:link w:val="Footer"/>
    <w:uiPriority w:val="99"/>
    <w:rsid w:val="00297D66"/>
    <w:rPr>
      <w:rFonts w:ascii="Times New Roman" w:eastAsia="Times New Roman" w:hAnsi="Times New Roman" w:cs="Times New Roman"/>
      <w:sz w:val="24"/>
      <w:szCs w:val="24"/>
      <w14:ligatures w14:val="none"/>
    </w:rPr>
  </w:style>
  <w:style w:type="table" w:styleId="TableGrid">
    <w:name w:val="Table Grid"/>
    <w:basedOn w:val="TableNormal"/>
    <w:uiPriority w:val="39"/>
    <w:rsid w:val="00297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uiPriority w:val="39"/>
    <w:rsid w:val="00297D66"/>
    <w:pPr>
      <w:spacing w:after="0" w:line="240" w:lineRule="auto"/>
      <w:contextualSpacing/>
      <w:jc w:val="center"/>
    </w:pPr>
    <w:rPr>
      <w:rFonts w:ascii="Aptos" w:eastAsia="Aptos" w:hAnsi="Aptos" w:cs="Traditional Arabic"/>
      <w:szCs w:val="28"/>
      <w14:ligatures w14:val="none"/>
    </w:rPr>
    <w:tblPr>
      <w:tblStyleRowBandSize w:val="1"/>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
    <w:trPr>
      <w:jc w:val="center"/>
    </w:trPr>
    <w:tcPr>
      <w:vAlign w:val="center"/>
    </w:tcPr>
    <w:tblStylePr w:type="firstRow">
      <w:tblPr/>
      <w:tcPr>
        <w:shd w:val="clear" w:color="auto" w:fill="D9D9D9"/>
      </w:tcPr>
    </w:tblStylePr>
    <w:tblStylePr w:type="lastRow">
      <w:tblPr/>
      <w:tcPr>
        <w:shd w:val="clear" w:color="auto" w:fill="D9D9D9"/>
      </w:tcPr>
    </w:tblStylePr>
    <w:tblStylePr w:type="band2Horz">
      <w:tblPr/>
      <w:tcPr>
        <w:shd w:val="clear" w:color="auto" w:fill="F2F2F2"/>
      </w:tcPr>
    </w:tblStylePr>
  </w:style>
  <w:style w:type="table" w:customStyle="1" w:styleId="TableGrid1">
    <w:name w:val="Table Grid1"/>
    <w:basedOn w:val="TableNormal"/>
    <w:next w:val="TableGrid"/>
    <w:uiPriority w:val="39"/>
    <w:rsid w:val="00297D66"/>
    <w:pPr>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97D66"/>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297D66"/>
  </w:style>
  <w:style w:type="paragraph" w:styleId="TOCHeading">
    <w:name w:val="TOC Heading"/>
    <w:basedOn w:val="Heading1"/>
    <w:next w:val="Normal"/>
    <w:uiPriority w:val="39"/>
    <w:unhideWhenUsed/>
    <w:qFormat/>
    <w:rsid w:val="00297D66"/>
    <w:pPr>
      <w:spacing w:before="240" w:after="0" w:line="240" w:lineRule="auto"/>
      <w:outlineLvl w:val="9"/>
    </w:pPr>
    <w:rPr>
      <w:sz w:val="32"/>
      <w:szCs w:val="32"/>
      <w14:ligatures w14:val="none"/>
    </w:rPr>
  </w:style>
  <w:style w:type="paragraph" w:styleId="TOC1">
    <w:name w:val="toc 1"/>
    <w:basedOn w:val="Normal"/>
    <w:next w:val="Normal"/>
    <w:autoRedefine/>
    <w:uiPriority w:val="39"/>
    <w:unhideWhenUsed/>
    <w:rsid w:val="00297D66"/>
    <w:pPr>
      <w:spacing w:after="100" w:line="240" w:lineRule="auto"/>
    </w:pPr>
    <w:rPr>
      <w:rFonts w:ascii="Times New Roman" w:eastAsia="Times New Roman" w:hAnsi="Times New Roman" w:cs="Times New Roman"/>
      <w:sz w:val="24"/>
      <w:szCs w:val="24"/>
      <w14:ligatures w14:val="none"/>
    </w:rPr>
  </w:style>
  <w:style w:type="paragraph" w:styleId="TOC2">
    <w:name w:val="toc 2"/>
    <w:basedOn w:val="Normal"/>
    <w:next w:val="Normal"/>
    <w:autoRedefine/>
    <w:uiPriority w:val="39"/>
    <w:unhideWhenUsed/>
    <w:rsid w:val="00297D66"/>
    <w:pPr>
      <w:spacing w:after="100" w:line="240" w:lineRule="auto"/>
      <w:ind w:left="220"/>
    </w:pPr>
    <w:rPr>
      <w:rFonts w:ascii="Times New Roman" w:eastAsia="Times New Roman" w:hAnsi="Times New Roman" w:cs="Times New Roman"/>
      <w:sz w:val="24"/>
      <w:szCs w:val="24"/>
      <w14:ligatures w14:val="none"/>
    </w:rPr>
  </w:style>
  <w:style w:type="table" w:customStyle="1" w:styleId="TableGrid3">
    <w:name w:val="Table Grid3"/>
    <w:basedOn w:val="TableNormal"/>
    <w:next w:val="TableGrid"/>
    <w:uiPriority w:val="39"/>
    <w:rsid w:val="00297D66"/>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7D66"/>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Strong">
    <w:name w:val="Strong"/>
    <w:basedOn w:val="DefaultParagraphFont"/>
    <w:uiPriority w:val="22"/>
    <w:qFormat/>
    <w:rsid w:val="00297D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0610gscb7-1105-y-https-search-mandumah-com.mplbci.ekb.eg/Author/Home?author=%D8%A7%D9%84%D9%85%D8%B7%D9%84%D9%82%D8%8C+%D9%86%D8%A7%D9%8A%D9%81+%D8%A8%D9%86+%D8%B3%D9%84%D9%8A%D9%85%D8%A7%D9%86+%D8%A8%D9%86+%D8%B9%D8%A8%D8%AF%D8%A7%D9%84%D8%B9%D8%B2%D9%8A%D8%B2" TargetMode="External"/><Relationship Id="rId3" Type="http://schemas.openxmlformats.org/officeDocument/2006/relationships/settings" Target="settings.xml"/><Relationship Id="rId7" Type="http://schemas.openxmlformats.org/officeDocument/2006/relationships/image" Target="media/image1.emf"/><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120FA8-8A85-4780-98C5-AAF7A4875208}" type="doc">
      <dgm:prSet loTypeId="urn:microsoft.com/office/officeart/2005/8/layout/pictureOrgChart+Icon" loCatId="officeonline" qsTypeId="urn:microsoft.com/office/officeart/2005/8/quickstyle/simple1" qsCatId="simple" csTypeId="urn:microsoft.com/office/officeart/2005/8/colors/accent1_2" csCatId="accent1" phldr="1"/>
      <dgm:spPr/>
      <dgm:t>
        <a:bodyPr/>
        <a:lstStyle/>
        <a:p>
          <a:pPr rtl="1"/>
          <a:endParaRPr lang="ar-SA"/>
        </a:p>
      </dgm:t>
    </dgm:pt>
    <dgm:pt modelId="{BD76D88F-FCFA-4366-8B15-18377A2C7724}">
      <dgm:prSet phldrT="[Text]" custT="1"/>
      <dgm:spPr>
        <a:xfrm>
          <a:off x="1880935" y="324"/>
          <a:ext cx="1906817" cy="468879"/>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المتغير المستقل: </a:t>
          </a:r>
          <a:r>
            <a:rPr lang="ar-SA" sz="1200" b="1">
              <a:solidFill>
                <a:sysClr val="windowText" lastClr="000000"/>
              </a:solidFill>
              <a:latin typeface="Calibri" panose="020F0502020204030204"/>
              <a:ea typeface="+mn-ea"/>
              <a:cs typeface="Arial" panose="020B0604020202020204" pitchFamily="34" charset="0"/>
            </a:rPr>
            <a:t>ممارسات إدارة الموارد البشرية الاستراتيجية</a:t>
          </a:r>
        </a:p>
      </dgm:t>
    </dgm:pt>
    <dgm:pt modelId="{98D1E11D-9127-4353-93E2-A268B4BC8DD4}" type="parTrans" cxnId="{4ABEC98D-4281-4DC9-BE2F-221737500799}">
      <dgm:prSet/>
      <dgm:spPr/>
      <dgm:t>
        <a:bodyPr/>
        <a:lstStyle/>
        <a:p>
          <a:pPr rtl="1"/>
          <a:endParaRPr lang="ar-SA"/>
        </a:p>
      </dgm:t>
    </dgm:pt>
    <dgm:pt modelId="{68DC2716-037B-4901-A6B1-D70D3FC8653E}" type="sibTrans" cxnId="{4ABEC98D-4281-4DC9-BE2F-221737500799}">
      <dgm:prSet/>
      <dgm:spPr/>
      <dgm:t>
        <a:bodyPr/>
        <a:lstStyle/>
        <a:p>
          <a:pPr rtl="1"/>
          <a:endParaRPr lang="ar-SA"/>
        </a:p>
      </dgm:t>
    </dgm:pt>
    <dgm:pt modelId="{67C389D9-DEAD-4D8D-B0E2-5697C1AAEA17}" type="asst">
      <dgm:prSet phldrT="[Text]" custT="1"/>
      <dgm:spPr>
        <a:xfrm>
          <a:off x="1683883" y="615457"/>
          <a:ext cx="2093464" cy="39262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sz="1400" b="1">
              <a:solidFill>
                <a:sysClr val="windowText" lastClr="000000"/>
              </a:solidFill>
              <a:latin typeface="Calibri" panose="020F0502020204030204"/>
              <a:ea typeface="+mn-ea"/>
              <a:cs typeface="Arial" panose="020B0604020202020204" pitchFamily="34" charset="0"/>
            </a:rPr>
            <a:t>المتغير التابع: الاداء التنظيمي</a:t>
          </a:r>
          <a:endParaRPr lang="ar-SA" sz="1400" b="1">
            <a:solidFill>
              <a:sysClr val="windowText" lastClr="000000"/>
            </a:solidFill>
            <a:latin typeface="Calibri" panose="020F0502020204030204"/>
            <a:ea typeface="+mn-ea"/>
            <a:cs typeface="Arial" panose="020B0604020202020204" pitchFamily="34" charset="0"/>
          </a:endParaRPr>
        </a:p>
      </dgm:t>
    </dgm:pt>
    <dgm:pt modelId="{3E7419A5-6FDE-45BD-B833-6441DADE4509}" type="parTrans" cxnId="{2AECB74A-9605-44E1-B1AC-AE546FD9958C}">
      <dgm:prSet/>
      <dgm:spPr>
        <a:xfrm>
          <a:off x="2834344" y="469203"/>
          <a:ext cx="943004" cy="342567"/>
        </a:xfrm>
        <a:custGeom>
          <a:avLst/>
          <a:gdLst/>
          <a:ahLst/>
          <a:cxnLst/>
          <a:rect l="0" t="0" r="0" b="0"/>
          <a:pathLst>
            <a:path>
              <a:moveTo>
                <a:pt x="0" y="0"/>
              </a:moveTo>
              <a:lnTo>
                <a:pt x="943004" y="34256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459DEE79-4740-4CCA-BA1E-0FD1140A40CC}" type="sibTrans" cxnId="{2AECB74A-9605-44E1-B1AC-AE546FD9958C}">
      <dgm:prSet/>
      <dgm:spPr/>
      <dgm:t>
        <a:bodyPr/>
        <a:lstStyle/>
        <a:p>
          <a:pPr rtl="1"/>
          <a:endParaRPr lang="ar-SA"/>
        </a:p>
      </dgm:t>
    </dgm:pt>
    <dgm:pt modelId="{EDBE1F11-AD05-4036-80F3-501524690109}">
      <dgm:prSet phldrT="[Text]"/>
      <dgm:spPr>
        <a:xfrm>
          <a:off x="1951286" y="1191637"/>
          <a:ext cx="785254" cy="1122446"/>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Text" lastClr="000000"/>
              </a:solidFill>
              <a:latin typeface="Calibri" panose="020F0502020204030204"/>
              <a:ea typeface="+mn-ea"/>
              <a:cs typeface="Arial" panose="020B0604020202020204" pitchFamily="34" charset="0"/>
            </a:rPr>
            <a:t>مستوى الالتزام والانتماء التنظيمي</a:t>
          </a:r>
        </a:p>
      </dgm:t>
    </dgm:pt>
    <dgm:pt modelId="{5FF70024-B8E6-4C9F-9221-1EE8C90ED36D}" type="parTrans" cxnId="{7871FD0E-594E-471C-A556-0A26DDD9708C}">
      <dgm:prSet/>
      <dgm:spPr>
        <a:xfrm>
          <a:off x="2343913" y="469203"/>
          <a:ext cx="490430" cy="722434"/>
        </a:xfrm>
        <a:custGeom>
          <a:avLst/>
          <a:gdLst/>
          <a:ahLst/>
          <a:cxnLst/>
          <a:rect l="0" t="0" r="0" b="0"/>
          <a:pathLst>
            <a:path>
              <a:moveTo>
                <a:pt x="490430" y="0"/>
              </a:moveTo>
              <a:lnTo>
                <a:pt x="490430" y="639982"/>
              </a:lnTo>
              <a:lnTo>
                <a:pt x="0" y="639982"/>
              </a:lnTo>
              <a:lnTo>
                <a:pt x="0" y="72243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F533DC07-869B-44DC-954E-CC91F640ED9F}" type="sibTrans" cxnId="{7871FD0E-594E-471C-A556-0A26DDD9708C}">
      <dgm:prSet/>
      <dgm:spPr/>
      <dgm:t>
        <a:bodyPr/>
        <a:lstStyle/>
        <a:p>
          <a:pPr rtl="1"/>
          <a:endParaRPr lang="ar-SA"/>
        </a:p>
      </dgm:t>
    </dgm:pt>
    <dgm:pt modelId="{B4CA57D8-7E6F-4F3F-8AA7-4F62D9E1161B}">
      <dgm:prSet phldrT="[Text]"/>
      <dgm:spPr>
        <a:xfrm>
          <a:off x="2901444" y="1191637"/>
          <a:ext cx="976369" cy="117398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Text" lastClr="000000"/>
              </a:solidFill>
              <a:latin typeface="Calibri" panose="020F0502020204030204"/>
              <a:ea typeface="+mn-ea"/>
              <a:cs typeface="Arial" panose="020B0604020202020204" pitchFamily="34" charset="0"/>
            </a:rPr>
            <a:t>كفاءة وإنتاجية الموظفين</a:t>
          </a:r>
        </a:p>
      </dgm:t>
    </dgm:pt>
    <dgm:pt modelId="{4FDE0B49-ED6D-4688-B3DD-1D849341C3B5}" type="parTrans" cxnId="{FBD63A44-E291-4A84-8383-E0882FE5EACA}">
      <dgm:prSet/>
      <dgm:spPr>
        <a:xfrm>
          <a:off x="2834344" y="469203"/>
          <a:ext cx="555284" cy="722434"/>
        </a:xfrm>
        <a:custGeom>
          <a:avLst/>
          <a:gdLst/>
          <a:ahLst/>
          <a:cxnLst/>
          <a:rect l="0" t="0" r="0" b="0"/>
          <a:pathLst>
            <a:path>
              <a:moveTo>
                <a:pt x="0" y="0"/>
              </a:moveTo>
              <a:lnTo>
                <a:pt x="0" y="639982"/>
              </a:lnTo>
              <a:lnTo>
                <a:pt x="555284" y="639982"/>
              </a:lnTo>
              <a:lnTo>
                <a:pt x="555284" y="72243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06A205C4-133A-4EDC-BA49-9FC94ECC2C4C}" type="sibTrans" cxnId="{FBD63A44-E291-4A84-8383-E0882FE5EACA}">
      <dgm:prSet/>
      <dgm:spPr/>
      <dgm:t>
        <a:bodyPr/>
        <a:lstStyle/>
        <a:p>
          <a:pPr rtl="1"/>
          <a:endParaRPr lang="ar-SA"/>
        </a:p>
      </dgm:t>
    </dgm:pt>
    <dgm:pt modelId="{17163286-E933-4E2A-98A2-79EB544CA097}">
      <dgm:prSet phldrT="[Text]"/>
      <dgm:spPr>
        <a:xfrm>
          <a:off x="4042717" y="1191637"/>
          <a:ext cx="785254" cy="120833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Text" lastClr="000000"/>
              </a:solidFill>
              <a:latin typeface="Calibri" panose="020F0502020204030204"/>
              <a:ea typeface="+mn-ea"/>
              <a:cs typeface="Arial" panose="020B0604020202020204" pitchFamily="34" charset="0"/>
            </a:rPr>
            <a:t>جودة تنفيذ المشاريع الهندسية</a:t>
          </a:r>
        </a:p>
      </dgm:t>
    </dgm:pt>
    <dgm:pt modelId="{35263797-7B46-447A-9A3A-5EA37029F411}" type="parTrans" cxnId="{2813B773-99CC-4636-8B0E-394DCB191D5C}">
      <dgm:prSet/>
      <dgm:spPr>
        <a:xfrm>
          <a:off x="2834344" y="469203"/>
          <a:ext cx="1601000" cy="722434"/>
        </a:xfrm>
        <a:custGeom>
          <a:avLst/>
          <a:gdLst/>
          <a:ahLst/>
          <a:cxnLst/>
          <a:rect l="0" t="0" r="0" b="0"/>
          <a:pathLst>
            <a:path>
              <a:moveTo>
                <a:pt x="0" y="0"/>
              </a:moveTo>
              <a:lnTo>
                <a:pt x="0" y="639982"/>
              </a:lnTo>
              <a:lnTo>
                <a:pt x="1601000" y="639982"/>
              </a:lnTo>
              <a:lnTo>
                <a:pt x="1601000" y="72243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252DAAB4-6213-49A6-8DEF-EC1CD516F0CB}" type="sibTrans" cxnId="{2813B773-99CC-4636-8B0E-394DCB191D5C}">
      <dgm:prSet/>
      <dgm:spPr/>
      <dgm:t>
        <a:bodyPr/>
        <a:lstStyle/>
        <a:p>
          <a:pPr rtl="1"/>
          <a:endParaRPr lang="ar-SA"/>
        </a:p>
      </dgm:t>
    </dgm:pt>
    <dgm:pt modelId="{0F0BCBFE-AF6F-47EC-90D3-CC5F98FCC998}">
      <dgm:prSet/>
      <dgm:spPr>
        <a:xfrm>
          <a:off x="840717" y="1191637"/>
          <a:ext cx="945666" cy="1173978"/>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a:solidFill>
                <a:sysClr val="windowText" lastClr="000000"/>
              </a:solidFill>
              <a:latin typeface="Calibri" panose="020F0502020204030204"/>
              <a:ea typeface="+mn-ea"/>
              <a:cs typeface="Arial" panose="020B0604020202020204" pitchFamily="34" charset="0"/>
            </a:rPr>
            <a:t>تحقيق أهداف الشركة الاستراتيجية</a:t>
          </a:r>
        </a:p>
      </dgm:t>
    </dgm:pt>
    <dgm:pt modelId="{04702E14-12F7-4419-8169-2ACC82EBD5A2}" type="parTrans" cxnId="{589C3B9E-428C-486D-A164-A2B85B5F9708}">
      <dgm:prSet/>
      <dgm:spPr>
        <a:xfrm>
          <a:off x="1313550" y="469203"/>
          <a:ext cx="1520794" cy="722434"/>
        </a:xfrm>
        <a:custGeom>
          <a:avLst/>
          <a:gdLst/>
          <a:ahLst/>
          <a:cxnLst/>
          <a:rect l="0" t="0" r="0" b="0"/>
          <a:pathLst>
            <a:path>
              <a:moveTo>
                <a:pt x="1520794" y="0"/>
              </a:moveTo>
              <a:lnTo>
                <a:pt x="1520794" y="639982"/>
              </a:lnTo>
              <a:lnTo>
                <a:pt x="0" y="639982"/>
              </a:lnTo>
              <a:lnTo>
                <a:pt x="0" y="72243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91B7C49B-4F68-4C73-9AFF-499DA33D82F2}" type="sibTrans" cxnId="{589C3B9E-428C-486D-A164-A2B85B5F9708}">
      <dgm:prSet/>
      <dgm:spPr/>
      <dgm:t>
        <a:bodyPr/>
        <a:lstStyle/>
        <a:p>
          <a:pPr rtl="1"/>
          <a:endParaRPr lang="ar-SA"/>
        </a:p>
      </dgm:t>
    </dgm:pt>
    <dgm:pt modelId="{267699D9-0879-4D6E-92E6-66893CA02CB6}" type="pres">
      <dgm:prSet presAssocID="{5C120FA8-8A85-4780-98C5-AAF7A4875208}" presName="hierChild1" presStyleCnt="0">
        <dgm:presLayoutVars>
          <dgm:orgChart val="1"/>
          <dgm:chPref val="1"/>
          <dgm:dir/>
          <dgm:animOne val="branch"/>
          <dgm:animLvl val="lvl"/>
          <dgm:resizeHandles/>
        </dgm:presLayoutVars>
      </dgm:prSet>
      <dgm:spPr/>
    </dgm:pt>
    <dgm:pt modelId="{C12B55C6-A051-44B5-912C-A807061226F3}" type="pres">
      <dgm:prSet presAssocID="{BD76D88F-FCFA-4366-8B15-18377A2C7724}" presName="hierRoot1" presStyleCnt="0">
        <dgm:presLayoutVars>
          <dgm:hierBranch val="init"/>
        </dgm:presLayoutVars>
      </dgm:prSet>
      <dgm:spPr/>
    </dgm:pt>
    <dgm:pt modelId="{6DCB3304-05AB-4754-BCF3-947C2ACCF1A8}" type="pres">
      <dgm:prSet presAssocID="{BD76D88F-FCFA-4366-8B15-18377A2C7724}" presName="rootComposite1" presStyleCnt="0"/>
      <dgm:spPr/>
    </dgm:pt>
    <dgm:pt modelId="{B8856EC1-41A9-4EB3-AF48-6408D5767EEC}" type="pres">
      <dgm:prSet presAssocID="{BD76D88F-FCFA-4366-8B15-18377A2C7724}" presName="rootText1" presStyleLbl="node0" presStyleIdx="0" presStyleCnt="1" custScaleX="242828" custScaleY="119421">
        <dgm:presLayoutVars>
          <dgm:chPref val="3"/>
        </dgm:presLayoutVars>
      </dgm:prSet>
      <dgm:spPr/>
    </dgm:pt>
    <dgm:pt modelId="{BA56B96F-C43A-47BC-A801-D52E814D854A}" type="pres">
      <dgm:prSet presAssocID="{BD76D88F-FCFA-4366-8B15-18377A2C7724}" presName="rootPict1" presStyleLbl="alignImgPlace1" presStyleIdx="0" presStyleCnt="6" custLinFactX="-100000" custLinFactNeighborX="-136994" custLinFactNeighborY="-2735"/>
      <dgm:spPr>
        <a:xfrm>
          <a:off x="1922678" y="69122"/>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7F24624-3419-4AAB-9610-46B96C0464AB}" type="pres">
      <dgm:prSet presAssocID="{BD76D88F-FCFA-4366-8B15-18377A2C7724}" presName="rootConnector1" presStyleLbl="node1" presStyleIdx="0" presStyleCnt="0"/>
      <dgm:spPr/>
    </dgm:pt>
    <dgm:pt modelId="{7835CF98-9114-4B66-A5E8-414B4AD11822}" type="pres">
      <dgm:prSet presAssocID="{BD76D88F-FCFA-4366-8B15-18377A2C7724}" presName="hierChild2" presStyleCnt="0"/>
      <dgm:spPr/>
    </dgm:pt>
    <dgm:pt modelId="{678CBCAD-9F44-41AE-8073-FF6B5AB9BD39}" type="pres">
      <dgm:prSet presAssocID="{04702E14-12F7-4419-8169-2ACC82EBD5A2}" presName="Name37" presStyleLbl="parChTrans1D2" presStyleIdx="0" presStyleCnt="5"/>
      <dgm:spPr/>
    </dgm:pt>
    <dgm:pt modelId="{2DF5BC3B-0C0A-41C0-8EC4-19FF70105D20}" type="pres">
      <dgm:prSet presAssocID="{0F0BCBFE-AF6F-47EC-90D3-CC5F98FCC998}" presName="hierRoot2" presStyleCnt="0">
        <dgm:presLayoutVars>
          <dgm:hierBranch val="init"/>
        </dgm:presLayoutVars>
      </dgm:prSet>
      <dgm:spPr/>
    </dgm:pt>
    <dgm:pt modelId="{FF4DDA0F-88BA-4025-9F2A-D093FA8D5E01}" type="pres">
      <dgm:prSet presAssocID="{0F0BCBFE-AF6F-47EC-90D3-CC5F98FCC998}" presName="rootComposite" presStyleCnt="0"/>
      <dgm:spPr/>
    </dgm:pt>
    <dgm:pt modelId="{34F4C4BD-9EFD-4EB7-BB7D-6B254E5AB240}" type="pres">
      <dgm:prSet presAssocID="{0F0BCBFE-AF6F-47EC-90D3-CC5F98FCC998}" presName="rootText" presStyleLbl="node2" presStyleIdx="0" presStyleCnt="4" custScaleX="120428" custScaleY="299006">
        <dgm:presLayoutVars>
          <dgm:chPref val="3"/>
        </dgm:presLayoutVars>
      </dgm:prSet>
      <dgm:spPr/>
    </dgm:pt>
    <dgm:pt modelId="{B469750B-A094-4241-B5C8-26FA1FE8D620}" type="pres">
      <dgm:prSet presAssocID="{0F0BCBFE-AF6F-47EC-90D3-CC5F98FCC998}" presName="rootPict" presStyleLbl="alignImgPlace1" presStyleIdx="1" presStyleCnt="6"/>
      <dgm:spPr>
        <a:xfrm>
          <a:off x="960185" y="1621576"/>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078ECFE-8674-4CE9-8BEE-92EE6F5F1853}" type="pres">
      <dgm:prSet presAssocID="{0F0BCBFE-AF6F-47EC-90D3-CC5F98FCC998}" presName="rootConnector" presStyleLbl="node2" presStyleIdx="0" presStyleCnt="4"/>
      <dgm:spPr/>
    </dgm:pt>
    <dgm:pt modelId="{A271FF32-F653-4C31-B23B-44C289135BD7}" type="pres">
      <dgm:prSet presAssocID="{0F0BCBFE-AF6F-47EC-90D3-CC5F98FCC998}" presName="hierChild4" presStyleCnt="0"/>
      <dgm:spPr/>
    </dgm:pt>
    <dgm:pt modelId="{C6227B18-E18A-45B0-9D1E-911A498645E1}" type="pres">
      <dgm:prSet presAssocID="{0F0BCBFE-AF6F-47EC-90D3-CC5F98FCC998}" presName="hierChild5" presStyleCnt="0"/>
      <dgm:spPr/>
    </dgm:pt>
    <dgm:pt modelId="{1BD41F98-97E8-468B-A716-7A730A00E70E}" type="pres">
      <dgm:prSet presAssocID="{5FF70024-B8E6-4C9F-9221-1EE8C90ED36D}" presName="Name37" presStyleLbl="parChTrans1D2" presStyleIdx="1" presStyleCnt="5"/>
      <dgm:spPr/>
    </dgm:pt>
    <dgm:pt modelId="{EBB2A0E4-9AAE-4954-B69B-70AC98598A05}" type="pres">
      <dgm:prSet presAssocID="{EDBE1F11-AD05-4036-80F3-501524690109}" presName="hierRoot2" presStyleCnt="0">
        <dgm:presLayoutVars>
          <dgm:hierBranch val="init"/>
        </dgm:presLayoutVars>
      </dgm:prSet>
      <dgm:spPr/>
    </dgm:pt>
    <dgm:pt modelId="{A5DF77A1-3088-4DCE-BA87-DEE7AFCBDBC9}" type="pres">
      <dgm:prSet presAssocID="{EDBE1F11-AD05-4036-80F3-501524690109}" presName="rootComposite" presStyleCnt="0"/>
      <dgm:spPr/>
    </dgm:pt>
    <dgm:pt modelId="{43CF32DD-A11B-466F-BBDC-7C0F550410FD}" type="pres">
      <dgm:prSet presAssocID="{EDBE1F11-AD05-4036-80F3-501524690109}" presName="rootText" presStyleLbl="node2" presStyleIdx="1" presStyleCnt="4" custScaleY="285881">
        <dgm:presLayoutVars>
          <dgm:chPref val="3"/>
        </dgm:presLayoutVars>
      </dgm:prSet>
      <dgm:spPr/>
    </dgm:pt>
    <dgm:pt modelId="{31C62271-C072-4EE1-B402-7DDFC2226A7A}" type="pres">
      <dgm:prSet presAssocID="{EDBE1F11-AD05-4036-80F3-501524690109}" presName="rootPict" presStyleLbl="alignImgPlace1" presStyleIdx="2" presStyleCnt="6"/>
      <dgm:spPr>
        <a:xfrm>
          <a:off x="1990549" y="1595810"/>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B810DD7-1AE5-4D5C-807B-689CE55D10F4}" type="pres">
      <dgm:prSet presAssocID="{EDBE1F11-AD05-4036-80F3-501524690109}" presName="rootConnector" presStyleLbl="node2" presStyleIdx="1" presStyleCnt="4"/>
      <dgm:spPr/>
    </dgm:pt>
    <dgm:pt modelId="{DB8AD2F8-09A5-46CA-8732-2426374F254A}" type="pres">
      <dgm:prSet presAssocID="{EDBE1F11-AD05-4036-80F3-501524690109}" presName="hierChild4" presStyleCnt="0"/>
      <dgm:spPr/>
    </dgm:pt>
    <dgm:pt modelId="{BBDA52FB-875C-4D2D-953F-1ECCBA661155}" type="pres">
      <dgm:prSet presAssocID="{EDBE1F11-AD05-4036-80F3-501524690109}" presName="hierChild5" presStyleCnt="0"/>
      <dgm:spPr/>
    </dgm:pt>
    <dgm:pt modelId="{9999AC76-C2DE-49EA-89BD-4CE2F6056F55}" type="pres">
      <dgm:prSet presAssocID="{4FDE0B49-ED6D-4688-B3DD-1D849341C3B5}" presName="Name37" presStyleLbl="parChTrans1D2" presStyleIdx="2" presStyleCnt="5"/>
      <dgm:spPr/>
    </dgm:pt>
    <dgm:pt modelId="{1B09245A-FFAB-4B7F-A9F3-0CFD4B1B6587}" type="pres">
      <dgm:prSet presAssocID="{B4CA57D8-7E6F-4F3F-8AA7-4F62D9E1161B}" presName="hierRoot2" presStyleCnt="0">
        <dgm:presLayoutVars>
          <dgm:hierBranch val="init"/>
        </dgm:presLayoutVars>
      </dgm:prSet>
      <dgm:spPr/>
    </dgm:pt>
    <dgm:pt modelId="{5F871234-7253-48CB-B0DD-5B347B15E00B}" type="pres">
      <dgm:prSet presAssocID="{B4CA57D8-7E6F-4F3F-8AA7-4F62D9E1161B}" presName="rootComposite" presStyleCnt="0"/>
      <dgm:spPr/>
    </dgm:pt>
    <dgm:pt modelId="{DAD8E43C-26F5-4E45-AD55-C053D49CD767}" type="pres">
      <dgm:prSet presAssocID="{B4CA57D8-7E6F-4F3F-8AA7-4F62D9E1161B}" presName="rootText" presStyleLbl="node2" presStyleIdx="2" presStyleCnt="4" custScaleX="124338" custScaleY="299007">
        <dgm:presLayoutVars>
          <dgm:chPref val="3"/>
        </dgm:presLayoutVars>
      </dgm:prSet>
      <dgm:spPr/>
    </dgm:pt>
    <dgm:pt modelId="{288F8601-30C5-4FFA-890B-2EF35E4D90CC}" type="pres">
      <dgm:prSet presAssocID="{B4CA57D8-7E6F-4F3F-8AA7-4F62D9E1161B}" presName="rootPict" presStyleLbl="alignImgPlace1" presStyleIdx="3" presStyleCnt="6"/>
      <dgm:spPr>
        <a:xfrm>
          <a:off x="3036264" y="1621578"/>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2F7DC50-4A43-4403-BCDC-BC1CA64BE74C}" type="pres">
      <dgm:prSet presAssocID="{B4CA57D8-7E6F-4F3F-8AA7-4F62D9E1161B}" presName="rootConnector" presStyleLbl="node2" presStyleIdx="2" presStyleCnt="4"/>
      <dgm:spPr/>
    </dgm:pt>
    <dgm:pt modelId="{919338FF-1B07-48FF-A3DD-BD05ED90CDAC}" type="pres">
      <dgm:prSet presAssocID="{B4CA57D8-7E6F-4F3F-8AA7-4F62D9E1161B}" presName="hierChild4" presStyleCnt="0"/>
      <dgm:spPr/>
    </dgm:pt>
    <dgm:pt modelId="{79BC091A-4EB6-47A4-B150-22BB08E680C3}" type="pres">
      <dgm:prSet presAssocID="{B4CA57D8-7E6F-4F3F-8AA7-4F62D9E1161B}" presName="hierChild5" presStyleCnt="0"/>
      <dgm:spPr/>
    </dgm:pt>
    <dgm:pt modelId="{DB24E42C-1896-4BAA-9091-FB22A440355B}" type="pres">
      <dgm:prSet presAssocID="{35263797-7B46-447A-9A3A-5EA37029F411}" presName="Name37" presStyleLbl="parChTrans1D2" presStyleIdx="3" presStyleCnt="5"/>
      <dgm:spPr/>
    </dgm:pt>
    <dgm:pt modelId="{E60CCA89-0B9B-4481-A3BE-F48249D8C964}" type="pres">
      <dgm:prSet presAssocID="{17163286-E933-4E2A-98A2-79EB544CA097}" presName="hierRoot2" presStyleCnt="0">
        <dgm:presLayoutVars>
          <dgm:hierBranch val="init"/>
        </dgm:presLayoutVars>
      </dgm:prSet>
      <dgm:spPr/>
    </dgm:pt>
    <dgm:pt modelId="{30743A35-A4B3-4245-96CF-43FDA65E19BB}" type="pres">
      <dgm:prSet presAssocID="{17163286-E933-4E2A-98A2-79EB544CA097}" presName="rootComposite" presStyleCnt="0"/>
      <dgm:spPr/>
    </dgm:pt>
    <dgm:pt modelId="{37D5807C-3D88-44AB-B763-1DE33463F616}" type="pres">
      <dgm:prSet presAssocID="{17163286-E933-4E2A-98A2-79EB544CA097}" presName="rootText" presStyleLbl="node2" presStyleIdx="3" presStyleCnt="4" custScaleY="307757">
        <dgm:presLayoutVars>
          <dgm:chPref val="3"/>
        </dgm:presLayoutVars>
      </dgm:prSet>
      <dgm:spPr/>
    </dgm:pt>
    <dgm:pt modelId="{544B3FFA-018F-4312-A28D-208D9EEE5605}" type="pres">
      <dgm:prSet presAssocID="{17163286-E933-4E2A-98A2-79EB544CA097}" presName="rootPict" presStyleLbl="alignImgPlace1" presStyleIdx="4" presStyleCnt="6"/>
      <dgm:spPr>
        <a:xfrm>
          <a:off x="4081980" y="1638755"/>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AB4538C-B380-4B9E-B342-803E2A8797BE}" type="pres">
      <dgm:prSet presAssocID="{17163286-E933-4E2A-98A2-79EB544CA097}" presName="rootConnector" presStyleLbl="node2" presStyleIdx="3" presStyleCnt="4"/>
      <dgm:spPr/>
    </dgm:pt>
    <dgm:pt modelId="{60CFA6A3-144A-411B-84AE-2B928F590017}" type="pres">
      <dgm:prSet presAssocID="{17163286-E933-4E2A-98A2-79EB544CA097}" presName="hierChild4" presStyleCnt="0"/>
      <dgm:spPr/>
    </dgm:pt>
    <dgm:pt modelId="{AA173641-42CB-4B1E-B95D-0C285E562259}" type="pres">
      <dgm:prSet presAssocID="{17163286-E933-4E2A-98A2-79EB544CA097}" presName="hierChild5" presStyleCnt="0"/>
      <dgm:spPr/>
    </dgm:pt>
    <dgm:pt modelId="{F694ED63-C06B-4474-B94B-4B852EF821D8}" type="pres">
      <dgm:prSet presAssocID="{BD76D88F-FCFA-4366-8B15-18377A2C7724}" presName="hierChild3" presStyleCnt="0"/>
      <dgm:spPr/>
    </dgm:pt>
    <dgm:pt modelId="{FFBF0A56-CD8D-4C44-875E-7CFA48C575B4}" type="pres">
      <dgm:prSet presAssocID="{3E7419A5-6FDE-45BD-B833-6441DADE4509}" presName="Name111" presStyleLbl="parChTrans1D2" presStyleIdx="4" presStyleCnt="5"/>
      <dgm:spPr/>
    </dgm:pt>
    <dgm:pt modelId="{29DF0B30-3122-4809-AC4C-0464BCA211CD}" type="pres">
      <dgm:prSet presAssocID="{67C389D9-DEAD-4D8D-B0E2-5697C1AAEA17}" presName="hierRoot3" presStyleCnt="0">
        <dgm:presLayoutVars>
          <dgm:hierBranch val="init"/>
        </dgm:presLayoutVars>
      </dgm:prSet>
      <dgm:spPr/>
    </dgm:pt>
    <dgm:pt modelId="{67FEF967-CA82-420D-9106-21D50AB8D578}" type="pres">
      <dgm:prSet presAssocID="{67C389D9-DEAD-4D8D-B0E2-5697C1AAEA17}" presName="rootComposite3" presStyleCnt="0"/>
      <dgm:spPr/>
    </dgm:pt>
    <dgm:pt modelId="{56FB1C88-9122-4555-B0A9-10F0B3C0875B}" type="pres">
      <dgm:prSet presAssocID="{67C389D9-DEAD-4D8D-B0E2-5697C1AAEA17}" presName="rootText3" presStyleLbl="asst1" presStyleIdx="0" presStyleCnt="1" custScaleX="266597" custLinFactX="30589" custLinFactNeighborX="100000" custLinFactNeighborY="-4750">
        <dgm:presLayoutVars>
          <dgm:chPref val="3"/>
        </dgm:presLayoutVars>
      </dgm:prSet>
      <dgm:spPr/>
    </dgm:pt>
    <dgm:pt modelId="{B8CA1E29-D822-40E3-950B-CA45A6CEB7D8}" type="pres">
      <dgm:prSet presAssocID="{67C389D9-DEAD-4D8D-B0E2-5697C1AAEA17}" presName="rootPict3" presStyleLbl="alignImgPlace1" presStyleIdx="5" presStyleCnt="6" custLinFactX="49488" custLinFactNeighborX="100000" custLinFactNeighborY="0"/>
      <dgm:spPr>
        <a:xfrm>
          <a:off x="1703954" y="673369"/>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3D60A8C-48C3-42EF-8603-6E920B8CB72C}" type="pres">
      <dgm:prSet presAssocID="{67C389D9-DEAD-4D8D-B0E2-5697C1AAEA17}" presName="rootConnector3" presStyleLbl="asst1" presStyleIdx="0" presStyleCnt="1"/>
      <dgm:spPr/>
    </dgm:pt>
    <dgm:pt modelId="{8A7E35C5-0A24-44E2-8AB3-7B4400083C91}" type="pres">
      <dgm:prSet presAssocID="{67C389D9-DEAD-4D8D-B0E2-5697C1AAEA17}" presName="hierChild6" presStyleCnt="0"/>
      <dgm:spPr/>
    </dgm:pt>
    <dgm:pt modelId="{54C45551-3732-441F-B466-DE98227D7D33}" type="pres">
      <dgm:prSet presAssocID="{67C389D9-DEAD-4D8D-B0E2-5697C1AAEA17}" presName="hierChild7" presStyleCnt="0"/>
      <dgm:spPr/>
    </dgm:pt>
  </dgm:ptLst>
  <dgm:cxnLst>
    <dgm:cxn modelId="{CF756005-C03F-4EA0-8D48-C00FB181642B}" type="presOf" srcId="{0F0BCBFE-AF6F-47EC-90D3-CC5F98FCC998}" destId="{34F4C4BD-9EFD-4EB7-BB7D-6B254E5AB240}" srcOrd="0" destOrd="0" presId="urn:microsoft.com/office/officeart/2005/8/layout/pictureOrgChart+Icon"/>
    <dgm:cxn modelId="{7871FD0E-594E-471C-A556-0A26DDD9708C}" srcId="{BD76D88F-FCFA-4366-8B15-18377A2C7724}" destId="{EDBE1F11-AD05-4036-80F3-501524690109}" srcOrd="2" destOrd="0" parTransId="{5FF70024-B8E6-4C9F-9221-1EE8C90ED36D}" sibTransId="{F533DC07-869B-44DC-954E-CC91F640ED9F}"/>
    <dgm:cxn modelId="{F1C4B60F-6021-4BDC-B2B6-C891F06A4CAC}" type="presOf" srcId="{B4CA57D8-7E6F-4F3F-8AA7-4F62D9E1161B}" destId="{A2F7DC50-4A43-4403-BCDC-BC1CA64BE74C}" srcOrd="1" destOrd="0" presId="urn:microsoft.com/office/officeart/2005/8/layout/pictureOrgChart+Icon"/>
    <dgm:cxn modelId="{CEC62513-E6E7-42BB-92A6-3E265ADCF06E}" type="presOf" srcId="{67C389D9-DEAD-4D8D-B0E2-5697C1AAEA17}" destId="{B3D60A8C-48C3-42EF-8603-6E920B8CB72C}" srcOrd="1" destOrd="0" presId="urn:microsoft.com/office/officeart/2005/8/layout/pictureOrgChart+Icon"/>
    <dgm:cxn modelId="{B973D32B-74D4-4C0C-A769-DB32EF6D3221}" type="presOf" srcId="{35263797-7B46-447A-9A3A-5EA37029F411}" destId="{DB24E42C-1896-4BAA-9091-FB22A440355B}" srcOrd="0" destOrd="0" presId="urn:microsoft.com/office/officeart/2005/8/layout/pictureOrgChart+Icon"/>
    <dgm:cxn modelId="{E903095F-2DAD-4C84-B5A6-FB714281DA54}" type="presOf" srcId="{17163286-E933-4E2A-98A2-79EB544CA097}" destId="{FAB4538C-B380-4B9E-B342-803E2A8797BE}" srcOrd="1" destOrd="0" presId="urn:microsoft.com/office/officeart/2005/8/layout/pictureOrgChart+Icon"/>
    <dgm:cxn modelId="{E6999B5F-1437-40EB-BBF3-B0DEA989FCC8}" type="presOf" srcId="{B4CA57D8-7E6F-4F3F-8AA7-4F62D9E1161B}" destId="{DAD8E43C-26F5-4E45-AD55-C053D49CD767}" srcOrd="0" destOrd="0" presId="urn:microsoft.com/office/officeart/2005/8/layout/pictureOrgChart+Icon"/>
    <dgm:cxn modelId="{FBD63A44-E291-4A84-8383-E0882FE5EACA}" srcId="{BD76D88F-FCFA-4366-8B15-18377A2C7724}" destId="{B4CA57D8-7E6F-4F3F-8AA7-4F62D9E1161B}" srcOrd="3" destOrd="0" parTransId="{4FDE0B49-ED6D-4688-B3DD-1D849341C3B5}" sibTransId="{06A205C4-133A-4EDC-BA49-9FC94ECC2C4C}"/>
    <dgm:cxn modelId="{0A50776A-D4F0-4FB6-B468-1FDEF05E2173}" type="presOf" srcId="{4FDE0B49-ED6D-4688-B3DD-1D849341C3B5}" destId="{9999AC76-C2DE-49EA-89BD-4CE2F6056F55}" srcOrd="0" destOrd="0" presId="urn:microsoft.com/office/officeart/2005/8/layout/pictureOrgChart+Icon"/>
    <dgm:cxn modelId="{2AECB74A-9605-44E1-B1AC-AE546FD9958C}" srcId="{BD76D88F-FCFA-4366-8B15-18377A2C7724}" destId="{67C389D9-DEAD-4D8D-B0E2-5697C1AAEA17}" srcOrd="0" destOrd="0" parTransId="{3E7419A5-6FDE-45BD-B833-6441DADE4509}" sibTransId="{459DEE79-4740-4CCA-BA1E-0FD1140A40CC}"/>
    <dgm:cxn modelId="{4520A86C-76D3-4637-9188-7B2181A1EB39}" type="presOf" srcId="{0F0BCBFE-AF6F-47EC-90D3-CC5F98FCC998}" destId="{A078ECFE-8674-4CE9-8BEE-92EE6F5F1853}" srcOrd="1" destOrd="0" presId="urn:microsoft.com/office/officeart/2005/8/layout/pictureOrgChart+Icon"/>
    <dgm:cxn modelId="{67FF0E4F-23D6-401B-B959-DB8A35CD2FE7}" type="presOf" srcId="{04702E14-12F7-4419-8169-2ACC82EBD5A2}" destId="{678CBCAD-9F44-41AE-8073-FF6B5AB9BD39}" srcOrd="0" destOrd="0" presId="urn:microsoft.com/office/officeart/2005/8/layout/pictureOrgChart+Icon"/>
    <dgm:cxn modelId="{270E2953-620D-456A-909A-226110F72016}" type="presOf" srcId="{5FF70024-B8E6-4C9F-9221-1EE8C90ED36D}" destId="{1BD41F98-97E8-468B-A716-7A730A00E70E}" srcOrd="0" destOrd="0" presId="urn:microsoft.com/office/officeart/2005/8/layout/pictureOrgChart+Icon"/>
    <dgm:cxn modelId="{2813B773-99CC-4636-8B0E-394DCB191D5C}" srcId="{BD76D88F-FCFA-4366-8B15-18377A2C7724}" destId="{17163286-E933-4E2A-98A2-79EB544CA097}" srcOrd="4" destOrd="0" parTransId="{35263797-7B46-447A-9A3A-5EA37029F411}" sibTransId="{252DAAB4-6213-49A6-8DEF-EC1CD516F0CB}"/>
    <dgm:cxn modelId="{6BA67958-53B5-4282-ABD1-C9A375F3A189}" type="presOf" srcId="{3E7419A5-6FDE-45BD-B833-6441DADE4509}" destId="{FFBF0A56-CD8D-4C44-875E-7CFA48C575B4}" srcOrd="0" destOrd="0" presId="urn:microsoft.com/office/officeart/2005/8/layout/pictureOrgChart+Icon"/>
    <dgm:cxn modelId="{9279F37F-F3BD-4AAA-9621-E7F10EF8B10F}" type="presOf" srcId="{BD76D88F-FCFA-4366-8B15-18377A2C7724}" destId="{B8856EC1-41A9-4EB3-AF48-6408D5767EEC}" srcOrd="0" destOrd="0" presId="urn:microsoft.com/office/officeart/2005/8/layout/pictureOrgChart+Icon"/>
    <dgm:cxn modelId="{4ABEC98D-4281-4DC9-BE2F-221737500799}" srcId="{5C120FA8-8A85-4780-98C5-AAF7A4875208}" destId="{BD76D88F-FCFA-4366-8B15-18377A2C7724}" srcOrd="0" destOrd="0" parTransId="{98D1E11D-9127-4353-93E2-A268B4BC8DD4}" sibTransId="{68DC2716-037B-4901-A6B1-D70D3FC8653E}"/>
    <dgm:cxn modelId="{C282A895-B7D7-4BBA-B5A3-B81A534CAD64}" type="presOf" srcId="{5C120FA8-8A85-4780-98C5-AAF7A4875208}" destId="{267699D9-0879-4D6E-92E6-66893CA02CB6}" srcOrd="0" destOrd="0" presId="urn:microsoft.com/office/officeart/2005/8/layout/pictureOrgChart+Icon"/>
    <dgm:cxn modelId="{589C3B9E-428C-486D-A164-A2B85B5F9708}" srcId="{BD76D88F-FCFA-4366-8B15-18377A2C7724}" destId="{0F0BCBFE-AF6F-47EC-90D3-CC5F98FCC998}" srcOrd="1" destOrd="0" parTransId="{04702E14-12F7-4419-8169-2ACC82EBD5A2}" sibTransId="{91B7C49B-4F68-4C73-9AFF-499DA33D82F2}"/>
    <dgm:cxn modelId="{1D728CA0-D795-41B4-A9D4-15DE4FA31314}" type="presOf" srcId="{EDBE1F11-AD05-4036-80F3-501524690109}" destId="{9B810DD7-1AE5-4D5C-807B-689CE55D10F4}" srcOrd="1" destOrd="0" presId="urn:microsoft.com/office/officeart/2005/8/layout/pictureOrgChart+Icon"/>
    <dgm:cxn modelId="{D55B67BA-0D8B-4672-B51A-1972A6C1D6AA}" type="presOf" srcId="{BD76D88F-FCFA-4366-8B15-18377A2C7724}" destId="{27F24624-3419-4AAB-9610-46B96C0464AB}" srcOrd="1" destOrd="0" presId="urn:microsoft.com/office/officeart/2005/8/layout/pictureOrgChart+Icon"/>
    <dgm:cxn modelId="{DB0912E5-261B-408A-9F8D-17605BE104F9}" type="presOf" srcId="{67C389D9-DEAD-4D8D-B0E2-5697C1AAEA17}" destId="{56FB1C88-9122-4555-B0A9-10F0B3C0875B}" srcOrd="0" destOrd="0" presId="urn:microsoft.com/office/officeart/2005/8/layout/pictureOrgChart+Icon"/>
    <dgm:cxn modelId="{B58F20E5-100E-4137-BE14-C1C00837DDCD}" type="presOf" srcId="{17163286-E933-4E2A-98A2-79EB544CA097}" destId="{37D5807C-3D88-44AB-B763-1DE33463F616}" srcOrd="0" destOrd="0" presId="urn:microsoft.com/office/officeart/2005/8/layout/pictureOrgChart+Icon"/>
    <dgm:cxn modelId="{7032BFF0-7BED-4F7C-A677-66805E07CBA9}" type="presOf" srcId="{EDBE1F11-AD05-4036-80F3-501524690109}" destId="{43CF32DD-A11B-466F-BBDC-7C0F550410FD}" srcOrd="0" destOrd="0" presId="urn:microsoft.com/office/officeart/2005/8/layout/pictureOrgChart+Icon"/>
    <dgm:cxn modelId="{C7705C51-17AC-4248-B252-F8ED7A796229}" type="presParOf" srcId="{267699D9-0879-4D6E-92E6-66893CA02CB6}" destId="{C12B55C6-A051-44B5-912C-A807061226F3}" srcOrd="0" destOrd="0" presId="urn:microsoft.com/office/officeart/2005/8/layout/pictureOrgChart+Icon"/>
    <dgm:cxn modelId="{3F38539E-9F1A-4732-9F22-CE709E2A74AC}" type="presParOf" srcId="{C12B55C6-A051-44B5-912C-A807061226F3}" destId="{6DCB3304-05AB-4754-BCF3-947C2ACCF1A8}" srcOrd="0" destOrd="0" presId="urn:microsoft.com/office/officeart/2005/8/layout/pictureOrgChart+Icon"/>
    <dgm:cxn modelId="{4A9C6F30-C99B-48A3-A2C6-7EE121ED55C6}" type="presParOf" srcId="{6DCB3304-05AB-4754-BCF3-947C2ACCF1A8}" destId="{B8856EC1-41A9-4EB3-AF48-6408D5767EEC}" srcOrd="0" destOrd="0" presId="urn:microsoft.com/office/officeart/2005/8/layout/pictureOrgChart+Icon"/>
    <dgm:cxn modelId="{0A723EC3-FF28-4546-B738-2D5181DCBD2F}" type="presParOf" srcId="{6DCB3304-05AB-4754-BCF3-947C2ACCF1A8}" destId="{BA56B96F-C43A-47BC-A801-D52E814D854A}" srcOrd="1" destOrd="0" presId="urn:microsoft.com/office/officeart/2005/8/layout/pictureOrgChart+Icon"/>
    <dgm:cxn modelId="{DEE741D4-0797-4DBA-B1BC-1743E4535C66}" type="presParOf" srcId="{6DCB3304-05AB-4754-BCF3-947C2ACCF1A8}" destId="{27F24624-3419-4AAB-9610-46B96C0464AB}" srcOrd="2" destOrd="0" presId="urn:microsoft.com/office/officeart/2005/8/layout/pictureOrgChart+Icon"/>
    <dgm:cxn modelId="{8E30E9DB-D17B-4DC8-892D-11BB0930BC22}" type="presParOf" srcId="{C12B55C6-A051-44B5-912C-A807061226F3}" destId="{7835CF98-9114-4B66-A5E8-414B4AD11822}" srcOrd="1" destOrd="0" presId="urn:microsoft.com/office/officeart/2005/8/layout/pictureOrgChart+Icon"/>
    <dgm:cxn modelId="{B13D19F0-2911-4756-A471-3B99B19D3A86}" type="presParOf" srcId="{7835CF98-9114-4B66-A5E8-414B4AD11822}" destId="{678CBCAD-9F44-41AE-8073-FF6B5AB9BD39}" srcOrd="0" destOrd="0" presId="urn:microsoft.com/office/officeart/2005/8/layout/pictureOrgChart+Icon"/>
    <dgm:cxn modelId="{4771BFD8-8607-4143-AC65-38C17B4774C0}" type="presParOf" srcId="{7835CF98-9114-4B66-A5E8-414B4AD11822}" destId="{2DF5BC3B-0C0A-41C0-8EC4-19FF70105D20}" srcOrd="1" destOrd="0" presId="urn:microsoft.com/office/officeart/2005/8/layout/pictureOrgChart+Icon"/>
    <dgm:cxn modelId="{FC12CBC1-459F-43D1-9989-9E14F4FE384D}" type="presParOf" srcId="{2DF5BC3B-0C0A-41C0-8EC4-19FF70105D20}" destId="{FF4DDA0F-88BA-4025-9F2A-D093FA8D5E01}" srcOrd="0" destOrd="0" presId="urn:microsoft.com/office/officeart/2005/8/layout/pictureOrgChart+Icon"/>
    <dgm:cxn modelId="{3192E0DE-1E19-41BA-80AE-DE0474E833CD}" type="presParOf" srcId="{FF4DDA0F-88BA-4025-9F2A-D093FA8D5E01}" destId="{34F4C4BD-9EFD-4EB7-BB7D-6B254E5AB240}" srcOrd="0" destOrd="0" presId="urn:microsoft.com/office/officeart/2005/8/layout/pictureOrgChart+Icon"/>
    <dgm:cxn modelId="{AC1F59F9-7A97-494C-A26F-2A46A5AACF44}" type="presParOf" srcId="{FF4DDA0F-88BA-4025-9F2A-D093FA8D5E01}" destId="{B469750B-A094-4241-B5C8-26FA1FE8D620}" srcOrd="1" destOrd="0" presId="urn:microsoft.com/office/officeart/2005/8/layout/pictureOrgChart+Icon"/>
    <dgm:cxn modelId="{C8C31BD0-5271-4CCF-951F-6F938C80B78E}" type="presParOf" srcId="{FF4DDA0F-88BA-4025-9F2A-D093FA8D5E01}" destId="{A078ECFE-8674-4CE9-8BEE-92EE6F5F1853}" srcOrd="2" destOrd="0" presId="urn:microsoft.com/office/officeart/2005/8/layout/pictureOrgChart+Icon"/>
    <dgm:cxn modelId="{54BEAC7F-3621-404A-AB20-03DAC6E42928}" type="presParOf" srcId="{2DF5BC3B-0C0A-41C0-8EC4-19FF70105D20}" destId="{A271FF32-F653-4C31-B23B-44C289135BD7}" srcOrd="1" destOrd="0" presId="urn:microsoft.com/office/officeart/2005/8/layout/pictureOrgChart+Icon"/>
    <dgm:cxn modelId="{035167B1-59B6-4E5F-8E7C-DB48D5E9B36F}" type="presParOf" srcId="{2DF5BC3B-0C0A-41C0-8EC4-19FF70105D20}" destId="{C6227B18-E18A-45B0-9D1E-911A498645E1}" srcOrd="2" destOrd="0" presId="urn:microsoft.com/office/officeart/2005/8/layout/pictureOrgChart+Icon"/>
    <dgm:cxn modelId="{9102DFE1-24B7-4149-9648-79BF1ABB4288}" type="presParOf" srcId="{7835CF98-9114-4B66-A5E8-414B4AD11822}" destId="{1BD41F98-97E8-468B-A716-7A730A00E70E}" srcOrd="2" destOrd="0" presId="urn:microsoft.com/office/officeart/2005/8/layout/pictureOrgChart+Icon"/>
    <dgm:cxn modelId="{4530995E-5401-410E-A27E-B8C4BDB4ABC0}" type="presParOf" srcId="{7835CF98-9114-4B66-A5E8-414B4AD11822}" destId="{EBB2A0E4-9AAE-4954-B69B-70AC98598A05}" srcOrd="3" destOrd="0" presId="urn:microsoft.com/office/officeart/2005/8/layout/pictureOrgChart+Icon"/>
    <dgm:cxn modelId="{65CC6465-BF46-4F68-B4AB-9608E907C7A0}" type="presParOf" srcId="{EBB2A0E4-9AAE-4954-B69B-70AC98598A05}" destId="{A5DF77A1-3088-4DCE-BA87-DEE7AFCBDBC9}" srcOrd="0" destOrd="0" presId="urn:microsoft.com/office/officeart/2005/8/layout/pictureOrgChart+Icon"/>
    <dgm:cxn modelId="{A1813115-DAD5-4C51-AE56-4078D98E0D2C}" type="presParOf" srcId="{A5DF77A1-3088-4DCE-BA87-DEE7AFCBDBC9}" destId="{43CF32DD-A11B-466F-BBDC-7C0F550410FD}" srcOrd="0" destOrd="0" presId="urn:microsoft.com/office/officeart/2005/8/layout/pictureOrgChart+Icon"/>
    <dgm:cxn modelId="{63591A3E-8C4D-4501-8A8A-D4FF9076A7CF}" type="presParOf" srcId="{A5DF77A1-3088-4DCE-BA87-DEE7AFCBDBC9}" destId="{31C62271-C072-4EE1-B402-7DDFC2226A7A}" srcOrd="1" destOrd="0" presId="urn:microsoft.com/office/officeart/2005/8/layout/pictureOrgChart+Icon"/>
    <dgm:cxn modelId="{FB2589F6-570D-407B-A6BC-63D01C6A1672}" type="presParOf" srcId="{A5DF77A1-3088-4DCE-BA87-DEE7AFCBDBC9}" destId="{9B810DD7-1AE5-4D5C-807B-689CE55D10F4}" srcOrd="2" destOrd="0" presId="urn:microsoft.com/office/officeart/2005/8/layout/pictureOrgChart+Icon"/>
    <dgm:cxn modelId="{2F762CC7-0537-49E0-8621-6BC8974A8D1C}" type="presParOf" srcId="{EBB2A0E4-9AAE-4954-B69B-70AC98598A05}" destId="{DB8AD2F8-09A5-46CA-8732-2426374F254A}" srcOrd="1" destOrd="0" presId="urn:microsoft.com/office/officeart/2005/8/layout/pictureOrgChart+Icon"/>
    <dgm:cxn modelId="{81ECD717-A613-4828-9216-2B1585C0D379}" type="presParOf" srcId="{EBB2A0E4-9AAE-4954-B69B-70AC98598A05}" destId="{BBDA52FB-875C-4D2D-953F-1ECCBA661155}" srcOrd="2" destOrd="0" presId="urn:microsoft.com/office/officeart/2005/8/layout/pictureOrgChart+Icon"/>
    <dgm:cxn modelId="{2DEA03BD-9038-40EB-831E-C54A0EB7CCBC}" type="presParOf" srcId="{7835CF98-9114-4B66-A5E8-414B4AD11822}" destId="{9999AC76-C2DE-49EA-89BD-4CE2F6056F55}" srcOrd="4" destOrd="0" presId="urn:microsoft.com/office/officeart/2005/8/layout/pictureOrgChart+Icon"/>
    <dgm:cxn modelId="{6811FCE9-551B-4048-9094-432ADA459BB7}" type="presParOf" srcId="{7835CF98-9114-4B66-A5E8-414B4AD11822}" destId="{1B09245A-FFAB-4B7F-A9F3-0CFD4B1B6587}" srcOrd="5" destOrd="0" presId="urn:microsoft.com/office/officeart/2005/8/layout/pictureOrgChart+Icon"/>
    <dgm:cxn modelId="{E8DF25E5-8D64-4268-AA86-BB537C52AF68}" type="presParOf" srcId="{1B09245A-FFAB-4B7F-A9F3-0CFD4B1B6587}" destId="{5F871234-7253-48CB-B0DD-5B347B15E00B}" srcOrd="0" destOrd="0" presId="urn:microsoft.com/office/officeart/2005/8/layout/pictureOrgChart+Icon"/>
    <dgm:cxn modelId="{D42DF923-5F8A-4FF9-B919-2BE6A0615D09}" type="presParOf" srcId="{5F871234-7253-48CB-B0DD-5B347B15E00B}" destId="{DAD8E43C-26F5-4E45-AD55-C053D49CD767}" srcOrd="0" destOrd="0" presId="urn:microsoft.com/office/officeart/2005/8/layout/pictureOrgChart+Icon"/>
    <dgm:cxn modelId="{16093ED0-7466-4C7D-AC42-60F8052BDFAC}" type="presParOf" srcId="{5F871234-7253-48CB-B0DD-5B347B15E00B}" destId="{288F8601-30C5-4FFA-890B-2EF35E4D90CC}" srcOrd="1" destOrd="0" presId="urn:microsoft.com/office/officeart/2005/8/layout/pictureOrgChart+Icon"/>
    <dgm:cxn modelId="{A35ABBE0-70F6-4C08-A877-2B6C7967C2F0}" type="presParOf" srcId="{5F871234-7253-48CB-B0DD-5B347B15E00B}" destId="{A2F7DC50-4A43-4403-BCDC-BC1CA64BE74C}" srcOrd="2" destOrd="0" presId="urn:microsoft.com/office/officeart/2005/8/layout/pictureOrgChart+Icon"/>
    <dgm:cxn modelId="{C59EA83F-7C03-4B50-ABC2-DDFCEF43AFA0}" type="presParOf" srcId="{1B09245A-FFAB-4B7F-A9F3-0CFD4B1B6587}" destId="{919338FF-1B07-48FF-A3DD-BD05ED90CDAC}" srcOrd="1" destOrd="0" presId="urn:microsoft.com/office/officeart/2005/8/layout/pictureOrgChart+Icon"/>
    <dgm:cxn modelId="{5C16401F-F9BD-4ABF-8AAE-C135D0EE738F}" type="presParOf" srcId="{1B09245A-FFAB-4B7F-A9F3-0CFD4B1B6587}" destId="{79BC091A-4EB6-47A4-B150-22BB08E680C3}" srcOrd="2" destOrd="0" presId="urn:microsoft.com/office/officeart/2005/8/layout/pictureOrgChart+Icon"/>
    <dgm:cxn modelId="{B12B2B16-118D-4908-8236-F828D31D5750}" type="presParOf" srcId="{7835CF98-9114-4B66-A5E8-414B4AD11822}" destId="{DB24E42C-1896-4BAA-9091-FB22A440355B}" srcOrd="6" destOrd="0" presId="urn:microsoft.com/office/officeart/2005/8/layout/pictureOrgChart+Icon"/>
    <dgm:cxn modelId="{3311741C-160B-49DC-9A88-01088E69D5A0}" type="presParOf" srcId="{7835CF98-9114-4B66-A5E8-414B4AD11822}" destId="{E60CCA89-0B9B-4481-A3BE-F48249D8C964}" srcOrd="7" destOrd="0" presId="urn:microsoft.com/office/officeart/2005/8/layout/pictureOrgChart+Icon"/>
    <dgm:cxn modelId="{F807F507-3248-4DFB-8827-933C976CE6F3}" type="presParOf" srcId="{E60CCA89-0B9B-4481-A3BE-F48249D8C964}" destId="{30743A35-A4B3-4245-96CF-43FDA65E19BB}" srcOrd="0" destOrd="0" presId="urn:microsoft.com/office/officeart/2005/8/layout/pictureOrgChart+Icon"/>
    <dgm:cxn modelId="{3FB4A1AF-BE45-4358-8AD0-C69815F0BA4F}" type="presParOf" srcId="{30743A35-A4B3-4245-96CF-43FDA65E19BB}" destId="{37D5807C-3D88-44AB-B763-1DE33463F616}" srcOrd="0" destOrd="0" presId="urn:microsoft.com/office/officeart/2005/8/layout/pictureOrgChart+Icon"/>
    <dgm:cxn modelId="{D7C4C08F-0AF9-4A4C-838F-41380D031253}" type="presParOf" srcId="{30743A35-A4B3-4245-96CF-43FDA65E19BB}" destId="{544B3FFA-018F-4312-A28D-208D9EEE5605}" srcOrd="1" destOrd="0" presId="urn:microsoft.com/office/officeart/2005/8/layout/pictureOrgChart+Icon"/>
    <dgm:cxn modelId="{DF251A23-5135-452B-B0AE-785900DD137A}" type="presParOf" srcId="{30743A35-A4B3-4245-96CF-43FDA65E19BB}" destId="{FAB4538C-B380-4B9E-B342-803E2A8797BE}" srcOrd="2" destOrd="0" presId="urn:microsoft.com/office/officeart/2005/8/layout/pictureOrgChart+Icon"/>
    <dgm:cxn modelId="{A7A8CFB1-DC0A-4C38-8825-1836E9D16D76}" type="presParOf" srcId="{E60CCA89-0B9B-4481-A3BE-F48249D8C964}" destId="{60CFA6A3-144A-411B-84AE-2B928F590017}" srcOrd="1" destOrd="0" presId="urn:microsoft.com/office/officeart/2005/8/layout/pictureOrgChart+Icon"/>
    <dgm:cxn modelId="{9F9F0C4A-97B2-4950-9264-AD418B6B228A}" type="presParOf" srcId="{E60CCA89-0B9B-4481-A3BE-F48249D8C964}" destId="{AA173641-42CB-4B1E-B95D-0C285E562259}" srcOrd="2" destOrd="0" presId="urn:microsoft.com/office/officeart/2005/8/layout/pictureOrgChart+Icon"/>
    <dgm:cxn modelId="{F71868AC-6C4D-401C-8884-E082A899C86D}" type="presParOf" srcId="{C12B55C6-A051-44B5-912C-A807061226F3}" destId="{F694ED63-C06B-4474-B94B-4B852EF821D8}" srcOrd="2" destOrd="0" presId="urn:microsoft.com/office/officeart/2005/8/layout/pictureOrgChart+Icon"/>
    <dgm:cxn modelId="{D7BEC7AB-83A8-4D14-A43D-139DFB99B0D9}" type="presParOf" srcId="{F694ED63-C06B-4474-B94B-4B852EF821D8}" destId="{FFBF0A56-CD8D-4C44-875E-7CFA48C575B4}" srcOrd="0" destOrd="0" presId="urn:microsoft.com/office/officeart/2005/8/layout/pictureOrgChart+Icon"/>
    <dgm:cxn modelId="{FF359A88-8584-4A60-84C0-40EF2C0B566C}" type="presParOf" srcId="{F694ED63-C06B-4474-B94B-4B852EF821D8}" destId="{29DF0B30-3122-4809-AC4C-0464BCA211CD}" srcOrd="1" destOrd="0" presId="urn:microsoft.com/office/officeart/2005/8/layout/pictureOrgChart+Icon"/>
    <dgm:cxn modelId="{E6957AB8-C668-49EB-9B6C-97106C2094FB}" type="presParOf" srcId="{29DF0B30-3122-4809-AC4C-0464BCA211CD}" destId="{67FEF967-CA82-420D-9106-21D50AB8D578}" srcOrd="0" destOrd="0" presId="urn:microsoft.com/office/officeart/2005/8/layout/pictureOrgChart+Icon"/>
    <dgm:cxn modelId="{42C164E5-2E93-49E8-89C0-BF08426E462B}" type="presParOf" srcId="{67FEF967-CA82-420D-9106-21D50AB8D578}" destId="{56FB1C88-9122-4555-B0A9-10F0B3C0875B}" srcOrd="0" destOrd="0" presId="urn:microsoft.com/office/officeart/2005/8/layout/pictureOrgChart+Icon"/>
    <dgm:cxn modelId="{7FFC9CEF-B275-44CD-AE2D-E8432FBFEB09}" type="presParOf" srcId="{67FEF967-CA82-420D-9106-21D50AB8D578}" destId="{B8CA1E29-D822-40E3-950B-CA45A6CEB7D8}" srcOrd="1" destOrd="0" presId="urn:microsoft.com/office/officeart/2005/8/layout/pictureOrgChart+Icon"/>
    <dgm:cxn modelId="{D0C67D1E-32F5-49B3-B877-F0931F35645C}" type="presParOf" srcId="{67FEF967-CA82-420D-9106-21D50AB8D578}" destId="{B3D60A8C-48C3-42EF-8603-6E920B8CB72C}" srcOrd="2" destOrd="0" presId="urn:microsoft.com/office/officeart/2005/8/layout/pictureOrgChart+Icon"/>
    <dgm:cxn modelId="{3C0714A7-8ED0-4E7D-A57D-A79090911088}" type="presParOf" srcId="{29DF0B30-3122-4809-AC4C-0464BCA211CD}" destId="{8A7E35C5-0A24-44E2-8AB3-7B4400083C91}" srcOrd="1" destOrd="0" presId="urn:microsoft.com/office/officeart/2005/8/layout/pictureOrgChart+Icon"/>
    <dgm:cxn modelId="{65A77C3C-117B-400C-8572-4C59FB2CF6DC}" type="presParOf" srcId="{29DF0B30-3122-4809-AC4C-0464BCA211CD}" destId="{54C45551-3732-441F-B466-DE98227D7D33}" srcOrd="2" destOrd="0" presId="urn:microsoft.com/office/officeart/2005/8/layout/pictureOrgChart+Icon"/>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BF0A56-CD8D-4C44-875E-7CFA48C575B4}">
      <dsp:nvSpPr>
        <dsp:cNvPr id="0" name=""/>
        <dsp:cNvSpPr/>
      </dsp:nvSpPr>
      <dsp:spPr>
        <a:xfrm>
          <a:off x="2834344" y="469203"/>
          <a:ext cx="943004" cy="342567"/>
        </a:xfrm>
        <a:custGeom>
          <a:avLst/>
          <a:gdLst/>
          <a:ahLst/>
          <a:cxnLst/>
          <a:rect l="0" t="0" r="0" b="0"/>
          <a:pathLst>
            <a:path>
              <a:moveTo>
                <a:pt x="0" y="0"/>
              </a:moveTo>
              <a:lnTo>
                <a:pt x="943004" y="34256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B24E42C-1896-4BAA-9091-FB22A440355B}">
      <dsp:nvSpPr>
        <dsp:cNvPr id="0" name=""/>
        <dsp:cNvSpPr/>
      </dsp:nvSpPr>
      <dsp:spPr>
        <a:xfrm>
          <a:off x="2834344" y="469203"/>
          <a:ext cx="1601000" cy="722434"/>
        </a:xfrm>
        <a:custGeom>
          <a:avLst/>
          <a:gdLst/>
          <a:ahLst/>
          <a:cxnLst/>
          <a:rect l="0" t="0" r="0" b="0"/>
          <a:pathLst>
            <a:path>
              <a:moveTo>
                <a:pt x="0" y="0"/>
              </a:moveTo>
              <a:lnTo>
                <a:pt x="0" y="639982"/>
              </a:lnTo>
              <a:lnTo>
                <a:pt x="1601000" y="639982"/>
              </a:lnTo>
              <a:lnTo>
                <a:pt x="1601000" y="72243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999AC76-C2DE-49EA-89BD-4CE2F6056F55}">
      <dsp:nvSpPr>
        <dsp:cNvPr id="0" name=""/>
        <dsp:cNvSpPr/>
      </dsp:nvSpPr>
      <dsp:spPr>
        <a:xfrm>
          <a:off x="2834344" y="469203"/>
          <a:ext cx="555284" cy="722434"/>
        </a:xfrm>
        <a:custGeom>
          <a:avLst/>
          <a:gdLst/>
          <a:ahLst/>
          <a:cxnLst/>
          <a:rect l="0" t="0" r="0" b="0"/>
          <a:pathLst>
            <a:path>
              <a:moveTo>
                <a:pt x="0" y="0"/>
              </a:moveTo>
              <a:lnTo>
                <a:pt x="0" y="639982"/>
              </a:lnTo>
              <a:lnTo>
                <a:pt x="555284" y="639982"/>
              </a:lnTo>
              <a:lnTo>
                <a:pt x="555284" y="72243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BD41F98-97E8-468B-A716-7A730A00E70E}">
      <dsp:nvSpPr>
        <dsp:cNvPr id="0" name=""/>
        <dsp:cNvSpPr/>
      </dsp:nvSpPr>
      <dsp:spPr>
        <a:xfrm>
          <a:off x="2343913" y="469203"/>
          <a:ext cx="490430" cy="722434"/>
        </a:xfrm>
        <a:custGeom>
          <a:avLst/>
          <a:gdLst/>
          <a:ahLst/>
          <a:cxnLst/>
          <a:rect l="0" t="0" r="0" b="0"/>
          <a:pathLst>
            <a:path>
              <a:moveTo>
                <a:pt x="490430" y="0"/>
              </a:moveTo>
              <a:lnTo>
                <a:pt x="490430" y="639982"/>
              </a:lnTo>
              <a:lnTo>
                <a:pt x="0" y="639982"/>
              </a:lnTo>
              <a:lnTo>
                <a:pt x="0" y="72243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78CBCAD-9F44-41AE-8073-FF6B5AB9BD39}">
      <dsp:nvSpPr>
        <dsp:cNvPr id="0" name=""/>
        <dsp:cNvSpPr/>
      </dsp:nvSpPr>
      <dsp:spPr>
        <a:xfrm>
          <a:off x="1313550" y="469203"/>
          <a:ext cx="1520794" cy="722434"/>
        </a:xfrm>
        <a:custGeom>
          <a:avLst/>
          <a:gdLst/>
          <a:ahLst/>
          <a:cxnLst/>
          <a:rect l="0" t="0" r="0" b="0"/>
          <a:pathLst>
            <a:path>
              <a:moveTo>
                <a:pt x="1520794" y="0"/>
              </a:moveTo>
              <a:lnTo>
                <a:pt x="1520794" y="639982"/>
              </a:lnTo>
              <a:lnTo>
                <a:pt x="0" y="639982"/>
              </a:lnTo>
              <a:lnTo>
                <a:pt x="0" y="72243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56EC1-41A9-4EB3-AF48-6408D5767EEC}">
      <dsp:nvSpPr>
        <dsp:cNvPr id="0" name=""/>
        <dsp:cNvSpPr/>
      </dsp:nvSpPr>
      <dsp:spPr>
        <a:xfrm>
          <a:off x="1880935" y="324"/>
          <a:ext cx="1906817" cy="468879"/>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المتغير المستقل: </a:t>
          </a:r>
          <a:r>
            <a:rPr lang="ar-SA" sz="1200" b="1" kern="1200">
              <a:solidFill>
                <a:sysClr val="windowText" lastClr="000000"/>
              </a:solidFill>
              <a:latin typeface="Calibri" panose="020F0502020204030204"/>
              <a:ea typeface="+mn-ea"/>
              <a:cs typeface="Arial" panose="020B0604020202020204" pitchFamily="34" charset="0"/>
            </a:rPr>
            <a:t>ممارسات إدارة الموارد البشرية الاستراتيجية</a:t>
          </a:r>
        </a:p>
      </dsp:txBody>
      <dsp:txXfrm>
        <a:off x="1880935" y="324"/>
        <a:ext cx="1906817" cy="468879"/>
      </dsp:txXfrm>
    </dsp:sp>
    <dsp:sp modelId="{BA56B96F-C43A-47BC-A801-D52E814D854A}">
      <dsp:nvSpPr>
        <dsp:cNvPr id="0" name=""/>
        <dsp:cNvSpPr/>
      </dsp:nvSpPr>
      <dsp:spPr>
        <a:xfrm>
          <a:off x="1922678" y="69122"/>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4F4C4BD-9EFD-4EB7-BB7D-6B254E5AB240}">
      <dsp:nvSpPr>
        <dsp:cNvPr id="0" name=""/>
        <dsp:cNvSpPr/>
      </dsp:nvSpPr>
      <dsp:spPr>
        <a:xfrm>
          <a:off x="840717" y="1191637"/>
          <a:ext cx="945666" cy="1173978"/>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8255" rIns="8255" bIns="8255" numCol="1" spcCol="1270" anchor="ctr" anchorCtr="0">
          <a:noAutofit/>
        </a:bodyPr>
        <a:lstStyle/>
        <a:p>
          <a:pPr marL="0" lvl="0" indent="0" algn="ctr" defTabSz="577850" rtl="1">
            <a:lnSpc>
              <a:spcPct val="90000"/>
            </a:lnSpc>
            <a:spcBef>
              <a:spcPct val="0"/>
            </a:spcBef>
            <a:spcAft>
              <a:spcPct val="35000"/>
            </a:spcAft>
            <a:buNone/>
          </a:pPr>
          <a:r>
            <a:rPr lang="ar-SA" sz="1300" kern="1200">
              <a:solidFill>
                <a:sysClr val="windowText" lastClr="000000"/>
              </a:solidFill>
              <a:latin typeface="Calibri" panose="020F0502020204030204"/>
              <a:ea typeface="+mn-ea"/>
              <a:cs typeface="Arial" panose="020B0604020202020204" pitchFamily="34" charset="0"/>
            </a:rPr>
            <a:t>تحقيق أهداف الشركة الاستراتيجية</a:t>
          </a:r>
        </a:p>
      </dsp:txBody>
      <dsp:txXfrm>
        <a:off x="840717" y="1191637"/>
        <a:ext cx="945666" cy="1173978"/>
      </dsp:txXfrm>
    </dsp:sp>
    <dsp:sp modelId="{B469750B-A094-4241-B5C8-26FA1FE8D620}">
      <dsp:nvSpPr>
        <dsp:cNvPr id="0" name=""/>
        <dsp:cNvSpPr/>
      </dsp:nvSpPr>
      <dsp:spPr>
        <a:xfrm>
          <a:off x="960185" y="1621576"/>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3CF32DD-A11B-466F-BBDC-7C0F550410FD}">
      <dsp:nvSpPr>
        <dsp:cNvPr id="0" name=""/>
        <dsp:cNvSpPr/>
      </dsp:nvSpPr>
      <dsp:spPr>
        <a:xfrm>
          <a:off x="1951286" y="1191637"/>
          <a:ext cx="785254" cy="1122446"/>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8255" rIns="8255" bIns="8255" numCol="1" spcCol="1270" anchor="ctr" anchorCtr="0">
          <a:noAutofit/>
        </a:bodyPr>
        <a:lstStyle/>
        <a:p>
          <a:pPr marL="0" lvl="0" indent="0" algn="ctr" defTabSz="577850" rtl="1">
            <a:lnSpc>
              <a:spcPct val="90000"/>
            </a:lnSpc>
            <a:spcBef>
              <a:spcPct val="0"/>
            </a:spcBef>
            <a:spcAft>
              <a:spcPct val="35000"/>
            </a:spcAft>
            <a:buNone/>
          </a:pPr>
          <a:r>
            <a:rPr lang="ar-SA" sz="1300" kern="1200">
              <a:solidFill>
                <a:sysClr val="windowText" lastClr="000000"/>
              </a:solidFill>
              <a:latin typeface="Calibri" panose="020F0502020204030204"/>
              <a:ea typeface="+mn-ea"/>
              <a:cs typeface="Arial" panose="020B0604020202020204" pitchFamily="34" charset="0"/>
            </a:rPr>
            <a:t>مستوى الالتزام والانتماء التنظيمي</a:t>
          </a:r>
        </a:p>
      </dsp:txBody>
      <dsp:txXfrm>
        <a:off x="1951286" y="1191637"/>
        <a:ext cx="785254" cy="1122446"/>
      </dsp:txXfrm>
    </dsp:sp>
    <dsp:sp modelId="{31C62271-C072-4EE1-B402-7DDFC2226A7A}">
      <dsp:nvSpPr>
        <dsp:cNvPr id="0" name=""/>
        <dsp:cNvSpPr/>
      </dsp:nvSpPr>
      <dsp:spPr>
        <a:xfrm>
          <a:off x="1990549" y="1595810"/>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DAD8E43C-26F5-4E45-AD55-C053D49CD767}">
      <dsp:nvSpPr>
        <dsp:cNvPr id="0" name=""/>
        <dsp:cNvSpPr/>
      </dsp:nvSpPr>
      <dsp:spPr>
        <a:xfrm>
          <a:off x="2901444" y="1191637"/>
          <a:ext cx="976369" cy="117398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8255" rIns="8255" bIns="8255" numCol="1" spcCol="1270" anchor="ctr" anchorCtr="0">
          <a:noAutofit/>
        </a:bodyPr>
        <a:lstStyle/>
        <a:p>
          <a:pPr marL="0" lvl="0" indent="0" algn="ctr" defTabSz="577850" rtl="1">
            <a:lnSpc>
              <a:spcPct val="90000"/>
            </a:lnSpc>
            <a:spcBef>
              <a:spcPct val="0"/>
            </a:spcBef>
            <a:spcAft>
              <a:spcPct val="35000"/>
            </a:spcAft>
            <a:buNone/>
          </a:pPr>
          <a:r>
            <a:rPr lang="ar-SA" sz="1300" kern="1200">
              <a:solidFill>
                <a:sysClr val="windowText" lastClr="000000"/>
              </a:solidFill>
              <a:latin typeface="Calibri" panose="020F0502020204030204"/>
              <a:ea typeface="+mn-ea"/>
              <a:cs typeface="Arial" panose="020B0604020202020204" pitchFamily="34" charset="0"/>
            </a:rPr>
            <a:t>كفاءة وإنتاجية الموظفين</a:t>
          </a:r>
        </a:p>
      </dsp:txBody>
      <dsp:txXfrm>
        <a:off x="2901444" y="1191637"/>
        <a:ext cx="976369" cy="1173982"/>
      </dsp:txXfrm>
    </dsp:sp>
    <dsp:sp modelId="{288F8601-30C5-4FFA-890B-2EF35E4D90CC}">
      <dsp:nvSpPr>
        <dsp:cNvPr id="0" name=""/>
        <dsp:cNvSpPr/>
      </dsp:nvSpPr>
      <dsp:spPr>
        <a:xfrm>
          <a:off x="3036264" y="1621578"/>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7D5807C-3D88-44AB-B763-1DE33463F616}">
      <dsp:nvSpPr>
        <dsp:cNvPr id="0" name=""/>
        <dsp:cNvSpPr/>
      </dsp:nvSpPr>
      <dsp:spPr>
        <a:xfrm>
          <a:off x="4042717" y="1191637"/>
          <a:ext cx="785254" cy="120833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8255" rIns="8255" bIns="8255" numCol="1" spcCol="1270" anchor="ctr" anchorCtr="0">
          <a:noAutofit/>
        </a:bodyPr>
        <a:lstStyle/>
        <a:p>
          <a:pPr marL="0" lvl="0" indent="0" algn="ctr" defTabSz="577850" rtl="1">
            <a:lnSpc>
              <a:spcPct val="90000"/>
            </a:lnSpc>
            <a:spcBef>
              <a:spcPct val="0"/>
            </a:spcBef>
            <a:spcAft>
              <a:spcPct val="35000"/>
            </a:spcAft>
            <a:buNone/>
          </a:pPr>
          <a:r>
            <a:rPr lang="ar-SA" sz="1300" kern="1200">
              <a:solidFill>
                <a:sysClr val="windowText" lastClr="000000"/>
              </a:solidFill>
              <a:latin typeface="Calibri" panose="020F0502020204030204"/>
              <a:ea typeface="+mn-ea"/>
              <a:cs typeface="Arial" panose="020B0604020202020204" pitchFamily="34" charset="0"/>
            </a:rPr>
            <a:t>جودة تنفيذ المشاريع الهندسية</a:t>
          </a:r>
        </a:p>
      </dsp:txBody>
      <dsp:txXfrm>
        <a:off x="4042717" y="1191637"/>
        <a:ext cx="785254" cy="1208337"/>
      </dsp:txXfrm>
    </dsp:sp>
    <dsp:sp modelId="{544B3FFA-018F-4312-A28D-208D9EEE5605}">
      <dsp:nvSpPr>
        <dsp:cNvPr id="0" name=""/>
        <dsp:cNvSpPr/>
      </dsp:nvSpPr>
      <dsp:spPr>
        <a:xfrm>
          <a:off x="4081980" y="1638755"/>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56FB1C88-9122-4555-B0A9-10F0B3C0875B}">
      <dsp:nvSpPr>
        <dsp:cNvPr id="0" name=""/>
        <dsp:cNvSpPr/>
      </dsp:nvSpPr>
      <dsp:spPr>
        <a:xfrm>
          <a:off x="1683883" y="615457"/>
          <a:ext cx="2093464" cy="39262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0871"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المتغير التابع: الاداء التنظيمي</a:t>
          </a:r>
          <a:endParaRPr lang="ar-SA" sz="1400" b="1" kern="1200">
            <a:solidFill>
              <a:sysClr val="windowText" lastClr="000000"/>
            </a:solidFill>
            <a:latin typeface="Calibri" panose="020F0502020204030204"/>
            <a:ea typeface="+mn-ea"/>
            <a:cs typeface="Arial" panose="020B0604020202020204" pitchFamily="34" charset="0"/>
          </a:endParaRPr>
        </a:p>
      </dsp:txBody>
      <dsp:txXfrm>
        <a:off x="1683883" y="615457"/>
        <a:ext cx="2093464" cy="392627"/>
      </dsp:txXfrm>
    </dsp:sp>
    <dsp:sp modelId="{B8CA1E29-D822-40E3-950B-CA45A6CEB7D8}">
      <dsp:nvSpPr>
        <dsp:cNvPr id="0" name=""/>
        <dsp:cNvSpPr/>
      </dsp:nvSpPr>
      <dsp:spPr>
        <a:xfrm>
          <a:off x="1703954" y="673369"/>
          <a:ext cx="235576" cy="314101"/>
        </a:xfrm>
        <a:prstGeom prst="rect">
          <a:avLst/>
        </a:prstGeom>
        <a:solidFill>
          <a:srgbClr val="4472C4">
            <a:tint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ictureOrgChart+Icon">
  <dgm:title val="Picture Organization Chart"/>
  <dgm:desc val="Use to show hierarchical information or reporting relationships in an organization, with corresponding pictures. The assistant shape and the Org Chart hanging layouts are available with this layout."/>
  <dgm:catLst>
    <dgm:cat type="hierarchy" pri="1050"/>
    <dgm:cat type="officeonline" pri="1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1" styleLbl="alignImgPlace1">
              <dgm:alg type="sp"/>
              <dgm:shape xmlns:r="http://schemas.openxmlformats.org/officeDocument/2006/relationships" type="rect" r:blip="" blipPhldr="1">
                <dgm:adjLst/>
              </dgm:shape>
              <dgm:presOf/>
              <dgm:constrLst/>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 styleLbl="alignImgPlace1">
                    <dgm:alg type="sp"/>
                    <dgm:shape xmlns:r="http://schemas.openxmlformats.org/officeDocument/2006/relationships" type="rect" r:blip="" blipPhldr="1">
                      <dgm:adjLst/>
                    </dgm:shape>
                    <dgm:presOf/>
                    <dgm:constrLst/>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3" styleLbl="alignImgPlace1">
                    <dgm:alg type="sp"/>
                    <dgm:shape xmlns:r="http://schemas.openxmlformats.org/officeDocument/2006/relationships" type="rect" r:blip="" blipPhldr="1">
                      <dgm:adjLst/>
                    </dgm:shape>
                    <dgm:presOf/>
                    <dgm:constrLst/>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6525</Words>
  <Characters>37194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Workstation Shop</dc:creator>
  <cp:keywords/>
  <dc:description/>
  <cp:lastModifiedBy>Workstation Shop</cp:lastModifiedBy>
  <cp:revision>5</cp:revision>
  <dcterms:created xsi:type="dcterms:W3CDTF">2026-03-19T12:16:00Z</dcterms:created>
  <dcterms:modified xsi:type="dcterms:W3CDTF">2026-03-19T17:49:00Z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62740117-cefe-4710-be42-c78102a1c239</vt:lpwstr>
  </property>
</Properties>
</file>