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5AF49B9C" w:rsidR="009125CE" w:rsidRPr="000007C7" w:rsidRDefault="00CF3354" w:rsidP="00CF3354">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0007C7">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01678395">
            <wp:simplePos x="0" y="0"/>
            <wp:positionH relativeFrom="margin">
              <wp:posOffset>269875</wp:posOffset>
            </wp:positionH>
            <wp:positionV relativeFrom="margin">
              <wp:posOffset>-118110</wp:posOffset>
            </wp:positionV>
            <wp:extent cx="1617345" cy="1501140"/>
            <wp:effectExtent l="0" t="0" r="1905"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17345" cy="1501140"/>
                    </a:xfrm>
                    <a:prstGeom prst="rect">
                      <a:avLst/>
                    </a:prstGeom>
                  </pic:spPr>
                </pic:pic>
              </a:graphicData>
            </a:graphic>
            <wp14:sizeRelH relativeFrom="margin">
              <wp14:pctWidth>0</wp14:pctWidth>
            </wp14:sizeRelH>
            <wp14:sizeRelV relativeFrom="margin">
              <wp14:pctHeight>0</wp14:pctHeight>
            </wp14:sizeRelV>
          </wp:anchor>
        </w:drawing>
      </w:r>
      <w:r w:rsidR="009125CE" w:rsidRPr="000007C7">
        <w:rPr>
          <w:rFonts w:ascii="Simplified Arabic" w:hAnsi="Simplified Arabic" w:cs="Simplified Arabic"/>
          <w:b/>
          <w:bCs/>
          <w:color w:val="000000" w:themeColor="text1"/>
          <w:sz w:val="32"/>
          <w:szCs w:val="32"/>
          <w:rtl/>
          <w:lang w:bidi="ar-EG"/>
        </w:rPr>
        <w:t xml:space="preserve">جامعة ميدأوشن </w:t>
      </w:r>
    </w:p>
    <w:p w14:paraId="1E957002" w14:textId="06F40871" w:rsidR="00F546CE" w:rsidRPr="000007C7" w:rsidRDefault="009125CE" w:rsidP="00CF3354">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0007C7">
        <w:rPr>
          <w:rFonts w:ascii="Simplified Arabic" w:hAnsi="Simplified Arabic" w:cs="Simplified Arabic"/>
          <w:b/>
          <w:bCs/>
          <w:color w:val="000000" w:themeColor="text1"/>
          <w:sz w:val="32"/>
          <w:szCs w:val="32"/>
          <w:rtl/>
          <w:lang w:bidi="ar-EG"/>
        </w:rPr>
        <w:t xml:space="preserve">كلية </w:t>
      </w:r>
      <w:r w:rsidR="008C42C1" w:rsidRPr="000007C7">
        <w:rPr>
          <w:rFonts w:ascii="Simplified Arabic" w:hAnsi="Simplified Arabic" w:cs="Simplified Arabic"/>
          <w:b/>
          <w:bCs/>
          <w:color w:val="000000" w:themeColor="text1"/>
          <w:sz w:val="32"/>
          <w:szCs w:val="32"/>
          <w:rtl/>
          <w:lang w:bidi="ar-EG"/>
        </w:rPr>
        <w:t>الإدارة</w:t>
      </w:r>
      <w:r w:rsidRPr="000007C7">
        <w:rPr>
          <w:rFonts w:ascii="Simplified Arabic" w:hAnsi="Simplified Arabic" w:cs="Simplified Arabic"/>
          <w:b/>
          <w:bCs/>
          <w:color w:val="000000" w:themeColor="text1"/>
          <w:sz w:val="32"/>
          <w:szCs w:val="32"/>
          <w:rtl/>
          <w:lang w:bidi="ar-EG"/>
        </w:rPr>
        <w:t xml:space="preserve"> </w:t>
      </w:r>
    </w:p>
    <w:p w14:paraId="5F6542BF" w14:textId="0E552D0E" w:rsidR="009125CE" w:rsidRPr="000007C7" w:rsidRDefault="00F86421" w:rsidP="00CF3354">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0007C7">
        <w:rPr>
          <w:rFonts w:ascii="Simplified Arabic" w:hAnsi="Simplified Arabic" w:cs="Simplified Arabic"/>
          <w:b/>
          <w:bCs/>
          <w:color w:val="000000" w:themeColor="text1"/>
          <w:sz w:val="32"/>
          <w:szCs w:val="32"/>
          <w:rtl/>
          <w:lang w:bidi="ar-EG"/>
        </w:rPr>
        <w:t>ماجستير ادارة اعمال</w:t>
      </w:r>
    </w:p>
    <w:p w14:paraId="6B449BCF" w14:textId="77777777" w:rsidR="00CC6261" w:rsidRPr="000007C7" w:rsidRDefault="00CC6261" w:rsidP="00CF3354">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078079A4" w14:textId="77777777" w:rsidR="008C40F4" w:rsidRPr="000007C7" w:rsidRDefault="008C40F4" w:rsidP="00CF3354">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0007C7">
        <w:rPr>
          <w:rFonts w:ascii="Simplified Arabic" w:hAnsi="Simplified Arabic" w:cs="Simplified Arabic"/>
          <w:b/>
          <w:bCs/>
          <w:color w:val="000000" w:themeColor="text1"/>
          <w:sz w:val="40"/>
          <w:szCs w:val="40"/>
          <w:rtl/>
        </w:rPr>
        <w:t>أثر البرامج الترفيهية في بيئة العمل على الأداء المؤسسي: دراسة تطبيقية على عينة من العاملين في القطاع الخاص</w:t>
      </w:r>
    </w:p>
    <w:p w14:paraId="751A7E65" w14:textId="05F724E3" w:rsidR="009125CE" w:rsidRPr="000007C7" w:rsidRDefault="009125CE" w:rsidP="00CF335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007C7">
        <w:rPr>
          <w:rFonts w:ascii="Simplified Arabic" w:hAnsi="Simplified Arabic" w:cs="Simplified Arabic"/>
          <w:b/>
          <w:bCs/>
          <w:color w:val="000000" w:themeColor="text1"/>
          <w:sz w:val="36"/>
          <w:szCs w:val="36"/>
          <w:rtl/>
          <w:lang w:bidi="ar-EG"/>
        </w:rPr>
        <w:t>إعداد الطالب/</w:t>
      </w:r>
    </w:p>
    <w:p w14:paraId="3A902092" w14:textId="77777777" w:rsidR="009A6DA0" w:rsidRPr="000007C7" w:rsidRDefault="009A6DA0" w:rsidP="00CF3354">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0007C7">
        <w:rPr>
          <w:rFonts w:ascii="Simplified Arabic" w:hAnsi="Simplified Arabic" w:cs="Simplified Arabic"/>
          <w:color w:val="000000" w:themeColor="text1"/>
          <w:sz w:val="36"/>
          <w:szCs w:val="36"/>
          <w:rtl/>
        </w:rPr>
        <w:t>ماجد خالد أحمد الغامدي</w:t>
      </w:r>
    </w:p>
    <w:p w14:paraId="72AE4360" w14:textId="5EC45758" w:rsidR="00854B0B" w:rsidRPr="000007C7" w:rsidRDefault="009A6DA0" w:rsidP="00CF3354">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0007C7">
        <w:rPr>
          <w:rFonts w:ascii="Simplified Arabic" w:hAnsi="Simplified Arabic" w:cs="Simplified Arabic"/>
          <w:color w:val="000000" w:themeColor="text1"/>
          <w:sz w:val="36"/>
          <w:szCs w:val="36"/>
          <w:rtl/>
        </w:rPr>
        <w:t>253000270</w:t>
      </w:r>
    </w:p>
    <w:tbl>
      <w:tblPr>
        <w:bidiVisual/>
        <w:tblW w:w="0" w:type="auto"/>
        <w:tblLook w:val="04A0" w:firstRow="1" w:lastRow="0" w:firstColumn="1" w:lastColumn="0" w:noHBand="0" w:noVBand="1"/>
      </w:tblPr>
      <w:tblGrid>
        <w:gridCol w:w="4530"/>
        <w:gridCol w:w="4531"/>
      </w:tblGrid>
      <w:tr w:rsidR="00CF3354" w:rsidRPr="000007C7" w14:paraId="02AD9719" w14:textId="77777777" w:rsidTr="00F661FC">
        <w:tc>
          <w:tcPr>
            <w:tcW w:w="4530" w:type="dxa"/>
          </w:tcPr>
          <w:p w14:paraId="253092A4" w14:textId="77777777" w:rsidR="00CF3354" w:rsidRPr="000007C7" w:rsidRDefault="00CF3354" w:rsidP="00F661F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007C7">
              <w:rPr>
                <w:rFonts w:ascii="Simplified Arabic" w:hAnsi="Simplified Arabic" w:cs="Simplified Arabic" w:hint="cs"/>
                <w:b/>
                <w:bCs/>
                <w:color w:val="000000" w:themeColor="text1"/>
                <w:sz w:val="36"/>
                <w:szCs w:val="36"/>
                <w:rtl/>
                <w:lang w:bidi="ar-EG"/>
              </w:rPr>
              <w:t>المشرف الرئيسي/</w:t>
            </w:r>
          </w:p>
        </w:tc>
        <w:tc>
          <w:tcPr>
            <w:tcW w:w="4531" w:type="dxa"/>
          </w:tcPr>
          <w:p w14:paraId="53767684" w14:textId="77777777" w:rsidR="00CF3354" w:rsidRPr="000007C7" w:rsidRDefault="00CF3354" w:rsidP="00F661F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007C7">
              <w:rPr>
                <w:rFonts w:ascii="Simplified Arabic" w:hAnsi="Simplified Arabic" w:cs="Simplified Arabic" w:hint="cs"/>
                <w:b/>
                <w:bCs/>
                <w:color w:val="000000" w:themeColor="text1"/>
                <w:sz w:val="36"/>
                <w:szCs w:val="36"/>
                <w:rtl/>
                <w:lang w:bidi="ar-EG"/>
              </w:rPr>
              <w:t>المشرف الثاني/</w:t>
            </w:r>
          </w:p>
        </w:tc>
      </w:tr>
      <w:tr w:rsidR="00CF3354" w:rsidRPr="000007C7" w14:paraId="496DD8A1" w14:textId="77777777" w:rsidTr="00F661FC">
        <w:tc>
          <w:tcPr>
            <w:tcW w:w="4530" w:type="dxa"/>
          </w:tcPr>
          <w:p w14:paraId="588A5832" w14:textId="77777777" w:rsidR="00CF3354" w:rsidRPr="000007C7" w:rsidRDefault="00CF3354" w:rsidP="00F661F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007C7">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4E666642" w14:textId="77777777" w:rsidR="00CF3354" w:rsidRPr="000007C7" w:rsidRDefault="00CF3354" w:rsidP="00F661F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007C7">
              <w:rPr>
                <w:rFonts w:ascii="Simplified Arabic" w:eastAsia="Calibri" w:hAnsi="Simplified Arabic" w:cs="Simplified Arabic"/>
                <w:color w:val="000000" w:themeColor="text1"/>
                <w:kern w:val="0"/>
                <w:sz w:val="36"/>
                <w:szCs w:val="36"/>
                <w:rtl/>
                <w:lang w:bidi="ar-EG"/>
                <w14:ligatures w14:val="none"/>
              </w:rPr>
              <w:t>د.فايز جراد</w:t>
            </w:r>
          </w:p>
        </w:tc>
      </w:tr>
    </w:tbl>
    <w:p w14:paraId="161C6C7C" w14:textId="77777777" w:rsidR="00CF3354" w:rsidRPr="000007C7" w:rsidRDefault="00CF3354" w:rsidP="00CF335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007C7">
        <w:rPr>
          <w:rFonts w:ascii="Simplified Arabic" w:hAnsi="Simplified Arabic" w:cs="Simplified Arabic"/>
          <w:b/>
          <w:bCs/>
          <w:color w:val="000000" w:themeColor="text1"/>
          <w:sz w:val="36"/>
          <w:szCs w:val="36"/>
          <w:rtl/>
          <w:lang w:bidi="ar-EG"/>
        </w:rPr>
        <w:t>العام الدراسي:</w:t>
      </w:r>
    </w:p>
    <w:p w14:paraId="5B7A9C46" w14:textId="77777777" w:rsidR="00CF3354" w:rsidRPr="000007C7" w:rsidRDefault="00CF3354" w:rsidP="00CF335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sectPr w:rsidR="00CF3354" w:rsidRPr="000007C7" w:rsidSect="00F661FC">
          <w:type w:val="continuous"/>
          <w:pgSz w:w="11906" w:h="16838" w:code="9"/>
          <w:pgMar w:top="1134" w:right="1701" w:bottom="1134" w:left="1134" w:header="720" w:footer="720" w:gutter="0"/>
          <w:pgNumType w:fmt="arabicAbjad" w:start="1"/>
          <w:cols w:space="708"/>
          <w:bidi/>
          <w:rtlGutter/>
          <w:docGrid w:linePitch="360"/>
        </w:sectPr>
      </w:pPr>
      <w:r w:rsidRPr="000007C7">
        <w:rPr>
          <w:rFonts w:ascii="Simplified Arabic" w:hAnsi="Simplified Arabic" w:cs="Simplified Arabic" w:hint="cs"/>
          <w:color w:val="000000" w:themeColor="text1"/>
          <w:sz w:val="36"/>
          <w:szCs w:val="36"/>
          <w:rtl/>
          <w:lang w:bidi="ar-EG"/>
        </w:rPr>
        <w:t xml:space="preserve">1448 </w:t>
      </w:r>
      <w:r w:rsidRPr="000007C7">
        <w:rPr>
          <w:rFonts w:ascii="Simplified Arabic" w:hAnsi="Simplified Arabic" w:cs="Simplified Arabic"/>
          <w:color w:val="000000" w:themeColor="text1"/>
          <w:sz w:val="36"/>
          <w:szCs w:val="36"/>
          <w:rtl/>
          <w:lang w:bidi="ar-EG"/>
        </w:rPr>
        <w:t>–</w:t>
      </w:r>
      <w:r w:rsidRPr="000007C7">
        <w:rPr>
          <w:rFonts w:ascii="Simplified Arabic" w:hAnsi="Simplified Arabic" w:cs="Simplified Arabic" w:hint="cs"/>
          <w:color w:val="000000" w:themeColor="text1"/>
          <w:sz w:val="36"/>
          <w:szCs w:val="36"/>
          <w:rtl/>
          <w:lang w:bidi="ar-EG"/>
        </w:rPr>
        <w:t xml:space="preserve"> 2026</w:t>
      </w:r>
    </w:p>
    <w:p w14:paraId="766705B9" w14:textId="77777777" w:rsidR="00CF3354" w:rsidRPr="000007C7" w:rsidRDefault="00CF3354" w:rsidP="00CF3354">
      <w:pPr>
        <w:spacing w:before="100" w:beforeAutospacing="1" w:after="100" w:afterAutospacing="1" w:line="276" w:lineRule="auto"/>
        <w:jc w:val="center"/>
        <w:rPr>
          <w:rFonts w:ascii="Simplified Arabic" w:hAnsi="Simplified Arabic" w:cs="Simplified Arabic"/>
          <w:color w:val="000000" w:themeColor="text1"/>
          <w:sz w:val="36"/>
          <w:szCs w:val="36"/>
          <w:rtl/>
        </w:rPr>
      </w:pPr>
    </w:p>
    <w:p w14:paraId="17741E33" w14:textId="77777777" w:rsidR="009A6DA0" w:rsidRPr="000007C7" w:rsidRDefault="009A6DA0" w:rsidP="00CF3354">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4E966A2C" w14:textId="77777777" w:rsidR="00CF3354" w:rsidRPr="000007C7" w:rsidRDefault="00CF3354" w:rsidP="00CF3354">
      <w:pPr>
        <w:spacing w:before="100" w:beforeAutospacing="1" w:after="100" w:afterAutospacing="1" w:line="276" w:lineRule="auto"/>
        <w:jc w:val="both"/>
        <w:rPr>
          <w:rFonts w:ascii="Simplified Arabic" w:hAnsi="Simplified Arabic" w:cs="Simplified Arabic"/>
          <w:color w:val="000000" w:themeColor="text1"/>
          <w:sz w:val="28"/>
          <w:szCs w:val="28"/>
          <w:rtl/>
          <w:lang w:bidi="ar-EG"/>
        </w:rPr>
        <w:sectPr w:rsidR="00CF3354" w:rsidRPr="000007C7" w:rsidSect="00CF3354">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1AF03283" w14:textId="23BFE3B4" w:rsidR="00CF3354" w:rsidRPr="000007C7" w:rsidRDefault="00CF3354" w:rsidP="00FC2E6C">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0" w:name="_Hlk172151144"/>
      <w:bookmarkStart w:id="1" w:name="_Toc169790489"/>
      <w:bookmarkStart w:id="2" w:name="_Toc233737545"/>
      <w:r w:rsidRPr="000007C7">
        <w:rPr>
          <w:rFonts w:ascii="Simplified Arabic" w:hAnsi="Simplified Arabic" w:cs="Simplified Arabic" w:hint="cs"/>
          <w:b/>
          <w:bCs/>
          <w:color w:val="000000" w:themeColor="text1"/>
          <w:sz w:val="40"/>
          <w:szCs w:val="40"/>
          <w:rtl/>
        </w:rPr>
        <w:lastRenderedPageBreak/>
        <w:t>الفصل الأول: الإطار العام للدراسة</w:t>
      </w:r>
      <w:bookmarkEnd w:id="2"/>
    </w:p>
    <w:p w14:paraId="0BCE7DA5" w14:textId="09B3CE69" w:rsidR="00CF3354" w:rsidRPr="000007C7" w:rsidRDefault="00CF3354" w:rsidP="00FC2E6C">
      <w:pPr>
        <w:pStyle w:val="NormalWeb"/>
        <w:bidi/>
        <w:spacing w:line="276" w:lineRule="auto"/>
        <w:jc w:val="both"/>
        <w:outlineLvl w:val="1"/>
        <w:rPr>
          <w:rFonts w:ascii="Simplified Arabic" w:hAnsi="Simplified Arabic" w:cs="Simplified Arabic"/>
          <w:b/>
          <w:bCs/>
          <w:color w:val="000000" w:themeColor="text1"/>
          <w:sz w:val="36"/>
          <w:szCs w:val="36"/>
        </w:rPr>
      </w:pPr>
      <w:bookmarkStart w:id="3" w:name="_Toc233737546"/>
      <w:r w:rsidRPr="000007C7">
        <w:rPr>
          <w:rFonts w:ascii="Simplified Arabic" w:hAnsi="Simplified Arabic" w:cs="Simplified Arabic" w:hint="cs"/>
          <w:b/>
          <w:bCs/>
          <w:color w:val="000000" w:themeColor="text1"/>
          <w:sz w:val="36"/>
          <w:szCs w:val="36"/>
          <w:rtl/>
        </w:rPr>
        <w:t>1.1 المقدمة</w:t>
      </w:r>
      <w:bookmarkEnd w:id="3"/>
    </w:p>
    <w:p w14:paraId="55BEC1F8" w14:textId="0341FA2D" w:rsidR="00646233" w:rsidRPr="000007C7" w:rsidRDefault="00646233" w:rsidP="00FC2E6C">
      <w:pPr>
        <w:pStyle w:val="NormalWeb"/>
        <w:bidi/>
        <w:spacing w:line="276" w:lineRule="auto"/>
        <w:ind w:firstLine="424"/>
        <w:jc w:val="both"/>
        <w:rPr>
          <w:rFonts w:ascii="Simplified Arabic" w:hAnsi="Simplified Arabic" w:cs="Simplified Arabic"/>
          <w:color w:val="000000" w:themeColor="text1"/>
          <w:sz w:val="28"/>
          <w:szCs w:val="28"/>
        </w:rPr>
      </w:pPr>
      <w:r w:rsidRPr="000007C7">
        <w:rPr>
          <w:rFonts w:ascii="Simplified Arabic" w:hAnsi="Simplified Arabic" w:cs="Simplified Arabic"/>
          <w:color w:val="000000" w:themeColor="text1"/>
          <w:sz w:val="28"/>
          <w:szCs w:val="28"/>
          <w:rtl/>
        </w:rPr>
        <w:t>يشهد عالم الأعمال المعاصر تحولات جوهرية في فلسفة إدارة الموارد البشرية، إذ انتقل التركيز من النظرة التقليدية التي تُعامل الموظف بوصفه أداة إنتاجية بحتة إلى مقاربة أكثر شمولية تُولي اهتمامًا بالغًا بجودة حياة العمل ورفاهية العاملين وتهيئة بيئة تنظيمية محفّزة تستثمر الطاقات البشرية وتُعظّم مخرجاتها. وقد أدّت التغيرات المتسارعة في طبيعة العمل وتوقعات الأجيال الجديدة من القوى العاملة إلى إعادة النظر في المفاهيم الإدارية السائدة، حيث أصبح الاهتمام ببيئة العمل الداعمة والمحفّزة ضرورة استراتيجية لا خيارًا ترفيهيًّا، ولا سيما في منظمات القطاع الخاص التي تعمل في ظلّ بيئة تنافسية شديدة تتطلب استقطاب أفضل الكفاءات والاحتفاظ بها (المطيري والحازمي، 2023)</w:t>
      </w:r>
      <w:r w:rsidRPr="000007C7">
        <w:rPr>
          <w:rFonts w:ascii="Simplified Arabic" w:hAnsi="Simplified Arabic" w:cs="Simplified Arabic"/>
          <w:color w:val="000000" w:themeColor="text1"/>
          <w:sz w:val="28"/>
          <w:szCs w:val="28"/>
        </w:rPr>
        <w:t>.</w:t>
      </w:r>
    </w:p>
    <w:p w14:paraId="12242F79" w14:textId="7F1407BA" w:rsidR="00646233" w:rsidRPr="000007C7" w:rsidRDefault="00646233" w:rsidP="00FC2E6C">
      <w:pPr>
        <w:pStyle w:val="NormalWeb"/>
        <w:bidi/>
        <w:spacing w:line="276" w:lineRule="auto"/>
        <w:ind w:firstLine="424"/>
        <w:jc w:val="both"/>
        <w:rPr>
          <w:rFonts w:ascii="Simplified Arabic" w:hAnsi="Simplified Arabic" w:cs="Simplified Arabic"/>
          <w:color w:val="000000" w:themeColor="text1"/>
          <w:sz w:val="28"/>
          <w:szCs w:val="28"/>
        </w:rPr>
      </w:pPr>
      <w:r w:rsidRPr="000007C7">
        <w:rPr>
          <w:rFonts w:ascii="Simplified Arabic" w:hAnsi="Simplified Arabic" w:cs="Simplified Arabic"/>
          <w:color w:val="000000" w:themeColor="text1"/>
          <w:sz w:val="28"/>
          <w:szCs w:val="28"/>
          <w:rtl/>
        </w:rPr>
        <w:t>برزت البرامج الترفيهية في بيئة العمل كأحد التوجهات الإدارية الحديثة التي تتبنّاها المنظمات الرائدة عالميًّا، وتشمل هذه البرامج طيفًا واسعًا من الأنشطة كالأنشطة الرياضية والبدنية والفعاليات الاجتماعية والثقافية وبرامج الاسترخاء وإدارة الضغوط والأنشطة الترفيهية الرقمية والإبداعية. وتنطلق الفلسفة الكامنة وراء هذه البرامج من أنّ المرح والاستمتاع في بيئة العمل يُولّدان مشاعر إيجابية لدى الموظفين تنعكس على دافعيتهم وإبداعهم واندماجهم الوظيفي، وهو ما أكّدته نظرية الأحداث العاطفية التي ترى أنّ الأحداث الإيجابية في بيئة العمل تُنتج ردود فعل عاطفية تؤثر بدورها في السلوكيات والاتجاهات المرتبطة بالعمل</w:t>
      </w:r>
      <w:r w:rsidRPr="000007C7">
        <w:rPr>
          <w:rFonts w:ascii="Simplified Arabic" w:hAnsi="Simplified Arabic" w:cs="Simplified Arabic"/>
          <w:color w:val="000000" w:themeColor="text1"/>
          <w:sz w:val="28"/>
          <w:szCs w:val="28"/>
        </w:rPr>
        <w:t xml:space="preserve"> (Yang &amp; Chen, 2023). </w:t>
      </w:r>
      <w:r w:rsidRPr="000007C7">
        <w:rPr>
          <w:rFonts w:ascii="Simplified Arabic" w:hAnsi="Simplified Arabic" w:cs="Simplified Arabic"/>
          <w:color w:val="000000" w:themeColor="text1"/>
          <w:sz w:val="28"/>
          <w:szCs w:val="28"/>
          <w:rtl/>
        </w:rPr>
        <w:t>وقد أسهمت الأنشطة الترفيهية المنظّمة في خلق بيئات عمل أكثر حيوية وجاذبية، حيث تتراوح هذه الأنشطة بين الألعاب والمسابقات والاحتفالات الاجتماعية وبرامج اللياقة البدنية وصولًا إلى الأنشطة الإبداعية والرقمية التي تُعزّز التفاعل الإيجابي بين الزملاء وتُخفّف من حدّة ضغوط العمل</w:t>
      </w:r>
      <w:r w:rsidRPr="000007C7">
        <w:rPr>
          <w:rFonts w:ascii="Simplified Arabic" w:hAnsi="Simplified Arabic" w:cs="Simplified Arabic"/>
          <w:color w:val="000000" w:themeColor="text1"/>
          <w:sz w:val="28"/>
          <w:szCs w:val="28"/>
        </w:rPr>
        <w:t xml:space="preserve"> (Tetteh et al., 2022).</w:t>
      </w:r>
    </w:p>
    <w:p w14:paraId="3CC4C7B3" w14:textId="77777777" w:rsidR="00FC2E6C" w:rsidRPr="000007C7" w:rsidRDefault="00646233" w:rsidP="00FC2E6C">
      <w:pPr>
        <w:pStyle w:val="NormalWeb"/>
        <w:bidi/>
        <w:spacing w:line="276" w:lineRule="auto"/>
        <w:ind w:firstLine="424"/>
        <w:jc w:val="both"/>
        <w:rPr>
          <w:rFonts w:ascii="Simplified Arabic" w:hAnsi="Simplified Arabic" w:cs="Simplified Arabic"/>
          <w:color w:val="000000" w:themeColor="text1"/>
          <w:sz w:val="28"/>
          <w:szCs w:val="28"/>
        </w:rPr>
      </w:pPr>
      <w:r w:rsidRPr="000007C7">
        <w:rPr>
          <w:rFonts w:ascii="Simplified Arabic" w:hAnsi="Simplified Arabic" w:cs="Simplified Arabic"/>
          <w:color w:val="000000" w:themeColor="text1"/>
          <w:sz w:val="28"/>
          <w:szCs w:val="28"/>
          <w:rtl/>
        </w:rPr>
        <w:t>يُمثّل الأداء المؤسسي الغاية الجوهرية التي تسعى إليها جميع المنظمات باختلاف أحجامها وقطاعاتها، إذ يُعبّر عن قدرة المنظمة على تحقيق أهدافها الاستراتيجية واستثمار مواردها المتاحة بكفاءة وفاعلية. ويتّسم مفهوم الأداء المؤسسي بالشمولية كونه يتضمن مؤشرات متعددة تتجاوز الأداء المالي لتشمل جودة العمليات الداخلية ورضا العملاء والتعلم والنمو المؤسسي والابتكار، وهو ما يستلزم من المنظمات البحث المستمر عن العوامل التي تُسهم في تعزيزه وتطويره (الطراونة، 2021)</w:t>
      </w:r>
      <w:r w:rsidRPr="000007C7">
        <w:rPr>
          <w:rFonts w:ascii="Simplified Arabic" w:hAnsi="Simplified Arabic" w:cs="Simplified Arabic"/>
          <w:color w:val="000000" w:themeColor="text1"/>
          <w:sz w:val="28"/>
          <w:szCs w:val="28"/>
        </w:rPr>
        <w:t xml:space="preserve">. </w:t>
      </w:r>
      <w:r w:rsidRPr="000007C7">
        <w:rPr>
          <w:rFonts w:ascii="Simplified Arabic" w:hAnsi="Simplified Arabic" w:cs="Simplified Arabic"/>
          <w:color w:val="000000" w:themeColor="text1"/>
          <w:sz w:val="28"/>
          <w:szCs w:val="28"/>
          <w:rtl/>
        </w:rPr>
        <w:t xml:space="preserve">وقد أثبتت الأدبيات الإدارية أنّ الأداء </w:t>
      </w:r>
      <w:r w:rsidRPr="000007C7">
        <w:rPr>
          <w:rFonts w:ascii="Simplified Arabic" w:hAnsi="Simplified Arabic" w:cs="Simplified Arabic"/>
          <w:color w:val="000000" w:themeColor="text1"/>
          <w:sz w:val="28"/>
          <w:szCs w:val="28"/>
          <w:rtl/>
        </w:rPr>
        <w:lastRenderedPageBreak/>
        <w:t xml:space="preserve">المؤسسي لا يتحقق في فراغ تنظيمي، وإنما هو نتاج تفاعل مجموعة من العوامل المترابطة التي تشمل جودة حياة العمل والممارسات الإدارية الداعمة وبرامج العافية والرفاهية المؤسسية، حيث إنّ المنظمات التي تستثمر في رفاهية موظفيها وتُوفّر لهم بيئة عمل صحية ومحفّزة تحقق مستويات أداء مؤسسي أعلى من نظيراتها التي تُهمل هذا الجانب </w:t>
      </w:r>
      <w:r w:rsidRPr="000007C7">
        <w:rPr>
          <w:rFonts w:ascii="Simplified Arabic" w:hAnsi="Simplified Arabic" w:cs="Simplified Arabic"/>
          <w:color w:val="000000" w:themeColor="text1"/>
          <w:sz w:val="28"/>
          <w:szCs w:val="28"/>
        </w:rPr>
        <w:t>(Garc</w:t>
      </w:r>
      <w:r w:rsidRPr="000007C7">
        <w:rPr>
          <w:rFonts w:ascii="Cambria" w:hAnsi="Cambria" w:cs="Cambria"/>
          <w:color w:val="000000" w:themeColor="text1"/>
          <w:sz w:val="28"/>
          <w:szCs w:val="28"/>
        </w:rPr>
        <w:t>í</w:t>
      </w:r>
      <w:r w:rsidRPr="000007C7">
        <w:rPr>
          <w:rFonts w:ascii="Simplified Arabic" w:hAnsi="Simplified Arabic" w:cs="Simplified Arabic"/>
          <w:color w:val="000000" w:themeColor="text1"/>
          <w:sz w:val="28"/>
          <w:szCs w:val="28"/>
        </w:rPr>
        <w:t>a-Carbonell et al., 2024).</w:t>
      </w:r>
    </w:p>
    <w:p w14:paraId="0F301A51" w14:textId="642DF312" w:rsidR="00646233" w:rsidRPr="000007C7" w:rsidRDefault="00646233" w:rsidP="00FC2E6C">
      <w:pPr>
        <w:pStyle w:val="NormalWeb"/>
        <w:bidi/>
        <w:spacing w:line="276" w:lineRule="auto"/>
        <w:ind w:firstLine="424"/>
        <w:jc w:val="both"/>
        <w:rPr>
          <w:rFonts w:ascii="Simplified Arabic" w:hAnsi="Simplified Arabic" w:cs="Simplified Arabic"/>
          <w:color w:val="000000" w:themeColor="text1"/>
          <w:sz w:val="28"/>
          <w:szCs w:val="28"/>
        </w:rPr>
      </w:pPr>
      <w:r w:rsidRPr="000007C7">
        <w:rPr>
          <w:rFonts w:ascii="Simplified Arabic" w:hAnsi="Simplified Arabic" w:cs="Simplified Arabic"/>
          <w:color w:val="000000" w:themeColor="text1"/>
          <w:sz w:val="28"/>
          <w:szCs w:val="28"/>
          <w:rtl/>
        </w:rPr>
        <w:t xml:space="preserve"> تتّضح العلاقة العضوية بين البرامج الترفيهية في بيئة العمل والأداء المؤسسي، إذ تُشكّل هذه البرامج موارد تنظيمية تُعزّز الطاقة الإيجابية لدى العاملين وتُخفّض مستويات الإجهاد والاحتراق الوظيفي، وهو ما ينعكس إيجابًا على مؤشرات الأداء المؤسسي الشاملة. وتتوافق هذه الرؤية مع نظرية المتطلبات والموارد الوظيفية التي تنظر إلى الأنشطة الترفيهية بوصفها موارد وظيفية تُساعد الموظفين على التعامل مع متطلبات العمل وتُحسّن من اندماجهم وأدائهم</w:t>
      </w:r>
      <w:r w:rsidRPr="000007C7">
        <w:rPr>
          <w:rFonts w:ascii="Simplified Arabic" w:hAnsi="Simplified Arabic" w:cs="Simplified Arabic"/>
          <w:color w:val="000000" w:themeColor="text1"/>
          <w:sz w:val="28"/>
          <w:szCs w:val="28"/>
        </w:rPr>
        <w:t xml:space="preserve"> (Hauff et al., 2022).</w:t>
      </w:r>
    </w:p>
    <w:p w14:paraId="273F5633" w14:textId="55B5FE66" w:rsidR="00E23058" w:rsidRPr="000007C7" w:rsidRDefault="00646233" w:rsidP="00FC2E6C">
      <w:pPr>
        <w:pStyle w:val="NormalWeb"/>
        <w:bidi/>
        <w:spacing w:line="276" w:lineRule="auto"/>
        <w:ind w:firstLine="424"/>
        <w:jc w:val="both"/>
        <w:rPr>
          <w:rFonts w:ascii="Simplified Arabic" w:hAnsi="Simplified Arabic" w:cs="Simplified Arabic"/>
          <w:color w:val="000000" w:themeColor="text1"/>
          <w:sz w:val="28"/>
          <w:szCs w:val="28"/>
        </w:rPr>
      </w:pPr>
      <w:r w:rsidRPr="000007C7">
        <w:rPr>
          <w:rFonts w:ascii="Simplified Arabic" w:hAnsi="Simplified Arabic" w:cs="Simplified Arabic"/>
          <w:color w:val="000000" w:themeColor="text1"/>
          <w:sz w:val="28"/>
          <w:szCs w:val="28"/>
          <w:rtl/>
        </w:rPr>
        <w:t xml:space="preserve">وانطلاقًا مما سبق، تأتي هذه الدراسة لتسلّط الضوء على أثر البرامج الترفيهية في بيئة العمل بأبعادها الأربعة على الأداء المؤسسي في القطاع الخاص، ساعيةً إلى تقديم إسهام علمي يُثري الأدبيات العربية في هذا الميدان البحثي الواعد، وإسهام عملي يُزوّد القائمين على منظمات القطاع الخاص بإطار تطبيقي يُساعدهم في تصميم برامج ترفيهية فعّالة تُسهم في الارتقاء بمستوى الأداء المؤسسي وتعزيز القدرة التنافسية </w:t>
      </w:r>
      <w:r w:rsidR="001138AC" w:rsidRPr="000007C7">
        <w:rPr>
          <w:rFonts w:ascii="Simplified Arabic" w:hAnsi="Simplified Arabic" w:cs="Simplified Arabic"/>
          <w:color w:val="000000" w:themeColor="text1"/>
          <w:sz w:val="28"/>
          <w:szCs w:val="28"/>
          <w:rtl/>
        </w:rPr>
        <w:t>.</w:t>
      </w:r>
    </w:p>
    <w:p w14:paraId="4F41A1AA" w14:textId="5732F39A" w:rsidR="00FC2E6C" w:rsidRPr="000007C7" w:rsidRDefault="00FC2E6C" w:rsidP="00FC2E6C">
      <w:pPr>
        <w:pStyle w:val="NormalWeb"/>
        <w:bidi/>
        <w:spacing w:line="276" w:lineRule="auto"/>
        <w:jc w:val="both"/>
        <w:outlineLvl w:val="1"/>
        <w:rPr>
          <w:rFonts w:ascii="Simplified Arabic" w:hAnsi="Simplified Arabic" w:cs="Simplified Arabic"/>
          <w:b/>
          <w:bCs/>
          <w:color w:val="000000" w:themeColor="text1"/>
          <w:sz w:val="36"/>
          <w:szCs w:val="36"/>
        </w:rPr>
      </w:pPr>
      <w:bookmarkStart w:id="4" w:name="_Toc169790500"/>
      <w:bookmarkStart w:id="5" w:name="_Toc233737547"/>
      <w:bookmarkEnd w:id="0"/>
      <w:bookmarkEnd w:id="1"/>
      <w:r w:rsidRPr="000007C7">
        <w:rPr>
          <w:rFonts w:ascii="Simplified Arabic" w:hAnsi="Simplified Arabic" w:cs="Simplified Arabic"/>
          <w:b/>
          <w:bCs/>
          <w:color w:val="000000" w:themeColor="text1"/>
          <w:sz w:val="36"/>
          <w:szCs w:val="36"/>
          <w:rtl/>
        </w:rPr>
        <w:t>2.1 مشكلة الدراسة</w:t>
      </w:r>
      <w:bookmarkEnd w:id="5"/>
    </w:p>
    <w:p w14:paraId="7CA6023F" w14:textId="77777777" w:rsidR="006E71B9" w:rsidRPr="000007C7" w:rsidRDefault="006E71B9" w:rsidP="00FC2E6C">
      <w:pPr>
        <w:pStyle w:val="NormalWeb"/>
        <w:bidi/>
        <w:spacing w:line="276" w:lineRule="auto"/>
        <w:ind w:firstLine="424"/>
        <w:jc w:val="both"/>
        <w:rPr>
          <w:rFonts w:ascii="Simplified Arabic" w:hAnsi="Simplified Arabic" w:cs="Simplified Arabic"/>
          <w:color w:val="000000" w:themeColor="text1"/>
          <w:sz w:val="28"/>
          <w:szCs w:val="28"/>
        </w:rPr>
      </w:pPr>
      <w:r w:rsidRPr="000007C7">
        <w:rPr>
          <w:rFonts w:ascii="Simplified Arabic" w:hAnsi="Simplified Arabic" w:cs="Simplified Arabic"/>
          <w:color w:val="000000" w:themeColor="text1"/>
          <w:sz w:val="28"/>
          <w:szCs w:val="28"/>
          <w:rtl/>
        </w:rPr>
        <w:t>تُواجه منظمات القطاع الخاص في البيئة المعاصرة تحديات متسارعة ومتشعبة فرضتها التحولات الاقتصادية والتكنولوجية والاجتماعية، إذ لم يعد تحقيق الأداء المؤسسي المتميز مرهونًا بالموارد المالية والتقنية وحدها، بل أصبح مرتبطًا ارتباطًا جوهريًّا بالعنصر البشري وبجودة البيئة التنظيمية التي يعمل فيها. وقد أفرز هذا التحول اهتمامًا متناميًا بالبحث عن آليات غير تقليدية لتعزيز إنتاجية الموظفين واندماجهم ورفاهيتهم، من بينها البرامج الترفيهية في بيئة العمل التي باتت تُمثّل توجهًا إداريًّا حديثًا تتبنّاه كبريات الشركات العالمية كجوجل وفيسبوك وماريوت وديزني، انطلاقًا من قناعة مؤدّاها أنّ بيئة العمل الممتعة ليست ترفًا تنظيميًّا، وإنما استثمار استراتيجي يُحقّق عوائد ملموسة على مستوى الأداء الفردي والمؤسسي</w:t>
      </w:r>
      <w:r w:rsidRPr="000007C7">
        <w:rPr>
          <w:rFonts w:ascii="Simplified Arabic" w:hAnsi="Simplified Arabic" w:cs="Simplified Arabic"/>
          <w:color w:val="000000" w:themeColor="text1"/>
          <w:sz w:val="28"/>
          <w:szCs w:val="28"/>
        </w:rPr>
        <w:t>.</w:t>
      </w:r>
    </w:p>
    <w:p w14:paraId="07B11357" w14:textId="41CF4E17" w:rsidR="006E71B9" w:rsidRPr="000007C7" w:rsidRDefault="006E71B9" w:rsidP="00FC2E6C">
      <w:pPr>
        <w:pStyle w:val="NormalWeb"/>
        <w:bidi/>
        <w:spacing w:line="276" w:lineRule="auto"/>
        <w:ind w:firstLine="424"/>
        <w:jc w:val="both"/>
        <w:rPr>
          <w:rFonts w:ascii="Simplified Arabic" w:hAnsi="Simplified Arabic" w:cs="Simplified Arabic"/>
          <w:color w:val="000000" w:themeColor="text1"/>
          <w:sz w:val="28"/>
          <w:szCs w:val="28"/>
        </w:rPr>
      </w:pPr>
      <w:r w:rsidRPr="000007C7">
        <w:rPr>
          <w:rFonts w:ascii="Simplified Arabic" w:hAnsi="Simplified Arabic" w:cs="Simplified Arabic"/>
          <w:color w:val="000000" w:themeColor="text1"/>
          <w:sz w:val="28"/>
          <w:szCs w:val="28"/>
          <w:rtl/>
        </w:rPr>
        <w:t xml:space="preserve">غير أنّ الواقع العملي في كثير من منظمات القطاع الخاص، ولا سيما في البيئة العربية، يكشف عن فجوة واضحة بين هذا التوجه العالمي وبين الممارسات الفعلية، حيث لا تزال النظرة السائدة لدى قطاع </w:t>
      </w:r>
      <w:r w:rsidRPr="000007C7">
        <w:rPr>
          <w:rFonts w:ascii="Simplified Arabic" w:hAnsi="Simplified Arabic" w:cs="Simplified Arabic"/>
          <w:color w:val="000000" w:themeColor="text1"/>
          <w:sz w:val="28"/>
          <w:szCs w:val="28"/>
          <w:rtl/>
        </w:rPr>
        <w:lastRenderedPageBreak/>
        <w:t>عريض من المديرين ترى في الأنشطة الترفيهية والبرامج الاجتماعية والرياضية والإبداعية في مكان العمل نوعًا من الهدر للوقت والموارد يتعارض مع متطلبات الإنتاجية والانضباط الوظيفي. وقد أسفر ذلك عن محدودية تطبيق هذه البرامج أو اقتصارها على مناسبات موسمية شكلية لا ترقى إلى مستوى الاستراتيجية المؤسسية الممنهجة، وهو ما ينعكس سلبًا على مؤشرات الأداء المؤسسي المتعددة كارتفاع معدلات الدوران الوظيفي، وتراجع مستويات الاندماج والرضا، وتزايد حالات الاحتراق الوظيفي والإجهاد المهني</w:t>
      </w:r>
      <w:r w:rsidRPr="000007C7">
        <w:rPr>
          <w:rFonts w:ascii="Simplified Arabic" w:hAnsi="Simplified Arabic" w:cs="Simplified Arabic"/>
          <w:color w:val="000000" w:themeColor="text1"/>
          <w:sz w:val="28"/>
          <w:szCs w:val="28"/>
        </w:rPr>
        <w:t>.</w:t>
      </w:r>
    </w:p>
    <w:p w14:paraId="2F3FAC2D" w14:textId="77777777" w:rsidR="006E71B9" w:rsidRPr="000007C7" w:rsidRDefault="006E71B9" w:rsidP="00FC2E6C">
      <w:pPr>
        <w:pStyle w:val="NormalWeb"/>
        <w:bidi/>
        <w:spacing w:line="276" w:lineRule="auto"/>
        <w:ind w:firstLine="424"/>
        <w:jc w:val="both"/>
        <w:rPr>
          <w:rFonts w:ascii="Simplified Arabic" w:hAnsi="Simplified Arabic" w:cs="Simplified Arabic"/>
          <w:color w:val="000000" w:themeColor="text1"/>
          <w:sz w:val="28"/>
          <w:szCs w:val="28"/>
        </w:rPr>
      </w:pPr>
      <w:r w:rsidRPr="000007C7">
        <w:rPr>
          <w:rFonts w:ascii="Simplified Arabic" w:hAnsi="Simplified Arabic" w:cs="Simplified Arabic"/>
          <w:color w:val="000000" w:themeColor="text1"/>
          <w:sz w:val="28"/>
          <w:szCs w:val="28"/>
          <w:rtl/>
        </w:rPr>
        <w:t>وقد أكّدت عدة دراسات حديثة هذه الإشكالية من زوايا متعددة؛ فقد كشفت دراسة المطيري والحازمي (2023) عن أنّ بيئة العمل التنظيمية بما فيها الأنشطة الداعمة والمحفّزة تؤثر تأثيرًا ذا دلالة إحصائية على أداء العاملين في القطاع الصحي، كما أثبتت دراسة</w:t>
      </w:r>
      <w:r w:rsidRPr="000007C7">
        <w:rPr>
          <w:rFonts w:ascii="Simplified Arabic" w:hAnsi="Simplified Arabic" w:cs="Simplified Arabic"/>
          <w:color w:val="000000" w:themeColor="text1"/>
          <w:sz w:val="28"/>
          <w:szCs w:val="28"/>
        </w:rPr>
        <w:t xml:space="preserve"> Mercano</w:t>
      </w:r>
      <w:r w:rsidRPr="000007C7">
        <w:rPr>
          <w:rFonts w:ascii="Cambria" w:hAnsi="Cambria" w:cs="Cambria"/>
          <w:color w:val="000000" w:themeColor="text1"/>
          <w:sz w:val="28"/>
          <w:szCs w:val="28"/>
        </w:rPr>
        <w:t>ğ</w:t>
      </w:r>
      <w:r w:rsidRPr="000007C7">
        <w:rPr>
          <w:rFonts w:ascii="Simplified Arabic" w:hAnsi="Simplified Arabic" w:cs="Simplified Arabic"/>
          <w:color w:val="000000" w:themeColor="text1"/>
          <w:sz w:val="28"/>
          <w:szCs w:val="28"/>
        </w:rPr>
        <w:t xml:space="preserve">lu &amp; </w:t>
      </w:r>
      <w:r w:rsidRPr="000007C7">
        <w:rPr>
          <w:rFonts w:ascii="Cambria" w:hAnsi="Cambria" w:cs="Cambria"/>
          <w:color w:val="000000" w:themeColor="text1"/>
          <w:sz w:val="28"/>
          <w:szCs w:val="28"/>
        </w:rPr>
        <w:t>Ş</w:t>
      </w:r>
      <w:r w:rsidRPr="000007C7">
        <w:rPr>
          <w:rFonts w:ascii="Simplified Arabic" w:hAnsi="Simplified Arabic" w:cs="Simplified Arabic"/>
          <w:color w:val="000000" w:themeColor="text1"/>
          <w:sz w:val="28"/>
          <w:szCs w:val="28"/>
        </w:rPr>
        <w:t>im</w:t>
      </w:r>
      <w:r w:rsidRPr="000007C7">
        <w:rPr>
          <w:rFonts w:ascii="Cambria" w:hAnsi="Cambria" w:cs="Cambria"/>
          <w:color w:val="000000" w:themeColor="text1"/>
          <w:sz w:val="28"/>
          <w:szCs w:val="28"/>
        </w:rPr>
        <w:t>ş</w:t>
      </w:r>
      <w:r w:rsidRPr="000007C7">
        <w:rPr>
          <w:rFonts w:ascii="Simplified Arabic" w:hAnsi="Simplified Arabic" w:cs="Simplified Arabic"/>
          <w:color w:val="000000" w:themeColor="text1"/>
          <w:sz w:val="28"/>
          <w:szCs w:val="28"/>
        </w:rPr>
        <w:t xml:space="preserve">ek (2023) </w:t>
      </w:r>
      <w:r w:rsidRPr="000007C7">
        <w:rPr>
          <w:rFonts w:ascii="Simplified Arabic" w:hAnsi="Simplified Arabic" w:cs="Simplified Arabic"/>
          <w:color w:val="000000" w:themeColor="text1"/>
          <w:sz w:val="28"/>
          <w:szCs w:val="28"/>
          <w:rtl/>
        </w:rPr>
        <w:t>أنّ تطبيق برنامج ترفيهي شامل للموظفين أدّى إلى تحسّن جوهري في الإنتاجية. وفي السياق ذاته، أوضحت دراسة</w:t>
      </w:r>
      <w:r w:rsidRPr="000007C7">
        <w:rPr>
          <w:rFonts w:ascii="Simplified Arabic" w:hAnsi="Simplified Arabic" w:cs="Simplified Arabic"/>
          <w:color w:val="000000" w:themeColor="text1"/>
          <w:sz w:val="28"/>
          <w:szCs w:val="28"/>
        </w:rPr>
        <w:t xml:space="preserve"> Yang &amp; Chen (2023) </w:t>
      </w:r>
      <w:r w:rsidRPr="000007C7">
        <w:rPr>
          <w:rFonts w:ascii="Simplified Arabic" w:hAnsi="Simplified Arabic" w:cs="Simplified Arabic"/>
          <w:color w:val="000000" w:themeColor="text1"/>
          <w:sz w:val="28"/>
          <w:szCs w:val="28"/>
          <w:rtl/>
        </w:rPr>
        <w:t>أنّ المرح في بيئة العمل يرتبط إيجابيًّا بالسلوكيات الإبداعية، بينما أشارت دراسة</w:t>
      </w:r>
      <w:r w:rsidRPr="000007C7">
        <w:rPr>
          <w:rFonts w:ascii="Simplified Arabic" w:hAnsi="Simplified Arabic" w:cs="Simplified Arabic"/>
          <w:color w:val="000000" w:themeColor="text1"/>
          <w:sz w:val="28"/>
          <w:szCs w:val="28"/>
        </w:rPr>
        <w:t xml:space="preserve"> Tzioti &amp; Montgomery (2025) </w:t>
      </w:r>
      <w:r w:rsidRPr="000007C7">
        <w:rPr>
          <w:rFonts w:ascii="Simplified Arabic" w:hAnsi="Simplified Arabic" w:cs="Simplified Arabic"/>
          <w:color w:val="000000" w:themeColor="text1"/>
          <w:sz w:val="28"/>
          <w:szCs w:val="28"/>
          <w:rtl/>
        </w:rPr>
        <w:t>في تحليلها البعدي إلى أنّ بيئات العمل الممتعة ترتبط بمستويات اندماج أعلى ومعدلات احتراق أقل. كذلك أكّدت دراسة الطراونة (2021) أنّ جودة حياة العمل بما تتضمنه من عوامل ترفيهية واجتماعية تؤثر إيجابيًّا على الأداء المؤسسي في المستشفيات الخاصة، فيما أبرزت دراسة</w:t>
      </w:r>
      <w:r w:rsidRPr="000007C7">
        <w:rPr>
          <w:rFonts w:ascii="Simplified Arabic" w:hAnsi="Simplified Arabic" w:cs="Simplified Arabic"/>
          <w:color w:val="000000" w:themeColor="text1"/>
          <w:sz w:val="28"/>
          <w:szCs w:val="28"/>
        </w:rPr>
        <w:t xml:space="preserve"> Garc</w:t>
      </w:r>
      <w:r w:rsidRPr="000007C7">
        <w:rPr>
          <w:rFonts w:ascii="Cambria" w:hAnsi="Cambria" w:cs="Cambria"/>
          <w:color w:val="000000" w:themeColor="text1"/>
          <w:sz w:val="28"/>
          <w:szCs w:val="28"/>
        </w:rPr>
        <w:t>í</w:t>
      </w:r>
      <w:r w:rsidRPr="000007C7">
        <w:rPr>
          <w:rFonts w:ascii="Simplified Arabic" w:hAnsi="Simplified Arabic" w:cs="Simplified Arabic"/>
          <w:color w:val="000000" w:themeColor="text1"/>
          <w:sz w:val="28"/>
          <w:szCs w:val="28"/>
        </w:rPr>
        <w:t xml:space="preserve">a-Carbonell et al. (2024) </w:t>
      </w:r>
      <w:r w:rsidRPr="000007C7">
        <w:rPr>
          <w:rFonts w:ascii="Simplified Arabic" w:hAnsi="Simplified Arabic" w:cs="Simplified Arabic"/>
          <w:color w:val="000000" w:themeColor="text1"/>
          <w:sz w:val="28"/>
          <w:szCs w:val="28"/>
          <w:rtl/>
        </w:rPr>
        <w:t>الدور الفاعل لبرامج العافية والدعم التنظيمي في تحسين الأداء المؤسسي عبر الوساطة المتحققة من الرضا الوظيفي والالتزام التنظيمي</w:t>
      </w:r>
      <w:r w:rsidRPr="000007C7">
        <w:rPr>
          <w:rFonts w:ascii="Simplified Arabic" w:hAnsi="Simplified Arabic" w:cs="Simplified Arabic"/>
          <w:color w:val="000000" w:themeColor="text1"/>
          <w:sz w:val="28"/>
          <w:szCs w:val="28"/>
        </w:rPr>
        <w:t>.</w:t>
      </w:r>
    </w:p>
    <w:p w14:paraId="38BCFD56" w14:textId="77777777" w:rsidR="006E71B9" w:rsidRPr="000007C7" w:rsidRDefault="006E71B9" w:rsidP="00FC2E6C">
      <w:pPr>
        <w:pStyle w:val="NormalWeb"/>
        <w:bidi/>
        <w:spacing w:line="276" w:lineRule="auto"/>
        <w:ind w:firstLine="424"/>
        <w:jc w:val="both"/>
        <w:rPr>
          <w:rFonts w:ascii="Simplified Arabic" w:hAnsi="Simplified Arabic" w:cs="Simplified Arabic"/>
          <w:color w:val="000000" w:themeColor="text1"/>
          <w:sz w:val="28"/>
          <w:szCs w:val="28"/>
        </w:rPr>
      </w:pPr>
      <w:r w:rsidRPr="000007C7">
        <w:rPr>
          <w:rFonts w:ascii="Simplified Arabic" w:hAnsi="Simplified Arabic" w:cs="Simplified Arabic"/>
          <w:color w:val="000000" w:themeColor="text1"/>
          <w:sz w:val="28"/>
          <w:szCs w:val="28"/>
          <w:rtl/>
        </w:rPr>
        <w:t>وعلى الرغم من هذه الشواهد العلمية المتراكمة، إلّا أنّ الأدبيات العربية تُعاني من ندرة ملحوظة في الدراسات التي تتناول البرامج الترفيهية في بيئة العمل كمتغير مستقل متعدد الأبعاد وتقيس أثره المباشر على الأداء المؤسسي في القطاع الخاص، حيث ركّزت الدراسات السابقة على متغيرات جزئية كبيئة العمل المادية أو المرونة أو السعادة الوظيفية، دون تقديم إطار شامل يجمع بين الأنشطة الرياضية والبدنية، والفعاليات الاجتماعية والثقافية، وبرامج الاسترخاء وإدارة الضغوط، والأنشطة الترفيهية الرقمية والإبداعية في نموذج بحثي واحد ومتكامل</w:t>
      </w:r>
      <w:r w:rsidRPr="000007C7">
        <w:rPr>
          <w:rFonts w:ascii="Simplified Arabic" w:hAnsi="Simplified Arabic" w:cs="Simplified Arabic"/>
          <w:color w:val="000000" w:themeColor="text1"/>
          <w:sz w:val="28"/>
          <w:szCs w:val="28"/>
        </w:rPr>
        <w:t>.</w:t>
      </w:r>
    </w:p>
    <w:p w14:paraId="454F8E8E" w14:textId="23328009" w:rsidR="006E71B9" w:rsidRPr="000007C7" w:rsidRDefault="006E71B9" w:rsidP="00FC2E6C">
      <w:pPr>
        <w:pStyle w:val="NormalWeb"/>
        <w:bidi/>
        <w:spacing w:line="276" w:lineRule="auto"/>
        <w:ind w:firstLine="424"/>
        <w:jc w:val="both"/>
        <w:rPr>
          <w:rFonts w:ascii="Simplified Arabic" w:hAnsi="Simplified Arabic" w:cs="Simplified Arabic"/>
          <w:color w:val="000000" w:themeColor="text1"/>
          <w:sz w:val="28"/>
          <w:szCs w:val="28"/>
        </w:rPr>
      </w:pPr>
      <w:r w:rsidRPr="000007C7">
        <w:rPr>
          <w:rFonts w:ascii="Simplified Arabic" w:hAnsi="Simplified Arabic" w:cs="Simplified Arabic"/>
          <w:color w:val="000000" w:themeColor="text1"/>
          <w:sz w:val="28"/>
          <w:szCs w:val="28"/>
          <w:rtl/>
        </w:rPr>
        <w:t>وبناءً على ما سبق، تتبلور مشكلة الدراسة الحالية في التساؤل الرئيسي التالي</w:t>
      </w:r>
      <w:r w:rsidRPr="000007C7">
        <w:rPr>
          <w:rFonts w:ascii="Simplified Arabic" w:hAnsi="Simplified Arabic" w:cs="Simplified Arabic"/>
          <w:color w:val="000000" w:themeColor="text1"/>
          <w:sz w:val="28"/>
          <w:szCs w:val="28"/>
        </w:rPr>
        <w:t xml:space="preserve">: </w:t>
      </w:r>
      <w:r w:rsidRPr="000007C7">
        <w:rPr>
          <w:rStyle w:val="Strong"/>
          <w:rFonts w:ascii="Simplified Arabic" w:hAnsi="Simplified Arabic" w:cs="Simplified Arabic"/>
          <w:b w:val="0"/>
          <w:bCs w:val="0"/>
          <w:color w:val="000000" w:themeColor="text1"/>
          <w:sz w:val="28"/>
          <w:szCs w:val="28"/>
          <w:rtl/>
        </w:rPr>
        <w:t>ما أثر البرامج الترفيهية في بيئة العمل بأبعادها (الأنشطة الرياضية والبدنية، الفعاليات الاجتماعية والثقافية، برامج الاسترخاء وإدارة الضغوط، الأنشطة الترفيهية الرقمية والإبداعية) على الأداء المؤسسي في القطاع الخاص؟</w:t>
      </w:r>
      <w:r w:rsidRPr="000007C7">
        <w:rPr>
          <w:rFonts w:ascii="Simplified Arabic" w:hAnsi="Simplified Arabic" w:cs="Simplified Arabic"/>
          <w:color w:val="000000" w:themeColor="text1"/>
          <w:sz w:val="28"/>
          <w:szCs w:val="28"/>
          <w:rtl/>
        </w:rPr>
        <w:t xml:space="preserve"> </w:t>
      </w:r>
    </w:p>
    <w:p w14:paraId="0F0FD743" w14:textId="0545C35E" w:rsidR="00FC2E6C" w:rsidRPr="000007C7" w:rsidRDefault="00FC2E6C" w:rsidP="00FC2E6C">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6" w:name="_Toc233737548"/>
      <w:r w:rsidRPr="000007C7">
        <w:rPr>
          <w:rFonts w:ascii="Simplified Arabic" w:hAnsi="Simplified Arabic" w:cs="Simplified Arabic"/>
          <w:b/>
          <w:bCs/>
          <w:color w:val="000000" w:themeColor="text1"/>
          <w:sz w:val="36"/>
          <w:szCs w:val="36"/>
          <w:rtl/>
        </w:rPr>
        <w:t>3.1 أهداف الدراسة</w:t>
      </w:r>
      <w:bookmarkEnd w:id="6"/>
    </w:p>
    <w:p w14:paraId="33A72FD8" w14:textId="77777777" w:rsidR="006E71B9" w:rsidRPr="000007C7" w:rsidRDefault="006E71B9" w:rsidP="00FC2E6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007C7">
        <w:rPr>
          <w:rFonts w:ascii="Simplified Arabic" w:hAnsi="Simplified Arabic" w:cs="Simplified Arabic"/>
          <w:color w:val="000000" w:themeColor="text1"/>
          <w:sz w:val="28"/>
          <w:szCs w:val="28"/>
          <w:rtl/>
        </w:rPr>
        <w:lastRenderedPageBreak/>
        <w:t>تهدف هذه الدراسة إلى التعرف على أثر البرامج الترفيهية في بيئة العمل بأبعادها (الأنشطة الرياضية والبدنية، الفعاليات الاجتماعية والثقافية، برامج الاسترخاء وإدارة الضغوط، الأنشطة الترفيهية الرقمية والإبداعية) على الأداء المؤسسي في القطاع الخاص</w:t>
      </w:r>
      <w:r w:rsidRPr="000007C7">
        <w:rPr>
          <w:rFonts w:ascii="Simplified Arabic" w:hAnsi="Simplified Arabic" w:cs="Simplified Arabic"/>
          <w:color w:val="000000" w:themeColor="text1"/>
          <w:sz w:val="28"/>
          <w:szCs w:val="28"/>
        </w:rPr>
        <w:t>.</w:t>
      </w:r>
    </w:p>
    <w:p w14:paraId="3BEFBCD7" w14:textId="77777777" w:rsidR="006E71B9" w:rsidRPr="000007C7" w:rsidRDefault="006E71B9" w:rsidP="00CF335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0007C7">
        <w:rPr>
          <w:rFonts w:ascii="Simplified Arabic" w:hAnsi="Simplified Arabic" w:cs="Simplified Arabic"/>
          <w:b/>
          <w:bCs/>
          <w:color w:val="000000" w:themeColor="text1"/>
          <w:sz w:val="28"/>
          <w:szCs w:val="28"/>
          <w:rtl/>
        </w:rPr>
        <w:t>يتفرع من الهدف الرئيسي الأهداف الفرعية التالية</w:t>
      </w:r>
      <w:r w:rsidRPr="000007C7">
        <w:rPr>
          <w:rFonts w:ascii="Simplified Arabic" w:hAnsi="Simplified Arabic" w:cs="Simplified Arabic"/>
          <w:b/>
          <w:bCs/>
          <w:color w:val="000000" w:themeColor="text1"/>
          <w:sz w:val="28"/>
          <w:szCs w:val="28"/>
        </w:rPr>
        <w:t>:</w:t>
      </w:r>
    </w:p>
    <w:p w14:paraId="5945EC17" w14:textId="77777777" w:rsidR="006E71B9" w:rsidRPr="000007C7" w:rsidRDefault="006E71B9" w:rsidP="00FC2E6C">
      <w:pPr>
        <w:pStyle w:val="ListParagraph"/>
        <w:numPr>
          <w:ilvl w:val="0"/>
          <w:numId w:val="20"/>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0007C7">
        <w:rPr>
          <w:rFonts w:ascii="Simplified Arabic" w:hAnsi="Simplified Arabic" w:cs="Simplified Arabic"/>
          <w:color w:val="000000" w:themeColor="text1"/>
          <w:sz w:val="28"/>
          <w:szCs w:val="28"/>
          <w:rtl/>
        </w:rPr>
        <w:t>قياس أثر الأنشطة الرياضية والبدنية المقدّمة في بيئة العمل على الأداء المؤسسي في القطاع الخاص</w:t>
      </w:r>
      <w:r w:rsidRPr="000007C7">
        <w:rPr>
          <w:rFonts w:ascii="Simplified Arabic" w:hAnsi="Simplified Arabic" w:cs="Simplified Arabic"/>
          <w:color w:val="000000" w:themeColor="text1"/>
          <w:sz w:val="28"/>
          <w:szCs w:val="28"/>
        </w:rPr>
        <w:t>.</w:t>
      </w:r>
    </w:p>
    <w:p w14:paraId="6A7F0E7C" w14:textId="77777777" w:rsidR="006E71B9" w:rsidRPr="000007C7" w:rsidRDefault="006E71B9" w:rsidP="00FC2E6C">
      <w:pPr>
        <w:pStyle w:val="ListParagraph"/>
        <w:numPr>
          <w:ilvl w:val="0"/>
          <w:numId w:val="20"/>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0007C7">
        <w:rPr>
          <w:rFonts w:ascii="Simplified Arabic" w:hAnsi="Simplified Arabic" w:cs="Simplified Arabic"/>
          <w:color w:val="000000" w:themeColor="text1"/>
          <w:sz w:val="28"/>
          <w:szCs w:val="28"/>
          <w:rtl/>
        </w:rPr>
        <w:t>قياس أثر الفعاليات الاجتماعية والثقافية المقدّمة في بيئة العمل على الأداء المؤسسي في القطاع الخاص</w:t>
      </w:r>
      <w:r w:rsidRPr="000007C7">
        <w:rPr>
          <w:rFonts w:ascii="Simplified Arabic" w:hAnsi="Simplified Arabic" w:cs="Simplified Arabic"/>
          <w:color w:val="000000" w:themeColor="text1"/>
          <w:sz w:val="28"/>
          <w:szCs w:val="28"/>
        </w:rPr>
        <w:t>.</w:t>
      </w:r>
    </w:p>
    <w:p w14:paraId="275BACF9" w14:textId="77777777" w:rsidR="006E71B9" w:rsidRPr="000007C7" w:rsidRDefault="006E71B9" w:rsidP="00FC2E6C">
      <w:pPr>
        <w:pStyle w:val="ListParagraph"/>
        <w:numPr>
          <w:ilvl w:val="0"/>
          <w:numId w:val="20"/>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0007C7">
        <w:rPr>
          <w:rFonts w:ascii="Simplified Arabic" w:hAnsi="Simplified Arabic" w:cs="Simplified Arabic"/>
          <w:color w:val="000000" w:themeColor="text1"/>
          <w:sz w:val="28"/>
          <w:szCs w:val="28"/>
          <w:rtl/>
        </w:rPr>
        <w:t>قياس أثر برامج الاسترخاء وإدارة الضغوط المقدّمة في بيئة العمل على الأداء المؤسسي في القطاع الخاص</w:t>
      </w:r>
      <w:r w:rsidRPr="000007C7">
        <w:rPr>
          <w:rFonts w:ascii="Simplified Arabic" w:hAnsi="Simplified Arabic" w:cs="Simplified Arabic"/>
          <w:color w:val="000000" w:themeColor="text1"/>
          <w:sz w:val="28"/>
          <w:szCs w:val="28"/>
        </w:rPr>
        <w:t>.</w:t>
      </w:r>
    </w:p>
    <w:p w14:paraId="0307A4F4" w14:textId="77777777" w:rsidR="006E71B9" w:rsidRPr="000007C7" w:rsidRDefault="006E71B9" w:rsidP="00FC2E6C">
      <w:pPr>
        <w:pStyle w:val="ListParagraph"/>
        <w:numPr>
          <w:ilvl w:val="0"/>
          <w:numId w:val="20"/>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0007C7">
        <w:rPr>
          <w:rFonts w:ascii="Simplified Arabic" w:hAnsi="Simplified Arabic" w:cs="Simplified Arabic"/>
          <w:color w:val="000000" w:themeColor="text1"/>
          <w:sz w:val="28"/>
          <w:szCs w:val="28"/>
          <w:rtl/>
        </w:rPr>
        <w:t>قياس أثر الأنشطة الترفيهية الرقمية والإبداعية المقدّمة في بيئة العمل على الأداء المؤسسي في القطاع الخاص</w:t>
      </w:r>
      <w:r w:rsidRPr="000007C7">
        <w:rPr>
          <w:rFonts w:ascii="Simplified Arabic" w:hAnsi="Simplified Arabic" w:cs="Simplified Arabic"/>
          <w:color w:val="000000" w:themeColor="text1"/>
          <w:sz w:val="28"/>
          <w:szCs w:val="28"/>
        </w:rPr>
        <w:t>.</w:t>
      </w:r>
    </w:p>
    <w:p w14:paraId="44854E70" w14:textId="77777777" w:rsidR="006E71B9" w:rsidRPr="000007C7" w:rsidRDefault="006E71B9" w:rsidP="00FC2E6C">
      <w:pPr>
        <w:pStyle w:val="ListParagraph"/>
        <w:numPr>
          <w:ilvl w:val="0"/>
          <w:numId w:val="20"/>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0007C7">
        <w:rPr>
          <w:rFonts w:ascii="Simplified Arabic" w:hAnsi="Simplified Arabic" w:cs="Simplified Arabic"/>
          <w:color w:val="000000" w:themeColor="text1"/>
          <w:sz w:val="28"/>
          <w:szCs w:val="28"/>
          <w:rtl/>
        </w:rPr>
        <w:t>التوصل إلى مجموعة من التوصيات والمقترحات التي تسهم في تفعيل البرامج الترفيهية في بيئة العمل بما يُعزّز الأداء المؤسسي في القطاع الخاص</w:t>
      </w:r>
      <w:r w:rsidRPr="000007C7">
        <w:rPr>
          <w:rFonts w:ascii="Simplified Arabic" w:hAnsi="Simplified Arabic" w:cs="Simplified Arabic"/>
          <w:color w:val="000000" w:themeColor="text1"/>
          <w:sz w:val="28"/>
          <w:szCs w:val="28"/>
        </w:rPr>
        <w:t>.</w:t>
      </w:r>
    </w:p>
    <w:p w14:paraId="47F8162D" w14:textId="15C8BA68" w:rsidR="00FC2E6C" w:rsidRPr="000007C7" w:rsidRDefault="00FC2E6C" w:rsidP="00FC2E6C">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7" w:name="_Toc233737549"/>
      <w:r w:rsidRPr="000007C7">
        <w:rPr>
          <w:rFonts w:ascii="Simplified Arabic" w:hAnsi="Simplified Arabic" w:cs="Simplified Arabic"/>
          <w:b/>
          <w:bCs/>
          <w:color w:val="000000" w:themeColor="text1"/>
          <w:sz w:val="36"/>
          <w:szCs w:val="36"/>
          <w:rtl/>
        </w:rPr>
        <w:t>4.1 أسئلة الدراسة</w:t>
      </w:r>
      <w:bookmarkEnd w:id="7"/>
    </w:p>
    <w:p w14:paraId="73AA634E" w14:textId="480FB686" w:rsidR="006E71B9" w:rsidRPr="000007C7" w:rsidRDefault="006E71B9" w:rsidP="00FC2E6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007C7">
        <w:rPr>
          <w:rFonts w:ascii="Simplified Arabic" w:hAnsi="Simplified Arabic" w:cs="Simplified Arabic"/>
          <w:b/>
          <w:bCs/>
          <w:color w:val="000000" w:themeColor="text1"/>
          <w:sz w:val="28"/>
          <w:szCs w:val="28"/>
          <w:rtl/>
        </w:rPr>
        <w:t>السؤال الرئيسي</w:t>
      </w:r>
      <w:r w:rsidR="00646233" w:rsidRPr="000007C7">
        <w:rPr>
          <w:rFonts w:ascii="Simplified Arabic" w:hAnsi="Simplified Arabic" w:cs="Simplified Arabic"/>
          <w:color w:val="000000" w:themeColor="text1"/>
          <w:sz w:val="28"/>
          <w:szCs w:val="28"/>
          <w:rtl/>
        </w:rPr>
        <w:t xml:space="preserve"> : </w:t>
      </w:r>
      <w:r w:rsidRPr="000007C7">
        <w:rPr>
          <w:rFonts w:ascii="Simplified Arabic" w:hAnsi="Simplified Arabic" w:cs="Simplified Arabic"/>
          <w:color w:val="000000" w:themeColor="text1"/>
          <w:sz w:val="28"/>
          <w:szCs w:val="28"/>
          <w:rtl/>
        </w:rPr>
        <w:t>ما أثر البرامج الترفيهية في بيئة العمل بأبعادها (الأنشطة الرياضية والبدنية، الفعاليات الاجتماعية والثقافية، برامج الاسترخاء وإدارة الضغوط، الأنشطة الترفيهية الرقمية والإبداعية) على الأداء المؤسسي في القطاع الخاص؟</w:t>
      </w:r>
    </w:p>
    <w:p w14:paraId="124C9698" w14:textId="77777777" w:rsidR="006E71B9" w:rsidRPr="000007C7" w:rsidRDefault="006E71B9" w:rsidP="00CF335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0007C7">
        <w:rPr>
          <w:rFonts w:ascii="Simplified Arabic" w:hAnsi="Simplified Arabic" w:cs="Simplified Arabic"/>
          <w:b/>
          <w:bCs/>
          <w:color w:val="000000" w:themeColor="text1"/>
          <w:sz w:val="28"/>
          <w:szCs w:val="28"/>
          <w:rtl/>
        </w:rPr>
        <w:t>يتفرع من السؤال الرئيسي الأسئلة الفرعية التالية</w:t>
      </w:r>
      <w:r w:rsidRPr="000007C7">
        <w:rPr>
          <w:rFonts w:ascii="Simplified Arabic" w:hAnsi="Simplified Arabic" w:cs="Simplified Arabic"/>
          <w:b/>
          <w:bCs/>
          <w:color w:val="000000" w:themeColor="text1"/>
          <w:sz w:val="28"/>
          <w:szCs w:val="28"/>
        </w:rPr>
        <w:t>:</w:t>
      </w:r>
    </w:p>
    <w:p w14:paraId="372591D8" w14:textId="77777777" w:rsidR="006E71B9" w:rsidRPr="000007C7" w:rsidRDefault="006E71B9" w:rsidP="00FC2E6C">
      <w:pPr>
        <w:pStyle w:val="ListParagraph"/>
        <w:numPr>
          <w:ilvl w:val="0"/>
          <w:numId w:val="21"/>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0007C7">
        <w:rPr>
          <w:rFonts w:ascii="Simplified Arabic" w:hAnsi="Simplified Arabic" w:cs="Simplified Arabic"/>
          <w:color w:val="000000" w:themeColor="text1"/>
          <w:sz w:val="28"/>
          <w:szCs w:val="28"/>
          <w:rtl/>
        </w:rPr>
        <w:t>ما أثر الأنشطة الرياضية والبدنية المقدّمة في بيئة العمل على الأداء المؤسسي في القطاع الخاص؟</w:t>
      </w:r>
    </w:p>
    <w:p w14:paraId="3758E8C1" w14:textId="77777777" w:rsidR="006E71B9" w:rsidRPr="000007C7" w:rsidRDefault="006E71B9" w:rsidP="00FC2E6C">
      <w:pPr>
        <w:pStyle w:val="ListParagraph"/>
        <w:numPr>
          <w:ilvl w:val="0"/>
          <w:numId w:val="21"/>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0007C7">
        <w:rPr>
          <w:rFonts w:ascii="Simplified Arabic" w:hAnsi="Simplified Arabic" w:cs="Simplified Arabic"/>
          <w:color w:val="000000" w:themeColor="text1"/>
          <w:sz w:val="28"/>
          <w:szCs w:val="28"/>
          <w:rtl/>
        </w:rPr>
        <w:t>ما أثر الفعاليات الاجتماعية والثقافية المقدّمة في بيئة العمل على الأداء المؤسسي في القطاع الخاص؟</w:t>
      </w:r>
    </w:p>
    <w:p w14:paraId="68E6136B" w14:textId="77777777" w:rsidR="006E71B9" w:rsidRPr="000007C7" w:rsidRDefault="006E71B9" w:rsidP="00FC2E6C">
      <w:pPr>
        <w:pStyle w:val="ListParagraph"/>
        <w:numPr>
          <w:ilvl w:val="0"/>
          <w:numId w:val="21"/>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0007C7">
        <w:rPr>
          <w:rFonts w:ascii="Simplified Arabic" w:hAnsi="Simplified Arabic" w:cs="Simplified Arabic"/>
          <w:color w:val="000000" w:themeColor="text1"/>
          <w:sz w:val="28"/>
          <w:szCs w:val="28"/>
          <w:rtl/>
        </w:rPr>
        <w:t>ما أثر برامج الاسترخاء وإدارة الضغوط المقدّمة في بيئة العمل على الأداء المؤسسي في القطاع الخاص؟</w:t>
      </w:r>
    </w:p>
    <w:p w14:paraId="5D83F1DF" w14:textId="77777777" w:rsidR="006E71B9" w:rsidRPr="000007C7" w:rsidRDefault="006E71B9" w:rsidP="00FC2E6C">
      <w:pPr>
        <w:pStyle w:val="ListParagraph"/>
        <w:numPr>
          <w:ilvl w:val="0"/>
          <w:numId w:val="21"/>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0007C7">
        <w:rPr>
          <w:rFonts w:ascii="Simplified Arabic" w:hAnsi="Simplified Arabic" w:cs="Simplified Arabic"/>
          <w:color w:val="000000" w:themeColor="text1"/>
          <w:sz w:val="28"/>
          <w:szCs w:val="28"/>
          <w:rtl/>
        </w:rPr>
        <w:lastRenderedPageBreak/>
        <w:t>ما أثر الأنشطة الترفيهية الرقمية والإبداعية المقدّمة في بيئة العمل على الأداء المؤسسي في القطاع الخاص؟</w:t>
      </w:r>
    </w:p>
    <w:p w14:paraId="2BA0F0D9" w14:textId="4613C582" w:rsidR="00FC2E6C" w:rsidRPr="000007C7" w:rsidRDefault="00FC2E6C" w:rsidP="00FC2E6C">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8" w:name="_Toc233737550"/>
      <w:r w:rsidRPr="000007C7">
        <w:rPr>
          <w:rFonts w:ascii="Simplified Arabic" w:hAnsi="Simplified Arabic" w:cs="Simplified Arabic"/>
          <w:b/>
          <w:bCs/>
          <w:color w:val="000000" w:themeColor="text1"/>
          <w:sz w:val="36"/>
          <w:szCs w:val="36"/>
          <w:rtl/>
        </w:rPr>
        <w:t>5.1 فروض الدراسة</w:t>
      </w:r>
      <w:bookmarkEnd w:id="8"/>
    </w:p>
    <w:p w14:paraId="6895EDCF" w14:textId="6385C5CB" w:rsidR="006E71B9" w:rsidRPr="000007C7" w:rsidRDefault="006E71B9" w:rsidP="00FC2E6C">
      <w:pPr>
        <w:pStyle w:val="ListParagraph"/>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0007C7">
        <w:rPr>
          <w:rFonts w:ascii="Simplified Arabic" w:hAnsi="Simplified Arabic" w:cs="Simplified Arabic"/>
          <w:color w:val="000000" w:themeColor="text1"/>
          <w:sz w:val="28"/>
          <w:szCs w:val="28"/>
          <w:rtl/>
        </w:rPr>
        <w:t>لا يوجد أثر ذو دلالة إحصائية عند مستوى معنوية</w:t>
      </w:r>
      <w:r w:rsidRPr="000007C7">
        <w:rPr>
          <w:rFonts w:ascii="Simplified Arabic" w:hAnsi="Simplified Arabic" w:cs="Simplified Arabic"/>
          <w:color w:val="000000" w:themeColor="text1"/>
          <w:sz w:val="28"/>
          <w:szCs w:val="28"/>
        </w:rPr>
        <w:t xml:space="preserve"> (</w:t>
      </w:r>
      <w:r w:rsidRPr="000007C7">
        <w:rPr>
          <w:rFonts w:ascii="Cambria" w:hAnsi="Cambria" w:cs="Cambria"/>
          <w:color w:val="000000" w:themeColor="text1"/>
          <w:sz w:val="28"/>
          <w:szCs w:val="28"/>
        </w:rPr>
        <w:t>α</w:t>
      </w:r>
      <w:r w:rsidRPr="000007C7">
        <w:rPr>
          <w:rFonts w:ascii="Simplified Arabic" w:hAnsi="Simplified Arabic" w:cs="Simplified Arabic"/>
          <w:color w:val="000000" w:themeColor="text1"/>
          <w:sz w:val="28"/>
          <w:szCs w:val="28"/>
        </w:rPr>
        <w:t xml:space="preserve"> </w:t>
      </w:r>
      <w:r w:rsidRPr="000007C7">
        <w:rPr>
          <w:rFonts w:ascii="Times New Roman" w:hAnsi="Times New Roman" w:cs="Times New Roman"/>
          <w:color w:val="000000" w:themeColor="text1"/>
          <w:sz w:val="28"/>
          <w:szCs w:val="28"/>
        </w:rPr>
        <w:t>≤</w:t>
      </w:r>
      <w:r w:rsidRPr="000007C7">
        <w:rPr>
          <w:rFonts w:ascii="Simplified Arabic" w:hAnsi="Simplified Arabic" w:cs="Simplified Arabic"/>
          <w:color w:val="000000" w:themeColor="text1"/>
          <w:sz w:val="28"/>
          <w:szCs w:val="28"/>
        </w:rPr>
        <w:t xml:space="preserve"> 0.05) </w:t>
      </w:r>
      <w:r w:rsidRPr="000007C7">
        <w:rPr>
          <w:rFonts w:ascii="Simplified Arabic" w:hAnsi="Simplified Arabic" w:cs="Simplified Arabic"/>
          <w:color w:val="000000" w:themeColor="text1"/>
          <w:sz w:val="28"/>
          <w:szCs w:val="28"/>
          <w:rtl/>
        </w:rPr>
        <w:t xml:space="preserve">للبرامج الترفيهية في بيئة العمل بأبعادها مجتمعة </w:t>
      </w:r>
      <w:r w:rsidR="00FC2E6C" w:rsidRPr="000007C7">
        <w:rPr>
          <w:rFonts w:ascii="Simplified Arabic" w:hAnsi="Simplified Arabic" w:cs="Simplified Arabic" w:hint="cs"/>
          <w:color w:val="000000" w:themeColor="text1"/>
          <w:sz w:val="28"/>
          <w:szCs w:val="28"/>
          <w:rtl/>
        </w:rPr>
        <w:t>(</w:t>
      </w:r>
      <w:r w:rsidRPr="000007C7">
        <w:rPr>
          <w:rFonts w:ascii="Simplified Arabic" w:hAnsi="Simplified Arabic" w:cs="Simplified Arabic"/>
          <w:color w:val="000000" w:themeColor="text1"/>
          <w:sz w:val="28"/>
          <w:szCs w:val="28"/>
          <w:rtl/>
        </w:rPr>
        <w:t>الأنشطة الرياضية والبدنية، الفعاليات الاجتماعية والثقافية، برامج الاسترخاء وإدارة الضغوط، الأنشطة الترفيهية الرقمية والإبداعية) على الأداء المؤسسي في القطاع الخاص</w:t>
      </w:r>
      <w:r w:rsidRPr="000007C7">
        <w:rPr>
          <w:rFonts w:ascii="Simplified Arabic" w:hAnsi="Simplified Arabic" w:cs="Simplified Arabic"/>
          <w:color w:val="000000" w:themeColor="text1"/>
          <w:sz w:val="28"/>
          <w:szCs w:val="28"/>
        </w:rPr>
        <w:t>.</w:t>
      </w:r>
    </w:p>
    <w:p w14:paraId="1E9E8FA3" w14:textId="77777777" w:rsidR="006E71B9" w:rsidRPr="000007C7" w:rsidRDefault="006E71B9" w:rsidP="00CF335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0007C7">
        <w:rPr>
          <w:rFonts w:ascii="Simplified Arabic" w:hAnsi="Simplified Arabic" w:cs="Simplified Arabic"/>
          <w:b/>
          <w:bCs/>
          <w:color w:val="000000" w:themeColor="text1"/>
          <w:sz w:val="28"/>
          <w:szCs w:val="28"/>
          <w:rtl/>
        </w:rPr>
        <w:t>ويتفرع من الفرض الرئيسي الفروض الفرعية التالية</w:t>
      </w:r>
      <w:r w:rsidRPr="000007C7">
        <w:rPr>
          <w:rFonts w:ascii="Simplified Arabic" w:hAnsi="Simplified Arabic" w:cs="Simplified Arabic"/>
          <w:b/>
          <w:bCs/>
          <w:color w:val="000000" w:themeColor="text1"/>
          <w:sz w:val="28"/>
          <w:szCs w:val="28"/>
        </w:rPr>
        <w:t>:</w:t>
      </w:r>
    </w:p>
    <w:p w14:paraId="43F90FA5" w14:textId="77777777" w:rsidR="006E71B9" w:rsidRPr="000007C7" w:rsidRDefault="006E71B9" w:rsidP="00FC2E6C">
      <w:pPr>
        <w:pStyle w:val="ListParagraph"/>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0007C7">
        <w:rPr>
          <w:rFonts w:ascii="Simplified Arabic" w:hAnsi="Simplified Arabic" w:cs="Simplified Arabic"/>
          <w:color w:val="000000" w:themeColor="text1"/>
          <w:sz w:val="28"/>
          <w:szCs w:val="28"/>
          <w:rtl/>
        </w:rPr>
        <w:t>الفرض الفرعي الأول</w:t>
      </w:r>
      <w:r w:rsidRPr="000007C7">
        <w:rPr>
          <w:rFonts w:ascii="Simplified Arabic" w:hAnsi="Simplified Arabic" w:cs="Simplified Arabic"/>
          <w:color w:val="000000" w:themeColor="text1"/>
          <w:sz w:val="28"/>
          <w:szCs w:val="28"/>
        </w:rPr>
        <w:t xml:space="preserve">: </w:t>
      </w:r>
      <w:r w:rsidRPr="000007C7">
        <w:rPr>
          <w:rFonts w:ascii="Simplified Arabic" w:hAnsi="Simplified Arabic" w:cs="Simplified Arabic"/>
          <w:color w:val="000000" w:themeColor="text1"/>
          <w:sz w:val="28"/>
          <w:szCs w:val="28"/>
          <w:rtl/>
        </w:rPr>
        <w:t>لا يوجد أثر ذو دلالة إحصائية عند مستوى معنوية</w:t>
      </w:r>
      <w:r w:rsidRPr="000007C7">
        <w:rPr>
          <w:rFonts w:ascii="Simplified Arabic" w:hAnsi="Simplified Arabic" w:cs="Simplified Arabic"/>
          <w:color w:val="000000" w:themeColor="text1"/>
          <w:sz w:val="28"/>
          <w:szCs w:val="28"/>
        </w:rPr>
        <w:t xml:space="preserve"> (</w:t>
      </w:r>
      <w:r w:rsidRPr="000007C7">
        <w:rPr>
          <w:rFonts w:ascii="Cambria" w:hAnsi="Cambria" w:cs="Cambria"/>
          <w:color w:val="000000" w:themeColor="text1"/>
          <w:sz w:val="28"/>
          <w:szCs w:val="28"/>
        </w:rPr>
        <w:t>α</w:t>
      </w:r>
      <w:r w:rsidRPr="000007C7">
        <w:rPr>
          <w:rFonts w:ascii="Simplified Arabic" w:hAnsi="Simplified Arabic" w:cs="Simplified Arabic"/>
          <w:color w:val="000000" w:themeColor="text1"/>
          <w:sz w:val="28"/>
          <w:szCs w:val="28"/>
        </w:rPr>
        <w:t xml:space="preserve"> </w:t>
      </w:r>
      <w:r w:rsidRPr="000007C7">
        <w:rPr>
          <w:rFonts w:ascii="Times New Roman" w:hAnsi="Times New Roman" w:cs="Times New Roman"/>
          <w:color w:val="000000" w:themeColor="text1"/>
          <w:sz w:val="28"/>
          <w:szCs w:val="28"/>
        </w:rPr>
        <w:t>≤</w:t>
      </w:r>
      <w:r w:rsidRPr="000007C7">
        <w:rPr>
          <w:rFonts w:ascii="Simplified Arabic" w:hAnsi="Simplified Arabic" w:cs="Simplified Arabic"/>
          <w:color w:val="000000" w:themeColor="text1"/>
          <w:sz w:val="28"/>
          <w:szCs w:val="28"/>
        </w:rPr>
        <w:t xml:space="preserve"> 0.05) </w:t>
      </w:r>
      <w:r w:rsidRPr="000007C7">
        <w:rPr>
          <w:rFonts w:ascii="Simplified Arabic" w:hAnsi="Simplified Arabic" w:cs="Simplified Arabic"/>
          <w:color w:val="000000" w:themeColor="text1"/>
          <w:sz w:val="28"/>
          <w:szCs w:val="28"/>
          <w:rtl/>
        </w:rPr>
        <w:t>للأنشطة الرياضية والبدنية المقدّمة في بيئة العمل على الأداء المؤسسي في القطاع الخاص</w:t>
      </w:r>
      <w:r w:rsidRPr="000007C7">
        <w:rPr>
          <w:rFonts w:ascii="Simplified Arabic" w:hAnsi="Simplified Arabic" w:cs="Simplified Arabic"/>
          <w:color w:val="000000" w:themeColor="text1"/>
          <w:sz w:val="28"/>
          <w:szCs w:val="28"/>
        </w:rPr>
        <w:t>.</w:t>
      </w:r>
    </w:p>
    <w:p w14:paraId="44DA05F5" w14:textId="77777777" w:rsidR="006E71B9" w:rsidRPr="000007C7" w:rsidRDefault="006E71B9" w:rsidP="00FC2E6C">
      <w:pPr>
        <w:pStyle w:val="ListParagraph"/>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0007C7">
        <w:rPr>
          <w:rFonts w:ascii="Simplified Arabic" w:hAnsi="Simplified Arabic" w:cs="Simplified Arabic"/>
          <w:color w:val="000000" w:themeColor="text1"/>
          <w:sz w:val="28"/>
          <w:szCs w:val="28"/>
          <w:rtl/>
        </w:rPr>
        <w:t>الفرض الفرعي الثاني</w:t>
      </w:r>
      <w:r w:rsidRPr="000007C7">
        <w:rPr>
          <w:rFonts w:ascii="Simplified Arabic" w:hAnsi="Simplified Arabic" w:cs="Simplified Arabic"/>
          <w:color w:val="000000" w:themeColor="text1"/>
          <w:sz w:val="28"/>
          <w:szCs w:val="28"/>
        </w:rPr>
        <w:t xml:space="preserve">: </w:t>
      </w:r>
      <w:r w:rsidRPr="000007C7">
        <w:rPr>
          <w:rFonts w:ascii="Simplified Arabic" w:hAnsi="Simplified Arabic" w:cs="Simplified Arabic"/>
          <w:color w:val="000000" w:themeColor="text1"/>
          <w:sz w:val="28"/>
          <w:szCs w:val="28"/>
          <w:rtl/>
        </w:rPr>
        <w:t>لا يوجد أثر ذو دلالة إحصائية عند مستوى معنوية</w:t>
      </w:r>
      <w:r w:rsidRPr="000007C7">
        <w:rPr>
          <w:rFonts w:ascii="Simplified Arabic" w:hAnsi="Simplified Arabic" w:cs="Simplified Arabic"/>
          <w:color w:val="000000" w:themeColor="text1"/>
          <w:sz w:val="28"/>
          <w:szCs w:val="28"/>
        </w:rPr>
        <w:t xml:space="preserve"> (</w:t>
      </w:r>
      <w:r w:rsidRPr="000007C7">
        <w:rPr>
          <w:rFonts w:ascii="Cambria" w:hAnsi="Cambria" w:cs="Cambria"/>
          <w:color w:val="000000" w:themeColor="text1"/>
          <w:sz w:val="28"/>
          <w:szCs w:val="28"/>
        </w:rPr>
        <w:t>α</w:t>
      </w:r>
      <w:r w:rsidRPr="000007C7">
        <w:rPr>
          <w:rFonts w:ascii="Simplified Arabic" w:hAnsi="Simplified Arabic" w:cs="Simplified Arabic"/>
          <w:color w:val="000000" w:themeColor="text1"/>
          <w:sz w:val="28"/>
          <w:szCs w:val="28"/>
        </w:rPr>
        <w:t xml:space="preserve"> </w:t>
      </w:r>
      <w:r w:rsidRPr="000007C7">
        <w:rPr>
          <w:rFonts w:ascii="Times New Roman" w:hAnsi="Times New Roman" w:cs="Times New Roman"/>
          <w:color w:val="000000" w:themeColor="text1"/>
          <w:sz w:val="28"/>
          <w:szCs w:val="28"/>
        </w:rPr>
        <w:t>≤</w:t>
      </w:r>
      <w:r w:rsidRPr="000007C7">
        <w:rPr>
          <w:rFonts w:ascii="Simplified Arabic" w:hAnsi="Simplified Arabic" w:cs="Simplified Arabic"/>
          <w:color w:val="000000" w:themeColor="text1"/>
          <w:sz w:val="28"/>
          <w:szCs w:val="28"/>
        </w:rPr>
        <w:t xml:space="preserve"> 0.05) </w:t>
      </w:r>
      <w:r w:rsidRPr="000007C7">
        <w:rPr>
          <w:rFonts w:ascii="Simplified Arabic" w:hAnsi="Simplified Arabic" w:cs="Simplified Arabic"/>
          <w:color w:val="000000" w:themeColor="text1"/>
          <w:sz w:val="28"/>
          <w:szCs w:val="28"/>
          <w:rtl/>
        </w:rPr>
        <w:t>للفعاليات الاجتماعية والثقافية المقدّمة في بيئة العمل على الأداء المؤسسي في القطاع الخاص</w:t>
      </w:r>
      <w:r w:rsidRPr="000007C7">
        <w:rPr>
          <w:rFonts w:ascii="Simplified Arabic" w:hAnsi="Simplified Arabic" w:cs="Simplified Arabic"/>
          <w:color w:val="000000" w:themeColor="text1"/>
          <w:sz w:val="28"/>
          <w:szCs w:val="28"/>
        </w:rPr>
        <w:t>.</w:t>
      </w:r>
    </w:p>
    <w:p w14:paraId="7B2359BF" w14:textId="77777777" w:rsidR="006E71B9" w:rsidRPr="000007C7" w:rsidRDefault="006E71B9" w:rsidP="00FC2E6C">
      <w:pPr>
        <w:pStyle w:val="ListParagraph"/>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0007C7">
        <w:rPr>
          <w:rFonts w:ascii="Simplified Arabic" w:hAnsi="Simplified Arabic" w:cs="Simplified Arabic"/>
          <w:color w:val="000000" w:themeColor="text1"/>
          <w:sz w:val="28"/>
          <w:szCs w:val="28"/>
          <w:rtl/>
        </w:rPr>
        <w:t>الفرض الفرعي الثالث</w:t>
      </w:r>
      <w:r w:rsidRPr="000007C7">
        <w:rPr>
          <w:rFonts w:ascii="Simplified Arabic" w:hAnsi="Simplified Arabic" w:cs="Simplified Arabic"/>
          <w:color w:val="000000" w:themeColor="text1"/>
          <w:sz w:val="28"/>
          <w:szCs w:val="28"/>
        </w:rPr>
        <w:t xml:space="preserve">: </w:t>
      </w:r>
      <w:r w:rsidRPr="000007C7">
        <w:rPr>
          <w:rFonts w:ascii="Simplified Arabic" w:hAnsi="Simplified Arabic" w:cs="Simplified Arabic"/>
          <w:color w:val="000000" w:themeColor="text1"/>
          <w:sz w:val="28"/>
          <w:szCs w:val="28"/>
          <w:rtl/>
        </w:rPr>
        <w:t>لا يوجد أثر ذو دلالة إحصائية عند مستوى معنوية</w:t>
      </w:r>
      <w:r w:rsidRPr="000007C7">
        <w:rPr>
          <w:rFonts w:ascii="Simplified Arabic" w:hAnsi="Simplified Arabic" w:cs="Simplified Arabic"/>
          <w:color w:val="000000" w:themeColor="text1"/>
          <w:sz w:val="28"/>
          <w:szCs w:val="28"/>
        </w:rPr>
        <w:t xml:space="preserve"> (</w:t>
      </w:r>
      <w:r w:rsidRPr="000007C7">
        <w:rPr>
          <w:rFonts w:ascii="Cambria" w:hAnsi="Cambria" w:cs="Cambria"/>
          <w:color w:val="000000" w:themeColor="text1"/>
          <w:sz w:val="28"/>
          <w:szCs w:val="28"/>
        </w:rPr>
        <w:t>α</w:t>
      </w:r>
      <w:r w:rsidRPr="000007C7">
        <w:rPr>
          <w:rFonts w:ascii="Simplified Arabic" w:hAnsi="Simplified Arabic" w:cs="Simplified Arabic"/>
          <w:color w:val="000000" w:themeColor="text1"/>
          <w:sz w:val="28"/>
          <w:szCs w:val="28"/>
        </w:rPr>
        <w:t xml:space="preserve"> </w:t>
      </w:r>
      <w:r w:rsidRPr="000007C7">
        <w:rPr>
          <w:rFonts w:ascii="Times New Roman" w:hAnsi="Times New Roman" w:cs="Times New Roman"/>
          <w:color w:val="000000" w:themeColor="text1"/>
          <w:sz w:val="28"/>
          <w:szCs w:val="28"/>
        </w:rPr>
        <w:t>≤</w:t>
      </w:r>
      <w:r w:rsidRPr="000007C7">
        <w:rPr>
          <w:rFonts w:ascii="Simplified Arabic" w:hAnsi="Simplified Arabic" w:cs="Simplified Arabic"/>
          <w:color w:val="000000" w:themeColor="text1"/>
          <w:sz w:val="28"/>
          <w:szCs w:val="28"/>
        </w:rPr>
        <w:t xml:space="preserve"> 0.05) </w:t>
      </w:r>
      <w:r w:rsidRPr="000007C7">
        <w:rPr>
          <w:rFonts w:ascii="Simplified Arabic" w:hAnsi="Simplified Arabic" w:cs="Simplified Arabic"/>
          <w:color w:val="000000" w:themeColor="text1"/>
          <w:sz w:val="28"/>
          <w:szCs w:val="28"/>
          <w:rtl/>
        </w:rPr>
        <w:t>لبرامج الاسترخاء وإدارة الضغوط المقدّمة في بيئة العمل على الأداء المؤسسي في القطاع الخاص</w:t>
      </w:r>
      <w:r w:rsidRPr="000007C7">
        <w:rPr>
          <w:rFonts w:ascii="Simplified Arabic" w:hAnsi="Simplified Arabic" w:cs="Simplified Arabic"/>
          <w:color w:val="000000" w:themeColor="text1"/>
          <w:sz w:val="28"/>
          <w:szCs w:val="28"/>
        </w:rPr>
        <w:t>.</w:t>
      </w:r>
    </w:p>
    <w:p w14:paraId="1636FB1C" w14:textId="77777777" w:rsidR="006E71B9" w:rsidRPr="000007C7" w:rsidRDefault="006E71B9" w:rsidP="00FC2E6C">
      <w:pPr>
        <w:pStyle w:val="ListParagraph"/>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0007C7">
        <w:rPr>
          <w:rFonts w:ascii="Simplified Arabic" w:hAnsi="Simplified Arabic" w:cs="Simplified Arabic"/>
          <w:color w:val="000000" w:themeColor="text1"/>
          <w:sz w:val="28"/>
          <w:szCs w:val="28"/>
          <w:rtl/>
        </w:rPr>
        <w:t>الفرض الفرعي الرابع</w:t>
      </w:r>
      <w:r w:rsidRPr="000007C7">
        <w:rPr>
          <w:rFonts w:ascii="Simplified Arabic" w:hAnsi="Simplified Arabic" w:cs="Simplified Arabic"/>
          <w:color w:val="000000" w:themeColor="text1"/>
          <w:sz w:val="28"/>
          <w:szCs w:val="28"/>
        </w:rPr>
        <w:t xml:space="preserve">: </w:t>
      </w:r>
      <w:r w:rsidRPr="000007C7">
        <w:rPr>
          <w:rFonts w:ascii="Simplified Arabic" w:hAnsi="Simplified Arabic" w:cs="Simplified Arabic"/>
          <w:color w:val="000000" w:themeColor="text1"/>
          <w:sz w:val="28"/>
          <w:szCs w:val="28"/>
          <w:rtl/>
        </w:rPr>
        <w:t>لا يوجد أثر ذو دلالة إحصائية عند مستوى معنوية</w:t>
      </w:r>
      <w:r w:rsidRPr="000007C7">
        <w:rPr>
          <w:rFonts w:ascii="Simplified Arabic" w:hAnsi="Simplified Arabic" w:cs="Simplified Arabic"/>
          <w:color w:val="000000" w:themeColor="text1"/>
          <w:sz w:val="28"/>
          <w:szCs w:val="28"/>
        </w:rPr>
        <w:t xml:space="preserve"> (</w:t>
      </w:r>
      <w:r w:rsidRPr="000007C7">
        <w:rPr>
          <w:rFonts w:ascii="Cambria" w:hAnsi="Cambria" w:cs="Cambria"/>
          <w:color w:val="000000" w:themeColor="text1"/>
          <w:sz w:val="28"/>
          <w:szCs w:val="28"/>
        </w:rPr>
        <w:t>α</w:t>
      </w:r>
      <w:r w:rsidRPr="000007C7">
        <w:rPr>
          <w:rFonts w:ascii="Simplified Arabic" w:hAnsi="Simplified Arabic" w:cs="Simplified Arabic"/>
          <w:color w:val="000000" w:themeColor="text1"/>
          <w:sz w:val="28"/>
          <w:szCs w:val="28"/>
        </w:rPr>
        <w:t xml:space="preserve"> </w:t>
      </w:r>
      <w:r w:rsidRPr="000007C7">
        <w:rPr>
          <w:rFonts w:ascii="Times New Roman" w:hAnsi="Times New Roman" w:cs="Times New Roman"/>
          <w:color w:val="000000" w:themeColor="text1"/>
          <w:sz w:val="28"/>
          <w:szCs w:val="28"/>
        </w:rPr>
        <w:t>≤</w:t>
      </w:r>
      <w:r w:rsidRPr="000007C7">
        <w:rPr>
          <w:rFonts w:ascii="Simplified Arabic" w:hAnsi="Simplified Arabic" w:cs="Simplified Arabic"/>
          <w:color w:val="000000" w:themeColor="text1"/>
          <w:sz w:val="28"/>
          <w:szCs w:val="28"/>
        </w:rPr>
        <w:t xml:space="preserve"> 0.05) </w:t>
      </w:r>
      <w:r w:rsidRPr="000007C7">
        <w:rPr>
          <w:rFonts w:ascii="Simplified Arabic" w:hAnsi="Simplified Arabic" w:cs="Simplified Arabic"/>
          <w:color w:val="000000" w:themeColor="text1"/>
          <w:sz w:val="28"/>
          <w:szCs w:val="28"/>
          <w:rtl/>
        </w:rPr>
        <w:t>للأنشطة الترفيهية الرقمية والإبداعية المقدّمة في بيئة العمل على الأداء المؤسسي في القطاع الخاص</w:t>
      </w:r>
      <w:r w:rsidRPr="000007C7">
        <w:rPr>
          <w:rFonts w:ascii="Simplified Arabic" w:hAnsi="Simplified Arabic" w:cs="Simplified Arabic"/>
          <w:color w:val="000000" w:themeColor="text1"/>
          <w:sz w:val="28"/>
          <w:szCs w:val="28"/>
        </w:rPr>
        <w:t>.</w:t>
      </w:r>
    </w:p>
    <w:p w14:paraId="348E4771" w14:textId="77777777" w:rsidR="00FC2E6C" w:rsidRPr="000007C7" w:rsidRDefault="00FC2E6C" w:rsidP="00FC2E6C">
      <w:pPr>
        <w:spacing w:before="100" w:beforeAutospacing="1" w:after="100" w:afterAutospacing="1" w:line="276" w:lineRule="auto"/>
        <w:outlineLvl w:val="1"/>
        <w:rPr>
          <w:rFonts w:ascii="Simplified Arabic" w:hAnsi="Simplified Arabic" w:cs="Simplified Arabic"/>
          <w:b/>
          <w:bCs/>
          <w:color w:val="000000" w:themeColor="text1"/>
          <w:sz w:val="36"/>
          <w:szCs w:val="36"/>
          <w:rtl/>
        </w:rPr>
      </w:pPr>
      <w:bookmarkStart w:id="9" w:name="_Toc233737551"/>
      <w:r w:rsidRPr="000007C7">
        <w:rPr>
          <w:rFonts w:ascii="Simplified Arabic" w:hAnsi="Simplified Arabic" w:cs="Simplified Arabic"/>
          <w:b/>
          <w:bCs/>
          <w:color w:val="000000" w:themeColor="text1"/>
          <w:sz w:val="36"/>
          <w:szCs w:val="36"/>
          <w:rtl/>
        </w:rPr>
        <w:t>6.1 أهمية الدراسة</w:t>
      </w:r>
      <w:bookmarkEnd w:id="9"/>
    </w:p>
    <w:p w14:paraId="6D2F8493" w14:textId="51579038" w:rsidR="00FC2E6C" w:rsidRPr="000007C7" w:rsidRDefault="00FC2E6C" w:rsidP="00FC2E6C">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0007C7">
        <w:rPr>
          <w:rFonts w:ascii="Simplified Arabic" w:hAnsi="Simplified Arabic" w:cs="Simplified Arabic"/>
          <w:b/>
          <w:bCs/>
          <w:color w:val="000000" w:themeColor="text1"/>
          <w:sz w:val="32"/>
          <w:szCs w:val="32"/>
          <w:rtl/>
        </w:rPr>
        <w:t>أولًا: الأهمية العلمية (النظرية)</w:t>
      </w:r>
    </w:p>
    <w:p w14:paraId="1B56B35D" w14:textId="77777777" w:rsidR="006E71B9" w:rsidRPr="000007C7" w:rsidRDefault="006E71B9" w:rsidP="00FC2E6C">
      <w:pPr>
        <w:pStyle w:val="ListParagraph"/>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0007C7">
        <w:rPr>
          <w:rFonts w:ascii="Simplified Arabic" w:hAnsi="Simplified Arabic" w:cs="Simplified Arabic"/>
          <w:color w:val="000000" w:themeColor="text1"/>
          <w:sz w:val="28"/>
          <w:szCs w:val="28"/>
          <w:rtl/>
        </w:rPr>
        <w:t>تُسهم هذه الدراسة في إثراء المكتبة العربية بإطار نظري متكامل يربط بين البرامج الترفيهية في بيئة العمل والأداء المؤسسي، وهو موضوع لم يحظَ بالقدر الكافي من الاهتمام البحثي في البيئة العربية مقارنة بالأدبيات الغربية، مما يُتيح فتح آفاق جديدة للباحثين في مجالَي إدارة الموارد البشرية والسلوك التنظيمي</w:t>
      </w:r>
      <w:r w:rsidRPr="000007C7">
        <w:rPr>
          <w:rFonts w:ascii="Simplified Arabic" w:hAnsi="Simplified Arabic" w:cs="Simplified Arabic"/>
          <w:color w:val="000000" w:themeColor="text1"/>
          <w:sz w:val="28"/>
          <w:szCs w:val="28"/>
        </w:rPr>
        <w:t>.</w:t>
      </w:r>
    </w:p>
    <w:p w14:paraId="682BCA54" w14:textId="77777777" w:rsidR="006E71B9" w:rsidRPr="000007C7" w:rsidRDefault="006E71B9" w:rsidP="00FC2E6C">
      <w:pPr>
        <w:pStyle w:val="ListParagraph"/>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0007C7">
        <w:rPr>
          <w:rFonts w:ascii="Simplified Arabic" w:hAnsi="Simplified Arabic" w:cs="Simplified Arabic"/>
          <w:color w:val="000000" w:themeColor="text1"/>
          <w:sz w:val="28"/>
          <w:szCs w:val="28"/>
          <w:rtl/>
        </w:rPr>
        <w:t xml:space="preserve">تُقدّم الدراسة نموذجًا بحثيًّا يتضمن أربعة أبعاد للبرامج الترفيهية (الأنشطة الرياضية والبدنية، الفعاليات الاجتماعية والثقافية، برامج الاسترخاء وإدارة الضغوط، الأنشطة الترفيهية الرقمية والإبداعية)، وهو </w:t>
      </w:r>
      <w:r w:rsidRPr="000007C7">
        <w:rPr>
          <w:rFonts w:ascii="Simplified Arabic" w:hAnsi="Simplified Arabic" w:cs="Simplified Arabic"/>
          <w:color w:val="000000" w:themeColor="text1"/>
          <w:sz w:val="28"/>
          <w:szCs w:val="28"/>
          <w:rtl/>
        </w:rPr>
        <w:lastRenderedPageBreak/>
        <w:t>تصنيف شامل ومحدّث يتجاوز التصنيفات التقليدية ويُوفّر إطارًا أكثر دقة لقياس هذا المتغير في الدراسات المستقبلية</w:t>
      </w:r>
      <w:r w:rsidRPr="000007C7">
        <w:rPr>
          <w:rFonts w:ascii="Simplified Arabic" w:hAnsi="Simplified Arabic" w:cs="Simplified Arabic"/>
          <w:color w:val="000000" w:themeColor="text1"/>
          <w:sz w:val="28"/>
          <w:szCs w:val="28"/>
        </w:rPr>
        <w:t>.</w:t>
      </w:r>
    </w:p>
    <w:p w14:paraId="72FDE6A8" w14:textId="77777777" w:rsidR="006E71B9" w:rsidRPr="000007C7" w:rsidRDefault="006E71B9" w:rsidP="00FC2E6C">
      <w:pPr>
        <w:pStyle w:val="ListParagraph"/>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0007C7">
        <w:rPr>
          <w:rFonts w:ascii="Simplified Arabic" w:hAnsi="Simplified Arabic" w:cs="Simplified Arabic"/>
          <w:color w:val="000000" w:themeColor="text1"/>
          <w:sz w:val="28"/>
          <w:szCs w:val="28"/>
          <w:rtl/>
        </w:rPr>
        <w:t>تُضيف الدراسة إلى الأدبيات النظرية من خلال اختبار تطبيق نظريات عدة في سياق القطاع الخاص العربي، مثل نظرية الأحداث العاطفية</w:t>
      </w:r>
      <w:r w:rsidRPr="000007C7">
        <w:rPr>
          <w:rFonts w:ascii="Simplified Arabic" w:hAnsi="Simplified Arabic" w:cs="Simplified Arabic"/>
          <w:color w:val="000000" w:themeColor="text1"/>
          <w:sz w:val="28"/>
          <w:szCs w:val="28"/>
        </w:rPr>
        <w:t xml:space="preserve"> (Affective Events Theory) </w:t>
      </w:r>
      <w:r w:rsidRPr="000007C7">
        <w:rPr>
          <w:rFonts w:ascii="Simplified Arabic" w:hAnsi="Simplified Arabic" w:cs="Simplified Arabic"/>
          <w:color w:val="000000" w:themeColor="text1"/>
          <w:sz w:val="28"/>
          <w:szCs w:val="28"/>
          <w:rtl/>
        </w:rPr>
        <w:t>التي تفسّر كيف تؤثر الأنشطة الترفيهية كأحداث إيجابية في مشاعر الموظفين وسلوكياتهم، ونظرية المتطلبات والموارد الوظيفية</w:t>
      </w:r>
      <w:r w:rsidRPr="000007C7">
        <w:rPr>
          <w:rFonts w:ascii="Simplified Arabic" w:hAnsi="Simplified Arabic" w:cs="Simplified Arabic"/>
          <w:color w:val="000000" w:themeColor="text1"/>
          <w:sz w:val="28"/>
          <w:szCs w:val="28"/>
        </w:rPr>
        <w:t xml:space="preserve"> (JD-R Model) </w:t>
      </w:r>
      <w:r w:rsidRPr="000007C7">
        <w:rPr>
          <w:rFonts w:ascii="Simplified Arabic" w:hAnsi="Simplified Arabic" w:cs="Simplified Arabic"/>
          <w:color w:val="000000" w:themeColor="text1"/>
          <w:sz w:val="28"/>
          <w:szCs w:val="28"/>
          <w:rtl/>
        </w:rPr>
        <w:t>التي تنظر إلى البرامج الترفيهية بوصفها موارد وظيفية تُخفّف أثر ضغوط العمل</w:t>
      </w:r>
      <w:r w:rsidRPr="000007C7">
        <w:rPr>
          <w:rFonts w:ascii="Simplified Arabic" w:hAnsi="Simplified Arabic" w:cs="Simplified Arabic"/>
          <w:color w:val="000000" w:themeColor="text1"/>
          <w:sz w:val="28"/>
          <w:szCs w:val="28"/>
        </w:rPr>
        <w:t>.</w:t>
      </w:r>
    </w:p>
    <w:p w14:paraId="1186BBB0" w14:textId="77777777" w:rsidR="006E71B9" w:rsidRPr="000007C7" w:rsidRDefault="006E71B9" w:rsidP="00FC2E6C">
      <w:pPr>
        <w:pStyle w:val="ListParagraph"/>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0007C7">
        <w:rPr>
          <w:rFonts w:ascii="Simplified Arabic" w:hAnsi="Simplified Arabic" w:cs="Simplified Arabic"/>
          <w:color w:val="000000" w:themeColor="text1"/>
          <w:sz w:val="28"/>
          <w:szCs w:val="28"/>
          <w:rtl/>
        </w:rPr>
        <w:t>تُساعد الدراسة في سدّ الفجوة البحثية المتعلقة بقلّة الدراسات التطبيقية التي تربط مباشرة بين البرامج الترفيهية المتنوعة والأداء المؤسسي الشامل، حيث ركّزت معظم الدراسات السابقة على متغيرات وسيطة كالرضا الوظيفي أو الاندماج الوظيفي دون الوصول إلى الأداء المؤسسي بأبعاده الاستراتيجية</w:t>
      </w:r>
      <w:r w:rsidRPr="000007C7">
        <w:rPr>
          <w:rFonts w:ascii="Simplified Arabic" w:hAnsi="Simplified Arabic" w:cs="Simplified Arabic"/>
          <w:color w:val="000000" w:themeColor="text1"/>
          <w:sz w:val="28"/>
          <w:szCs w:val="28"/>
        </w:rPr>
        <w:t>.</w:t>
      </w:r>
    </w:p>
    <w:p w14:paraId="149A0EE2" w14:textId="77777777" w:rsidR="006E71B9" w:rsidRPr="000007C7" w:rsidRDefault="006E71B9" w:rsidP="00CF335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0007C7">
        <w:rPr>
          <w:rFonts w:ascii="Simplified Arabic" w:hAnsi="Simplified Arabic" w:cs="Simplified Arabic"/>
          <w:b/>
          <w:bCs/>
          <w:color w:val="000000" w:themeColor="text1"/>
          <w:sz w:val="32"/>
          <w:szCs w:val="32"/>
          <w:rtl/>
        </w:rPr>
        <w:t>ثانيًا: الأهمية العملية (التطبيقية)</w:t>
      </w:r>
    </w:p>
    <w:p w14:paraId="7539AB19" w14:textId="77777777" w:rsidR="006E71B9" w:rsidRPr="000007C7" w:rsidRDefault="006E71B9" w:rsidP="00FC2E6C">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0007C7">
        <w:rPr>
          <w:rFonts w:ascii="Simplified Arabic" w:hAnsi="Simplified Arabic" w:cs="Simplified Arabic"/>
          <w:color w:val="000000" w:themeColor="text1"/>
          <w:sz w:val="28"/>
          <w:szCs w:val="28"/>
          <w:rtl/>
        </w:rPr>
        <w:t>تُزوّد الدراسة صانعي القرار ومديري الموارد البشرية في منظمات القطاع الخاص بأدلة علمية حول أهمية البرامج الترفيهية في بيئة العمل، مما يساعدهم في اتخاذ قرارات مبنية على أسس بحثية عند تصميم استراتيجيات تحسين بيئة العمل وتخصيص الموارد اللازمة لها</w:t>
      </w:r>
      <w:r w:rsidRPr="000007C7">
        <w:rPr>
          <w:rFonts w:ascii="Simplified Arabic" w:hAnsi="Simplified Arabic" w:cs="Simplified Arabic"/>
          <w:color w:val="000000" w:themeColor="text1"/>
          <w:sz w:val="28"/>
          <w:szCs w:val="28"/>
        </w:rPr>
        <w:t>.</w:t>
      </w:r>
    </w:p>
    <w:p w14:paraId="4065C45C" w14:textId="77777777" w:rsidR="006E71B9" w:rsidRPr="000007C7" w:rsidRDefault="006E71B9" w:rsidP="00FC2E6C">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0007C7">
        <w:rPr>
          <w:rFonts w:ascii="Simplified Arabic" w:hAnsi="Simplified Arabic" w:cs="Simplified Arabic"/>
          <w:color w:val="000000" w:themeColor="text1"/>
          <w:sz w:val="28"/>
          <w:szCs w:val="28"/>
          <w:rtl/>
        </w:rPr>
        <w:t>تُساعد نتائج الدراسة المنظمات في تحديد أيّ أبعاد البرامج الترفيهية أكثر تأثيرًا على الأداء المؤسسي، مما يُمكّنها من ترتيب أولويات الاستثمار في هذه البرامج وتوجيه الميزانيات نحو الأنشطة الأكثر فاعلية بدلًا من الإنفاق العشوائي</w:t>
      </w:r>
      <w:r w:rsidRPr="000007C7">
        <w:rPr>
          <w:rFonts w:ascii="Simplified Arabic" w:hAnsi="Simplified Arabic" w:cs="Simplified Arabic"/>
          <w:color w:val="000000" w:themeColor="text1"/>
          <w:sz w:val="28"/>
          <w:szCs w:val="28"/>
        </w:rPr>
        <w:t>.</w:t>
      </w:r>
    </w:p>
    <w:p w14:paraId="1B2AD504" w14:textId="77777777" w:rsidR="006E71B9" w:rsidRPr="000007C7" w:rsidRDefault="006E71B9" w:rsidP="00FC2E6C">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0007C7">
        <w:rPr>
          <w:rFonts w:ascii="Simplified Arabic" w:hAnsi="Simplified Arabic" w:cs="Simplified Arabic"/>
          <w:color w:val="000000" w:themeColor="text1"/>
          <w:sz w:val="28"/>
          <w:szCs w:val="28"/>
          <w:rtl/>
        </w:rPr>
        <w:t>تُقدّم الدراسة توصيات عملية يمكن أن تسترشد بها المنظمات عند تصميم وتنفيذ برامج ترفيهية شاملة ومتكاملة، بما يتناسب مع طبيعة القطاع الخاص وخصائص القوى العاملة فيه من حيث التنوع الديموغرافي والوظيفي</w:t>
      </w:r>
      <w:r w:rsidRPr="000007C7">
        <w:rPr>
          <w:rFonts w:ascii="Simplified Arabic" w:hAnsi="Simplified Arabic" w:cs="Simplified Arabic"/>
          <w:color w:val="000000" w:themeColor="text1"/>
          <w:sz w:val="28"/>
          <w:szCs w:val="28"/>
        </w:rPr>
        <w:t>.</w:t>
      </w:r>
    </w:p>
    <w:p w14:paraId="15F0C454" w14:textId="77777777" w:rsidR="006E71B9" w:rsidRPr="000007C7" w:rsidRDefault="006E71B9" w:rsidP="00FC2E6C">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0007C7">
        <w:rPr>
          <w:rFonts w:ascii="Simplified Arabic" w:hAnsi="Simplified Arabic" w:cs="Simplified Arabic"/>
          <w:color w:val="000000" w:themeColor="text1"/>
          <w:sz w:val="28"/>
          <w:szCs w:val="28"/>
          <w:rtl/>
        </w:rPr>
        <w:t>تُوفّر الدراسة مؤشرات عملية للعاملين أنفسهم حول أهمية المشاركة الفعّالة في البرامج الترفيهية المتاحة في بيئة العمل وانعكاس ذلك على أدائهم الفردي وأداء منظماتهم ككل، مما يُعزّز وعيهم بدور هذه البرامج في تحسين جودة حياتهم المهنية</w:t>
      </w:r>
      <w:r w:rsidRPr="000007C7">
        <w:rPr>
          <w:rFonts w:ascii="Simplified Arabic" w:hAnsi="Simplified Arabic" w:cs="Simplified Arabic"/>
          <w:color w:val="000000" w:themeColor="text1"/>
          <w:sz w:val="28"/>
          <w:szCs w:val="28"/>
        </w:rPr>
        <w:t>.</w:t>
      </w:r>
    </w:p>
    <w:p w14:paraId="02F21945" w14:textId="19F1FA36" w:rsidR="00FC2E6C" w:rsidRPr="000007C7" w:rsidRDefault="00FC2E6C" w:rsidP="00FC2E6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0" w:name="_Toc169790501"/>
      <w:bookmarkStart w:id="11" w:name="_Toc233737552"/>
      <w:bookmarkEnd w:id="4"/>
      <w:r w:rsidRPr="000007C7">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1"/>
    </w:p>
    <w:p w14:paraId="7E64E8AD" w14:textId="77777777" w:rsidR="00FC2E6C" w:rsidRPr="000007C7" w:rsidRDefault="00FC2E6C" w:rsidP="00FC2E6C">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007C7">
        <w:rPr>
          <w:rFonts w:ascii="Simplified Arabic" w:eastAsia="Times New Roman" w:hAnsi="Simplified Arabic" w:cs="Simplified Arabic"/>
          <w:b/>
          <w:bCs/>
          <w:color w:val="000000" w:themeColor="text1"/>
          <w:kern w:val="0"/>
          <w:sz w:val="28"/>
          <w:szCs w:val="28"/>
          <w:rtl/>
          <w14:ligatures w14:val="none"/>
        </w:rPr>
        <w:lastRenderedPageBreak/>
        <w:t>دراسة الطراونة</w:t>
      </w:r>
      <w:r w:rsidRPr="000007C7">
        <w:rPr>
          <w:rFonts w:ascii="Simplified Arabic" w:eastAsia="Times New Roman" w:hAnsi="Simplified Arabic" w:cs="Simplified Arabic"/>
          <w:b/>
          <w:bCs/>
          <w:color w:val="000000" w:themeColor="text1"/>
          <w:kern w:val="0"/>
          <w:sz w:val="28"/>
          <w:szCs w:val="28"/>
          <w14:ligatures w14:val="none"/>
        </w:rPr>
        <w:t xml:space="preserve"> (2021): "</w:t>
      </w:r>
      <w:r w:rsidRPr="000007C7">
        <w:rPr>
          <w:rFonts w:ascii="Simplified Arabic" w:eastAsia="Times New Roman" w:hAnsi="Simplified Arabic" w:cs="Simplified Arabic"/>
          <w:b/>
          <w:bCs/>
          <w:color w:val="000000" w:themeColor="text1"/>
          <w:kern w:val="0"/>
          <w:sz w:val="28"/>
          <w:szCs w:val="28"/>
          <w:rtl/>
          <w14:ligatures w14:val="none"/>
        </w:rPr>
        <w:t xml:space="preserve">أثر جودة حياة العمل على الأداء المؤسسي: دراسة تطبيقية على المستشفيات الخاصة العاملة في محافظة الزرقاء." </w:t>
      </w:r>
    </w:p>
    <w:p w14:paraId="2115F72A" w14:textId="003F4012" w:rsidR="00FC2E6C" w:rsidRPr="000007C7" w:rsidRDefault="00FC2E6C"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هدفت الدراسة إلى التعرف على أثر جودة حياة العمل بأبعادها (التوازن بين الحياة والعمل، النمط القيادي والإشرافي، المشاركة في اتخاذ القرار، الاستقرار والأمان الوظيفي، عدالة الأجور) على الأداء المؤسسي في المستشفيات الخاصة. واستخدمت الدراسة المنهج الوصفي التحليلي، وتكوّنت العينة من (125) موظفًا وموظفة تم اختيارهم عشوائيًّا، واستُخدمت الاستبانة أداةً لجمع البيانات وبرنامج</w:t>
      </w:r>
      <w:r w:rsidRPr="000007C7">
        <w:rPr>
          <w:rFonts w:ascii="Simplified Arabic" w:eastAsia="Times New Roman" w:hAnsi="Simplified Arabic" w:cs="Simplified Arabic"/>
          <w:color w:val="000000" w:themeColor="text1"/>
          <w:kern w:val="0"/>
          <w:sz w:val="28"/>
          <w:szCs w:val="28"/>
          <w14:ligatures w14:val="none"/>
        </w:rPr>
        <w:t xml:space="preserve"> (SPSS) </w:t>
      </w:r>
      <w:r w:rsidRPr="000007C7">
        <w:rPr>
          <w:rFonts w:ascii="Simplified Arabic" w:eastAsia="Times New Roman" w:hAnsi="Simplified Arabic" w:cs="Simplified Arabic"/>
          <w:color w:val="000000" w:themeColor="text1"/>
          <w:kern w:val="0"/>
          <w:sz w:val="28"/>
          <w:szCs w:val="28"/>
          <w:rtl/>
          <w14:ligatures w14:val="none"/>
        </w:rPr>
        <w:t xml:space="preserve">لتحليلها. وتوصّلت نتائج الدراسة إلى وجود علاقة إيجابية قوية بين جودة حياة العمل </w:t>
      </w:r>
      <w:r w:rsidRPr="000007C7">
        <w:rPr>
          <w:rFonts w:ascii="Simplified Arabic" w:eastAsia="Times New Roman" w:hAnsi="Simplified Arabic" w:cs="Simplified Arabic"/>
          <w:color w:val="000000" w:themeColor="text1"/>
          <w:kern w:val="0"/>
          <w:sz w:val="28"/>
          <w:szCs w:val="28"/>
          <w14:ligatures w14:val="none"/>
        </w:rPr>
        <w:t>(</w:t>
      </w:r>
      <w:r w:rsidRPr="000007C7">
        <w:rPr>
          <w:rFonts w:ascii="Simplified Arabic" w:eastAsia="Times New Roman" w:hAnsi="Simplified Arabic" w:cs="Simplified Arabic"/>
          <w:color w:val="000000" w:themeColor="text1"/>
          <w:kern w:val="0"/>
          <w:sz w:val="28"/>
          <w:szCs w:val="28"/>
          <w:rtl/>
          <w14:ligatures w14:val="none"/>
        </w:rPr>
        <w:t>الاستقرار والأمان الوظيفي، التوازن بين الحياة والعمل، النمط القيادي والإشرافي) والأداء المؤسسي، مع وجود درجة متوسطة من الموافقة على توافر جودة حياة العمل. وأوصت الدراسة بدراسة وتحليل العوامل المؤثرة على جودة حياة العمل والمتغيرات الشخصية والوظيفية لما لها من أثر على الأداء المؤسسي</w:t>
      </w:r>
      <w:r w:rsidRPr="000007C7">
        <w:rPr>
          <w:rFonts w:ascii="Simplified Arabic" w:eastAsia="Times New Roman" w:hAnsi="Simplified Arabic" w:cs="Simplified Arabic"/>
          <w:color w:val="000000" w:themeColor="text1"/>
          <w:kern w:val="0"/>
          <w:sz w:val="28"/>
          <w:szCs w:val="28"/>
          <w14:ligatures w14:val="none"/>
        </w:rPr>
        <w:t>.</w:t>
      </w:r>
    </w:p>
    <w:p w14:paraId="1589A977" w14:textId="77777777" w:rsidR="00FC2E6C" w:rsidRPr="000007C7" w:rsidRDefault="00FC2E6C" w:rsidP="00FC2E6C">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007C7">
        <w:rPr>
          <w:rFonts w:ascii="Simplified Arabic" w:eastAsia="Times New Roman" w:hAnsi="Simplified Arabic" w:cs="Simplified Arabic"/>
          <w:b/>
          <w:bCs/>
          <w:color w:val="000000" w:themeColor="text1"/>
          <w:kern w:val="0"/>
          <w:sz w:val="28"/>
          <w:szCs w:val="28"/>
          <w:rtl/>
          <w14:ligatures w14:val="none"/>
        </w:rPr>
        <w:t>دراسة منصور</w:t>
      </w:r>
      <w:r w:rsidRPr="000007C7">
        <w:rPr>
          <w:rFonts w:ascii="Simplified Arabic" w:eastAsia="Times New Roman" w:hAnsi="Simplified Arabic" w:cs="Simplified Arabic"/>
          <w:b/>
          <w:bCs/>
          <w:color w:val="000000" w:themeColor="text1"/>
          <w:kern w:val="0"/>
          <w:sz w:val="28"/>
          <w:szCs w:val="28"/>
          <w14:ligatures w14:val="none"/>
        </w:rPr>
        <w:t xml:space="preserve"> (2023): "</w:t>
      </w:r>
      <w:r w:rsidRPr="000007C7">
        <w:rPr>
          <w:rFonts w:ascii="Simplified Arabic" w:eastAsia="Times New Roman" w:hAnsi="Simplified Arabic" w:cs="Simplified Arabic"/>
          <w:b/>
          <w:bCs/>
          <w:color w:val="000000" w:themeColor="text1"/>
          <w:kern w:val="0"/>
          <w:sz w:val="28"/>
          <w:szCs w:val="28"/>
          <w:rtl/>
          <w14:ligatures w14:val="none"/>
        </w:rPr>
        <w:t xml:space="preserve">دور المرونة الاستراتيجية في تحقيق تميز الأداء المؤسسي وفقًا للنموذج الأوروبي </w:t>
      </w:r>
      <w:r w:rsidRPr="000007C7">
        <w:rPr>
          <w:rFonts w:ascii="Simplified Arabic" w:eastAsia="Times New Roman" w:hAnsi="Simplified Arabic" w:cs="Simplified Arabic"/>
          <w:b/>
          <w:bCs/>
          <w:color w:val="000000" w:themeColor="text1"/>
          <w:kern w:val="0"/>
          <w:sz w:val="28"/>
          <w:szCs w:val="28"/>
          <w14:ligatures w14:val="none"/>
        </w:rPr>
        <w:t xml:space="preserve">EFQM." </w:t>
      </w:r>
    </w:p>
    <w:p w14:paraId="62B7B7B5" w14:textId="5D36F32D" w:rsidR="00FC2E6C" w:rsidRPr="000007C7" w:rsidRDefault="00FC2E6C"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هدفت الدراسة إلى التعرف على دور المرونة الاستراتيجية بأبعادها (مرونة الموارد، مرونة التنسيق، مرونة المعلومات) في تحقيق تميز الأداء المؤسسي وفقًا لمعايير النموذج الأوروبي للتميز. واستخدمت الدراسة المنهج الوصفي التحليلي، وتكوّنت العينة من عدد من المديرين في المؤسسات الفلسطينية. وتوصّلت نتائج الدراسة إلى أنّ المرونة الاستراتيجية حصلت على نسبة (83.07%) مما يدلّ على مستوى مرتفع، وأنّ لها أثرًا إيجابيًّا ذا دلالة إحصائية على تميز الأداء المؤسسي. وأوصت الدراسة بتعزيز قدرات المؤسسات على التكيّف الاستراتيجي وتطوير مرونة مواردها البشرية والمالية والتنظيمية</w:t>
      </w:r>
      <w:r w:rsidRPr="000007C7">
        <w:rPr>
          <w:rFonts w:ascii="Simplified Arabic" w:eastAsia="Times New Roman" w:hAnsi="Simplified Arabic" w:cs="Simplified Arabic"/>
          <w:color w:val="000000" w:themeColor="text1"/>
          <w:kern w:val="0"/>
          <w:sz w:val="28"/>
          <w:szCs w:val="28"/>
          <w14:ligatures w14:val="none"/>
        </w:rPr>
        <w:t>.</w:t>
      </w:r>
    </w:p>
    <w:p w14:paraId="2FA4E7F3" w14:textId="77777777" w:rsidR="00FC2E6C" w:rsidRPr="000007C7" w:rsidRDefault="00FC2E6C" w:rsidP="00FC2E6C">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007C7">
        <w:rPr>
          <w:rFonts w:ascii="Simplified Arabic" w:eastAsia="Times New Roman" w:hAnsi="Simplified Arabic" w:cs="Simplified Arabic"/>
          <w:b/>
          <w:bCs/>
          <w:color w:val="000000" w:themeColor="text1"/>
          <w:kern w:val="0"/>
          <w:sz w:val="28"/>
          <w:szCs w:val="28"/>
          <w:rtl/>
          <w14:ligatures w14:val="none"/>
        </w:rPr>
        <w:t>دراسة الزهراني</w:t>
      </w:r>
      <w:r w:rsidRPr="000007C7">
        <w:rPr>
          <w:rFonts w:ascii="Simplified Arabic" w:eastAsia="Times New Roman" w:hAnsi="Simplified Arabic" w:cs="Simplified Arabic"/>
          <w:b/>
          <w:bCs/>
          <w:color w:val="000000" w:themeColor="text1"/>
          <w:kern w:val="0"/>
          <w:sz w:val="28"/>
          <w:szCs w:val="28"/>
          <w14:ligatures w14:val="none"/>
        </w:rPr>
        <w:t xml:space="preserve"> (2023): "</w:t>
      </w:r>
      <w:r w:rsidRPr="000007C7">
        <w:rPr>
          <w:rFonts w:ascii="Simplified Arabic" w:eastAsia="Times New Roman" w:hAnsi="Simplified Arabic" w:cs="Simplified Arabic"/>
          <w:b/>
          <w:bCs/>
          <w:color w:val="000000" w:themeColor="text1"/>
          <w:kern w:val="0"/>
          <w:sz w:val="28"/>
          <w:szCs w:val="28"/>
          <w:rtl/>
          <w14:ligatures w14:val="none"/>
        </w:rPr>
        <w:t xml:space="preserve">أثر تطبيق إدارة الجودة الشاملة في تحسين الأداء المؤسسي في المنظمات الأهلية الأجنبية العاملة في قطاع غزة." </w:t>
      </w:r>
    </w:p>
    <w:p w14:paraId="3D0F9676" w14:textId="646334A9" w:rsidR="00FC2E6C" w:rsidRPr="000007C7" w:rsidRDefault="00FC2E6C"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تطبيق إدارة الجودة الشاملة بأبعادها (التحسين المستمر، التركيز على العملاء، العمل الجماعي، التزام الإدارة العليا) على تحسين الأداء المؤسسي في المنظمات الأهلية الأجنبية. واستخدمت الدراسة المنهج الوصفي التحليلي، وتكوّنت العينة من العاملين في المنظمات الأهلية الأجنبية بقطاع غزة، واستُخدمت الاستبانة أداةً لجمع البيانات. وتوصّلت نتائج الدراسة إلى وجود أثر إيجابي </w:t>
      </w:r>
      <w:r w:rsidRPr="000007C7">
        <w:rPr>
          <w:rFonts w:ascii="Simplified Arabic" w:eastAsia="Times New Roman" w:hAnsi="Simplified Arabic" w:cs="Simplified Arabic"/>
          <w:color w:val="000000" w:themeColor="text1"/>
          <w:kern w:val="0"/>
          <w:sz w:val="28"/>
          <w:szCs w:val="28"/>
          <w:rtl/>
          <w14:ligatures w14:val="none"/>
        </w:rPr>
        <w:lastRenderedPageBreak/>
        <w:t>ذو دلالة إحصائية لإدارة الجودة الشاملة على الأداء المؤسسي، وأنّ بُعد التحسين المستمر كان الأكثر تأثيرًا. وأوصت الدراسة بتعزيز ممارسات الجودة الشاملة وتبنّي ثقافة التحسين المستمر في المؤسسات</w:t>
      </w:r>
      <w:r w:rsidRPr="000007C7">
        <w:rPr>
          <w:rFonts w:ascii="Simplified Arabic" w:eastAsia="Times New Roman" w:hAnsi="Simplified Arabic" w:cs="Simplified Arabic"/>
          <w:color w:val="000000" w:themeColor="text1"/>
          <w:kern w:val="0"/>
          <w:sz w:val="28"/>
          <w:szCs w:val="28"/>
          <w14:ligatures w14:val="none"/>
        </w:rPr>
        <w:t>.</w:t>
      </w:r>
    </w:p>
    <w:p w14:paraId="4CE81A00" w14:textId="77777777" w:rsidR="00FC2E6C" w:rsidRPr="000007C7" w:rsidRDefault="00646233" w:rsidP="00FC2E6C">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007C7">
        <w:rPr>
          <w:rFonts w:ascii="Simplified Arabic" w:eastAsia="Times New Roman" w:hAnsi="Simplified Arabic" w:cs="Simplified Arabic"/>
          <w:b/>
          <w:bCs/>
          <w:color w:val="000000" w:themeColor="text1"/>
          <w:kern w:val="0"/>
          <w:sz w:val="28"/>
          <w:szCs w:val="28"/>
          <w:rtl/>
          <w14:ligatures w14:val="none"/>
        </w:rPr>
        <w:t>دراسة مانع وبوهراوة</w:t>
      </w:r>
      <w:r w:rsidRPr="000007C7">
        <w:rPr>
          <w:rFonts w:ascii="Simplified Arabic" w:eastAsia="Times New Roman" w:hAnsi="Simplified Arabic" w:cs="Simplified Arabic"/>
          <w:b/>
          <w:bCs/>
          <w:color w:val="000000" w:themeColor="text1"/>
          <w:kern w:val="0"/>
          <w:sz w:val="28"/>
          <w:szCs w:val="28"/>
          <w14:ligatures w14:val="none"/>
        </w:rPr>
        <w:t xml:space="preserve"> (2021): "</w:t>
      </w:r>
      <w:r w:rsidRPr="000007C7">
        <w:rPr>
          <w:rFonts w:ascii="Simplified Arabic" w:eastAsia="Times New Roman" w:hAnsi="Simplified Arabic" w:cs="Simplified Arabic"/>
          <w:b/>
          <w:bCs/>
          <w:color w:val="000000" w:themeColor="text1"/>
          <w:kern w:val="0"/>
          <w:sz w:val="28"/>
          <w:szCs w:val="28"/>
          <w:rtl/>
          <w14:ligatures w14:val="none"/>
        </w:rPr>
        <w:t xml:space="preserve">السعادة الوظيفية وأثرها على الأداء الوظيفي." </w:t>
      </w:r>
    </w:p>
    <w:p w14:paraId="75757B03" w14:textId="7F3A4D56" w:rsidR="00646233" w:rsidRPr="000007C7" w:rsidRDefault="00646233"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هدفت الدراسة إلى التعرف على أثر السعادة الوظيفية بأبعادها (الاندماج الوظيفي، الرضا الوظيفي، الالتزام التنظيمي، الاستمتاع بالعمل) على الأداء الوظيفي للعاملين</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الوصفي التحليلي، وتكوّنت العينة من عدد من موظفي المؤسسات الجزائرية. وتوصّلت نتائج الدراسة إلى وجود علاقة ارتباطية إيجابية ذات دلالة إحصائية بين جميع أبعاد السعادة الوظيفية والأداء الوظيفي، في حين أنّ بُعد الاعتزاز أظهر أثرًا إيجابيًا متواضعًا لا يتجاوز </w:t>
      </w:r>
      <w:r w:rsidRPr="000007C7">
        <w:rPr>
          <w:rFonts w:ascii="Simplified Arabic" w:eastAsia="Times New Roman" w:hAnsi="Simplified Arabic" w:cs="Simplified Arabic"/>
          <w:color w:val="000000" w:themeColor="text1"/>
          <w:kern w:val="0"/>
          <w:sz w:val="28"/>
          <w:szCs w:val="28"/>
          <w14:ligatures w14:val="none"/>
        </w:rPr>
        <w:t xml:space="preserve">50% </w:t>
      </w:r>
      <w:r w:rsidRPr="000007C7">
        <w:rPr>
          <w:rFonts w:ascii="Simplified Arabic" w:eastAsia="Times New Roman" w:hAnsi="Simplified Arabic" w:cs="Simplified Arabic"/>
          <w:color w:val="000000" w:themeColor="text1"/>
          <w:kern w:val="0"/>
          <w:sz w:val="28"/>
          <w:szCs w:val="28"/>
          <w:rtl/>
          <w14:ligatures w14:val="none"/>
        </w:rPr>
        <w:t>في تفسير التباين في الأداء. وأوصت الدراسة بضرورة تعزيز بيئة العمل السعيدة من خلال أنشطة ترفيهية ومحفّزة تسهم في رفع معنويات العاملين وتحسين أدائهم</w:t>
      </w:r>
      <w:r w:rsidRPr="000007C7">
        <w:rPr>
          <w:rFonts w:ascii="Simplified Arabic" w:eastAsia="Times New Roman" w:hAnsi="Simplified Arabic" w:cs="Simplified Arabic"/>
          <w:color w:val="000000" w:themeColor="text1"/>
          <w:kern w:val="0"/>
          <w:sz w:val="28"/>
          <w:szCs w:val="28"/>
          <w14:ligatures w14:val="none"/>
        </w:rPr>
        <w:t>.</w:t>
      </w:r>
    </w:p>
    <w:p w14:paraId="103A30EA" w14:textId="77777777" w:rsidR="00FC2E6C" w:rsidRPr="000007C7" w:rsidRDefault="00FC2E6C" w:rsidP="00FC2E6C">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007C7">
        <w:rPr>
          <w:rFonts w:ascii="Simplified Arabic" w:eastAsia="Times New Roman" w:hAnsi="Simplified Arabic" w:cs="Simplified Arabic"/>
          <w:b/>
          <w:bCs/>
          <w:color w:val="000000" w:themeColor="text1"/>
          <w:kern w:val="0"/>
          <w:sz w:val="28"/>
          <w:szCs w:val="28"/>
          <w:rtl/>
          <w14:ligatures w14:val="none"/>
        </w:rPr>
        <w:t>دراسة</w:t>
      </w:r>
      <w:r w:rsidRPr="000007C7">
        <w:rPr>
          <w:rFonts w:ascii="Simplified Arabic" w:eastAsia="Times New Roman" w:hAnsi="Simplified Arabic" w:cs="Simplified Arabic"/>
          <w:b/>
          <w:bCs/>
          <w:color w:val="000000" w:themeColor="text1"/>
          <w:kern w:val="0"/>
          <w:sz w:val="28"/>
          <w:szCs w:val="28"/>
          <w14:ligatures w14:val="none"/>
        </w:rPr>
        <w:t xml:space="preserve"> Jyoti &amp; Dimple (2022): "Fun at Workplace and Intention to Leave: Role of Work Engagement and Group Cohesion." </w:t>
      </w:r>
    </w:p>
    <w:p w14:paraId="4A611FE3" w14:textId="237346EB" w:rsidR="00FC2E6C" w:rsidRPr="000007C7" w:rsidRDefault="00FC2E6C"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هدفت الدراسة إلى التعرف على أثر المرح في بيئة العمل على نية ترك العمل، مع اختبار الدور الوسيط للاندماج الوظيفي والدور المعدِّل لتماسك المجموعة. واستخدمت الدراسة المنهج الكمّي، وتكوّنت العينة من</w:t>
      </w:r>
      <w:r w:rsidRPr="000007C7">
        <w:rPr>
          <w:rFonts w:ascii="Simplified Arabic" w:eastAsia="Times New Roman" w:hAnsi="Simplified Arabic" w:cs="Simplified Arabic"/>
          <w:color w:val="000000" w:themeColor="text1"/>
          <w:kern w:val="0"/>
          <w:sz w:val="28"/>
          <w:szCs w:val="28"/>
          <w14:ligatures w14:val="none"/>
        </w:rPr>
        <w:t xml:space="preserve"> (244) </w:t>
      </w:r>
      <w:r w:rsidRPr="000007C7">
        <w:rPr>
          <w:rFonts w:ascii="Simplified Arabic" w:eastAsia="Times New Roman" w:hAnsi="Simplified Arabic" w:cs="Simplified Arabic"/>
          <w:color w:val="000000" w:themeColor="text1"/>
          <w:kern w:val="0"/>
          <w:sz w:val="28"/>
          <w:szCs w:val="28"/>
          <w:rtl/>
          <w14:ligatures w14:val="none"/>
        </w:rPr>
        <w:t xml:space="preserve">موظفًا من أصل (753) تم التواصل معهم في مطاعم الوجبات السريعة بالهند، واستُخدم التحليل العاملي الاستكشافي والتوكيدي ونمذجة المعادلات الهيكلية </w:t>
      </w:r>
      <w:r w:rsidRPr="000007C7">
        <w:rPr>
          <w:rFonts w:ascii="Simplified Arabic" w:eastAsia="Times New Roman" w:hAnsi="Simplified Arabic" w:cs="Simplified Arabic"/>
          <w:color w:val="000000" w:themeColor="text1"/>
          <w:kern w:val="0"/>
          <w:sz w:val="28"/>
          <w:szCs w:val="28"/>
          <w14:ligatures w14:val="none"/>
        </w:rPr>
        <w:t xml:space="preserve">(SEM). </w:t>
      </w:r>
      <w:r w:rsidRPr="000007C7">
        <w:rPr>
          <w:rFonts w:ascii="Simplified Arabic" w:eastAsia="Times New Roman" w:hAnsi="Simplified Arabic" w:cs="Simplified Arabic"/>
          <w:color w:val="000000" w:themeColor="text1"/>
          <w:kern w:val="0"/>
          <w:sz w:val="28"/>
          <w:szCs w:val="28"/>
          <w:rtl/>
          <w14:ligatures w14:val="none"/>
        </w:rPr>
        <w:t>وتوصّلت نتائج الدراسة إلى أنّ الاندماج الوظيفي يتوسّط العلاقة بين المرح في بيئة العمل ونية ترك العمل، كما يُعدِّل تماسك المجموعة العلاقة بين المرح والاندماج الوظيفي. وأوصت الدراسة بتطوير ثقافة عمل قائمة على المرح والاستمتاع لخلق بيئة مريحة للموظفين وتقليل نيتهم في ترك العمل</w:t>
      </w:r>
      <w:r w:rsidRPr="000007C7">
        <w:rPr>
          <w:rFonts w:ascii="Simplified Arabic" w:eastAsia="Times New Roman" w:hAnsi="Simplified Arabic" w:cs="Simplified Arabic"/>
          <w:color w:val="000000" w:themeColor="text1"/>
          <w:kern w:val="0"/>
          <w:sz w:val="28"/>
          <w:szCs w:val="28"/>
          <w14:ligatures w14:val="none"/>
        </w:rPr>
        <w:t>.</w:t>
      </w:r>
    </w:p>
    <w:p w14:paraId="18746AE8" w14:textId="77777777" w:rsidR="00FC2E6C" w:rsidRPr="000007C7" w:rsidRDefault="00FC2E6C" w:rsidP="00FC2E6C">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007C7">
        <w:rPr>
          <w:rFonts w:ascii="Simplified Arabic" w:eastAsia="Times New Roman" w:hAnsi="Simplified Arabic" w:cs="Simplified Arabic"/>
          <w:b/>
          <w:bCs/>
          <w:color w:val="000000" w:themeColor="text1"/>
          <w:kern w:val="0"/>
          <w:sz w:val="28"/>
          <w:szCs w:val="28"/>
          <w:rtl/>
          <w14:ligatures w14:val="none"/>
        </w:rPr>
        <w:t>دراسة</w:t>
      </w:r>
      <w:r w:rsidRPr="000007C7">
        <w:rPr>
          <w:rFonts w:ascii="Simplified Arabic" w:eastAsia="Times New Roman" w:hAnsi="Simplified Arabic" w:cs="Simplified Arabic"/>
          <w:b/>
          <w:bCs/>
          <w:color w:val="000000" w:themeColor="text1"/>
          <w:kern w:val="0"/>
          <w:sz w:val="28"/>
          <w:szCs w:val="28"/>
          <w14:ligatures w14:val="none"/>
        </w:rPr>
        <w:t xml:space="preserve"> Hauff, Krick, Klebe, &amp; Felfe (2022): "High-Performance Work Practices and Employee Wellbeing—Does Health-Oriented Leadership Make a Difference?" </w:t>
      </w:r>
    </w:p>
    <w:p w14:paraId="01D08F6E" w14:textId="45360F56" w:rsidR="00FC2E6C" w:rsidRPr="000007C7" w:rsidRDefault="00FC2E6C"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007C7">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العلاقة بين ممارسات العمل عالية الأداء بأبعادها (ممارسات تعزيز القدرات، ممارسات تعزيز الدافعية، ممارسات تعزيز الفرص) ورفاهية الموظفين (الالتزام، الاندماج، الصحة العامة، الشكاوى الصحية، الإجهاد)، مع اختبار الدور المعدِّل للقيادة الموجّهة نحو الصحة. واستخدمت </w:t>
      </w:r>
      <w:r w:rsidRPr="000007C7">
        <w:rPr>
          <w:rFonts w:ascii="Simplified Arabic" w:eastAsia="Times New Roman" w:hAnsi="Simplified Arabic" w:cs="Simplified Arabic"/>
          <w:color w:val="000000" w:themeColor="text1"/>
          <w:kern w:val="0"/>
          <w:sz w:val="28"/>
          <w:szCs w:val="28"/>
          <w:rtl/>
          <w14:ligatures w14:val="none"/>
        </w:rPr>
        <w:lastRenderedPageBreak/>
        <w:t xml:space="preserve">الدراسة المنهج الكمّي بتصميم طولي عبر نقطتين زمنيتين، وتكوّنت العينة من (1,345) موظفًا في ألمانيا يعملون في قطاعات متنوعة (67.2% قطاع خاص)، واستُخدم ماكرو </w:t>
      </w:r>
      <w:r w:rsidRPr="000007C7">
        <w:rPr>
          <w:rFonts w:ascii="Simplified Arabic" w:eastAsia="Times New Roman" w:hAnsi="Simplified Arabic" w:cs="Simplified Arabic"/>
          <w:color w:val="000000" w:themeColor="text1"/>
          <w:kern w:val="0"/>
          <w:sz w:val="28"/>
          <w:szCs w:val="28"/>
          <w14:ligatures w14:val="none"/>
        </w:rPr>
        <w:t xml:space="preserve">PROCESS </w:t>
      </w:r>
      <w:r w:rsidRPr="000007C7">
        <w:rPr>
          <w:rFonts w:ascii="Simplified Arabic" w:eastAsia="Times New Roman" w:hAnsi="Simplified Arabic" w:cs="Simplified Arabic"/>
          <w:color w:val="000000" w:themeColor="text1"/>
          <w:kern w:val="0"/>
          <w:sz w:val="28"/>
          <w:szCs w:val="28"/>
          <w:rtl/>
          <w14:ligatures w14:val="none"/>
        </w:rPr>
        <w:t>لتحليل التعديل. وتوصّلت نتائج الدراسة إلى أنّ ممارسات العمل عالية الأداء ترتبط إيجابيًّا بالاندماج والالتزام والصحة العامة، وسلبيًّا بالشكاوى الصحية والإجهاد، كما أنّ القيادة الموجّهة نحو الصحة تُضعف هذه العلاقة الإيجابية (أثر تعويضي/بديلي). وأوصت الدراسة بتبنّي ممارسات عمل عالية الأداء إلى جانب قيادة صحية لتعزيز رفاهية الموظفين والأداء المؤسسي</w:t>
      </w:r>
      <w:r w:rsidRPr="000007C7">
        <w:rPr>
          <w:rFonts w:ascii="Simplified Arabic" w:eastAsia="Times New Roman" w:hAnsi="Simplified Arabic" w:cs="Simplified Arabic"/>
          <w:color w:val="000000" w:themeColor="text1"/>
          <w:kern w:val="0"/>
          <w:sz w:val="28"/>
          <w:szCs w:val="28"/>
          <w14:ligatures w14:val="none"/>
        </w:rPr>
        <w:t>.</w:t>
      </w:r>
    </w:p>
    <w:p w14:paraId="17F7ECC5" w14:textId="77777777" w:rsidR="00FC2E6C" w:rsidRPr="000007C7" w:rsidRDefault="00FC2E6C" w:rsidP="00FC2E6C">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007C7">
        <w:rPr>
          <w:rFonts w:ascii="Simplified Arabic" w:eastAsia="Times New Roman" w:hAnsi="Simplified Arabic" w:cs="Simplified Arabic"/>
          <w:b/>
          <w:bCs/>
          <w:color w:val="000000" w:themeColor="text1"/>
          <w:kern w:val="0"/>
          <w:sz w:val="28"/>
          <w:szCs w:val="28"/>
          <w:rtl/>
          <w14:ligatures w14:val="none"/>
        </w:rPr>
        <w:t>دراسة</w:t>
      </w:r>
      <w:r w:rsidRPr="000007C7">
        <w:rPr>
          <w:rFonts w:ascii="Simplified Arabic" w:eastAsia="Times New Roman" w:hAnsi="Simplified Arabic" w:cs="Simplified Arabic"/>
          <w:b/>
          <w:bCs/>
          <w:color w:val="000000" w:themeColor="text1"/>
          <w:kern w:val="0"/>
          <w:sz w:val="28"/>
          <w:szCs w:val="28"/>
          <w14:ligatures w14:val="none"/>
        </w:rPr>
        <w:t xml:space="preserve"> Tetteh, Dei Mensah, Opata, &amp; Mensah (2022): "Service Employees' Workplace Fun and Turnover Intention: The Influence of Psychological Capital and Work Engagement." </w:t>
      </w:r>
    </w:p>
    <w:p w14:paraId="7E4C254C" w14:textId="1D430F32" w:rsidR="00FC2E6C" w:rsidRPr="000007C7" w:rsidRDefault="00FC2E6C"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007C7">
        <w:rPr>
          <w:rFonts w:ascii="Simplified Arabic" w:eastAsia="Times New Roman" w:hAnsi="Simplified Arabic" w:cs="Simplified Arabic"/>
          <w:color w:val="000000" w:themeColor="text1"/>
          <w:kern w:val="0"/>
          <w:sz w:val="28"/>
          <w:szCs w:val="28"/>
          <w:rtl/>
          <w14:ligatures w14:val="none"/>
        </w:rPr>
        <w:t>هدفت الدراسة إلى التعرف على أثر المرح في بيئة العمل بأبعاده (الأنشطة الترفيهية المنظّمة، المرح العفوي، المرح المرتبط بالمهام) على نية ترك العمل لدى موظفي الخدمة، مع اختبار الدور الوسيط للاندماج الوظيفي والدور المعدِّل لرأس المال النفسي</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الكمّي المقطعي، وتكوّنت العينة من (482) موظفًا في قطاع الضيافة بغانا تم اختيارهم بالعينة الميسّرة، واستُخدم ماكرو </w:t>
      </w:r>
      <w:r w:rsidRPr="000007C7">
        <w:rPr>
          <w:rFonts w:ascii="Simplified Arabic" w:eastAsia="Times New Roman" w:hAnsi="Simplified Arabic" w:cs="Simplified Arabic"/>
          <w:color w:val="000000" w:themeColor="text1"/>
          <w:kern w:val="0"/>
          <w:sz w:val="28"/>
          <w:szCs w:val="28"/>
          <w14:ligatures w14:val="none"/>
        </w:rPr>
        <w:t xml:space="preserve">PROCESS </w:t>
      </w:r>
      <w:r w:rsidRPr="000007C7">
        <w:rPr>
          <w:rFonts w:ascii="Simplified Arabic" w:eastAsia="Times New Roman" w:hAnsi="Simplified Arabic" w:cs="Simplified Arabic"/>
          <w:color w:val="000000" w:themeColor="text1"/>
          <w:kern w:val="0"/>
          <w:sz w:val="28"/>
          <w:szCs w:val="28"/>
          <w:rtl/>
          <w14:ligatures w14:val="none"/>
        </w:rPr>
        <w:t>لاختبار الفرضيات. وتوصّلت نتائج الدراسة إلى أنّ الاندماج الوظيفي يتوسّط العلاقة بين المرح في بيئة العمل ونية ترك العمل، وأنّ رأس المال النفسي يُعدِّل العلاقة بين المرح والاندماج الوظيفي، حيث تكون العلاقة أقوى لدى الموظفين ذوي رأس المال النفسي المرتفع. وأوصت الدراسة بدمج الأنشطة الترفيهية في بيئة العمل كاستراتيجية لتقليل نية ترك العمل وتعزيز الاندماج الوظيفي</w:t>
      </w:r>
      <w:r w:rsidRPr="000007C7">
        <w:rPr>
          <w:rFonts w:ascii="Simplified Arabic" w:eastAsia="Times New Roman" w:hAnsi="Simplified Arabic" w:cs="Simplified Arabic"/>
          <w:color w:val="000000" w:themeColor="text1"/>
          <w:kern w:val="0"/>
          <w:sz w:val="28"/>
          <w:szCs w:val="28"/>
          <w14:ligatures w14:val="none"/>
        </w:rPr>
        <w:t>.</w:t>
      </w:r>
    </w:p>
    <w:p w14:paraId="30AAAB89" w14:textId="77777777" w:rsidR="00FC2E6C" w:rsidRPr="000007C7" w:rsidRDefault="00FC2E6C" w:rsidP="00FC2E6C">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007C7">
        <w:rPr>
          <w:rFonts w:ascii="Simplified Arabic" w:eastAsia="Times New Roman" w:hAnsi="Simplified Arabic" w:cs="Simplified Arabic"/>
          <w:b/>
          <w:bCs/>
          <w:color w:val="000000" w:themeColor="text1"/>
          <w:kern w:val="0"/>
          <w:sz w:val="28"/>
          <w:szCs w:val="28"/>
          <w:rtl/>
          <w14:ligatures w14:val="none"/>
        </w:rPr>
        <w:t>دراسة فتح الله وكمال الدين</w:t>
      </w:r>
      <w:r w:rsidRPr="000007C7">
        <w:rPr>
          <w:rFonts w:ascii="Simplified Arabic" w:eastAsia="Times New Roman" w:hAnsi="Simplified Arabic" w:cs="Simplified Arabic"/>
          <w:b/>
          <w:bCs/>
          <w:color w:val="000000" w:themeColor="text1"/>
          <w:kern w:val="0"/>
          <w:sz w:val="28"/>
          <w:szCs w:val="28"/>
          <w14:ligatures w14:val="none"/>
        </w:rPr>
        <w:t xml:space="preserve"> (2023): "</w:t>
      </w:r>
      <w:r w:rsidRPr="000007C7">
        <w:rPr>
          <w:rFonts w:ascii="Simplified Arabic" w:eastAsia="Times New Roman" w:hAnsi="Simplified Arabic" w:cs="Simplified Arabic"/>
          <w:b/>
          <w:bCs/>
          <w:color w:val="000000" w:themeColor="text1"/>
          <w:kern w:val="0"/>
          <w:sz w:val="28"/>
          <w:szCs w:val="28"/>
          <w:rtl/>
          <w14:ligatures w14:val="none"/>
        </w:rPr>
        <w:t>تأثير ظروف بيئة العمل على أداء العاملين في المستشفيات اللبنانية الخاصة خلال الأزمة المالية اللبنانية: حالة المستشفيات الخاصة في شمال لبنان</w:t>
      </w:r>
      <w:r w:rsidRPr="000007C7">
        <w:rPr>
          <w:rFonts w:ascii="Simplified Arabic" w:eastAsia="Times New Roman" w:hAnsi="Simplified Arabic" w:cs="Simplified Arabic"/>
          <w:b/>
          <w:bCs/>
          <w:color w:val="000000" w:themeColor="text1"/>
          <w:kern w:val="0"/>
          <w:sz w:val="28"/>
          <w:szCs w:val="28"/>
          <w14:ligatures w14:val="none"/>
        </w:rPr>
        <w:t xml:space="preserve">." </w:t>
      </w:r>
    </w:p>
    <w:p w14:paraId="04D7E995" w14:textId="1E836D5B" w:rsidR="00FC2E6C" w:rsidRPr="000007C7" w:rsidRDefault="00FC2E6C"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هدفت الدراسة إلى التعرف على تأثير ظروف بيئة العمل بأبعادها (الظروف المادية، الظروف السلوكية) على صحة العاملين وأدائهم في المستشفيات اللبنانية الخاصة في ظلّ الأزمة المالية. واستخدمت الدراسة المنهج الوصفي التحليلي، وتكوّنت العينة من (95) موظفًا من مختلف المناصب في ثلاث مستشفيات خاصة في شمال لبنان، واستُخدم برنامج</w:t>
      </w:r>
      <w:r w:rsidRPr="000007C7">
        <w:rPr>
          <w:rFonts w:ascii="Simplified Arabic" w:eastAsia="Times New Roman" w:hAnsi="Simplified Arabic" w:cs="Simplified Arabic"/>
          <w:color w:val="000000" w:themeColor="text1"/>
          <w:kern w:val="0"/>
          <w:sz w:val="28"/>
          <w:szCs w:val="28"/>
          <w14:ligatures w14:val="none"/>
        </w:rPr>
        <w:t xml:space="preserve"> (SPSS) </w:t>
      </w:r>
      <w:r w:rsidRPr="000007C7">
        <w:rPr>
          <w:rFonts w:ascii="Simplified Arabic" w:eastAsia="Times New Roman" w:hAnsi="Simplified Arabic" w:cs="Simplified Arabic"/>
          <w:color w:val="000000" w:themeColor="text1"/>
          <w:kern w:val="0"/>
          <w:sz w:val="28"/>
          <w:szCs w:val="28"/>
          <w:rtl/>
          <w14:ligatures w14:val="none"/>
        </w:rPr>
        <w:t>لتحليل البيانات بالإحصاءات الوصفية والتحليلية. وتوصّلت نتائج الدراسة إلى وجود أثر مباشر ذي دلالة إحصائية للظروف المادية والسلوكية لبيئة العمل على صحة العاملين، ووجود أثر مباشر ذي دلالة إحصائية لصحة الموظفين على أدائهم في المستشفيات</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lastRenderedPageBreak/>
        <w:t>وأوصت الدراسة بتحسين ظروف بيئة العمل المادية والسلوكية بما يشمل الأنشطة الترفيهية والاجتماعية لتعزيز صحة العاملين وأدائهم</w:t>
      </w:r>
      <w:r w:rsidRPr="000007C7">
        <w:rPr>
          <w:rFonts w:ascii="Simplified Arabic" w:eastAsia="Times New Roman" w:hAnsi="Simplified Arabic" w:cs="Simplified Arabic"/>
          <w:color w:val="000000" w:themeColor="text1"/>
          <w:kern w:val="0"/>
          <w:sz w:val="28"/>
          <w:szCs w:val="28"/>
          <w14:ligatures w14:val="none"/>
        </w:rPr>
        <w:t>.</w:t>
      </w:r>
    </w:p>
    <w:p w14:paraId="5EA576E2" w14:textId="77777777" w:rsidR="00FC2E6C" w:rsidRPr="000007C7" w:rsidRDefault="00646233" w:rsidP="00FC2E6C">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007C7">
        <w:rPr>
          <w:rFonts w:ascii="Simplified Arabic" w:eastAsia="Times New Roman" w:hAnsi="Simplified Arabic" w:cs="Simplified Arabic"/>
          <w:b/>
          <w:bCs/>
          <w:color w:val="000000" w:themeColor="text1"/>
          <w:kern w:val="0"/>
          <w:sz w:val="28"/>
          <w:szCs w:val="28"/>
          <w:rtl/>
          <w14:ligatures w14:val="none"/>
        </w:rPr>
        <w:t>دراسة</w:t>
      </w:r>
      <w:r w:rsidRPr="000007C7">
        <w:rPr>
          <w:rFonts w:ascii="Simplified Arabic" w:eastAsia="Times New Roman" w:hAnsi="Simplified Arabic" w:cs="Simplified Arabic"/>
          <w:b/>
          <w:bCs/>
          <w:color w:val="000000" w:themeColor="text1"/>
          <w:kern w:val="0"/>
          <w:sz w:val="28"/>
          <w:szCs w:val="28"/>
          <w14:ligatures w14:val="none"/>
        </w:rPr>
        <w:t xml:space="preserve"> Yang &amp; Chen (2023): "Having Fun! The Role of Workplace Fun in Enhancing Employees' Creative Behaviors in Chinese Work Settings." </w:t>
      </w:r>
    </w:p>
    <w:p w14:paraId="4DB96A77" w14:textId="0CCE969E" w:rsidR="00646233" w:rsidRPr="000007C7" w:rsidRDefault="00646233"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هدفت الدراسة إلى التعرف على دور المرح في بيئة العمل بأبعاده (الأنشطة الترفيهية، الفعاليات الاجتماعية، الألعاب والمسابقات) على السلوكيات الإبداعية للموظفين، مع اختبار الدور الوسيط للمرح المُدرَك والدور المعدِّل لدعم المديرين والثقة بين الزملاء، وذلك في سياق المؤسسات الصينية. واستخدمت الدراسة المنهج الكمّي المسحي المقطعي ونظرية الأحداث العاطفية</w:t>
      </w:r>
      <w:r w:rsidRPr="000007C7">
        <w:rPr>
          <w:rFonts w:ascii="Simplified Arabic" w:eastAsia="Times New Roman" w:hAnsi="Simplified Arabic" w:cs="Simplified Arabic"/>
          <w:color w:val="000000" w:themeColor="text1"/>
          <w:kern w:val="0"/>
          <w:sz w:val="28"/>
          <w:szCs w:val="28"/>
          <w14:ligatures w14:val="none"/>
        </w:rPr>
        <w:t xml:space="preserve"> (AET) </w:t>
      </w:r>
      <w:r w:rsidRPr="000007C7">
        <w:rPr>
          <w:rFonts w:ascii="Simplified Arabic" w:eastAsia="Times New Roman" w:hAnsi="Simplified Arabic" w:cs="Simplified Arabic"/>
          <w:color w:val="000000" w:themeColor="text1"/>
          <w:kern w:val="0"/>
          <w:sz w:val="28"/>
          <w:szCs w:val="28"/>
          <w:rtl/>
          <w14:ligatures w14:val="none"/>
        </w:rPr>
        <w:t xml:space="preserve">إطارًا نظريًّا، وتكوّنت العينة من </w:t>
      </w:r>
      <w:r w:rsidRPr="000007C7">
        <w:rPr>
          <w:rFonts w:ascii="Simplified Arabic" w:eastAsia="Times New Roman" w:hAnsi="Simplified Arabic" w:cs="Simplified Arabic"/>
          <w:color w:val="000000" w:themeColor="text1"/>
          <w:kern w:val="0"/>
          <w:sz w:val="28"/>
          <w:szCs w:val="28"/>
          <w14:ligatures w14:val="none"/>
        </w:rPr>
        <w:t xml:space="preserve">(508) </w:t>
      </w:r>
      <w:r w:rsidRPr="000007C7">
        <w:rPr>
          <w:rFonts w:ascii="Simplified Arabic" w:eastAsia="Times New Roman" w:hAnsi="Simplified Arabic" w:cs="Simplified Arabic"/>
          <w:color w:val="000000" w:themeColor="text1"/>
          <w:kern w:val="0"/>
          <w:sz w:val="28"/>
          <w:szCs w:val="28"/>
          <w:rtl/>
          <w14:ligatures w14:val="none"/>
        </w:rPr>
        <w:t>موظفين بدوام كامل في تايوان والصين، واستُخدم مقياس ليكرت السداسي والتحليل العاملي التوكيدي وماكرو</w:t>
      </w:r>
      <w:r w:rsidRPr="000007C7">
        <w:rPr>
          <w:rFonts w:ascii="Simplified Arabic" w:eastAsia="Times New Roman" w:hAnsi="Simplified Arabic" w:cs="Simplified Arabic"/>
          <w:color w:val="000000" w:themeColor="text1"/>
          <w:kern w:val="0"/>
          <w:sz w:val="28"/>
          <w:szCs w:val="28"/>
          <w14:ligatures w14:val="none"/>
        </w:rPr>
        <w:t xml:space="preserve"> PROCESS. </w:t>
      </w:r>
      <w:r w:rsidRPr="000007C7">
        <w:rPr>
          <w:rFonts w:ascii="Simplified Arabic" w:eastAsia="Times New Roman" w:hAnsi="Simplified Arabic" w:cs="Simplified Arabic"/>
          <w:color w:val="000000" w:themeColor="text1"/>
          <w:kern w:val="0"/>
          <w:sz w:val="28"/>
          <w:szCs w:val="28"/>
          <w:rtl/>
          <w14:ligatures w14:val="none"/>
        </w:rPr>
        <w:t>وتوصّلت نتائج الدراسة إلى وجود علاقة إيجابية ذات دلالة إحصائية بين المرح في بيئة العمل والسلوكيات الإبداعية</w:t>
      </w:r>
      <w:r w:rsidRPr="000007C7">
        <w:rPr>
          <w:rFonts w:ascii="Simplified Arabic" w:eastAsia="Times New Roman" w:hAnsi="Simplified Arabic" w:cs="Simplified Arabic"/>
          <w:color w:val="000000" w:themeColor="text1"/>
          <w:kern w:val="0"/>
          <w:sz w:val="28"/>
          <w:szCs w:val="28"/>
          <w14:ligatures w14:val="none"/>
        </w:rPr>
        <w:t xml:space="preserve"> (r = 0.59, p &lt; .01)</w:t>
      </w:r>
      <w:r w:rsidRPr="000007C7">
        <w:rPr>
          <w:rFonts w:ascii="Simplified Arabic" w:eastAsia="Times New Roman" w:hAnsi="Simplified Arabic" w:cs="Simplified Arabic"/>
          <w:color w:val="000000" w:themeColor="text1"/>
          <w:kern w:val="0"/>
          <w:sz w:val="28"/>
          <w:szCs w:val="28"/>
          <w:rtl/>
          <w14:ligatures w14:val="none"/>
        </w:rPr>
        <w:t>، وأنّ المرح المُدرَك يتوسّط هذه العلاقة جزئيًّا، كما يُعدِّل كلٌّ من دعم المديرين والثقة العلاقة بين المرح في بيئة العمل والمرح المُدرَك. وأوصت الدراسة بضرورة السماح بالأنشطة الترفيهية في بيئة العمل وتصميمها بعناية لتعزيز الإبداع مع الحفاظ على الإنتاجية</w:t>
      </w:r>
      <w:r w:rsidRPr="000007C7">
        <w:rPr>
          <w:rFonts w:ascii="Simplified Arabic" w:eastAsia="Times New Roman" w:hAnsi="Simplified Arabic" w:cs="Simplified Arabic"/>
          <w:color w:val="000000" w:themeColor="text1"/>
          <w:kern w:val="0"/>
          <w:sz w:val="28"/>
          <w:szCs w:val="28"/>
          <w14:ligatures w14:val="none"/>
        </w:rPr>
        <w:t>.</w:t>
      </w:r>
    </w:p>
    <w:p w14:paraId="6C74EF0E" w14:textId="77777777" w:rsidR="00FC2E6C" w:rsidRPr="000007C7" w:rsidRDefault="00646233" w:rsidP="00FC2E6C">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007C7">
        <w:rPr>
          <w:rFonts w:ascii="Simplified Arabic" w:eastAsia="Times New Roman" w:hAnsi="Simplified Arabic" w:cs="Simplified Arabic"/>
          <w:b/>
          <w:bCs/>
          <w:color w:val="000000" w:themeColor="text1"/>
          <w:kern w:val="0"/>
          <w:sz w:val="28"/>
          <w:szCs w:val="28"/>
          <w:rtl/>
          <w14:ligatures w14:val="none"/>
        </w:rPr>
        <w:t>دراسة</w:t>
      </w:r>
      <w:r w:rsidRPr="000007C7">
        <w:rPr>
          <w:rFonts w:ascii="Simplified Arabic" w:eastAsia="Times New Roman" w:hAnsi="Simplified Arabic" w:cs="Simplified Arabic"/>
          <w:b/>
          <w:bCs/>
          <w:color w:val="000000" w:themeColor="text1"/>
          <w:kern w:val="0"/>
          <w:sz w:val="28"/>
          <w:szCs w:val="28"/>
          <w14:ligatures w14:val="none"/>
        </w:rPr>
        <w:t xml:space="preserve"> Mercano</w:t>
      </w:r>
      <w:r w:rsidRPr="000007C7">
        <w:rPr>
          <w:rFonts w:ascii="Cambria" w:eastAsia="Times New Roman" w:hAnsi="Cambria" w:cs="Cambria"/>
          <w:b/>
          <w:bCs/>
          <w:color w:val="000000" w:themeColor="text1"/>
          <w:kern w:val="0"/>
          <w:sz w:val="28"/>
          <w:szCs w:val="28"/>
          <w14:ligatures w14:val="none"/>
        </w:rPr>
        <w:t>ğ</w:t>
      </w:r>
      <w:r w:rsidRPr="000007C7">
        <w:rPr>
          <w:rFonts w:ascii="Simplified Arabic" w:eastAsia="Times New Roman" w:hAnsi="Simplified Arabic" w:cs="Simplified Arabic"/>
          <w:b/>
          <w:bCs/>
          <w:color w:val="000000" w:themeColor="text1"/>
          <w:kern w:val="0"/>
          <w:sz w:val="28"/>
          <w:szCs w:val="28"/>
          <w14:ligatures w14:val="none"/>
        </w:rPr>
        <w:t xml:space="preserve">lu &amp; </w:t>
      </w:r>
      <w:r w:rsidRPr="000007C7">
        <w:rPr>
          <w:rFonts w:ascii="Cambria" w:eastAsia="Times New Roman" w:hAnsi="Cambria" w:cs="Cambria"/>
          <w:b/>
          <w:bCs/>
          <w:color w:val="000000" w:themeColor="text1"/>
          <w:kern w:val="0"/>
          <w:sz w:val="28"/>
          <w:szCs w:val="28"/>
          <w14:ligatures w14:val="none"/>
        </w:rPr>
        <w:t>Ş</w:t>
      </w:r>
      <w:r w:rsidRPr="000007C7">
        <w:rPr>
          <w:rFonts w:ascii="Simplified Arabic" w:eastAsia="Times New Roman" w:hAnsi="Simplified Arabic" w:cs="Simplified Arabic"/>
          <w:b/>
          <w:bCs/>
          <w:color w:val="000000" w:themeColor="text1"/>
          <w:kern w:val="0"/>
          <w:sz w:val="28"/>
          <w:szCs w:val="28"/>
          <w14:ligatures w14:val="none"/>
        </w:rPr>
        <w:t>im</w:t>
      </w:r>
      <w:r w:rsidRPr="000007C7">
        <w:rPr>
          <w:rFonts w:ascii="Cambria" w:eastAsia="Times New Roman" w:hAnsi="Cambria" w:cs="Cambria"/>
          <w:b/>
          <w:bCs/>
          <w:color w:val="000000" w:themeColor="text1"/>
          <w:kern w:val="0"/>
          <w:sz w:val="28"/>
          <w:szCs w:val="28"/>
          <w14:ligatures w14:val="none"/>
        </w:rPr>
        <w:t>ş</w:t>
      </w:r>
      <w:r w:rsidRPr="000007C7">
        <w:rPr>
          <w:rFonts w:ascii="Simplified Arabic" w:eastAsia="Times New Roman" w:hAnsi="Simplified Arabic" w:cs="Simplified Arabic"/>
          <w:b/>
          <w:bCs/>
          <w:color w:val="000000" w:themeColor="text1"/>
          <w:kern w:val="0"/>
          <w:sz w:val="28"/>
          <w:szCs w:val="28"/>
          <w14:ligatures w14:val="none"/>
        </w:rPr>
        <w:t xml:space="preserve">ek (2023): "The Impact of Employee Recreation on Their Respective Productivity." </w:t>
      </w:r>
    </w:p>
    <w:p w14:paraId="37613FC9" w14:textId="5D03ED1C" w:rsidR="00646233" w:rsidRPr="000007C7" w:rsidRDefault="00646233"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هدفت الدراسة إلى التعرف على أثر برنامج ترفيهي شامل للموظفين على إنتاجيتهم. واستخدمت الدراسة المنهج التجريبي بتصميم سولومون ذي المجموعات الأربع، وتكوّنت العينة من موظفين في إحدى المؤسسات التركية تم تقسيمهم إلى مجموعات تجريبية وضابطة مع اختبارات قبلية وبعدية. وتوصّلت نتائج الدراسة إلى أنّ البرنامج الترفيهي أدّى إلى تحسّن كبير وذو دلالة إحصائية في مستوى الإنتاجية لدى المجموعة التجريبية مقارنة بالمجموعة الضابطة. وأوصت الدراسة بتطبيق برامج ترفيهية منتظمة في بيئة العمل لتعزيز الإنتاجية، خاصة في الدول النامية التي تعاني نقصًا في الوعي بأهمية ترفيه الموظفين</w:t>
      </w:r>
      <w:r w:rsidRPr="000007C7">
        <w:rPr>
          <w:rFonts w:ascii="Simplified Arabic" w:eastAsia="Times New Roman" w:hAnsi="Simplified Arabic" w:cs="Simplified Arabic"/>
          <w:color w:val="000000" w:themeColor="text1"/>
          <w:kern w:val="0"/>
          <w:sz w:val="28"/>
          <w:szCs w:val="28"/>
          <w14:ligatures w14:val="none"/>
        </w:rPr>
        <w:t>.</w:t>
      </w:r>
    </w:p>
    <w:p w14:paraId="219CDDFF" w14:textId="77777777" w:rsidR="00FC2E6C" w:rsidRPr="000007C7" w:rsidRDefault="00FC2E6C" w:rsidP="00FC2E6C">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007C7">
        <w:rPr>
          <w:rFonts w:ascii="Simplified Arabic" w:eastAsia="Times New Roman" w:hAnsi="Simplified Arabic" w:cs="Simplified Arabic"/>
          <w:b/>
          <w:bCs/>
          <w:color w:val="000000" w:themeColor="text1"/>
          <w:kern w:val="0"/>
          <w:sz w:val="28"/>
          <w:szCs w:val="28"/>
          <w:rtl/>
          <w14:ligatures w14:val="none"/>
        </w:rPr>
        <w:t>دراسة المطيري والحازمي</w:t>
      </w:r>
      <w:r w:rsidRPr="000007C7">
        <w:rPr>
          <w:rFonts w:ascii="Simplified Arabic" w:eastAsia="Times New Roman" w:hAnsi="Simplified Arabic" w:cs="Simplified Arabic"/>
          <w:b/>
          <w:bCs/>
          <w:color w:val="000000" w:themeColor="text1"/>
          <w:kern w:val="0"/>
          <w:sz w:val="28"/>
          <w:szCs w:val="28"/>
          <w14:ligatures w14:val="none"/>
        </w:rPr>
        <w:t xml:space="preserve"> (2023): "</w:t>
      </w:r>
      <w:r w:rsidRPr="000007C7">
        <w:rPr>
          <w:rFonts w:ascii="Simplified Arabic" w:eastAsia="Times New Roman" w:hAnsi="Simplified Arabic" w:cs="Simplified Arabic"/>
          <w:b/>
          <w:bCs/>
          <w:color w:val="000000" w:themeColor="text1"/>
          <w:kern w:val="0"/>
          <w:sz w:val="28"/>
          <w:szCs w:val="28"/>
          <w:rtl/>
          <w14:ligatures w14:val="none"/>
        </w:rPr>
        <w:t xml:space="preserve">أثر بيئة العمل التنظيمية على أداء العاملين: دراسة تطبيقية في مستشفيات وزارة الصحة بمنطقة المدينة المنورة." </w:t>
      </w:r>
    </w:p>
    <w:p w14:paraId="1E43E481" w14:textId="19FD458C" w:rsidR="00FC2E6C" w:rsidRPr="000007C7" w:rsidRDefault="00FC2E6C"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lastRenderedPageBreak/>
        <w:t xml:space="preserve">هدفت الدراسة إلى التعرف على أثر بيئة العمل التنظيمية بأبعادها (علاقات الزملاء، التكنولوجيا الحديثة، القيادة الإدارية، النمو المهني، الثقافة التنظيمية) على أداء العاملين في القطاع الصحي. واستخدمت الدراسة المنهج الوصفي التحليلي، وتكوّنت العينة من </w:t>
      </w:r>
      <w:r w:rsidRPr="000007C7">
        <w:rPr>
          <w:rFonts w:ascii="Simplified Arabic" w:eastAsia="Times New Roman" w:hAnsi="Simplified Arabic" w:cs="Simplified Arabic"/>
          <w:color w:val="000000" w:themeColor="text1"/>
          <w:kern w:val="0"/>
          <w:sz w:val="28"/>
          <w:szCs w:val="28"/>
          <w14:ligatures w14:val="none"/>
        </w:rPr>
        <w:t xml:space="preserve">(395) </w:t>
      </w:r>
      <w:r w:rsidRPr="000007C7">
        <w:rPr>
          <w:rFonts w:ascii="Simplified Arabic" w:eastAsia="Times New Roman" w:hAnsi="Simplified Arabic" w:cs="Simplified Arabic"/>
          <w:color w:val="000000" w:themeColor="text1"/>
          <w:kern w:val="0"/>
          <w:sz w:val="28"/>
          <w:szCs w:val="28"/>
          <w:rtl/>
          <w14:ligatures w14:val="none"/>
        </w:rPr>
        <w:t>موظفًا تم اختيارهم بالطريقة العشوائية، واستُخدمت الاستبانة أداةً لجمع البيانات وبرنامج</w:t>
      </w:r>
      <w:r w:rsidRPr="000007C7">
        <w:rPr>
          <w:rFonts w:ascii="Simplified Arabic" w:eastAsia="Times New Roman" w:hAnsi="Simplified Arabic" w:cs="Simplified Arabic"/>
          <w:color w:val="000000" w:themeColor="text1"/>
          <w:kern w:val="0"/>
          <w:sz w:val="28"/>
          <w:szCs w:val="28"/>
          <w14:ligatures w14:val="none"/>
        </w:rPr>
        <w:t xml:space="preserve"> (SPSS) </w:t>
      </w:r>
      <w:r w:rsidRPr="000007C7">
        <w:rPr>
          <w:rFonts w:ascii="Simplified Arabic" w:eastAsia="Times New Roman" w:hAnsi="Simplified Arabic" w:cs="Simplified Arabic"/>
          <w:color w:val="000000" w:themeColor="text1"/>
          <w:kern w:val="0"/>
          <w:sz w:val="28"/>
          <w:szCs w:val="28"/>
          <w:rtl/>
          <w14:ligatures w14:val="none"/>
        </w:rPr>
        <w:t xml:space="preserve">لتحليلها. وتوصّلت نتائج الدراسة إلى أنّ مستوى تقييم العاملين لبيئة العمل التنظيمية جاء مرتفعًا بمتوسط حسابي </w:t>
      </w:r>
      <w:r w:rsidRPr="000007C7">
        <w:rPr>
          <w:rFonts w:ascii="Simplified Arabic" w:eastAsia="Times New Roman" w:hAnsi="Simplified Arabic" w:cs="Simplified Arabic"/>
          <w:color w:val="000000" w:themeColor="text1"/>
          <w:kern w:val="0"/>
          <w:sz w:val="28"/>
          <w:szCs w:val="28"/>
          <w14:ligatures w14:val="none"/>
        </w:rPr>
        <w:t>(3.85)</w:t>
      </w:r>
      <w:r w:rsidRPr="000007C7">
        <w:rPr>
          <w:rFonts w:ascii="Simplified Arabic" w:eastAsia="Times New Roman" w:hAnsi="Simplified Arabic" w:cs="Simplified Arabic"/>
          <w:color w:val="000000" w:themeColor="text1"/>
          <w:kern w:val="0"/>
          <w:sz w:val="28"/>
          <w:szCs w:val="28"/>
          <w:rtl/>
          <w14:ligatures w14:val="none"/>
        </w:rPr>
        <w:t>، وأنّ هناك أثرًا ذا دلالة إحصائية عند مستوى</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Cambria" w:eastAsia="Times New Roman" w:hAnsi="Cambria" w:cs="Cambria"/>
          <w:color w:val="000000" w:themeColor="text1"/>
          <w:kern w:val="0"/>
          <w:sz w:val="28"/>
          <w:szCs w:val="28"/>
          <w14:ligatures w14:val="none"/>
        </w:rPr>
        <w:t>α≤</w:t>
      </w:r>
      <w:r w:rsidRPr="000007C7">
        <w:rPr>
          <w:rFonts w:ascii="Simplified Arabic" w:eastAsia="Times New Roman" w:hAnsi="Simplified Arabic" w:cs="Simplified Arabic"/>
          <w:color w:val="000000" w:themeColor="text1"/>
          <w:kern w:val="0"/>
          <w:sz w:val="28"/>
          <w:szCs w:val="28"/>
          <w14:ligatures w14:val="none"/>
        </w:rPr>
        <w:t xml:space="preserve">0.05) </w:t>
      </w:r>
      <w:r w:rsidRPr="000007C7">
        <w:rPr>
          <w:rFonts w:ascii="Simplified Arabic" w:eastAsia="Times New Roman" w:hAnsi="Simplified Arabic" w:cs="Simplified Arabic"/>
          <w:color w:val="000000" w:themeColor="text1"/>
          <w:kern w:val="0"/>
          <w:sz w:val="28"/>
          <w:szCs w:val="28"/>
          <w:rtl/>
          <w14:ligatures w14:val="none"/>
        </w:rPr>
        <w:t>لجميع أبعاد بيئة العمل التنظيمية على أداء العاملين. وأوصت الدراسة بتوفير الأجهزة الطبية الحديثة، وتعزيز الحوافز، وخلق مناخ تنظيمي ملائم يشمل أنشطة ترفيهية واجتماعية</w:t>
      </w:r>
      <w:r w:rsidRPr="000007C7">
        <w:rPr>
          <w:rFonts w:ascii="Simplified Arabic" w:eastAsia="Times New Roman" w:hAnsi="Simplified Arabic" w:cs="Simplified Arabic"/>
          <w:color w:val="000000" w:themeColor="text1"/>
          <w:kern w:val="0"/>
          <w:sz w:val="28"/>
          <w:szCs w:val="28"/>
          <w14:ligatures w14:val="none"/>
        </w:rPr>
        <w:t>.</w:t>
      </w:r>
    </w:p>
    <w:p w14:paraId="2461D165" w14:textId="77777777" w:rsidR="00FC2E6C" w:rsidRPr="000007C7" w:rsidRDefault="00FC2E6C" w:rsidP="00FC2E6C">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007C7">
        <w:rPr>
          <w:rFonts w:ascii="Simplified Arabic" w:eastAsia="Times New Roman" w:hAnsi="Simplified Arabic" w:cs="Simplified Arabic"/>
          <w:b/>
          <w:bCs/>
          <w:color w:val="000000" w:themeColor="text1"/>
          <w:kern w:val="0"/>
          <w:sz w:val="28"/>
          <w:szCs w:val="28"/>
          <w:rtl/>
          <w14:ligatures w14:val="none"/>
        </w:rPr>
        <w:t>دراسة الشريف</w:t>
      </w:r>
      <w:r w:rsidRPr="000007C7">
        <w:rPr>
          <w:rFonts w:ascii="Simplified Arabic" w:eastAsia="Times New Roman" w:hAnsi="Simplified Arabic" w:cs="Simplified Arabic"/>
          <w:b/>
          <w:bCs/>
          <w:color w:val="000000" w:themeColor="text1"/>
          <w:kern w:val="0"/>
          <w:sz w:val="28"/>
          <w:szCs w:val="28"/>
          <w14:ligatures w14:val="none"/>
        </w:rPr>
        <w:t xml:space="preserve"> (2023): "</w:t>
      </w:r>
      <w:r w:rsidRPr="000007C7">
        <w:rPr>
          <w:rFonts w:ascii="Simplified Arabic" w:eastAsia="Times New Roman" w:hAnsi="Simplified Arabic" w:cs="Simplified Arabic"/>
          <w:b/>
          <w:bCs/>
          <w:color w:val="000000" w:themeColor="text1"/>
          <w:kern w:val="0"/>
          <w:sz w:val="28"/>
          <w:szCs w:val="28"/>
          <w:rtl/>
          <w14:ligatures w14:val="none"/>
        </w:rPr>
        <w:t>أثر تطبيق الاحترافية على أداء العاملين في المنظمات الحكومية: دراسة ميدانية</w:t>
      </w:r>
    </w:p>
    <w:p w14:paraId="27648E39" w14:textId="29B20751" w:rsidR="00FC2E6C" w:rsidRPr="000007C7" w:rsidRDefault="00FC2E6C"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الاحترافية بأبعادها الثلاثة (الشخصية، المهنية، احترافية المنظمة) على أداء العاملين من وجهة نظر الموظفين الإداريين في مستشفى جامعة الملك عبد العزيز بجدة. واستخدمت الدراسة المنهج الوصفي التحليلي، وتكوّنت العينة من (223) موظفًا إداريًا من أصل (532) تم اختيارهم بطريقة عشوائية بسيطة، واستُخدمت الاستبانة أداةً لجمع البيانات وبرنامج</w:t>
      </w:r>
      <w:r w:rsidRPr="000007C7">
        <w:rPr>
          <w:rFonts w:ascii="Simplified Arabic" w:eastAsia="Times New Roman" w:hAnsi="Simplified Arabic" w:cs="Simplified Arabic"/>
          <w:color w:val="000000" w:themeColor="text1"/>
          <w:kern w:val="0"/>
          <w:sz w:val="28"/>
          <w:szCs w:val="28"/>
          <w14:ligatures w14:val="none"/>
        </w:rPr>
        <w:t xml:space="preserve"> (SPSS) </w:t>
      </w:r>
      <w:r w:rsidRPr="000007C7">
        <w:rPr>
          <w:rFonts w:ascii="Simplified Arabic" w:eastAsia="Times New Roman" w:hAnsi="Simplified Arabic" w:cs="Simplified Arabic"/>
          <w:color w:val="000000" w:themeColor="text1"/>
          <w:kern w:val="0"/>
          <w:sz w:val="28"/>
          <w:szCs w:val="28"/>
          <w:rtl/>
          <w14:ligatures w14:val="none"/>
        </w:rPr>
        <w:t>لمعالجتها إحصائيًا. وتوصّلت نتائج الدراسة إلى وجود مستوى عالٍ من تطبيق الاحترافية الشخصية والمهنية واحترافية المنظمة، كما تبيّن وجود فروق في استجابات أفراد العينة نحو أثر تطبيق الاحترافية الشخصية تُعزى لمتغير العمر فقط، بينما لا توجد فروق تُعزى للمؤهل التعليمي أو سنوات الخبرة أو الدورات التدريبية. وأوصت الدراسة بتنمية سمات الاحترافية الشخصية وتطوير المهارات الوظيفية من خلال دورات متخصصة، وتشجيع بيئة عمل إيجابية تتضمن نظام حوافز عادل</w:t>
      </w:r>
      <w:r w:rsidRPr="000007C7">
        <w:rPr>
          <w:rFonts w:ascii="Simplified Arabic" w:eastAsia="Times New Roman" w:hAnsi="Simplified Arabic" w:cs="Simplified Arabic"/>
          <w:color w:val="000000" w:themeColor="text1"/>
          <w:kern w:val="0"/>
          <w:sz w:val="28"/>
          <w:szCs w:val="28"/>
          <w14:ligatures w14:val="none"/>
        </w:rPr>
        <w:t>.</w:t>
      </w:r>
    </w:p>
    <w:p w14:paraId="2DCF6B0B" w14:textId="77777777" w:rsidR="00FC2E6C" w:rsidRPr="000007C7" w:rsidRDefault="00FC2E6C" w:rsidP="00FC2E6C">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007C7">
        <w:rPr>
          <w:rFonts w:ascii="Simplified Arabic" w:eastAsia="Times New Roman" w:hAnsi="Simplified Arabic" w:cs="Simplified Arabic"/>
          <w:b/>
          <w:bCs/>
          <w:color w:val="000000" w:themeColor="text1"/>
          <w:kern w:val="0"/>
          <w:sz w:val="28"/>
          <w:szCs w:val="28"/>
          <w:rtl/>
          <w14:ligatures w14:val="none"/>
        </w:rPr>
        <w:t>دراسة</w:t>
      </w:r>
      <w:r w:rsidRPr="000007C7">
        <w:rPr>
          <w:rFonts w:ascii="Simplified Arabic" w:eastAsia="Times New Roman" w:hAnsi="Simplified Arabic" w:cs="Simplified Arabic"/>
          <w:b/>
          <w:bCs/>
          <w:color w:val="000000" w:themeColor="text1"/>
          <w:kern w:val="0"/>
          <w:sz w:val="28"/>
          <w:szCs w:val="28"/>
          <w14:ligatures w14:val="none"/>
        </w:rPr>
        <w:t xml:space="preserve"> Marin-Farrona et al. (2023): "Effectiveness of Worksite Wellness Programs Based on Physical Activity to Improve Workers' Health and Productivity: A Systematic Review." </w:t>
      </w:r>
    </w:p>
    <w:p w14:paraId="540114A3" w14:textId="094A5CD1" w:rsidR="00FC2E6C" w:rsidRPr="000007C7" w:rsidRDefault="00FC2E6C"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007C7">
        <w:rPr>
          <w:rFonts w:ascii="Simplified Arabic" w:eastAsia="Times New Roman" w:hAnsi="Simplified Arabic" w:cs="Simplified Arabic"/>
          <w:color w:val="000000" w:themeColor="text1"/>
          <w:kern w:val="0"/>
          <w:sz w:val="28"/>
          <w:szCs w:val="28"/>
          <w:rtl/>
          <w14:ligatures w14:val="none"/>
        </w:rPr>
        <w:t>هدفت الدراسة إلى التعرف على فاعلية برامج العافية في بيئة العمل القائمة على النشاط البدني بأنواعه (التمارين الهوائية، تمارين القوة، تمارين المرونة، التمارين المركّبة) في تحسين صحة العاملين وإنتاجيتهم. واستخدمت الدراسة منهج المراجعة المنهجية المنتظمة وفقًا لإرشادات</w:t>
      </w:r>
      <w:r w:rsidRPr="000007C7">
        <w:rPr>
          <w:rFonts w:ascii="Simplified Arabic" w:eastAsia="Times New Roman" w:hAnsi="Simplified Arabic" w:cs="Simplified Arabic"/>
          <w:color w:val="000000" w:themeColor="text1"/>
          <w:kern w:val="0"/>
          <w:sz w:val="28"/>
          <w:szCs w:val="28"/>
          <w14:ligatures w14:val="none"/>
        </w:rPr>
        <w:t xml:space="preserve"> PRISMA</w:t>
      </w:r>
      <w:r w:rsidRPr="000007C7">
        <w:rPr>
          <w:rFonts w:ascii="Simplified Arabic" w:eastAsia="Times New Roman" w:hAnsi="Simplified Arabic" w:cs="Simplified Arabic"/>
          <w:color w:val="000000" w:themeColor="text1"/>
          <w:kern w:val="0"/>
          <w:sz w:val="28"/>
          <w:szCs w:val="28"/>
          <w:rtl/>
          <w14:ligatures w14:val="none"/>
        </w:rPr>
        <w:t>، وشملت (16) تجربة عشوائية مُحكّمة</w:t>
      </w:r>
      <w:r w:rsidRPr="000007C7">
        <w:rPr>
          <w:rFonts w:ascii="Simplified Arabic" w:eastAsia="Times New Roman" w:hAnsi="Simplified Arabic" w:cs="Simplified Arabic"/>
          <w:color w:val="000000" w:themeColor="text1"/>
          <w:kern w:val="0"/>
          <w:sz w:val="28"/>
          <w:szCs w:val="28"/>
          <w14:ligatures w14:val="none"/>
        </w:rPr>
        <w:t xml:space="preserve"> (RCTs) </w:t>
      </w:r>
      <w:r w:rsidRPr="000007C7">
        <w:rPr>
          <w:rFonts w:ascii="Simplified Arabic" w:eastAsia="Times New Roman" w:hAnsi="Simplified Arabic" w:cs="Simplified Arabic"/>
          <w:color w:val="000000" w:themeColor="text1"/>
          <w:kern w:val="0"/>
          <w:sz w:val="28"/>
          <w:szCs w:val="28"/>
          <w:rtl/>
          <w14:ligatures w14:val="none"/>
        </w:rPr>
        <w:t xml:space="preserve">منشورة بين 1997 و2021 تم اختيارها من خمس قواعد </w:t>
      </w:r>
      <w:r w:rsidRPr="000007C7">
        <w:rPr>
          <w:rFonts w:ascii="Simplified Arabic" w:eastAsia="Times New Roman" w:hAnsi="Simplified Arabic" w:cs="Simplified Arabic"/>
          <w:color w:val="000000" w:themeColor="text1"/>
          <w:kern w:val="0"/>
          <w:sz w:val="28"/>
          <w:szCs w:val="28"/>
          <w:rtl/>
          <w14:ligatures w14:val="none"/>
        </w:rPr>
        <w:lastRenderedPageBreak/>
        <w:t>بيانات</w:t>
      </w:r>
      <w:r w:rsidRPr="000007C7">
        <w:rPr>
          <w:rFonts w:ascii="Simplified Arabic" w:eastAsia="Times New Roman" w:hAnsi="Simplified Arabic" w:cs="Simplified Arabic"/>
          <w:color w:val="000000" w:themeColor="text1"/>
          <w:kern w:val="0"/>
          <w:sz w:val="28"/>
          <w:szCs w:val="28"/>
          <w14:ligatures w14:val="none"/>
        </w:rPr>
        <w:t xml:space="preserve"> (PubMed, Web of Science, Medline, Scopus, SPORTDiscus) </w:t>
      </w:r>
      <w:r w:rsidRPr="000007C7">
        <w:rPr>
          <w:rFonts w:ascii="Simplified Arabic" w:eastAsia="Times New Roman" w:hAnsi="Simplified Arabic" w:cs="Simplified Arabic"/>
          <w:color w:val="000000" w:themeColor="text1"/>
          <w:kern w:val="0"/>
          <w:sz w:val="28"/>
          <w:szCs w:val="28"/>
          <w:rtl/>
          <w14:ligatures w14:val="none"/>
        </w:rPr>
        <w:t xml:space="preserve">من أصل </w:t>
      </w:r>
      <w:r w:rsidRPr="000007C7">
        <w:rPr>
          <w:rFonts w:ascii="Simplified Arabic" w:eastAsia="Times New Roman" w:hAnsi="Simplified Arabic" w:cs="Simplified Arabic"/>
          <w:color w:val="000000" w:themeColor="text1"/>
          <w:kern w:val="0"/>
          <w:sz w:val="28"/>
          <w:szCs w:val="28"/>
          <w14:ligatures w14:val="none"/>
        </w:rPr>
        <w:t xml:space="preserve">(860) </w:t>
      </w:r>
      <w:r w:rsidRPr="000007C7">
        <w:rPr>
          <w:rFonts w:ascii="Simplified Arabic" w:eastAsia="Times New Roman" w:hAnsi="Simplified Arabic" w:cs="Simplified Arabic"/>
          <w:color w:val="000000" w:themeColor="text1"/>
          <w:kern w:val="0"/>
          <w:sz w:val="28"/>
          <w:szCs w:val="28"/>
          <w:rtl/>
          <w14:ligatures w14:val="none"/>
        </w:rPr>
        <w:t>دراسة. وتوصّلت نتائج الدراسة إلى أنّ جميع أنواع البرامج حسّنت صحة العاملين وإنتاجيتهم، وأنّ القدرة على العمل</w:t>
      </w:r>
      <w:r w:rsidRPr="000007C7">
        <w:rPr>
          <w:rFonts w:ascii="Simplified Arabic" w:eastAsia="Times New Roman" w:hAnsi="Simplified Arabic" w:cs="Simplified Arabic"/>
          <w:color w:val="000000" w:themeColor="text1"/>
          <w:kern w:val="0"/>
          <w:sz w:val="28"/>
          <w:szCs w:val="28"/>
          <w14:ligatures w14:val="none"/>
        </w:rPr>
        <w:t xml:space="preserve"> (Workability) </w:t>
      </w:r>
      <w:r w:rsidRPr="000007C7">
        <w:rPr>
          <w:rFonts w:ascii="Simplified Arabic" w:eastAsia="Times New Roman" w:hAnsi="Simplified Arabic" w:cs="Simplified Arabic"/>
          <w:color w:val="000000" w:themeColor="text1"/>
          <w:kern w:val="0"/>
          <w:sz w:val="28"/>
          <w:szCs w:val="28"/>
          <w:rtl/>
          <w14:ligatures w14:val="none"/>
        </w:rPr>
        <w:t>كانت متغير الإنتاجية الأكثر تحسّنًا، بينما تحسّنت اللياقة القلبية التنفسية والقوة العضلية والأعراض العضلية الهيكلية في جميع الدراسات. وأوصت الدراسة بتطبيق برامج نشاط بدني في بيئة العمل مع مراعاة خصائص العاملين وأهداف المؤسسة</w:t>
      </w:r>
      <w:r w:rsidRPr="000007C7">
        <w:rPr>
          <w:rFonts w:ascii="Simplified Arabic" w:eastAsia="Times New Roman" w:hAnsi="Simplified Arabic" w:cs="Simplified Arabic"/>
          <w:color w:val="000000" w:themeColor="text1"/>
          <w:kern w:val="0"/>
          <w:sz w:val="28"/>
          <w:szCs w:val="28"/>
          <w14:ligatures w14:val="none"/>
        </w:rPr>
        <w:t>.</w:t>
      </w:r>
    </w:p>
    <w:p w14:paraId="04D76CE9" w14:textId="77777777" w:rsidR="00FC2E6C" w:rsidRPr="000007C7" w:rsidRDefault="00FC2E6C" w:rsidP="00FC2E6C">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007C7">
        <w:rPr>
          <w:rFonts w:ascii="Simplified Arabic" w:eastAsia="Times New Roman" w:hAnsi="Simplified Arabic" w:cs="Simplified Arabic"/>
          <w:b/>
          <w:bCs/>
          <w:color w:val="000000" w:themeColor="text1"/>
          <w:kern w:val="0"/>
          <w:sz w:val="28"/>
          <w:szCs w:val="28"/>
          <w:rtl/>
          <w14:ligatures w14:val="none"/>
        </w:rPr>
        <w:t>دراسة جمال والسيد وإمام</w:t>
      </w:r>
      <w:r w:rsidRPr="000007C7">
        <w:rPr>
          <w:rFonts w:ascii="Simplified Arabic" w:eastAsia="Times New Roman" w:hAnsi="Simplified Arabic" w:cs="Simplified Arabic"/>
          <w:b/>
          <w:bCs/>
          <w:color w:val="000000" w:themeColor="text1"/>
          <w:kern w:val="0"/>
          <w:sz w:val="28"/>
          <w:szCs w:val="28"/>
          <w14:ligatures w14:val="none"/>
        </w:rPr>
        <w:t xml:space="preserve"> (2023): "</w:t>
      </w:r>
      <w:r w:rsidRPr="000007C7">
        <w:rPr>
          <w:rFonts w:ascii="Simplified Arabic" w:eastAsia="Times New Roman" w:hAnsi="Simplified Arabic" w:cs="Simplified Arabic"/>
          <w:b/>
          <w:bCs/>
          <w:color w:val="000000" w:themeColor="text1"/>
          <w:kern w:val="0"/>
          <w:sz w:val="28"/>
          <w:szCs w:val="28"/>
          <w:rtl/>
          <w14:ligatures w14:val="none"/>
        </w:rPr>
        <w:t xml:space="preserve">أثر بيئة العمل على الرضا الوظيفي ونية دوران العاملين بالمنتجعات المصرية." </w:t>
      </w:r>
    </w:p>
    <w:p w14:paraId="0870B506" w14:textId="5779D5D9" w:rsidR="00FC2E6C" w:rsidRPr="000007C7" w:rsidRDefault="00FC2E6C"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هدفت الدراسة إلى التعرف على أثر بيئة العمل بأبعادها (البيئة المادية، البيئة الاجتماعية، البيئة التنظيمية) على الرضا الوظيفي ونية ترك العمل لدى العاملين في المنتجعات السياحية المصرية. واستخدمت الدراسة المنهج الوصفي التحليلي، وتكوّنت العينة من عاملين في عدد من المنتجعات المصرية، واستُخدمت الاستبانة أداةً لجمع البيانات. وتوصّلت نتائج الدراسة إلى أنّ بيئة العمل الداعمة والمحفّزة تسهم في رفع الرضا الوظيفي وتقليل نية الدوران الوظيفي، وأنّ الأنشطة الترفيهية والاجتماعية في بيئة العمل تُمثّل عاملًا مهمًا في تعزيز انتماء الموظفين. وأوصت الدراسة بتطوير بيئة العمل وتوفير أنشطة ترفيهية واجتماعية للحدّ من الدوران الوظيفي</w:t>
      </w:r>
      <w:r w:rsidRPr="000007C7">
        <w:rPr>
          <w:rFonts w:ascii="Simplified Arabic" w:eastAsia="Times New Roman" w:hAnsi="Simplified Arabic" w:cs="Simplified Arabic"/>
          <w:color w:val="000000" w:themeColor="text1"/>
          <w:kern w:val="0"/>
          <w:sz w:val="28"/>
          <w:szCs w:val="28"/>
          <w14:ligatures w14:val="none"/>
        </w:rPr>
        <w:t>.</w:t>
      </w:r>
    </w:p>
    <w:p w14:paraId="781ECDBE" w14:textId="77777777" w:rsidR="00FC2E6C" w:rsidRPr="000007C7" w:rsidRDefault="00FC2E6C" w:rsidP="00FC2E6C">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007C7">
        <w:rPr>
          <w:rFonts w:ascii="Simplified Arabic" w:eastAsia="Times New Roman" w:hAnsi="Simplified Arabic" w:cs="Simplified Arabic"/>
          <w:b/>
          <w:bCs/>
          <w:color w:val="000000" w:themeColor="text1"/>
          <w:kern w:val="0"/>
          <w:sz w:val="28"/>
          <w:szCs w:val="28"/>
          <w:rtl/>
          <w14:ligatures w14:val="none"/>
        </w:rPr>
        <w:t>دراسة</w:t>
      </w:r>
      <w:r w:rsidRPr="000007C7">
        <w:rPr>
          <w:rFonts w:ascii="Simplified Arabic" w:eastAsia="Times New Roman" w:hAnsi="Simplified Arabic" w:cs="Simplified Arabic"/>
          <w:b/>
          <w:bCs/>
          <w:color w:val="000000" w:themeColor="text1"/>
          <w:kern w:val="0"/>
          <w:sz w:val="28"/>
          <w:szCs w:val="28"/>
          <w14:ligatures w14:val="none"/>
        </w:rPr>
        <w:t xml:space="preserve"> Garc</w:t>
      </w:r>
      <w:r w:rsidRPr="000007C7">
        <w:rPr>
          <w:rFonts w:ascii="Cambria" w:eastAsia="Times New Roman" w:hAnsi="Cambria" w:cs="Cambria"/>
          <w:b/>
          <w:bCs/>
          <w:color w:val="000000" w:themeColor="text1"/>
          <w:kern w:val="0"/>
          <w:sz w:val="28"/>
          <w:szCs w:val="28"/>
          <w14:ligatures w14:val="none"/>
        </w:rPr>
        <w:t>í</w:t>
      </w:r>
      <w:r w:rsidRPr="000007C7">
        <w:rPr>
          <w:rFonts w:ascii="Simplified Arabic" w:eastAsia="Times New Roman" w:hAnsi="Simplified Arabic" w:cs="Simplified Arabic"/>
          <w:b/>
          <w:bCs/>
          <w:color w:val="000000" w:themeColor="text1"/>
          <w:kern w:val="0"/>
          <w:sz w:val="28"/>
          <w:szCs w:val="28"/>
          <w14:ligatures w14:val="none"/>
        </w:rPr>
        <w:t>a-Carbonell, Mart</w:t>
      </w:r>
      <w:r w:rsidRPr="000007C7">
        <w:rPr>
          <w:rFonts w:ascii="Cambria" w:eastAsia="Times New Roman" w:hAnsi="Cambria" w:cs="Cambria"/>
          <w:b/>
          <w:bCs/>
          <w:color w:val="000000" w:themeColor="text1"/>
          <w:kern w:val="0"/>
          <w:sz w:val="28"/>
          <w:szCs w:val="28"/>
          <w14:ligatures w14:val="none"/>
        </w:rPr>
        <w:t>í</w:t>
      </w:r>
      <w:r w:rsidRPr="000007C7">
        <w:rPr>
          <w:rFonts w:ascii="Simplified Arabic" w:eastAsia="Times New Roman" w:hAnsi="Simplified Arabic" w:cs="Simplified Arabic"/>
          <w:b/>
          <w:bCs/>
          <w:color w:val="000000" w:themeColor="text1"/>
          <w:kern w:val="0"/>
          <w:sz w:val="28"/>
          <w:szCs w:val="28"/>
          <w14:ligatures w14:val="none"/>
        </w:rPr>
        <w:t>n-Alc</w:t>
      </w:r>
      <w:r w:rsidRPr="000007C7">
        <w:rPr>
          <w:rFonts w:ascii="Cambria" w:eastAsia="Times New Roman" w:hAnsi="Cambria" w:cs="Cambria"/>
          <w:b/>
          <w:bCs/>
          <w:color w:val="000000" w:themeColor="text1"/>
          <w:kern w:val="0"/>
          <w:sz w:val="28"/>
          <w:szCs w:val="28"/>
          <w14:ligatures w14:val="none"/>
        </w:rPr>
        <w:t>á</w:t>
      </w:r>
      <w:r w:rsidRPr="000007C7">
        <w:rPr>
          <w:rFonts w:ascii="Simplified Arabic" w:eastAsia="Times New Roman" w:hAnsi="Simplified Arabic" w:cs="Simplified Arabic"/>
          <w:b/>
          <w:bCs/>
          <w:color w:val="000000" w:themeColor="text1"/>
          <w:kern w:val="0"/>
          <w:sz w:val="28"/>
          <w:szCs w:val="28"/>
          <w14:ligatures w14:val="none"/>
        </w:rPr>
        <w:t>zar, &amp; S</w:t>
      </w:r>
      <w:r w:rsidRPr="000007C7">
        <w:rPr>
          <w:rFonts w:ascii="Cambria" w:eastAsia="Times New Roman" w:hAnsi="Cambria" w:cs="Cambria"/>
          <w:b/>
          <w:bCs/>
          <w:color w:val="000000" w:themeColor="text1"/>
          <w:kern w:val="0"/>
          <w:sz w:val="28"/>
          <w:szCs w:val="28"/>
          <w14:ligatures w14:val="none"/>
        </w:rPr>
        <w:t>á</w:t>
      </w:r>
      <w:r w:rsidRPr="000007C7">
        <w:rPr>
          <w:rFonts w:ascii="Simplified Arabic" w:eastAsia="Times New Roman" w:hAnsi="Simplified Arabic" w:cs="Simplified Arabic"/>
          <w:b/>
          <w:bCs/>
          <w:color w:val="000000" w:themeColor="text1"/>
          <w:kern w:val="0"/>
          <w:sz w:val="28"/>
          <w:szCs w:val="28"/>
          <w14:ligatures w14:val="none"/>
        </w:rPr>
        <w:t xml:space="preserve">nchez-Gardey (2024): "Wellness Programs, Perceived Organizational Support, and Their Influence on Organizational Performance." </w:t>
      </w:r>
    </w:p>
    <w:p w14:paraId="4315C7D1" w14:textId="50C7EBEE" w:rsidR="00FC2E6C" w:rsidRPr="000007C7" w:rsidRDefault="00FC2E6C"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هدفت الدراسة إلى التعرف على أثر برامج العافية بأبعادها (برامج الصحة البدنية، برامج الصحة النفسية، برامج التوازن بين العمل والحياة) والدعم التنظيمي المُدرَك على الأداء المؤسسي، مع اختبار الأثر الوسيط للرضا الوظيفي والالتزام التنظيمي في إطار إدارة الموارد البشرية المستدامة. واستخدمت الدراسة المنهج الكمّي، وتكوّنت العينة من موظفين في مؤسسات إسبانية، واستُخدم تحليل المسار والمعادلات الهيكلية. وتوصّلت نتائج الدراسة إلى أنّ برامج العافية والدعم التنظيمي المُدرَك يؤثران إيجابيًّا في الأداء المؤسسي من خلال الأثر الوسيط للرضا الوظيفي والالتزام التنظيمي. وأوصت الدراسة بالاستثمار في برامج العافية والأنشطة الترفيهية للموظفين كأداة استراتيجية لتحسين الأداء المؤسسي</w:t>
      </w:r>
      <w:r w:rsidRPr="000007C7">
        <w:rPr>
          <w:rFonts w:ascii="Simplified Arabic" w:eastAsia="Times New Roman" w:hAnsi="Simplified Arabic" w:cs="Simplified Arabic"/>
          <w:color w:val="000000" w:themeColor="text1"/>
          <w:kern w:val="0"/>
          <w:sz w:val="28"/>
          <w:szCs w:val="28"/>
          <w14:ligatures w14:val="none"/>
        </w:rPr>
        <w:t>.</w:t>
      </w:r>
    </w:p>
    <w:p w14:paraId="20B2F7AF" w14:textId="77777777" w:rsidR="00FC2E6C" w:rsidRPr="000007C7" w:rsidRDefault="00FC2E6C" w:rsidP="00FC2E6C">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007C7">
        <w:rPr>
          <w:rFonts w:ascii="Simplified Arabic" w:eastAsia="Times New Roman" w:hAnsi="Simplified Arabic" w:cs="Simplified Arabic"/>
          <w:b/>
          <w:bCs/>
          <w:color w:val="000000" w:themeColor="text1"/>
          <w:kern w:val="0"/>
          <w:sz w:val="28"/>
          <w:szCs w:val="28"/>
          <w:rtl/>
          <w14:ligatures w14:val="none"/>
        </w:rPr>
        <w:lastRenderedPageBreak/>
        <w:t>دراسة</w:t>
      </w:r>
      <w:r w:rsidRPr="000007C7">
        <w:rPr>
          <w:rFonts w:ascii="Simplified Arabic" w:eastAsia="Times New Roman" w:hAnsi="Simplified Arabic" w:cs="Simplified Arabic"/>
          <w:b/>
          <w:bCs/>
          <w:color w:val="000000" w:themeColor="text1"/>
          <w:kern w:val="0"/>
          <w:sz w:val="28"/>
          <w:szCs w:val="28"/>
          <w14:ligatures w14:val="none"/>
        </w:rPr>
        <w:t xml:space="preserve"> Ahmad, Salam, &amp; Shahid (2024): "Performance Management Impacting Organizational Output in Private and Public Sector Organizations of Pakistan." </w:t>
      </w:r>
    </w:p>
    <w:p w14:paraId="097C56D9" w14:textId="0CD4AF79" w:rsidR="00FC2E6C" w:rsidRPr="000007C7" w:rsidRDefault="00FC2E6C"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هدفت الدراسة إلى التعرف على ممارسات إدارة الأداء بأبعادها (التخطيط، وضع الأهداف، المتابعة المستمرة، التقييم الدوري) وأثرها على مخرجات الأداء المؤسسي في القطاعين العام والخاص بباكستان. واستخدمت الدراسة المنهج التفسيري النوعي القائم على تحليل البيانات الثانوية من المنشورات الرسمية والمواقع الإلكترونية لمؤسسات القطاعين العام والخاص في كراتشي، فضلًا عن حلقات النقاش والوثائق الرسمية (تقييم الأداء السنوي، خطط التدريب والتطوير). وتوصّلت نتائج الدراسة إلى أنّ الأداء المؤسسي الكفء وإدارة الأداء الفردي والجماعي يعملان بتناغم متبادل، وأنّ هناك انحرافات عن المعايير في مؤسسات باكستان، خاصة في القطاع العام، مما يؤدي إلى عدم تحقيق الأهداف بالمستوى المطلوب</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وأوصت الدراسة بتطبيق تقنيات إدارة الأداء الحديثة وتعزيز بيئات العمل الداعمة بما فيها الأنشطة الترفيهية لتحسين مستويات رضا الموظفين والأداء المؤسسي</w:t>
      </w:r>
      <w:r w:rsidRPr="000007C7">
        <w:rPr>
          <w:rFonts w:ascii="Simplified Arabic" w:eastAsia="Times New Roman" w:hAnsi="Simplified Arabic" w:cs="Simplified Arabic"/>
          <w:color w:val="000000" w:themeColor="text1"/>
          <w:kern w:val="0"/>
          <w:sz w:val="28"/>
          <w:szCs w:val="28"/>
          <w14:ligatures w14:val="none"/>
        </w:rPr>
        <w:t>.</w:t>
      </w:r>
    </w:p>
    <w:p w14:paraId="7C3C951C" w14:textId="77777777" w:rsidR="00FC2E6C" w:rsidRPr="000007C7" w:rsidRDefault="00646233" w:rsidP="00FC2E6C">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007C7">
        <w:rPr>
          <w:rFonts w:ascii="Simplified Arabic" w:eastAsia="Times New Roman" w:hAnsi="Simplified Arabic" w:cs="Simplified Arabic"/>
          <w:b/>
          <w:bCs/>
          <w:color w:val="000000" w:themeColor="text1"/>
          <w:kern w:val="0"/>
          <w:sz w:val="28"/>
          <w:szCs w:val="28"/>
          <w:rtl/>
          <w14:ligatures w14:val="none"/>
        </w:rPr>
        <w:t>دراسة</w:t>
      </w:r>
      <w:r w:rsidRPr="000007C7">
        <w:rPr>
          <w:rFonts w:ascii="Simplified Arabic" w:eastAsia="Times New Roman" w:hAnsi="Simplified Arabic" w:cs="Simplified Arabic"/>
          <w:b/>
          <w:bCs/>
          <w:color w:val="000000" w:themeColor="text1"/>
          <w:kern w:val="0"/>
          <w:sz w:val="28"/>
          <w:szCs w:val="28"/>
          <w14:ligatures w14:val="none"/>
        </w:rPr>
        <w:t xml:space="preserve"> Tzioti &amp; Montgomery (2025): "Fun at Work, Job Engagement, and Burnout: A Meta-Analysis and Narrative Synthesis." </w:t>
      </w:r>
    </w:p>
    <w:p w14:paraId="28D8C768" w14:textId="3B3141D7" w:rsidR="00646233" w:rsidRPr="000007C7" w:rsidRDefault="00646233"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العلاقة بين المرح في بيئة العمل وكلٍّ من الاندماج الوظيفي والاحتراق الوظيفي من خلال تجميع نتائج الدراسات السابقة كمّيًّا. واستخدمت الدراسة منهج التحليل البعدي </w:t>
      </w:r>
      <w:r w:rsidRPr="000007C7">
        <w:rPr>
          <w:rFonts w:ascii="Simplified Arabic" w:eastAsia="Times New Roman" w:hAnsi="Simplified Arabic" w:cs="Simplified Arabic"/>
          <w:color w:val="000000" w:themeColor="text1"/>
          <w:kern w:val="0"/>
          <w:sz w:val="28"/>
          <w:szCs w:val="28"/>
          <w14:ligatures w14:val="none"/>
        </w:rPr>
        <w:t xml:space="preserve">(Meta-Analysis) </w:t>
      </w:r>
      <w:r w:rsidRPr="000007C7">
        <w:rPr>
          <w:rFonts w:ascii="Simplified Arabic" w:eastAsia="Times New Roman" w:hAnsi="Simplified Arabic" w:cs="Simplified Arabic"/>
          <w:color w:val="000000" w:themeColor="text1"/>
          <w:kern w:val="0"/>
          <w:sz w:val="28"/>
          <w:szCs w:val="28"/>
          <w:rtl/>
          <w14:ligatures w14:val="none"/>
        </w:rPr>
        <w:t>والتوليف السردي، وشملت عيّنة الدراسات المُحلَّلة مجموعة من البحوث المنشورة في المجلات المحكّمة. وتوصّلت نتائج الدراسة إلى وجود تداخل كبير بين الاندماج الوظيفي والمرح في بيئة العمل، وتداخل أقلّ مع الإرهاق العاطفي، مما يعني أنّ بيئات العمل الممتعة ترتبط بمستويات اندماج أعلى ومستويات احتراق أقل. وأوصت الدراسة بضرورة دمج الأنشطة الترفيهية كجزء من استراتيجيات الموارد البشرية لتعزيز اندماج الموظفين والحدّ من الاحتراق الوظيفي</w:t>
      </w:r>
      <w:r w:rsidRPr="000007C7">
        <w:rPr>
          <w:rFonts w:ascii="Simplified Arabic" w:eastAsia="Times New Roman" w:hAnsi="Simplified Arabic" w:cs="Simplified Arabic"/>
          <w:color w:val="000000" w:themeColor="text1"/>
          <w:kern w:val="0"/>
          <w:sz w:val="28"/>
          <w:szCs w:val="28"/>
          <w14:ligatures w14:val="none"/>
        </w:rPr>
        <w:t>.</w:t>
      </w:r>
    </w:p>
    <w:p w14:paraId="6BB7B9E2" w14:textId="77777777" w:rsidR="00FC2E6C" w:rsidRPr="000007C7" w:rsidRDefault="00646233" w:rsidP="00FC2E6C">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007C7">
        <w:rPr>
          <w:rFonts w:ascii="Simplified Arabic" w:eastAsia="Times New Roman" w:hAnsi="Simplified Arabic" w:cs="Simplified Arabic"/>
          <w:b/>
          <w:bCs/>
          <w:color w:val="000000" w:themeColor="text1"/>
          <w:kern w:val="0"/>
          <w:sz w:val="28"/>
          <w:szCs w:val="28"/>
          <w:rtl/>
          <w14:ligatures w14:val="none"/>
        </w:rPr>
        <w:t>دراسة عبد الزهرة علي</w:t>
      </w:r>
      <w:r w:rsidRPr="000007C7">
        <w:rPr>
          <w:rFonts w:ascii="Simplified Arabic" w:eastAsia="Times New Roman" w:hAnsi="Simplified Arabic" w:cs="Simplified Arabic"/>
          <w:b/>
          <w:bCs/>
          <w:color w:val="000000" w:themeColor="text1"/>
          <w:kern w:val="0"/>
          <w:sz w:val="28"/>
          <w:szCs w:val="28"/>
          <w14:ligatures w14:val="none"/>
        </w:rPr>
        <w:t xml:space="preserve"> (2025): "</w:t>
      </w:r>
      <w:r w:rsidRPr="000007C7">
        <w:rPr>
          <w:rFonts w:ascii="Simplified Arabic" w:eastAsia="Times New Roman" w:hAnsi="Simplified Arabic" w:cs="Simplified Arabic"/>
          <w:b/>
          <w:bCs/>
          <w:color w:val="000000" w:themeColor="text1"/>
          <w:kern w:val="0"/>
          <w:sz w:val="28"/>
          <w:szCs w:val="28"/>
          <w:rtl/>
          <w14:ligatures w14:val="none"/>
        </w:rPr>
        <w:t xml:space="preserve">تأثير بيئة العمل المرنة على إنتاجية الموظفين: دراسة استطلاعية في شركة زين العراق للاتصالات." </w:t>
      </w:r>
    </w:p>
    <w:p w14:paraId="58DC874F" w14:textId="0262F8B5" w:rsidR="00646233" w:rsidRPr="000007C7" w:rsidRDefault="00646233"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تأثير بيئة العمل المرنة بأبعادها (ساعات العمل المرنة، العمل عن بُعد، بيئة العمل المادية المرنة) على إنتاجية الموظفين. واستخدمت الدراسة المنهج الوصفي التحليلي، وتكوّنت العينة من (174) موظفًا تم اختيارهم عشوائيًا من العاملين وفق نظام العمل المرن ونظام الدوام التقليدي، واستُخدمت الاستبانة أداةً لجمع البيانات وبرنامج</w:t>
      </w:r>
      <w:r w:rsidRPr="000007C7">
        <w:rPr>
          <w:rFonts w:ascii="Simplified Arabic" w:eastAsia="Times New Roman" w:hAnsi="Simplified Arabic" w:cs="Simplified Arabic"/>
          <w:color w:val="000000" w:themeColor="text1"/>
          <w:kern w:val="0"/>
          <w:sz w:val="28"/>
          <w:szCs w:val="28"/>
          <w14:ligatures w14:val="none"/>
        </w:rPr>
        <w:t xml:space="preserve"> (SPSS) </w:t>
      </w:r>
      <w:r w:rsidRPr="000007C7">
        <w:rPr>
          <w:rFonts w:ascii="Simplified Arabic" w:eastAsia="Times New Roman" w:hAnsi="Simplified Arabic" w:cs="Simplified Arabic"/>
          <w:color w:val="000000" w:themeColor="text1"/>
          <w:kern w:val="0"/>
          <w:sz w:val="28"/>
          <w:szCs w:val="28"/>
          <w:rtl/>
          <w14:ligatures w14:val="none"/>
        </w:rPr>
        <w:t>لتحليلها عبر الإحصاء الوصفي والارتباط والانحدار المتعدد. وتوصّلت نتائج الدراسة إلى وجود علاقة إيجابية قوية بين ترتيبات العمل المرنة وزيادة إنتاجية الموظفين، فضلًا عن تحسّن التوازن بين الحياة والعمل والرضا الوظيفي، مع ملاحظة بعض مشكلات التواصل في بيئة العمل عن بُعد. وأوصت الدراسة بالاستثمار في البنية التحتية والدعم الإداري لتعزيز نماذج العمل المرنة</w:t>
      </w:r>
      <w:r w:rsidRPr="000007C7">
        <w:rPr>
          <w:rFonts w:ascii="Simplified Arabic" w:eastAsia="Times New Roman" w:hAnsi="Simplified Arabic" w:cs="Simplified Arabic"/>
          <w:color w:val="000000" w:themeColor="text1"/>
          <w:kern w:val="0"/>
          <w:sz w:val="28"/>
          <w:szCs w:val="28"/>
          <w14:ligatures w14:val="none"/>
        </w:rPr>
        <w:t>.</w:t>
      </w:r>
    </w:p>
    <w:p w14:paraId="4CF76720" w14:textId="77777777" w:rsidR="00FC2E6C" w:rsidRPr="000007C7" w:rsidRDefault="00646233" w:rsidP="00FC2E6C">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007C7">
        <w:rPr>
          <w:rFonts w:ascii="Simplified Arabic" w:eastAsia="Times New Roman" w:hAnsi="Simplified Arabic" w:cs="Simplified Arabic"/>
          <w:b/>
          <w:bCs/>
          <w:color w:val="000000" w:themeColor="text1"/>
          <w:kern w:val="0"/>
          <w:sz w:val="28"/>
          <w:szCs w:val="28"/>
          <w:rtl/>
          <w14:ligatures w14:val="none"/>
        </w:rPr>
        <w:t>دراسة أبوبكر وعقلان</w:t>
      </w:r>
      <w:r w:rsidRPr="000007C7">
        <w:rPr>
          <w:rFonts w:ascii="Simplified Arabic" w:eastAsia="Times New Roman" w:hAnsi="Simplified Arabic" w:cs="Simplified Arabic"/>
          <w:b/>
          <w:bCs/>
          <w:color w:val="000000" w:themeColor="text1"/>
          <w:kern w:val="0"/>
          <w:sz w:val="28"/>
          <w:szCs w:val="28"/>
          <w14:ligatures w14:val="none"/>
        </w:rPr>
        <w:t xml:space="preserve"> (2026): "</w:t>
      </w:r>
      <w:r w:rsidRPr="000007C7">
        <w:rPr>
          <w:rFonts w:ascii="Simplified Arabic" w:eastAsia="Times New Roman" w:hAnsi="Simplified Arabic" w:cs="Simplified Arabic"/>
          <w:b/>
          <w:bCs/>
          <w:color w:val="000000" w:themeColor="text1"/>
          <w:kern w:val="0"/>
          <w:sz w:val="28"/>
          <w:szCs w:val="28"/>
          <w:rtl/>
          <w14:ligatures w14:val="none"/>
        </w:rPr>
        <w:t xml:space="preserve">أثر نظم المعلومات الإدارية في تحسين الأداء المؤسسي." </w:t>
      </w:r>
    </w:p>
    <w:p w14:paraId="68EF331E" w14:textId="4A3C1EB3" w:rsidR="00646233" w:rsidRPr="000007C7" w:rsidRDefault="00646233"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هدفت الدراسة إلى التعرف على أثر نظم المعلومات الإدارية بأبعادها (الأجهزة والمعدات، البرمجيات، قواعد البيانات، الموارد البشرية) على تحسين الأداء المؤسسي بأبعاده (المالي، العملاء، العمليات الداخلية، التعلم والنمو) لدى منظمات المجتمع المدني. واستخدمت الدراسة المنهج الوصفي التحليلي، وتكوّنت العينة القصدية من (209) مفردات، واستُخدمت الاستبانة أداةً لجمع البيانات وبرنامجَا</w:t>
      </w:r>
      <w:r w:rsidRPr="000007C7">
        <w:rPr>
          <w:rFonts w:ascii="Simplified Arabic" w:eastAsia="Times New Roman" w:hAnsi="Simplified Arabic" w:cs="Simplified Arabic"/>
          <w:color w:val="000000" w:themeColor="text1"/>
          <w:kern w:val="0"/>
          <w:sz w:val="28"/>
          <w:szCs w:val="28"/>
          <w14:ligatures w14:val="none"/>
        </w:rPr>
        <w:t xml:space="preserve"> (SPSS v.28) </w:t>
      </w:r>
      <w:r w:rsidRPr="000007C7">
        <w:rPr>
          <w:rFonts w:ascii="Simplified Arabic" w:eastAsia="Times New Roman" w:hAnsi="Simplified Arabic" w:cs="Simplified Arabic"/>
          <w:color w:val="000000" w:themeColor="text1"/>
          <w:kern w:val="0"/>
          <w:sz w:val="28"/>
          <w:szCs w:val="28"/>
          <w:rtl/>
          <w14:ligatures w14:val="none"/>
        </w:rPr>
        <w:t>و</w:t>
      </w:r>
      <w:r w:rsidRPr="000007C7">
        <w:rPr>
          <w:rFonts w:ascii="Simplified Arabic" w:eastAsia="Times New Roman" w:hAnsi="Simplified Arabic" w:cs="Simplified Arabic"/>
          <w:color w:val="000000" w:themeColor="text1"/>
          <w:kern w:val="0"/>
          <w:sz w:val="28"/>
          <w:szCs w:val="28"/>
          <w14:ligatures w14:val="none"/>
        </w:rPr>
        <w:t xml:space="preserve">(SmartPLS 4.08.6) </w:t>
      </w:r>
      <w:r w:rsidRPr="000007C7">
        <w:rPr>
          <w:rFonts w:ascii="Simplified Arabic" w:eastAsia="Times New Roman" w:hAnsi="Simplified Arabic" w:cs="Simplified Arabic"/>
          <w:color w:val="000000" w:themeColor="text1"/>
          <w:kern w:val="0"/>
          <w:sz w:val="28"/>
          <w:szCs w:val="28"/>
          <w:rtl/>
          <w14:ligatures w14:val="none"/>
        </w:rPr>
        <w:t>لتحليلها عبر نمذجة المعادلات الهيكلية</w:t>
      </w:r>
      <w:r w:rsidRPr="000007C7">
        <w:rPr>
          <w:rFonts w:ascii="Simplified Arabic" w:eastAsia="Times New Roman" w:hAnsi="Simplified Arabic" w:cs="Simplified Arabic"/>
          <w:color w:val="000000" w:themeColor="text1"/>
          <w:kern w:val="0"/>
          <w:sz w:val="28"/>
          <w:szCs w:val="28"/>
          <w14:ligatures w14:val="none"/>
        </w:rPr>
        <w:t xml:space="preserve"> (SEM-PLS). </w:t>
      </w:r>
      <w:r w:rsidRPr="000007C7">
        <w:rPr>
          <w:rFonts w:ascii="Simplified Arabic" w:eastAsia="Times New Roman" w:hAnsi="Simplified Arabic" w:cs="Simplified Arabic"/>
          <w:color w:val="000000" w:themeColor="text1"/>
          <w:kern w:val="0"/>
          <w:sz w:val="28"/>
          <w:szCs w:val="28"/>
          <w:rtl/>
          <w14:ligatures w14:val="none"/>
        </w:rPr>
        <w:t>وتوصّلت نتائج الدراسة إلى أنّ المنظمات تولي اهتمامًا كبيرًا بتحسين الأداء المؤسسي بجميع أبعاده وأنّ بُعد الأجهزة والمعدات كان الأكثر تأثيرًا، يليه البرمجيات ثم قواعد البيانات، بينما جاء بُعد الموارد البشرية الأقل تأثيرًا. وأوصت الدراسة بتعزيز الأداء المؤسسي بجميع أبعاده ولا سيما البُعد المالي، وزيادة الاهتمام بالموارد البشرية في نظم المعلومات</w:t>
      </w:r>
      <w:r w:rsidRPr="000007C7">
        <w:rPr>
          <w:rFonts w:ascii="Simplified Arabic" w:eastAsia="Times New Roman" w:hAnsi="Simplified Arabic" w:cs="Simplified Arabic"/>
          <w:color w:val="000000" w:themeColor="text1"/>
          <w:kern w:val="0"/>
          <w:sz w:val="28"/>
          <w:szCs w:val="28"/>
          <w14:ligatures w14:val="none"/>
        </w:rPr>
        <w:t>.</w:t>
      </w:r>
    </w:p>
    <w:p w14:paraId="7D41AF52" w14:textId="73572E8A" w:rsidR="00FC2E6C" w:rsidRPr="000007C7" w:rsidRDefault="00FC2E6C" w:rsidP="00FC2E6C">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2" w:name="_Toc233737553"/>
      <w:r w:rsidRPr="000007C7">
        <w:rPr>
          <w:rFonts w:ascii="Simplified Arabic" w:hAnsi="Simplified Arabic" w:cs="Simplified Arabic"/>
          <w:b/>
          <w:bCs/>
          <w:color w:val="000000" w:themeColor="text1"/>
          <w:sz w:val="36"/>
          <w:szCs w:val="36"/>
          <w:rtl/>
        </w:rPr>
        <w:t>8.1 الفجوة البحثية</w:t>
      </w:r>
      <w:bookmarkEnd w:id="12"/>
    </w:p>
    <w:p w14:paraId="12F93AA7" w14:textId="77777777" w:rsidR="00646233" w:rsidRPr="000007C7" w:rsidRDefault="00646233" w:rsidP="00CF335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0007C7">
        <w:rPr>
          <w:rFonts w:ascii="Simplified Arabic" w:hAnsi="Simplified Arabic" w:cs="Simplified Arabic"/>
          <w:b/>
          <w:bCs/>
          <w:color w:val="000000" w:themeColor="text1"/>
          <w:sz w:val="32"/>
          <w:szCs w:val="32"/>
          <w:rtl/>
        </w:rPr>
        <w:t>أولًا: أوجه الاتفاق</w:t>
      </w:r>
    </w:p>
    <w:p w14:paraId="7E4BD3B5" w14:textId="77777777" w:rsidR="00646233" w:rsidRPr="000007C7" w:rsidRDefault="00646233" w:rsidP="00FC2E6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007C7">
        <w:rPr>
          <w:rFonts w:ascii="Simplified Arabic" w:hAnsi="Simplified Arabic" w:cs="Simplified Arabic"/>
          <w:color w:val="000000" w:themeColor="text1"/>
          <w:sz w:val="28"/>
          <w:szCs w:val="28"/>
          <w:rtl/>
        </w:rPr>
        <w:t xml:space="preserve">تتفق الدراسة الحالية مع عدد من الدراسات السابقة في جوانب متعددة تُعزّز من تماسك الإطار البحثي وتُؤكّد الأساس العلمي الذي تنطلق منه. فمن حيث الهدف العام، تتقاطع الدراسة الحالية مع دراسة المطيري والحازمي (2023) ودراسة عبد الزهرة علي (2025) ودراسة جمال والسيد وإمام (2023) في السعي إلى الكشف عن أثر بيئة العمل بعناصرها المختلفة على أداء العاملين والمخرجات التنظيمية، كما تتفق مع </w:t>
      </w:r>
      <w:r w:rsidRPr="000007C7">
        <w:rPr>
          <w:rFonts w:ascii="Simplified Arabic" w:hAnsi="Simplified Arabic" w:cs="Simplified Arabic"/>
          <w:color w:val="000000" w:themeColor="text1"/>
          <w:sz w:val="28"/>
          <w:szCs w:val="28"/>
          <w:rtl/>
        </w:rPr>
        <w:lastRenderedPageBreak/>
        <w:t>دراسة</w:t>
      </w:r>
      <w:r w:rsidRPr="000007C7">
        <w:rPr>
          <w:rFonts w:ascii="Simplified Arabic" w:hAnsi="Simplified Arabic" w:cs="Simplified Arabic"/>
          <w:color w:val="000000" w:themeColor="text1"/>
          <w:sz w:val="28"/>
          <w:szCs w:val="28"/>
        </w:rPr>
        <w:t xml:space="preserve"> Yang &amp; Chen (2023) </w:t>
      </w:r>
      <w:r w:rsidRPr="000007C7">
        <w:rPr>
          <w:rFonts w:ascii="Simplified Arabic" w:hAnsi="Simplified Arabic" w:cs="Simplified Arabic"/>
          <w:color w:val="000000" w:themeColor="text1"/>
          <w:sz w:val="28"/>
          <w:szCs w:val="28"/>
          <w:rtl/>
        </w:rPr>
        <w:t>ودراسة</w:t>
      </w:r>
      <w:r w:rsidRPr="000007C7">
        <w:rPr>
          <w:rFonts w:ascii="Simplified Arabic" w:hAnsi="Simplified Arabic" w:cs="Simplified Arabic"/>
          <w:color w:val="000000" w:themeColor="text1"/>
          <w:sz w:val="28"/>
          <w:szCs w:val="28"/>
        </w:rPr>
        <w:t xml:space="preserve"> Mercano</w:t>
      </w:r>
      <w:r w:rsidRPr="000007C7">
        <w:rPr>
          <w:rFonts w:ascii="Cambria" w:hAnsi="Cambria" w:cs="Cambria"/>
          <w:color w:val="000000" w:themeColor="text1"/>
          <w:sz w:val="28"/>
          <w:szCs w:val="28"/>
        </w:rPr>
        <w:t>ğ</w:t>
      </w:r>
      <w:r w:rsidRPr="000007C7">
        <w:rPr>
          <w:rFonts w:ascii="Simplified Arabic" w:hAnsi="Simplified Arabic" w:cs="Simplified Arabic"/>
          <w:color w:val="000000" w:themeColor="text1"/>
          <w:sz w:val="28"/>
          <w:szCs w:val="28"/>
        </w:rPr>
        <w:t xml:space="preserve">lu &amp; </w:t>
      </w:r>
      <w:r w:rsidRPr="000007C7">
        <w:rPr>
          <w:rFonts w:ascii="Cambria" w:hAnsi="Cambria" w:cs="Cambria"/>
          <w:color w:val="000000" w:themeColor="text1"/>
          <w:sz w:val="28"/>
          <w:szCs w:val="28"/>
        </w:rPr>
        <w:t>Ş</w:t>
      </w:r>
      <w:r w:rsidRPr="000007C7">
        <w:rPr>
          <w:rFonts w:ascii="Simplified Arabic" w:hAnsi="Simplified Arabic" w:cs="Simplified Arabic"/>
          <w:color w:val="000000" w:themeColor="text1"/>
          <w:sz w:val="28"/>
          <w:szCs w:val="28"/>
        </w:rPr>
        <w:t>im</w:t>
      </w:r>
      <w:r w:rsidRPr="000007C7">
        <w:rPr>
          <w:rFonts w:ascii="Cambria" w:hAnsi="Cambria" w:cs="Cambria"/>
          <w:color w:val="000000" w:themeColor="text1"/>
          <w:sz w:val="28"/>
          <w:szCs w:val="28"/>
        </w:rPr>
        <w:t>ş</w:t>
      </w:r>
      <w:r w:rsidRPr="000007C7">
        <w:rPr>
          <w:rFonts w:ascii="Simplified Arabic" w:hAnsi="Simplified Arabic" w:cs="Simplified Arabic"/>
          <w:color w:val="000000" w:themeColor="text1"/>
          <w:sz w:val="28"/>
          <w:szCs w:val="28"/>
        </w:rPr>
        <w:t xml:space="preserve">ek (2023) </w:t>
      </w:r>
      <w:r w:rsidRPr="000007C7">
        <w:rPr>
          <w:rFonts w:ascii="Simplified Arabic" w:hAnsi="Simplified Arabic" w:cs="Simplified Arabic"/>
          <w:color w:val="000000" w:themeColor="text1"/>
          <w:sz w:val="28"/>
          <w:szCs w:val="28"/>
          <w:rtl/>
        </w:rPr>
        <w:t xml:space="preserve">في التركيز على البرامج الترفيهية والمرح في بيئة العمل كمتغير مستقل يؤثر في متغيرات تنظيمية إيجابية كالإبداع والإنتاجية. ومن حيث المنهج، تتفق الدراسة الحالية مع الغالبية العظمى من الدراسات السابقة العربية كدراسة الطراونة </w:t>
      </w:r>
      <w:r w:rsidRPr="000007C7">
        <w:rPr>
          <w:rFonts w:ascii="Simplified Arabic" w:hAnsi="Simplified Arabic" w:cs="Simplified Arabic"/>
          <w:color w:val="000000" w:themeColor="text1"/>
          <w:sz w:val="28"/>
          <w:szCs w:val="28"/>
        </w:rPr>
        <w:t xml:space="preserve">(2021) </w:t>
      </w:r>
      <w:r w:rsidRPr="000007C7">
        <w:rPr>
          <w:rFonts w:ascii="Simplified Arabic" w:hAnsi="Simplified Arabic" w:cs="Simplified Arabic"/>
          <w:color w:val="000000" w:themeColor="text1"/>
          <w:sz w:val="28"/>
          <w:szCs w:val="28"/>
          <w:rtl/>
        </w:rPr>
        <w:t>ودراسة الشريف (2023) ودراسة أبوبكر وعقلان (2026) ودراسة فتح الله وكمال الدين (2023) في اعتماد المنهج الوصفي التحليلي واستخدام الاستبانة أداةً رئيسية لجمع البيانات وبرنامج</w:t>
      </w:r>
      <w:r w:rsidRPr="000007C7">
        <w:rPr>
          <w:rFonts w:ascii="Simplified Arabic" w:hAnsi="Simplified Arabic" w:cs="Simplified Arabic"/>
          <w:color w:val="000000" w:themeColor="text1"/>
          <w:sz w:val="28"/>
          <w:szCs w:val="28"/>
        </w:rPr>
        <w:t xml:space="preserve"> (SPSS) </w:t>
      </w:r>
      <w:r w:rsidRPr="000007C7">
        <w:rPr>
          <w:rFonts w:ascii="Simplified Arabic" w:hAnsi="Simplified Arabic" w:cs="Simplified Arabic"/>
          <w:color w:val="000000" w:themeColor="text1"/>
          <w:sz w:val="28"/>
          <w:szCs w:val="28"/>
          <w:rtl/>
        </w:rPr>
        <w:t>لمعالجتها إحصائيًّا، كما تتفق مع دراسة</w:t>
      </w:r>
      <w:r w:rsidRPr="000007C7">
        <w:rPr>
          <w:rFonts w:ascii="Simplified Arabic" w:hAnsi="Simplified Arabic" w:cs="Simplified Arabic"/>
          <w:color w:val="000000" w:themeColor="text1"/>
          <w:sz w:val="28"/>
          <w:szCs w:val="28"/>
        </w:rPr>
        <w:t xml:space="preserve"> Tetteh et al. (2022) </w:t>
      </w:r>
      <w:r w:rsidRPr="000007C7">
        <w:rPr>
          <w:rFonts w:ascii="Simplified Arabic" w:hAnsi="Simplified Arabic" w:cs="Simplified Arabic"/>
          <w:color w:val="000000" w:themeColor="text1"/>
          <w:sz w:val="28"/>
          <w:szCs w:val="28"/>
          <w:rtl/>
        </w:rPr>
        <w:t>ودراسة</w:t>
      </w:r>
      <w:r w:rsidRPr="000007C7">
        <w:rPr>
          <w:rFonts w:ascii="Simplified Arabic" w:hAnsi="Simplified Arabic" w:cs="Simplified Arabic"/>
          <w:color w:val="000000" w:themeColor="text1"/>
          <w:sz w:val="28"/>
          <w:szCs w:val="28"/>
        </w:rPr>
        <w:t xml:space="preserve"> Jyoti &amp; Dimple (2022) </w:t>
      </w:r>
      <w:r w:rsidRPr="000007C7">
        <w:rPr>
          <w:rFonts w:ascii="Simplified Arabic" w:hAnsi="Simplified Arabic" w:cs="Simplified Arabic"/>
          <w:color w:val="000000" w:themeColor="text1"/>
          <w:sz w:val="28"/>
          <w:szCs w:val="28"/>
          <w:rtl/>
        </w:rPr>
        <w:t>في توظيف أساليب إحصائية متقدمة كالانحدار ونمذجة المعادلات الهيكلية لاختبار علاقات الأثر بين المتغيرات. ومن حيث بيئة التطبيق، تتفق الدراسة الحالية مع دراسة الطراونة (2021) ودراسة فتح الله وكمال الدين (2023) في التطبيق على القطاع الخاص، كما تتفق مع دراسة</w:t>
      </w:r>
      <w:r w:rsidRPr="000007C7">
        <w:rPr>
          <w:rFonts w:ascii="Simplified Arabic" w:hAnsi="Simplified Arabic" w:cs="Simplified Arabic"/>
          <w:color w:val="000000" w:themeColor="text1"/>
          <w:sz w:val="28"/>
          <w:szCs w:val="28"/>
        </w:rPr>
        <w:t xml:space="preserve"> Mercano</w:t>
      </w:r>
      <w:r w:rsidRPr="000007C7">
        <w:rPr>
          <w:rFonts w:ascii="Cambria" w:hAnsi="Cambria" w:cs="Cambria"/>
          <w:color w:val="000000" w:themeColor="text1"/>
          <w:sz w:val="28"/>
          <w:szCs w:val="28"/>
        </w:rPr>
        <w:t>ğ</w:t>
      </w:r>
      <w:r w:rsidRPr="000007C7">
        <w:rPr>
          <w:rFonts w:ascii="Simplified Arabic" w:hAnsi="Simplified Arabic" w:cs="Simplified Arabic"/>
          <w:color w:val="000000" w:themeColor="text1"/>
          <w:sz w:val="28"/>
          <w:szCs w:val="28"/>
        </w:rPr>
        <w:t xml:space="preserve">lu &amp; </w:t>
      </w:r>
      <w:r w:rsidRPr="000007C7">
        <w:rPr>
          <w:rFonts w:ascii="Cambria" w:hAnsi="Cambria" w:cs="Cambria"/>
          <w:color w:val="000000" w:themeColor="text1"/>
          <w:sz w:val="28"/>
          <w:szCs w:val="28"/>
        </w:rPr>
        <w:t>Ş</w:t>
      </w:r>
      <w:r w:rsidRPr="000007C7">
        <w:rPr>
          <w:rFonts w:ascii="Simplified Arabic" w:hAnsi="Simplified Arabic" w:cs="Simplified Arabic"/>
          <w:color w:val="000000" w:themeColor="text1"/>
          <w:sz w:val="28"/>
          <w:szCs w:val="28"/>
        </w:rPr>
        <w:t>im</w:t>
      </w:r>
      <w:r w:rsidRPr="000007C7">
        <w:rPr>
          <w:rFonts w:ascii="Cambria" w:hAnsi="Cambria" w:cs="Cambria"/>
          <w:color w:val="000000" w:themeColor="text1"/>
          <w:sz w:val="28"/>
          <w:szCs w:val="28"/>
        </w:rPr>
        <w:t>ş</w:t>
      </w:r>
      <w:r w:rsidRPr="000007C7">
        <w:rPr>
          <w:rFonts w:ascii="Simplified Arabic" w:hAnsi="Simplified Arabic" w:cs="Simplified Arabic"/>
          <w:color w:val="000000" w:themeColor="text1"/>
          <w:sz w:val="28"/>
          <w:szCs w:val="28"/>
        </w:rPr>
        <w:t xml:space="preserve">ek (2023) </w:t>
      </w:r>
      <w:r w:rsidRPr="000007C7">
        <w:rPr>
          <w:rFonts w:ascii="Simplified Arabic" w:hAnsi="Simplified Arabic" w:cs="Simplified Arabic"/>
          <w:color w:val="000000" w:themeColor="text1"/>
          <w:sz w:val="28"/>
          <w:szCs w:val="28"/>
          <w:rtl/>
        </w:rPr>
        <w:t xml:space="preserve">ودراسة </w:t>
      </w:r>
      <w:r w:rsidRPr="000007C7">
        <w:rPr>
          <w:rFonts w:ascii="Simplified Arabic" w:hAnsi="Simplified Arabic" w:cs="Simplified Arabic"/>
          <w:color w:val="000000" w:themeColor="text1"/>
          <w:sz w:val="28"/>
          <w:szCs w:val="28"/>
        </w:rPr>
        <w:t xml:space="preserve">Tetteh et al. (2022) </w:t>
      </w:r>
      <w:r w:rsidRPr="000007C7">
        <w:rPr>
          <w:rFonts w:ascii="Simplified Arabic" w:hAnsi="Simplified Arabic" w:cs="Simplified Arabic"/>
          <w:color w:val="000000" w:themeColor="text1"/>
          <w:sz w:val="28"/>
          <w:szCs w:val="28"/>
          <w:rtl/>
        </w:rPr>
        <w:t>ودراسة</w:t>
      </w:r>
      <w:r w:rsidRPr="000007C7">
        <w:rPr>
          <w:rFonts w:ascii="Simplified Arabic" w:hAnsi="Simplified Arabic" w:cs="Simplified Arabic"/>
          <w:color w:val="000000" w:themeColor="text1"/>
          <w:sz w:val="28"/>
          <w:szCs w:val="28"/>
        </w:rPr>
        <w:t xml:space="preserve"> Jyoti &amp; Dimple (2022) </w:t>
      </w:r>
      <w:r w:rsidRPr="000007C7">
        <w:rPr>
          <w:rFonts w:ascii="Simplified Arabic" w:hAnsi="Simplified Arabic" w:cs="Simplified Arabic"/>
          <w:color w:val="000000" w:themeColor="text1"/>
          <w:sz w:val="28"/>
          <w:szCs w:val="28"/>
          <w:rtl/>
        </w:rPr>
        <w:t>في استهداف العاملين في مؤسسات القطاع الخاص بوصفهم مجتمعًا للدراسة</w:t>
      </w:r>
      <w:r w:rsidRPr="000007C7">
        <w:rPr>
          <w:rFonts w:ascii="Simplified Arabic" w:hAnsi="Simplified Arabic" w:cs="Simplified Arabic"/>
          <w:color w:val="000000" w:themeColor="text1"/>
          <w:sz w:val="28"/>
          <w:szCs w:val="28"/>
        </w:rPr>
        <w:t>.</w:t>
      </w:r>
    </w:p>
    <w:p w14:paraId="3E05CC0D" w14:textId="77777777" w:rsidR="00646233" w:rsidRPr="000007C7" w:rsidRDefault="00646233" w:rsidP="00CF335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0007C7">
        <w:rPr>
          <w:rFonts w:ascii="Simplified Arabic" w:hAnsi="Simplified Arabic" w:cs="Simplified Arabic"/>
          <w:b/>
          <w:bCs/>
          <w:color w:val="000000" w:themeColor="text1"/>
          <w:sz w:val="32"/>
          <w:szCs w:val="32"/>
          <w:rtl/>
        </w:rPr>
        <w:t>ثانيًا: أوجه الاختلاف</w:t>
      </w:r>
    </w:p>
    <w:p w14:paraId="7F71EDF4" w14:textId="77777777" w:rsidR="00646233" w:rsidRPr="000007C7" w:rsidRDefault="00646233" w:rsidP="00FC2E6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007C7">
        <w:rPr>
          <w:rFonts w:ascii="Simplified Arabic" w:hAnsi="Simplified Arabic" w:cs="Simplified Arabic"/>
          <w:color w:val="000000" w:themeColor="text1"/>
          <w:sz w:val="28"/>
          <w:szCs w:val="28"/>
          <w:rtl/>
        </w:rPr>
        <w:t>تتميّز الدراسة الحالية عن الدراسات السابقة في عدة جوانب جوهرية تُمثّل إضافتها العلمية. فمن حيث الهدف، ركّزت معظم الدراسات السابقة على جانب واحد من جوانب بيئة العمل أو الترفيه فيها، فدراسة مانع وبوهراوة (2021) اقتصرت على السعادة الوظيفية، ودراسة عبد الزهرة علي (2025) تناولت المرونة في بيئة العمل، ودراسة</w:t>
      </w:r>
      <w:r w:rsidRPr="000007C7">
        <w:rPr>
          <w:rFonts w:ascii="Simplified Arabic" w:hAnsi="Simplified Arabic" w:cs="Simplified Arabic"/>
          <w:color w:val="000000" w:themeColor="text1"/>
          <w:sz w:val="28"/>
          <w:szCs w:val="28"/>
        </w:rPr>
        <w:t xml:space="preserve"> Yang &amp; Chen (2023) </w:t>
      </w:r>
      <w:r w:rsidRPr="000007C7">
        <w:rPr>
          <w:rFonts w:ascii="Simplified Arabic" w:hAnsi="Simplified Arabic" w:cs="Simplified Arabic"/>
          <w:color w:val="000000" w:themeColor="text1"/>
          <w:sz w:val="28"/>
          <w:szCs w:val="28"/>
          <w:rtl/>
        </w:rPr>
        <w:t>ركّزت على المرح وعلاقته بالسلوكيات الإبداعية، ودراسة</w:t>
      </w:r>
      <w:r w:rsidRPr="000007C7">
        <w:rPr>
          <w:rFonts w:ascii="Simplified Arabic" w:hAnsi="Simplified Arabic" w:cs="Simplified Arabic"/>
          <w:color w:val="000000" w:themeColor="text1"/>
          <w:sz w:val="28"/>
          <w:szCs w:val="28"/>
        </w:rPr>
        <w:t xml:space="preserve"> Tzioti &amp; Montgomery (2025) </w:t>
      </w:r>
      <w:r w:rsidRPr="000007C7">
        <w:rPr>
          <w:rFonts w:ascii="Simplified Arabic" w:hAnsi="Simplified Arabic" w:cs="Simplified Arabic"/>
          <w:color w:val="000000" w:themeColor="text1"/>
          <w:sz w:val="28"/>
          <w:szCs w:val="28"/>
          <w:rtl/>
        </w:rPr>
        <w:t xml:space="preserve">ربطت المرح بالاندماج والاحتراق الوظيفي، في حين تتفرّد الدراسة الحالية بتقديم نموذج شامل يجمع أربعة أبعاد للبرامج الترفيهية </w:t>
      </w:r>
      <w:r w:rsidRPr="000007C7">
        <w:rPr>
          <w:rFonts w:ascii="Simplified Arabic" w:hAnsi="Simplified Arabic" w:cs="Simplified Arabic"/>
          <w:color w:val="000000" w:themeColor="text1"/>
          <w:sz w:val="28"/>
          <w:szCs w:val="28"/>
        </w:rPr>
        <w:t>(</w:t>
      </w:r>
      <w:r w:rsidRPr="000007C7">
        <w:rPr>
          <w:rFonts w:ascii="Simplified Arabic" w:hAnsi="Simplified Arabic" w:cs="Simplified Arabic"/>
          <w:color w:val="000000" w:themeColor="text1"/>
          <w:sz w:val="28"/>
          <w:szCs w:val="28"/>
          <w:rtl/>
        </w:rPr>
        <w:t>الأنشطة الرياضية والبدنية، الفعاليات الاجتماعية والثقافية، برامج الاسترخاء وإدارة الضغوط، الأنشطة الترفيهية الرقمية والإبداعية) ويقيس أثرها المباشر على الأداء المؤسسي الشامل وليس على متغيرات جزئية كالإبداع أو نية ترك العمل أو الاندماج. ومن حيث المنهج، تختلف الدراسة الحالية عن دراسة</w:t>
      </w:r>
      <w:r w:rsidRPr="000007C7">
        <w:rPr>
          <w:rFonts w:ascii="Simplified Arabic" w:hAnsi="Simplified Arabic" w:cs="Simplified Arabic"/>
          <w:color w:val="000000" w:themeColor="text1"/>
          <w:sz w:val="28"/>
          <w:szCs w:val="28"/>
        </w:rPr>
        <w:t xml:space="preserve"> Mercano</w:t>
      </w:r>
      <w:r w:rsidRPr="000007C7">
        <w:rPr>
          <w:rFonts w:ascii="Cambria" w:hAnsi="Cambria" w:cs="Cambria"/>
          <w:color w:val="000000" w:themeColor="text1"/>
          <w:sz w:val="28"/>
          <w:szCs w:val="28"/>
        </w:rPr>
        <w:t>ğ</w:t>
      </w:r>
      <w:r w:rsidRPr="000007C7">
        <w:rPr>
          <w:rFonts w:ascii="Simplified Arabic" w:hAnsi="Simplified Arabic" w:cs="Simplified Arabic"/>
          <w:color w:val="000000" w:themeColor="text1"/>
          <w:sz w:val="28"/>
          <w:szCs w:val="28"/>
        </w:rPr>
        <w:t xml:space="preserve">lu &amp; </w:t>
      </w:r>
      <w:r w:rsidRPr="000007C7">
        <w:rPr>
          <w:rFonts w:ascii="Cambria" w:hAnsi="Cambria" w:cs="Cambria"/>
          <w:color w:val="000000" w:themeColor="text1"/>
          <w:sz w:val="28"/>
          <w:szCs w:val="28"/>
        </w:rPr>
        <w:t>Ş</w:t>
      </w:r>
      <w:r w:rsidRPr="000007C7">
        <w:rPr>
          <w:rFonts w:ascii="Simplified Arabic" w:hAnsi="Simplified Arabic" w:cs="Simplified Arabic"/>
          <w:color w:val="000000" w:themeColor="text1"/>
          <w:sz w:val="28"/>
          <w:szCs w:val="28"/>
        </w:rPr>
        <w:t>im</w:t>
      </w:r>
      <w:r w:rsidRPr="000007C7">
        <w:rPr>
          <w:rFonts w:ascii="Cambria" w:hAnsi="Cambria" w:cs="Cambria"/>
          <w:color w:val="000000" w:themeColor="text1"/>
          <w:sz w:val="28"/>
          <w:szCs w:val="28"/>
        </w:rPr>
        <w:t>ş</w:t>
      </w:r>
      <w:r w:rsidRPr="000007C7">
        <w:rPr>
          <w:rFonts w:ascii="Simplified Arabic" w:hAnsi="Simplified Arabic" w:cs="Simplified Arabic"/>
          <w:color w:val="000000" w:themeColor="text1"/>
          <w:sz w:val="28"/>
          <w:szCs w:val="28"/>
        </w:rPr>
        <w:t xml:space="preserve">ek (2023) </w:t>
      </w:r>
      <w:r w:rsidRPr="000007C7">
        <w:rPr>
          <w:rFonts w:ascii="Simplified Arabic" w:hAnsi="Simplified Arabic" w:cs="Simplified Arabic"/>
          <w:color w:val="000000" w:themeColor="text1"/>
          <w:sz w:val="28"/>
          <w:szCs w:val="28"/>
          <w:rtl/>
        </w:rPr>
        <w:t>التي اعتمدت المنهج التجريبي بتصميم سولومون، وعن دراسة</w:t>
      </w:r>
      <w:r w:rsidRPr="000007C7">
        <w:rPr>
          <w:rFonts w:ascii="Simplified Arabic" w:hAnsi="Simplified Arabic" w:cs="Simplified Arabic"/>
          <w:color w:val="000000" w:themeColor="text1"/>
          <w:sz w:val="28"/>
          <w:szCs w:val="28"/>
        </w:rPr>
        <w:t xml:space="preserve"> Tzioti &amp; Montgomery (2025) </w:t>
      </w:r>
      <w:r w:rsidRPr="000007C7">
        <w:rPr>
          <w:rFonts w:ascii="Simplified Arabic" w:hAnsi="Simplified Arabic" w:cs="Simplified Arabic"/>
          <w:color w:val="000000" w:themeColor="text1"/>
          <w:sz w:val="28"/>
          <w:szCs w:val="28"/>
          <w:rtl/>
        </w:rPr>
        <w:t>التي استخدمت منهج التحليل البعدي، وعن دراسة</w:t>
      </w:r>
      <w:r w:rsidRPr="000007C7">
        <w:rPr>
          <w:rFonts w:ascii="Simplified Arabic" w:hAnsi="Simplified Arabic" w:cs="Simplified Arabic"/>
          <w:color w:val="000000" w:themeColor="text1"/>
          <w:sz w:val="28"/>
          <w:szCs w:val="28"/>
        </w:rPr>
        <w:t xml:space="preserve"> Marin-Farrona et al. (2023) </w:t>
      </w:r>
      <w:r w:rsidRPr="000007C7">
        <w:rPr>
          <w:rFonts w:ascii="Simplified Arabic" w:hAnsi="Simplified Arabic" w:cs="Simplified Arabic"/>
          <w:color w:val="000000" w:themeColor="text1"/>
          <w:sz w:val="28"/>
          <w:szCs w:val="28"/>
          <w:rtl/>
        </w:rPr>
        <w:t>التي اعتمدت المراجعة المنهجية المنتظمة، وعن دراسة</w:t>
      </w:r>
      <w:r w:rsidRPr="000007C7">
        <w:rPr>
          <w:rFonts w:ascii="Simplified Arabic" w:hAnsi="Simplified Arabic" w:cs="Simplified Arabic"/>
          <w:color w:val="000000" w:themeColor="text1"/>
          <w:sz w:val="28"/>
          <w:szCs w:val="28"/>
        </w:rPr>
        <w:t xml:space="preserve"> Ahmad et al. (2024) </w:t>
      </w:r>
      <w:r w:rsidRPr="000007C7">
        <w:rPr>
          <w:rFonts w:ascii="Simplified Arabic" w:hAnsi="Simplified Arabic" w:cs="Simplified Arabic"/>
          <w:color w:val="000000" w:themeColor="text1"/>
          <w:sz w:val="28"/>
          <w:szCs w:val="28"/>
          <w:rtl/>
        </w:rPr>
        <w:t xml:space="preserve">التي وظّفت المنهج النوعي القائم على تحليل البيانات الثانوية، حيث تتبنّى الدراسة الحالية المنهج الوصفي التحليلي الميداني الذي يجمع بين الوصف والتحليل الكمّي. ومن حيث بيئة التطبيق، تختلف الدراسة الحالية عن الدراسات السابقة </w:t>
      </w:r>
      <w:r w:rsidRPr="000007C7">
        <w:rPr>
          <w:rFonts w:ascii="Simplified Arabic" w:hAnsi="Simplified Arabic" w:cs="Simplified Arabic"/>
          <w:color w:val="000000" w:themeColor="text1"/>
          <w:sz w:val="28"/>
          <w:szCs w:val="28"/>
          <w:rtl/>
        </w:rPr>
        <w:lastRenderedPageBreak/>
        <w:t>التي طُبّقت في بيئات غير عربية كالصين</w:t>
      </w:r>
      <w:r w:rsidRPr="000007C7">
        <w:rPr>
          <w:rFonts w:ascii="Simplified Arabic" w:hAnsi="Simplified Arabic" w:cs="Simplified Arabic"/>
          <w:color w:val="000000" w:themeColor="text1"/>
          <w:sz w:val="28"/>
          <w:szCs w:val="28"/>
        </w:rPr>
        <w:t xml:space="preserve"> (Yang &amp; Chen, 2023) </w:t>
      </w:r>
      <w:r w:rsidRPr="000007C7">
        <w:rPr>
          <w:rFonts w:ascii="Simplified Arabic" w:hAnsi="Simplified Arabic" w:cs="Simplified Arabic"/>
          <w:color w:val="000000" w:themeColor="text1"/>
          <w:sz w:val="28"/>
          <w:szCs w:val="28"/>
          <w:rtl/>
        </w:rPr>
        <w:t xml:space="preserve">وغانا </w:t>
      </w:r>
      <w:r w:rsidRPr="000007C7">
        <w:rPr>
          <w:rFonts w:ascii="Simplified Arabic" w:hAnsi="Simplified Arabic" w:cs="Simplified Arabic"/>
          <w:color w:val="000000" w:themeColor="text1"/>
          <w:sz w:val="28"/>
          <w:szCs w:val="28"/>
        </w:rPr>
        <w:t xml:space="preserve">(Tetteh et al., 2022) </w:t>
      </w:r>
      <w:r w:rsidRPr="000007C7">
        <w:rPr>
          <w:rFonts w:ascii="Simplified Arabic" w:hAnsi="Simplified Arabic" w:cs="Simplified Arabic"/>
          <w:color w:val="000000" w:themeColor="text1"/>
          <w:sz w:val="28"/>
          <w:szCs w:val="28"/>
          <w:rtl/>
        </w:rPr>
        <w:t>والهند</w:t>
      </w:r>
      <w:r w:rsidRPr="000007C7">
        <w:rPr>
          <w:rFonts w:ascii="Simplified Arabic" w:hAnsi="Simplified Arabic" w:cs="Simplified Arabic"/>
          <w:color w:val="000000" w:themeColor="text1"/>
          <w:sz w:val="28"/>
          <w:szCs w:val="28"/>
        </w:rPr>
        <w:t xml:space="preserve"> (Jyoti &amp; Dimple, 2022) </w:t>
      </w:r>
      <w:r w:rsidRPr="000007C7">
        <w:rPr>
          <w:rFonts w:ascii="Simplified Arabic" w:hAnsi="Simplified Arabic" w:cs="Simplified Arabic"/>
          <w:color w:val="000000" w:themeColor="text1"/>
          <w:sz w:val="28"/>
          <w:szCs w:val="28"/>
          <w:rtl/>
        </w:rPr>
        <w:t xml:space="preserve">وتركيا </w:t>
      </w:r>
      <w:r w:rsidRPr="000007C7">
        <w:rPr>
          <w:rFonts w:ascii="Simplified Arabic" w:hAnsi="Simplified Arabic" w:cs="Simplified Arabic"/>
          <w:color w:val="000000" w:themeColor="text1"/>
          <w:sz w:val="28"/>
          <w:szCs w:val="28"/>
        </w:rPr>
        <w:t>(Mercano</w:t>
      </w:r>
      <w:r w:rsidRPr="000007C7">
        <w:rPr>
          <w:rFonts w:ascii="Cambria" w:hAnsi="Cambria" w:cs="Cambria"/>
          <w:color w:val="000000" w:themeColor="text1"/>
          <w:sz w:val="28"/>
          <w:szCs w:val="28"/>
        </w:rPr>
        <w:t>ğ</w:t>
      </w:r>
      <w:r w:rsidRPr="000007C7">
        <w:rPr>
          <w:rFonts w:ascii="Simplified Arabic" w:hAnsi="Simplified Arabic" w:cs="Simplified Arabic"/>
          <w:color w:val="000000" w:themeColor="text1"/>
          <w:sz w:val="28"/>
          <w:szCs w:val="28"/>
        </w:rPr>
        <w:t xml:space="preserve">lu &amp; </w:t>
      </w:r>
      <w:r w:rsidRPr="000007C7">
        <w:rPr>
          <w:rFonts w:ascii="Cambria" w:hAnsi="Cambria" w:cs="Cambria"/>
          <w:color w:val="000000" w:themeColor="text1"/>
          <w:sz w:val="28"/>
          <w:szCs w:val="28"/>
        </w:rPr>
        <w:t>Ş</w:t>
      </w:r>
      <w:r w:rsidRPr="000007C7">
        <w:rPr>
          <w:rFonts w:ascii="Simplified Arabic" w:hAnsi="Simplified Arabic" w:cs="Simplified Arabic"/>
          <w:color w:val="000000" w:themeColor="text1"/>
          <w:sz w:val="28"/>
          <w:szCs w:val="28"/>
        </w:rPr>
        <w:t>im</w:t>
      </w:r>
      <w:r w:rsidRPr="000007C7">
        <w:rPr>
          <w:rFonts w:ascii="Cambria" w:hAnsi="Cambria" w:cs="Cambria"/>
          <w:color w:val="000000" w:themeColor="text1"/>
          <w:sz w:val="28"/>
          <w:szCs w:val="28"/>
        </w:rPr>
        <w:t>ş</w:t>
      </w:r>
      <w:r w:rsidRPr="000007C7">
        <w:rPr>
          <w:rFonts w:ascii="Simplified Arabic" w:hAnsi="Simplified Arabic" w:cs="Simplified Arabic"/>
          <w:color w:val="000000" w:themeColor="text1"/>
          <w:sz w:val="28"/>
          <w:szCs w:val="28"/>
        </w:rPr>
        <w:t xml:space="preserve">ek, 2023) </w:t>
      </w:r>
      <w:r w:rsidRPr="000007C7">
        <w:rPr>
          <w:rFonts w:ascii="Simplified Arabic" w:hAnsi="Simplified Arabic" w:cs="Simplified Arabic"/>
          <w:color w:val="000000" w:themeColor="text1"/>
          <w:sz w:val="28"/>
          <w:szCs w:val="28"/>
          <w:rtl/>
        </w:rPr>
        <w:t>وألمانيا</w:t>
      </w:r>
      <w:r w:rsidRPr="000007C7">
        <w:rPr>
          <w:rFonts w:ascii="Simplified Arabic" w:hAnsi="Simplified Arabic" w:cs="Simplified Arabic"/>
          <w:color w:val="000000" w:themeColor="text1"/>
          <w:sz w:val="28"/>
          <w:szCs w:val="28"/>
        </w:rPr>
        <w:t xml:space="preserve"> (Hauff et al., 2022)</w:t>
      </w:r>
      <w:r w:rsidRPr="000007C7">
        <w:rPr>
          <w:rFonts w:ascii="Simplified Arabic" w:hAnsi="Simplified Arabic" w:cs="Simplified Arabic"/>
          <w:color w:val="000000" w:themeColor="text1"/>
          <w:sz w:val="28"/>
          <w:szCs w:val="28"/>
          <w:rtl/>
        </w:rPr>
        <w:t>، كما تختلف عن الدراسات العربية التي طُبّقت في قطاعات نوعية كالمستشفيات (المطيري والحازمي، 2023؛ الطراونة، 2021؛ فتح الله وكمال الدين، 2023) أو قطاع الاتصالات (عبد الزهرة علي، 2025) أو المنتجعات السياحية (جمال والسيد وإمام، 2023)، حيث تستهدف الدراسة الحالية شركات القطاع الخاص الكبرى والمتوسطة في جمهورية مصر العربية بتنوّع أنشطتها الاقتصادية، مما يُوفّر نتائج أكثر شمولية وقابلية للتعميم على بيئة الأعمال المصرية</w:t>
      </w:r>
      <w:r w:rsidRPr="000007C7">
        <w:rPr>
          <w:rFonts w:ascii="Simplified Arabic" w:hAnsi="Simplified Arabic" w:cs="Simplified Arabic"/>
          <w:color w:val="000000" w:themeColor="text1"/>
          <w:sz w:val="28"/>
          <w:szCs w:val="28"/>
        </w:rPr>
        <w:t>.</w:t>
      </w:r>
    </w:p>
    <w:p w14:paraId="72B56E5D" w14:textId="77777777" w:rsidR="00FC2E6C" w:rsidRPr="000007C7" w:rsidRDefault="00FC2E6C" w:rsidP="00FC2E6C">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3" w:name="_Toc169790502"/>
      <w:bookmarkStart w:id="14" w:name="_Toc233737554"/>
      <w:bookmarkEnd w:id="10"/>
      <w:r w:rsidRPr="000007C7">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4"/>
    </w:p>
    <w:p w14:paraId="299B46E4" w14:textId="3557D97A" w:rsidR="00FC2E6C" w:rsidRPr="000007C7" w:rsidRDefault="00FC2E6C" w:rsidP="00FC2E6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007C7">
        <w:rPr>
          <w:rFonts w:ascii="Simplified Arabic" w:eastAsia="Times New Roman" w:hAnsi="Simplified Arabic" w:cs="Simplified Arabic"/>
          <w:b/>
          <w:bCs/>
          <w:color w:val="000000" w:themeColor="text1"/>
          <w:kern w:val="0"/>
          <w:sz w:val="32"/>
          <w:szCs w:val="32"/>
          <w:rtl/>
          <w14:ligatures w14:val="none"/>
        </w:rPr>
        <w:t>أولًا: مفهوم البرامج الترفيهية في بيئة العمل</w:t>
      </w:r>
    </w:p>
    <w:p w14:paraId="3CFA7879" w14:textId="77777777" w:rsidR="00646233" w:rsidRPr="000007C7" w:rsidRDefault="00646233"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شغل مفهوم المرح والترفيه في بيئة العمل حيّزًا متناميًا في أدبيات الإدارة والسلوك التنظيمي خلال العقدين الأخيرين، حيث تجاوزت النظرة إليه كونه مجرد أنشطة هامشية ليُصبح استراتيجية إدارية واعية تتبنّاها المنظمات الحديثة لتحقيق أهداف تنظيمية متعددة. ويُعرَّف الترفيه في بيئة العمل بأنه أيّ نشاط مُمتع أو مُبهج يحدث في مكان العمل ويُسهم في خلق بيئة تنظيمية إيجابية تتّسم بالمرح والحيوية، سواء كان هذا النشاط مُنظَّمًا من قِبل الإدارة أو نابعًا بشكل عفوي من التفاعلات اليومية بين الزملاء</w:t>
      </w:r>
      <w:r w:rsidRPr="000007C7">
        <w:rPr>
          <w:rFonts w:ascii="Simplified Arabic" w:eastAsia="Times New Roman" w:hAnsi="Simplified Arabic" w:cs="Simplified Arabic"/>
          <w:color w:val="000000" w:themeColor="text1"/>
          <w:kern w:val="0"/>
          <w:sz w:val="28"/>
          <w:szCs w:val="28"/>
          <w14:ligatures w14:val="none"/>
        </w:rPr>
        <w:t xml:space="preserve"> (Yang &amp; Chen, 2023). </w:t>
      </w:r>
      <w:r w:rsidRPr="000007C7">
        <w:rPr>
          <w:rFonts w:ascii="Simplified Arabic" w:eastAsia="Times New Roman" w:hAnsi="Simplified Arabic" w:cs="Simplified Arabic"/>
          <w:color w:val="000000" w:themeColor="text1"/>
          <w:kern w:val="0"/>
          <w:sz w:val="28"/>
          <w:szCs w:val="28"/>
          <w:rtl/>
          <w14:ligatures w14:val="none"/>
        </w:rPr>
        <w:t>وقد ميّز الباحثون بين ثلاثة أنماط رئيسية للمرح في بيئة العمل: المرح المُدار الذي تُصمّمه الإدارة وتُنظّمه كالفعاليات والمسابقات والاحتفالات، والمرح العفوي الذي ينشأ تلقائيًّا بين الموظفين كالدعابات والنكات وتبادل الأحاديث الودية، والمرح المرتبط بالمهام الذي يتحقق حين يجد الموظف متعة وإشباعًا في أداء مهامه الوظيفية ذاتها</w:t>
      </w:r>
      <w:r w:rsidRPr="000007C7">
        <w:rPr>
          <w:rFonts w:ascii="Simplified Arabic" w:eastAsia="Times New Roman" w:hAnsi="Simplified Arabic" w:cs="Simplified Arabic"/>
          <w:color w:val="000000" w:themeColor="text1"/>
          <w:kern w:val="0"/>
          <w:sz w:val="28"/>
          <w:szCs w:val="28"/>
          <w14:ligatures w14:val="none"/>
        </w:rPr>
        <w:t xml:space="preserve"> (Tetteh et al., 2022).</w:t>
      </w:r>
    </w:p>
    <w:p w14:paraId="6FEC9A16" w14:textId="77777777" w:rsidR="00646233" w:rsidRPr="000007C7" w:rsidRDefault="00646233"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 xml:space="preserve">وتتعدد الأشكال التي تتخذها البرامج الترفيهية في بيئة العمل، وتتراوح بين الأنشطة الرياضية والتمارين البدنية الجماعية والفردية، والفعاليات الاجتماعية كالحفلات والرحلات وأنشطة بناء الفرق، وبرامج الاسترخاء والتأمّل وإدارة الضغوط النفسية، والأنشطة الإبداعية الرقمية كالألعاب الإلكترونية التفاعلية وورش العمل الابتكارية. وقد أشارت الأدبيات إلى أنّ هذا التنوع في الأنشطة الترفيهية يستجيب لتباين الاحتياجات والتفضيلات بين الموظفين، مما يُعظّم فرص مشاركتهم واستفادتهم ويُعزّز الأثر الإيجابي لهذه البرامج على السلوكيات والاتجاهات الوظيفية </w:t>
      </w:r>
      <w:r w:rsidRPr="000007C7">
        <w:rPr>
          <w:rFonts w:ascii="Simplified Arabic" w:eastAsia="Times New Roman" w:hAnsi="Simplified Arabic" w:cs="Simplified Arabic"/>
          <w:color w:val="000000" w:themeColor="text1"/>
          <w:kern w:val="0"/>
          <w:sz w:val="28"/>
          <w:szCs w:val="28"/>
          <w14:ligatures w14:val="none"/>
        </w:rPr>
        <w:t>(Jyoti &amp; Dimple, 2022).</w:t>
      </w:r>
    </w:p>
    <w:p w14:paraId="62E03FEB" w14:textId="77777777" w:rsidR="00646233" w:rsidRPr="000007C7" w:rsidRDefault="00646233"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lastRenderedPageBreak/>
        <w:t>وفي إطار هذه الدراسة، تُعرَّف البرامج الترفيهية في بيئة العمل إجرائيًّا بأنها مجموعة الأنشطة والفعاليات المُنظَّمة التي تُقدّمها منظمات القطاع الخاص لموظفيها داخل بيئة العمل أو بالارتباط بها، والتي تهدف إلى تعزيز رفاهيتهم النفسية والجسدية والاجتماعية وتحسين جودة حياتهم الوظيفية، وتُقاس من خلال أربعة أبعاد هي</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الأنشطة الرياضية والبدنية، والفعاليات الاجتماعية والثقافية، وبرامج الاسترخاء وإدارة الضغوط، والأنشطة الترفيهية الرقمية والإبداعية</w:t>
      </w:r>
      <w:r w:rsidRPr="000007C7">
        <w:rPr>
          <w:rFonts w:ascii="Simplified Arabic" w:eastAsia="Times New Roman" w:hAnsi="Simplified Arabic" w:cs="Simplified Arabic"/>
          <w:color w:val="000000" w:themeColor="text1"/>
          <w:kern w:val="0"/>
          <w:sz w:val="28"/>
          <w:szCs w:val="28"/>
          <w14:ligatures w14:val="none"/>
        </w:rPr>
        <w:t>.</w:t>
      </w:r>
    </w:p>
    <w:p w14:paraId="5000F303" w14:textId="77777777" w:rsidR="00646233" w:rsidRPr="000007C7" w:rsidRDefault="00646233" w:rsidP="00FC2E6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5" w:name="_Toc223505400"/>
      <w:r w:rsidRPr="000007C7">
        <w:rPr>
          <w:rFonts w:ascii="Simplified Arabic" w:eastAsia="Times New Roman" w:hAnsi="Simplified Arabic" w:cs="Simplified Arabic"/>
          <w:b/>
          <w:bCs/>
          <w:color w:val="000000" w:themeColor="text1"/>
          <w:kern w:val="0"/>
          <w:sz w:val="32"/>
          <w:szCs w:val="32"/>
          <w:rtl/>
          <w14:ligatures w14:val="none"/>
        </w:rPr>
        <w:t>ثانيًا: أبعاد البرامج الترفيهية في بيئة العمل</w:t>
      </w:r>
      <w:bookmarkEnd w:id="15"/>
    </w:p>
    <w:p w14:paraId="4F778F5C" w14:textId="77777777" w:rsidR="00646233" w:rsidRPr="000007C7" w:rsidRDefault="00646233"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البُعد الأول – الأنشطة الرياضية والبدنية</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 xml:space="preserve">يُشير هذا البُعد إلى البرامج والأنشطة الحركية التي تُوفّرها المنظمة لموظفيها كبرامج اللياقة البدنية والفرق الرياضية المؤسسية والمشي الجماعي والاشتراك في الأندية الرياضية. وقد أثبتت المراجعة المنهجية التي أجراها </w:t>
      </w:r>
      <w:r w:rsidRPr="000007C7">
        <w:rPr>
          <w:rFonts w:ascii="Simplified Arabic" w:eastAsia="Times New Roman" w:hAnsi="Simplified Arabic" w:cs="Simplified Arabic"/>
          <w:color w:val="000000" w:themeColor="text1"/>
          <w:kern w:val="0"/>
          <w:sz w:val="28"/>
          <w:szCs w:val="28"/>
          <w14:ligatures w14:val="none"/>
        </w:rPr>
        <w:t xml:space="preserve">Marin-Farrona et al. (2023) </w:t>
      </w:r>
      <w:r w:rsidRPr="000007C7">
        <w:rPr>
          <w:rFonts w:ascii="Simplified Arabic" w:eastAsia="Times New Roman" w:hAnsi="Simplified Arabic" w:cs="Simplified Arabic"/>
          <w:color w:val="000000" w:themeColor="text1"/>
          <w:kern w:val="0"/>
          <w:sz w:val="28"/>
          <w:szCs w:val="28"/>
          <w:rtl/>
          <w14:ligatures w14:val="none"/>
        </w:rPr>
        <w:t>أنّ برامج النشاط البدني في بيئة العمل تُحسّن صحة العاملين وإنتاجيتهم وقدرتهم على العمل بصرف النظر عن نوع التمارين المُطبّقة، مما يجعل هذا البُعد ركيزة أساسية في أي برنامج ترفيهي شامل</w:t>
      </w:r>
      <w:r w:rsidRPr="000007C7">
        <w:rPr>
          <w:rFonts w:ascii="Simplified Arabic" w:eastAsia="Times New Roman" w:hAnsi="Simplified Arabic" w:cs="Simplified Arabic"/>
          <w:color w:val="000000" w:themeColor="text1"/>
          <w:kern w:val="0"/>
          <w:sz w:val="28"/>
          <w:szCs w:val="28"/>
          <w14:ligatures w14:val="none"/>
        </w:rPr>
        <w:t>.</w:t>
      </w:r>
    </w:p>
    <w:p w14:paraId="38C38B06" w14:textId="77777777" w:rsidR="00646233" w:rsidRPr="000007C7" w:rsidRDefault="00646233"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البُعد الثاني – الفعاليات الاجتماعية والثقافية</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يُشير هذا البُعد إلى المناسبات والأنشطة التي تُعزّز التفاعل الاجتماعي بين الموظفين وتُقوّي الروابط الإنسانية بينهم، كالاحتفالات بالمناسبات والإنجازات والرحلات الجماعية وأنشطة بناء الفرق والنوادي الثقافية. وقد أكّدت دراسة</w:t>
      </w:r>
      <w:r w:rsidRPr="000007C7">
        <w:rPr>
          <w:rFonts w:ascii="Simplified Arabic" w:eastAsia="Times New Roman" w:hAnsi="Simplified Arabic" w:cs="Simplified Arabic"/>
          <w:color w:val="000000" w:themeColor="text1"/>
          <w:kern w:val="0"/>
          <w:sz w:val="28"/>
          <w:szCs w:val="28"/>
          <w14:ligatures w14:val="none"/>
        </w:rPr>
        <w:t xml:space="preserve"> Jyoti &amp; Dimple (2022) </w:t>
      </w:r>
      <w:r w:rsidRPr="000007C7">
        <w:rPr>
          <w:rFonts w:ascii="Simplified Arabic" w:eastAsia="Times New Roman" w:hAnsi="Simplified Arabic" w:cs="Simplified Arabic"/>
          <w:color w:val="000000" w:themeColor="text1"/>
          <w:kern w:val="0"/>
          <w:sz w:val="28"/>
          <w:szCs w:val="28"/>
          <w:rtl/>
          <w14:ligatures w14:val="none"/>
        </w:rPr>
        <w:t>أنّ الفعاليات الاجتماعية الممتعة في بيئة العمل تُعزّز تماسك المجموعة واندماج الموظفين، مما يُقلّل من نيتهم في ترك العمل ويُحسّن من أدائهم الجماعي</w:t>
      </w:r>
      <w:r w:rsidRPr="000007C7">
        <w:rPr>
          <w:rFonts w:ascii="Simplified Arabic" w:eastAsia="Times New Roman" w:hAnsi="Simplified Arabic" w:cs="Simplified Arabic"/>
          <w:color w:val="000000" w:themeColor="text1"/>
          <w:kern w:val="0"/>
          <w:sz w:val="28"/>
          <w:szCs w:val="28"/>
          <w14:ligatures w14:val="none"/>
        </w:rPr>
        <w:t>.</w:t>
      </w:r>
    </w:p>
    <w:p w14:paraId="40B92D69" w14:textId="77777777" w:rsidR="00646233" w:rsidRPr="000007C7" w:rsidRDefault="00646233"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البُعد الثالث – برامج الاسترخاء وإدارة الضغوط</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يُشير هذا البُعد إلى الأنشطة والتقنيات التي تهدف إلى مساعدة الموظفين في التخفيف من ضغوط العمل والحفاظ على توازنهم النفسي، كجلسات التأمّل واليوغا وغرف الاسترخاء وبرامج الإرشاد النفسي وورش إدارة الوقت والضغوط</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وقد أثبتت دراسة</w:t>
      </w:r>
      <w:r w:rsidRPr="000007C7">
        <w:rPr>
          <w:rFonts w:ascii="Simplified Arabic" w:eastAsia="Times New Roman" w:hAnsi="Simplified Arabic" w:cs="Simplified Arabic"/>
          <w:color w:val="000000" w:themeColor="text1"/>
          <w:kern w:val="0"/>
          <w:sz w:val="28"/>
          <w:szCs w:val="28"/>
          <w14:ligatures w14:val="none"/>
        </w:rPr>
        <w:t xml:space="preserve"> Tzioti &amp; Montgomery (2025) </w:t>
      </w:r>
      <w:r w:rsidRPr="000007C7">
        <w:rPr>
          <w:rFonts w:ascii="Simplified Arabic" w:eastAsia="Times New Roman" w:hAnsi="Simplified Arabic" w:cs="Simplified Arabic"/>
          <w:color w:val="000000" w:themeColor="text1"/>
          <w:kern w:val="0"/>
          <w:sz w:val="28"/>
          <w:szCs w:val="28"/>
          <w:rtl/>
          <w14:ligatures w14:val="none"/>
        </w:rPr>
        <w:t>من خلال التحليل البعدي أنّ بيئات العمل التي تُدمج عناصر المرح والاسترخاء ترتبط بمستويات أقل من الاحتراق الوظيفي والإرهاق العاطفي ومستويات أعلى من الاندماج في العمل</w:t>
      </w:r>
      <w:r w:rsidRPr="000007C7">
        <w:rPr>
          <w:rFonts w:ascii="Simplified Arabic" w:eastAsia="Times New Roman" w:hAnsi="Simplified Arabic" w:cs="Simplified Arabic"/>
          <w:color w:val="000000" w:themeColor="text1"/>
          <w:kern w:val="0"/>
          <w:sz w:val="28"/>
          <w:szCs w:val="28"/>
          <w14:ligatures w14:val="none"/>
        </w:rPr>
        <w:t>.</w:t>
      </w:r>
    </w:p>
    <w:p w14:paraId="1B0FF2E2" w14:textId="77777777" w:rsidR="00646233" w:rsidRPr="000007C7" w:rsidRDefault="00646233"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البُعد الرابع – الأنشطة الترفيهية الرقمية والإبداعية</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 xml:space="preserve">يُشير هذا البُعد إلى الأنشطة التي توظّف التقنيات الرقمية والأساليب الإبداعية في خلق تجارب ترفيهية محفّزة للموظفين، كالألعاب الإلكترونية التفاعلية وتطبيقات التحفيز القائمة على اللعب وورش العمل الإبداعية والمسابقات الابتكارية. وقد </w:t>
      </w:r>
      <w:r w:rsidRPr="000007C7">
        <w:rPr>
          <w:rFonts w:ascii="Simplified Arabic" w:eastAsia="Times New Roman" w:hAnsi="Simplified Arabic" w:cs="Simplified Arabic"/>
          <w:color w:val="000000" w:themeColor="text1"/>
          <w:kern w:val="0"/>
          <w:sz w:val="28"/>
          <w:szCs w:val="28"/>
          <w:rtl/>
          <w14:ligatures w14:val="none"/>
        </w:rPr>
        <w:lastRenderedPageBreak/>
        <w:t>أوضحت دراسة</w:t>
      </w:r>
      <w:r w:rsidRPr="000007C7">
        <w:rPr>
          <w:rFonts w:ascii="Simplified Arabic" w:eastAsia="Times New Roman" w:hAnsi="Simplified Arabic" w:cs="Simplified Arabic"/>
          <w:color w:val="000000" w:themeColor="text1"/>
          <w:kern w:val="0"/>
          <w:sz w:val="28"/>
          <w:szCs w:val="28"/>
          <w14:ligatures w14:val="none"/>
        </w:rPr>
        <w:t xml:space="preserve"> Mercano</w:t>
      </w:r>
      <w:r w:rsidRPr="000007C7">
        <w:rPr>
          <w:rFonts w:ascii="Cambria" w:eastAsia="Times New Roman" w:hAnsi="Cambria" w:cs="Cambria"/>
          <w:color w:val="000000" w:themeColor="text1"/>
          <w:kern w:val="0"/>
          <w:sz w:val="28"/>
          <w:szCs w:val="28"/>
          <w14:ligatures w14:val="none"/>
        </w:rPr>
        <w:t>ğ</w:t>
      </w:r>
      <w:r w:rsidRPr="000007C7">
        <w:rPr>
          <w:rFonts w:ascii="Simplified Arabic" w:eastAsia="Times New Roman" w:hAnsi="Simplified Arabic" w:cs="Simplified Arabic"/>
          <w:color w:val="000000" w:themeColor="text1"/>
          <w:kern w:val="0"/>
          <w:sz w:val="28"/>
          <w:szCs w:val="28"/>
          <w14:ligatures w14:val="none"/>
        </w:rPr>
        <w:t xml:space="preserve">lu &amp; </w:t>
      </w:r>
      <w:r w:rsidRPr="000007C7">
        <w:rPr>
          <w:rFonts w:ascii="Cambria" w:eastAsia="Times New Roman" w:hAnsi="Cambria" w:cs="Cambria"/>
          <w:color w:val="000000" w:themeColor="text1"/>
          <w:kern w:val="0"/>
          <w:sz w:val="28"/>
          <w:szCs w:val="28"/>
          <w14:ligatures w14:val="none"/>
        </w:rPr>
        <w:t>Ş</w:t>
      </w:r>
      <w:r w:rsidRPr="000007C7">
        <w:rPr>
          <w:rFonts w:ascii="Simplified Arabic" w:eastAsia="Times New Roman" w:hAnsi="Simplified Arabic" w:cs="Simplified Arabic"/>
          <w:color w:val="000000" w:themeColor="text1"/>
          <w:kern w:val="0"/>
          <w:sz w:val="28"/>
          <w:szCs w:val="28"/>
          <w14:ligatures w14:val="none"/>
        </w:rPr>
        <w:t>im</w:t>
      </w:r>
      <w:r w:rsidRPr="000007C7">
        <w:rPr>
          <w:rFonts w:ascii="Cambria" w:eastAsia="Times New Roman" w:hAnsi="Cambria" w:cs="Cambria"/>
          <w:color w:val="000000" w:themeColor="text1"/>
          <w:kern w:val="0"/>
          <w:sz w:val="28"/>
          <w:szCs w:val="28"/>
          <w14:ligatures w14:val="none"/>
        </w:rPr>
        <w:t>ş</w:t>
      </w:r>
      <w:r w:rsidRPr="000007C7">
        <w:rPr>
          <w:rFonts w:ascii="Simplified Arabic" w:eastAsia="Times New Roman" w:hAnsi="Simplified Arabic" w:cs="Simplified Arabic"/>
          <w:color w:val="000000" w:themeColor="text1"/>
          <w:kern w:val="0"/>
          <w:sz w:val="28"/>
          <w:szCs w:val="28"/>
          <w14:ligatures w14:val="none"/>
        </w:rPr>
        <w:t xml:space="preserve">ek (2023) </w:t>
      </w:r>
      <w:r w:rsidRPr="000007C7">
        <w:rPr>
          <w:rFonts w:ascii="Simplified Arabic" w:eastAsia="Times New Roman" w:hAnsi="Simplified Arabic" w:cs="Simplified Arabic"/>
          <w:color w:val="000000" w:themeColor="text1"/>
          <w:kern w:val="0"/>
          <w:sz w:val="28"/>
          <w:szCs w:val="28"/>
          <w:rtl/>
          <w14:ligatures w14:val="none"/>
        </w:rPr>
        <w:t>أنّ البرامج الترفيهية الشاملة التي تتضمن أنشطة متنوعة ومبتكرة تؤثر تأثيرًا إيجابيًّا مباشرًا في إنتاجية الموظفين</w:t>
      </w:r>
      <w:r w:rsidRPr="000007C7">
        <w:rPr>
          <w:rFonts w:ascii="Simplified Arabic" w:eastAsia="Times New Roman" w:hAnsi="Simplified Arabic" w:cs="Simplified Arabic"/>
          <w:color w:val="000000" w:themeColor="text1"/>
          <w:kern w:val="0"/>
          <w:sz w:val="28"/>
          <w:szCs w:val="28"/>
          <w14:ligatures w14:val="none"/>
        </w:rPr>
        <w:t>.</w:t>
      </w:r>
    </w:p>
    <w:p w14:paraId="4DE5847E" w14:textId="77777777" w:rsidR="00646233" w:rsidRPr="000007C7" w:rsidRDefault="00646233" w:rsidP="00FC2E6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6" w:name="_Toc223505401"/>
      <w:r w:rsidRPr="000007C7">
        <w:rPr>
          <w:rFonts w:ascii="Simplified Arabic" w:eastAsia="Times New Roman" w:hAnsi="Simplified Arabic" w:cs="Simplified Arabic"/>
          <w:b/>
          <w:bCs/>
          <w:color w:val="000000" w:themeColor="text1"/>
          <w:kern w:val="0"/>
          <w:sz w:val="32"/>
          <w:szCs w:val="32"/>
          <w:rtl/>
          <w14:ligatures w14:val="none"/>
        </w:rPr>
        <w:t>ثالثًا: مفهوم الأداء المؤسسي</w:t>
      </w:r>
      <w:bookmarkEnd w:id="16"/>
    </w:p>
    <w:p w14:paraId="7918BF0B" w14:textId="77777777" w:rsidR="00646233" w:rsidRPr="000007C7" w:rsidRDefault="00646233"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يُمثّل الأداء المؤسسي مفهومًا محوريًّا في علوم الإدارة والتنظيم، وقد تعددت تعريفاته بتعدد المداخل النظرية التي تناولته. ويُعرَّف الأداء المؤسسي بأنه قدرة المنظمة على تحقيق أهدافها الاستراتيجية واستثمار مواردها البشرية والمالية والتقنية بكفاءة وفاعلية، بما يضمن استمراريتها وتميّزها في بيئة تنافسية متغيرة (الطراونة، 2021)</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ويتّسم هذا المفهوم بالشمولية والتعددية، إذ لا يقتصر على المؤشرات المالية كالربحية والعائد على الاستثمار، بل يمتد ليشمل مؤشرات غير مالية كرضا العملاء وجودة العمليات الداخلية وقدرة المنظمة على التعلم والنمو والابتكار. وقد أسهمت بطاقة الأداء المتوازن التي طوّرها كابلان ونورتون في ترسيخ هذه النظرة الشاملة للأداء المؤسسي من خلال دمج المنظورات المالية وغير المالية في إطار تقييمي متكامل</w:t>
      </w:r>
      <w:r w:rsidRPr="000007C7">
        <w:rPr>
          <w:rFonts w:ascii="Simplified Arabic" w:eastAsia="Times New Roman" w:hAnsi="Simplified Arabic" w:cs="Simplified Arabic"/>
          <w:color w:val="000000" w:themeColor="text1"/>
          <w:kern w:val="0"/>
          <w:sz w:val="28"/>
          <w:szCs w:val="28"/>
          <w14:ligatures w14:val="none"/>
        </w:rPr>
        <w:t xml:space="preserve"> (Duarte et al., 2022).</w:t>
      </w:r>
    </w:p>
    <w:p w14:paraId="45661111" w14:textId="77777777" w:rsidR="00646233" w:rsidRPr="000007C7" w:rsidRDefault="00646233"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ويتأثر الأداء المؤسسي بمجموعة متشابكة من العوامل الداخلية والخارجية، من أبرزها جودة الممارسات الإدارية وفاعلية القيادة وكفاءة العمليات التشغيلية ومستوى رأس المال البشري وجودة بيئة العمل. وقد أكّدت الأدبيات أنّ المنظمات التي تتبنّى ممارسات عمل عالية الأداء وتستثمر في رفاهية موظفيها تُحقّق مستويات متقدمة من الأداء المؤسسي، وذلك من خلال تعزيز الاندماج الوظيفي والالتزام التنظيمي والصحة العامة للعاملين</w:t>
      </w:r>
      <w:r w:rsidRPr="000007C7">
        <w:rPr>
          <w:rFonts w:ascii="Simplified Arabic" w:eastAsia="Times New Roman" w:hAnsi="Simplified Arabic" w:cs="Simplified Arabic"/>
          <w:color w:val="000000" w:themeColor="text1"/>
          <w:kern w:val="0"/>
          <w:sz w:val="28"/>
          <w:szCs w:val="28"/>
          <w14:ligatures w14:val="none"/>
        </w:rPr>
        <w:t xml:space="preserve"> (Hauff et al., 2022). </w:t>
      </w:r>
      <w:r w:rsidRPr="000007C7">
        <w:rPr>
          <w:rFonts w:ascii="Simplified Arabic" w:eastAsia="Times New Roman" w:hAnsi="Simplified Arabic" w:cs="Simplified Arabic"/>
          <w:color w:val="000000" w:themeColor="text1"/>
          <w:kern w:val="0"/>
          <w:sz w:val="28"/>
          <w:szCs w:val="28"/>
          <w:rtl/>
          <w14:ligatures w14:val="none"/>
        </w:rPr>
        <w:t>كما أثبتت الدراسات أنّ برامج العافية والدعم التنظيمي تُسهم في تحسين الأداء المؤسسي عبر سلسلة من المتغيرات الوسيطة كالرضا الوظيفي والالتزام التنظيمي، مما يُؤكّد أنّ الاستثمار في العنصر البشري ورفاهيته ليس تكلفة إضافية بل مدخل استراتيجي لتعزيز المخرجات المؤسسية الشاملة</w:t>
      </w:r>
      <w:r w:rsidRPr="000007C7">
        <w:rPr>
          <w:rFonts w:ascii="Simplified Arabic" w:eastAsia="Times New Roman" w:hAnsi="Simplified Arabic" w:cs="Simplified Arabic"/>
          <w:color w:val="000000" w:themeColor="text1"/>
          <w:kern w:val="0"/>
          <w:sz w:val="28"/>
          <w:szCs w:val="28"/>
          <w14:ligatures w14:val="none"/>
        </w:rPr>
        <w:t xml:space="preserve"> (Garc</w:t>
      </w:r>
      <w:r w:rsidRPr="000007C7">
        <w:rPr>
          <w:rFonts w:ascii="Cambria" w:eastAsia="Times New Roman" w:hAnsi="Cambria" w:cs="Cambria"/>
          <w:color w:val="000000" w:themeColor="text1"/>
          <w:kern w:val="0"/>
          <w:sz w:val="28"/>
          <w:szCs w:val="28"/>
          <w14:ligatures w14:val="none"/>
        </w:rPr>
        <w:t>í</w:t>
      </w:r>
      <w:r w:rsidRPr="000007C7">
        <w:rPr>
          <w:rFonts w:ascii="Simplified Arabic" w:eastAsia="Times New Roman" w:hAnsi="Simplified Arabic" w:cs="Simplified Arabic"/>
          <w:color w:val="000000" w:themeColor="text1"/>
          <w:kern w:val="0"/>
          <w:sz w:val="28"/>
          <w:szCs w:val="28"/>
          <w14:ligatures w14:val="none"/>
        </w:rPr>
        <w:t>a-Carbonell et al., 2024).</w:t>
      </w:r>
    </w:p>
    <w:p w14:paraId="77A98D9E" w14:textId="77777777" w:rsidR="00646233" w:rsidRPr="000007C7" w:rsidRDefault="00646233"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وفي إطار هذه الدراسة، يُعرَّف الأداء المؤسسي إجرائيًّا بأنه الدرجة التي تُحقّق بها منظمات القطاع الخاص أهدافها الاستراتيجية والتشغيلية بكفاءة وفاعلية، ويشمل ذلك جودة المخرجات وكفاءة العمليات الداخلية ورضا العملاء وقدرة المنظمة على التعلم والنمو والابتكار، ويُقاس من خلال استجابات العاملين على فقرات محور الأداء المؤسسي في أداة الدراسة</w:t>
      </w:r>
      <w:r w:rsidRPr="000007C7">
        <w:rPr>
          <w:rFonts w:ascii="Simplified Arabic" w:eastAsia="Times New Roman" w:hAnsi="Simplified Arabic" w:cs="Simplified Arabic"/>
          <w:color w:val="000000" w:themeColor="text1"/>
          <w:kern w:val="0"/>
          <w:sz w:val="28"/>
          <w:szCs w:val="28"/>
          <w14:ligatures w14:val="none"/>
        </w:rPr>
        <w:t>.</w:t>
      </w:r>
    </w:p>
    <w:p w14:paraId="3EAADB70" w14:textId="77777777" w:rsidR="00646233" w:rsidRPr="000007C7" w:rsidRDefault="00646233" w:rsidP="00FC2E6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7" w:name="_Toc223505402"/>
      <w:r w:rsidRPr="000007C7">
        <w:rPr>
          <w:rFonts w:ascii="Simplified Arabic" w:eastAsia="Times New Roman" w:hAnsi="Simplified Arabic" w:cs="Simplified Arabic"/>
          <w:b/>
          <w:bCs/>
          <w:color w:val="000000" w:themeColor="text1"/>
          <w:kern w:val="0"/>
          <w:sz w:val="32"/>
          <w:szCs w:val="32"/>
          <w:rtl/>
          <w14:ligatures w14:val="none"/>
        </w:rPr>
        <w:t>رابعًا: النظريات المفسّرة للعلاقة بين البرامج الترفيهية والأداء المؤسسي</w:t>
      </w:r>
      <w:bookmarkEnd w:id="17"/>
    </w:p>
    <w:p w14:paraId="3BB1270A" w14:textId="77777777" w:rsidR="00646233" w:rsidRPr="000007C7" w:rsidRDefault="00646233"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lastRenderedPageBreak/>
        <w:t>تستند هذه الدراسة إلى إطار نظري يجمع بين عدة نظريات تُفسّر الآلية التي تؤثر من خلالها البرامج الترفيهية على الأداء المؤسسي. فوفقًا لنظرية الأحداث العاطفية</w:t>
      </w:r>
      <w:r w:rsidRPr="000007C7">
        <w:rPr>
          <w:rFonts w:ascii="Simplified Arabic" w:eastAsia="Times New Roman" w:hAnsi="Simplified Arabic" w:cs="Simplified Arabic"/>
          <w:color w:val="000000" w:themeColor="text1"/>
          <w:kern w:val="0"/>
          <w:sz w:val="28"/>
          <w:szCs w:val="28"/>
          <w14:ligatures w14:val="none"/>
        </w:rPr>
        <w:t xml:space="preserve"> (AET) </w:t>
      </w:r>
      <w:r w:rsidRPr="000007C7">
        <w:rPr>
          <w:rFonts w:ascii="Simplified Arabic" w:eastAsia="Times New Roman" w:hAnsi="Simplified Arabic" w:cs="Simplified Arabic"/>
          <w:color w:val="000000" w:themeColor="text1"/>
          <w:kern w:val="0"/>
          <w:sz w:val="28"/>
          <w:szCs w:val="28"/>
          <w:rtl/>
          <w14:ligatures w14:val="none"/>
        </w:rPr>
        <w:t>التي صاغها</w:t>
      </w:r>
      <w:r w:rsidRPr="000007C7">
        <w:rPr>
          <w:rFonts w:ascii="Simplified Arabic" w:eastAsia="Times New Roman" w:hAnsi="Simplified Arabic" w:cs="Simplified Arabic"/>
          <w:color w:val="000000" w:themeColor="text1"/>
          <w:kern w:val="0"/>
          <w:sz w:val="28"/>
          <w:szCs w:val="28"/>
          <w14:ligatures w14:val="none"/>
        </w:rPr>
        <w:t xml:space="preserve"> Weiss &amp; Cropanzano (1996)</w:t>
      </w:r>
      <w:r w:rsidRPr="000007C7">
        <w:rPr>
          <w:rFonts w:ascii="Simplified Arabic" w:eastAsia="Times New Roman" w:hAnsi="Simplified Arabic" w:cs="Simplified Arabic"/>
          <w:color w:val="000000" w:themeColor="text1"/>
          <w:kern w:val="0"/>
          <w:sz w:val="28"/>
          <w:szCs w:val="28"/>
          <w:rtl/>
          <w14:ligatures w14:val="none"/>
        </w:rPr>
        <w:t>، فإنّ الأحداث الإيجابية في بيئة العمل كالأنشطة الترفيهية تُولّد ردود فعل عاطفية إيجابية لدى الموظفين تنعكس على اتجاهاتهم وسلوكياتهم المرتبطة بالأداء، وهو ما أكّدته دراسة</w:t>
      </w:r>
      <w:r w:rsidRPr="000007C7">
        <w:rPr>
          <w:rFonts w:ascii="Simplified Arabic" w:eastAsia="Times New Roman" w:hAnsi="Simplified Arabic" w:cs="Simplified Arabic"/>
          <w:color w:val="000000" w:themeColor="text1"/>
          <w:kern w:val="0"/>
          <w:sz w:val="28"/>
          <w:szCs w:val="28"/>
          <w14:ligatures w14:val="none"/>
        </w:rPr>
        <w:t xml:space="preserve"> Yang &amp; Chen (2023) </w:t>
      </w:r>
      <w:r w:rsidRPr="000007C7">
        <w:rPr>
          <w:rFonts w:ascii="Simplified Arabic" w:eastAsia="Times New Roman" w:hAnsi="Simplified Arabic" w:cs="Simplified Arabic"/>
          <w:color w:val="000000" w:themeColor="text1"/>
          <w:kern w:val="0"/>
          <w:sz w:val="28"/>
          <w:szCs w:val="28"/>
          <w:rtl/>
          <w14:ligatures w14:val="none"/>
        </w:rPr>
        <w:t>التي اعتمدت هذه النظرية إطارًا لتفسير العلاقة بين المرح في بيئة العمل والسلوكيات الإبداعية. كذلك تُقدّم نظرية المتطلبات والموارد الوظيفية</w:t>
      </w:r>
      <w:r w:rsidRPr="000007C7">
        <w:rPr>
          <w:rFonts w:ascii="Simplified Arabic" w:eastAsia="Times New Roman" w:hAnsi="Simplified Arabic" w:cs="Simplified Arabic"/>
          <w:color w:val="000000" w:themeColor="text1"/>
          <w:kern w:val="0"/>
          <w:sz w:val="28"/>
          <w:szCs w:val="28"/>
          <w14:ligatures w14:val="none"/>
        </w:rPr>
        <w:t xml:space="preserve"> (JD-R Model) </w:t>
      </w:r>
      <w:r w:rsidRPr="000007C7">
        <w:rPr>
          <w:rFonts w:ascii="Simplified Arabic" w:eastAsia="Times New Roman" w:hAnsi="Simplified Arabic" w:cs="Simplified Arabic"/>
          <w:color w:val="000000" w:themeColor="text1"/>
          <w:kern w:val="0"/>
          <w:sz w:val="28"/>
          <w:szCs w:val="28"/>
          <w:rtl/>
          <w14:ligatures w14:val="none"/>
        </w:rPr>
        <w:t xml:space="preserve">تفسيرًا مكمّلًا، حيث تُصنّف البرامج الترفيهية بوصفها موارد وظيفية تُساعد الموظفين على مواجهة متطلبات العمل وتُقلّل من الإجهاد وتُعزّز الاندماج الوظيفي، مما يُحسّن الأداء الفردي والمؤسسي </w:t>
      </w:r>
      <w:r w:rsidRPr="000007C7">
        <w:rPr>
          <w:rFonts w:ascii="Simplified Arabic" w:eastAsia="Times New Roman" w:hAnsi="Simplified Arabic" w:cs="Simplified Arabic"/>
          <w:color w:val="000000" w:themeColor="text1"/>
          <w:kern w:val="0"/>
          <w:sz w:val="28"/>
          <w:szCs w:val="28"/>
          <w14:ligatures w14:val="none"/>
        </w:rPr>
        <w:t xml:space="preserve">(Hauff et al., 2022). </w:t>
      </w:r>
      <w:r w:rsidRPr="000007C7">
        <w:rPr>
          <w:rFonts w:ascii="Simplified Arabic" w:eastAsia="Times New Roman" w:hAnsi="Simplified Arabic" w:cs="Simplified Arabic"/>
          <w:color w:val="000000" w:themeColor="text1"/>
          <w:kern w:val="0"/>
          <w:sz w:val="28"/>
          <w:szCs w:val="28"/>
          <w:rtl/>
          <w14:ligatures w14:val="none"/>
        </w:rPr>
        <w:t>ويُضاف إلى ذلك نظرية التبادل الاجتماعي التي ترى أنّ استثمار المنظمة في رفاهية موظفيها من خلال البرامج الترفيهية يُولّد لديهم شعورًا بالامتنان والالتزام يدفعهم إلى بذل مزيد من الجهد والإخلاص في العمل، وهو ما ينعكس إيجابًا على الأداء المؤسسي الشامل</w:t>
      </w:r>
      <w:r w:rsidRPr="000007C7">
        <w:rPr>
          <w:rFonts w:ascii="Simplified Arabic" w:eastAsia="Times New Roman" w:hAnsi="Simplified Arabic" w:cs="Simplified Arabic"/>
          <w:color w:val="000000" w:themeColor="text1"/>
          <w:kern w:val="0"/>
          <w:sz w:val="28"/>
          <w:szCs w:val="28"/>
          <w14:ligatures w14:val="none"/>
        </w:rPr>
        <w:t xml:space="preserve"> (Tetteh et al., 2022).</w:t>
      </w:r>
    </w:p>
    <w:p w14:paraId="0077EDD7" w14:textId="45EA2B1C" w:rsidR="00FC2E6C" w:rsidRPr="000007C7" w:rsidRDefault="00FC2E6C" w:rsidP="00FC2E6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8" w:name="_Toc169790506"/>
      <w:bookmarkStart w:id="19" w:name="_Toc233737555"/>
      <w:bookmarkEnd w:id="13"/>
      <w:r w:rsidRPr="000007C7">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19"/>
    </w:p>
    <w:p w14:paraId="609F6147" w14:textId="77777777" w:rsidR="006E71B9" w:rsidRPr="000007C7" w:rsidRDefault="006E71B9"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سوف تعتمد هذه الدراسة على المنهج الوصفي التحليلي باعتباره الأنسب لطبيعة الموضوع وأهدافه، إذ يُمكّن الباحث من وصف الظاهرة محل الدراسة وتحليلها كمّيًّا من خلال جمع البيانات من المبحوثين وتحليلها إحصائيًّا للوصول إلى نتائج قابلة للتعميم. ويتّسم هذا المنهج بقدرته على الكشف عن العلاقات الارتباطية وعلاقات الأثر بين المتغير المستقل (البرامج الترفيهية في بيئة العمل) بأبعاده الأربعة والمتغير التابع (الأداء المؤسسي)، وهو ما يتوافق مع الفروض البحثية المصاغة</w:t>
      </w:r>
      <w:r w:rsidRPr="000007C7">
        <w:rPr>
          <w:rFonts w:ascii="Simplified Arabic" w:eastAsia="Times New Roman" w:hAnsi="Simplified Arabic" w:cs="Simplified Arabic"/>
          <w:color w:val="000000" w:themeColor="text1"/>
          <w:kern w:val="0"/>
          <w:sz w:val="28"/>
          <w:szCs w:val="28"/>
          <w14:ligatures w14:val="none"/>
        </w:rPr>
        <w:t>.</w:t>
      </w:r>
    </w:p>
    <w:p w14:paraId="5D63BD2E" w14:textId="77777777" w:rsidR="006E71B9" w:rsidRPr="000007C7" w:rsidRDefault="006E71B9"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وسوف يتم تطبيق هذا المنهج من خلال مرحلتين متكاملتين: المرحلة الأولى نظرية تتضمن مراجعة الأدبيات والدراسات السابقة العربية والأجنبية ذات الصلة بمتغيري الدراسة لبناء الإطار النظري وتطوير أداة القياس، والمرحلة الثانية ميدانية تتضمن تصميم استبانة محكّمة وتوزيعها على عينة الدراسة وجمع البيانات الأولية وتحليلها باستخدام الأساليب الإحصائية المناسبة لاختبار فروض الدراسة والإجابة عن تساؤلاتها</w:t>
      </w:r>
      <w:r w:rsidRPr="000007C7">
        <w:rPr>
          <w:rFonts w:ascii="Simplified Arabic" w:eastAsia="Times New Roman" w:hAnsi="Simplified Arabic" w:cs="Simplified Arabic"/>
          <w:color w:val="000000" w:themeColor="text1"/>
          <w:kern w:val="0"/>
          <w:sz w:val="28"/>
          <w:szCs w:val="28"/>
          <w14:ligatures w14:val="none"/>
        </w:rPr>
        <w:t>.</w:t>
      </w:r>
    </w:p>
    <w:p w14:paraId="5823C05A" w14:textId="227BD24C" w:rsidR="006E71B9" w:rsidRPr="000007C7" w:rsidRDefault="00FC2E6C" w:rsidP="00FC2E6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0" w:name="_Toc223505404"/>
      <w:bookmarkStart w:id="21" w:name="_Toc233737556"/>
      <w:r w:rsidRPr="000007C7">
        <w:rPr>
          <w:rFonts w:ascii="Simplified Arabic" w:eastAsia="Times New Roman" w:hAnsi="Simplified Arabic" w:cs="Simplified Arabic" w:hint="cs"/>
          <w:b/>
          <w:bCs/>
          <w:color w:val="000000" w:themeColor="text1"/>
          <w:kern w:val="36"/>
          <w:sz w:val="36"/>
          <w:szCs w:val="36"/>
          <w:rtl/>
          <w14:ligatures w14:val="none"/>
        </w:rPr>
        <w:t xml:space="preserve">11.1 </w:t>
      </w:r>
      <w:r w:rsidR="006E71B9" w:rsidRPr="000007C7">
        <w:rPr>
          <w:rFonts w:ascii="Simplified Arabic" w:eastAsia="Times New Roman" w:hAnsi="Simplified Arabic" w:cs="Simplified Arabic"/>
          <w:b/>
          <w:bCs/>
          <w:color w:val="000000" w:themeColor="text1"/>
          <w:kern w:val="36"/>
          <w:sz w:val="36"/>
          <w:szCs w:val="36"/>
          <w:rtl/>
          <w14:ligatures w14:val="none"/>
        </w:rPr>
        <w:t>مجتمع وعينة الدراسة</w:t>
      </w:r>
      <w:bookmarkEnd w:id="20"/>
      <w:bookmarkEnd w:id="21"/>
    </w:p>
    <w:p w14:paraId="6E9717A8" w14:textId="77777777" w:rsidR="006E71B9" w:rsidRPr="000007C7" w:rsidRDefault="006E71B9"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 xml:space="preserve">سوف يتكوّن مجتمع الدراسة من جميع العاملين في شركات القطاع الخاص الكبرى والمتوسطة العاملة في نطاق جغرافي محدد، والبالغ عددهم الإجمالي ما يقارب (2,500) موظف وموظفة موزّعين على مختلف </w:t>
      </w:r>
      <w:r w:rsidRPr="000007C7">
        <w:rPr>
          <w:rFonts w:ascii="Simplified Arabic" w:eastAsia="Times New Roman" w:hAnsi="Simplified Arabic" w:cs="Simplified Arabic"/>
          <w:color w:val="000000" w:themeColor="text1"/>
          <w:kern w:val="0"/>
          <w:sz w:val="28"/>
          <w:szCs w:val="28"/>
          <w:rtl/>
          <w14:ligatures w14:val="none"/>
        </w:rPr>
        <w:lastRenderedPageBreak/>
        <w:t>المستويات الإدارية (إدارة عليا، إدارة وسطى، إدارة تنفيذية) في عدد من الشركات المستهدفة. وسوف يُشترط في مجتمع الدراسة أن يكون المبحوثون من العاملين بدوام كامل الذين أمضوا في الخدمة مدة لا تقل عن سنة واحدة، وذلك لضمان إلمامهم الكافي ببيئة العمل والبرامج الترفيهية المطبّقة فيها ومستوى الأداء المؤسسي</w:t>
      </w:r>
      <w:r w:rsidRPr="000007C7">
        <w:rPr>
          <w:rFonts w:ascii="Simplified Arabic" w:eastAsia="Times New Roman" w:hAnsi="Simplified Arabic" w:cs="Simplified Arabic"/>
          <w:color w:val="000000" w:themeColor="text1"/>
          <w:kern w:val="0"/>
          <w:sz w:val="28"/>
          <w:szCs w:val="28"/>
          <w14:ligatures w14:val="none"/>
        </w:rPr>
        <w:t>.</w:t>
      </w:r>
    </w:p>
    <w:p w14:paraId="35737581" w14:textId="77777777" w:rsidR="006E71B9" w:rsidRPr="000007C7" w:rsidRDefault="006E71B9"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وسوف يتم اختيار عينة عشوائية طبقية من مجتمع الدراسة بما يضمن تمثيل المستويات الإدارية المختلفة تمثيلًا متناسبًا، وذلك وفقًا لمعادلة ستيفن ثومبسون</w:t>
      </w:r>
      <w:r w:rsidRPr="000007C7">
        <w:rPr>
          <w:rFonts w:ascii="Simplified Arabic" w:eastAsia="Times New Roman" w:hAnsi="Simplified Arabic" w:cs="Simplified Arabic"/>
          <w:color w:val="000000" w:themeColor="text1"/>
          <w:kern w:val="0"/>
          <w:sz w:val="28"/>
          <w:szCs w:val="28"/>
          <w14:ligatures w14:val="none"/>
        </w:rPr>
        <w:t xml:space="preserve"> (Steven Thompson) </w:t>
      </w:r>
      <w:r w:rsidRPr="000007C7">
        <w:rPr>
          <w:rFonts w:ascii="Simplified Arabic" w:eastAsia="Times New Roman" w:hAnsi="Simplified Arabic" w:cs="Simplified Arabic"/>
          <w:color w:val="000000" w:themeColor="text1"/>
          <w:kern w:val="0"/>
          <w:sz w:val="28"/>
          <w:szCs w:val="28"/>
          <w:rtl/>
          <w14:ligatures w14:val="none"/>
        </w:rPr>
        <w:t>لتحديد حجم العينة عند مستوى ثقة (95%) وهامش خطأ (5%). وبناءً على ذلك سوف يبلغ الحجم المستهدف للعينة (334) مفردة، مع توزيع ما لا يقل عن (380) استبانة لتعويض النقص المتوقع في الاستبانات غير المستوفاة أو غير المستردة، وصولًا إلى عدد كافٍ من الاستبانات الصالحة للتحليل الإحصائي</w:t>
      </w:r>
      <w:r w:rsidRPr="000007C7">
        <w:rPr>
          <w:rFonts w:ascii="Simplified Arabic" w:eastAsia="Times New Roman" w:hAnsi="Simplified Arabic" w:cs="Simplified Arabic"/>
          <w:color w:val="000000" w:themeColor="text1"/>
          <w:kern w:val="0"/>
          <w:sz w:val="28"/>
          <w:szCs w:val="28"/>
          <w14:ligatures w14:val="none"/>
        </w:rPr>
        <w:t>.</w:t>
      </w:r>
    </w:p>
    <w:p w14:paraId="39224730" w14:textId="391DA4F4" w:rsidR="006E71B9" w:rsidRPr="000007C7" w:rsidRDefault="00FC2E6C" w:rsidP="00FC2E6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2" w:name="_Toc223505405"/>
      <w:bookmarkStart w:id="23" w:name="_Toc233737557"/>
      <w:r w:rsidRPr="000007C7">
        <w:rPr>
          <w:rFonts w:ascii="Simplified Arabic" w:eastAsia="Times New Roman" w:hAnsi="Simplified Arabic" w:cs="Simplified Arabic" w:hint="cs"/>
          <w:b/>
          <w:bCs/>
          <w:color w:val="000000" w:themeColor="text1"/>
          <w:kern w:val="36"/>
          <w:sz w:val="36"/>
          <w:szCs w:val="36"/>
          <w:rtl/>
          <w14:ligatures w14:val="none"/>
        </w:rPr>
        <w:t xml:space="preserve">12.1 </w:t>
      </w:r>
      <w:r w:rsidR="006E71B9" w:rsidRPr="000007C7">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22"/>
      <w:bookmarkEnd w:id="23"/>
    </w:p>
    <w:p w14:paraId="7311DBF8" w14:textId="77777777" w:rsidR="006E71B9" w:rsidRPr="000007C7" w:rsidRDefault="006E71B9" w:rsidP="00CF335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007C7">
        <w:rPr>
          <w:rFonts w:ascii="Simplified Arabic" w:eastAsia="Times New Roman" w:hAnsi="Simplified Arabic" w:cs="Simplified Arabic"/>
          <w:b/>
          <w:bCs/>
          <w:color w:val="000000" w:themeColor="text1"/>
          <w:kern w:val="0"/>
          <w:sz w:val="28"/>
          <w:szCs w:val="28"/>
          <w:rtl/>
          <w14:ligatures w14:val="none"/>
        </w:rPr>
        <w:t>سوف تعتمد الدراسة على نوعين من مصادر جمع البيانات</w:t>
      </w:r>
      <w:r w:rsidRPr="000007C7">
        <w:rPr>
          <w:rFonts w:ascii="Simplified Arabic" w:eastAsia="Times New Roman" w:hAnsi="Simplified Arabic" w:cs="Simplified Arabic"/>
          <w:b/>
          <w:bCs/>
          <w:color w:val="000000" w:themeColor="text1"/>
          <w:kern w:val="0"/>
          <w:sz w:val="28"/>
          <w:szCs w:val="28"/>
          <w14:ligatures w14:val="none"/>
        </w:rPr>
        <w:t>:</w:t>
      </w:r>
    </w:p>
    <w:p w14:paraId="0F30A9A4" w14:textId="77777777" w:rsidR="006E71B9" w:rsidRPr="000007C7" w:rsidRDefault="006E71B9" w:rsidP="00FC2E6C">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b/>
          <w:bCs/>
          <w:color w:val="000000" w:themeColor="text1"/>
          <w:kern w:val="0"/>
          <w:sz w:val="28"/>
          <w:szCs w:val="28"/>
          <w:rtl/>
          <w14:ligatures w14:val="none"/>
        </w:rPr>
        <w:t>المصادر الثانوية</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وتشمل الكتب والمراجع العلمية المتخصصة، والدوريات والمجلات العلمية المحكّمة العربية والأجنبية، والرسائل الجامعية (ماجستير ودكتوراه)، والتقارير والنشرات الرسمية، وقواعد البيانات الإلكترونية ذات الصلة بمتغيري الدراسة، وذلك لبناء الإطار النظري وصياغة أداة الدراسة</w:t>
      </w:r>
      <w:r w:rsidRPr="000007C7">
        <w:rPr>
          <w:rFonts w:ascii="Simplified Arabic" w:eastAsia="Times New Roman" w:hAnsi="Simplified Arabic" w:cs="Simplified Arabic"/>
          <w:color w:val="000000" w:themeColor="text1"/>
          <w:kern w:val="0"/>
          <w:sz w:val="28"/>
          <w:szCs w:val="28"/>
          <w14:ligatures w14:val="none"/>
        </w:rPr>
        <w:t>.</w:t>
      </w:r>
    </w:p>
    <w:p w14:paraId="58E8A575" w14:textId="77777777" w:rsidR="006E71B9" w:rsidRPr="000007C7" w:rsidRDefault="006E71B9" w:rsidP="00FC2E6C">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b/>
          <w:bCs/>
          <w:color w:val="000000" w:themeColor="text1"/>
          <w:kern w:val="0"/>
          <w:sz w:val="28"/>
          <w:szCs w:val="28"/>
          <w:rtl/>
          <w14:ligatures w14:val="none"/>
        </w:rPr>
        <w:t>المصادر الأولية</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وتتمثل في البيانات الميدانية التي سوف يتم جمعها من عينة الدراسة باستخدام الاستبانة المصمّمة خصيصًا لأغراض هذه الدراسة، والتي سوف تُوزّع إلكترونيًّا وورقيًّا على المبحوثين</w:t>
      </w:r>
      <w:r w:rsidRPr="000007C7">
        <w:rPr>
          <w:rFonts w:ascii="Simplified Arabic" w:eastAsia="Times New Roman" w:hAnsi="Simplified Arabic" w:cs="Simplified Arabic"/>
          <w:color w:val="000000" w:themeColor="text1"/>
          <w:kern w:val="0"/>
          <w:sz w:val="28"/>
          <w:szCs w:val="28"/>
          <w14:ligatures w14:val="none"/>
        </w:rPr>
        <w:t>.</w:t>
      </w:r>
    </w:p>
    <w:p w14:paraId="27C7937D" w14:textId="0F8FEE5B" w:rsidR="006E71B9" w:rsidRPr="000007C7" w:rsidRDefault="00FC2E6C" w:rsidP="00FC2E6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4" w:name="_Toc223505406"/>
      <w:bookmarkStart w:id="25" w:name="_Toc233737558"/>
      <w:r w:rsidRPr="000007C7">
        <w:rPr>
          <w:rFonts w:ascii="Simplified Arabic" w:eastAsia="Times New Roman" w:hAnsi="Simplified Arabic" w:cs="Simplified Arabic" w:hint="cs"/>
          <w:b/>
          <w:bCs/>
          <w:color w:val="000000" w:themeColor="text1"/>
          <w:kern w:val="36"/>
          <w:sz w:val="36"/>
          <w:szCs w:val="36"/>
          <w:rtl/>
          <w14:ligatures w14:val="none"/>
        </w:rPr>
        <w:t xml:space="preserve">13.1 </w:t>
      </w:r>
      <w:r w:rsidR="006E71B9" w:rsidRPr="000007C7">
        <w:rPr>
          <w:rFonts w:ascii="Simplified Arabic" w:eastAsia="Times New Roman" w:hAnsi="Simplified Arabic" w:cs="Simplified Arabic"/>
          <w:b/>
          <w:bCs/>
          <w:color w:val="000000" w:themeColor="text1"/>
          <w:kern w:val="36"/>
          <w:sz w:val="36"/>
          <w:szCs w:val="36"/>
          <w:rtl/>
          <w14:ligatures w14:val="none"/>
        </w:rPr>
        <w:t>أداة الدراسة (الاستبانة)</w:t>
      </w:r>
      <w:bookmarkEnd w:id="24"/>
      <w:bookmarkEnd w:id="25"/>
    </w:p>
    <w:p w14:paraId="2E71F61B" w14:textId="77777777" w:rsidR="006E71B9" w:rsidRPr="000007C7" w:rsidRDefault="006E71B9"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سوف تُستخدم الاستبانة أداةً رئيسية لجمع البيانات الأولية، وسوف تُصمَّم وفقًا لمقياس ليكرت الخماسي (موافق بشدة</w:t>
      </w:r>
      <w:r w:rsidRPr="000007C7">
        <w:rPr>
          <w:rFonts w:ascii="Simplified Arabic" w:eastAsia="Times New Roman" w:hAnsi="Simplified Arabic" w:cs="Simplified Arabic"/>
          <w:color w:val="000000" w:themeColor="text1"/>
          <w:kern w:val="0"/>
          <w:sz w:val="28"/>
          <w:szCs w:val="28"/>
          <w14:ligatures w14:val="none"/>
        </w:rPr>
        <w:t xml:space="preserve"> = 5</w:t>
      </w:r>
      <w:r w:rsidRPr="000007C7">
        <w:rPr>
          <w:rFonts w:ascii="Simplified Arabic" w:eastAsia="Times New Roman" w:hAnsi="Simplified Arabic" w:cs="Simplified Arabic"/>
          <w:color w:val="000000" w:themeColor="text1"/>
          <w:kern w:val="0"/>
          <w:sz w:val="28"/>
          <w:szCs w:val="28"/>
          <w:rtl/>
          <w14:ligatures w14:val="none"/>
        </w:rPr>
        <w:t>، موافق = 4، محايد = 3، غير موافق = 2، غير موافق بشدة = 1). وسوف تتكوّن الاستبانة من ثلاثة أقسام على النحو التالي</w:t>
      </w:r>
      <w:r w:rsidRPr="000007C7">
        <w:rPr>
          <w:rFonts w:ascii="Simplified Arabic" w:eastAsia="Times New Roman" w:hAnsi="Simplified Arabic" w:cs="Simplified Arabic"/>
          <w:color w:val="000000" w:themeColor="text1"/>
          <w:kern w:val="0"/>
          <w:sz w:val="28"/>
          <w:szCs w:val="28"/>
          <w14:ligatures w14:val="none"/>
        </w:rPr>
        <w:t>:</w:t>
      </w:r>
    </w:p>
    <w:p w14:paraId="64FB3F86" w14:textId="77777777" w:rsidR="006E71B9" w:rsidRPr="000007C7" w:rsidRDefault="006E71B9"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b/>
          <w:bCs/>
          <w:color w:val="000000" w:themeColor="text1"/>
          <w:kern w:val="0"/>
          <w:sz w:val="28"/>
          <w:szCs w:val="28"/>
          <w:rtl/>
          <w14:ligatures w14:val="none"/>
        </w:rPr>
        <w:t>القسم الأول</w:t>
      </w:r>
      <w:r w:rsidRPr="000007C7">
        <w:rPr>
          <w:rFonts w:ascii="Simplified Arabic" w:eastAsia="Times New Roman" w:hAnsi="Simplified Arabic" w:cs="Simplified Arabic"/>
          <w:color w:val="000000" w:themeColor="text1"/>
          <w:kern w:val="0"/>
          <w:sz w:val="28"/>
          <w:szCs w:val="28"/>
          <w:rtl/>
          <w14:ligatures w14:val="none"/>
        </w:rPr>
        <w:t>: البيانات الديموغرافية، ويتضمن البيانات الشخصية والوظيفية للمبحوثين (الجنس، العمر، المؤهل التعليمي، سنوات الخبرة، المستوى الوظيفي)</w:t>
      </w:r>
      <w:r w:rsidRPr="000007C7">
        <w:rPr>
          <w:rFonts w:ascii="Simplified Arabic" w:eastAsia="Times New Roman" w:hAnsi="Simplified Arabic" w:cs="Simplified Arabic"/>
          <w:color w:val="000000" w:themeColor="text1"/>
          <w:kern w:val="0"/>
          <w:sz w:val="28"/>
          <w:szCs w:val="28"/>
          <w14:ligatures w14:val="none"/>
        </w:rPr>
        <w:t>.</w:t>
      </w:r>
    </w:p>
    <w:p w14:paraId="15C0F018" w14:textId="77777777" w:rsidR="006E71B9" w:rsidRPr="000007C7" w:rsidRDefault="006E71B9"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b/>
          <w:bCs/>
          <w:color w:val="000000" w:themeColor="text1"/>
          <w:kern w:val="0"/>
          <w:sz w:val="28"/>
          <w:szCs w:val="28"/>
          <w:rtl/>
          <w14:ligatures w14:val="none"/>
        </w:rPr>
        <w:lastRenderedPageBreak/>
        <w:t>القسم الثاني</w:t>
      </w:r>
      <w:r w:rsidRPr="000007C7">
        <w:rPr>
          <w:rFonts w:ascii="Simplified Arabic" w:eastAsia="Times New Roman" w:hAnsi="Simplified Arabic" w:cs="Simplified Arabic"/>
          <w:color w:val="000000" w:themeColor="text1"/>
          <w:kern w:val="0"/>
          <w:sz w:val="28"/>
          <w:szCs w:val="28"/>
          <w:rtl/>
          <w14:ligatures w14:val="none"/>
        </w:rPr>
        <w:t>: المتغير المستقل – البرامج الترفيهية في بيئة العمل، ويتكوّن من (16) فقرة موزّعة على أربعة أبعاد، بواقع (4) فقرات لكل بُعد، وذلك على النحو التالي</w:t>
      </w:r>
      <w:r w:rsidRPr="000007C7">
        <w:rPr>
          <w:rFonts w:ascii="Simplified Arabic" w:eastAsia="Times New Roman" w:hAnsi="Simplified Arabic" w:cs="Simplified Arabic"/>
          <w:color w:val="000000" w:themeColor="text1"/>
          <w:kern w:val="0"/>
          <w:sz w:val="28"/>
          <w:szCs w:val="28"/>
          <w14:ligatures w14:val="none"/>
        </w:rPr>
        <w:t>:</w:t>
      </w:r>
    </w:p>
    <w:p w14:paraId="25C7783A" w14:textId="77777777" w:rsidR="006E71B9" w:rsidRPr="000007C7" w:rsidRDefault="006E71B9" w:rsidP="00FC2E6C">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البُعد الأول: الأنشطة الرياضية والبدنية – (4) فقرات</w:t>
      </w:r>
      <w:r w:rsidRPr="000007C7">
        <w:rPr>
          <w:rFonts w:ascii="Simplified Arabic" w:eastAsia="Times New Roman" w:hAnsi="Simplified Arabic" w:cs="Simplified Arabic"/>
          <w:color w:val="000000" w:themeColor="text1"/>
          <w:kern w:val="0"/>
          <w:sz w:val="28"/>
          <w:szCs w:val="28"/>
          <w14:ligatures w14:val="none"/>
        </w:rPr>
        <w:t>.</w:t>
      </w:r>
    </w:p>
    <w:p w14:paraId="705C02B0" w14:textId="77777777" w:rsidR="006E71B9" w:rsidRPr="000007C7" w:rsidRDefault="006E71B9" w:rsidP="00FC2E6C">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البُعد الثاني: الفعاليات الاجتماعية والثقافية – (4) فقرات</w:t>
      </w:r>
      <w:r w:rsidRPr="000007C7">
        <w:rPr>
          <w:rFonts w:ascii="Simplified Arabic" w:eastAsia="Times New Roman" w:hAnsi="Simplified Arabic" w:cs="Simplified Arabic"/>
          <w:color w:val="000000" w:themeColor="text1"/>
          <w:kern w:val="0"/>
          <w:sz w:val="28"/>
          <w:szCs w:val="28"/>
          <w14:ligatures w14:val="none"/>
        </w:rPr>
        <w:t>.</w:t>
      </w:r>
    </w:p>
    <w:p w14:paraId="14E00DEE" w14:textId="77777777" w:rsidR="006E71B9" w:rsidRPr="000007C7" w:rsidRDefault="006E71B9" w:rsidP="00FC2E6C">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البُعد الثالث: برامج الاسترخاء وإدارة الضغوط – (4) فقرات</w:t>
      </w:r>
      <w:r w:rsidRPr="000007C7">
        <w:rPr>
          <w:rFonts w:ascii="Simplified Arabic" w:eastAsia="Times New Roman" w:hAnsi="Simplified Arabic" w:cs="Simplified Arabic"/>
          <w:color w:val="000000" w:themeColor="text1"/>
          <w:kern w:val="0"/>
          <w:sz w:val="28"/>
          <w:szCs w:val="28"/>
          <w14:ligatures w14:val="none"/>
        </w:rPr>
        <w:t>.</w:t>
      </w:r>
    </w:p>
    <w:p w14:paraId="72831DD4" w14:textId="77777777" w:rsidR="006E71B9" w:rsidRPr="000007C7" w:rsidRDefault="006E71B9" w:rsidP="00FC2E6C">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البُعد الرابع: الأنشطة الترفيهية الرقمية والإبداعية – (4) فقرات</w:t>
      </w:r>
      <w:r w:rsidRPr="000007C7">
        <w:rPr>
          <w:rFonts w:ascii="Simplified Arabic" w:eastAsia="Times New Roman" w:hAnsi="Simplified Arabic" w:cs="Simplified Arabic"/>
          <w:color w:val="000000" w:themeColor="text1"/>
          <w:kern w:val="0"/>
          <w:sz w:val="28"/>
          <w:szCs w:val="28"/>
          <w14:ligatures w14:val="none"/>
        </w:rPr>
        <w:t>.</w:t>
      </w:r>
    </w:p>
    <w:p w14:paraId="2B1C3AF7" w14:textId="77777777" w:rsidR="006E71B9" w:rsidRPr="000007C7" w:rsidRDefault="006E71B9"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b/>
          <w:bCs/>
          <w:color w:val="000000" w:themeColor="text1"/>
          <w:kern w:val="0"/>
          <w:sz w:val="28"/>
          <w:szCs w:val="28"/>
          <w:rtl/>
          <w14:ligatures w14:val="none"/>
        </w:rPr>
        <w:t>القسم الثالث</w:t>
      </w:r>
      <w:r w:rsidRPr="000007C7">
        <w:rPr>
          <w:rFonts w:ascii="Simplified Arabic" w:eastAsia="Times New Roman" w:hAnsi="Simplified Arabic" w:cs="Simplified Arabic"/>
          <w:color w:val="000000" w:themeColor="text1"/>
          <w:kern w:val="0"/>
          <w:sz w:val="28"/>
          <w:szCs w:val="28"/>
          <w:rtl/>
          <w14:ligatures w14:val="none"/>
        </w:rPr>
        <w:t>: المتغير التابع – الأداء المؤسسي، وهو أحادي المحور ويتكوّن من (10) فقرات تقيس مستوى الأداء المؤسسي بشكل شامل</w:t>
      </w:r>
      <w:r w:rsidRPr="000007C7">
        <w:rPr>
          <w:rFonts w:ascii="Simplified Arabic" w:eastAsia="Times New Roman" w:hAnsi="Simplified Arabic" w:cs="Simplified Arabic"/>
          <w:color w:val="000000" w:themeColor="text1"/>
          <w:kern w:val="0"/>
          <w:sz w:val="28"/>
          <w:szCs w:val="28"/>
          <w14:ligatures w14:val="none"/>
        </w:rPr>
        <w:t>.</w:t>
      </w:r>
    </w:p>
    <w:p w14:paraId="750ECD66" w14:textId="77777777" w:rsidR="006E71B9" w:rsidRPr="000007C7" w:rsidRDefault="006E71B9"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وبذلك يكون إجمالي فقرات الاستبانة (26) فقرة، بالإضافة إلى فقرات البيانات الديموغرافية. وسوف يتم التحقق من صدق الأداة من خلال الصدق الظاهري (عرضها على مجموعة من المحكّمين المتخصصين) والصدق البنائي (الاتساق الداخلي)، كما سوف يتم التحقق من ثبات الأداة باستخدام معامل ألفا كرونباخ</w:t>
      </w:r>
      <w:r w:rsidRPr="000007C7">
        <w:rPr>
          <w:rFonts w:ascii="Simplified Arabic" w:eastAsia="Times New Roman" w:hAnsi="Simplified Arabic" w:cs="Simplified Arabic"/>
          <w:color w:val="000000" w:themeColor="text1"/>
          <w:kern w:val="0"/>
          <w:sz w:val="28"/>
          <w:szCs w:val="28"/>
          <w14:ligatures w14:val="none"/>
        </w:rPr>
        <w:t xml:space="preserve"> (Cronbach's Alpha).</w:t>
      </w:r>
    </w:p>
    <w:p w14:paraId="6FEED283" w14:textId="20682379" w:rsidR="006E71B9" w:rsidRPr="000007C7" w:rsidRDefault="00FC2E6C" w:rsidP="00FC2E6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6" w:name="_Toc223505407"/>
      <w:bookmarkStart w:id="27" w:name="_Toc233737559"/>
      <w:r w:rsidRPr="000007C7">
        <w:rPr>
          <w:rFonts w:ascii="Simplified Arabic" w:eastAsia="Times New Roman" w:hAnsi="Simplified Arabic" w:cs="Simplified Arabic" w:hint="cs"/>
          <w:b/>
          <w:bCs/>
          <w:color w:val="000000" w:themeColor="text1"/>
          <w:kern w:val="36"/>
          <w:sz w:val="36"/>
          <w:szCs w:val="36"/>
          <w:rtl/>
          <w14:ligatures w14:val="none"/>
        </w:rPr>
        <w:t xml:space="preserve">14.1 </w:t>
      </w:r>
      <w:r w:rsidR="006E71B9" w:rsidRPr="000007C7">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26"/>
      <w:bookmarkEnd w:id="27"/>
    </w:p>
    <w:p w14:paraId="380EDCBB" w14:textId="77777777" w:rsidR="006E71B9" w:rsidRPr="000007C7" w:rsidRDefault="006E71B9" w:rsidP="00FC2E6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سوف يتم تحليل البيانات باستخدام برنامج الحزم الإحصائية للعلوم الاجتماعية</w:t>
      </w:r>
      <w:r w:rsidRPr="000007C7">
        <w:rPr>
          <w:rFonts w:ascii="Simplified Arabic" w:eastAsia="Times New Roman" w:hAnsi="Simplified Arabic" w:cs="Simplified Arabic"/>
          <w:color w:val="000000" w:themeColor="text1"/>
          <w:kern w:val="0"/>
          <w:sz w:val="28"/>
          <w:szCs w:val="28"/>
          <w14:ligatures w14:val="none"/>
        </w:rPr>
        <w:t xml:space="preserve"> (SPSS)</w:t>
      </w:r>
      <w:r w:rsidRPr="000007C7">
        <w:rPr>
          <w:rFonts w:ascii="Simplified Arabic" w:eastAsia="Times New Roman" w:hAnsi="Simplified Arabic" w:cs="Simplified Arabic"/>
          <w:color w:val="000000" w:themeColor="text1"/>
          <w:kern w:val="0"/>
          <w:sz w:val="28"/>
          <w:szCs w:val="28"/>
          <w:rtl/>
          <w14:ligatures w14:val="none"/>
        </w:rPr>
        <w:t>، وسوف تُستخدم الأساليب الإحصائية التالية</w:t>
      </w:r>
      <w:r w:rsidRPr="000007C7">
        <w:rPr>
          <w:rFonts w:ascii="Simplified Arabic" w:eastAsia="Times New Roman" w:hAnsi="Simplified Arabic" w:cs="Simplified Arabic"/>
          <w:color w:val="000000" w:themeColor="text1"/>
          <w:kern w:val="0"/>
          <w:sz w:val="28"/>
          <w:szCs w:val="28"/>
          <w14:ligatures w14:val="none"/>
        </w:rPr>
        <w:t>:</w:t>
      </w:r>
    </w:p>
    <w:p w14:paraId="2D36D690" w14:textId="77777777" w:rsidR="006E71B9" w:rsidRPr="000007C7" w:rsidRDefault="006E71B9" w:rsidP="00FC2E6C">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أساليب الإحصاء الوصفي</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وتشمل التكرارات والنسب المئوية لوصف خصائص عينة الدراسة الديموغرافية، والمتوسطات الحسابية والانحرافات المعيارية لتحديد مستوى استجابات المبحوثين حول محاور الاستبانة وترتيب أبعاد المتغير المستقل وفقرات المتغير التابع حسب أهميتها النسبية</w:t>
      </w:r>
      <w:r w:rsidRPr="000007C7">
        <w:rPr>
          <w:rFonts w:ascii="Simplified Arabic" w:eastAsia="Times New Roman" w:hAnsi="Simplified Arabic" w:cs="Simplified Arabic"/>
          <w:color w:val="000000" w:themeColor="text1"/>
          <w:kern w:val="0"/>
          <w:sz w:val="28"/>
          <w:szCs w:val="28"/>
          <w14:ligatures w14:val="none"/>
        </w:rPr>
        <w:t>.</w:t>
      </w:r>
    </w:p>
    <w:p w14:paraId="38A14997" w14:textId="202AD989" w:rsidR="006E71B9" w:rsidRPr="000007C7" w:rsidRDefault="006E71B9" w:rsidP="00FC2E6C">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أساليب الإحصاء الاستدلالي</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وتشمل معامل ارتباط بيرسون</w:t>
      </w:r>
      <w:r w:rsidRPr="000007C7">
        <w:rPr>
          <w:rFonts w:ascii="Simplified Arabic" w:eastAsia="Times New Roman" w:hAnsi="Simplified Arabic" w:cs="Simplified Arabic"/>
          <w:color w:val="000000" w:themeColor="text1"/>
          <w:kern w:val="0"/>
          <w:sz w:val="28"/>
          <w:szCs w:val="28"/>
          <w14:ligatures w14:val="none"/>
        </w:rPr>
        <w:t xml:space="preserve"> (Pearson Correlation) </w:t>
      </w:r>
      <w:r w:rsidRPr="000007C7">
        <w:rPr>
          <w:rFonts w:ascii="Simplified Arabic" w:eastAsia="Times New Roman" w:hAnsi="Simplified Arabic" w:cs="Simplified Arabic"/>
          <w:color w:val="000000" w:themeColor="text1"/>
          <w:kern w:val="0"/>
          <w:sz w:val="28"/>
          <w:szCs w:val="28"/>
          <w:rtl/>
          <w14:ligatures w14:val="none"/>
        </w:rPr>
        <w:t>لقياس العلاقة بين المتغيرات، وتحليل الانحدار الخطي البسيط</w:t>
      </w:r>
      <w:r w:rsidRPr="000007C7">
        <w:rPr>
          <w:rFonts w:ascii="Simplified Arabic" w:eastAsia="Times New Roman" w:hAnsi="Simplified Arabic" w:cs="Simplified Arabic"/>
          <w:color w:val="000000" w:themeColor="text1"/>
          <w:kern w:val="0"/>
          <w:sz w:val="28"/>
          <w:szCs w:val="28"/>
          <w14:ligatures w14:val="none"/>
        </w:rPr>
        <w:t xml:space="preserve"> (Simple Linear Regression) </w:t>
      </w:r>
      <w:r w:rsidRPr="000007C7">
        <w:rPr>
          <w:rFonts w:ascii="Simplified Arabic" w:eastAsia="Times New Roman" w:hAnsi="Simplified Arabic" w:cs="Simplified Arabic"/>
          <w:color w:val="000000" w:themeColor="text1"/>
          <w:kern w:val="0"/>
          <w:sz w:val="28"/>
          <w:szCs w:val="28"/>
          <w:rtl/>
          <w14:ligatures w14:val="none"/>
        </w:rPr>
        <w:t>لقياس أثر كل بُعد من أبعاد المتغير المستقل على المتغير التابع، وتحليل الانحدار الخطي المتعدد</w:t>
      </w:r>
      <w:r w:rsidRPr="000007C7">
        <w:rPr>
          <w:rFonts w:ascii="Simplified Arabic" w:eastAsia="Times New Roman" w:hAnsi="Simplified Arabic" w:cs="Simplified Arabic"/>
          <w:color w:val="000000" w:themeColor="text1"/>
          <w:kern w:val="0"/>
          <w:sz w:val="28"/>
          <w:szCs w:val="28"/>
          <w14:ligatures w14:val="none"/>
        </w:rPr>
        <w:t xml:space="preserve"> (Multiple Linear Regression) </w:t>
      </w:r>
      <w:r w:rsidRPr="000007C7">
        <w:rPr>
          <w:rFonts w:ascii="Simplified Arabic" w:eastAsia="Times New Roman" w:hAnsi="Simplified Arabic" w:cs="Simplified Arabic"/>
          <w:color w:val="000000" w:themeColor="text1"/>
          <w:kern w:val="0"/>
          <w:sz w:val="28"/>
          <w:szCs w:val="28"/>
          <w:rtl/>
          <w14:ligatures w14:val="none"/>
        </w:rPr>
        <w:t>لقياس الأثر المشترك لأبعاد المتغير المستقل مجتمعة على المتغير التابع، واختبار</w:t>
      </w:r>
      <w:r w:rsidRPr="000007C7">
        <w:rPr>
          <w:rFonts w:ascii="Simplified Arabic" w:eastAsia="Times New Roman" w:hAnsi="Simplified Arabic" w:cs="Simplified Arabic"/>
          <w:color w:val="000000" w:themeColor="text1"/>
          <w:kern w:val="0"/>
          <w:sz w:val="28"/>
          <w:szCs w:val="28"/>
          <w14:ligatures w14:val="none"/>
        </w:rPr>
        <w:t xml:space="preserve"> (T-Test) </w:t>
      </w:r>
      <w:r w:rsidRPr="000007C7">
        <w:rPr>
          <w:rFonts w:ascii="Simplified Arabic" w:eastAsia="Times New Roman" w:hAnsi="Simplified Arabic" w:cs="Simplified Arabic"/>
          <w:color w:val="000000" w:themeColor="text1"/>
          <w:kern w:val="0"/>
          <w:sz w:val="28"/>
          <w:szCs w:val="28"/>
          <w:rtl/>
          <w14:ligatures w14:val="none"/>
        </w:rPr>
        <w:t>للعينات المستقلة لاختبار الفروق تبعًا لمتغير الجنس</w:t>
      </w:r>
      <w:r w:rsidR="008F750F" w:rsidRPr="000007C7">
        <w:rPr>
          <w:rFonts w:ascii="Simplified Arabic" w:eastAsia="Times New Roman" w:hAnsi="Simplified Arabic" w:cs="Simplified Arabic"/>
          <w:color w:val="000000" w:themeColor="text1"/>
          <w:kern w:val="0"/>
          <w:sz w:val="28"/>
          <w:szCs w:val="28"/>
          <w:rtl/>
          <w14:ligatures w14:val="none"/>
        </w:rPr>
        <w:t>.</w:t>
      </w:r>
    </w:p>
    <w:p w14:paraId="1E9103AB" w14:textId="7F8E0288" w:rsidR="006E71B9" w:rsidRPr="000007C7" w:rsidRDefault="00FC2E6C" w:rsidP="00FC2E6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8" w:name="_Toc223505408"/>
      <w:bookmarkStart w:id="29" w:name="_Toc233737560"/>
      <w:r w:rsidRPr="000007C7">
        <w:rPr>
          <w:rFonts w:ascii="Simplified Arabic" w:eastAsia="Times New Roman" w:hAnsi="Simplified Arabic" w:cs="Simplified Arabic" w:hint="cs"/>
          <w:b/>
          <w:bCs/>
          <w:color w:val="000000" w:themeColor="text1"/>
          <w:kern w:val="36"/>
          <w:sz w:val="36"/>
          <w:szCs w:val="36"/>
          <w:rtl/>
          <w14:ligatures w14:val="none"/>
        </w:rPr>
        <w:lastRenderedPageBreak/>
        <w:t xml:space="preserve">15.1 </w:t>
      </w:r>
      <w:r w:rsidR="006E71B9" w:rsidRPr="000007C7">
        <w:rPr>
          <w:rFonts w:ascii="Simplified Arabic" w:eastAsia="Times New Roman" w:hAnsi="Simplified Arabic" w:cs="Simplified Arabic"/>
          <w:b/>
          <w:bCs/>
          <w:color w:val="000000" w:themeColor="text1"/>
          <w:kern w:val="36"/>
          <w:sz w:val="36"/>
          <w:szCs w:val="36"/>
          <w:rtl/>
          <w14:ligatures w14:val="none"/>
        </w:rPr>
        <w:t>حدود الدراسة</w:t>
      </w:r>
      <w:bookmarkEnd w:id="28"/>
      <w:bookmarkEnd w:id="29"/>
    </w:p>
    <w:p w14:paraId="3C467A7B" w14:textId="77777777" w:rsidR="006E71B9" w:rsidRPr="000007C7" w:rsidRDefault="006E71B9" w:rsidP="00FC2E6C">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الحدود الموضوعية</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سوف تقتصر هذه الدراسة على دراسة أثر البرامج الترفيهية في بيئة العمل بأبعادها الأربعة (الأنشطة الرياضية والبدنية، الفعاليات الاجتماعية والثقافية، برامج الاسترخاء وإدارة الضغوط، الأنشطة الترفيهية الرقمية والإبداعية) على الأداء المؤسسي</w:t>
      </w:r>
      <w:r w:rsidRPr="000007C7">
        <w:rPr>
          <w:rFonts w:ascii="Simplified Arabic" w:eastAsia="Times New Roman" w:hAnsi="Simplified Arabic" w:cs="Simplified Arabic"/>
          <w:color w:val="000000" w:themeColor="text1"/>
          <w:kern w:val="0"/>
          <w:sz w:val="28"/>
          <w:szCs w:val="28"/>
          <w14:ligatures w14:val="none"/>
        </w:rPr>
        <w:t>.</w:t>
      </w:r>
    </w:p>
    <w:p w14:paraId="76D5A5D5" w14:textId="33282B81" w:rsidR="006E71B9" w:rsidRPr="000007C7" w:rsidRDefault="006E71B9" w:rsidP="00FC2E6C">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الحدود البشرية</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 xml:space="preserve">سوف تُطبّق الدراسة على عينة من العاملين في شركات القطاع الخاص بمختلف مستوياتهم الإدارية (إدارة عليا، إدارة وسطى، إدارة تنفيذية) </w:t>
      </w:r>
      <w:r w:rsidR="008F750F" w:rsidRPr="000007C7">
        <w:rPr>
          <w:rFonts w:ascii="Simplified Arabic" w:eastAsia="Times New Roman" w:hAnsi="Simplified Arabic" w:cs="Simplified Arabic"/>
          <w:color w:val="000000" w:themeColor="text1"/>
          <w:kern w:val="0"/>
          <w:sz w:val="28"/>
          <w:szCs w:val="28"/>
          <w:rtl/>
          <w14:ligatures w14:val="none"/>
        </w:rPr>
        <w:t>.</w:t>
      </w:r>
    </w:p>
    <w:p w14:paraId="7D47E4D2" w14:textId="5B86963E" w:rsidR="006E71B9" w:rsidRPr="000007C7" w:rsidRDefault="006E71B9" w:rsidP="00FC2E6C">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الحدود المكانية</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 xml:space="preserve">سوف تُطبّق الدراسة على عدد من شركات القطاع الخاص الكبرى والمتوسطة العاملة في </w:t>
      </w:r>
      <w:r w:rsidR="008F750F" w:rsidRPr="000007C7">
        <w:rPr>
          <w:rFonts w:ascii="Simplified Arabic" w:eastAsia="Times New Roman" w:hAnsi="Simplified Arabic" w:cs="Simplified Arabic"/>
          <w:color w:val="000000" w:themeColor="text1"/>
          <w:kern w:val="0"/>
          <w:sz w:val="28"/>
          <w:szCs w:val="28"/>
          <w:rtl/>
          <w14:ligatures w14:val="none"/>
        </w:rPr>
        <w:t xml:space="preserve">المملكة العربية السعودية </w:t>
      </w:r>
      <w:r w:rsidRPr="000007C7">
        <w:rPr>
          <w:rFonts w:ascii="Simplified Arabic" w:eastAsia="Times New Roman" w:hAnsi="Simplified Arabic" w:cs="Simplified Arabic"/>
          <w:color w:val="000000" w:themeColor="text1"/>
          <w:kern w:val="0"/>
          <w:sz w:val="28"/>
          <w:szCs w:val="28"/>
          <w14:ligatures w14:val="none"/>
        </w:rPr>
        <w:t>.</w:t>
      </w:r>
    </w:p>
    <w:p w14:paraId="4A2243A6" w14:textId="46BA41AA" w:rsidR="006E71B9" w:rsidRPr="000007C7" w:rsidRDefault="006E71B9" w:rsidP="00FC2E6C">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الحدود الزمانية</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سوف يتم جمع البيانات الميدانية خلال الفصل الدراسي الثاني من العام الأكاديمي 2026م</w:t>
      </w:r>
      <w:r w:rsidRPr="000007C7">
        <w:rPr>
          <w:rFonts w:ascii="Simplified Arabic" w:eastAsia="Times New Roman" w:hAnsi="Simplified Arabic" w:cs="Simplified Arabic"/>
          <w:color w:val="000000" w:themeColor="text1"/>
          <w:kern w:val="0"/>
          <w:sz w:val="28"/>
          <w:szCs w:val="28"/>
          <w14:ligatures w14:val="none"/>
        </w:rPr>
        <w:t>.</w:t>
      </w:r>
    </w:p>
    <w:p w14:paraId="7DFDBFF7" w14:textId="02872BB6" w:rsidR="002142FF" w:rsidRPr="000007C7" w:rsidRDefault="00FC2E6C" w:rsidP="006455D3">
      <w:pPr>
        <w:jc w:val="center"/>
        <w:outlineLvl w:val="0"/>
        <w:rPr>
          <w:rFonts w:ascii="Simplified Arabic" w:eastAsia="Times New Roman" w:hAnsi="Simplified Arabic" w:cs="Simplified Arabic"/>
          <w:b/>
          <w:bCs/>
          <w:color w:val="000000" w:themeColor="text1"/>
          <w:kern w:val="0"/>
          <w:sz w:val="40"/>
          <w:szCs w:val="40"/>
          <w14:ligatures w14:val="none"/>
        </w:rPr>
      </w:pPr>
      <w:r w:rsidRPr="000007C7">
        <w:rPr>
          <w:rFonts w:ascii="Simplified Arabic" w:eastAsia="Times New Roman" w:hAnsi="Simplified Arabic" w:cs="Simplified Arabic"/>
          <w:b/>
          <w:bCs/>
          <w:color w:val="000000" w:themeColor="text1"/>
          <w:kern w:val="0"/>
          <w:sz w:val="40"/>
          <w:szCs w:val="40"/>
          <w:rtl/>
          <w14:ligatures w14:val="none"/>
        </w:rPr>
        <w:br w:type="page"/>
      </w:r>
      <w:bookmarkStart w:id="30" w:name="_Toc233737561"/>
      <w:r w:rsidRPr="000007C7">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2142FF" w:rsidRPr="000007C7">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0"/>
    </w:p>
    <w:p w14:paraId="0ABA4FC9" w14:textId="77777777" w:rsidR="002142FF" w:rsidRPr="000007C7" w:rsidRDefault="002142FF" w:rsidP="006455D3">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1" w:name="_Toc233737562"/>
      <w:r w:rsidRPr="000007C7">
        <w:rPr>
          <w:rFonts w:ascii="Simplified Arabic" w:eastAsia="Times New Roman" w:hAnsi="Simplified Arabic" w:cs="Simplified Arabic"/>
          <w:b/>
          <w:bCs/>
          <w:color w:val="000000" w:themeColor="text1"/>
          <w:kern w:val="0"/>
          <w:sz w:val="36"/>
          <w:szCs w:val="36"/>
          <w:rtl/>
          <w14:ligatures w14:val="none"/>
        </w:rPr>
        <w:t>المبحث الأول: البرامج الترفيهية في بيئة العمل</w:t>
      </w:r>
      <w:bookmarkEnd w:id="31"/>
    </w:p>
    <w:p w14:paraId="2893789C" w14:textId="50BED08C" w:rsidR="002142FF" w:rsidRPr="000007C7" w:rsidRDefault="006455D3" w:rsidP="006455D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2" w:name="_Toc233737563"/>
      <w:r w:rsidRPr="000007C7">
        <w:rPr>
          <w:rFonts w:ascii="Simplified Arabic" w:eastAsia="Times New Roman" w:hAnsi="Simplified Arabic" w:cs="Simplified Arabic" w:hint="cs"/>
          <w:b/>
          <w:bCs/>
          <w:color w:val="000000" w:themeColor="text1"/>
          <w:kern w:val="0"/>
          <w:sz w:val="32"/>
          <w:szCs w:val="32"/>
          <w:rtl/>
          <w14:ligatures w14:val="none"/>
        </w:rPr>
        <w:t xml:space="preserve">1.1.2 </w:t>
      </w:r>
      <w:r w:rsidR="002142FF" w:rsidRPr="000007C7">
        <w:rPr>
          <w:rFonts w:ascii="Simplified Arabic" w:eastAsia="Times New Roman" w:hAnsi="Simplified Arabic" w:cs="Simplified Arabic"/>
          <w:b/>
          <w:bCs/>
          <w:color w:val="000000" w:themeColor="text1"/>
          <w:kern w:val="0"/>
          <w:sz w:val="32"/>
          <w:szCs w:val="32"/>
          <w:rtl/>
          <w14:ligatures w14:val="none"/>
        </w:rPr>
        <w:t>تمهيد</w:t>
      </w:r>
      <w:bookmarkEnd w:id="32"/>
    </w:p>
    <w:p w14:paraId="1187CD04" w14:textId="77777777" w:rsidR="006455D3" w:rsidRPr="000007C7" w:rsidRDefault="002142FF" w:rsidP="006455D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007C7">
        <w:rPr>
          <w:rFonts w:ascii="Simplified Arabic" w:eastAsia="Times New Roman" w:hAnsi="Simplified Arabic" w:cs="Simplified Arabic"/>
          <w:color w:val="000000" w:themeColor="text1"/>
          <w:kern w:val="0"/>
          <w:sz w:val="28"/>
          <w:szCs w:val="28"/>
          <w:rtl/>
          <w14:ligatures w14:val="none"/>
        </w:rPr>
        <w:t>شهدت بيئات العمل المعاصرة تحوّلات جوهرية في فلسفة إدارة الموارد البشرية، إذ لم تعد المنظمات تنظر إلى العاملين بوصفهم مدخلات إنتاجية تُقاس بمعايير الكفاءة الكميّة وحدها، بل باتت تتعامل معهم بوصفهم رأس مال إنساني متعدد الأبعاد، يتشكّل أداؤه من تفاعل مركّب بين الجوانب المعرفية والوجدانية والاجتماعية. وفي ظل هذا التحول، برزت البرامج الترفيهية في بيئة العمل بوصفها أحد المداخل الإدارية الحديثة التي تسعى إلى إعادة هندسة العلاقة بين الفرد ومحيطه التنظيمي، عبر إدماج عناصر المتعة والاسترخاء والتفاعل الاجتماعي ضمن النسيج اليومي للعمل. ولم يعد يُنظر إلى الترفيه في هذا السياق على أنه نشاط هامشي أو ترف إداري، بل أصبح يُعدّ ممارسة استراتيجية تتقاطع مع مفاهيم جودة حياة العمل، والاندماج الوظيفي، وإدارة الضغوط، والثقافة التنظيمية الإيجابية</w:t>
      </w:r>
      <w:r w:rsidRPr="000007C7">
        <w:rPr>
          <w:rFonts w:ascii="Simplified Arabic" w:eastAsia="Times New Roman" w:hAnsi="Simplified Arabic" w:cs="Simplified Arabic"/>
          <w:color w:val="000000" w:themeColor="text1"/>
          <w:kern w:val="0"/>
          <w:sz w:val="28"/>
          <w:szCs w:val="28"/>
          <w14:ligatures w14:val="none"/>
        </w:rPr>
        <w:t>.</w:t>
      </w:r>
    </w:p>
    <w:p w14:paraId="18A8FB66" w14:textId="21D0DF55" w:rsidR="002142FF" w:rsidRPr="000007C7" w:rsidRDefault="002142FF" w:rsidP="006455D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وقد جاء هذا التوجه استجابةً لجملة من التحديات التي تفرضها بيئة الأعمال الراهنة، ومنها تصاعد معدلات الإجهاد المهني، وتنامي ظواهر الاحتراق الوظيفي ودوران العمل، فضلًا عن تغيّر تركيبة القوى العاملة بدخول أجيال جديدة تحمل توقعات مغايرة بشأن طبيعة بيئة العمل ومحفّزاتها. وفي ضوء ذلك، يسعى هذا المبحث إلى تأصيل مفهوم البرامج الترفيهية في بيئة العمل من زواياه المختلفة، عبر استعراض تعريفاتها المتعددة، وتبيان أهميتها للمنظمة والفرد، وتحديد أهدافها، ومناقشة أبعادها واستراتيجيات تطبيقها، وصولًا إلى عرض المداخل الفكرية الحاكمة لها، بما يُهيّئ أرضية نظرية متماسكة لتحليل أثرها في الأداء المؤسسي</w:t>
      </w:r>
      <w:r w:rsidRPr="000007C7">
        <w:rPr>
          <w:rFonts w:ascii="Simplified Arabic" w:eastAsia="Times New Roman" w:hAnsi="Simplified Arabic" w:cs="Simplified Arabic"/>
          <w:color w:val="000000" w:themeColor="text1"/>
          <w:kern w:val="0"/>
          <w:sz w:val="28"/>
          <w:szCs w:val="28"/>
          <w14:ligatures w14:val="none"/>
        </w:rPr>
        <w:t>.</w:t>
      </w:r>
    </w:p>
    <w:p w14:paraId="25C12C35" w14:textId="132830DA" w:rsidR="002142FF" w:rsidRPr="000007C7" w:rsidRDefault="006455D3" w:rsidP="006455D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3" w:name="_Toc233737564"/>
      <w:r w:rsidRPr="000007C7">
        <w:rPr>
          <w:rFonts w:ascii="Simplified Arabic" w:eastAsia="Times New Roman" w:hAnsi="Simplified Arabic" w:cs="Simplified Arabic" w:hint="cs"/>
          <w:b/>
          <w:bCs/>
          <w:color w:val="000000" w:themeColor="text1"/>
          <w:kern w:val="0"/>
          <w:sz w:val="32"/>
          <w:szCs w:val="32"/>
          <w:rtl/>
          <w14:ligatures w14:val="none"/>
        </w:rPr>
        <w:t>2.1.2</w:t>
      </w:r>
      <w:r w:rsidR="002142FF" w:rsidRPr="000007C7">
        <w:rPr>
          <w:rFonts w:ascii="Simplified Arabic" w:eastAsia="Times New Roman" w:hAnsi="Simplified Arabic" w:cs="Simplified Arabic"/>
          <w:b/>
          <w:bCs/>
          <w:color w:val="000000" w:themeColor="text1"/>
          <w:kern w:val="0"/>
          <w:sz w:val="32"/>
          <w:szCs w:val="32"/>
          <w:rtl/>
          <w14:ligatures w14:val="none"/>
        </w:rPr>
        <w:t xml:space="preserve"> مفهوم البرامج الترفيهية في بيئة العمل</w:t>
      </w:r>
      <w:bookmarkEnd w:id="33"/>
    </w:p>
    <w:p w14:paraId="7EC9B0E9" w14:textId="77777777" w:rsidR="002142FF" w:rsidRPr="000007C7" w:rsidRDefault="002142FF" w:rsidP="006455D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تتعدد التعريفات التي قدّمها الباحثون لمفهوم البرامج الترفيهية في بيئة العمل، وذلك بحسب الزاوية التي ينطلق منها كلٌّ منهم، سواء أكانت زاوية سلوكية تركّز على الانعكاسات النفسية للنشاط الترفيهي، أم تنظيمية تُعنى بدوره في تشكيل المناخ الداخلي، أم استراتيجية ترتبط بدوره في صناعة الميزة التنافسية. ويرى</w:t>
      </w:r>
      <w:r w:rsidRPr="000007C7">
        <w:rPr>
          <w:rFonts w:ascii="Simplified Arabic" w:eastAsia="Times New Roman" w:hAnsi="Simplified Arabic" w:cs="Simplified Arabic"/>
          <w:color w:val="000000" w:themeColor="text1"/>
          <w:kern w:val="0"/>
          <w:sz w:val="28"/>
          <w:szCs w:val="28"/>
          <w14:ligatures w14:val="none"/>
        </w:rPr>
        <w:t xml:space="preserve"> (Jyoti &amp; Dimple, 2022) </w:t>
      </w:r>
      <w:r w:rsidRPr="000007C7">
        <w:rPr>
          <w:rFonts w:ascii="Simplified Arabic" w:eastAsia="Times New Roman" w:hAnsi="Simplified Arabic" w:cs="Simplified Arabic"/>
          <w:color w:val="000000" w:themeColor="text1"/>
          <w:kern w:val="0"/>
          <w:sz w:val="28"/>
          <w:szCs w:val="28"/>
          <w:rtl/>
          <w14:ligatures w14:val="none"/>
        </w:rPr>
        <w:t xml:space="preserve">أن البرامج الترفيهية تُمثّل مجموعة من الأنشطة المُخطَّط لها داخل المنظمة، </w:t>
      </w:r>
      <w:r w:rsidRPr="000007C7">
        <w:rPr>
          <w:rFonts w:ascii="Simplified Arabic" w:eastAsia="Times New Roman" w:hAnsi="Simplified Arabic" w:cs="Simplified Arabic"/>
          <w:color w:val="000000" w:themeColor="text1"/>
          <w:kern w:val="0"/>
          <w:sz w:val="28"/>
          <w:szCs w:val="28"/>
          <w:rtl/>
          <w14:ligatures w14:val="none"/>
        </w:rPr>
        <w:lastRenderedPageBreak/>
        <w:t>تستهدف إيجاد أجواء من البهجة والمرح بين العاملين، بحيث تنعكس على مستوى انخراطهم في العمل وتماسكهم الجماعي، مع التأكيد على أن المرح الوظيفي لا يُعدّ حدثًا عرضيًا، بل ممارسة مقصودة تُدار بوعي إداري</w:t>
      </w:r>
      <w:r w:rsidRPr="000007C7">
        <w:rPr>
          <w:rFonts w:ascii="Simplified Arabic" w:eastAsia="Times New Roman" w:hAnsi="Simplified Arabic" w:cs="Simplified Arabic"/>
          <w:color w:val="000000" w:themeColor="text1"/>
          <w:kern w:val="0"/>
          <w:sz w:val="28"/>
          <w:szCs w:val="28"/>
          <w14:ligatures w14:val="none"/>
        </w:rPr>
        <w:t>.</w:t>
      </w:r>
    </w:p>
    <w:p w14:paraId="1A94DBAC" w14:textId="77777777" w:rsidR="002142FF" w:rsidRPr="000007C7" w:rsidRDefault="002142FF" w:rsidP="006455D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وفي اتجاه قريب من ذلك، يذهب</w:t>
      </w:r>
      <w:r w:rsidRPr="000007C7">
        <w:rPr>
          <w:rFonts w:ascii="Simplified Arabic" w:eastAsia="Times New Roman" w:hAnsi="Simplified Arabic" w:cs="Simplified Arabic"/>
          <w:color w:val="000000" w:themeColor="text1"/>
          <w:kern w:val="0"/>
          <w:sz w:val="28"/>
          <w:szCs w:val="28"/>
          <w14:ligatures w14:val="none"/>
        </w:rPr>
        <w:t xml:space="preserve"> (Tetteh </w:t>
      </w:r>
      <w:r w:rsidRPr="000007C7">
        <w:rPr>
          <w:rFonts w:ascii="Simplified Arabic" w:eastAsia="Times New Roman" w:hAnsi="Simplified Arabic" w:cs="Simplified Arabic"/>
          <w:color w:val="000000" w:themeColor="text1"/>
          <w:kern w:val="0"/>
          <w:sz w:val="28"/>
          <w:szCs w:val="28"/>
          <w:rtl/>
          <w14:ligatures w14:val="none"/>
        </w:rPr>
        <w:t>وآخرون، 2022</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إلى أن البرامج الترفيهية في بيئة العمل تُشير إلى الأنشطة الاجتماعية والتفاعلية التي تنظّمها المنظمة بهدف كسر الرتابة وتعزيز رأس المال النفسي للعاملين، بما يُسهم في تشكيل تجربة عمل أكثر إيجابية. وقد وسّع</w:t>
      </w:r>
      <w:r w:rsidRPr="000007C7">
        <w:rPr>
          <w:rFonts w:ascii="Simplified Arabic" w:eastAsia="Times New Roman" w:hAnsi="Simplified Arabic" w:cs="Simplified Arabic"/>
          <w:color w:val="000000" w:themeColor="text1"/>
          <w:kern w:val="0"/>
          <w:sz w:val="28"/>
          <w:szCs w:val="28"/>
          <w14:ligatures w14:val="none"/>
        </w:rPr>
        <w:t xml:space="preserve"> (Lee </w:t>
      </w:r>
      <w:r w:rsidRPr="000007C7">
        <w:rPr>
          <w:rFonts w:ascii="Simplified Arabic" w:eastAsia="Times New Roman" w:hAnsi="Simplified Arabic" w:cs="Simplified Arabic"/>
          <w:color w:val="000000" w:themeColor="text1"/>
          <w:kern w:val="0"/>
          <w:sz w:val="28"/>
          <w:szCs w:val="28"/>
          <w:rtl/>
          <w14:ligatures w14:val="none"/>
        </w:rPr>
        <w:t>وآخرون، 2022</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دائرة المفهوم ليشمل الأنشطة التي تُتيح للعاملين فرص التعلّم غير الرسمي عبر التفاعل المرح، مؤكدًا أن البرامج الترفيهية تُمثّل وسيطًا لنقل المعرفة بين الأفراد والفرق، إلى جانب وظيفتها التقليدية في توفير الترويح. وفي سياق مغاير، يقدّم</w:t>
      </w:r>
      <w:r w:rsidRPr="000007C7">
        <w:rPr>
          <w:rFonts w:ascii="Simplified Arabic" w:eastAsia="Times New Roman" w:hAnsi="Simplified Arabic" w:cs="Simplified Arabic"/>
          <w:color w:val="000000" w:themeColor="text1"/>
          <w:kern w:val="0"/>
          <w:sz w:val="28"/>
          <w:szCs w:val="28"/>
          <w14:ligatures w14:val="none"/>
        </w:rPr>
        <w:t xml:space="preserve"> (Mousa </w:t>
      </w:r>
      <w:r w:rsidRPr="000007C7">
        <w:rPr>
          <w:rFonts w:ascii="Simplified Arabic" w:eastAsia="Times New Roman" w:hAnsi="Simplified Arabic" w:cs="Simplified Arabic"/>
          <w:color w:val="000000" w:themeColor="text1"/>
          <w:kern w:val="0"/>
          <w:sz w:val="28"/>
          <w:szCs w:val="28"/>
          <w:rtl/>
          <w14:ligatures w14:val="none"/>
        </w:rPr>
        <w:t>وآخرون، 2021</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قراءة تنظيمية للمفهوم، إذ يصف البرامج الترفيهية بأنها آليات إدماجية تُسهم في تعزيز شعور العاملين بالانتماء، وتمنح العمل قدرًا من المعنى، ولا سيما في البيئات التي تتسم بالتنوع</w:t>
      </w:r>
      <w:r w:rsidRPr="000007C7">
        <w:rPr>
          <w:rFonts w:ascii="Simplified Arabic" w:eastAsia="Times New Roman" w:hAnsi="Simplified Arabic" w:cs="Simplified Arabic"/>
          <w:color w:val="000000" w:themeColor="text1"/>
          <w:kern w:val="0"/>
          <w:sz w:val="28"/>
          <w:szCs w:val="28"/>
          <w14:ligatures w14:val="none"/>
        </w:rPr>
        <w:t>.</w:t>
      </w:r>
    </w:p>
    <w:p w14:paraId="5BBC273B" w14:textId="77777777" w:rsidR="002142FF" w:rsidRPr="000007C7" w:rsidRDefault="002142FF" w:rsidP="006455D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ومن منظور أكثر شمولًا، يرى</w:t>
      </w:r>
      <w:r w:rsidRPr="000007C7">
        <w:rPr>
          <w:rFonts w:ascii="Simplified Arabic" w:eastAsia="Times New Roman" w:hAnsi="Simplified Arabic" w:cs="Simplified Arabic"/>
          <w:color w:val="000000" w:themeColor="text1"/>
          <w:kern w:val="0"/>
          <w:sz w:val="28"/>
          <w:szCs w:val="28"/>
          <w14:ligatures w14:val="none"/>
        </w:rPr>
        <w:t xml:space="preserve"> (Mercano</w:t>
      </w:r>
      <w:r w:rsidRPr="000007C7">
        <w:rPr>
          <w:rFonts w:ascii="Cambria" w:eastAsia="Times New Roman" w:hAnsi="Cambria" w:cs="Cambria"/>
          <w:color w:val="000000" w:themeColor="text1"/>
          <w:kern w:val="0"/>
          <w:sz w:val="28"/>
          <w:szCs w:val="28"/>
          <w14:ligatures w14:val="none"/>
        </w:rPr>
        <w:t>ğ</w:t>
      </w:r>
      <w:r w:rsidRPr="000007C7">
        <w:rPr>
          <w:rFonts w:ascii="Simplified Arabic" w:eastAsia="Times New Roman" w:hAnsi="Simplified Arabic" w:cs="Simplified Arabic"/>
          <w:color w:val="000000" w:themeColor="text1"/>
          <w:kern w:val="0"/>
          <w:sz w:val="28"/>
          <w:szCs w:val="28"/>
          <w14:ligatures w14:val="none"/>
        </w:rPr>
        <w:t xml:space="preserve">lu &amp; </w:t>
      </w:r>
      <w:r w:rsidRPr="000007C7">
        <w:rPr>
          <w:rFonts w:ascii="Cambria" w:eastAsia="Times New Roman" w:hAnsi="Cambria" w:cs="Cambria"/>
          <w:color w:val="000000" w:themeColor="text1"/>
          <w:kern w:val="0"/>
          <w:sz w:val="28"/>
          <w:szCs w:val="28"/>
          <w14:ligatures w14:val="none"/>
        </w:rPr>
        <w:t>Ş</w:t>
      </w:r>
      <w:r w:rsidRPr="000007C7">
        <w:rPr>
          <w:rFonts w:ascii="Simplified Arabic" w:eastAsia="Times New Roman" w:hAnsi="Simplified Arabic" w:cs="Simplified Arabic"/>
          <w:color w:val="000000" w:themeColor="text1"/>
          <w:kern w:val="0"/>
          <w:sz w:val="28"/>
          <w:szCs w:val="28"/>
          <w14:ligatures w14:val="none"/>
        </w:rPr>
        <w:t>im</w:t>
      </w:r>
      <w:r w:rsidRPr="000007C7">
        <w:rPr>
          <w:rFonts w:ascii="Cambria" w:eastAsia="Times New Roman" w:hAnsi="Cambria" w:cs="Cambria"/>
          <w:color w:val="000000" w:themeColor="text1"/>
          <w:kern w:val="0"/>
          <w:sz w:val="28"/>
          <w:szCs w:val="28"/>
          <w14:ligatures w14:val="none"/>
        </w:rPr>
        <w:t>ş</w:t>
      </w:r>
      <w:r w:rsidRPr="000007C7">
        <w:rPr>
          <w:rFonts w:ascii="Simplified Arabic" w:eastAsia="Times New Roman" w:hAnsi="Simplified Arabic" w:cs="Simplified Arabic"/>
          <w:color w:val="000000" w:themeColor="text1"/>
          <w:kern w:val="0"/>
          <w:sz w:val="28"/>
          <w:szCs w:val="28"/>
          <w14:ligatures w14:val="none"/>
        </w:rPr>
        <w:t xml:space="preserve">ek, 2023) </w:t>
      </w:r>
      <w:r w:rsidRPr="000007C7">
        <w:rPr>
          <w:rFonts w:ascii="Simplified Arabic" w:eastAsia="Times New Roman" w:hAnsi="Simplified Arabic" w:cs="Simplified Arabic"/>
          <w:color w:val="000000" w:themeColor="text1"/>
          <w:kern w:val="0"/>
          <w:sz w:val="28"/>
          <w:szCs w:val="28"/>
          <w:rtl/>
          <w14:ligatures w14:val="none"/>
        </w:rPr>
        <w:t>أن البرامج الترفيهية تتجاوز كونها أنشطة فردية معزولة لتُشكّل منظومة متكاملة من الممارسات التي تستثمر أوقات الراحة والأنشطة الموازية للعمل في رفع طاقة العاملين الذهنية والبدنية. أما</w:t>
      </w:r>
      <w:r w:rsidRPr="000007C7">
        <w:rPr>
          <w:rFonts w:ascii="Simplified Arabic" w:eastAsia="Times New Roman" w:hAnsi="Simplified Arabic" w:cs="Simplified Arabic"/>
          <w:color w:val="000000" w:themeColor="text1"/>
          <w:kern w:val="0"/>
          <w:sz w:val="28"/>
          <w:szCs w:val="28"/>
          <w14:ligatures w14:val="none"/>
        </w:rPr>
        <w:t xml:space="preserve"> (Yang &amp; Chen, 2023) </w:t>
      </w:r>
      <w:r w:rsidRPr="000007C7">
        <w:rPr>
          <w:rFonts w:ascii="Simplified Arabic" w:eastAsia="Times New Roman" w:hAnsi="Simplified Arabic" w:cs="Simplified Arabic"/>
          <w:color w:val="000000" w:themeColor="text1"/>
          <w:kern w:val="0"/>
          <w:sz w:val="28"/>
          <w:szCs w:val="28"/>
          <w:rtl/>
          <w14:ligatures w14:val="none"/>
        </w:rPr>
        <w:t>فيقاربان المفهوم من زاوية إبداعية، معتبرين أن المرح في مكان العمل بيئة محفّزة لإطلاق السلوكيات الإبداعية، حين يجد العاملون فضاءً يسمح بالتجريب والمبادرة بعيدًا عن صرامة الإجراءات الرسمية. ويُضيف</w:t>
      </w:r>
      <w:r w:rsidRPr="000007C7">
        <w:rPr>
          <w:rFonts w:ascii="Simplified Arabic" w:eastAsia="Times New Roman" w:hAnsi="Simplified Arabic" w:cs="Simplified Arabic"/>
          <w:color w:val="000000" w:themeColor="text1"/>
          <w:kern w:val="0"/>
          <w:sz w:val="28"/>
          <w:szCs w:val="28"/>
          <w14:ligatures w14:val="none"/>
        </w:rPr>
        <w:t xml:space="preserve"> (Mousa </w:t>
      </w:r>
      <w:r w:rsidRPr="000007C7">
        <w:rPr>
          <w:rFonts w:ascii="Simplified Arabic" w:eastAsia="Times New Roman" w:hAnsi="Simplified Arabic" w:cs="Simplified Arabic"/>
          <w:color w:val="000000" w:themeColor="text1"/>
          <w:kern w:val="0"/>
          <w:sz w:val="28"/>
          <w:szCs w:val="28"/>
          <w:rtl/>
          <w14:ligatures w14:val="none"/>
        </w:rPr>
        <w:t>وآخرون، 2021) في دراسة أخرى بُعدًا نوعيًا للمفهوم بربطه بقضايا التنوع الجنسي والإدماج، مبيّنًا أن البرامج الترفيهية يمكن أن تكون أداة لتجسير الفجوات بين الفئات داخل المنظمة. وفي السياق العربي، يتعامل (خليفي، 2025) مع الأنشطة الترفيهية الجماعية بوصفها وسيلة لتعزيز مهارات التواصل الاجتماعي، وهو ما ينعكس بصورة موازية على بيئات العمل التي تشترك مع الفضاءات التربوية في حاجتها إلى أنشطة مماثلة. كما يُسهم (بوسكرة وآخرون، 2022) في إثراء المفهوم عبر مقاربته للمرافق الترفيهية بوصفها بنية تحتية ضرورية لإنجاح أي برنامج ترفيهي، سواء على المستوى المجتمعي أو المؤسسي</w:t>
      </w:r>
      <w:r w:rsidRPr="000007C7">
        <w:rPr>
          <w:rFonts w:ascii="Simplified Arabic" w:eastAsia="Times New Roman" w:hAnsi="Simplified Arabic" w:cs="Simplified Arabic"/>
          <w:color w:val="000000" w:themeColor="text1"/>
          <w:kern w:val="0"/>
          <w:sz w:val="28"/>
          <w:szCs w:val="28"/>
          <w14:ligatures w14:val="none"/>
        </w:rPr>
        <w:t>.</w:t>
      </w:r>
    </w:p>
    <w:p w14:paraId="5C39E2CA" w14:textId="77777777" w:rsidR="002142FF" w:rsidRPr="000007C7" w:rsidRDefault="002142FF" w:rsidP="006455D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 xml:space="preserve">ويرى الباحث في ضوء ما سبق أن البرامج الترفيهية في بيئة العمل يمكن تعريفها إجرائيًا بأنها: منظومة متكاملة من الأنشطة والممارسات المُخطَّط لها وفق رؤية إدارية واعية، تشمل الجوانب البدنية والاجتماعية والثقافية والنفسية والرقمية، وتُقدَّم للعاملين داخل بيئة العمل أو في امتداداتها المكانية والزمانية، بهدف </w:t>
      </w:r>
      <w:r w:rsidRPr="000007C7">
        <w:rPr>
          <w:rFonts w:ascii="Simplified Arabic" w:eastAsia="Times New Roman" w:hAnsi="Simplified Arabic" w:cs="Simplified Arabic"/>
          <w:color w:val="000000" w:themeColor="text1"/>
          <w:kern w:val="0"/>
          <w:sz w:val="28"/>
          <w:szCs w:val="28"/>
          <w:rtl/>
          <w14:ligatures w14:val="none"/>
        </w:rPr>
        <w:lastRenderedPageBreak/>
        <w:t>تخفيف الضغوط، وتعزيز المرح والتفاعل، وبناء روابط اجتماعية إيجابية، بما ينعكس على رأس المال النفسي للعاملين ويُسهم في رفع كفاءة المنظمة. ويتميّز هذا التعريف بأنه يجمع بين الطابع المقصود والمنهجي للبرامج، وتعدد أبعادها، وارتباطها بمخرجات تنظيمية يمكن قياسها</w:t>
      </w:r>
      <w:r w:rsidRPr="000007C7">
        <w:rPr>
          <w:rFonts w:ascii="Simplified Arabic" w:eastAsia="Times New Roman" w:hAnsi="Simplified Arabic" w:cs="Simplified Arabic"/>
          <w:color w:val="000000" w:themeColor="text1"/>
          <w:kern w:val="0"/>
          <w:sz w:val="28"/>
          <w:szCs w:val="28"/>
          <w14:ligatures w14:val="none"/>
        </w:rPr>
        <w:t>.</w:t>
      </w:r>
    </w:p>
    <w:p w14:paraId="33BE4FDA" w14:textId="3D71A757" w:rsidR="002142FF" w:rsidRPr="000007C7" w:rsidRDefault="006455D3" w:rsidP="006455D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4" w:name="_Toc233737565"/>
      <w:r w:rsidRPr="000007C7">
        <w:rPr>
          <w:rFonts w:ascii="Simplified Arabic" w:eastAsia="Times New Roman" w:hAnsi="Simplified Arabic" w:cs="Simplified Arabic" w:hint="cs"/>
          <w:b/>
          <w:bCs/>
          <w:color w:val="000000" w:themeColor="text1"/>
          <w:kern w:val="0"/>
          <w:sz w:val="32"/>
          <w:szCs w:val="32"/>
          <w:rtl/>
          <w14:ligatures w14:val="none"/>
        </w:rPr>
        <w:t>3.1.2</w:t>
      </w:r>
      <w:r w:rsidR="002142FF" w:rsidRPr="000007C7">
        <w:rPr>
          <w:rFonts w:ascii="Simplified Arabic" w:eastAsia="Times New Roman" w:hAnsi="Simplified Arabic" w:cs="Simplified Arabic"/>
          <w:b/>
          <w:bCs/>
          <w:color w:val="000000" w:themeColor="text1"/>
          <w:kern w:val="0"/>
          <w:sz w:val="32"/>
          <w:szCs w:val="32"/>
          <w:rtl/>
          <w14:ligatures w14:val="none"/>
        </w:rPr>
        <w:t xml:space="preserve"> أهمية البرامج الترفيهية في بيئة العمل</w:t>
      </w:r>
      <w:bookmarkEnd w:id="34"/>
    </w:p>
    <w:p w14:paraId="270A2A53" w14:textId="77777777" w:rsidR="002142FF" w:rsidRPr="000007C7" w:rsidRDefault="002142FF" w:rsidP="006455D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تكتسب البرامج الترفيهية في بيئة العمل أهمية متنامية في الفكر الإداري المعاصر، نظرًا لما تُحدثه من تأثيرات متعددة المستويات تطال الفرد والجماعة والمنظمة في آنٍ معًا. ولم تعد هذه الأهمية تُستمدّ من اعتبارات إنسانية مجرّدة، بل باتت مدعومة بمنطلقات اقتصادية وإدارية تربطها مباشرةً بمؤشرات الكفاءة والفاعلية. ويُمكن قراءة هذه الأهمية من خلال ما طرحه عدد من الباحثين الذين تناولوا الظاهرة من زوايا متباينة</w:t>
      </w:r>
      <w:r w:rsidRPr="000007C7">
        <w:rPr>
          <w:rFonts w:ascii="Simplified Arabic" w:eastAsia="Times New Roman" w:hAnsi="Simplified Arabic" w:cs="Simplified Arabic"/>
          <w:color w:val="000000" w:themeColor="text1"/>
          <w:kern w:val="0"/>
          <w:sz w:val="28"/>
          <w:szCs w:val="28"/>
          <w14:ligatures w14:val="none"/>
        </w:rPr>
        <w:t>.</w:t>
      </w:r>
    </w:p>
    <w:p w14:paraId="4C067A9C" w14:textId="77777777" w:rsidR="002142FF" w:rsidRPr="000007C7" w:rsidRDefault="002142FF" w:rsidP="006455D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ويُشير</w:t>
      </w:r>
      <w:r w:rsidRPr="000007C7">
        <w:rPr>
          <w:rFonts w:ascii="Simplified Arabic" w:eastAsia="Times New Roman" w:hAnsi="Simplified Arabic" w:cs="Simplified Arabic"/>
          <w:color w:val="000000" w:themeColor="text1"/>
          <w:kern w:val="0"/>
          <w:sz w:val="28"/>
          <w:szCs w:val="28"/>
          <w14:ligatures w14:val="none"/>
        </w:rPr>
        <w:t xml:space="preserve"> (Tzioti, 2025) </w:t>
      </w:r>
      <w:r w:rsidRPr="000007C7">
        <w:rPr>
          <w:rFonts w:ascii="Simplified Arabic" w:eastAsia="Times New Roman" w:hAnsi="Simplified Arabic" w:cs="Simplified Arabic"/>
          <w:color w:val="000000" w:themeColor="text1"/>
          <w:kern w:val="0"/>
          <w:sz w:val="28"/>
          <w:szCs w:val="28"/>
          <w:rtl/>
          <w14:ligatures w14:val="none"/>
        </w:rPr>
        <w:t>إلى أن أهمية البرامج الترفيهية تتجلى في كونها أداة وقائية وعلاجية في الوقت نفسه؛ فهي تعمل من جهة على الحدّ من ظواهر الاحتراق الوظيفي عبر توفير منافذ نفسية لتفريغ الضغوط، ومن جهة أخرى تُعزّز الاندماج الوظيفي بإعادة شحن طاقة العاملين وربطهم عاطفيًا بالعمل، فضلًا عن دورها في بناء توازن بين متطلبات الإنجاز ومتطلبات الراحة النفسية، وهي أبعاد ثلاثة تتشابك لتُشكّل منظومة وقائية متكاملة داخل المنظمة. ويرى</w:t>
      </w:r>
      <w:r w:rsidRPr="000007C7">
        <w:rPr>
          <w:rFonts w:ascii="Simplified Arabic" w:eastAsia="Times New Roman" w:hAnsi="Simplified Arabic" w:cs="Simplified Arabic"/>
          <w:color w:val="000000" w:themeColor="text1"/>
          <w:kern w:val="0"/>
          <w:sz w:val="28"/>
          <w:szCs w:val="28"/>
          <w14:ligatures w14:val="none"/>
        </w:rPr>
        <w:t xml:space="preserve"> (Fern</w:t>
      </w:r>
      <w:r w:rsidRPr="000007C7">
        <w:rPr>
          <w:rFonts w:ascii="Cambria" w:eastAsia="Times New Roman" w:hAnsi="Cambria" w:cs="Cambria"/>
          <w:color w:val="000000" w:themeColor="text1"/>
          <w:kern w:val="0"/>
          <w:sz w:val="28"/>
          <w:szCs w:val="28"/>
          <w14:ligatures w14:val="none"/>
        </w:rPr>
        <w:t>á</w:t>
      </w:r>
      <w:r w:rsidRPr="000007C7">
        <w:rPr>
          <w:rFonts w:ascii="Simplified Arabic" w:eastAsia="Times New Roman" w:hAnsi="Simplified Arabic" w:cs="Simplified Arabic"/>
          <w:color w:val="000000" w:themeColor="text1"/>
          <w:kern w:val="0"/>
          <w:sz w:val="28"/>
          <w:szCs w:val="28"/>
          <w14:ligatures w14:val="none"/>
        </w:rPr>
        <w:t xml:space="preserve">ndez-Salinero </w:t>
      </w:r>
      <w:r w:rsidRPr="000007C7">
        <w:rPr>
          <w:rFonts w:ascii="Simplified Arabic" w:eastAsia="Times New Roman" w:hAnsi="Simplified Arabic" w:cs="Simplified Arabic"/>
          <w:color w:val="000000" w:themeColor="text1"/>
          <w:kern w:val="0"/>
          <w:sz w:val="28"/>
          <w:szCs w:val="28"/>
          <w:rtl/>
          <w14:ligatures w14:val="none"/>
        </w:rPr>
        <w:t>وآخرون، 2023</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أن أهمية هذه البرامج تتركّز في كونها استثمارًا في صحة العاملين بمفهومها الشامل، إذ تُسهم في تحسين الحالة البدنية، وتقليل المشكلات الصحية المرتبطة بنمط العمل المكتبي، وتعزيز السلوكيات الصحية، ومن ثم رفع الإنتاجية بشكل غير مباشر عبر تقليل الغياب المرضي وتحسين القدرة على التركيز</w:t>
      </w:r>
      <w:r w:rsidRPr="000007C7">
        <w:rPr>
          <w:rFonts w:ascii="Simplified Arabic" w:eastAsia="Times New Roman" w:hAnsi="Simplified Arabic" w:cs="Simplified Arabic"/>
          <w:color w:val="000000" w:themeColor="text1"/>
          <w:kern w:val="0"/>
          <w:sz w:val="28"/>
          <w:szCs w:val="28"/>
          <w14:ligatures w14:val="none"/>
        </w:rPr>
        <w:t>.</w:t>
      </w:r>
    </w:p>
    <w:p w14:paraId="2F9A7EF3" w14:textId="77777777" w:rsidR="002142FF" w:rsidRPr="000007C7" w:rsidRDefault="002142FF" w:rsidP="005D55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ويُضيف</w:t>
      </w:r>
      <w:r w:rsidRPr="000007C7">
        <w:rPr>
          <w:rFonts w:ascii="Simplified Arabic" w:eastAsia="Times New Roman" w:hAnsi="Simplified Arabic" w:cs="Simplified Arabic"/>
          <w:color w:val="000000" w:themeColor="text1"/>
          <w:kern w:val="0"/>
          <w:sz w:val="28"/>
          <w:szCs w:val="28"/>
          <w14:ligatures w14:val="none"/>
        </w:rPr>
        <w:t xml:space="preserve"> (Hauff </w:t>
      </w:r>
      <w:r w:rsidRPr="000007C7">
        <w:rPr>
          <w:rFonts w:ascii="Simplified Arabic" w:eastAsia="Times New Roman" w:hAnsi="Simplified Arabic" w:cs="Simplified Arabic"/>
          <w:color w:val="000000" w:themeColor="text1"/>
          <w:kern w:val="0"/>
          <w:sz w:val="28"/>
          <w:szCs w:val="28"/>
          <w:rtl/>
          <w14:ligatures w14:val="none"/>
        </w:rPr>
        <w:t>وآخرون، 2022</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بُعدًا مهمًا للأهمية بربطها بمنظومة ممارسات العمل عالية الأداء، إذ يرى أن البرامج ذات التوجه الترفيهي والصحي تُكمّل ممارسات الموارد البشرية المتقدمة، وتعمل بمثابة وسيط بين الممارسات الإدارية المتطورة ومستوى الرفاه الذي يبلغه العاملون، بما يجعلها حلقة وصل بين البنية الاستراتيجية للمنظمة ومخرجاتها السلوكية. وفي السياق ذاته، يرى</w:t>
      </w:r>
      <w:r w:rsidRPr="000007C7">
        <w:rPr>
          <w:rFonts w:ascii="Simplified Arabic" w:eastAsia="Times New Roman" w:hAnsi="Simplified Arabic" w:cs="Simplified Arabic"/>
          <w:color w:val="000000" w:themeColor="text1"/>
          <w:kern w:val="0"/>
          <w:sz w:val="28"/>
          <w:szCs w:val="28"/>
          <w14:ligatures w14:val="none"/>
        </w:rPr>
        <w:t xml:space="preserve"> (Garc</w:t>
      </w:r>
      <w:r w:rsidRPr="000007C7">
        <w:rPr>
          <w:rFonts w:ascii="Cambria" w:eastAsia="Times New Roman" w:hAnsi="Cambria" w:cs="Cambria"/>
          <w:color w:val="000000" w:themeColor="text1"/>
          <w:kern w:val="0"/>
          <w:sz w:val="28"/>
          <w:szCs w:val="28"/>
          <w14:ligatures w14:val="none"/>
        </w:rPr>
        <w:t>í</w:t>
      </w:r>
      <w:r w:rsidRPr="000007C7">
        <w:rPr>
          <w:rFonts w:ascii="Simplified Arabic" w:eastAsia="Times New Roman" w:hAnsi="Simplified Arabic" w:cs="Simplified Arabic"/>
          <w:color w:val="000000" w:themeColor="text1"/>
          <w:kern w:val="0"/>
          <w:sz w:val="28"/>
          <w:szCs w:val="28"/>
          <w14:ligatures w14:val="none"/>
        </w:rPr>
        <w:t xml:space="preserve">a-Carbonell </w:t>
      </w:r>
      <w:r w:rsidRPr="000007C7">
        <w:rPr>
          <w:rFonts w:ascii="Simplified Arabic" w:eastAsia="Times New Roman" w:hAnsi="Simplified Arabic" w:cs="Simplified Arabic"/>
          <w:color w:val="000000" w:themeColor="text1"/>
          <w:kern w:val="0"/>
          <w:sz w:val="28"/>
          <w:szCs w:val="28"/>
          <w:rtl/>
          <w14:ligatures w14:val="none"/>
        </w:rPr>
        <w:t>وآخرون، 2024</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أن أهمية برامج الرفاه والترفيه تتعدى الأثر الفردي لتمتد إلى الأثر التنظيمي، إذ تتداخل مع مفهوم الدعم التنظيمي المُدرَك، فحين يُدرك العامل أن منظمته تستثمر في رفاهه فإنه يبادل ذلك بمستويات أعلى من الالتزام والانتماء، وهو ما يجعل هذه البرامج جزءًا من فلسفة إدارة الموارد البشرية المستدامة</w:t>
      </w:r>
      <w:r w:rsidRPr="000007C7">
        <w:rPr>
          <w:rFonts w:ascii="Simplified Arabic" w:eastAsia="Times New Roman" w:hAnsi="Simplified Arabic" w:cs="Simplified Arabic"/>
          <w:color w:val="000000" w:themeColor="text1"/>
          <w:kern w:val="0"/>
          <w:sz w:val="28"/>
          <w:szCs w:val="28"/>
          <w14:ligatures w14:val="none"/>
        </w:rPr>
        <w:t>.</w:t>
      </w:r>
    </w:p>
    <w:p w14:paraId="550506AB" w14:textId="77777777" w:rsidR="002142FF" w:rsidRPr="000007C7" w:rsidRDefault="002142FF" w:rsidP="005D55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lastRenderedPageBreak/>
        <w:t>ومن زاوية مغايرة، يُبرز</w:t>
      </w:r>
      <w:r w:rsidRPr="000007C7">
        <w:rPr>
          <w:rFonts w:ascii="Simplified Arabic" w:eastAsia="Times New Roman" w:hAnsi="Simplified Arabic" w:cs="Simplified Arabic"/>
          <w:color w:val="000000" w:themeColor="text1"/>
          <w:kern w:val="0"/>
          <w:sz w:val="28"/>
          <w:szCs w:val="28"/>
          <w14:ligatures w14:val="none"/>
        </w:rPr>
        <w:t xml:space="preserve"> (Yang &amp; Chen, 2023) </w:t>
      </w:r>
      <w:r w:rsidRPr="000007C7">
        <w:rPr>
          <w:rFonts w:ascii="Simplified Arabic" w:eastAsia="Times New Roman" w:hAnsi="Simplified Arabic" w:cs="Simplified Arabic"/>
          <w:color w:val="000000" w:themeColor="text1"/>
          <w:kern w:val="0"/>
          <w:sz w:val="28"/>
          <w:szCs w:val="28"/>
          <w:rtl/>
          <w14:ligatures w14:val="none"/>
        </w:rPr>
        <w:t>أن أهمية البرامج الترفيهية تتجلى في كونها محرّكًا للسلوك الإبداعي داخل المنظمة، فهي توفر فضاءات غير تقليدية للتفكير، وتُخفّف من الضغط الإدراكي، وتتيح للعاملين تجربة أنماط تفاعل مختلفة تُحفّز توليد الأفكار الجديدة وإيجاد حلول غير مألوفة للمشكلات. ويُكمل</w:t>
      </w:r>
      <w:r w:rsidRPr="000007C7">
        <w:rPr>
          <w:rFonts w:ascii="Simplified Arabic" w:eastAsia="Times New Roman" w:hAnsi="Simplified Arabic" w:cs="Simplified Arabic"/>
          <w:color w:val="000000" w:themeColor="text1"/>
          <w:kern w:val="0"/>
          <w:sz w:val="28"/>
          <w:szCs w:val="28"/>
          <w14:ligatures w14:val="none"/>
        </w:rPr>
        <w:t xml:space="preserve"> (Lee </w:t>
      </w:r>
      <w:r w:rsidRPr="000007C7">
        <w:rPr>
          <w:rFonts w:ascii="Simplified Arabic" w:eastAsia="Times New Roman" w:hAnsi="Simplified Arabic" w:cs="Simplified Arabic"/>
          <w:color w:val="000000" w:themeColor="text1"/>
          <w:kern w:val="0"/>
          <w:sz w:val="28"/>
          <w:szCs w:val="28"/>
          <w:rtl/>
          <w14:ligatures w14:val="none"/>
        </w:rPr>
        <w:t>وآخرون، 2022) هذه الصورة بالإشارة إلى أن أهمية البرامج الترفيهية تظهر في تيسيرها التعلّم غير الرسمي بين أعضاء الفريق، إذ تخلق مناخات تواصل أفقي تنتقل من خلالها المعرفة الضمنية بصورة أيسر مما تتيحه قنوات التدريب الرسمية</w:t>
      </w:r>
      <w:r w:rsidRPr="000007C7">
        <w:rPr>
          <w:rFonts w:ascii="Simplified Arabic" w:eastAsia="Times New Roman" w:hAnsi="Simplified Arabic" w:cs="Simplified Arabic"/>
          <w:color w:val="000000" w:themeColor="text1"/>
          <w:kern w:val="0"/>
          <w:sz w:val="28"/>
          <w:szCs w:val="28"/>
          <w14:ligatures w14:val="none"/>
        </w:rPr>
        <w:t>.</w:t>
      </w:r>
    </w:p>
    <w:p w14:paraId="3CDDB885" w14:textId="77777777" w:rsidR="002142FF" w:rsidRPr="000007C7" w:rsidRDefault="002142FF" w:rsidP="005D55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ويذهب</w:t>
      </w:r>
      <w:r w:rsidRPr="000007C7">
        <w:rPr>
          <w:rFonts w:ascii="Simplified Arabic" w:eastAsia="Times New Roman" w:hAnsi="Simplified Arabic" w:cs="Simplified Arabic"/>
          <w:color w:val="000000" w:themeColor="text1"/>
          <w:kern w:val="0"/>
          <w:sz w:val="28"/>
          <w:szCs w:val="28"/>
          <w14:ligatures w14:val="none"/>
        </w:rPr>
        <w:t xml:space="preserve"> (Mousa </w:t>
      </w:r>
      <w:r w:rsidRPr="000007C7">
        <w:rPr>
          <w:rFonts w:ascii="Simplified Arabic" w:eastAsia="Times New Roman" w:hAnsi="Simplified Arabic" w:cs="Simplified Arabic"/>
          <w:color w:val="000000" w:themeColor="text1"/>
          <w:kern w:val="0"/>
          <w:sz w:val="28"/>
          <w:szCs w:val="28"/>
          <w:rtl/>
          <w14:ligatures w14:val="none"/>
        </w:rPr>
        <w:t>وآخرون، 2021</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إلى أن أهمية هذه البرامج تتعمّق في البيئات التي تسعى إلى تحقيق الإدماج التنظيمي، حيث تُسهم في تجسير الفجوات بين العاملين على اختلاف خلفياتهم، وتمنح العمل معنىً أعمق يتجاوز المقابل المادي. ويرى (فتيحي ونصيف، 2025) أن الفعاليات الترفيهية بمفهومها الواسع تكتسب أهميتها من ارتباطها بأهداف التنمية المستدامة، إذ تُسهم في بناء مجتمعات وظيفية متماسكة، ورفع جودة الحياة، وتعزيز قيم الاستقرار والانتماء، وهي قيم تتقاطع مع رؤى التنمية الحديثة. أما (مانع وبوهراوة، 2021) فيتجه إلى أن أهمية الأنشطة المُسعِدة في العمل تكمن في كونها أداة لتنشيط الطاقة الوجدانية الإيجابية لدى العاملين، التي تُترجم لاحقًا إلى مستويات أداء أرفع</w:t>
      </w:r>
      <w:r w:rsidRPr="000007C7">
        <w:rPr>
          <w:rFonts w:ascii="Simplified Arabic" w:eastAsia="Times New Roman" w:hAnsi="Simplified Arabic" w:cs="Simplified Arabic"/>
          <w:color w:val="000000" w:themeColor="text1"/>
          <w:kern w:val="0"/>
          <w:sz w:val="28"/>
          <w:szCs w:val="28"/>
          <w14:ligatures w14:val="none"/>
        </w:rPr>
        <w:t>.</w:t>
      </w:r>
    </w:p>
    <w:p w14:paraId="20FC9D76" w14:textId="77777777" w:rsidR="002142FF" w:rsidRPr="000007C7" w:rsidRDefault="002142FF" w:rsidP="005D55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ويتبيّن من مجمل هذه الرؤى أن أهمية البرامج الترفيهية في بيئة العمل تتوزع على ثلاثة مستويات متكاملة: مستوى فردي يرتبط بالصحة النفسية والبدنية وجودة الحياة، ومستوى جماعي يتعلق بالتماسك والتفاعل والتعلم المتبادل، ومستوى تنظيمي يرتبط بالأداء والإبداع والإدماج والاستدامة. ويُشكّل هذا التوزّع المتدرج للأهمية مسوّغًا قويًا لتبنّي المنظمات لهذه البرامج بوصفها استثمارًا استراتيجيًا لا نفقة جانبية</w:t>
      </w:r>
      <w:r w:rsidRPr="000007C7">
        <w:rPr>
          <w:rFonts w:ascii="Simplified Arabic" w:eastAsia="Times New Roman" w:hAnsi="Simplified Arabic" w:cs="Simplified Arabic"/>
          <w:color w:val="000000" w:themeColor="text1"/>
          <w:kern w:val="0"/>
          <w:sz w:val="28"/>
          <w:szCs w:val="28"/>
          <w14:ligatures w14:val="none"/>
        </w:rPr>
        <w:t>.</w:t>
      </w:r>
    </w:p>
    <w:p w14:paraId="163174DD" w14:textId="64F4E70A" w:rsidR="002142FF" w:rsidRPr="000007C7" w:rsidRDefault="005D553B" w:rsidP="005D553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5" w:name="_Toc233737566"/>
      <w:r w:rsidRPr="000007C7">
        <w:rPr>
          <w:rFonts w:ascii="Simplified Arabic" w:eastAsia="Times New Roman" w:hAnsi="Simplified Arabic" w:cs="Simplified Arabic" w:hint="cs"/>
          <w:b/>
          <w:bCs/>
          <w:color w:val="000000" w:themeColor="text1"/>
          <w:kern w:val="0"/>
          <w:sz w:val="32"/>
          <w:szCs w:val="32"/>
          <w:rtl/>
          <w14:ligatures w14:val="none"/>
        </w:rPr>
        <w:t>4.1.2</w:t>
      </w:r>
      <w:r w:rsidR="002142FF" w:rsidRPr="000007C7">
        <w:rPr>
          <w:rFonts w:ascii="Simplified Arabic" w:eastAsia="Times New Roman" w:hAnsi="Simplified Arabic" w:cs="Simplified Arabic"/>
          <w:b/>
          <w:bCs/>
          <w:color w:val="000000" w:themeColor="text1"/>
          <w:kern w:val="0"/>
          <w:sz w:val="32"/>
          <w:szCs w:val="32"/>
          <w:rtl/>
          <w14:ligatures w14:val="none"/>
        </w:rPr>
        <w:t xml:space="preserve"> أهداف البرامج الترفيهية في بيئة العمل</w:t>
      </w:r>
      <w:bookmarkEnd w:id="35"/>
    </w:p>
    <w:p w14:paraId="025CF038" w14:textId="77777777" w:rsidR="002142FF" w:rsidRPr="000007C7" w:rsidRDefault="002142FF" w:rsidP="005D55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تتعدد الأهداف التي تسعى البرامج الترفيهية إلى تحقيقها داخل بيئة العمل، وتتنوع بحسب الفلسفة الإدارية التي تتبناها المنظمة، وطبيعة العاملين فيها، والسياق الذي تعمل ضمنه. وقد تناول الباحثون هذه الأهداف من زوايا مختلفة، يمكن استعراضها على النحو الآتي</w:t>
      </w:r>
      <w:r w:rsidRPr="000007C7">
        <w:rPr>
          <w:rFonts w:ascii="Simplified Arabic" w:eastAsia="Times New Roman" w:hAnsi="Simplified Arabic" w:cs="Simplified Arabic"/>
          <w:color w:val="000000" w:themeColor="text1"/>
          <w:kern w:val="0"/>
          <w:sz w:val="28"/>
          <w:szCs w:val="28"/>
          <w14:ligatures w14:val="none"/>
        </w:rPr>
        <w:t>:</w:t>
      </w:r>
    </w:p>
    <w:p w14:paraId="42785515" w14:textId="77777777" w:rsidR="002142FF" w:rsidRPr="000007C7" w:rsidRDefault="002142FF" w:rsidP="005D55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أولًا: يرى</w:t>
      </w:r>
      <w:r w:rsidRPr="000007C7">
        <w:rPr>
          <w:rFonts w:ascii="Simplified Arabic" w:eastAsia="Times New Roman" w:hAnsi="Simplified Arabic" w:cs="Simplified Arabic"/>
          <w:color w:val="000000" w:themeColor="text1"/>
          <w:kern w:val="0"/>
          <w:sz w:val="28"/>
          <w:szCs w:val="28"/>
          <w14:ligatures w14:val="none"/>
        </w:rPr>
        <w:t xml:space="preserve"> (Mercano</w:t>
      </w:r>
      <w:r w:rsidRPr="000007C7">
        <w:rPr>
          <w:rFonts w:ascii="Cambria" w:eastAsia="Times New Roman" w:hAnsi="Cambria" w:cs="Cambria"/>
          <w:color w:val="000000" w:themeColor="text1"/>
          <w:kern w:val="0"/>
          <w:sz w:val="28"/>
          <w:szCs w:val="28"/>
          <w14:ligatures w14:val="none"/>
        </w:rPr>
        <w:t>ğ</w:t>
      </w:r>
      <w:r w:rsidRPr="000007C7">
        <w:rPr>
          <w:rFonts w:ascii="Simplified Arabic" w:eastAsia="Times New Roman" w:hAnsi="Simplified Arabic" w:cs="Simplified Arabic"/>
          <w:color w:val="000000" w:themeColor="text1"/>
          <w:kern w:val="0"/>
          <w:sz w:val="28"/>
          <w:szCs w:val="28"/>
          <w14:ligatures w14:val="none"/>
        </w:rPr>
        <w:t xml:space="preserve">lu &amp; </w:t>
      </w:r>
      <w:r w:rsidRPr="000007C7">
        <w:rPr>
          <w:rFonts w:ascii="Cambria" w:eastAsia="Times New Roman" w:hAnsi="Cambria" w:cs="Cambria"/>
          <w:color w:val="000000" w:themeColor="text1"/>
          <w:kern w:val="0"/>
          <w:sz w:val="28"/>
          <w:szCs w:val="28"/>
          <w14:ligatures w14:val="none"/>
        </w:rPr>
        <w:t>Ş</w:t>
      </w:r>
      <w:r w:rsidRPr="000007C7">
        <w:rPr>
          <w:rFonts w:ascii="Simplified Arabic" w:eastAsia="Times New Roman" w:hAnsi="Simplified Arabic" w:cs="Simplified Arabic"/>
          <w:color w:val="000000" w:themeColor="text1"/>
          <w:kern w:val="0"/>
          <w:sz w:val="28"/>
          <w:szCs w:val="28"/>
          <w14:ligatures w14:val="none"/>
        </w:rPr>
        <w:t>im</w:t>
      </w:r>
      <w:r w:rsidRPr="000007C7">
        <w:rPr>
          <w:rFonts w:ascii="Cambria" w:eastAsia="Times New Roman" w:hAnsi="Cambria" w:cs="Cambria"/>
          <w:color w:val="000000" w:themeColor="text1"/>
          <w:kern w:val="0"/>
          <w:sz w:val="28"/>
          <w:szCs w:val="28"/>
          <w14:ligatures w14:val="none"/>
        </w:rPr>
        <w:t>ş</w:t>
      </w:r>
      <w:r w:rsidRPr="000007C7">
        <w:rPr>
          <w:rFonts w:ascii="Simplified Arabic" w:eastAsia="Times New Roman" w:hAnsi="Simplified Arabic" w:cs="Simplified Arabic"/>
          <w:color w:val="000000" w:themeColor="text1"/>
          <w:kern w:val="0"/>
          <w:sz w:val="28"/>
          <w:szCs w:val="28"/>
          <w14:ligatures w14:val="none"/>
        </w:rPr>
        <w:t xml:space="preserve">ek, 2023) </w:t>
      </w:r>
      <w:r w:rsidRPr="000007C7">
        <w:rPr>
          <w:rFonts w:ascii="Simplified Arabic" w:eastAsia="Times New Roman" w:hAnsi="Simplified Arabic" w:cs="Simplified Arabic"/>
          <w:color w:val="000000" w:themeColor="text1"/>
          <w:kern w:val="0"/>
          <w:sz w:val="28"/>
          <w:szCs w:val="28"/>
          <w:rtl/>
          <w14:ligatures w14:val="none"/>
        </w:rPr>
        <w:t xml:space="preserve">أن البرامج الترفيهية تستهدف رفع إنتاجية العاملين عبر إعادة شحن طاقتهم الذهنية والبدنية، وتحسين قدرتهم على التركيز، وتقليل الفجوات بين فترات الإنجاز، </w:t>
      </w:r>
      <w:r w:rsidRPr="000007C7">
        <w:rPr>
          <w:rFonts w:ascii="Simplified Arabic" w:eastAsia="Times New Roman" w:hAnsi="Simplified Arabic" w:cs="Simplified Arabic"/>
          <w:color w:val="000000" w:themeColor="text1"/>
          <w:kern w:val="0"/>
          <w:sz w:val="28"/>
          <w:szCs w:val="28"/>
          <w:rtl/>
          <w14:ligatures w14:val="none"/>
        </w:rPr>
        <w:lastRenderedPageBreak/>
        <w:t>إلى جانب تعزيز شعورهم بالتقدير من قِبل المنظمة، وتوفير منافذ لإطلاق الطاقة المكبوتة التي قد تنعكس سلبًا في حال احتباسها</w:t>
      </w:r>
      <w:r w:rsidRPr="000007C7">
        <w:rPr>
          <w:rFonts w:ascii="Simplified Arabic" w:eastAsia="Times New Roman" w:hAnsi="Simplified Arabic" w:cs="Simplified Arabic"/>
          <w:color w:val="000000" w:themeColor="text1"/>
          <w:kern w:val="0"/>
          <w:sz w:val="28"/>
          <w:szCs w:val="28"/>
          <w14:ligatures w14:val="none"/>
        </w:rPr>
        <w:t>.</w:t>
      </w:r>
    </w:p>
    <w:p w14:paraId="1D64DE13" w14:textId="77777777" w:rsidR="002142FF" w:rsidRPr="000007C7" w:rsidRDefault="002142FF" w:rsidP="005D55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ثانيًا: يُحدّد</w:t>
      </w:r>
      <w:r w:rsidRPr="000007C7">
        <w:rPr>
          <w:rFonts w:ascii="Simplified Arabic" w:eastAsia="Times New Roman" w:hAnsi="Simplified Arabic" w:cs="Simplified Arabic"/>
          <w:color w:val="000000" w:themeColor="text1"/>
          <w:kern w:val="0"/>
          <w:sz w:val="28"/>
          <w:szCs w:val="28"/>
          <w14:ligatures w14:val="none"/>
        </w:rPr>
        <w:t xml:space="preserve"> (Jyoti &amp; Dimple, 2022) </w:t>
      </w:r>
      <w:r w:rsidRPr="000007C7">
        <w:rPr>
          <w:rFonts w:ascii="Simplified Arabic" w:eastAsia="Times New Roman" w:hAnsi="Simplified Arabic" w:cs="Simplified Arabic"/>
          <w:color w:val="000000" w:themeColor="text1"/>
          <w:kern w:val="0"/>
          <w:sz w:val="28"/>
          <w:szCs w:val="28"/>
          <w:rtl/>
          <w14:ligatures w14:val="none"/>
        </w:rPr>
        <w:t>أهداف هذه البرامج في تعزيز الاندماج الوظيفي، وبناء التماسك الجماعي بين أعضاء الفريق، وتخفيف نوايا ترك العمل، فضلًا عن خلق ذاكرة تنظيمية إيجابية تربط العاملين بمنظمتهم، وتُرسّخ هويتهم الجماعية على نحو يصعب استبداله بالحوافز المادية وحدها</w:t>
      </w:r>
      <w:r w:rsidRPr="000007C7">
        <w:rPr>
          <w:rFonts w:ascii="Simplified Arabic" w:eastAsia="Times New Roman" w:hAnsi="Simplified Arabic" w:cs="Simplified Arabic"/>
          <w:color w:val="000000" w:themeColor="text1"/>
          <w:kern w:val="0"/>
          <w:sz w:val="28"/>
          <w:szCs w:val="28"/>
          <w14:ligatures w14:val="none"/>
        </w:rPr>
        <w:t>.</w:t>
      </w:r>
    </w:p>
    <w:p w14:paraId="41A84868" w14:textId="77777777" w:rsidR="002142FF" w:rsidRPr="000007C7" w:rsidRDefault="002142FF" w:rsidP="005D55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ثالثًا: يذهب</w:t>
      </w:r>
      <w:r w:rsidRPr="000007C7">
        <w:rPr>
          <w:rFonts w:ascii="Simplified Arabic" w:eastAsia="Times New Roman" w:hAnsi="Simplified Arabic" w:cs="Simplified Arabic"/>
          <w:color w:val="000000" w:themeColor="text1"/>
          <w:kern w:val="0"/>
          <w:sz w:val="28"/>
          <w:szCs w:val="28"/>
          <w14:ligatures w14:val="none"/>
        </w:rPr>
        <w:t xml:space="preserve"> (Tetteh </w:t>
      </w:r>
      <w:r w:rsidRPr="000007C7">
        <w:rPr>
          <w:rFonts w:ascii="Simplified Arabic" w:eastAsia="Times New Roman" w:hAnsi="Simplified Arabic" w:cs="Simplified Arabic"/>
          <w:color w:val="000000" w:themeColor="text1"/>
          <w:kern w:val="0"/>
          <w:sz w:val="28"/>
          <w:szCs w:val="28"/>
          <w:rtl/>
          <w14:ligatures w14:val="none"/>
        </w:rPr>
        <w:t>وآخرون، 2022</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إلى أن البرامج الترفيهية تستهدف بناء رأس المال النفسي للعاملين بمكوّناته من تفاؤل وأمل ومرونة وكفاءة ذاتية، إلى جانب تخفيض نوايا الدوران الوظيفي، وتعزيز الاندماج العاطفي مع المهام، وإحداث توازن بين الجوانب العقلانية والوجدانية في تجربة العمل</w:t>
      </w:r>
      <w:r w:rsidRPr="000007C7">
        <w:rPr>
          <w:rFonts w:ascii="Simplified Arabic" w:eastAsia="Times New Roman" w:hAnsi="Simplified Arabic" w:cs="Simplified Arabic"/>
          <w:color w:val="000000" w:themeColor="text1"/>
          <w:kern w:val="0"/>
          <w:sz w:val="28"/>
          <w:szCs w:val="28"/>
          <w14:ligatures w14:val="none"/>
        </w:rPr>
        <w:t>.</w:t>
      </w:r>
    </w:p>
    <w:p w14:paraId="6FEE9EE3" w14:textId="77777777" w:rsidR="002142FF" w:rsidRPr="000007C7" w:rsidRDefault="002142FF" w:rsidP="005D55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رابعًا: يُبرز</w:t>
      </w:r>
      <w:r w:rsidRPr="000007C7">
        <w:rPr>
          <w:rFonts w:ascii="Simplified Arabic" w:eastAsia="Times New Roman" w:hAnsi="Simplified Arabic" w:cs="Simplified Arabic"/>
          <w:color w:val="000000" w:themeColor="text1"/>
          <w:kern w:val="0"/>
          <w:sz w:val="28"/>
          <w:szCs w:val="28"/>
          <w14:ligatures w14:val="none"/>
        </w:rPr>
        <w:t xml:space="preserve"> (Yang &amp; Chen, 2023) </w:t>
      </w:r>
      <w:r w:rsidRPr="000007C7">
        <w:rPr>
          <w:rFonts w:ascii="Simplified Arabic" w:eastAsia="Times New Roman" w:hAnsi="Simplified Arabic" w:cs="Simplified Arabic"/>
          <w:color w:val="000000" w:themeColor="text1"/>
          <w:kern w:val="0"/>
          <w:sz w:val="28"/>
          <w:szCs w:val="28"/>
          <w:rtl/>
          <w14:ligatures w14:val="none"/>
        </w:rPr>
        <w:t>أن من أهداف البرامج الترفيهية تحفيز السلوك الإبداعي، عبر فتح قنوات للتعبير الحر، وتخفيف ضغط الإجراءات الرسمية، وتمكين العاملين من ممارسة التفكير التباعدي في فضاءات آمنة، فضلًا عن تشجيع المخاطرة المعرفية المحسوبة التي يصعب استدعاؤها في البيئات الصارمة</w:t>
      </w:r>
      <w:r w:rsidRPr="000007C7">
        <w:rPr>
          <w:rFonts w:ascii="Simplified Arabic" w:eastAsia="Times New Roman" w:hAnsi="Simplified Arabic" w:cs="Simplified Arabic"/>
          <w:color w:val="000000" w:themeColor="text1"/>
          <w:kern w:val="0"/>
          <w:sz w:val="28"/>
          <w:szCs w:val="28"/>
          <w14:ligatures w14:val="none"/>
        </w:rPr>
        <w:t>.</w:t>
      </w:r>
    </w:p>
    <w:p w14:paraId="305253E4" w14:textId="77777777" w:rsidR="002142FF" w:rsidRPr="000007C7" w:rsidRDefault="002142FF" w:rsidP="005D55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خامسًا: يرى</w:t>
      </w:r>
      <w:r w:rsidRPr="000007C7">
        <w:rPr>
          <w:rFonts w:ascii="Simplified Arabic" w:eastAsia="Times New Roman" w:hAnsi="Simplified Arabic" w:cs="Simplified Arabic"/>
          <w:color w:val="000000" w:themeColor="text1"/>
          <w:kern w:val="0"/>
          <w:sz w:val="28"/>
          <w:szCs w:val="28"/>
          <w14:ligatures w14:val="none"/>
        </w:rPr>
        <w:t xml:space="preserve"> (Lee </w:t>
      </w:r>
      <w:r w:rsidRPr="000007C7">
        <w:rPr>
          <w:rFonts w:ascii="Simplified Arabic" w:eastAsia="Times New Roman" w:hAnsi="Simplified Arabic" w:cs="Simplified Arabic"/>
          <w:color w:val="000000" w:themeColor="text1"/>
          <w:kern w:val="0"/>
          <w:sz w:val="28"/>
          <w:szCs w:val="28"/>
          <w:rtl/>
          <w14:ligatures w14:val="none"/>
        </w:rPr>
        <w:t>وآخرون، 2022</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أن من بين الأهداف المركزية لهذه البرامج تيسير التعلم غير الرسمي بين العاملين، وبناء الصداقات في مكان العمل، وتعزيز مناخ الفريق، إلى جانب نقل المعرفة الضمنية التي تستعصي على الأساليب التدريبية التقليدية، وتنمية مهارات التواصل والإصغاء بين الأقران</w:t>
      </w:r>
      <w:r w:rsidRPr="000007C7">
        <w:rPr>
          <w:rFonts w:ascii="Simplified Arabic" w:eastAsia="Times New Roman" w:hAnsi="Simplified Arabic" w:cs="Simplified Arabic"/>
          <w:color w:val="000000" w:themeColor="text1"/>
          <w:kern w:val="0"/>
          <w:sz w:val="28"/>
          <w:szCs w:val="28"/>
          <w14:ligatures w14:val="none"/>
        </w:rPr>
        <w:t>.</w:t>
      </w:r>
    </w:p>
    <w:p w14:paraId="61691B2E" w14:textId="77777777" w:rsidR="002142FF" w:rsidRPr="000007C7" w:rsidRDefault="002142FF" w:rsidP="005D55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سادسًا: يُشير</w:t>
      </w:r>
      <w:r w:rsidRPr="000007C7">
        <w:rPr>
          <w:rFonts w:ascii="Simplified Arabic" w:eastAsia="Times New Roman" w:hAnsi="Simplified Arabic" w:cs="Simplified Arabic"/>
          <w:color w:val="000000" w:themeColor="text1"/>
          <w:kern w:val="0"/>
          <w:sz w:val="28"/>
          <w:szCs w:val="28"/>
          <w14:ligatures w14:val="none"/>
        </w:rPr>
        <w:t xml:space="preserve"> (Mousa </w:t>
      </w:r>
      <w:r w:rsidRPr="000007C7">
        <w:rPr>
          <w:rFonts w:ascii="Simplified Arabic" w:eastAsia="Times New Roman" w:hAnsi="Simplified Arabic" w:cs="Simplified Arabic"/>
          <w:color w:val="000000" w:themeColor="text1"/>
          <w:kern w:val="0"/>
          <w:sz w:val="28"/>
          <w:szCs w:val="28"/>
          <w:rtl/>
          <w14:ligatures w14:val="none"/>
        </w:rPr>
        <w:t>وآخرون، 2021</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إلى أن البرامج الترفيهية تسعى إلى تحقيق الإدماج التنظيمي، ومنح العمل معنىً، وتعزيز شعور العاملين بأنهم جزء من كيان أكبر يهتم بإنسانيتهم لا بإنتاجيتهم فقط، إضافة إلى تخفيف حدة التوترات الناشئة عن الاختلافات بين الفئات داخل المنظمة</w:t>
      </w:r>
      <w:r w:rsidRPr="000007C7">
        <w:rPr>
          <w:rFonts w:ascii="Simplified Arabic" w:eastAsia="Times New Roman" w:hAnsi="Simplified Arabic" w:cs="Simplified Arabic"/>
          <w:color w:val="000000" w:themeColor="text1"/>
          <w:kern w:val="0"/>
          <w:sz w:val="28"/>
          <w:szCs w:val="28"/>
          <w14:ligatures w14:val="none"/>
        </w:rPr>
        <w:t>.</w:t>
      </w:r>
    </w:p>
    <w:p w14:paraId="1844AD3F" w14:textId="77777777" w:rsidR="002142FF" w:rsidRPr="000007C7" w:rsidRDefault="002142FF" w:rsidP="005D55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سابعًا: يُحدّد</w:t>
      </w:r>
      <w:r w:rsidRPr="000007C7">
        <w:rPr>
          <w:rFonts w:ascii="Simplified Arabic" w:eastAsia="Times New Roman" w:hAnsi="Simplified Arabic" w:cs="Simplified Arabic"/>
          <w:color w:val="000000" w:themeColor="text1"/>
          <w:kern w:val="0"/>
          <w:sz w:val="28"/>
          <w:szCs w:val="28"/>
          <w14:ligatures w14:val="none"/>
        </w:rPr>
        <w:t xml:space="preserve"> (Fern</w:t>
      </w:r>
      <w:r w:rsidRPr="000007C7">
        <w:rPr>
          <w:rFonts w:ascii="Cambria" w:eastAsia="Times New Roman" w:hAnsi="Cambria" w:cs="Cambria"/>
          <w:color w:val="000000" w:themeColor="text1"/>
          <w:kern w:val="0"/>
          <w:sz w:val="28"/>
          <w:szCs w:val="28"/>
          <w14:ligatures w14:val="none"/>
        </w:rPr>
        <w:t>á</w:t>
      </w:r>
      <w:r w:rsidRPr="000007C7">
        <w:rPr>
          <w:rFonts w:ascii="Simplified Arabic" w:eastAsia="Times New Roman" w:hAnsi="Simplified Arabic" w:cs="Simplified Arabic"/>
          <w:color w:val="000000" w:themeColor="text1"/>
          <w:kern w:val="0"/>
          <w:sz w:val="28"/>
          <w:szCs w:val="28"/>
          <w14:ligatures w14:val="none"/>
        </w:rPr>
        <w:t xml:space="preserve">ndez-Salinero </w:t>
      </w:r>
      <w:r w:rsidRPr="000007C7">
        <w:rPr>
          <w:rFonts w:ascii="Simplified Arabic" w:eastAsia="Times New Roman" w:hAnsi="Simplified Arabic" w:cs="Simplified Arabic"/>
          <w:color w:val="000000" w:themeColor="text1"/>
          <w:kern w:val="0"/>
          <w:sz w:val="28"/>
          <w:szCs w:val="28"/>
          <w:rtl/>
          <w14:ligatures w14:val="none"/>
        </w:rPr>
        <w:t>وآخرون، 2023</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أهداف البرامج ذات الطابع الترفيهي–الصحي في تحسين الصحة العامة للعاملين، وتقليل العادات الضارة المرتبطة بنمط الحياة الوظيفي، ورفع مستوى النشاط البدني، فضلًا عن تعزيز الوعي بأهمية الوقاية الصحية في مقابل التدخل العلاجي</w:t>
      </w:r>
      <w:r w:rsidRPr="000007C7">
        <w:rPr>
          <w:rFonts w:ascii="Simplified Arabic" w:eastAsia="Times New Roman" w:hAnsi="Simplified Arabic" w:cs="Simplified Arabic"/>
          <w:color w:val="000000" w:themeColor="text1"/>
          <w:kern w:val="0"/>
          <w:sz w:val="28"/>
          <w:szCs w:val="28"/>
          <w14:ligatures w14:val="none"/>
        </w:rPr>
        <w:t>.</w:t>
      </w:r>
    </w:p>
    <w:p w14:paraId="1DB71531" w14:textId="77777777" w:rsidR="002142FF" w:rsidRPr="000007C7" w:rsidRDefault="002142FF" w:rsidP="005D55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lastRenderedPageBreak/>
        <w:t>ثامنًا: يرى</w:t>
      </w:r>
      <w:r w:rsidRPr="000007C7">
        <w:rPr>
          <w:rFonts w:ascii="Simplified Arabic" w:eastAsia="Times New Roman" w:hAnsi="Simplified Arabic" w:cs="Simplified Arabic"/>
          <w:color w:val="000000" w:themeColor="text1"/>
          <w:kern w:val="0"/>
          <w:sz w:val="28"/>
          <w:szCs w:val="28"/>
          <w14:ligatures w14:val="none"/>
        </w:rPr>
        <w:t xml:space="preserve"> (Garc</w:t>
      </w:r>
      <w:r w:rsidRPr="000007C7">
        <w:rPr>
          <w:rFonts w:ascii="Cambria" w:eastAsia="Times New Roman" w:hAnsi="Cambria" w:cs="Cambria"/>
          <w:color w:val="000000" w:themeColor="text1"/>
          <w:kern w:val="0"/>
          <w:sz w:val="28"/>
          <w:szCs w:val="28"/>
          <w14:ligatures w14:val="none"/>
        </w:rPr>
        <w:t>í</w:t>
      </w:r>
      <w:r w:rsidRPr="000007C7">
        <w:rPr>
          <w:rFonts w:ascii="Simplified Arabic" w:eastAsia="Times New Roman" w:hAnsi="Simplified Arabic" w:cs="Simplified Arabic"/>
          <w:color w:val="000000" w:themeColor="text1"/>
          <w:kern w:val="0"/>
          <w:sz w:val="28"/>
          <w:szCs w:val="28"/>
          <w14:ligatures w14:val="none"/>
        </w:rPr>
        <w:t xml:space="preserve">a-Carbonell </w:t>
      </w:r>
      <w:r w:rsidRPr="000007C7">
        <w:rPr>
          <w:rFonts w:ascii="Simplified Arabic" w:eastAsia="Times New Roman" w:hAnsi="Simplified Arabic" w:cs="Simplified Arabic"/>
          <w:color w:val="000000" w:themeColor="text1"/>
          <w:kern w:val="0"/>
          <w:sz w:val="28"/>
          <w:szCs w:val="28"/>
          <w:rtl/>
          <w14:ligatures w14:val="none"/>
        </w:rPr>
        <w:t>وآخرون، 2024</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أن البرامج الترفيهية تستهدف تعزيز الدعم التنظيمي المُدرَك، وبناء علاقة تبادلية بين المنظمة والعاملين تُترجم في صورة التزام أعلى وأداء أرفع، إلى جانب ترسيخ مفهوم الاستدامة في إدارة الموارد البشرية بدمج البعد الإنساني في صلب القرار الإداري</w:t>
      </w:r>
      <w:r w:rsidRPr="000007C7">
        <w:rPr>
          <w:rFonts w:ascii="Simplified Arabic" w:eastAsia="Times New Roman" w:hAnsi="Simplified Arabic" w:cs="Simplified Arabic"/>
          <w:color w:val="000000" w:themeColor="text1"/>
          <w:kern w:val="0"/>
          <w:sz w:val="28"/>
          <w:szCs w:val="28"/>
          <w14:ligatures w14:val="none"/>
        </w:rPr>
        <w:t>.</w:t>
      </w:r>
    </w:p>
    <w:p w14:paraId="13B4C156" w14:textId="77777777" w:rsidR="002142FF" w:rsidRPr="000007C7" w:rsidRDefault="002142FF" w:rsidP="005D55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تاسعًا: يُضيف (خليفي، 2025) أن الأنشطة الترفيهية الجماعية تستهدف تنمية مهارات التواصل الاجتماعي، وبناء قدرات الأفراد على العمل ضمن فِرَق، وهي مهارات تنعكس بصورة مباشرة على بيئة العمل حين يُعاد توظيفها في السياق المهني. أما (مانع وبوهراوة، 2021) فيُشير إلى أن من أهداف هذه البرامج تحفيز السعادة الوظيفية بوصفها حالة وجدانية مستقرة تُغذّي الأداء وتمنح العامل قدرة على تحمّل ضغوط المهام</w:t>
      </w:r>
      <w:r w:rsidRPr="000007C7">
        <w:rPr>
          <w:rFonts w:ascii="Simplified Arabic" w:eastAsia="Times New Roman" w:hAnsi="Simplified Arabic" w:cs="Simplified Arabic"/>
          <w:color w:val="000000" w:themeColor="text1"/>
          <w:kern w:val="0"/>
          <w:sz w:val="28"/>
          <w:szCs w:val="28"/>
          <w14:ligatures w14:val="none"/>
        </w:rPr>
        <w:t>.</w:t>
      </w:r>
    </w:p>
    <w:p w14:paraId="1869AD21" w14:textId="35EBB915" w:rsidR="002142FF" w:rsidRPr="000007C7" w:rsidRDefault="005D553B" w:rsidP="005D553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6" w:name="_Toc233737567"/>
      <w:r w:rsidRPr="000007C7">
        <w:rPr>
          <w:rFonts w:ascii="Simplified Arabic" w:eastAsia="Times New Roman" w:hAnsi="Simplified Arabic" w:cs="Simplified Arabic" w:hint="cs"/>
          <w:b/>
          <w:bCs/>
          <w:color w:val="000000" w:themeColor="text1"/>
          <w:kern w:val="0"/>
          <w:sz w:val="32"/>
          <w:szCs w:val="32"/>
          <w:rtl/>
          <w14:ligatures w14:val="none"/>
        </w:rPr>
        <w:t>5.1.2</w:t>
      </w:r>
      <w:r w:rsidR="002142FF" w:rsidRPr="000007C7">
        <w:rPr>
          <w:rFonts w:ascii="Simplified Arabic" w:eastAsia="Times New Roman" w:hAnsi="Simplified Arabic" w:cs="Simplified Arabic"/>
          <w:b/>
          <w:bCs/>
          <w:color w:val="000000" w:themeColor="text1"/>
          <w:kern w:val="0"/>
          <w:sz w:val="32"/>
          <w:szCs w:val="32"/>
          <w:rtl/>
          <w14:ligatures w14:val="none"/>
        </w:rPr>
        <w:t xml:space="preserve"> أبعاد البرامج الترفيهية في بيئة العمل</w:t>
      </w:r>
      <w:bookmarkEnd w:id="36"/>
    </w:p>
    <w:p w14:paraId="292376E6" w14:textId="77777777" w:rsidR="002142FF" w:rsidRPr="000007C7" w:rsidRDefault="002142FF" w:rsidP="005D55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تم تحديد أبعاد البرامج الترفيهية في بيئة العمل في هذه الدراسة استنادًا إلى ما طرحه</w:t>
      </w:r>
      <w:r w:rsidRPr="000007C7">
        <w:rPr>
          <w:rFonts w:ascii="Simplified Arabic" w:eastAsia="Times New Roman" w:hAnsi="Simplified Arabic" w:cs="Simplified Arabic"/>
          <w:color w:val="000000" w:themeColor="text1"/>
          <w:kern w:val="0"/>
          <w:sz w:val="28"/>
          <w:szCs w:val="28"/>
          <w14:ligatures w14:val="none"/>
        </w:rPr>
        <w:t xml:space="preserve"> (Mercano</w:t>
      </w:r>
      <w:r w:rsidRPr="000007C7">
        <w:rPr>
          <w:rFonts w:ascii="Cambria" w:eastAsia="Times New Roman" w:hAnsi="Cambria" w:cs="Cambria"/>
          <w:color w:val="000000" w:themeColor="text1"/>
          <w:kern w:val="0"/>
          <w:sz w:val="28"/>
          <w:szCs w:val="28"/>
          <w14:ligatures w14:val="none"/>
        </w:rPr>
        <w:t>ğ</w:t>
      </w:r>
      <w:r w:rsidRPr="000007C7">
        <w:rPr>
          <w:rFonts w:ascii="Simplified Arabic" w:eastAsia="Times New Roman" w:hAnsi="Simplified Arabic" w:cs="Simplified Arabic"/>
          <w:color w:val="000000" w:themeColor="text1"/>
          <w:kern w:val="0"/>
          <w:sz w:val="28"/>
          <w:szCs w:val="28"/>
          <w14:ligatures w14:val="none"/>
        </w:rPr>
        <w:t xml:space="preserve">lu &amp; </w:t>
      </w:r>
      <w:r w:rsidRPr="000007C7">
        <w:rPr>
          <w:rFonts w:ascii="Cambria" w:eastAsia="Times New Roman" w:hAnsi="Cambria" w:cs="Cambria"/>
          <w:color w:val="000000" w:themeColor="text1"/>
          <w:kern w:val="0"/>
          <w:sz w:val="28"/>
          <w:szCs w:val="28"/>
          <w14:ligatures w14:val="none"/>
        </w:rPr>
        <w:t>Ş</w:t>
      </w:r>
      <w:r w:rsidRPr="000007C7">
        <w:rPr>
          <w:rFonts w:ascii="Simplified Arabic" w:eastAsia="Times New Roman" w:hAnsi="Simplified Arabic" w:cs="Simplified Arabic"/>
          <w:color w:val="000000" w:themeColor="text1"/>
          <w:kern w:val="0"/>
          <w:sz w:val="28"/>
          <w:szCs w:val="28"/>
          <w14:ligatures w14:val="none"/>
        </w:rPr>
        <w:t>im</w:t>
      </w:r>
      <w:r w:rsidRPr="000007C7">
        <w:rPr>
          <w:rFonts w:ascii="Cambria" w:eastAsia="Times New Roman" w:hAnsi="Cambria" w:cs="Cambria"/>
          <w:color w:val="000000" w:themeColor="text1"/>
          <w:kern w:val="0"/>
          <w:sz w:val="28"/>
          <w:szCs w:val="28"/>
          <w14:ligatures w14:val="none"/>
        </w:rPr>
        <w:t>ş</w:t>
      </w:r>
      <w:r w:rsidRPr="000007C7">
        <w:rPr>
          <w:rFonts w:ascii="Simplified Arabic" w:eastAsia="Times New Roman" w:hAnsi="Simplified Arabic" w:cs="Simplified Arabic"/>
          <w:color w:val="000000" w:themeColor="text1"/>
          <w:kern w:val="0"/>
          <w:sz w:val="28"/>
          <w:szCs w:val="28"/>
          <w14:ligatures w14:val="none"/>
        </w:rPr>
        <w:t xml:space="preserve">ek, 2023) </w:t>
      </w:r>
      <w:r w:rsidRPr="000007C7">
        <w:rPr>
          <w:rFonts w:ascii="Simplified Arabic" w:eastAsia="Times New Roman" w:hAnsi="Simplified Arabic" w:cs="Simplified Arabic"/>
          <w:color w:val="000000" w:themeColor="text1"/>
          <w:kern w:val="0"/>
          <w:sz w:val="28"/>
          <w:szCs w:val="28"/>
          <w:rtl/>
          <w14:ligatures w14:val="none"/>
        </w:rPr>
        <w:t>و</w:t>
      </w:r>
      <w:r w:rsidRPr="000007C7">
        <w:rPr>
          <w:rFonts w:ascii="Simplified Arabic" w:eastAsia="Times New Roman" w:hAnsi="Simplified Arabic" w:cs="Simplified Arabic"/>
          <w:color w:val="000000" w:themeColor="text1"/>
          <w:kern w:val="0"/>
          <w:sz w:val="28"/>
          <w:szCs w:val="28"/>
          <w14:ligatures w14:val="none"/>
        </w:rPr>
        <w:t>(Fern</w:t>
      </w:r>
      <w:r w:rsidRPr="000007C7">
        <w:rPr>
          <w:rFonts w:ascii="Cambria" w:eastAsia="Times New Roman" w:hAnsi="Cambria" w:cs="Cambria"/>
          <w:color w:val="000000" w:themeColor="text1"/>
          <w:kern w:val="0"/>
          <w:sz w:val="28"/>
          <w:szCs w:val="28"/>
          <w14:ligatures w14:val="none"/>
        </w:rPr>
        <w:t>á</w:t>
      </w:r>
      <w:r w:rsidRPr="000007C7">
        <w:rPr>
          <w:rFonts w:ascii="Simplified Arabic" w:eastAsia="Times New Roman" w:hAnsi="Simplified Arabic" w:cs="Simplified Arabic"/>
          <w:color w:val="000000" w:themeColor="text1"/>
          <w:kern w:val="0"/>
          <w:sz w:val="28"/>
          <w:szCs w:val="28"/>
          <w14:ligatures w14:val="none"/>
        </w:rPr>
        <w:t xml:space="preserve">ndez-Salinero </w:t>
      </w:r>
      <w:r w:rsidRPr="000007C7">
        <w:rPr>
          <w:rFonts w:ascii="Simplified Arabic" w:eastAsia="Times New Roman" w:hAnsi="Simplified Arabic" w:cs="Simplified Arabic"/>
          <w:color w:val="000000" w:themeColor="text1"/>
          <w:kern w:val="0"/>
          <w:sz w:val="28"/>
          <w:szCs w:val="28"/>
          <w:rtl/>
          <w14:ligatures w14:val="none"/>
        </w:rPr>
        <w:t>وآخرون، 2023) و</w:t>
      </w:r>
      <w:r w:rsidRPr="000007C7">
        <w:rPr>
          <w:rFonts w:ascii="Simplified Arabic" w:eastAsia="Times New Roman" w:hAnsi="Simplified Arabic" w:cs="Simplified Arabic"/>
          <w:color w:val="000000" w:themeColor="text1"/>
          <w:kern w:val="0"/>
          <w:sz w:val="28"/>
          <w:szCs w:val="28"/>
          <w14:ligatures w14:val="none"/>
        </w:rPr>
        <w:t>(Yang &amp; Chen, 2023)</w:t>
      </w:r>
      <w:r w:rsidRPr="000007C7">
        <w:rPr>
          <w:rFonts w:ascii="Simplified Arabic" w:eastAsia="Times New Roman" w:hAnsi="Simplified Arabic" w:cs="Simplified Arabic"/>
          <w:color w:val="000000" w:themeColor="text1"/>
          <w:kern w:val="0"/>
          <w:sz w:val="28"/>
          <w:szCs w:val="28"/>
          <w:rtl/>
          <w14:ligatures w14:val="none"/>
        </w:rPr>
        <w:t>، مع الاسترشاد بالتوجهات التي قدّمها</w:t>
      </w:r>
      <w:r w:rsidRPr="000007C7">
        <w:rPr>
          <w:rFonts w:ascii="Simplified Arabic" w:eastAsia="Times New Roman" w:hAnsi="Simplified Arabic" w:cs="Simplified Arabic"/>
          <w:color w:val="000000" w:themeColor="text1"/>
          <w:kern w:val="0"/>
          <w:sz w:val="28"/>
          <w:szCs w:val="28"/>
          <w14:ligatures w14:val="none"/>
        </w:rPr>
        <w:t xml:space="preserve"> (Jyoti &amp; Dimple, 2022) </w:t>
      </w:r>
      <w:r w:rsidRPr="000007C7">
        <w:rPr>
          <w:rFonts w:ascii="Simplified Arabic" w:eastAsia="Times New Roman" w:hAnsi="Simplified Arabic" w:cs="Simplified Arabic"/>
          <w:color w:val="000000" w:themeColor="text1"/>
          <w:kern w:val="0"/>
          <w:sz w:val="28"/>
          <w:szCs w:val="28"/>
          <w:rtl/>
          <w14:ligatures w14:val="none"/>
        </w:rPr>
        <w:t>و(فتيحي ونصيف، 2025)، بحيث تكاملت هذه المداخل في صياغة أربعة أبعاد رئيسية تتغطى بها مختلف صور البرامج الترفيهية المعاصرة، وهي: الأنشطة الرياضية والبدنية، والفعاليات الاجتماعية والثقافية، وبرامج الاسترخاء وإدارة الضغوط، والأنشطة الترفيهية الرقمية والإبداعية</w:t>
      </w:r>
      <w:r w:rsidRPr="000007C7">
        <w:rPr>
          <w:rFonts w:ascii="Simplified Arabic" w:eastAsia="Times New Roman" w:hAnsi="Simplified Arabic" w:cs="Simplified Arabic"/>
          <w:color w:val="000000" w:themeColor="text1"/>
          <w:kern w:val="0"/>
          <w:sz w:val="28"/>
          <w:szCs w:val="28"/>
          <w14:ligatures w14:val="none"/>
        </w:rPr>
        <w:t>.</w:t>
      </w:r>
    </w:p>
    <w:p w14:paraId="509519F7" w14:textId="77777777" w:rsidR="002142FF" w:rsidRPr="000007C7" w:rsidRDefault="002142FF" w:rsidP="00CF335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007C7">
        <w:rPr>
          <w:rFonts w:ascii="Simplified Arabic" w:eastAsia="Times New Roman" w:hAnsi="Simplified Arabic" w:cs="Simplified Arabic"/>
          <w:b/>
          <w:bCs/>
          <w:color w:val="000000" w:themeColor="text1"/>
          <w:kern w:val="0"/>
          <w:sz w:val="28"/>
          <w:szCs w:val="28"/>
          <w:rtl/>
          <w14:ligatures w14:val="none"/>
        </w:rPr>
        <w:t>البُعد الأول: الأنشطة الرياضية والبدنية</w:t>
      </w:r>
    </w:p>
    <w:p w14:paraId="0311EC5B" w14:textId="77777777" w:rsidR="002142FF" w:rsidRPr="000007C7" w:rsidRDefault="002142FF" w:rsidP="005D55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يتناول هذا البُعد ما تُنظّمه المنظمة من ممارسات بدنية ورياضية تستهدف تحسين اللياقة العامة للعاملين وتعزيز نشاطهم الحركي خلال يوم العمل وخارجه. ويُمثّل هذا البُعد الركيزة الجسدية في منظومة البرامج الترفيهية، إذ يتعامل مع الجسد بوصفه شريكًا للعقل في إنجاز المهام، لا مجرد وعاء له. ويبيّن</w:t>
      </w:r>
      <w:r w:rsidRPr="000007C7">
        <w:rPr>
          <w:rFonts w:ascii="Simplified Arabic" w:eastAsia="Times New Roman" w:hAnsi="Simplified Arabic" w:cs="Simplified Arabic"/>
          <w:color w:val="000000" w:themeColor="text1"/>
          <w:kern w:val="0"/>
          <w:sz w:val="28"/>
          <w:szCs w:val="28"/>
          <w14:ligatures w14:val="none"/>
        </w:rPr>
        <w:t xml:space="preserve"> (Fern</w:t>
      </w:r>
      <w:r w:rsidRPr="000007C7">
        <w:rPr>
          <w:rFonts w:ascii="Cambria" w:eastAsia="Times New Roman" w:hAnsi="Cambria" w:cs="Cambria"/>
          <w:color w:val="000000" w:themeColor="text1"/>
          <w:kern w:val="0"/>
          <w:sz w:val="28"/>
          <w:szCs w:val="28"/>
          <w14:ligatures w14:val="none"/>
        </w:rPr>
        <w:t>á</w:t>
      </w:r>
      <w:r w:rsidRPr="000007C7">
        <w:rPr>
          <w:rFonts w:ascii="Simplified Arabic" w:eastAsia="Times New Roman" w:hAnsi="Simplified Arabic" w:cs="Simplified Arabic"/>
          <w:color w:val="000000" w:themeColor="text1"/>
          <w:kern w:val="0"/>
          <w:sz w:val="28"/>
          <w:szCs w:val="28"/>
          <w14:ligatures w14:val="none"/>
        </w:rPr>
        <w:t xml:space="preserve">ndez-Salinero </w:t>
      </w:r>
      <w:r w:rsidRPr="000007C7">
        <w:rPr>
          <w:rFonts w:ascii="Simplified Arabic" w:eastAsia="Times New Roman" w:hAnsi="Simplified Arabic" w:cs="Simplified Arabic"/>
          <w:color w:val="000000" w:themeColor="text1"/>
          <w:kern w:val="0"/>
          <w:sz w:val="28"/>
          <w:szCs w:val="28"/>
          <w:rtl/>
          <w14:ligatures w14:val="none"/>
        </w:rPr>
        <w:t>وآخرون، 2023</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 xml:space="preserve">أن البرامج المُتمحورة حول النشاط البدني تنطوي على فوائد متعددة الأبعاد، تمتد من تحسين المؤشرات الصحية الفسيولوجية إلى تعزيز اليقظة الذهنية والقدرة على ضبط الانفعالات، بما يجعلها استثمارًا متعدد العوائد. وتأخذ هذه الأنشطة صورًا متنوعة تشمل تخصيص قاعات للياقة داخل مقر المنظمة، وتنظيم فِرَق رياضية تمثّل أقسام العمل المختلفة، وإقامة </w:t>
      </w:r>
      <w:r w:rsidRPr="000007C7">
        <w:rPr>
          <w:rFonts w:ascii="Simplified Arabic" w:eastAsia="Times New Roman" w:hAnsi="Simplified Arabic" w:cs="Simplified Arabic"/>
          <w:color w:val="000000" w:themeColor="text1"/>
          <w:kern w:val="0"/>
          <w:sz w:val="28"/>
          <w:szCs w:val="28"/>
          <w:rtl/>
          <w14:ligatures w14:val="none"/>
        </w:rPr>
        <w:lastRenderedPageBreak/>
        <w:t>بطولات داخلية أو خارجية، وتوفير اشتراكات في النوادي الرياضية، فضلًا عن إدماج فترات النشاط البدني القصير ضمن جدول العمل اليومي</w:t>
      </w:r>
      <w:r w:rsidRPr="000007C7">
        <w:rPr>
          <w:rFonts w:ascii="Simplified Arabic" w:eastAsia="Times New Roman" w:hAnsi="Simplified Arabic" w:cs="Simplified Arabic"/>
          <w:color w:val="000000" w:themeColor="text1"/>
          <w:kern w:val="0"/>
          <w:sz w:val="28"/>
          <w:szCs w:val="28"/>
          <w14:ligatures w14:val="none"/>
        </w:rPr>
        <w:t>.</w:t>
      </w:r>
    </w:p>
    <w:p w14:paraId="61A50771" w14:textId="77777777" w:rsidR="002142FF" w:rsidRPr="000007C7" w:rsidRDefault="002142FF" w:rsidP="005D55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ويُشير</w:t>
      </w:r>
      <w:r w:rsidRPr="000007C7">
        <w:rPr>
          <w:rFonts w:ascii="Simplified Arabic" w:eastAsia="Times New Roman" w:hAnsi="Simplified Arabic" w:cs="Simplified Arabic"/>
          <w:color w:val="000000" w:themeColor="text1"/>
          <w:kern w:val="0"/>
          <w:sz w:val="28"/>
          <w:szCs w:val="28"/>
          <w14:ligatures w14:val="none"/>
        </w:rPr>
        <w:t xml:space="preserve"> (Mercano</w:t>
      </w:r>
      <w:r w:rsidRPr="000007C7">
        <w:rPr>
          <w:rFonts w:ascii="Cambria" w:eastAsia="Times New Roman" w:hAnsi="Cambria" w:cs="Cambria"/>
          <w:color w:val="000000" w:themeColor="text1"/>
          <w:kern w:val="0"/>
          <w:sz w:val="28"/>
          <w:szCs w:val="28"/>
          <w14:ligatures w14:val="none"/>
        </w:rPr>
        <w:t>ğ</w:t>
      </w:r>
      <w:r w:rsidRPr="000007C7">
        <w:rPr>
          <w:rFonts w:ascii="Simplified Arabic" w:eastAsia="Times New Roman" w:hAnsi="Simplified Arabic" w:cs="Simplified Arabic"/>
          <w:color w:val="000000" w:themeColor="text1"/>
          <w:kern w:val="0"/>
          <w:sz w:val="28"/>
          <w:szCs w:val="28"/>
          <w14:ligatures w14:val="none"/>
        </w:rPr>
        <w:t xml:space="preserve">lu &amp; </w:t>
      </w:r>
      <w:r w:rsidRPr="000007C7">
        <w:rPr>
          <w:rFonts w:ascii="Cambria" w:eastAsia="Times New Roman" w:hAnsi="Cambria" w:cs="Cambria"/>
          <w:color w:val="000000" w:themeColor="text1"/>
          <w:kern w:val="0"/>
          <w:sz w:val="28"/>
          <w:szCs w:val="28"/>
          <w14:ligatures w14:val="none"/>
        </w:rPr>
        <w:t>Ş</w:t>
      </w:r>
      <w:r w:rsidRPr="000007C7">
        <w:rPr>
          <w:rFonts w:ascii="Simplified Arabic" w:eastAsia="Times New Roman" w:hAnsi="Simplified Arabic" w:cs="Simplified Arabic"/>
          <w:color w:val="000000" w:themeColor="text1"/>
          <w:kern w:val="0"/>
          <w:sz w:val="28"/>
          <w:szCs w:val="28"/>
          <w14:ligatures w14:val="none"/>
        </w:rPr>
        <w:t>im</w:t>
      </w:r>
      <w:r w:rsidRPr="000007C7">
        <w:rPr>
          <w:rFonts w:ascii="Cambria" w:eastAsia="Times New Roman" w:hAnsi="Cambria" w:cs="Cambria"/>
          <w:color w:val="000000" w:themeColor="text1"/>
          <w:kern w:val="0"/>
          <w:sz w:val="28"/>
          <w:szCs w:val="28"/>
          <w14:ligatures w14:val="none"/>
        </w:rPr>
        <w:t>ş</w:t>
      </w:r>
      <w:r w:rsidRPr="000007C7">
        <w:rPr>
          <w:rFonts w:ascii="Simplified Arabic" w:eastAsia="Times New Roman" w:hAnsi="Simplified Arabic" w:cs="Simplified Arabic"/>
          <w:color w:val="000000" w:themeColor="text1"/>
          <w:kern w:val="0"/>
          <w:sz w:val="28"/>
          <w:szCs w:val="28"/>
          <w14:ligatures w14:val="none"/>
        </w:rPr>
        <w:t xml:space="preserve">ek, 2023) </w:t>
      </w:r>
      <w:r w:rsidRPr="000007C7">
        <w:rPr>
          <w:rFonts w:ascii="Simplified Arabic" w:eastAsia="Times New Roman" w:hAnsi="Simplified Arabic" w:cs="Simplified Arabic"/>
          <w:color w:val="000000" w:themeColor="text1"/>
          <w:kern w:val="0"/>
          <w:sz w:val="28"/>
          <w:szCs w:val="28"/>
          <w:rtl/>
          <w14:ligatures w14:val="none"/>
        </w:rPr>
        <w:t>إلى أن الأنشطة الرياضية تتجاوز وظيفتها البدنية إلى وظيفة اجتماعية، إذ تكسر الحواجز الهرمية بين المستويات الإدارية المختلفة، وتُهيّئ سياقات غير رسمية للتفاعل تنعكس لاحقًا على مناخ العمل. كما أن انتظام هذه الأنشطة يُسهم في بناء عادات صحية مستدامة لدى العاملين، تخفّف من الأعراض المرتبطة بنمط الحياة المكتبي كآلام الظهر والإجهاد البصري وارتفاع مؤشرات التوتر. وعلى مستوى المخرجات التنظيمية، يُسهم هذا البُعد في تقليل معدلات الغياب المرضي، ورفع مستوى الطاقة المتاحة للإنجاز، وتعزيز صورة المنظمة بوصفها رب عمل يهتم بسلامة موظفيه، وهي صورة تُترجَم في القدرة على استقطاب المواهب والاحتفاظ بها</w:t>
      </w:r>
      <w:r w:rsidRPr="000007C7">
        <w:rPr>
          <w:rFonts w:ascii="Simplified Arabic" w:eastAsia="Times New Roman" w:hAnsi="Simplified Arabic" w:cs="Simplified Arabic"/>
          <w:color w:val="000000" w:themeColor="text1"/>
          <w:kern w:val="0"/>
          <w:sz w:val="28"/>
          <w:szCs w:val="28"/>
          <w14:ligatures w14:val="none"/>
        </w:rPr>
        <w:t>.</w:t>
      </w:r>
    </w:p>
    <w:p w14:paraId="131B7696" w14:textId="77777777" w:rsidR="002142FF" w:rsidRPr="000007C7" w:rsidRDefault="002142FF" w:rsidP="00CF335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007C7">
        <w:rPr>
          <w:rFonts w:ascii="Simplified Arabic" w:eastAsia="Times New Roman" w:hAnsi="Simplified Arabic" w:cs="Simplified Arabic"/>
          <w:b/>
          <w:bCs/>
          <w:color w:val="000000" w:themeColor="text1"/>
          <w:kern w:val="0"/>
          <w:sz w:val="28"/>
          <w:szCs w:val="28"/>
          <w:rtl/>
          <w14:ligatures w14:val="none"/>
        </w:rPr>
        <w:t>البُعد الثاني: الفعاليات الاجتماعية والثقافية</w:t>
      </w:r>
    </w:p>
    <w:p w14:paraId="1FA11EA1" w14:textId="77777777" w:rsidR="002142FF" w:rsidRPr="000007C7" w:rsidRDefault="002142FF" w:rsidP="005D55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يتمحور هذا البُعد حول الأنشطة التي تستهدف بناء روابط اجتماعية متينة بين العاملين، وتعزيز الهوية الثقافية للمنظمة، وإثراء التجربة الإنسانية في فضاء العمل. ويتعامل هذا البُعد مع الإنسان بوصفه كائنًا اجتماعيًا بطبيعته، يحتاج إلى ما يُلبّي حاجاته للانتماء والتقدير والتعبير الثقافي، وهي حاجات لا تستوفيها العلاقات الرسمية وحدها. ويُبيّن</w:t>
      </w:r>
      <w:r w:rsidRPr="000007C7">
        <w:rPr>
          <w:rFonts w:ascii="Simplified Arabic" w:eastAsia="Times New Roman" w:hAnsi="Simplified Arabic" w:cs="Simplified Arabic"/>
          <w:color w:val="000000" w:themeColor="text1"/>
          <w:kern w:val="0"/>
          <w:sz w:val="28"/>
          <w:szCs w:val="28"/>
          <w14:ligatures w14:val="none"/>
        </w:rPr>
        <w:t xml:space="preserve"> (Jyoti &amp; Dimple, 2022) </w:t>
      </w:r>
      <w:r w:rsidRPr="000007C7">
        <w:rPr>
          <w:rFonts w:ascii="Simplified Arabic" w:eastAsia="Times New Roman" w:hAnsi="Simplified Arabic" w:cs="Simplified Arabic"/>
          <w:color w:val="000000" w:themeColor="text1"/>
          <w:kern w:val="0"/>
          <w:sz w:val="28"/>
          <w:szCs w:val="28"/>
          <w:rtl/>
          <w14:ligatures w14:val="none"/>
        </w:rPr>
        <w:t>أن المرح المُولَّد عبر الفعاليات الاجتماعية يُمثّل أرضية خصبة لبناء التماسك الجماعي، وتحويل مجموعات الأفراد العاملين إلى فرق متماسكة تجمعها روابط وجدانية تتجاوز حدود المهام المشتركة</w:t>
      </w:r>
      <w:r w:rsidRPr="000007C7">
        <w:rPr>
          <w:rFonts w:ascii="Simplified Arabic" w:eastAsia="Times New Roman" w:hAnsi="Simplified Arabic" w:cs="Simplified Arabic"/>
          <w:color w:val="000000" w:themeColor="text1"/>
          <w:kern w:val="0"/>
          <w:sz w:val="28"/>
          <w:szCs w:val="28"/>
          <w14:ligatures w14:val="none"/>
        </w:rPr>
        <w:t>.</w:t>
      </w:r>
    </w:p>
    <w:p w14:paraId="0320BA91" w14:textId="77777777" w:rsidR="002142FF" w:rsidRPr="000007C7" w:rsidRDefault="002142FF" w:rsidP="005D55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وتتعدد صور هذا البُعد لتشمل الاحتفالات بالمناسبات الوطنية والدينية، وحفلات تكريم المتميزين، وملتقيات العائلة التي تجمع أسر العاملين، والرحلات الجماعية، والمسابقات الثقافية، والمعارض الفنية الداخلية، وأمسيات الشعر والموسيقى، والأنشطة التطوعية المجتمعية التي تنظّمها المنظمة بمشاركة موظفيها. ويرى</w:t>
      </w:r>
      <w:r w:rsidRPr="000007C7">
        <w:rPr>
          <w:rFonts w:ascii="Simplified Arabic" w:eastAsia="Times New Roman" w:hAnsi="Simplified Arabic" w:cs="Simplified Arabic"/>
          <w:color w:val="000000" w:themeColor="text1"/>
          <w:kern w:val="0"/>
          <w:sz w:val="28"/>
          <w:szCs w:val="28"/>
          <w14:ligatures w14:val="none"/>
        </w:rPr>
        <w:t xml:space="preserve"> (Mousa </w:t>
      </w:r>
      <w:r w:rsidRPr="000007C7">
        <w:rPr>
          <w:rFonts w:ascii="Simplified Arabic" w:eastAsia="Times New Roman" w:hAnsi="Simplified Arabic" w:cs="Simplified Arabic"/>
          <w:color w:val="000000" w:themeColor="text1"/>
          <w:kern w:val="0"/>
          <w:sz w:val="28"/>
          <w:szCs w:val="28"/>
          <w:rtl/>
          <w14:ligatures w14:val="none"/>
        </w:rPr>
        <w:t>وآخرون، 2021</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أن هذه الفعاليات تكتسب أهمية مضاعفة في البيئات المتنوعة، حيث تُسهم في تجسير الفجوات بين العاملين على اختلاف خلفياتهم الثقافية والاجتماعية، وتمنحهم مساحات مشتركة للتعبير عن هوياتهم دون شعور بالإقصاء. ويتقاطع هذا البُعد مع ما طرحه (خليفي، 2025) حول دور الأنشطة الجماعية في تنمية مهارات التواصل الاجتماعي، وهي مهارات تُستثمر لاحقًا في تحسين جودة التفاعل المهني داخل المنظمة</w:t>
      </w:r>
      <w:r w:rsidRPr="000007C7">
        <w:rPr>
          <w:rFonts w:ascii="Simplified Arabic" w:eastAsia="Times New Roman" w:hAnsi="Simplified Arabic" w:cs="Simplified Arabic"/>
          <w:color w:val="000000" w:themeColor="text1"/>
          <w:kern w:val="0"/>
          <w:sz w:val="28"/>
          <w:szCs w:val="28"/>
          <w14:ligatures w14:val="none"/>
        </w:rPr>
        <w:t>.</w:t>
      </w:r>
    </w:p>
    <w:p w14:paraId="19A2095F" w14:textId="77777777" w:rsidR="002142FF" w:rsidRPr="000007C7" w:rsidRDefault="002142FF" w:rsidP="005D55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lastRenderedPageBreak/>
        <w:t>كما يُشير</w:t>
      </w:r>
      <w:r w:rsidRPr="000007C7">
        <w:rPr>
          <w:rFonts w:ascii="Simplified Arabic" w:eastAsia="Times New Roman" w:hAnsi="Simplified Arabic" w:cs="Simplified Arabic"/>
          <w:color w:val="000000" w:themeColor="text1"/>
          <w:kern w:val="0"/>
          <w:sz w:val="28"/>
          <w:szCs w:val="28"/>
          <w14:ligatures w14:val="none"/>
        </w:rPr>
        <w:t xml:space="preserve"> (Lee </w:t>
      </w:r>
      <w:r w:rsidRPr="000007C7">
        <w:rPr>
          <w:rFonts w:ascii="Simplified Arabic" w:eastAsia="Times New Roman" w:hAnsi="Simplified Arabic" w:cs="Simplified Arabic"/>
          <w:color w:val="000000" w:themeColor="text1"/>
          <w:kern w:val="0"/>
          <w:sz w:val="28"/>
          <w:szCs w:val="28"/>
          <w:rtl/>
          <w14:ligatures w14:val="none"/>
        </w:rPr>
        <w:t>وآخرون، 2022</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إلى أن الفعاليات الاجتماعية تُمثّل قناة للتعلم غير الرسمي، إذ تنتقل عبرها المعرفة الضمنية وتُبنى من خلالها شبكات العلاقات المهنية التي تُيسّر تدفق المعلومات وحل المشكلات. وتُسهم هذه الفعاليات في ترسيخ الذاكرة التنظيمية وبناء سرديات مشتركة يستعيدها العاملون في لحظات الضغط، فتعمل بمثابة مرساة وجدانية تربطهم بالمنظمة</w:t>
      </w:r>
      <w:r w:rsidRPr="000007C7">
        <w:rPr>
          <w:rFonts w:ascii="Simplified Arabic" w:eastAsia="Times New Roman" w:hAnsi="Simplified Arabic" w:cs="Simplified Arabic"/>
          <w:color w:val="000000" w:themeColor="text1"/>
          <w:kern w:val="0"/>
          <w:sz w:val="28"/>
          <w:szCs w:val="28"/>
          <w14:ligatures w14:val="none"/>
        </w:rPr>
        <w:t>.</w:t>
      </w:r>
    </w:p>
    <w:p w14:paraId="784E39EF" w14:textId="77777777" w:rsidR="002142FF" w:rsidRPr="000007C7" w:rsidRDefault="002142FF" w:rsidP="00CF335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007C7">
        <w:rPr>
          <w:rFonts w:ascii="Simplified Arabic" w:eastAsia="Times New Roman" w:hAnsi="Simplified Arabic" w:cs="Simplified Arabic"/>
          <w:b/>
          <w:bCs/>
          <w:color w:val="000000" w:themeColor="text1"/>
          <w:kern w:val="0"/>
          <w:sz w:val="28"/>
          <w:szCs w:val="28"/>
          <w:rtl/>
          <w14:ligatures w14:val="none"/>
        </w:rPr>
        <w:t>البُعد الثالث: برامج الاسترخاء وإدارة الضغوط</w:t>
      </w:r>
    </w:p>
    <w:p w14:paraId="6C116E0C" w14:textId="77777777" w:rsidR="002142FF" w:rsidRPr="000007C7" w:rsidRDefault="002142FF" w:rsidP="005D55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يتناول هذا البُعد البرامج المُصمَّمة لمساعدة العاملين على إدارة ضغوط العمل والتعامل مع التوترات النفسية المرتبطة بطبيعة المهام والمواعيد النهائية. ويُمثّل هذا البُعد المعالجة المتقدمة للأثر السلبي للعمل على البنية النفسية للفرد، وينطلق من إدراك أن إنتاجية العامل لا تُقاس بساعات حضوره فحسب، بل بحالته النفسية التي يحضر بها. ويُشير</w:t>
      </w:r>
      <w:r w:rsidRPr="000007C7">
        <w:rPr>
          <w:rFonts w:ascii="Simplified Arabic" w:eastAsia="Times New Roman" w:hAnsi="Simplified Arabic" w:cs="Simplified Arabic"/>
          <w:color w:val="000000" w:themeColor="text1"/>
          <w:kern w:val="0"/>
          <w:sz w:val="28"/>
          <w:szCs w:val="28"/>
          <w14:ligatures w14:val="none"/>
        </w:rPr>
        <w:t xml:space="preserve"> (Tzioti, 2025) </w:t>
      </w:r>
      <w:r w:rsidRPr="000007C7">
        <w:rPr>
          <w:rFonts w:ascii="Simplified Arabic" w:eastAsia="Times New Roman" w:hAnsi="Simplified Arabic" w:cs="Simplified Arabic"/>
          <w:color w:val="000000" w:themeColor="text1"/>
          <w:kern w:val="0"/>
          <w:sz w:val="28"/>
          <w:szCs w:val="28"/>
          <w:rtl/>
          <w14:ligatures w14:val="none"/>
        </w:rPr>
        <w:t>إلى أن برامج إدارة الضغوط تُمثّل خط الدفاع الأول ضد الاحتراق الوظيفي، إذ توفر للعاملين أدوات يستخدمونها لاستعادة توازنهم النفسي قبل أن تتفاقم الأعراض إلى مستويات يصعب علاجها</w:t>
      </w:r>
      <w:r w:rsidRPr="000007C7">
        <w:rPr>
          <w:rFonts w:ascii="Simplified Arabic" w:eastAsia="Times New Roman" w:hAnsi="Simplified Arabic" w:cs="Simplified Arabic"/>
          <w:color w:val="000000" w:themeColor="text1"/>
          <w:kern w:val="0"/>
          <w:sz w:val="28"/>
          <w:szCs w:val="28"/>
          <w14:ligatures w14:val="none"/>
        </w:rPr>
        <w:t>.</w:t>
      </w:r>
    </w:p>
    <w:p w14:paraId="73B7B5AC" w14:textId="77777777" w:rsidR="002142FF" w:rsidRPr="000007C7" w:rsidRDefault="002142FF" w:rsidP="005D55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وتتنوع هذه البرامج لتشمل جلسات اليوغا والتأمل، وغرف الاسترخاء المُخصَّصة داخل بيئة العمل، وبرامج التنفس الواعي، والاستشارات النفسية السرية، وورش إدارة الوقت والضغط، فضلًا عن السياسات المرنة التي تُتيح للعاملين أخذ فترات راحة قصيرة منظَّمة خلال يوم العمل. ويرى</w:t>
      </w:r>
      <w:r w:rsidRPr="000007C7">
        <w:rPr>
          <w:rFonts w:ascii="Simplified Arabic" w:eastAsia="Times New Roman" w:hAnsi="Simplified Arabic" w:cs="Simplified Arabic"/>
          <w:color w:val="000000" w:themeColor="text1"/>
          <w:kern w:val="0"/>
          <w:sz w:val="28"/>
          <w:szCs w:val="28"/>
          <w14:ligatures w14:val="none"/>
        </w:rPr>
        <w:t xml:space="preserve"> (Hauff </w:t>
      </w:r>
      <w:r w:rsidRPr="000007C7">
        <w:rPr>
          <w:rFonts w:ascii="Simplified Arabic" w:eastAsia="Times New Roman" w:hAnsi="Simplified Arabic" w:cs="Simplified Arabic"/>
          <w:color w:val="000000" w:themeColor="text1"/>
          <w:kern w:val="0"/>
          <w:sz w:val="28"/>
          <w:szCs w:val="28"/>
          <w:rtl/>
          <w14:ligatures w14:val="none"/>
        </w:rPr>
        <w:t>وآخرون، 2022</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أن هذه البرامج تكتسب فاعليتها حين تقترن بقيادة ذات توجه صحي، تُؤمن بأن رفاه العاملين شرطٌ مسبق لأدائهم، ولا تتعامل مع برامج الاسترخاء بوصفها تكاليف بل بوصفها استثمارات في القدرة المؤسسية على الصمود</w:t>
      </w:r>
      <w:r w:rsidRPr="000007C7">
        <w:rPr>
          <w:rFonts w:ascii="Simplified Arabic" w:eastAsia="Times New Roman" w:hAnsi="Simplified Arabic" w:cs="Simplified Arabic"/>
          <w:color w:val="000000" w:themeColor="text1"/>
          <w:kern w:val="0"/>
          <w:sz w:val="28"/>
          <w:szCs w:val="28"/>
          <w14:ligatures w14:val="none"/>
        </w:rPr>
        <w:t>.</w:t>
      </w:r>
    </w:p>
    <w:p w14:paraId="69C1764D"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ويُضيف</w:t>
      </w:r>
      <w:r w:rsidRPr="000007C7">
        <w:rPr>
          <w:rFonts w:ascii="Simplified Arabic" w:eastAsia="Times New Roman" w:hAnsi="Simplified Arabic" w:cs="Simplified Arabic"/>
          <w:color w:val="000000" w:themeColor="text1"/>
          <w:kern w:val="0"/>
          <w:sz w:val="28"/>
          <w:szCs w:val="28"/>
          <w14:ligatures w14:val="none"/>
        </w:rPr>
        <w:t xml:space="preserve"> (Garc</w:t>
      </w:r>
      <w:r w:rsidRPr="000007C7">
        <w:rPr>
          <w:rFonts w:ascii="Cambria" w:eastAsia="Times New Roman" w:hAnsi="Cambria" w:cs="Cambria"/>
          <w:color w:val="000000" w:themeColor="text1"/>
          <w:kern w:val="0"/>
          <w:sz w:val="28"/>
          <w:szCs w:val="28"/>
          <w14:ligatures w14:val="none"/>
        </w:rPr>
        <w:t>í</w:t>
      </w:r>
      <w:r w:rsidRPr="000007C7">
        <w:rPr>
          <w:rFonts w:ascii="Simplified Arabic" w:eastAsia="Times New Roman" w:hAnsi="Simplified Arabic" w:cs="Simplified Arabic"/>
          <w:color w:val="000000" w:themeColor="text1"/>
          <w:kern w:val="0"/>
          <w:sz w:val="28"/>
          <w:szCs w:val="28"/>
          <w14:ligatures w14:val="none"/>
        </w:rPr>
        <w:t xml:space="preserve">a-Carbonell </w:t>
      </w:r>
      <w:r w:rsidRPr="000007C7">
        <w:rPr>
          <w:rFonts w:ascii="Simplified Arabic" w:eastAsia="Times New Roman" w:hAnsi="Simplified Arabic" w:cs="Simplified Arabic"/>
          <w:color w:val="000000" w:themeColor="text1"/>
          <w:kern w:val="0"/>
          <w:sz w:val="28"/>
          <w:szCs w:val="28"/>
          <w:rtl/>
          <w14:ligatures w14:val="none"/>
        </w:rPr>
        <w:t>وآخرون، 2024</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أن برامج الرفاه والاسترخاء تُسهم في بناء علاقة تبادلية بين المنظمة والعاملين، حيث يُدرك العامل أن منظمته تعتني به على المستوى الإنساني، فيُبادلها ذلك بالتزام أعلى ودافعية أرفع. ويتقاطع هذا البُعد مع ما طرحه (مانع وبوهراوة، 2021) حول السعادة الوظيفية، إذ يُسهم تخفيف الضغوط في تهيئة الأرضية لبروز المشاعر الإيجابية التي تُشكّل جوهر السعادة في العمل. وتتسع دائرة هذا البُعد لتشمل برامج الصحة النفسية الشاملة، وخطط الدعم في الأزمات الشخصية، وبرامج التوازن بين العمل والحياة، التي تُساعد العاملين على إدارة الحدود بين أدوارهم المهنية والشخصية بصورة صحية</w:t>
      </w:r>
      <w:r w:rsidRPr="000007C7">
        <w:rPr>
          <w:rFonts w:ascii="Simplified Arabic" w:eastAsia="Times New Roman" w:hAnsi="Simplified Arabic" w:cs="Simplified Arabic"/>
          <w:color w:val="000000" w:themeColor="text1"/>
          <w:kern w:val="0"/>
          <w:sz w:val="28"/>
          <w:szCs w:val="28"/>
          <w14:ligatures w14:val="none"/>
        </w:rPr>
        <w:t>.</w:t>
      </w:r>
    </w:p>
    <w:p w14:paraId="3DE45AB0" w14:textId="77777777" w:rsidR="002142FF" w:rsidRPr="000007C7" w:rsidRDefault="002142FF" w:rsidP="00CF335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007C7">
        <w:rPr>
          <w:rFonts w:ascii="Simplified Arabic" w:eastAsia="Times New Roman" w:hAnsi="Simplified Arabic" w:cs="Simplified Arabic"/>
          <w:b/>
          <w:bCs/>
          <w:color w:val="000000" w:themeColor="text1"/>
          <w:kern w:val="0"/>
          <w:sz w:val="28"/>
          <w:szCs w:val="28"/>
          <w:rtl/>
          <w14:ligatures w14:val="none"/>
        </w:rPr>
        <w:lastRenderedPageBreak/>
        <w:t>البُعد الرابع: الأنشطة الترفيهية الرقمية والإبداعية</w:t>
      </w:r>
    </w:p>
    <w:p w14:paraId="7C77EF4B"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يُمثّل هذا البُعد الاستجابة المعاصرة للتحوّلات الرقمية التي طالت بيئات العمل، حيث باتت الأدوات الرقمية والمنصات الافتراضية جزءًا من نسيج الحياة اليومية للعاملين. ويتناول هذا البُعد الأنشطة التي توظّف التكنولوجيا في إثراء التجربة الترفيهية، وتلك التي تستهدف إطلاق الطاقة الإبداعية لدى العاملين. ويُبيّن</w:t>
      </w:r>
      <w:r w:rsidRPr="000007C7">
        <w:rPr>
          <w:rFonts w:ascii="Simplified Arabic" w:eastAsia="Times New Roman" w:hAnsi="Simplified Arabic" w:cs="Simplified Arabic"/>
          <w:color w:val="000000" w:themeColor="text1"/>
          <w:kern w:val="0"/>
          <w:sz w:val="28"/>
          <w:szCs w:val="28"/>
          <w14:ligatures w14:val="none"/>
        </w:rPr>
        <w:t xml:space="preserve"> (Yang &amp; Chen, 2023) </w:t>
      </w:r>
      <w:r w:rsidRPr="000007C7">
        <w:rPr>
          <w:rFonts w:ascii="Simplified Arabic" w:eastAsia="Times New Roman" w:hAnsi="Simplified Arabic" w:cs="Simplified Arabic"/>
          <w:color w:val="000000" w:themeColor="text1"/>
          <w:kern w:val="0"/>
          <w:sz w:val="28"/>
          <w:szCs w:val="28"/>
          <w:rtl/>
          <w14:ligatures w14:val="none"/>
        </w:rPr>
        <w:t>أن المرح في مكان العمل يُمثّل محرّكًا قويًا للسلوك الإبداعي، حين يجد العاملون فضاءات تسمح لهم بالتجريب والمبادرة، وتُحرّرهم مؤقتًا من قيود الإجراءات الرسمية</w:t>
      </w:r>
      <w:r w:rsidRPr="000007C7">
        <w:rPr>
          <w:rFonts w:ascii="Simplified Arabic" w:eastAsia="Times New Roman" w:hAnsi="Simplified Arabic" w:cs="Simplified Arabic"/>
          <w:color w:val="000000" w:themeColor="text1"/>
          <w:kern w:val="0"/>
          <w:sz w:val="28"/>
          <w:szCs w:val="28"/>
          <w14:ligatures w14:val="none"/>
        </w:rPr>
        <w:t>.</w:t>
      </w:r>
    </w:p>
    <w:p w14:paraId="20241CE4"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وتشمل صور هذا البُعد منصات الترفيه الرقمي الداخلية، ومسابقات الألعاب الإلكترونية، وورش الواقع الافتراضي، إلى جانب ورش الفنون والرسم والكتابة الإبداعية، وحاضنات الأفكار الداخلية التي تُتيح للعاملين تطوير مشاريع جانبية ضمن إطار المنظمة. كما تنفتح هذه الأنشطة على الفعاليات المُهجَّنة التي تجمع بين الحضور المادي والرقمي، بما يستجيب لتنوّع أنماط العمل بعد جائحة كوفيد-19. ويُشير</w:t>
      </w:r>
      <w:r w:rsidRPr="000007C7">
        <w:rPr>
          <w:rFonts w:ascii="Simplified Arabic" w:eastAsia="Times New Roman" w:hAnsi="Simplified Arabic" w:cs="Simplified Arabic"/>
          <w:color w:val="000000" w:themeColor="text1"/>
          <w:kern w:val="0"/>
          <w:sz w:val="28"/>
          <w:szCs w:val="28"/>
          <w14:ligatures w14:val="none"/>
        </w:rPr>
        <w:t xml:space="preserve"> (Cardon </w:t>
      </w:r>
      <w:r w:rsidRPr="000007C7">
        <w:rPr>
          <w:rFonts w:ascii="Simplified Arabic" w:eastAsia="Times New Roman" w:hAnsi="Simplified Arabic" w:cs="Simplified Arabic"/>
          <w:color w:val="000000" w:themeColor="text1"/>
          <w:kern w:val="0"/>
          <w:sz w:val="28"/>
          <w:szCs w:val="28"/>
          <w:rtl/>
          <w14:ligatures w14:val="none"/>
        </w:rPr>
        <w:t>وآخرون، 2025</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إلى أن المنصات الرقمية الداخلية لا تقتصر على وظيفتها التواصلية، بل يمكن أن تكون فضاءات لبناء رأس المال العاطفي للمنظمة، حين تتيح للقيادة والعاملين تبادل المحتوى بصورة أكثر مرونة وحيوية، بما يتضمن الجوانب الترفيهية والإبداعية</w:t>
      </w:r>
      <w:r w:rsidRPr="000007C7">
        <w:rPr>
          <w:rFonts w:ascii="Simplified Arabic" w:eastAsia="Times New Roman" w:hAnsi="Simplified Arabic" w:cs="Simplified Arabic"/>
          <w:color w:val="000000" w:themeColor="text1"/>
          <w:kern w:val="0"/>
          <w:sz w:val="28"/>
          <w:szCs w:val="28"/>
          <w14:ligatures w14:val="none"/>
        </w:rPr>
        <w:t>.</w:t>
      </w:r>
    </w:p>
    <w:p w14:paraId="2475080F"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ويتقاطع هذا البُعد مع ما طرحه (فتيحي ونصيف، 2025) حول الفعاليات الترفيهية وأثرها في التنمية المستدامة، إذ تُسهم الأنشطة الرقمية والإبداعية في تقليل البصمة البيئية للفعاليات التقليدية، وتوسيع نطاق المشاركة ليشمل العاملين عن بُعد، بما يُحقّق قدرًا من العدالة في توزيع فرص الترفيه. ويُكسب هذا البُعد البرامج الترفيهية مرونة في التطبيق وقابلية للتطوير المستمر، إذ تُتيح التكنولوجيا تجديد أساليب التفاعل بمعدلات تفوق ما كان متاحًا في البرامج التقليدية</w:t>
      </w:r>
      <w:r w:rsidRPr="000007C7">
        <w:rPr>
          <w:rFonts w:ascii="Simplified Arabic" w:eastAsia="Times New Roman" w:hAnsi="Simplified Arabic" w:cs="Simplified Arabic"/>
          <w:color w:val="000000" w:themeColor="text1"/>
          <w:kern w:val="0"/>
          <w:sz w:val="28"/>
          <w:szCs w:val="28"/>
          <w14:ligatures w14:val="none"/>
        </w:rPr>
        <w:t>.</w:t>
      </w:r>
    </w:p>
    <w:p w14:paraId="38C2E7E3" w14:textId="1A5A4D43" w:rsidR="002142FF" w:rsidRPr="000007C7" w:rsidRDefault="00F661FC" w:rsidP="00F661F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7" w:name="_Toc233737568"/>
      <w:r w:rsidRPr="000007C7">
        <w:rPr>
          <w:rFonts w:ascii="Simplified Arabic" w:eastAsia="Times New Roman" w:hAnsi="Simplified Arabic" w:cs="Simplified Arabic" w:hint="cs"/>
          <w:b/>
          <w:bCs/>
          <w:color w:val="000000" w:themeColor="text1"/>
          <w:kern w:val="0"/>
          <w:sz w:val="32"/>
          <w:szCs w:val="32"/>
          <w:rtl/>
          <w14:ligatures w14:val="none"/>
        </w:rPr>
        <w:t>6.1.2</w:t>
      </w:r>
      <w:r w:rsidR="002142FF" w:rsidRPr="000007C7">
        <w:rPr>
          <w:rFonts w:ascii="Simplified Arabic" w:eastAsia="Times New Roman" w:hAnsi="Simplified Arabic" w:cs="Simplified Arabic"/>
          <w:b/>
          <w:bCs/>
          <w:color w:val="000000" w:themeColor="text1"/>
          <w:kern w:val="0"/>
          <w:sz w:val="32"/>
          <w:szCs w:val="32"/>
          <w:rtl/>
          <w14:ligatures w14:val="none"/>
        </w:rPr>
        <w:t xml:space="preserve"> استراتيجيات تطبيق البرامج الترفيهية في بيئة العمل</w:t>
      </w:r>
      <w:bookmarkEnd w:id="37"/>
    </w:p>
    <w:p w14:paraId="2846D166"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يتطلب تطبيق البرامج الترفيهية في بيئة العمل تبنّي جملة من الاستراتيجيات التي تضمن تحقيق أهدافها وتجنّب الوقوع في فخ التطبيق الشكلي. وتنطلق هذه الاستراتيجيات من مبدأ أن البرامج الترفيهية ليست أحداثًا مفصولة، بل منظومة متكاملة تتطلب تخطيطًا وتنفيذًا ومتابعة. ويُبيّن</w:t>
      </w:r>
      <w:r w:rsidRPr="000007C7">
        <w:rPr>
          <w:rFonts w:ascii="Simplified Arabic" w:eastAsia="Times New Roman" w:hAnsi="Simplified Arabic" w:cs="Simplified Arabic"/>
          <w:color w:val="000000" w:themeColor="text1"/>
          <w:kern w:val="0"/>
          <w:sz w:val="28"/>
          <w:szCs w:val="28"/>
          <w14:ligatures w14:val="none"/>
        </w:rPr>
        <w:t xml:space="preserve"> (Garc</w:t>
      </w:r>
      <w:r w:rsidRPr="000007C7">
        <w:rPr>
          <w:rFonts w:ascii="Cambria" w:eastAsia="Times New Roman" w:hAnsi="Cambria" w:cs="Cambria"/>
          <w:color w:val="000000" w:themeColor="text1"/>
          <w:kern w:val="0"/>
          <w:sz w:val="28"/>
          <w:szCs w:val="28"/>
          <w14:ligatures w14:val="none"/>
        </w:rPr>
        <w:t>í</w:t>
      </w:r>
      <w:r w:rsidRPr="000007C7">
        <w:rPr>
          <w:rFonts w:ascii="Simplified Arabic" w:eastAsia="Times New Roman" w:hAnsi="Simplified Arabic" w:cs="Simplified Arabic"/>
          <w:color w:val="000000" w:themeColor="text1"/>
          <w:kern w:val="0"/>
          <w:sz w:val="28"/>
          <w:szCs w:val="28"/>
          <w14:ligatures w14:val="none"/>
        </w:rPr>
        <w:t xml:space="preserve">a-Carbonell </w:t>
      </w:r>
      <w:r w:rsidRPr="000007C7">
        <w:rPr>
          <w:rFonts w:ascii="Simplified Arabic" w:eastAsia="Times New Roman" w:hAnsi="Simplified Arabic" w:cs="Simplified Arabic"/>
          <w:color w:val="000000" w:themeColor="text1"/>
          <w:kern w:val="0"/>
          <w:sz w:val="28"/>
          <w:szCs w:val="28"/>
          <w:rtl/>
          <w14:ligatures w14:val="none"/>
        </w:rPr>
        <w:t>وآخرون، 2024</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 xml:space="preserve">أن الاستراتيجية الأولى تتمثّل في دمج البرامج الترفيهية في صلب استراتيجية الموارد </w:t>
      </w:r>
      <w:r w:rsidRPr="000007C7">
        <w:rPr>
          <w:rFonts w:ascii="Simplified Arabic" w:eastAsia="Times New Roman" w:hAnsi="Simplified Arabic" w:cs="Simplified Arabic"/>
          <w:color w:val="000000" w:themeColor="text1"/>
          <w:kern w:val="0"/>
          <w:sz w:val="28"/>
          <w:szCs w:val="28"/>
          <w:rtl/>
          <w14:ligatures w14:val="none"/>
        </w:rPr>
        <w:lastRenderedPageBreak/>
        <w:t>البشرية، بدلًا من التعامل معها بوصفها أنشطة هامشية، بما يضمن لها استمرارية التمويل والدعم الإداري ويربطها بأهداف المنظمة الكبرى</w:t>
      </w:r>
      <w:r w:rsidRPr="000007C7">
        <w:rPr>
          <w:rFonts w:ascii="Simplified Arabic" w:eastAsia="Times New Roman" w:hAnsi="Simplified Arabic" w:cs="Simplified Arabic"/>
          <w:color w:val="000000" w:themeColor="text1"/>
          <w:kern w:val="0"/>
          <w:sz w:val="28"/>
          <w:szCs w:val="28"/>
          <w14:ligatures w14:val="none"/>
        </w:rPr>
        <w:t>.</w:t>
      </w:r>
    </w:p>
    <w:p w14:paraId="3FDBF90A"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وتتمثّل الاستراتيجية الثانية، وفقًا لما طرحه</w:t>
      </w:r>
      <w:r w:rsidRPr="000007C7">
        <w:rPr>
          <w:rFonts w:ascii="Simplified Arabic" w:eastAsia="Times New Roman" w:hAnsi="Simplified Arabic" w:cs="Simplified Arabic"/>
          <w:color w:val="000000" w:themeColor="text1"/>
          <w:kern w:val="0"/>
          <w:sz w:val="28"/>
          <w:szCs w:val="28"/>
          <w14:ligatures w14:val="none"/>
        </w:rPr>
        <w:t xml:space="preserve"> (Hauff </w:t>
      </w:r>
      <w:r w:rsidRPr="000007C7">
        <w:rPr>
          <w:rFonts w:ascii="Simplified Arabic" w:eastAsia="Times New Roman" w:hAnsi="Simplified Arabic" w:cs="Simplified Arabic"/>
          <w:color w:val="000000" w:themeColor="text1"/>
          <w:kern w:val="0"/>
          <w:sz w:val="28"/>
          <w:szCs w:val="28"/>
          <w:rtl/>
          <w14:ligatures w14:val="none"/>
        </w:rPr>
        <w:t>وآخرون، 2022</w:t>
      </w:r>
      <w:r w:rsidRPr="000007C7">
        <w:rPr>
          <w:rFonts w:ascii="Simplified Arabic" w:eastAsia="Times New Roman" w:hAnsi="Simplified Arabic" w:cs="Simplified Arabic"/>
          <w:color w:val="000000" w:themeColor="text1"/>
          <w:kern w:val="0"/>
          <w:sz w:val="28"/>
          <w:szCs w:val="28"/>
          <w14:ligatures w14:val="none"/>
        </w:rPr>
        <w:t>)</w:t>
      </w:r>
      <w:r w:rsidRPr="000007C7">
        <w:rPr>
          <w:rFonts w:ascii="Simplified Arabic" w:eastAsia="Times New Roman" w:hAnsi="Simplified Arabic" w:cs="Simplified Arabic"/>
          <w:color w:val="000000" w:themeColor="text1"/>
          <w:kern w:val="0"/>
          <w:sz w:val="28"/>
          <w:szCs w:val="28"/>
          <w:rtl/>
          <w14:ligatures w14:val="none"/>
        </w:rPr>
        <w:t>، في إيجاد قيادة ذات توجه صحي، تتبنّى البرامج الترفيهية وتُمثّلها سلوكيًا، إذ إن انخراط القيادة العليا في هذه الأنشطة يمنحها مشروعية ويُحفّز العاملين على المشاركة فيها دون شعور بأنها تتعارض مع التزاماتهم المهنية. وتتعلق الاستراتيجية الثالثة، كما يرى</w:t>
      </w:r>
      <w:r w:rsidRPr="000007C7">
        <w:rPr>
          <w:rFonts w:ascii="Simplified Arabic" w:eastAsia="Times New Roman" w:hAnsi="Simplified Arabic" w:cs="Simplified Arabic"/>
          <w:color w:val="000000" w:themeColor="text1"/>
          <w:kern w:val="0"/>
          <w:sz w:val="28"/>
          <w:szCs w:val="28"/>
          <w14:ligatures w14:val="none"/>
        </w:rPr>
        <w:t xml:space="preserve"> (Mousa </w:t>
      </w:r>
      <w:r w:rsidRPr="000007C7">
        <w:rPr>
          <w:rFonts w:ascii="Simplified Arabic" w:eastAsia="Times New Roman" w:hAnsi="Simplified Arabic" w:cs="Simplified Arabic"/>
          <w:color w:val="000000" w:themeColor="text1"/>
          <w:kern w:val="0"/>
          <w:sz w:val="28"/>
          <w:szCs w:val="28"/>
          <w:rtl/>
          <w14:ligatures w14:val="none"/>
        </w:rPr>
        <w:t>وآخرون، 2021</w:t>
      </w:r>
      <w:r w:rsidRPr="000007C7">
        <w:rPr>
          <w:rFonts w:ascii="Simplified Arabic" w:eastAsia="Times New Roman" w:hAnsi="Simplified Arabic" w:cs="Simplified Arabic"/>
          <w:color w:val="000000" w:themeColor="text1"/>
          <w:kern w:val="0"/>
          <w:sz w:val="28"/>
          <w:szCs w:val="28"/>
          <w14:ligatures w14:val="none"/>
        </w:rPr>
        <w:t>)</w:t>
      </w:r>
      <w:r w:rsidRPr="000007C7">
        <w:rPr>
          <w:rFonts w:ascii="Simplified Arabic" w:eastAsia="Times New Roman" w:hAnsi="Simplified Arabic" w:cs="Simplified Arabic"/>
          <w:color w:val="000000" w:themeColor="text1"/>
          <w:kern w:val="0"/>
          <w:sz w:val="28"/>
          <w:szCs w:val="28"/>
          <w:rtl/>
          <w14:ligatures w14:val="none"/>
        </w:rPr>
        <w:t>، بمراعاة التنوع في تصميم البرامج، بحيث تستجيب لاختلاف الفئات داخل المنظمة من حيث العمر والجنس والخلفية الثقافية، تجنّبًا لانحياز البرامج إلى فئة دون أخرى</w:t>
      </w:r>
      <w:r w:rsidRPr="000007C7">
        <w:rPr>
          <w:rFonts w:ascii="Simplified Arabic" w:eastAsia="Times New Roman" w:hAnsi="Simplified Arabic" w:cs="Simplified Arabic"/>
          <w:color w:val="000000" w:themeColor="text1"/>
          <w:kern w:val="0"/>
          <w:sz w:val="28"/>
          <w:szCs w:val="28"/>
          <w14:ligatures w14:val="none"/>
        </w:rPr>
        <w:t>.</w:t>
      </w:r>
    </w:p>
    <w:p w14:paraId="74EDDD4E"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وتأتي الاستراتيجية الرابعة، التي يطرحها</w:t>
      </w:r>
      <w:r w:rsidRPr="000007C7">
        <w:rPr>
          <w:rFonts w:ascii="Simplified Arabic" w:eastAsia="Times New Roman" w:hAnsi="Simplified Arabic" w:cs="Simplified Arabic"/>
          <w:color w:val="000000" w:themeColor="text1"/>
          <w:kern w:val="0"/>
          <w:sz w:val="28"/>
          <w:szCs w:val="28"/>
          <w14:ligatures w14:val="none"/>
        </w:rPr>
        <w:t xml:space="preserve"> (Tetteh </w:t>
      </w:r>
      <w:r w:rsidRPr="000007C7">
        <w:rPr>
          <w:rFonts w:ascii="Simplified Arabic" w:eastAsia="Times New Roman" w:hAnsi="Simplified Arabic" w:cs="Simplified Arabic"/>
          <w:color w:val="000000" w:themeColor="text1"/>
          <w:kern w:val="0"/>
          <w:sz w:val="28"/>
          <w:szCs w:val="28"/>
          <w:rtl/>
          <w14:ligatures w14:val="none"/>
        </w:rPr>
        <w:t>وآخرون، 2022</w:t>
      </w:r>
      <w:r w:rsidRPr="000007C7">
        <w:rPr>
          <w:rFonts w:ascii="Simplified Arabic" w:eastAsia="Times New Roman" w:hAnsi="Simplified Arabic" w:cs="Simplified Arabic"/>
          <w:color w:val="000000" w:themeColor="text1"/>
          <w:kern w:val="0"/>
          <w:sz w:val="28"/>
          <w:szCs w:val="28"/>
          <w14:ligatures w14:val="none"/>
        </w:rPr>
        <w:t>)</w:t>
      </w:r>
      <w:r w:rsidRPr="000007C7">
        <w:rPr>
          <w:rFonts w:ascii="Simplified Arabic" w:eastAsia="Times New Roman" w:hAnsi="Simplified Arabic" w:cs="Simplified Arabic"/>
          <w:color w:val="000000" w:themeColor="text1"/>
          <w:kern w:val="0"/>
          <w:sz w:val="28"/>
          <w:szCs w:val="28"/>
          <w:rtl/>
          <w14:ligatures w14:val="none"/>
        </w:rPr>
        <w:t>، في صورة الربط بين البرامج الترفيهية وبناء رأس المال النفسي، عبر تصميم أنشطة لا تكتفي بتوفير المتعة، بل تستهدف بناء مكوّنات نفسية إيجابية مستدامة. وتتمثّل الاستراتيجية الخامسة في تبنّي مبدأ التشاركية في تصميم البرامج، بإشراك العاملين أنفسهم في اختيار الأنشطة وتحديد أولوياتها، بما يضمن استجابة البرامج لاحتياجاتهم الفعلية ويُعزّز شعورهم بالملكية تجاهها. وتتعلق الاستراتيجية السادسة بالاستفادة من التكنولوجيا في إدارة البرامج وتوسيع نطاقها، كما يُشير</w:t>
      </w:r>
      <w:r w:rsidRPr="000007C7">
        <w:rPr>
          <w:rFonts w:ascii="Simplified Arabic" w:eastAsia="Times New Roman" w:hAnsi="Simplified Arabic" w:cs="Simplified Arabic"/>
          <w:color w:val="000000" w:themeColor="text1"/>
          <w:kern w:val="0"/>
          <w:sz w:val="28"/>
          <w:szCs w:val="28"/>
          <w14:ligatures w14:val="none"/>
        </w:rPr>
        <w:t xml:space="preserve"> (Cardon </w:t>
      </w:r>
      <w:r w:rsidRPr="000007C7">
        <w:rPr>
          <w:rFonts w:ascii="Simplified Arabic" w:eastAsia="Times New Roman" w:hAnsi="Simplified Arabic" w:cs="Simplified Arabic"/>
          <w:color w:val="000000" w:themeColor="text1"/>
          <w:kern w:val="0"/>
          <w:sz w:val="28"/>
          <w:szCs w:val="28"/>
          <w:rtl/>
          <w14:ligatures w14:val="none"/>
        </w:rPr>
        <w:t>وآخرون، 2025</w:t>
      </w:r>
      <w:r w:rsidRPr="000007C7">
        <w:rPr>
          <w:rFonts w:ascii="Simplified Arabic" w:eastAsia="Times New Roman" w:hAnsi="Simplified Arabic" w:cs="Simplified Arabic"/>
          <w:color w:val="000000" w:themeColor="text1"/>
          <w:kern w:val="0"/>
          <w:sz w:val="28"/>
          <w:szCs w:val="28"/>
          <w14:ligatures w14:val="none"/>
        </w:rPr>
        <w:t>)</w:t>
      </w:r>
      <w:r w:rsidRPr="000007C7">
        <w:rPr>
          <w:rFonts w:ascii="Simplified Arabic" w:eastAsia="Times New Roman" w:hAnsi="Simplified Arabic" w:cs="Simplified Arabic"/>
          <w:color w:val="000000" w:themeColor="text1"/>
          <w:kern w:val="0"/>
          <w:sz w:val="28"/>
          <w:szCs w:val="28"/>
          <w:rtl/>
          <w14:ligatures w14:val="none"/>
        </w:rPr>
        <w:t>، عبر توظيف المنصات الرقمية في الإعلان عن الفعاليات وإدارة المشاركة وقياس الأثر</w:t>
      </w:r>
      <w:r w:rsidRPr="000007C7">
        <w:rPr>
          <w:rFonts w:ascii="Simplified Arabic" w:eastAsia="Times New Roman" w:hAnsi="Simplified Arabic" w:cs="Simplified Arabic"/>
          <w:color w:val="000000" w:themeColor="text1"/>
          <w:kern w:val="0"/>
          <w:sz w:val="28"/>
          <w:szCs w:val="28"/>
          <w14:ligatures w14:val="none"/>
        </w:rPr>
        <w:t>.</w:t>
      </w:r>
    </w:p>
    <w:p w14:paraId="7FC9331A" w14:textId="6BF092F0"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أما الاستراتيجية السابعة، فتتمثّل في بناء منظومة لقياس أثر البرامج الترفيهية على المؤشرات التنظيمية، تجنّبًا لتحوّلها إلى نفقات لا يمكن تبريرها أمام الإدارة العليا. وتتطلب هذه الاستراتيجية ربط البرامج بمؤشرات أداء قابلة للقياس مثل معدلات الدوران، والاندماج الوظيفي، والإنتاجية، ومستوى رضا العاملين. وتأتي الاستراتيجية الثامنة في صورة تبنّي مبدأ التنوع في الأنشطة، بحيث تشمل البرامج أبعادًا بدنية واجتماعية ونفسية ورقمية، تجنّبًا للاقتصار على نوع واحد قد لا يستجيب لكل العاملين. وأخيرًا، تتمثّل الاستراتيجية التاسعة في الالتزام بالاستمرارية، إذ إن البرامج المتقطعة لا تُحقّق الأثر المنشود، بل تتطلب الفاعلية تواترًا منتظمًا يُحوّل الأنشطة من أحداث استثنائية إلى ممارسات راسخة في ثقافة المنظمة</w:t>
      </w:r>
      <w:r w:rsidRPr="000007C7">
        <w:rPr>
          <w:rFonts w:ascii="Simplified Arabic" w:eastAsia="Times New Roman" w:hAnsi="Simplified Arabic" w:cs="Simplified Arabic"/>
          <w:color w:val="000000" w:themeColor="text1"/>
          <w:kern w:val="0"/>
          <w:sz w:val="28"/>
          <w:szCs w:val="28"/>
          <w14:ligatures w14:val="none"/>
        </w:rPr>
        <w:t>.</w:t>
      </w:r>
    </w:p>
    <w:p w14:paraId="64BA727D" w14:textId="696AF839" w:rsidR="002142FF" w:rsidRPr="000007C7" w:rsidRDefault="00F661FC" w:rsidP="00F661FC">
      <w:pPr>
        <w:jc w:val="center"/>
        <w:outlineLvl w:val="1"/>
        <w:rPr>
          <w:rFonts w:ascii="Simplified Arabic" w:eastAsia="Times New Roman" w:hAnsi="Simplified Arabic" w:cs="Simplified Arabic"/>
          <w:b/>
          <w:bCs/>
          <w:color w:val="000000" w:themeColor="text1"/>
          <w:kern w:val="0"/>
          <w:sz w:val="36"/>
          <w:szCs w:val="36"/>
          <w14:ligatures w14:val="none"/>
        </w:rPr>
      </w:pPr>
      <w:r w:rsidRPr="000007C7">
        <w:rPr>
          <w:rFonts w:ascii="Simplified Arabic" w:eastAsia="Times New Roman" w:hAnsi="Simplified Arabic" w:cs="Simplified Arabic"/>
          <w:b/>
          <w:bCs/>
          <w:color w:val="000000" w:themeColor="text1"/>
          <w:kern w:val="0"/>
          <w:sz w:val="36"/>
          <w:szCs w:val="36"/>
          <w:rtl/>
          <w14:ligatures w14:val="none"/>
        </w:rPr>
        <w:br w:type="page"/>
      </w:r>
      <w:bookmarkStart w:id="38" w:name="_Toc233737569"/>
      <w:r w:rsidR="002142FF" w:rsidRPr="000007C7">
        <w:rPr>
          <w:rFonts w:ascii="Simplified Arabic" w:eastAsia="Times New Roman" w:hAnsi="Simplified Arabic" w:cs="Simplified Arabic"/>
          <w:b/>
          <w:bCs/>
          <w:color w:val="000000" w:themeColor="text1"/>
          <w:kern w:val="0"/>
          <w:sz w:val="36"/>
          <w:szCs w:val="36"/>
          <w:rtl/>
          <w14:ligatures w14:val="none"/>
        </w:rPr>
        <w:lastRenderedPageBreak/>
        <w:t>المبحث الثاني: الأداء المؤسسي</w:t>
      </w:r>
      <w:bookmarkEnd w:id="38"/>
    </w:p>
    <w:p w14:paraId="5FC723F6" w14:textId="5C3CCCF0" w:rsidR="002142FF" w:rsidRPr="000007C7" w:rsidRDefault="00F661FC" w:rsidP="00F661F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737570"/>
      <w:r w:rsidRPr="000007C7">
        <w:rPr>
          <w:rFonts w:ascii="Simplified Arabic" w:eastAsia="Times New Roman" w:hAnsi="Simplified Arabic" w:cs="Simplified Arabic" w:hint="cs"/>
          <w:b/>
          <w:bCs/>
          <w:color w:val="000000" w:themeColor="text1"/>
          <w:kern w:val="0"/>
          <w:sz w:val="32"/>
          <w:szCs w:val="32"/>
          <w:rtl/>
          <w14:ligatures w14:val="none"/>
        </w:rPr>
        <w:t xml:space="preserve">1.2.2 </w:t>
      </w:r>
      <w:r w:rsidR="002142FF" w:rsidRPr="000007C7">
        <w:rPr>
          <w:rFonts w:ascii="Simplified Arabic" w:eastAsia="Times New Roman" w:hAnsi="Simplified Arabic" w:cs="Simplified Arabic"/>
          <w:b/>
          <w:bCs/>
          <w:color w:val="000000" w:themeColor="text1"/>
          <w:kern w:val="0"/>
          <w:sz w:val="32"/>
          <w:szCs w:val="32"/>
          <w:rtl/>
          <w14:ligatures w14:val="none"/>
        </w:rPr>
        <w:t>تمهيد</w:t>
      </w:r>
      <w:bookmarkEnd w:id="39"/>
    </w:p>
    <w:p w14:paraId="75BB8C8D"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يُعدّ الأداء المؤسسي من أكثر المفاهيم محوريةً في الفكر الإداري الحديث، إذ يُمثّل المحصلة النهائية التي تتجه إليها كل الجهود الإدارية والتنظيمية، وتتقاطع عنده مختلف الوظائف من تخطيط وتنظيم وتوجيه ورقابة. ولم يعد يُنظر إلى الأداء المؤسسي بوصفه مؤشرًا ماليًا مجرّدًا يُقاس بحجم الأرباح أو معدلات النمو، بل أصبح يُقرأ بوصفه منظومة متعددة الأبعاد تتفاعل فيها المؤشرات الكميّة مع المؤشرات النوعية، وتتشابك فيها مخرجات الفرد مع مخرجات الفريق ومخرجات المنظمة، في إطار يستجيب لتعقيد بيئة الأعمال المعاصرة. وقد شهد هذا المفهوم تطورًا ملحوظًا عبر العقود الماضية، انتقل من التركيز الحصري على الأبعاد المالية إلى تبنّي مقاربات أكثر شمولًا تستوعب الأبعاد الاستراتيجية والتشغيلية والإنسانية والاجتماعية</w:t>
      </w:r>
      <w:r w:rsidRPr="000007C7">
        <w:rPr>
          <w:rFonts w:ascii="Simplified Arabic" w:eastAsia="Times New Roman" w:hAnsi="Simplified Arabic" w:cs="Simplified Arabic"/>
          <w:color w:val="000000" w:themeColor="text1"/>
          <w:kern w:val="0"/>
          <w:sz w:val="28"/>
          <w:szCs w:val="28"/>
          <w14:ligatures w14:val="none"/>
        </w:rPr>
        <w:t>.</w:t>
      </w:r>
    </w:p>
    <w:p w14:paraId="370BE48D"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ويستمدّ الأداء المؤسسي أهميته من كونه المرآة التي تنعكس عليها كفاءة المنظمة في توظيف مواردها وتحقيق أهدافها، ومن كونه مدخلًا للحكم على جدوى الممارسات الإدارية واتجاهات التطوير. ويتعامل المبحث الحالي مع الأداء المؤسسي بوصفه متغيرًا تابعًا، يخضع لتأثير جملة من المتغيرات المستقلة، من بينها البرامج الترفيهية في بيئة العمل التي تتناولها هذه الدراسة. ويسعى المبحث إلى تأصيل المفهوم نظريًا عبر تتبّع تعريفاته، وتبيان أهميته، وتحديد أهدافه، ومناقشة مؤشراته ومداخل قياسه، وعرض استراتيجيات تعزيزه، فضلًا عن استعراض المداخل الفكرية التي تُؤطّره، بما يُهيّئ أرضية نظرية متماسكة لتحليل العلاقة بينه وبين المتغير المستقل</w:t>
      </w:r>
      <w:r w:rsidRPr="000007C7">
        <w:rPr>
          <w:rFonts w:ascii="Simplified Arabic" w:eastAsia="Times New Roman" w:hAnsi="Simplified Arabic" w:cs="Simplified Arabic"/>
          <w:color w:val="000000" w:themeColor="text1"/>
          <w:kern w:val="0"/>
          <w:sz w:val="28"/>
          <w:szCs w:val="28"/>
          <w14:ligatures w14:val="none"/>
        </w:rPr>
        <w:t>.</w:t>
      </w:r>
    </w:p>
    <w:p w14:paraId="5E4BBB47" w14:textId="0C4D2496" w:rsidR="002142FF" w:rsidRPr="000007C7" w:rsidRDefault="00F661FC" w:rsidP="00F661F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737571"/>
      <w:r w:rsidRPr="000007C7">
        <w:rPr>
          <w:rFonts w:ascii="Simplified Arabic" w:eastAsia="Times New Roman" w:hAnsi="Simplified Arabic" w:cs="Simplified Arabic" w:hint="cs"/>
          <w:b/>
          <w:bCs/>
          <w:color w:val="000000" w:themeColor="text1"/>
          <w:kern w:val="0"/>
          <w:sz w:val="32"/>
          <w:szCs w:val="32"/>
          <w:rtl/>
          <w14:ligatures w14:val="none"/>
        </w:rPr>
        <w:t>2.2.2</w:t>
      </w:r>
      <w:r w:rsidR="002142FF" w:rsidRPr="000007C7">
        <w:rPr>
          <w:rFonts w:ascii="Simplified Arabic" w:eastAsia="Times New Roman" w:hAnsi="Simplified Arabic" w:cs="Simplified Arabic"/>
          <w:b/>
          <w:bCs/>
          <w:color w:val="000000" w:themeColor="text1"/>
          <w:kern w:val="0"/>
          <w:sz w:val="32"/>
          <w:szCs w:val="32"/>
          <w:rtl/>
          <w14:ligatures w14:val="none"/>
        </w:rPr>
        <w:t xml:space="preserve"> مفهوم الأداء المؤسسي</w:t>
      </w:r>
      <w:bookmarkEnd w:id="40"/>
    </w:p>
    <w:p w14:paraId="1A5C8CA1"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تتباين التعريفات التي قدّمها الباحثون لمفهوم الأداء المؤسسي تبعًا للزاوية التي ينظرون منها إلى المنظمة وأهدافها، فمنهم من يُقارب المفهوم من زاوية مالية واقتصادية، ومنهم من يُقارب من زاوية استراتيجية شاملة، ومنهم من يُركّز على الأبعاد الإنسانية والاجتماعية. ويرى (عبدالمعز، 2024) أن الأداء المؤسسي يُمثّل المحصلة الشاملة لنشاط المنظمة، التي تعكس قدرتها على تحقيق أهدافها المُعلَنة وفق المعايير المُتّفق عليها، باستخدام مواردها المتاحة بكفاءة وفاعلية، مع مراعاة التزامها بمبادئ الحوكمة الرشيدة التي تضمن الشفافية والمساءلة</w:t>
      </w:r>
      <w:r w:rsidRPr="000007C7">
        <w:rPr>
          <w:rFonts w:ascii="Simplified Arabic" w:eastAsia="Times New Roman" w:hAnsi="Simplified Arabic" w:cs="Simplified Arabic"/>
          <w:color w:val="000000" w:themeColor="text1"/>
          <w:kern w:val="0"/>
          <w:sz w:val="28"/>
          <w:szCs w:val="28"/>
          <w14:ligatures w14:val="none"/>
        </w:rPr>
        <w:t>.</w:t>
      </w:r>
    </w:p>
    <w:p w14:paraId="6B8BBD4D"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lastRenderedPageBreak/>
        <w:t>وفي قراءة قريبة من ذلك، يذهب (الحربي، 2025) إلى أن الأداء المؤسسي يُعرَّف بأنه قدرة المنظمة على ترجمة استراتيجياتها إلى نتائج ملموسة عبر منظومة من العمليات المُتقَنة والاتصالات الداخلية الفاعلة، التي تضمن انسجام الجهود وتراكميتها بدلًا من تشتّتها. أما (المندلاوي، 2024) فيُقدّم تعريفًا أوسع يربط الأداء المؤسسي بإدارة المعرفة، معتبرًا أن الأداء يُمثّل قدرة المنظمة على توليد المعرفة وتوظيفها في تحسين مخرجاتها، بحيث يُصبح التميّز المعرفي مؤشرًا مركزيًا على جودة الأداء</w:t>
      </w:r>
      <w:r w:rsidRPr="000007C7">
        <w:rPr>
          <w:rFonts w:ascii="Simplified Arabic" w:eastAsia="Times New Roman" w:hAnsi="Simplified Arabic" w:cs="Simplified Arabic"/>
          <w:color w:val="000000" w:themeColor="text1"/>
          <w:kern w:val="0"/>
          <w:sz w:val="28"/>
          <w:szCs w:val="28"/>
          <w14:ligatures w14:val="none"/>
        </w:rPr>
        <w:t>.</w:t>
      </w:r>
    </w:p>
    <w:p w14:paraId="6AEA1161"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ويُقدّم (حمزة وآخرون، 2024) قراءة استراتيجية للمفهوم، إذ يعرّفون الأداء المؤسسي بأنه المخرج النهائي لعملية التخطيط الاستراتيجي، الذي يُترجم رؤية المنظمة ورسالتها إلى نتائج قابلة للقياس على مستويات متعددة. ويذهب (الفرجاني وخلف الله، 2022) إلى أن الأداء المؤسسي يُمثّل ثمرة التوجه الاستراتيجي الذي تتبنّاه المنظمة، ويعكس قدرتها على قراءة بيئتها واستثمار فرصها ومواجهة تحدياتها، بما يجعل الأداء انعكاسًا للذكاء الاستراتيجي لا للجهد التشغيلي وحده</w:t>
      </w:r>
      <w:r w:rsidRPr="000007C7">
        <w:rPr>
          <w:rFonts w:ascii="Simplified Arabic" w:eastAsia="Times New Roman" w:hAnsi="Simplified Arabic" w:cs="Simplified Arabic"/>
          <w:color w:val="000000" w:themeColor="text1"/>
          <w:kern w:val="0"/>
          <w:sz w:val="28"/>
          <w:szCs w:val="28"/>
          <w14:ligatures w14:val="none"/>
        </w:rPr>
        <w:t>.</w:t>
      </w:r>
    </w:p>
    <w:p w14:paraId="30A9B159"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وفي اتجاه يجمع بين البُعدين المالي والتشغيلي، يرى (الزهراني، 2023) أن الأداء المؤسسي يُعرَّف بأنه قدرة المنظمة على تحقيق أهدافها وفق معايير الجودة الشاملة، التي تربط بين رضا المستفيدين وكفاءة العمليات وجودة المخرجات، بما يُحوّل الأداء من مفهوم نتائجي إلى مفهوم عملياتي يُرافق كل خطوة من خطوات العمل. ويُقدّم (منصور، 2023) قراءة قائمة على النموذج الأوروبي للتميز، حيث يُعرَّف الأداء المؤسسي بوصفه حالة من التميز الشامل تتحقق عبر التفاعل بين القيادة والاستراتيجية والعاملين والشركاء والموارد والعمليات والنتائج، في منظومة متكاملة تتجاوز التركيز على بُعد واحد</w:t>
      </w:r>
      <w:r w:rsidRPr="000007C7">
        <w:rPr>
          <w:rFonts w:ascii="Simplified Arabic" w:eastAsia="Times New Roman" w:hAnsi="Simplified Arabic" w:cs="Simplified Arabic"/>
          <w:color w:val="000000" w:themeColor="text1"/>
          <w:kern w:val="0"/>
          <w:sz w:val="28"/>
          <w:szCs w:val="28"/>
          <w14:ligatures w14:val="none"/>
        </w:rPr>
        <w:t>.</w:t>
      </w:r>
    </w:p>
    <w:p w14:paraId="79056797"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ومن منظور إنساني، يرى (الطراونة، 2021) أن الأداء المؤسسي يتجلى في قدرة المنظمة على تحقيق أهدافها عبر تهيئة جودة حياة عمل ملائمة لعامليها، بما يُترجم في صورة التزام وإنتاجية. ويُضيف (أبوبكر، 2026) بُعدًا تقنيًا للمفهوم بربطه بنظم المعلومات الإدارية، حيث يُعرَّف الأداء المؤسسي بأنه القدرة المؤسسية على معالجة المعلومات وتوظيفها في صناعة القرار، بما يُعزّز الاستجابة السريعة لتحوّلات البيئة. وفي اتجاه قريب، يرى (عبدالرحمن، 2022) أن الأداء المؤسسي يرتبط بمفهوم الرشاقة التنظيمية، التي تعكس قدرة المنظمة على التكيف السريع مع المتغيرات، وتُحوّل التكيف ذاته إلى مؤشر على جودة الأداء</w:t>
      </w:r>
      <w:r w:rsidRPr="000007C7">
        <w:rPr>
          <w:rFonts w:ascii="Simplified Arabic" w:eastAsia="Times New Roman" w:hAnsi="Simplified Arabic" w:cs="Simplified Arabic"/>
          <w:color w:val="000000" w:themeColor="text1"/>
          <w:kern w:val="0"/>
          <w:sz w:val="28"/>
          <w:szCs w:val="28"/>
          <w14:ligatures w14:val="none"/>
        </w:rPr>
        <w:t>.</w:t>
      </w:r>
    </w:p>
    <w:p w14:paraId="5F63F7E7"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ومن زاوية مقارنة بين القطاعات، يُقدّم</w:t>
      </w:r>
      <w:r w:rsidRPr="000007C7">
        <w:rPr>
          <w:rFonts w:ascii="Simplified Arabic" w:eastAsia="Times New Roman" w:hAnsi="Simplified Arabic" w:cs="Simplified Arabic"/>
          <w:color w:val="000000" w:themeColor="text1"/>
          <w:kern w:val="0"/>
          <w:sz w:val="28"/>
          <w:szCs w:val="28"/>
          <w14:ligatures w14:val="none"/>
        </w:rPr>
        <w:t xml:space="preserve"> (Duarte </w:t>
      </w:r>
      <w:r w:rsidRPr="000007C7">
        <w:rPr>
          <w:rFonts w:ascii="Simplified Arabic" w:eastAsia="Times New Roman" w:hAnsi="Simplified Arabic" w:cs="Simplified Arabic"/>
          <w:color w:val="000000" w:themeColor="text1"/>
          <w:kern w:val="0"/>
          <w:sz w:val="28"/>
          <w:szCs w:val="28"/>
          <w:rtl/>
          <w14:ligatures w14:val="none"/>
        </w:rPr>
        <w:t>وآخرون، 2022</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قراءة للأداء المؤسسي بوصفه منظومة قياس تتباين معاييرها بين القطاعين العام والخاص، حيث تختلف أولويات المخرجات بحسب طبيعة المنظمة وأهدافها، وإن اشتركت في الإطار العام لمفهوم الأداء. ويُضيف</w:t>
      </w:r>
      <w:r w:rsidRPr="000007C7">
        <w:rPr>
          <w:rFonts w:ascii="Simplified Arabic" w:eastAsia="Times New Roman" w:hAnsi="Simplified Arabic" w:cs="Simplified Arabic"/>
          <w:color w:val="000000" w:themeColor="text1"/>
          <w:kern w:val="0"/>
          <w:sz w:val="28"/>
          <w:szCs w:val="28"/>
          <w14:ligatures w14:val="none"/>
        </w:rPr>
        <w:t xml:space="preserve"> (Iqbal </w:t>
      </w:r>
      <w:r w:rsidRPr="000007C7">
        <w:rPr>
          <w:rFonts w:ascii="Simplified Arabic" w:eastAsia="Times New Roman" w:hAnsi="Simplified Arabic" w:cs="Simplified Arabic"/>
          <w:color w:val="000000" w:themeColor="text1"/>
          <w:kern w:val="0"/>
          <w:sz w:val="28"/>
          <w:szCs w:val="28"/>
          <w:rtl/>
          <w14:ligatures w14:val="none"/>
        </w:rPr>
        <w:t>وآخرون، 2024</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 xml:space="preserve">أن </w:t>
      </w:r>
      <w:r w:rsidRPr="000007C7">
        <w:rPr>
          <w:rFonts w:ascii="Simplified Arabic" w:eastAsia="Times New Roman" w:hAnsi="Simplified Arabic" w:cs="Simplified Arabic"/>
          <w:color w:val="000000" w:themeColor="text1"/>
          <w:kern w:val="0"/>
          <w:sz w:val="28"/>
          <w:szCs w:val="28"/>
          <w:rtl/>
          <w14:ligatures w14:val="none"/>
        </w:rPr>
        <w:lastRenderedPageBreak/>
        <w:t>الأداء المؤسسي يُمثّل المُخرج النهائي لمنظومة إدارة الأداء، التي تربط بين الأهداف الفردية وأهداف الفريق والأهداف الكلية، بما يضمن انسجامها وتراكميتها. ويرى</w:t>
      </w:r>
      <w:r w:rsidRPr="000007C7">
        <w:rPr>
          <w:rFonts w:ascii="Simplified Arabic" w:eastAsia="Times New Roman" w:hAnsi="Simplified Arabic" w:cs="Simplified Arabic"/>
          <w:color w:val="000000" w:themeColor="text1"/>
          <w:kern w:val="0"/>
          <w:sz w:val="28"/>
          <w:szCs w:val="28"/>
          <w14:ligatures w14:val="none"/>
        </w:rPr>
        <w:t xml:space="preserve"> (Pusparani </w:t>
      </w:r>
      <w:r w:rsidRPr="000007C7">
        <w:rPr>
          <w:rFonts w:ascii="Simplified Arabic" w:eastAsia="Times New Roman" w:hAnsi="Simplified Arabic" w:cs="Simplified Arabic"/>
          <w:color w:val="000000" w:themeColor="text1"/>
          <w:kern w:val="0"/>
          <w:sz w:val="28"/>
          <w:szCs w:val="28"/>
          <w:rtl/>
          <w14:ligatures w14:val="none"/>
        </w:rPr>
        <w:t>وآخرون، 2021</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أن الأداء يُقرأ من خلال تفاعل بيئة العمل والرضا الوظيفي والالتزام التنظيمي، بما يجعله مفهومًا متعدد المستويات يتشكّل من تفاعلات متشابكة</w:t>
      </w:r>
      <w:r w:rsidRPr="000007C7">
        <w:rPr>
          <w:rFonts w:ascii="Simplified Arabic" w:eastAsia="Times New Roman" w:hAnsi="Simplified Arabic" w:cs="Simplified Arabic"/>
          <w:color w:val="000000" w:themeColor="text1"/>
          <w:kern w:val="0"/>
          <w:sz w:val="28"/>
          <w:szCs w:val="28"/>
          <w14:ligatures w14:val="none"/>
        </w:rPr>
        <w:t>.</w:t>
      </w:r>
    </w:p>
    <w:p w14:paraId="192A3010"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ويرى الباحث في ضوء ما سبق أن الأداء المؤسسي يمكن تعريفه إجرائيًا بأنه: المحصلة الشاملة التي تعكس قدرة المنظمة على تحقيق أهدافها الاستراتيجية والتشغيلية، عبر التوظيف الكفء لمواردها البشرية والمادية والمعلوماتية، وفق معايير الجودة والكفاءة والفاعلية، بما يستجيب لاحتياجات أصحاب المصلحة الداخليين والخارجيين، ويُحقّق التميز والاستدامة في بيئة أعمال متغيرة. ويتسم هذا التعريف بالشمولية والمرونة، ويتقاطع مع المداخل المختلفة دون الانحياز إلى أحدها على حساب الآخر</w:t>
      </w:r>
      <w:r w:rsidRPr="000007C7">
        <w:rPr>
          <w:rFonts w:ascii="Simplified Arabic" w:eastAsia="Times New Roman" w:hAnsi="Simplified Arabic" w:cs="Simplified Arabic"/>
          <w:color w:val="000000" w:themeColor="text1"/>
          <w:kern w:val="0"/>
          <w:sz w:val="28"/>
          <w:szCs w:val="28"/>
          <w14:ligatures w14:val="none"/>
        </w:rPr>
        <w:t>.</w:t>
      </w:r>
    </w:p>
    <w:p w14:paraId="028292CF" w14:textId="4B7272C0" w:rsidR="002142FF" w:rsidRPr="000007C7" w:rsidRDefault="00F661FC" w:rsidP="00F661F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737572"/>
      <w:r w:rsidRPr="000007C7">
        <w:rPr>
          <w:rFonts w:ascii="Simplified Arabic" w:eastAsia="Times New Roman" w:hAnsi="Simplified Arabic" w:cs="Simplified Arabic" w:hint="cs"/>
          <w:b/>
          <w:bCs/>
          <w:color w:val="000000" w:themeColor="text1"/>
          <w:kern w:val="0"/>
          <w:sz w:val="32"/>
          <w:szCs w:val="32"/>
          <w:rtl/>
          <w14:ligatures w14:val="none"/>
        </w:rPr>
        <w:t>3.2.2</w:t>
      </w:r>
      <w:r w:rsidR="002142FF" w:rsidRPr="000007C7">
        <w:rPr>
          <w:rFonts w:ascii="Simplified Arabic" w:eastAsia="Times New Roman" w:hAnsi="Simplified Arabic" w:cs="Simplified Arabic"/>
          <w:b/>
          <w:bCs/>
          <w:color w:val="000000" w:themeColor="text1"/>
          <w:kern w:val="0"/>
          <w:sz w:val="32"/>
          <w:szCs w:val="32"/>
          <w:rtl/>
          <w14:ligatures w14:val="none"/>
        </w:rPr>
        <w:t xml:space="preserve"> أهمية الأداء المؤسسي</w:t>
      </w:r>
      <w:bookmarkEnd w:id="41"/>
    </w:p>
    <w:p w14:paraId="6646BD21"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تتجلى أهمية الأداء المؤسسي في كونه يُمثّل البوصلة التي تتوجه إليها كل الجهود الإدارية، والمعيار الذي يُحكَم به على نجاح المنظمات أو إخفاقها. ولم تعد هذه الأهمية حكرًا على قطاع دون آخر، بل تمتد لتشمل القطاع الخاص بأقسامه المختلفة، والقطاع العام بمؤسساته المتعددة، وقطاع المنظمات الأهلية بأشكالها المتنوعة. ويمكن قراءة هذه الأهمية من خلال ما طرحه عدد من الباحثين الذين تناولوا الأداء المؤسسي من زوايا متباينة</w:t>
      </w:r>
      <w:r w:rsidRPr="000007C7">
        <w:rPr>
          <w:rFonts w:ascii="Simplified Arabic" w:eastAsia="Times New Roman" w:hAnsi="Simplified Arabic" w:cs="Simplified Arabic"/>
          <w:color w:val="000000" w:themeColor="text1"/>
          <w:kern w:val="0"/>
          <w:sz w:val="28"/>
          <w:szCs w:val="28"/>
          <w14:ligatures w14:val="none"/>
        </w:rPr>
        <w:t>.</w:t>
      </w:r>
    </w:p>
    <w:p w14:paraId="42D28218"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ويُشير</w:t>
      </w:r>
      <w:r w:rsidRPr="000007C7">
        <w:rPr>
          <w:rFonts w:ascii="Simplified Arabic" w:eastAsia="Times New Roman" w:hAnsi="Simplified Arabic" w:cs="Simplified Arabic"/>
          <w:color w:val="000000" w:themeColor="text1"/>
          <w:kern w:val="0"/>
          <w:sz w:val="28"/>
          <w:szCs w:val="28"/>
          <w14:ligatures w14:val="none"/>
        </w:rPr>
        <w:t xml:space="preserve"> (Iqbal </w:t>
      </w:r>
      <w:r w:rsidRPr="000007C7">
        <w:rPr>
          <w:rFonts w:ascii="Simplified Arabic" w:eastAsia="Times New Roman" w:hAnsi="Simplified Arabic" w:cs="Simplified Arabic"/>
          <w:color w:val="000000" w:themeColor="text1"/>
          <w:kern w:val="0"/>
          <w:sz w:val="28"/>
          <w:szCs w:val="28"/>
          <w:rtl/>
          <w14:ligatures w14:val="none"/>
        </w:rPr>
        <w:t>وآخرون، 2024</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إلى أن أهمية الأداء المؤسسي تتجلى في كونه أداةً لربط الجهود الفردية بالأهداف الكلية للمنظمة، فهو يُمثّل الجسر الذي ينتقل عبره المسار الاستراتيجي من مستوى التخطيط إلى مستوى التنفيذ، ومن مستوى التنفيذ إلى مستوى التقييم، بما يضمن انسجام الجهود وتراكميتها. كما يُتيح الأداء المؤسسي للمنظمة إجراء المقارنات الزمنية والعرضية، فتقيس نفسها بنفسها عبر الزمن، وتقارن أداءها بأداء نظيراتها في القطاع، فتستفيد من ذلك في تطوير ممارساتها</w:t>
      </w:r>
      <w:r w:rsidRPr="000007C7">
        <w:rPr>
          <w:rFonts w:ascii="Simplified Arabic" w:eastAsia="Times New Roman" w:hAnsi="Simplified Arabic" w:cs="Simplified Arabic"/>
          <w:color w:val="000000" w:themeColor="text1"/>
          <w:kern w:val="0"/>
          <w:sz w:val="28"/>
          <w:szCs w:val="28"/>
          <w14:ligatures w14:val="none"/>
        </w:rPr>
        <w:t>.</w:t>
      </w:r>
    </w:p>
    <w:p w14:paraId="20D59ACD"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 xml:space="preserve">ويرى (حمزة وآخرون، 2024) أن أهمية الأداء المؤسسي تكمن في كونه المُخرَج الذي يُبرّر التخطيط الاستراتيجي ويُثبت جدواه، فهو الدليل العملي على أن المنظمة تسير في الاتجاه الصحيح، ويُمثّل المُغذِّي العكسي الذي يُعيد توجيه الخطط الاستراتيجية حين تنحرف عن مسارها. ويُضيف (الفرجاني وخلف الله، </w:t>
      </w:r>
      <w:r w:rsidRPr="000007C7">
        <w:rPr>
          <w:rFonts w:ascii="Simplified Arabic" w:eastAsia="Times New Roman" w:hAnsi="Simplified Arabic" w:cs="Simplified Arabic"/>
          <w:color w:val="000000" w:themeColor="text1"/>
          <w:kern w:val="0"/>
          <w:sz w:val="28"/>
          <w:szCs w:val="28"/>
          <w:rtl/>
          <w14:ligatures w14:val="none"/>
        </w:rPr>
        <w:lastRenderedPageBreak/>
        <w:t>2022) أن أهمية الأداء تتجلى في كونه الترجمة الفعلية للتوجه الاستراتيجي، فبدون أداء قابل للقياس يبقى التوجه مجرد طموح نظري لا يلامس الواقع</w:t>
      </w:r>
      <w:r w:rsidRPr="000007C7">
        <w:rPr>
          <w:rFonts w:ascii="Simplified Arabic" w:eastAsia="Times New Roman" w:hAnsi="Simplified Arabic" w:cs="Simplified Arabic"/>
          <w:color w:val="000000" w:themeColor="text1"/>
          <w:kern w:val="0"/>
          <w:sz w:val="28"/>
          <w:szCs w:val="28"/>
          <w14:ligatures w14:val="none"/>
        </w:rPr>
        <w:t>.</w:t>
      </w:r>
    </w:p>
    <w:p w14:paraId="3DA07A46"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ويُبرز (عبدالمعز، 2024) أهمية الأداء المؤسسي من خلال علاقته بالحوكمة، إذ يرى أن الأداء يُمثّل أحد المبررات الجوهرية لتبنّي ممارسات الحوكمة الرشيدة، لما يفرضه ذلك من شفافية ومساءلة تنعكس على جودة المخرجات. ويُضيف (الزهراني، 2023) أن أهمية الأداء تتعمّق في القطاعات التي تخدم جمهورًا واسعًا، حيث يُمثّل مؤشرًا على جودة الخدمات المُقدَّمة ومدى رضا المستفيدين، بما يجعله أداةً للمساءلة المجتمعية لا الإدارية فحسب</w:t>
      </w:r>
      <w:r w:rsidRPr="000007C7">
        <w:rPr>
          <w:rFonts w:ascii="Simplified Arabic" w:eastAsia="Times New Roman" w:hAnsi="Simplified Arabic" w:cs="Simplified Arabic"/>
          <w:color w:val="000000" w:themeColor="text1"/>
          <w:kern w:val="0"/>
          <w:sz w:val="28"/>
          <w:szCs w:val="28"/>
          <w14:ligatures w14:val="none"/>
        </w:rPr>
        <w:t>.</w:t>
      </w:r>
    </w:p>
    <w:p w14:paraId="507F9410"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ويُشير (المندلاوي، 2024) إلى أن أهمية الأداء المؤسسي تتجلى في علاقته بإدارة المعرفة، فالأداء المتميز يعكس قدرة المنظمة على توليد المعرفة وتوظيفها، ويُمثّل في الوقت ذاته حافزًا للاستثمار في رأس المال المعرفي. ويُضيف (الحربي، 2025) أن أهمية الأداء تكمن في كونه المؤشر الذي يقيس فاعلية الاتصال الداخلي، فحين ينساب الاتصال بكفاءة، ينعكس ذلك مباشرةً على جودة الأداء. ويرى (أبوبكر، 2026) أن الأداء المؤسسي يكتسب أهمية مضاعفة في عصر المعلومات، حيث تُمثّل قدرة المنظمة على معالجة المعلومات وتوظيفها مؤشرًا حاسمًا على بقائها وتنافسيتها</w:t>
      </w:r>
      <w:r w:rsidRPr="000007C7">
        <w:rPr>
          <w:rFonts w:ascii="Simplified Arabic" w:eastAsia="Times New Roman" w:hAnsi="Simplified Arabic" w:cs="Simplified Arabic"/>
          <w:color w:val="000000" w:themeColor="text1"/>
          <w:kern w:val="0"/>
          <w:sz w:val="28"/>
          <w:szCs w:val="28"/>
          <w14:ligatures w14:val="none"/>
        </w:rPr>
        <w:t>.</w:t>
      </w:r>
    </w:p>
    <w:p w14:paraId="49601256"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ومن منظور إنساني، يُشير (الطراونة، 2021) إلى أن أهمية الأداء المؤسسي تكمن في انعكاسه على حياة العاملين، فالمنظمات ذات الأداء العالي تستطيع تقديم ظروف عمل أفضل، وتُتيح فرصًا أوسع للنمو المهني، بما يُحقّق التبادلية بين رفاه العاملين وأداء المنظمة. ويُضيف (منصور، 2023) أن أهمية الأداء المؤسسي تظهر بوضوح في النماذج الدولية للتميز، حيث يُمثّل الأداء المعيار النهائي الذي تُقاس به جودة المنظمة وفق منظومة مؤشرات متكاملة. ويرى (عبدالرحمن، 2022) أن أهمية الأداء تتعاظم في البيئات المتغيرة، حيث تُمثّل قدرة المنظمة على الحفاظ على أدائها أو تطويره في مواجهة التحديات مؤشرًا على رشاقتها وقدرتها على البقاء</w:t>
      </w:r>
      <w:r w:rsidRPr="000007C7">
        <w:rPr>
          <w:rFonts w:ascii="Simplified Arabic" w:eastAsia="Times New Roman" w:hAnsi="Simplified Arabic" w:cs="Simplified Arabic"/>
          <w:color w:val="000000" w:themeColor="text1"/>
          <w:kern w:val="0"/>
          <w:sz w:val="28"/>
          <w:szCs w:val="28"/>
          <w14:ligatures w14:val="none"/>
        </w:rPr>
        <w:t>.</w:t>
      </w:r>
    </w:p>
    <w:p w14:paraId="05AC55FF"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وفي السياق المقارن، يُبرز</w:t>
      </w:r>
      <w:r w:rsidRPr="000007C7">
        <w:rPr>
          <w:rFonts w:ascii="Simplified Arabic" w:eastAsia="Times New Roman" w:hAnsi="Simplified Arabic" w:cs="Simplified Arabic"/>
          <w:color w:val="000000" w:themeColor="text1"/>
          <w:kern w:val="0"/>
          <w:sz w:val="28"/>
          <w:szCs w:val="28"/>
          <w14:ligatures w14:val="none"/>
        </w:rPr>
        <w:t xml:space="preserve"> (Duarte </w:t>
      </w:r>
      <w:r w:rsidRPr="000007C7">
        <w:rPr>
          <w:rFonts w:ascii="Simplified Arabic" w:eastAsia="Times New Roman" w:hAnsi="Simplified Arabic" w:cs="Simplified Arabic"/>
          <w:color w:val="000000" w:themeColor="text1"/>
          <w:kern w:val="0"/>
          <w:sz w:val="28"/>
          <w:szCs w:val="28"/>
          <w:rtl/>
          <w14:ligatures w14:val="none"/>
        </w:rPr>
        <w:t>وآخرون، 2022</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 xml:space="preserve">أن أهمية الأداء تختلف باختلاف القطاع، إذ تتركز في القطاع الخاص حول مؤشرات الربحية والنمو، وفي القطاع العام حول مؤشرات الكفاءة في تقديم الخدمات، وإن اشتركا في الحاجة إلى منظومة قياس متكاملة. ويُضيف (السياني وغانم، 2025) بُعدًا إداريًا للأهمية بربطها بإدارة سلاسل التوريد، حيث يُمثّل الأداء المؤسسي المُخرَج الذي تُختبر عنده فاعلية الممارسات اللوجستية والتشغيلية. ويرى (الخوالدة والشوابكة، 2023) أن أهمية الأداء تتجلى في كونه المُخرَج </w:t>
      </w:r>
      <w:r w:rsidRPr="000007C7">
        <w:rPr>
          <w:rFonts w:ascii="Simplified Arabic" w:eastAsia="Times New Roman" w:hAnsi="Simplified Arabic" w:cs="Simplified Arabic"/>
          <w:color w:val="000000" w:themeColor="text1"/>
          <w:kern w:val="0"/>
          <w:sz w:val="28"/>
          <w:szCs w:val="28"/>
          <w:rtl/>
          <w14:ligatures w14:val="none"/>
        </w:rPr>
        <w:lastRenderedPageBreak/>
        <w:t>الذي تتقاطع عنده التوجهات الاستراتيجية مع البراعة المنظمية، بما يُحوّله إلى نقطة التقاء بين الاستراتيجية والممارسة</w:t>
      </w:r>
      <w:r w:rsidRPr="000007C7">
        <w:rPr>
          <w:rFonts w:ascii="Simplified Arabic" w:eastAsia="Times New Roman" w:hAnsi="Simplified Arabic" w:cs="Simplified Arabic"/>
          <w:color w:val="000000" w:themeColor="text1"/>
          <w:kern w:val="0"/>
          <w:sz w:val="28"/>
          <w:szCs w:val="28"/>
          <w14:ligatures w14:val="none"/>
        </w:rPr>
        <w:t>.</w:t>
      </w:r>
    </w:p>
    <w:p w14:paraId="3F6BC891" w14:textId="11B5341F" w:rsidR="002142FF" w:rsidRPr="000007C7" w:rsidRDefault="00F661FC" w:rsidP="00F661F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737573"/>
      <w:r w:rsidRPr="000007C7">
        <w:rPr>
          <w:rFonts w:ascii="Simplified Arabic" w:eastAsia="Times New Roman" w:hAnsi="Simplified Arabic" w:cs="Simplified Arabic" w:hint="cs"/>
          <w:b/>
          <w:bCs/>
          <w:color w:val="000000" w:themeColor="text1"/>
          <w:kern w:val="0"/>
          <w:sz w:val="32"/>
          <w:szCs w:val="32"/>
          <w:rtl/>
          <w14:ligatures w14:val="none"/>
        </w:rPr>
        <w:t>4.2.2</w:t>
      </w:r>
      <w:r w:rsidR="002142FF" w:rsidRPr="000007C7">
        <w:rPr>
          <w:rFonts w:ascii="Simplified Arabic" w:eastAsia="Times New Roman" w:hAnsi="Simplified Arabic" w:cs="Simplified Arabic"/>
          <w:b/>
          <w:bCs/>
          <w:color w:val="000000" w:themeColor="text1"/>
          <w:kern w:val="0"/>
          <w:sz w:val="32"/>
          <w:szCs w:val="32"/>
          <w:rtl/>
          <w14:ligatures w14:val="none"/>
        </w:rPr>
        <w:t xml:space="preserve"> أهداف الأداء المؤسسي</w:t>
      </w:r>
      <w:bookmarkEnd w:id="42"/>
    </w:p>
    <w:p w14:paraId="24FA2D9B"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تسعى منظومة الأداء المؤسسي إلى تحقيق جملة من الأهداف التي تتوزع على مستويات متعددة، وتتناولها أدبيات الإدارة من زوايا متنوعة. ويمكن استعراض هذه الأهداف من خلال آراء الباحثين على النحو الآتي</w:t>
      </w:r>
      <w:r w:rsidRPr="000007C7">
        <w:rPr>
          <w:rFonts w:ascii="Simplified Arabic" w:eastAsia="Times New Roman" w:hAnsi="Simplified Arabic" w:cs="Simplified Arabic"/>
          <w:color w:val="000000" w:themeColor="text1"/>
          <w:kern w:val="0"/>
          <w:sz w:val="28"/>
          <w:szCs w:val="28"/>
          <w14:ligatures w14:val="none"/>
        </w:rPr>
        <w:t>:</w:t>
      </w:r>
    </w:p>
    <w:p w14:paraId="2CB45F5D"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أولًا: يرى</w:t>
      </w:r>
      <w:r w:rsidRPr="000007C7">
        <w:rPr>
          <w:rFonts w:ascii="Simplified Arabic" w:eastAsia="Times New Roman" w:hAnsi="Simplified Arabic" w:cs="Simplified Arabic"/>
          <w:color w:val="000000" w:themeColor="text1"/>
          <w:kern w:val="0"/>
          <w:sz w:val="28"/>
          <w:szCs w:val="28"/>
          <w14:ligatures w14:val="none"/>
        </w:rPr>
        <w:t xml:space="preserve"> (Iqbal </w:t>
      </w:r>
      <w:r w:rsidRPr="000007C7">
        <w:rPr>
          <w:rFonts w:ascii="Simplified Arabic" w:eastAsia="Times New Roman" w:hAnsi="Simplified Arabic" w:cs="Simplified Arabic"/>
          <w:color w:val="000000" w:themeColor="text1"/>
          <w:kern w:val="0"/>
          <w:sz w:val="28"/>
          <w:szCs w:val="28"/>
          <w:rtl/>
          <w14:ligatures w14:val="none"/>
        </w:rPr>
        <w:t>وآخرون، 2024</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أن منظومة الأداء المؤسسي تستهدف ضمان انسجام الجهود الفردية مع الأهداف الكلية للمنظمة، عبر تحويل الاستراتيجية إلى أهداف قابلة للقياس والمتابعة، فضلًا عن تيسير عمليات صنع القرار من خلال توفير معلومات موضوعية، وتعزيز ثقافة المساءلة والمسؤولية بين العاملين</w:t>
      </w:r>
      <w:r w:rsidRPr="000007C7">
        <w:rPr>
          <w:rFonts w:ascii="Simplified Arabic" w:eastAsia="Times New Roman" w:hAnsi="Simplified Arabic" w:cs="Simplified Arabic"/>
          <w:color w:val="000000" w:themeColor="text1"/>
          <w:kern w:val="0"/>
          <w:sz w:val="28"/>
          <w:szCs w:val="28"/>
          <w14:ligatures w14:val="none"/>
        </w:rPr>
        <w:t>.</w:t>
      </w:r>
    </w:p>
    <w:p w14:paraId="1EBB3446"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ثانيًا: يُحدّد (حمزة وآخرون، 2024) أهداف الأداء المؤسسي في ترجمة التخطيط الاستراتيجي إلى نتائج ملموسة، وتمكين القيادة من تقييم مدى تقدم المنظمة نحو غاياتها، وتوفير قاعدة معلوماتية تُسهم في إعادة التخطيط حين تتطلب الظروف ذلك، إلى جانب بناء قدرة المنظمة على التعلم من تجاربها</w:t>
      </w:r>
      <w:r w:rsidRPr="000007C7">
        <w:rPr>
          <w:rFonts w:ascii="Simplified Arabic" w:eastAsia="Times New Roman" w:hAnsi="Simplified Arabic" w:cs="Simplified Arabic"/>
          <w:color w:val="000000" w:themeColor="text1"/>
          <w:kern w:val="0"/>
          <w:sz w:val="28"/>
          <w:szCs w:val="28"/>
          <w14:ligatures w14:val="none"/>
        </w:rPr>
        <w:t>.</w:t>
      </w:r>
    </w:p>
    <w:p w14:paraId="0ED131D5"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ثالثًا: يذهب (منصور، 2023) إلى أن من أهداف الأداء المؤسسي بلوغ حالة التميز الشامل وفق النماذج الدولية، عبر الموازنة بين مختلف الأبعاد التشغيلية والاستراتيجية، وتعزيز قدرة المنظمة على المنافسة المحلية والدولية، وبناء سمعة مؤسسية إيجابية تنعكس على قدرتها على استقطاب الموارد والشركاء</w:t>
      </w:r>
      <w:r w:rsidRPr="000007C7">
        <w:rPr>
          <w:rFonts w:ascii="Simplified Arabic" w:eastAsia="Times New Roman" w:hAnsi="Simplified Arabic" w:cs="Simplified Arabic"/>
          <w:color w:val="000000" w:themeColor="text1"/>
          <w:kern w:val="0"/>
          <w:sz w:val="28"/>
          <w:szCs w:val="28"/>
          <w14:ligatures w14:val="none"/>
        </w:rPr>
        <w:t>.</w:t>
      </w:r>
    </w:p>
    <w:p w14:paraId="0A716809"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رابعًا: يُبرز (الزهراني، 2023) أن من أهداف الأداء المؤسسي تحسين جودة المخرجات والخدمات المُقدَّمة للمستفيدين، عبر تطبيق معايير الجودة الشاملة، فضلًا عن تقليل الفاقد في الموارد ورفع كفاءة العمليات، وتعزيز ثقة المستفيدين بالمنظمة</w:t>
      </w:r>
      <w:r w:rsidRPr="000007C7">
        <w:rPr>
          <w:rFonts w:ascii="Simplified Arabic" w:eastAsia="Times New Roman" w:hAnsi="Simplified Arabic" w:cs="Simplified Arabic"/>
          <w:color w:val="000000" w:themeColor="text1"/>
          <w:kern w:val="0"/>
          <w:sz w:val="28"/>
          <w:szCs w:val="28"/>
          <w14:ligatures w14:val="none"/>
        </w:rPr>
        <w:t>.</w:t>
      </w:r>
    </w:p>
    <w:p w14:paraId="3BB0E8D4"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خامسًا: يرى (عبدالمعز، 2024) أن من بين الأهداف المركزية للأداء المؤسسي تطبيق ممارسات الحوكمة الرشيدة، وضمان الشفافية في إدارة الموارد، وحماية حقوق أصحاب المصلحة، إلى جانب تعزيز الالتزام بالأطر القانونية والأخلاقية</w:t>
      </w:r>
      <w:r w:rsidRPr="000007C7">
        <w:rPr>
          <w:rFonts w:ascii="Simplified Arabic" w:eastAsia="Times New Roman" w:hAnsi="Simplified Arabic" w:cs="Simplified Arabic"/>
          <w:color w:val="000000" w:themeColor="text1"/>
          <w:kern w:val="0"/>
          <w:sz w:val="28"/>
          <w:szCs w:val="28"/>
          <w14:ligatures w14:val="none"/>
        </w:rPr>
        <w:t>.</w:t>
      </w:r>
    </w:p>
    <w:p w14:paraId="0CE0D267"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lastRenderedPageBreak/>
        <w:t>سادسًا: يُشير (الحربي، 2025) إلى أن منظومة الأداء تستهدف رفع كفاءة الاتصال الداخلي، وتحسين تدفق المعلومات بين المستويات الإدارية، وتقوية شبكات التواصل بين الأقسام، بما يُسهم في توحيد الجهود وتقليل الازدواجية</w:t>
      </w:r>
      <w:r w:rsidRPr="000007C7">
        <w:rPr>
          <w:rFonts w:ascii="Simplified Arabic" w:eastAsia="Times New Roman" w:hAnsi="Simplified Arabic" w:cs="Simplified Arabic"/>
          <w:color w:val="000000" w:themeColor="text1"/>
          <w:kern w:val="0"/>
          <w:sz w:val="28"/>
          <w:szCs w:val="28"/>
          <w14:ligatures w14:val="none"/>
        </w:rPr>
        <w:t>.</w:t>
      </w:r>
    </w:p>
    <w:p w14:paraId="27F4748A"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سابعًا: يُحدّد (المندلاوي، 2024) أهداف الأداء المؤسسي في توظيف رأس المال المعرفي بكفاءة، وتعزيز قدرة المنظمة على التعلم التنظيمي، وبناء ذاكرة مؤسسية تحتفظ بالتجارب وتُتيح الاستفادة منها</w:t>
      </w:r>
      <w:r w:rsidRPr="000007C7">
        <w:rPr>
          <w:rFonts w:ascii="Simplified Arabic" w:eastAsia="Times New Roman" w:hAnsi="Simplified Arabic" w:cs="Simplified Arabic"/>
          <w:color w:val="000000" w:themeColor="text1"/>
          <w:kern w:val="0"/>
          <w:sz w:val="28"/>
          <w:szCs w:val="28"/>
          <w14:ligatures w14:val="none"/>
        </w:rPr>
        <w:t>.</w:t>
      </w:r>
    </w:p>
    <w:p w14:paraId="682791AB"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ثامنًا: يرى (الطراونة، 2021) أن من أهداف الأداء المؤسسي تحقيق التوازن بين متطلبات المنظمة ومتطلبات العاملين، عبر تحسين جودة حياة العمل، بما يُحقّق التبادلية بين رفاه الفرد وكفاءة المنظمة</w:t>
      </w:r>
      <w:r w:rsidRPr="000007C7">
        <w:rPr>
          <w:rFonts w:ascii="Simplified Arabic" w:eastAsia="Times New Roman" w:hAnsi="Simplified Arabic" w:cs="Simplified Arabic"/>
          <w:color w:val="000000" w:themeColor="text1"/>
          <w:kern w:val="0"/>
          <w:sz w:val="28"/>
          <w:szCs w:val="28"/>
          <w14:ligatures w14:val="none"/>
        </w:rPr>
        <w:t>.</w:t>
      </w:r>
    </w:p>
    <w:p w14:paraId="510C4E86"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تاسعًا: يُضيف (عبدالرحمن، 2022) أن منظومة الأداء تستهدف بناء قدرة المنظمة على الرشاقة التنظيمية، وتطوير آليات الاستجابة السريعة لتحوّلات البيئة، وتعزيز المرونة في الهياكل والعمليات. ويُكمل (الفرجاني وخلف الله، 2022) هذه الصورة بالإشارة إلى أن من أهداف الأداء تحقيق التوجه الاستراتيجي، وتفعيل قدرة المنظمة على قراءة بيئتها واستثمار فرصها. ويرى (أبوبكر، 2026) أن الأداء يستهدف توظيف نظم المعلومات في تعزيز القدرة المؤسسية على معالجة البيانات وتحويلها إلى قرارات فاعلة</w:t>
      </w:r>
      <w:r w:rsidRPr="000007C7">
        <w:rPr>
          <w:rFonts w:ascii="Simplified Arabic" w:eastAsia="Times New Roman" w:hAnsi="Simplified Arabic" w:cs="Simplified Arabic"/>
          <w:color w:val="000000" w:themeColor="text1"/>
          <w:kern w:val="0"/>
          <w:sz w:val="28"/>
          <w:szCs w:val="28"/>
          <w14:ligatures w14:val="none"/>
        </w:rPr>
        <w:t>.</w:t>
      </w:r>
    </w:p>
    <w:p w14:paraId="602D38C1" w14:textId="66AD12E4" w:rsidR="002142FF" w:rsidRPr="000007C7" w:rsidRDefault="00F661FC" w:rsidP="00F661F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737574"/>
      <w:r w:rsidRPr="000007C7">
        <w:rPr>
          <w:rFonts w:ascii="Simplified Arabic" w:eastAsia="Times New Roman" w:hAnsi="Simplified Arabic" w:cs="Simplified Arabic" w:hint="cs"/>
          <w:b/>
          <w:bCs/>
          <w:color w:val="000000" w:themeColor="text1"/>
          <w:kern w:val="0"/>
          <w:sz w:val="32"/>
          <w:szCs w:val="32"/>
          <w:rtl/>
          <w14:ligatures w14:val="none"/>
        </w:rPr>
        <w:t>5.2.2</w:t>
      </w:r>
      <w:r w:rsidR="002142FF" w:rsidRPr="000007C7">
        <w:rPr>
          <w:rFonts w:ascii="Simplified Arabic" w:eastAsia="Times New Roman" w:hAnsi="Simplified Arabic" w:cs="Simplified Arabic"/>
          <w:b/>
          <w:bCs/>
          <w:color w:val="000000" w:themeColor="text1"/>
          <w:kern w:val="0"/>
          <w:sz w:val="32"/>
          <w:szCs w:val="32"/>
          <w:rtl/>
          <w14:ligatures w14:val="none"/>
        </w:rPr>
        <w:t xml:space="preserve"> أبعاد الأداء المؤسسي ومؤشرات قياسه</w:t>
      </w:r>
      <w:bookmarkEnd w:id="43"/>
    </w:p>
    <w:p w14:paraId="41E7284B"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نظرًا لأن المتغير التابع في هذه الدراسة أحادي المحور، فإن تناول أبعاده يكتسب طابعًا تكامليًا يستوعب مختلف المؤشرات التي تشكّل بمجموعها صورة الأداء المؤسسي. وقد تم بناء هذا التصوّر استنادًا إلى ما طرحه (منصور، 2023) في إطار النموذج الأوروبي للتميز، و</w:t>
      </w:r>
      <w:r w:rsidRPr="000007C7">
        <w:rPr>
          <w:rFonts w:ascii="Simplified Arabic" w:eastAsia="Times New Roman" w:hAnsi="Simplified Arabic" w:cs="Simplified Arabic"/>
          <w:color w:val="000000" w:themeColor="text1"/>
          <w:kern w:val="0"/>
          <w:sz w:val="28"/>
          <w:szCs w:val="28"/>
          <w14:ligatures w14:val="none"/>
        </w:rPr>
        <w:t xml:space="preserve">(Iqbal </w:t>
      </w:r>
      <w:r w:rsidRPr="000007C7">
        <w:rPr>
          <w:rFonts w:ascii="Simplified Arabic" w:eastAsia="Times New Roman" w:hAnsi="Simplified Arabic" w:cs="Simplified Arabic"/>
          <w:color w:val="000000" w:themeColor="text1"/>
          <w:kern w:val="0"/>
          <w:sz w:val="28"/>
          <w:szCs w:val="28"/>
          <w:rtl/>
          <w14:ligatures w14:val="none"/>
        </w:rPr>
        <w:t>وآخرون، 2024</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في إطار إدارة الأداء، و(الزهراني، 2023) في إطار الجودة الشاملة، بحيث تتجمّع هذه المداخل لتقديم منظومة مؤشرات شاملة تُغطّي الأبعاد المختلفة للأداء</w:t>
      </w:r>
      <w:r w:rsidRPr="000007C7">
        <w:rPr>
          <w:rFonts w:ascii="Simplified Arabic" w:eastAsia="Times New Roman" w:hAnsi="Simplified Arabic" w:cs="Simplified Arabic"/>
          <w:color w:val="000000" w:themeColor="text1"/>
          <w:kern w:val="0"/>
          <w:sz w:val="28"/>
          <w:szCs w:val="28"/>
          <w14:ligatures w14:val="none"/>
        </w:rPr>
        <w:t>.</w:t>
      </w:r>
    </w:p>
    <w:p w14:paraId="5C019977"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يُمثّل البُعد الاستراتيجي أحد المكوّنات المركزية للأداء المؤسسي، ويتعلق بقدرة المنظمة على تحقيق أهدافها الاستراتيجية المُعلَنة، والوفاء برؤيتها ورسالتها، والاستجابة للتحديات الكبرى التي تواجهها. ويُشير (الفرجاني وخلف الله، 2022) إلى أن هذا البُعد يُقاس عبر مؤشرات مثل تحقيق الأهداف طويلة المدى، والقدرة على التكيف مع التحوّلات البيئية، وبناء الميزة التنافسية المستدامة. ويتقاطع هذا البُعد مع ما طرحه (حمزة وآخرون، 2024) حول التخطيط الاستراتيجي بوصفه الإطار الذي يُولّد الأداء المتميز</w:t>
      </w:r>
      <w:r w:rsidRPr="000007C7">
        <w:rPr>
          <w:rFonts w:ascii="Simplified Arabic" w:eastAsia="Times New Roman" w:hAnsi="Simplified Arabic" w:cs="Simplified Arabic"/>
          <w:color w:val="000000" w:themeColor="text1"/>
          <w:kern w:val="0"/>
          <w:sz w:val="28"/>
          <w:szCs w:val="28"/>
          <w14:ligatures w14:val="none"/>
        </w:rPr>
        <w:t>.</w:t>
      </w:r>
    </w:p>
    <w:p w14:paraId="44694A5D"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lastRenderedPageBreak/>
        <w:t>ويتمثّل البُعد التشغيلي في كفاءة العمليات الداخلية للمنظمة، وقدرتها على إنجاز مهامها بأقل قدر من الفاقد وأعلى مستوى من الجودة. ويُبيّن (الزهراني، 2023) أن هذا البُعد يُقاس عبر مؤشرات الكفاءة التشغيلية، ومعدلات الإنتاجية، وجودة المخرجات، ومدى توافقها مع معايير الجودة الشاملة. ويُكمل (السياني وغانم، 2025) هذه الصورة بالإشارة إلى أن الأداء التشغيلي يتقاطع مع كفاءة سلاسل التوريد والممارسات اللوجستية التي تُغذّي العمليات الإنتاجية</w:t>
      </w:r>
      <w:r w:rsidRPr="000007C7">
        <w:rPr>
          <w:rFonts w:ascii="Simplified Arabic" w:eastAsia="Times New Roman" w:hAnsi="Simplified Arabic" w:cs="Simplified Arabic"/>
          <w:color w:val="000000" w:themeColor="text1"/>
          <w:kern w:val="0"/>
          <w:sz w:val="28"/>
          <w:szCs w:val="28"/>
          <w14:ligatures w14:val="none"/>
        </w:rPr>
        <w:t>.</w:t>
      </w:r>
    </w:p>
    <w:p w14:paraId="1656AD5A"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ويأتي البُعد المالي ليُمثّل المظهر الاقتصادي للأداء، ويتعلق بقدرة المنظمة على تحقيق العوائد المُستهدفة، وإدارة مواردها المالية بكفاءة، وضمان استدامتها الاقتصادية. ويُشير (أحمد وآخرون، 2023) إلى أن هذا البُعد يرتبط أيضًا بإدارة المخاطر المالية التي تواجهها المنظمة، وقدرتها على الموازنة بين الفرص والمخاطر في قراراتها الاستثمارية</w:t>
      </w:r>
      <w:r w:rsidRPr="000007C7">
        <w:rPr>
          <w:rFonts w:ascii="Simplified Arabic" w:eastAsia="Times New Roman" w:hAnsi="Simplified Arabic" w:cs="Simplified Arabic"/>
          <w:color w:val="000000" w:themeColor="text1"/>
          <w:kern w:val="0"/>
          <w:sz w:val="28"/>
          <w:szCs w:val="28"/>
          <w14:ligatures w14:val="none"/>
        </w:rPr>
        <w:t>.</w:t>
      </w:r>
    </w:p>
    <w:p w14:paraId="164507D3"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ويتعلق البُعد الإنساني بقدرة المنظمة على إدارة مواردها البشرية بكفاءة، وتحقيق رضا العاملين والتزامهم وانخراطهم. ويُبيّن</w:t>
      </w:r>
      <w:r w:rsidRPr="000007C7">
        <w:rPr>
          <w:rFonts w:ascii="Simplified Arabic" w:eastAsia="Times New Roman" w:hAnsi="Simplified Arabic" w:cs="Simplified Arabic"/>
          <w:color w:val="000000" w:themeColor="text1"/>
          <w:kern w:val="0"/>
          <w:sz w:val="28"/>
          <w:szCs w:val="28"/>
          <w14:ligatures w14:val="none"/>
        </w:rPr>
        <w:t xml:space="preserve"> (Pusparani </w:t>
      </w:r>
      <w:r w:rsidRPr="000007C7">
        <w:rPr>
          <w:rFonts w:ascii="Simplified Arabic" w:eastAsia="Times New Roman" w:hAnsi="Simplified Arabic" w:cs="Simplified Arabic"/>
          <w:color w:val="000000" w:themeColor="text1"/>
          <w:kern w:val="0"/>
          <w:sz w:val="28"/>
          <w:szCs w:val="28"/>
          <w:rtl/>
          <w14:ligatures w14:val="none"/>
        </w:rPr>
        <w:t>وآخرون، 2021</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أن هذا البُعد يُقاس عبر مؤشرات بيئة العمل والرضا الوظيفي والالتزام التنظيمي، التي تتفاعل فيما بينها لتشكيل صورة الأداء الإنساني. ويُكمل (الطراونة، 2021) هذه الصورة بالإشارة إلى أن جودة حياة العمل تُمثّل مؤشرًا مركزيًا في هذا البُعد، إذ تنعكس على إنتاجية العاملين والتزامهم</w:t>
      </w:r>
      <w:r w:rsidRPr="000007C7">
        <w:rPr>
          <w:rFonts w:ascii="Simplified Arabic" w:eastAsia="Times New Roman" w:hAnsi="Simplified Arabic" w:cs="Simplified Arabic"/>
          <w:color w:val="000000" w:themeColor="text1"/>
          <w:kern w:val="0"/>
          <w:sz w:val="28"/>
          <w:szCs w:val="28"/>
          <w14:ligatures w14:val="none"/>
        </w:rPr>
        <w:t>.</w:t>
      </w:r>
    </w:p>
    <w:p w14:paraId="7149F0FB"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ويُمثّل البُعد المعرفي مكوّنًا متناميًا في منظومة الأداء، ويتعلق بقدرة المنظمة على توليد المعرفة وتوظيفها والاستفادة منها. ويُشير (المندلاوي، 2024) إلى أن هذا البُعد يُقاس عبر مؤشرات إدارة المعرفة، ومستوى التعلم التنظيمي، وقدرة المنظمة على الاحتفاظ بذاكرتها وتطويرها</w:t>
      </w:r>
      <w:r w:rsidRPr="000007C7">
        <w:rPr>
          <w:rFonts w:ascii="Simplified Arabic" w:eastAsia="Times New Roman" w:hAnsi="Simplified Arabic" w:cs="Simplified Arabic"/>
          <w:color w:val="000000" w:themeColor="text1"/>
          <w:kern w:val="0"/>
          <w:sz w:val="28"/>
          <w:szCs w:val="28"/>
          <w14:ligatures w14:val="none"/>
        </w:rPr>
        <w:t>.</w:t>
      </w:r>
    </w:p>
    <w:p w14:paraId="3CAECA64"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ويأتي البُعد المتعلق بأصحاب المصلحة ليُمثّل قدرة المنظمة على تحقيق التوازن بين مصالح الأطراف المختلفة المرتبطة بها، من عاملين ومستفيدين وشركاء ومجتمع. ويُبيّن (عبدالمعز، 2024) أن هذا البُعد يتقاطع مع ممارسات الحوكمة الرشيدة، التي تستهدف حماية حقوق أصحاب المصلحة وضمان مشاركتهم في صناعة القرار</w:t>
      </w:r>
      <w:r w:rsidRPr="000007C7">
        <w:rPr>
          <w:rFonts w:ascii="Simplified Arabic" w:eastAsia="Times New Roman" w:hAnsi="Simplified Arabic" w:cs="Simplified Arabic"/>
          <w:color w:val="000000" w:themeColor="text1"/>
          <w:kern w:val="0"/>
          <w:sz w:val="28"/>
          <w:szCs w:val="28"/>
          <w14:ligatures w14:val="none"/>
        </w:rPr>
        <w:t>.</w:t>
      </w:r>
    </w:p>
    <w:p w14:paraId="189725E3"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 xml:space="preserve">ويتمثّل بُعد الرشاقة والاستجابة في قدرة المنظمة على التكيف مع تحوّلات البيئة، والاستجابة السريعة للفرص والتحديات. ويُشير (عبدالرحمن، 2022) إلى أن هذا البُعد يُقاس عبر مؤشرات المرونة الهيكلية، وسرعة اتخاذ القرار، والقدرة على إعادة تشكيل العمليات والموارد بحسب متطلبات اللحظة. ويُضيف (الخوالدة </w:t>
      </w:r>
      <w:r w:rsidRPr="000007C7">
        <w:rPr>
          <w:rFonts w:ascii="Simplified Arabic" w:eastAsia="Times New Roman" w:hAnsi="Simplified Arabic" w:cs="Simplified Arabic"/>
          <w:color w:val="000000" w:themeColor="text1"/>
          <w:kern w:val="0"/>
          <w:sz w:val="28"/>
          <w:szCs w:val="28"/>
          <w:rtl/>
          <w14:ligatures w14:val="none"/>
        </w:rPr>
        <w:lastRenderedPageBreak/>
        <w:t>والشوابكة، 2023) أن البراعة المنظمية تُمثّل مكوّنًا مهمًا في هذا البُعد، حيث تجمع بين القدرة على الاستثمار الأمثل للموارد الحالية والقدرة على استكشاف فرص جديدة</w:t>
      </w:r>
      <w:r w:rsidRPr="000007C7">
        <w:rPr>
          <w:rFonts w:ascii="Simplified Arabic" w:eastAsia="Times New Roman" w:hAnsi="Simplified Arabic" w:cs="Simplified Arabic"/>
          <w:color w:val="000000" w:themeColor="text1"/>
          <w:kern w:val="0"/>
          <w:sz w:val="28"/>
          <w:szCs w:val="28"/>
          <w14:ligatures w14:val="none"/>
        </w:rPr>
        <w:t>.</w:t>
      </w:r>
    </w:p>
    <w:p w14:paraId="79953AD8"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ويأتي بُعد الاستدامة ليُمثّل قدرة المنظمة على الحفاظ على أدائها عبر الزمن، والتعامل مع الأزمات والمخاطر. ويُبيّن (الراوي وآخرون، 2025) أن هذا البُعد يتقاطع مع ممارسات استمرارية الأعمال وإدارة المخاطر، التي تستهدف ضمان قدرة المنظمة على الصمود في مواجهة الاضطرابات. ويُشير (الحطاب وخشمان، 2024) إلى أن ذكاء الأعمال وإعادة هندسة العمليات يُسهمان في تعزيز هذا البُعد، عبر تمكين المنظمة من التنبؤ بالتحوّلات والاستعداد لها</w:t>
      </w:r>
      <w:r w:rsidRPr="000007C7">
        <w:rPr>
          <w:rFonts w:ascii="Simplified Arabic" w:eastAsia="Times New Roman" w:hAnsi="Simplified Arabic" w:cs="Simplified Arabic"/>
          <w:color w:val="000000" w:themeColor="text1"/>
          <w:kern w:val="0"/>
          <w:sz w:val="28"/>
          <w:szCs w:val="28"/>
          <w14:ligatures w14:val="none"/>
        </w:rPr>
        <w:t>.</w:t>
      </w:r>
    </w:p>
    <w:p w14:paraId="6CFF7850" w14:textId="4DFF51DC" w:rsidR="002142FF" w:rsidRPr="000007C7" w:rsidRDefault="00F661FC" w:rsidP="00F661F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737575"/>
      <w:r w:rsidRPr="000007C7">
        <w:rPr>
          <w:rFonts w:ascii="Simplified Arabic" w:eastAsia="Times New Roman" w:hAnsi="Simplified Arabic" w:cs="Simplified Arabic" w:hint="cs"/>
          <w:b/>
          <w:bCs/>
          <w:color w:val="000000" w:themeColor="text1"/>
          <w:kern w:val="0"/>
          <w:sz w:val="32"/>
          <w:szCs w:val="32"/>
          <w:rtl/>
          <w14:ligatures w14:val="none"/>
        </w:rPr>
        <w:t>6.2.2</w:t>
      </w:r>
      <w:r w:rsidR="002142FF" w:rsidRPr="000007C7">
        <w:rPr>
          <w:rFonts w:ascii="Simplified Arabic" w:eastAsia="Times New Roman" w:hAnsi="Simplified Arabic" w:cs="Simplified Arabic"/>
          <w:b/>
          <w:bCs/>
          <w:color w:val="000000" w:themeColor="text1"/>
          <w:kern w:val="0"/>
          <w:sz w:val="32"/>
          <w:szCs w:val="32"/>
          <w:rtl/>
          <w14:ligatures w14:val="none"/>
        </w:rPr>
        <w:t xml:space="preserve"> استراتيجيات تعزيز الأداء المؤسسي</w:t>
      </w:r>
      <w:bookmarkEnd w:id="44"/>
    </w:p>
    <w:p w14:paraId="1FB77B0B"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تتعدد الاستراتيجيات التي تتبنّاها المنظمات لتعزيز أدائها المؤسسي، وتتنوع بحسب الفلسفة الإدارية والسياق الذي تعمل ضمنه. وتنطلق الاستراتيجية الأولى من تبنّي التخطيط الاستراتيجي بوصفه إطارًا حاكمًا للأداء، كما يُشير (حمزة وآخرون، 2024)، حيث يُترجم التخطيط الرؤية إلى أهداف ومؤشرات قابلة للقياس، ويُحوّل الطموحات إلى مسارات تنفيذية. ويُكمل (الفرجاني وخلف الله، 2022) هذه الصورة بالإشارة إلى أن التوجه الاستراتيجي يُمثّل الأرضية التي تُبنى عليها كل قرارات الأداء</w:t>
      </w:r>
      <w:r w:rsidRPr="000007C7">
        <w:rPr>
          <w:rFonts w:ascii="Simplified Arabic" w:eastAsia="Times New Roman" w:hAnsi="Simplified Arabic" w:cs="Simplified Arabic"/>
          <w:color w:val="000000" w:themeColor="text1"/>
          <w:kern w:val="0"/>
          <w:sz w:val="28"/>
          <w:szCs w:val="28"/>
          <w14:ligatures w14:val="none"/>
        </w:rPr>
        <w:t>.</w:t>
      </w:r>
    </w:p>
    <w:p w14:paraId="5CF810B6"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وتتمثّل الاستراتيجية الثانية في تطبيق منظومة إدارة الأداء بصورة متكاملة، كما يطرح</w:t>
      </w:r>
      <w:r w:rsidRPr="000007C7">
        <w:rPr>
          <w:rFonts w:ascii="Simplified Arabic" w:eastAsia="Times New Roman" w:hAnsi="Simplified Arabic" w:cs="Simplified Arabic"/>
          <w:color w:val="000000" w:themeColor="text1"/>
          <w:kern w:val="0"/>
          <w:sz w:val="28"/>
          <w:szCs w:val="28"/>
          <w14:ligatures w14:val="none"/>
        </w:rPr>
        <w:t xml:space="preserve"> (Iqbal </w:t>
      </w:r>
      <w:r w:rsidRPr="000007C7">
        <w:rPr>
          <w:rFonts w:ascii="Simplified Arabic" w:eastAsia="Times New Roman" w:hAnsi="Simplified Arabic" w:cs="Simplified Arabic"/>
          <w:color w:val="000000" w:themeColor="text1"/>
          <w:kern w:val="0"/>
          <w:sz w:val="28"/>
          <w:szCs w:val="28"/>
          <w:rtl/>
          <w14:ligatures w14:val="none"/>
        </w:rPr>
        <w:t>وآخرون، 2024</w:t>
      </w:r>
      <w:r w:rsidRPr="000007C7">
        <w:rPr>
          <w:rFonts w:ascii="Simplified Arabic" w:eastAsia="Times New Roman" w:hAnsi="Simplified Arabic" w:cs="Simplified Arabic"/>
          <w:color w:val="000000" w:themeColor="text1"/>
          <w:kern w:val="0"/>
          <w:sz w:val="28"/>
          <w:szCs w:val="28"/>
          <w14:ligatures w14:val="none"/>
        </w:rPr>
        <w:t>)</w:t>
      </w:r>
      <w:r w:rsidRPr="000007C7">
        <w:rPr>
          <w:rFonts w:ascii="Simplified Arabic" w:eastAsia="Times New Roman" w:hAnsi="Simplified Arabic" w:cs="Simplified Arabic"/>
          <w:color w:val="000000" w:themeColor="text1"/>
          <w:kern w:val="0"/>
          <w:sz w:val="28"/>
          <w:szCs w:val="28"/>
          <w:rtl/>
          <w14:ligatures w14:val="none"/>
        </w:rPr>
        <w:t>، عبر ربط الأهداف الفردية بأهداف الفريق والمنظمة، وبناء آليات لقياس الأداء والمتابعة والتطوير المستمر. وتأتي الاستراتيجية الثالثة في صورة تطبيق إدارة الجودة الشاملة، كما يطرح (الزهراني، 2023)، حيث تتغلغل معايير الجودة في كل العمليات، وتُصبح ثقافة مؤسسية تتجاوز كونها إجراءات شكلية</w:t>
      </w:r>
      <w:r w:rsidRPr="000007C7">
        <w:rPr>
          <w:rFonts w:ascii="Simplified Arabic" w:eastAsia="Times New Roman" w:hAnsi="Simplified Arabic" w:cs="Simplified Arabic"/>
          <w:color w:val="000000" w:themeColor="text1"/>
          <w:kern w:val="0"/>
          <w:sz w:val="28"/>
          <w:szCs w:val="28"/>
          <w14:ligatures w14:val="none"/>
        </w:rPr>
        <w:t>.</w:t>
      </w:r>
    </w:p>
    <w:p w14:paraId="33A60D67"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وتتعلق الاستراتيجية الرابعة بتعزيز الرشاقة التنظيمية، كما يُشير (عبدالرحمن، 2022)، عبر بناء هياكل مرنة، وتمكين العاملين من اتخاذ القرارات، وتقليل البيروقراطية، بما يُمكّن المنظمة من الاستجابة السريعة للتحوّلات. وتأتي الاستراتيجية الخامسة في صورة تطبيق الحوكمة الرشيدة، كما يطرح (عبدالمعز، 2024)، عبر ترسيخ الشفافية والمساءلة، وحماية حقوق أصحاب المصلحة، وضمان التزام المنظمة بالأطر القانونية والأخلاقية</w:t>
      </w:r>
      <w:r w:rsidRPr="000007C7">
        <w:rPr>
          <w:rFonts w:ascii="Simplified Arabic" w:eastAsia="Times New Roman" w:hAnsi="Simplified Arabic" w:cs="Simplified Arabic"/>
          <w:color w:val="000000" w:themeColor="text1"/>
          <w:kern w:val="0"/>
          <w:sz w:val="28"/>
          <w:szCs w:val="28"/>
          <w14:ligatures w14:val="none"/>
        </w:rPr>
        <w:t>.</w:t>
      </w:r>
    </w:p>
    <w:p w14:paraId="045D08DB"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 xml:space="preserve">وتتعلق الاستراتيجية السادسة بتفعيل إدارة المعرفة، كما يُشير (المندلاوي، 2024)، عبر بناء منظومات لتوليد المعرفة وتخزينها وتبادلها واستثمارها، بما يُحوّل المنظمة إلى كيان مُتعلِّم. وتأتي الاستراتيجية السابعة </w:t>
      </w:r>
      <w:r w:rsidRPr="000007C7">
        <w:rPr>
          <w:rFonts w:ascii="Simplified Arabic" w:eastAsia="Times New Roman" w:hAnsi="Simplified Arabic" w:cs="Simplified Arabic"/>
          <w:color w:val="000000" w:themeColor="text1"/>
          <w:kern w:val="0"/>
          <w:sz w:val="28"/>
          <w:szCs w:val="28"/>
          <w:rtl/>
          <w14:ligatures w14:val="none"/>
        </w:rPr>
        <w:lastRenderedPageBreak/>
        <w:t>في صورة تطوير الاتصال الداخلي، كما يطرح (الحربي، 2025)، عبر بناء قنوات تواصل متعددة الاتجاهات تضمن انسياب المعلومات وتقلل الفجوات بين المستويات الإدارية. ويُضيف</w:t>
      </w:r>
      <w:r w:rsidRPr="000007C7">
        <w:rPr>
          <w:rFonts w:ascii="Simplified Arabic" w:eastAsia="Times New Roman" w:hAnsi="Simplified Arabic" w:cs="Simplified Arabic"/>
          <w:color w:val="000000" w:themeColor="text1"/>
          <w:kern w:val="0"/>
          <w:sz w:val="28"/>
          <w:szCs w:val="28"/>
          <w14:ligatures w14:val="none"/>
        </w:rPr>
        <w:t xml:space="preserve"> (Cardon </w:t>
      </w:r>
      <w:r w:rsidRPr="000007C7">
        <w:rPr>
          <w:rFonts w:ascii="Simplified Arabic" w:eastAsia="Times New Roman" w:hAnsi="Simplified Arabic" w:cs="Simplified Arabic"/>
          <w:color w:val="000000" w:themeColor="text1"/>
          <w:kern w:val="0"/>
          <w:sz w:val="28"/>
          <w:szCs w:val="28"/>
          <w:rtl/>
          <w14:ligatures w14:val="none"/>
        </w:rPr>
        <w:t>وآخرون، 2025</w:t>
      </w:r>
      <w:r w:rsidRPr="000007C7">
        <w:rPr>
          <w:rFonts w:ascii="Simplified Arabic" w:eastAsia="Times New Roman" w:hAnsi="Simplified Arabic" w:cs="Simplified Arabic"/>
          <w:color w:val="000000" w:themeColor="text1"/>
          <w:kern w:val="0"/>
          <w:sz w:val="28"/>
          <w:szCs w:val="28"/>
          <w14:ligatures w14:val="none"/>
        </w:rPr>
        <w:t xml:space="preserve">) </w:t>
      </w:r>
      <w:r w:rsidRPr="000007C7">
        <w:rPr>
          <w:rFonts w:ascii="Simplified Arabic" w:eastAsia="Times New Roman" w:hAnsi="Simplified Arabic" w:cs="Simplified Arabic"/>
          <w:color w:val="000000" w:themeColor="text1"/>
          <w:kern w:val="0"/>
          <w:sz w:val="28"/>
          <w:szCs w:val="28"/>
          <w:rtl/>
          <w14:ligatures w14:val="none"/>
        </w:rPr>
        <w:t>أن المنصات الرقمية الداخلية تُمثّل أداة فاعلة في هذا الإطار، حين تُستخدم بوعي قيادي يُركّز على الإصغاء لا على البث وحده</w:t>
      </w:r>
      <w:r w:rsidRPr="000007C7">
        <w:rPr>
          <w:rFonts w:ascii="Simplified Arabic" w:eastAsia="Times New Roman" w:hAnsi="Simplified Arabic" w:cs="Simplified Arabic"/>
          <w:color w:val="000000" w:themeColor="text1"/>
          <w:kern w:val="0"/>
          <w:sz w:val="28"/>
          <w:szCs w:val="28"/>
          <w14:ligatures w14:val="none"/>
        </w:rPr>
        <w:t>.</w:t>
      </w:r>
    </w:p>
    <w:p w14:paraId="00296446"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وتتعلق الاستراتيجية الثامنة بتوظيف نظم المعلومات الإدارية، كما يُشير (أبوبكر، 2026)، عبر بناء بنية تحتية معلوماتية تدعم اتخاذ القرار، وتُتيح معالجة البيانات وتحويلها إلى رؤى قابلة للتطبيق. ويُكمل (الحطاب وخشمان، 2024) هذه الصورة بالإشارة إلى أن ذكاء الأعمال يُمثّل المستوى المتقدم من توظيف المعلومات في الأداء</w:t>
      </w:r>
      <w:r w:rsidRPr="000007C7">
        <w:rPr>
          <w:rFonts w:ascii="Simplified Arabic" w:eastAsia="Times New Roman" w:hAnsi="Simplified Arabic" w:cs="Simplified Arabic"/>
          <w:color w:val="000000" w:themeColor="text1"/>
          <w:kern w:val="0"/>
          <w:sz w:val="28"/>
          <w:szCs w:val="28"/>
          <w14:ligatures w14:val="none"/>
        </w:rPr>
        <w:t>.</w:t>
      </w:r>
    </w:p>
    <w:p w14:paraId="4EF87312"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007C7">
        <w:rPr>
          <w:rFonts w:ascii="Simplified Arabic" w:eastAsia="Times New Roman" w:hAnsi="Simplified Arabic" w:cs="Simplified Arabic"/>
          <w:color w:val="000000" w:themeColor="text1"/>
          <w:kern w:val="0"/>
          <w:sz w:val="28"/>
          <w:szCs w:val="28"/>
          <w:rtl/>
          <w14:ligatures w14:val="none"/>
        </w:rPr>
        <w:t>وتأتي الاستراتيجية التاسعة في صورة الاستثمار في رأس المال البشري وجودة حياة العمل، كما يُشير (الطراونة، 2021)، عبر تحسين بيئة العمل، وتقديم برامج تطوير العاملين، وبناء علاقة تبادلية بين رفاه الفرد وأداء المنظمة. ويُضيف (جمال وآخرون، 2023) أن بيئة العمل تتقاطع مع الرضا الوظيفي ونوايا الدوران، بما يجعلها مدخلًا مهمًا للأداء. ويُكمل (الشريف، 2023) هذه الصورة بالإشارة إلى أن الاحترافية في الممارسات الإدارية تُمثّل مكوّنًا مهمًا في تحسين الأداء، حين تتحول إلى ثقافة مؤسسية متجذرة</w:t>
      </w:r>
      <w:r w:rsidRPr="000007C7">
        <w:rPr>
          <w:rFonts w:ascii="Simplified Arabic" w:eastAsia="Times New Roman" w:hAnsi="Simplified Arabic" w:cs="Simplified Arabic"/>
          <w:color w:val="000000" w:themeColor="text1"/>
          <w:kern w:val="0"/>
          <w:sz w:val="28"/>
          <w:szCs w:val="28"/>
          <w14:ligatures w14:val="none"/>
        </w:rPr>
        <w:t>.</w:t>
      </w:r>
    </w:p>
    <w:p w14:paraId="2C6368BC" w14:textId="77777777" w:rsidR="002142FF" w:rsidRPr="000007C7" w:rsidRDefault="002142FF" w:rsidP="00F661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007C7">
        <w:rPr>
          <w:rFonts w:ascii="Simplified Arabic" w:eastAsia="Times New Roman" w:hAnsi="Simplified Arabic" w:cs="Simplified Arabic"/>
          <w:color w:val="000000" w:themeColor="text1"/>
          <w:kern w:val="0"/>
          <w:sz w:val="28"/>
          <w:szCs w:val="28"/>
          <w:rtl/>
          <w14:ligatures w14:val="none"/>
        </w:rPr>
        <w:t>وتتعلق الاستراتيجية العاشرة ببناء قدرة المنظمة على استمرارية الأعمال وإدارة المخاطر، كما يطرح (الراوي وآخرون، 2025)، عبر تبنّي مواصفات دولية تضمن قدرة المنظمة على الصمود في مواجهة الأزمات. وتأتي الاستراتيجية الحادية عشرة في صورة تعزيز المرونة وبيئات العمل المرنة، كما يُشير (عبد الزهرة علي، 2025)، حيث تُمثّل المرونة في تنظيم العمل عاملًا مُعزّزًا للإنتاجية. ويُكمل (المطيري والحازمي، 2023) هذه الصورة بالإشارة إلى أن بيئة العمل التنظيمية تُمثّل أرضية حاسمة لتحسين الأداء</w:t>
      </w:r>
      <w:r w:rsidRPr="000007C7">
        <w:rPr>
          <w:rFonts w:ascii="Simplified Arabic" w:eastAsia="Times New Roman" w:hAnsi="Simplified Arabic" w:cs="Simplified Arabic"/>
          <w:color w:val="000000" w:themeColor="text1"/>
          <w:kern w:val="0"/>
          <w:sz w:val="28"/>
          <w:szCs w:val="28"/>
          <w14:ligatures w14:val="none"/>
        </w:rPr>
        <w:t>.</w:t>
      </w:r>
    </w:p>
    <w:p w14:paraId="1731C769" w14:textId="678A4F88" w:rsidR="000007C7" w:rsidRPr="000007C7" w:rsidRDefault="00F661FC" w:rsidP="005108B1">
      <w:pPr>
        <w:jc w:val="center"/>
        <w:outlineLvl w:val="0"/>
        <w:rPr>
          <w:rFonts w:ascii="Simplified Arabic" w:hAnsi="Simplified Arabic" w:cs="Simplified Arabic"/>
          <w:b/>
          <w:bCs/>
          <w:color w:val="000000" w:themeColor="text1"/>
          <w:szCs w:val="28"/>
          <w:rtl/>
        </w:rPr>
        <w:sectPr w:rsidR="000007C7" w:rsidRPr="000007C7" w:rsidSect="00CF3354">
          <w:footerReference w:type="default" r:id="rId10"/>
          <w:pgSz w:w="11906" w:h="16838" w:code="9"/>
          <w:pgMar w:top="1134" w:right="1701" w:bottom="1134" w:left="1134" w:header="720" w:footer="720" w:gutter="0"/>
          <w:pgNumType w:start="1"/>
          <w:cols w:space="708"/>
          <w:bidi/>
          <w:rtlGutter/>
          <w:docGrid w:linePitch="360"/>
        </w:sectPr>
      </w:pPr>
      <w:r w:rsidRPr="000007C7">
        <w:rPr>
          <w:rFonts w:ascii="Simplified Arabic" w:eastAsia="Times New Roman" w:hAnsi="Simplified Arabic" w:cs="Simplified Arabic"/>
          <w:b/>
          <w:bCs/>
          <w:color w:val="000000" w:themeColor="text1"/>
          <w:kern w:val="0"/>
          <w:sz w:val="40"/>
          <w:szCs w:val="40"/>
          <w:rtl/>
          <w14:ligatures w14:val="none"/>
        </w:rPr>
        <w:br w:type="page"/>
      </w:r>
      <w:bookmarkStart w:id="45" w:name="_GoBack"/>
      <w:bookmarkEnd w:id="18"/>
      <w:bookmarkEnd w:id="45"/>
    </w:p>
    <w:p w14:paraId="29D4231B" w14:textId="50BCD212" w:rsidR="0081623B" w:rsidRPr="000007C7" w:rsidRDefault="00E27D3B" w:rsidP="000007C7">
      <w:pPr>
        <w:bidi w:val="0"/>
        <w:spacing w:before="100" w:beforeAutospacing="1" w:after="100" w:afterAutospacing="1" w:line="276" w:lineRule="auto"/>
        <w:jc w:val="both"/>
        <w:rPr>
          <w:rFonts w:asciiTheme="majorBidi" w:eastAsia="Calibri" w:hAnsiTheme="majorBidi" w:cstheme="majorBidi"/>
          <w:b/>
          <w:bCs/>
          <w:color w:val="000000" w:themeColor="text1"/>
          <w:sz w:val="32"/>
          <w:szCs w:val="32"/>
          <w:lang w:bidi="ar-EG"/>
        </w:rPr>
      </w:pPr>
      <w:r w:rsidRPr="000007C7">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47696A06">
            <wp:simplePos x="0" y="0"/>
            <wp:positionH relativeFrom="column">
              <wp:posOffset>4179570</wp:posOffset>
            </wp:positionH>
            <wp:positionV relativeFrom="paragraph">
              <wp:posOffset>0</wp:posOffset>
            </wp:positionV>
            <wp:extent cx="1461135" cy="1353185"/>
            <wp:effectExtent l="0" t="0" r="5715" b="0"/>
            <wp:wrapTight wrapText="bothSides">
              <wp:wrapPolygon edited="0">
                <wp:start x="0" y="0"/>
                <wp:lineTo x="0" y="21286"/>
                <wp:lineTo x="21403" y="21286"/>
                <wp:lineTo x="21403"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61135" cy="135318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0007C7">
        <w:rPr>
          <w:rFonts w:asciiTheme="majorBidi" w:eastAsia="Calibri" w:hAnsiTheme="majorBidi" w:cstheme="majorBidi"/>
          <w:b/>
          <w:bCs/>
          <w:color w:val="000000" w:themeColor="text1"/>
          <w:kern w:val="0"/>
          <w:sz w:val="32"/>
          <w:szCs w:val="32"/>
          <w:lang w:bidi="ar-EG"/>
          <w14:ligatures w14:val="none"/>
        </w:rPr>
        <w:t>Mid</w:t>
      </w:r>
      <w:r w:rsidR="000D353F" w:rsidRPr="000007C7">
        <w:rPr>
          <w:rFonts w:asciiTheme="majorBidi" w:eastAsia="Calibri" w:hAnsiTheme="majorBidi" w:cstheme="majorBidi"/>
          <w:b/>
          <w:bCs/>
          <w:color w:val="000000" w:themeColor="text1"/>
          <w:kern w:val="0"/>
          <w:sz w:val="32"/>
          <w:szCs w:val="32"/>
          <w:lang w:bidi="ar-EG"/>
          <w14:ligatures w14:val="none"/>
        </w:rPr>
        <w:t xml:space="preserve"> </w:t>
      </w:r>
      <w:r w:rsidR="0081623B" w:rsidRPr="000007C7">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0007C7" w:rsidRDefault="0081623B" w:rsidP="00CF3354">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0007C7">
        <w:rPr>
          <w:rFonts w:asciiTheme="majorBidi" w:eastAsia="Calibri" w:hAnsiTheme="majorBidi" w:cstheme="majorBidi"/>
          <w:b/>
          <w:bCs/>
          <w:color w:val="000000" w:themeColor="text1"/>
          <w:kern w:val="0"/>
          <w:sz w:val="32"/>
          <w:szCs w:val="32"/>
          <w:lang w:bidi="ar-EG"/>
          <w14:ligatures w14:val="none"/>
        </w:rPr>
        <w:t>College of Management</w:t>
      </w:r>
    </w:p>
    <w:p w14:paraId="7DB263AA" w14:textId="77777777" w:rsidR="002C04F8" w:rsidRPr="000007C7" w:rsidRDefault="00857739" w:rsidP="00CF3354">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rtl/>
          <w14:ligatures w14:val="none"/>
        </w:rPr>
      </w:pPr>
      <w:r w:rsidRPr="000007C7">
        <w:rPr>
          <w:rFonts w:asciiTheme="majorBidi" w:eastAsia="Calibri" w:hAnsiTheme="majorBidi" w:cstheme="majorBidi"/>
          <w:b/>
          <w:bCs/>
          <w:color w:val="000000" w:themeColor="text1"/>
          <w:kern w:val="0"/>
          <w:sz w:val="32"/>
          <w:szCs w:val="32"/>
          <w:lang w:bidi="ar-EG"/>
          <w14:ligatures w14:val="none"/>
        </w:rPr>
        <w:t xml:space="preserve">Department of </w:t>
      </w:r>
      <w:r w:rsidR="002C04F8" w:rsidRPr="000007C7">
        <w:rPr>
          <w:rFonts w:asciiTheme="majorBidi" w:eastAsia="Calibri" w:hAnsiTheme="majorBidi" w:cstheme="majorBidi"/>
          <w:b/>
          <w:bCs/>
          <w:color w:val="000000" w:themeColor="text1"/>
          <w:kern w:val="0"/>
          <w:sz w:val="32"/>
          <w:szCs w:val="32"/>
          <w14:ligatures w14:val="none"/>
        </w:rPr>
        <w:t>Business Administration</w:t>
      </w:r>
    </w:p>
    <w:p w14:paraId="04411127" w14:textId="77777777" w:rsidR="00E27D3B" w:rsidRPr="000007C7" w:rsidRDefault="00E27D3B" w:rsidP="00CF3354">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6D91A32B" w14:textId="77777777" w:rsidR="00646233" w:rsidRPr="000007C7" w:rsidRDefault="00646233" w:rsidP="000007C7">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r w:rsidRPr="000007C7">
        <w:rPr>
          <w:rFonts w:asciiTheme="majorBidi" w:eastAsia="Calibri" w:hAnsiTheme="majorBidi" w:cstheme="majorBidi"/>
          <w:b/>
          <w:bCs/>
          <w:color w:val="000000" w:themeColor="text1"/>
          <w:kern w:val="0"/>
          <w:sz w:val="40"/>
          <w:szCs w:val="40"/>
          <w:lang w:bidi="ar-EG"/>
          <w14:ligatures w14:val="none"/>
        </w:rPr>
        <w:t>The Impact of Workplace Entertainment Programs on Organizational Performance: An Empirical Study on a Sample of Private Sector Employees</w:t>
      </w:r>
    </w:p>
    <w:p w14:paraId="7D733B3E" w14:textId="77777777" w:rsidR="00646233" w:rsidRPr="000007C7" w:rsidRDefault="00646233" w:rsidP="00CF3354">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24532F5F" w14:textId="072DA72E" w:rsidR="000D353F" w:rsidRPr="000007C7" w:rsidRDefault="000D353F" w:rsidP="000007C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007C7">
        <w:rPr>
          <w:rFonts w:asciiTheme="majorBidi" w:eastAsia="Calibri" w:hAnsiTheme="majorBidi" w:cstheme="majorBidi"/>
          <w:b/>
          <w:bCs/>
          <w:color w:val="000000" w:themeColor="text1"/>
          <w:kern w:val="0"/>
          <w:sz w:val="36"/>
          <w:szCs w:val="36"/>
          <w:lang w:bidi="ar-EG"/>
          <w14:ligatures w14:val="none"/>
        </w:rPr>
        <w:t>Prepared by:</w:t>
      </w:r>
    </w:p>
    <w:p w14:paraId="08BD7CF7" w14:textId="77777777" w:rsidR="009A6DA0" w:rsidRPr="000007C7" w:rsidRDefault="009A6DA0" w:rsidP="000007C7">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0007C7">
        <w:rPr>
          <w:rFonts w:asciiTheme="majorBidi" w:eastAsia="Calibri" w:hAnsiTheme="majorBidi" w:cstheme="majorBidi"/>
          <w:color w:val="000000" w:themeColor="text1"/>
          <w:kern w:val="0"/>
          <w:sz w:val="36"/>
          <w:szCs w:val="36"/>
          <w:lang w:bidi="ar-EG"/>
          <w14:ligatures w14:val="none"/>
        </w:rPr>
        <w:t xml:space="preserve">Majed khaled </w:t>
      </w:r>
      <w:proofErr w:type="gramStart"/>
      <w:r w:rsidRPr="000007C7">
        <w:rPr>
          <w:rFonts w:asciiTheme="majorBidi" w:eastAsia="Calibri" w:hAnsiTheme="majorBidi" w:cstheme="majorBidi"/>
          <w:color w:val="000000" w:themeColor="text1"/>
          <w:kern w:val="0"/>
          <w:sz w:val="36"/>
          <w:szCs w:val="36"/>
          <w:lang w:bidi="ar-EG"/>
          <w14:ligatures w14:val="none"/>
        </w:rPr>
        <w:t>ahmed</w:t>
      </w:r>
      <w:proofErr w:type="gramEnd"/>
      <w:r w:rsidRPr="000007C7">
        <w:rPr>
          <w:rFonts w:asciiTheme="majorBidi" w:eastAsia="Calibri" w:hAnsiTheme="majorBidi" w:cstheme="majorBidi"/>
          <w:color w:val="000000" w:themeColor="text1"/>
          <w:kern w:val="0"/>
          <w:sz w:val="36"/>
          <w:szCs w:val="36"/>
          <w:lang w:bidi="ar-EG"/>
          <w14:ligatures w14:val="none"/>
        </w:rPr>
        <w:t xml:space="preserve"> alghamdi</w:t>
      </w:r>
    </w:p>
    <w:p w14:paraId="7296D620" w14:textId="686FCFB8" w:rsidR="00EA15E2" w:rsidRPr="000007C7" w:rsidRDefault="009A6DA0" w:rsidP="000007C7">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0007C7">
        <w:rPr>
          <w:rFonts w:asciiTheme="majorBidi" w:eastAsia="Calibri" w:hAnsiTheme="majorBidi" w:cstheme="majorBidi"/>
          <w:color w:val="000000" w:themeColor="text1"/>
          <w:kern w:val="0"/>
          <w:sz w:val="36"/>
          <w:szCs w:val="36"/>
          <w:lang w:bidi="ar-EG"/>
          <w14:ligatures w14:val="none"/>
        </w:rPr>
        <w:t>253000270</w:t>
      </w:r>
    </w:p>
    <w:p w14:paraId="6ECD10BB" w14:textId="77777777" w:rsidR="000007C7" w:rsidRPr="000007C7" w:rsidRDefault="000007C7" w:rsidP="000007C7">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0007C7" w:rsidRPr="000007C7" w14:paraId="71CC9BEA" w14:textId="77777777" w:rsidTr="00085DC4">
        <w:tc>
          <w:tcPr>
            <w:tcW w:w="4530" w:type="dxa"/>
          </w:tcPr>
          <w:p w14:paraId="6102AD3D" w14:textId="77777777" w:rsidR="000007C7" w:rsidRPr="000007C7" w:rsidRDefault="000007C7" w:rsidP="00085DC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007C7">
              <w:rPr>
                <w:rFonts w:asciiTheme="majorBidi" w:eastAsia="Calibri" w:hAnsiTheme="majorBidi" w:cstheme="majorBidi"/>
                <w:b/>
                <w:bCs/>
                <w:color w:val="000000" w:themeColor="text1"/>
                <w:kern w:val="0"/>
                <w:sz w:val="36"/>
                <w:szCs w:val="36"/>
                <w:lang w:bidi="ar-EG"/>
                <w14:ligatures w14:val="none"/>
              </w:rPr>
              <w:t>Main supervisor</w:t>
            </w:r>
            <w:r w:rsidRPr="000007C7">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3EBCF33F" w14:textId="77777777" w:rsidR="000007C7" w:rsidRPr="000007C7" w:rsidRDefault="000007C7" w:rsidP="00085DC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007C7">
              <w:rPr>
                <w:rFonts w:asciiTheme="majorBidi" w:eastAsia="Calibri" w:hAnsiTheme="majorBidi" w:cstheme="majorBidi"/>
                <w:b/>
                <w:bCs/>
                <w:color w:val="000000" w:themeColor="text1"/>
                <w:kern w:val="0"/>
                <w:sz w:val="36"/>
                <w:szCs w:val="36"/>
                <w:lang w:bidi="ar-EG"/>
                <w14:ligatures w14:val="none"/>
              </w:rPr>
              <w:t>Second supervisor</w:t>
            </w:r>
            <w:r w:rsidRPr="000007C7">
              <w:rPr>
                <w:rFonts w:asciiTheme="majorBidi" w:eastAsia="Calibri" w:hAnsiTheme="majorBidi" w:cstheme="majorBidi"/>
                <w:b/>
                <w:bCs/>
                <w:color w:val="000000" w:themeColor="text1"/>
                <w:kern w:val="0"/>
                <w:sz w:val="36"/>
                <w:szCs w:val="36"/>
                <w:rtl/>
                <w:lang w:bidi="ar-EG"/>
                <w14:ligatures w14:val="none"/>
              </w:rPr>
              <w:t>/</w:t>
            </w:r>
          </w:p>
        </w:tc>
      </w:tr>
      <w:tr w:rsidR="000007C7" w:rsidRPr="000007C7" w14:paraId="75E3BF8C" w14:textId="77777777" w:rsidTr="00085DC4">
        <w:tc>
          <w:tcPr>
            <w:tcW w:w="4530" w:type="dxa"/>
          </w:tcPr>
          <w:p w14:paraId="51864CA7" w14:textId="77777777" w:rsidR="000007C7" w:rsidRPr="000007C7" w:rsidRDefault="000007C7" w:rsidP="00085DC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007C7">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28378B32" w14:textId="77777777" w:rsidR="000007C7" w:rsidRPr="000007C7" w:rsidRDefault="000007C7" w:rsidP="00085DC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007C7">
              <w:rPr>
                <w:rFonts w:asciiTheme="majorBidi" w:eastAsia="Calibri" w:hAnsiTheme="majorBidi" w:cstheme="majorBidi"/>
                <w:color w:val="000000" w:themeColor="text1"/>
                <w:kern w:val="0"/>
                <w:sz w:val="36"/>
                <w:szCs w:val="36"/>
                <w:lang w:bidi="ar-EG"/>
                <w14:ligatures w14:val="none"/>
              </w:rPr>
              <w:t>Dr. Fayez Jarad</w:t>
            </w:r>
          </w:p>
        </w:tc>
      </w:tr>
    </w:tbl>
    <w:p w14:paraId="3D385B84" w14:textId="77777777" w:rsidR="000007C7" w:rsidRPr="000007C7" w:rsidRDefault="000007C7" w:rsidP="000007C7">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361BA1F5" w14:textId="77777777" w:rsidR="000007C7" w:rsidRPr="000007C7" w:rsidRDefault="000007C7" w:rsidP="000007C7">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0007C7">
        <w:rPr>
          <w:rFonts w:asciiTheme="majorBidi" w:eastAsia="Calibri" w:hAnsiTheme="majorBidi" w:cstheme="majorBidi"/>
          <w:color w:val="000000" w:themeColor="text1"/>
          <w:kern w:val="0"/>
          <w:sz w:val="36"/>
          <w:szCs w:val="36"/>
          <w:rtl/>
          <w:lang w:bidi="ar-EG"/>
          <w14:ligatures w14:val="none"/>
        </w:rPr>
        <w:t>1448 – 2026</w:t>
      </w:r>
    </w:p>
    <w:p w14:paraId="4C07C44D" w14:textId="77777777" w:rsidR="000007C7" w:rsidRPr="000007C7" w:rsidRDefault="000007C7" w:rsidP="000007C7">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p w14:paraId="5596E526" w14:textId="77777777" w:rsidR="00646233" w:rsidRPr="000007C7" w:rsidRDefault="00646233" w:rsidP="00CF3354">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8287F43" w14:textId="77777777" w:rsidR="00E27D3B" w:rsidRPr="000007C7" w:rsidRDefault="00E27D3B" w:rsidP="00CF3354">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0DD14297" w:rsidR="009125CE" w:rsidRPr="000007C7" w:rsidRDefault="009125CE" w:rsidP="00CF3354">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0007C7" w:rsidSect="00CF3354">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FCE776" w14:textId="77777777" w:rsidR="0064357B" w:rsidRDefault="0064357B" w:rsidP="009125CE">
      <w:pPr>
        <w:spacing w:after="0" w:line="240" w:lineRule="auto"/>
      </w:pPr>
      <w:r>
        <w:separator/>
      </w:r>
    </w:p>
  </w:endnote>
  <w:endnote w:type="continuationSeparator" w:id="0">
    <w:p w14:paraId="00BAE6EE" w14:textId="77777777" w:rsidR="0064357B" w:rsidRDefault="0064357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047AE1" w14:textId="66B7CFBD" w:rsidR="00F661FC" w:rsidRDefault="00F661FC" w:rsidP="00CF3354">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748156019"/>
      <w:docPartObj>
        <w:docPartGallery w:val="Page Numbers (Bottom of Page)"/>
        <w:docPartUnique/>
      </w:docPartObj>
    </w:sdtPr>
    <w:sdtEndPr>
      <w:rPr>
        <w:noProof/>
      </w:rPr>
    </w:sdtEndPr>
    <w:sdtContent>
      <w:p w14:paraId="226DD6D5" w14:textId="77777777" w:rsidR="00F661FC" w:rsidRDefault="00F661FC" w:rsidP="00CF3354">
        <w:pPr>
          <w:pStyle w:val="Footer"/>
          <w:jc w:val="center"/>
        </w:pPr>
        <w:r w:rsidRPr="00CF3354">
          <w:rPr>
            <w:rFonts w:ascii="Simplified Arabic" w:hAnsi="Simplified Arabic" w:cs="Simplified Arabic"/>
            <w:b/>
            <w:bCs/>
            <w:sz w:val="24"/>
            <w:szCs w:val="24"/>
          </w:rPr>
          <w:fldChar w:fldCharType="begin"/>
        </w:r>
        <w:r w:rsidRPr="00CF3354">
          <w:rPr>
            <w:rFonts w:ascii="Simplified Arabic" w:hAnsi="Simplified Arabic" w:cs="Simplified Arabic"/>
            <w:b/>
            <w:bCs/>
            <w:sz w:val="24"/>
            <w:szCs w:val="24"/>
          </w:rPr>
          <w:instrText xml:space="preserve"> PAGE   \* MERGEFORMAT </w:instrText>
        </w:r>
        <w:r w:rsidRPr="00CF3354">
          <w:rPr>
            <w:rFonts w:ascii="Simplified Arabic" w:hAnsi="Simplified Arabic" w:cs="Simplified Arabic"/>
            <w:b/>
            <w:bCs/>
            <w:sz w:val="24"/>
            <w:szCs w:val="24"/>
          </w:rPr>
          <w:fldChar w:fldCharType="separate"/>
        </w:r>
        <w:r w:rsidR="005108B1">
          <w:rPr>
            <w:rFonts w:ascii="Simplified Arabic" w:hAnsi="Simplified Arabic" w:cs="Simplified Arabic"/>
            <w:b/>
            <w:bCs/>
            <w:noProof/>
            <w:sz w:val="24"/>
            <w:szCs w:val="24"/>
            <w:rtl/>
          </w:rPr>
          <w:t>41</w:t>
        </w:r>
        <w:r w:rsidRPr="00CF3354">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3A6197" w14:textId="2A0C3607" w:rsidR="000007C7" w:rsidRDefault="000007C7" w:rsidP="000007C7">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0E3467" w14:textId="77777777" w:rsidR="0064357B" w:rsidRDefault="0064357B" w:rsidP="009125CE">
      <w:pPr>
        <w:spacing w:after="0" w:line="240" w:lineRule="auto"/>
      </w:pPr>
      <w:r>
        <w:separator/>
      </w:r>
    </w:p>
  </w:footnote>
  <w:footnote w:type="continuationSeparator" w:id="0">
    <w:p w14:paraId="4B0B5423" w14:textId="77777777" w:rsidR="0064357B" w:rsidRDefault="0064357B"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2D5155"/>
    <w:multiLevelType w:val="multilevel"/>
    <w:tmpl w:val="BB147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703C04"/>
    <w:multiLevelType w:val="hybridMultilevel"/>
    <w:tmpl w:val="4984A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145FE9"/>
    <w:multiLevelType w:val="multilevel"/>
    <w:tmpl w:val="5BE24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FB07912"/>
    <w:multiLevelType w:val="hybridMultilevel"/>
    <w:tmpl w:val="E2CE83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C16C43"/>
    <w:multiLevelType w:val="hybridMultilevel"/>
    <w:tmpl w:val="FEE2D660"/>
    <w:lvl w:ilvl="0" w:tplc="425A0528">
      <w:start w:val="13"/>
      <w:numFmt w:val="bullet"/>
      <w:lvlText w:val=""/>
      <w:lvlJc w:val="left"/>
      <w:pPr>
        <w:ind w:left="720" w:hanging="360"/>
      </w:pPr>
      <w:rPr>
        <w:rFonts w:ascii="Wingdings" w:eastAsiaTheme="minorHAnsi"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3B35EB"/>
    <w:multiLevelType w:val="hybridMultilevel"/>
    <w:tmpl w:val="5DEEFF7A"/>
    <w:lvl w:ilvl="0" w:tplc="05C6F04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nsid w:val="1CC97F02"/>
    <w:multiLevelType w:val="hybridMultilevel"/>
    <w:tmpl w:val="A31279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502EEC"/>
    <w:multiLevelType w:val="hybridMultilevel"/>
    <w:tmpl w:val="B916F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D9C1A4F"/>
    <w:multiLevelType w:val="multilevel"/>
    <w:tmpl w:val="1AD6E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E014A4B"/>
    <w:multiLevelType w:val="hybridMultilevel"/>
    <w:tmpl w:val="EAE4C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4E3504"/>
    <w:multiLevelType w:val="multilevel"/>
    <w:tmpl w:val="F842878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01B6AB9"/>
    <w:multiLevelType w:val="hybridMultilevel"/>
    <w:tmpl w:val="084A6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D1521C"/>
    <w:multiLevelType w:val="multilevel"/>
    <w:tmpl w:val="99E8E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483310"/>
    <w:multiLevelType w:val="hybridMultilevel"/>
    <w:tmpl w:val="4536B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51A6D9F"/>
    <w:multiLevelType w:val="hybridMultilevel"/>
    <w:tmpl w:val="97761D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8CA54F0"/>
    <w:multiLevelType w:val="hybridMultilevel"/>
    <w:tmpl w:val="8B20C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0E7A6E"/>
    <w:multiLevelType w:val="hybridMultilevel"/>
    <w:tmpl w:val="5D16A7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14A08B3"/>
    <w:multiLevelType w:val="multilevel"/>
    <w:tmpl w:val="C17AE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2CE2E1C"/>
    <w:multiLevelType w:val="hybridMultilevel"/>
    <w:tmpl w:val="686C9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ADC1B37"/>
    <w:multiLevelType w:val="multilevel"/>
    <w:tmpl w:val="70DAB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1B066D"/>
    <w:multiLevelType w:val="hybridMultilevel"/>
    <w:tmpl w:val="7338C36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52C941F2"/>
    <w:multiLevelType w:val="hybridMultilevel"/>
    <w:tmpl w:val="6602F0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7A40579"/>
    <w:multiLevelType w:val="hybridMultilevel"/>
    <w:tmpl w:val="37EE27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7D305E3"/>
    <w:multiLevelType w:val="multilevel"/>
    <w:tmpl w:val="2BE43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A830B70"/>
    <w:multiLevelType w:val="hybridMultilevel"/>
    <w:tmpl w:val="DFD46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BCC5A77"/>
    <w:multiLevelType w:val="hybridMultilevel"/>
    <w:tmpl w:val="C330C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C0446EC"/>
    <w:multiLevelType w:val="multilevel"/>
    <w:tmpl w:val="F842878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E691B6B"/>
    <w:multiLevelType w:val="multilevel"/>
    <w:tmpl w:val="1A7A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25478DA"/>
    <w:multiLevelType w:val="hybridMultilevel"/>
    <w:tmpl w:val="08643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2">
    <w:nsid w:val="6D69165C"/>
    <w:multiLevelType w:val="multilevel"/>
    <w:tmpl w:val="F9FCD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71300B38"/>
    <w:multiLevelType w:val="hybridMultilevel"/>
    <w:tmpl w:val="2B26C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4C85DED"/>
    <w:multiLevelType w:val="hybridMultilevel"/>
    <w:tmpl w:val="0F5E1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5476D74"/>
    <w:multiLevelType w:val="multilevel"/>
    <w:tmpl w:val="F842878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811738B"/>
    <w:multiLevelType w:val="multilevel"/>
    <w:tmpl w:val="E1B47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B845019"/>
    <w:multiLevelType w:val="hybridMultilevel"/>
    <w:tmpl w:val="13725A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7D35281A"/>
    <w:multiLevelType w:val="multilevel"/>
    <w:tmpl w:val="54940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25"/>
  </w:num>
  <w:num w:numId="3">
    <w:abstractNumId w:val="33"/>
  </w:num>
  <w:num w:numId="4">
    <w:abstractNumId w:val="35"/>
  </w:num>
  <w:num w:numId="5">
    <w:abstractNumId w:val="14"/>
  </w:num>
  <w:num w:numId="6">
    <w:abstractNumId w:val="30"/>
  </w:num>
  <w:num w:numId="7">
    <w:abstractNumId w:val="29"/>
  </w:num>
  <w:num w:numId="8">
    <w:abstractNumId w:val="8"/>
  </w:num>
  <w:num w:numId="9">
    <w:abstractNumId w:val="19"/>
  </w:num>
  <w:num w:numId="10">
    <w:abstractNumId w:val="39"/>
  </w:num>
  <w:num w:numId="11">
    <w:abstractNumId w:val="16"/>
  </w:num>
  <w:num w:numId="12">
    <w:abstractNumId w:val="26"/>
  </w:num>
  <w:num w:numId="13">
    <w:abstractNumId w:val="27"/>
  </w:num>
  <w:num w:numId="14">
    <w:abstractNumId w:val="5"/>
  </w:num>
  <w:num w:numId="15">
    <w:abstractNumId w:val="32"/>
  </w:num>
  <w:num w:numId="16">
    <w:abstractNumId w:val="2"/>
  </w:num>
  <w:num w:numId="17">
    <w:abstractNumId w:val="37"/>
  </w:num>
  <w:num w:numId="18">
    <w:abstractNumId w:val="21"/>
  </w:num>
  <w:num w:numId="19">
    <w:abstractNumId w:val="0"/>
  </w:num>
  <w:num w:numId="20">
    <w:abstractNumId w:val="20"/>
  </w:num>
  <w:num w:numId="21">
    <w:abstractNumId w:val="34"/>
  </w:num>
  <w:num w:numId="22">
    <w:abstractNumId w:val="12"/>
  </w:num>
  <w:num w:numId="23">
    <w:abstractNumId w:val="3"/>
  </w:num>
  <w:num w:numId="24">
    <w:abstractNumId w:val="9"/>
  </w:num>
  <w:num w:numId="25">
    <w:abstractNumId w:val="1"/>
  </w:num>
  <w:num w:numId="26">
    <w:abstractNumId w:val="7"/>
  </w:num>
  <w:num w:numId="27">
    <w:abstractNumId w:val="11"/>
  </w:num>
  <w:num w:numId="28">
    <w:abstractNumId w:val="4"/>
  </w:num>
  <w:num w:numId="29">
    <w:abstractNumId w:val="6"/>
  </w:num>
  <w:num w:numId="30">
    <w:abstractNumId w:val="22"/>
  </w:num>
  <w:num w:numId="31">
    <w:abstractNumId w:val="23"/>
  </w:num>
  <w:num w:numId="32">
    <w:abstractNumId w:val="17"/>
  </w:num>
  <w:num w:numId="33">
    <w:abstractNumId w:val="15"/>
  </w:num>
  <w:num w:numId="34">
    <w:abstractNumId w:val="24"/>
  </w:num>
  <w:num w:numId="35">
    <w:abstractNumId w:val="28"/>
  </w:num>
  <w:num w:numId="36">
    <w:abstractNumId w:val="36"/>
  </w:num>
  <w:num w:numId="37">
    <w:abstractNumId w:val="10"/>
  </w:num>
  <w:num w:numId="38">
    <w:abstractNumId w:val="38"/>
  </w:num>
  <w:num w:numId="39">
    <w:abstractNumId w:val="13"/>
  </w:num>
  <w:num w:numId="40">
    <w:abstractNumId w:val="3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7C7"/>
    <w:rsid w:val="00000980"/>
    <w:rsid w:val="00001295"/>
    <w:rsid w:val="00003B61"/>
    <w:rsid w:val="00011F23"/>
    <w:rsid w:val="000125CD"/>
    <w:rsid w:val="00012629"/>
    <w:rsid w:val="0001391F"/>
    <w:rsid w:val="000146E6"/>
    <w:rsid w:val="00017F15"/>
    <w:rsid w:val="000204A8"/>
    <w:rsid w:val="00020F7B"/>
    <w:rsid w:val="00022B3A"/>
    <w:rsid w:val="0004554E"/>
    <w:rsid w:val="00052AB0"/>
    <w:rsid w:val="00053122"/>
    <w:rsid w:val="00054375"/>
    <w:rsid w:val="000543EF"/>
    <w:rsid w:val="000602CA"/>
    <w:rsid w:val="000610C9"/>
    <w:rsid w:val="00061FA2"/>
    <w:rsid w:val="00064FF1"/>
    <w:rsid w:val="00067938"/>
    <w:rsid w:val="0007370A"/>
    <w:rsid w:val="000769E1"/>
    <w:rsid w:val="000842EB"/>
    <w:rsid w:val="000917AA"/>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138AC"/>
    <w:rsid w:val="00114794"/>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C4F88"/>
    <w:rsid w:val="001D4406"/>
    <w:rsid w:val="001E7B16"/>
    <w:rsid w:val="001F0034"/>
    <w:rsid w:val="001F159D"/>
    <w:rsid w:val="001F46A5"/>
    <w:rsid w:val="002142FF"/>
    <w:rsid w:val="0021718D"/>
    <w:rsid w:val="00217ADA"/>
    <w:rsid w:val="00223AE0"/>
    <w:rsid w:val="002304C2"/>
    <w:rsid w:val="00234450"/>
    <w:rsid w:val="00250D99"/>
    <w:rsid w:val="00251BCA"/>
    <w:rsid w:val="00256363"/>
    <w:rsid w:val="00260558"/>
    <w:rsid w:val="0026283D"/>
    <w:rsid w:val="00270FB5"/>
    <w:rsid w:val="00271729"/>
    <w:rsid w:val="00274BDE"/>
    <w:rsid w:val="002766BC"/>
    <w:rsid w:val="00280068"/>
    <w:rsid w:val="002828EF"/>
    <w:rsid w:val="00286958"/>
    <w:rsid w:val="0029680E"/>
    <w:rsid w:val="002A32D6"/>
    <w:rsid w:val="002A365A"/>
    <w:rsid w:val="002A76B5"/>
    <w:rsid w:val="002B1274"/>
    <w:rsid w:val="002C04F8"/>
    <w:rsid w:val="002C205F"/>
    <w:rsid w:val="002C212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5D45"/>
    <w:rsid w:val="003D6376"/>
    <w:rsid w:val="003D7804"/>
    <w:rsid w:val="003E29FB"/>
    <w:rsid w:val="003E3EBB"/>
    <w:rsid w:val="003E7CB6"/>
    <w:rsid w:val="00401DBE"/>
    <w:rsid w:val="00402123"/>
    <w:rsid w:val="00403383"/>
    <w:rsid w:val="00412AC2"/>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08B1"/>
    <w:rsid w:val="00513B3A"/>
    <w:rsid w:val="005146DA"/>
    <w:rsid w:val="0051585E"/>
    <w:rsid w:val="00522010"/>
    <w:rsid w:val="0052324C"/>
    <w:rsid w:val="0052581D"/>
    <w:rsid w:val="005423FA"/>
    <w:rsid w:val="00544E3F"/>
    <w:rsid w:val="00545455"/>
    <w:rsid w:val="005459E0"/>
    <w:rsid w:val="00545E45"/>
    <w:rsid w:val="00550EC8"/>
    <w:rsid w:val="005527F0"/>
    <w:rsid w:val="00557A05"/>
    <w:rsid w:val="00557B85"/>
    <w:rsid w:val="0058591B"/>
    <w:rsid w:val="00586EC7"/>
    <w:rsid w:val="00586F13"/>
    <w:rsid w:val="00590B27"/>
    <w:rsid w:val="00597F74"/>
    <w:rsid w:val="005A4FB6"/>
    <w:rsid w:val="005A755A"/>
    <w:rsid w:val="005B112C"/>
    <w:rsid w:val="005B2F92"/>
    <w:rsid w:val="005B5824"/>
    <w:rsid w:val="005B7D85"/>
    <w:rsid w:val="005D0E3A"/>
    <w:rsid w:val="005D25AE"/>
    <w:rsid w:val="005D2620"/>
    <w:rsid w:val="005D553B"/>
    <w:rsid w:val="005D5DB7"/>
    <w:rsid w:val="005E37C2"/>
    <w:rsid w:val="005E4AF3"/>
    <w:rsid w:val="005F2722"/>
    <w:rsid w:val="005F37EE"/>
    <w:rsid w:val="006020A6"/>
    <w:rsid w:val="006044AD"/>
    <w:rsid w:val="006112DD"/>
    <w:rsid w:val="0061146E"/>
    <w:rsid w:val="00617C5B"/>
    <w:rsid w:val="006215F2"/>
    <w:rsid w:val="00625CAD"/>
    <w:rsid w:val="0062761F"/>
    <w:rsid w:val="00633F50"/>
    <w:rsid w:val="006344B4"/>
    <w:rsid w:val="00642229"/>
    <w:rsid w:val="0064357B"/>
    <w:rsid w:val="006450DB"/>
    <w:rsid w:val="006455D3"/>
    <w:rsid w:val="00646233"/>
    <w:rsid w:val="00647482"/>
    <w:rsid w:val="0066191A"/>
    <w:rsid w:val="00663FD3"/>
    <w:rsid w:val="00666183"/>
    <w:rsid w:val="00667140"/>
    <w:rsid w:val="006716C2"/>
    <w:rsid w:val="00673D30"/>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E71B9"/>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3011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32A"/>
    <w:rsid w:val="008B6EE6"/>
    <w:rsid w:val="008C1ABE"/>
    <w:rsid w:val="008C300E"/>
    <w:rsid w:val="008C40F4"/>
    <w:rsid w:val="008C42C1"/>
    <w:rsid w:val="008C4A35"/>
    <w:rsid w:val="008C52C9"/>
    <w:rsid w:val="008C7BB4"/>
    <w:rsid w:val="008D15AF"/>
    <w:rsid w:val="008D1829"/>
    <w:rsid w:val="008E1B7E"/>
    <w:rsid w:val="008E5C19"/>
    <w:rsid w:val="008E7314"/>
    <w:rsid w:val="008F1EAE"/>
    <w:rsid w:val="008F4A13"/>
    <w:rsid w:val="008F6829"/>
    <w:rsid w:val="008F6B36"/>
    <w:rsid w:val="008F750F"/>
    <w:rsid w:val="0090105B"/>
    <w:rsid w:val="0090438F"/>
    <w:rsid w:val="00905FD8"/>
    <w:rsid w:val="009125CE"/>
    <w:rsid w:val="00914D5B"/>
    <w:rsid w:val="0092088B"/>
    <w:rsid w:val="009216A4"/>
    <w:rsid w:val="00927901"/>
    <w:rsid w:val="009307B0"/>
    <w:rsid w:val="00930A79"/>
    <w:rsid w:val="00932A89"/>
    <w:rsid w:val="00937CA3"/>
    <w:rsid w:val="00944596"/>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A6DA0"/>
    <w:rsid w:val="009B37BE"/>
    <w:rsid w:val="009B37F5"/>
    <w:rsid w:val="009B5162"/>
    <w:rsid w:val="009B6888"/>
    <w:rsid w:val="009B7EAF"/>
    <w:rsid w:val="009C0161"/>
    <w:rsid w:val="009C0F27"/>
    <w:rsid w:val="009C20C7"/>
    <w:rsid w:val="009C3E61"/>
    <w:rsid w:val="009C6715"/>
    <w:rsid w:val="009D108D"/>
    <w:rsid w:val="009D2E51"/>
    <w:rsid w:val="009D2E90"/>
    <w:rsid w:val="009D4539"/>
    <w:rsid w:val="009D59AE"/>
    <w:rsid w:val="009D7006"/>
    <w:rsid w:val="009E1436"/>
    <w:rsid w:val="009E31A0"/>
    <w:rsid w:val="009E49E2"/>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659A"/>
    <w:rsid w:val="00A507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896"/>
    <w:rsid w:val="00AB6A7C"/>
    <w:rsid w:val="00AD0E94"/>
    <w:rsid w:val="00AD722B"/>
    <w:rsid w:val="00AE3C7A"/>
    <w:rsid w:val="00AF24F6"/>
    <w:rsid w:val="00AF31BE"/>
    <w:rsid w:val="00AF46DF"/>
    <w:rsid w:val="00AF49EF"/>
    <w:rsid w:val="00B04BD9"/>
    <w:rsid w:val="00B05F9C"/>
    <w:rsid w:val="00B134E7"/>
    <w:rsid w:val="00B13E94"/>
    <w:rsid w:val="00B15A9E"/>
    <w:rsid w:val="00B16D15"/>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3354"/>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4565B"/>
    <w:rsid w:val="00D5653F"/>
    <w:rsid w:val="00D57D04"/>
    <w:rsid w:val="00D60743"/>
    <w:rsid w:val="00D92BC0"/>
    <w:rsid w:val="00D92F77"/>
    <w:rsid w:val="00D965B5"/>
    <w:rsid w:val="00DA0EBA"/>
    <w:rsid w:val="00DA1C1B"/>
    <w:rsid w:val="00DA3C05"/>
    <w:rsid w:val="00DA4EAA"/>
    <w:rsid w:val="00DA61E2"/>
    <w:rsid w:val="00DB1F25"/>
    <w:rsid w:val="00DB43B3"/>
    <w:rsid w:val="00DB495C"/>
    <w:rsid w:val="00DC10F4"/>
    <w:rsid w:val="00DC40DA"/>
    <w:rsid w:val="00DC6851"/>
    <w:rsid w:val="00DC7F13"/>
    <w:rsid w:val="00DD0EB8"/>
    <w:rsid w:val="00DD0F8E"/>
    <w:rsid w:val="00DD227E"/>
    <w:rsid w:val="00DD2F23"/>
    <w:rsid w:val="00DD6BEA"/>
    <w:rsid w:val="00DD7793"/>
    <w:rsid w:val="00DE4E55"/>
    <w:rsid w:val="00DE50C4"/>
    <w:rsid w:val="00DE5DD0"/>
    <w:rsid w:val="00DE6A61"/>
    <w:rsid w:val="00DF232F"/>
    <w:rsid w:val="00DF6486"/>
    <w:rsid w:val="00DF6D7E"/>
    <w:rsid w:val="00E0124F"/>
    <w:rsid w:val="00E01CE8"/>
    <w:rsid w:val="00E042AB"/>
    <w:rsid w:val="00E04D94"/>
    <w:rsid w:val="00E07C45"/>
    <w:rsid w:val="00E114AA"/>
    <w:rsid w:val="00E17556"/>
    <w:rsid w:val="00E23058"/>
    <w:rsid w:val="00E24460"/>
    <w:rsid w:val="00E2784D"/>
    <w:rsid w:val="00E27D3B"/>
    <w:rsid w:val="00E30EB7"/>
    <w:rsid w:val="00E3112D"/>
    <w:rsid w:val="00E373EB"/>
    <w:rsid w:val="00E43E62"/>
    <w:rsid w:val="00E452A2"/>
    <w:rsid w:val="00E50B03"/>
    <w:rsid w:val="00E53564"/>
    <w:rsid w:val="00E552BA"/>
    <w:rsid w:val="00E640C5"/>
    <w:rsid w:val="00E64188"/>
    <w:rsid w:val="00E64708"/>
    <w:rsid w:val="00E6570B"/>
    <w:rsid w:val="00E663FA"/>
    <w:rsid w:val="00E665CE"/>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369D"/>
    <w:rsid w:val="00EF5F43"/>
    <w:rsid w:val="00F00FB8"/>
    <w:rsid w:val="00F10C89"/>
    <w:rsid w:val="00F11345"/>
    <w:rsid w:val="00F12EEC"/>
    <w:rsid w:val="00F152CE"/>
    <w:rsid w:val="00F1646F"/>
    <w:rsid w:val="00F30BD7"/>
    <w:rsid w:val="00F310F2"/>
    <w:rsid w:val="00F33937"/>
    <w:rsid w:val="00F3442D"/>
    <w:rsid w:val="00F450D5"/>
    <w:rsid w:val="00F540A1"/>
    <w:rsid w:val="00F546CE"/>
    <w:rsid w:val="00F563E2"/>
    <w:rsid w:val="00F60BB7"/>
    <w:rsid w:val="00F66109"/>
    <w:rsid w:val="00F661FC"/>
    <w:rsid w:val="00F72CBB"/>
    <w:rsid w:val="00F733B2"/>
    <w:rsid w:val="00F86421"/>
    <w:rsid w:val="00F86761"/>
    <w:rsid w:val="00F91846"/>
    <w:rsid w:val="00F95872"/>
    <w:rsid w:val="00FA0A03"/>
    <w:rsid w:val="00FA24AF"/>
    <w:rsid w:val="00FA4282"/>
    <w:rsid w:val="00FA44AF"/>
    <w:rsid w:val="00FB11CC"/>
    <w:rsid w:val="00FB22B3"/>
    <w:rsid w:val="00FB4F4E"/>
    <w:rsid w:val="00FB7A83"/>
    <w:rsid w:val="00FC20BB"/>
    <w:rsid w:val="00FC2E6C"/>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 w:val="00FF71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table" w:styleId="GridTable5Dark-Accent3">
    <w:name w:val="Grid Table 5 Dark Accent 3"/>
    <w:basedOn w:val="TableNormal"/>
    <w:uiPriority w:val="50"/>
    <w:rsid w:val="00CF3354"/>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6Colorful-Accent3">
    <w:name w:val="Grid Table 6 Colorful Accent 3"/>
    <w:basedOn w:val="TableNormal"/>
    <w:uiPriority w:val="51"/>
    <w:rsid w:val="000007C7"/>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0D0E5C-9CA2-4460-8369-7AF0B7978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43</Pages>
  <Words>11931</Words>
  <Characters>68008</Characters>
  <Application>Microsoft Office Word</Application>
  <DocSecurity>0</DocSecurity>
  <Lines>566</Lines>
  <Paragraphs>159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79780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2026-06-30T15:50:00Z</cp:lastPrinted>
  <dcterms:created xsi:type="dcterms:W3CDTF">2026-06-30T15:49:00Z</dcterms:created>
  <dcterms:modified xsi:type="dcterms:W3CDTF">2026-06-30T15:50:00Z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