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C781" w14:textId="77777777" w:rsidR="0003283E" w:rsidRDefault="0003283E" w:rsidP="0003283E">
      <w:pPr>
        <w:spacing w:line="480" w:lineRule="auto"/>
        <w:jc w:val="center"/>
        <w:rPr>
          <w:rFonts w:ascii="Times New Roman" w:hAnsi="Times New Roman" w:cs="Times New Roman"/>
          <w:b/>
          <w:bCs/>
          <w:sz w:val="24"/>
          <w:szCs w:val="24"/>
          <w:lang w:val="en-US"/>
        </w:rPr>
      </w:pPr>
    </w:p>
    <w:p w14:paraId="0A44DC00" w14:textId="77777777" w:rsidR="0003283E" w:rsidRDefault="0003283E" w:rsidP="0003283E">
      <w:pPr>
        <w:spacing w:line="480" w:lineRule="auto"/>
        <w:jc w:val="center"/>
        <w:rPr>
          <w:rFonts w:ascii="Times New Roman" w:hAnsi="Times New Roman" w:cs="Times New Roman"/>
          <w:b/>
          <w:bCs/>
          <w:sz w:val="24"/>
          <w:szCs w:val="24"/>
          <w:lang w:val="en-US"/>
        </w:rPr>
      </w:pPr>
    </w:p>
    <w:p w14:paraId="2D541825" w14:textId="77777777" w:rsidR="0003283E" w:rsidRDefault="0003283E" w:rsidP="0003283E">
      <w:pPr>
        <w:spacing w:line="480" w:lineRule="auto"/>
        <w:jc w:val="center"/>
        <w:rPr>
          <w:rFonts w:ascii="Times New Roman" w:hAnsi="Times New Roman" w:cs="Times New Roman"/>
          <w:b/>
          <w:bCs/>
          <w:sz w:val="24"/>
          <w:szCs w:val="24"/>
          <w:lang w:val="en-US"/>
        </w:rPr>
      </w:pPr>
    </w:p>
    <w:p w14:paraId="3FA2EEEA" w14:textId="77777777" w:rsidR="0003283E" w:rsidRDefault="0003283E" w:rsidP="0003283E">
      <w:pPr>
        <w:spacing w:line="480" w:lineRule="auto"/>
        <w:jc w:val="center"/>
        <w:rPr>
          <w:rFonts w:ascii="Times New Roman" w:hAnsi="Times New Roman" w:cs="Times New Roman"/>
          <w:b/>
          <w:bCs/>
          <w:sz w:val="24"/>
          <w:szCs w:val="24"/>
          <w:lang w:val="en-US"/>
        </w:rPr>
      </w:pPr>
    </w:p>
    <w:p w14:paraId="6D109E30" w14:textId="77777777" w:rsidR="0003283E" w:rsidRDefault="0003283E" w:rsidP="0003283E">
      <w:pPr>
        <w:spacing w:line="480" w:lineRule="auto"/>
        <w:jc w:val="center"/>
        <w:rPr>
          <w:rFonts w:ascii="Times New Roman" w:hAnsi="Times New Roman" w:cs="Times New Roman"/>
          <w:b/>
          <w:bCs/>
          <w:sz w:val="24"/>
          <w:szCs w:val="24"/>
          <w:lang w:val="en-US"/>
        </w:rPr>
      </w:pPr>
    </w:p>
    <w:p w14:paraId="38428E09" w14:textId="77777777" w:rsidR="0003283E" w:rsidRDefault="0003283E" w:rsidP="0003283E">
      <w:pPr>
        <w:spacing w:line="480" w:lineRule="auto"/>
        <w:jc w:val="center"/>
        <w:rPr>
          <w:rFonts w:ascii="Times New Roman" w:hAnsi="Times New Roman" w:cs="Times New Roman"/>
          <w:b/>
          <w:bCs/>
          <w:sz w:val="24"/>
          <w:szCs w:val="24"/>
          <w:lang w:val="en-US"/>
        </w:rPr>
      </w:pPr>
    </w:p>
    <w:p w14:paraId="520E9CC5" w14:textId="77777777"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Course </w:t>
      </w:r>
      <w:r w:rsidRPr="00096A59">
        <w:rPr>
          <w:rFonts w:ascii="Times New Roman" w:hAnsi="Times New Roman" w:cs="Times New Roman"/>
          <w:b/>
          <w:bCs/>
          <w:sz w:val="24"/>
          <w:szCs w:val="24"/>
          <w:lang w:val="en-US"/>
        </w:rPr>
        <w:t>Title</w:t>
      </w:r>
      <w:r>
        <w:rPr>
          <w:rFonts w:ascii="Times New Roman" w:hAnsi="Times New Roman" w:cs="Times New Roman"/>
          <w:b/>
          <w:bCs/>
          <w:sz w:val="24"/>
          <w:szCs w:val="24"/>
          <w:lang w:val="en-US"/>
        </w:rPr>
        <w:t xml:space="preserve">: Research Methodology in Computer Science </w:t>
      </w:r>
    </w:p>
    <w:p w14:paraId="15A11B4B" w14:textId="77777777"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Course code: AI800</w:t>
      </w:r>
    </w:p>
    <w:p w14:paraId="60A0CB09" w14:textId="0BC7DC70"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Weighting: </w:t>
      </w:r>
      <w:r>
        <w:rPr>
          <w:rFonts w:ascii="Times New Roman" w:hAnsi="Times New Roman" w:cs="Times New Roman" w:hint="cs"/>
          <w:b/>
          <w:bCs/>
          <w:sz w:val="24"/>
          <w:szCs w:val="24"/>
          <w:rtl/>
          <w:lang w:val="en-US"/>
        </w:rPr>
        <w:t>30</w:t>
      </w:r>
      <w:r>
        <w:rPr>
          <w:rFonts w:ascii="Times New Roman" w:hAnsi="Times New Roman" w:cs="Times New Roman"/>
          <w:b/>
          <w:bCs/>
          <w:sz w:val="24"/>
          <w:szCs w:val="24"/>
          <w:lang w:val="en-US"/>
        </w:rPr>
        <w:t>%</w:t>
      </w:r>
    </w:p>
    <w:p w14:paraId="1399FA5B" w14:textId="77777777"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Lecturer: Dr. Mohammed Anbar</w:t>
      </w:r>
    </w:p>
    <w:p w14:paraId="15261F9F" w14:textId="34514198"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Hand In date: July </w:t>
      </w:r>
      <w:r>
        <w:rPr>
          <w:rFonts w:ascii="Times New Roman" w:hAnsi="Times New Roman" w:cs="Times New Roman" w:hint="cs"/>
          <w:b/>
          <w:bCs/>
          <w:sz w:val="24"/>
          <w:szCs w:val="24"/>
          <w:rtl/>
          <w:lang w:val="en-US"/>
        </w:rPr>
        <w:t>19</w:t>
      </w:r>
      <w:r>
        <w:rPr>
          <w:rFonts w:ascii="Times New Roman" w:hAnsi="Times New Roman" w:cs="Times New Roman"/>
          <w:b/>
          <w:bCs/>
          <w:sz w:val="24"/>
          <w:szCs w:val="24"/>
          <w:lang w:val="en-US"/>
        </w:rPr>
        <w:t>, 2025</w:t>
      </w:r>
    </w:p>
    <w:p w14:paraId="7297D0D4" w14:textId="77777777"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Hand in method: online submission via E-learning</w:t>
      </w:r>
    </w:p>
    <w:p w14:paraId="45334C74" w14:textId="77777777" w:rsidR="00A4561E" w:rsidRDefault="00A4561E" w:rsidP="00A4561E">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Student name: Faisal Muteb Almutairi</w:t>
      </w:r>
    </w:p>
    <w:p w14:paraId="5CE49051" w14:textId="77777777" w:rsidR="0003283E" w:rsidRDefault="0003283E" w:rsidP="0003283E">
      <w:pPr>
        <w:spacing w:line="480" w:lineRule="auto"/>
        <w:jc w:val="both"/>
        <w:rPr>
          <w:rFonts w:ascii="Times New Roman" w:hAnsi="Times New Roman" w:cs="Times New Roman"/>
          <w:b/>
          <w:bCs/>
          <w:sz w:val="24"/>
          <w:szCs w:val="24"/>
          <w:lang w:val="en-US"/>
        </w:rPr>
      </w:pPr>
    </w:p>
    <w:p w14:paraId="49245CDB" w14:textId="77777777" w:rsidR="0003283E" w:rsidRDefault="0003283E" w:rsidP="0003283E">
      <w:pPr>
        <w:spacing w:line="480" w:lineRule="auto"/>
        <w:jc w:val="both"/>
        <w:rPr>
          <w:rFonts w:ascii="Times New Roman" w:hAnsi="Times New Roman" w:cs="Times New Roman"/>
          <w:b/>
          <w:bCs/>
          <w:sz w:val="24"/>
          <w:szCs w:val="24"/>
          <w:lang w:val="en-US"/>
        </w:rPr>
      </w:pPr>
    </w:p>
    <w:p w14:paraId="2976CDC8" w14:textId="77777777" w:rsidR="0003283E" w:rsidRDefault="0003283E" w:rsidP="0003283E">
      <w:pPr>
        <w:spacing w:line="480" w:lineRule="auto"/>
        <w:jc w:val="both"/>
        <w:rPr>
          <w:rFonts w:ascii="Times New Roman" w:hAnsi="Times New Roman" w:cs="Times New Roman"/>
          <w:b/>
          <w:bCs/>
          <w:sz w:val="24"/>
          <w:szCs w:val="24"/>
          <w:lang w:val="en-US"/>
        </w:rPr>
      </w:pPr>
    </w:p>
    <w:p w14:paraId="0B4C1AE2" w14:textId="77777777" w:rsidR="0003283E" w:rsidRDefault="0003283E" w:rsidP="0003283E">
      <w:pPr>
        <w:spacing w:line="480" w:lineRule="auto"/>
        <w:jc w:val="both"/>
        <w:rPr>
          <w:rFonts w:ascii="Times New Roman" w:hAnsi="Times New Roman" w:cs="Times New Roman"/>
          <w:b/>
          <w:bCs/>
          <w:sz w:val="24"/>
          <w:szCs w:val="24"/>
          <w:lang w:val="en-US"/>
        </w:rPr>
      </w:pPr>
    </w:p>
    <w:p w14:paraId="0D9FFC2E" w14:textId="77777777" w:rsidR="0003283E" w:rsidRDefault="0003283E" w:rsidP="0003283E">
      <w:pPr>
        <w:spacing w:line="480" w:lineRule="auto"/>
        <w:jc w:val="both"/>
        <w:rPr>
          <w:rFonts w:ascii="Times New Roman" w:hAnsi="Times New Roman" w:cs="Times New Roman"/>
          <w:b/>
          <w:bCs/>
          <w:sz w:val="24"/>
          <w:szCs w:val="24"/>
          <w:rtl/>
          <w:lang w:val="en-US"/>
        </w:rPr>
      </w:pPr>
    </w:p>
    <w:p w14:paraId="39751511" w14:textId="77777777" w:rsidR="00A4561E" w:rsidRDefault="00A4561E" w:rsidP="0003283E">
      <w:pPr>
        <w:spacing w:line="480" w:lineRule="auto"/>
        <w:jc w:val="both"/>
        <w:rPr>
          <w:rFonts w:ascii="Times New Roman" w:hAnsi="Times New Roman" w:cs="Times New Roman"/>
          <w:b/>
          <w:bCs/>
          <w:sz w:val="24"/>
          <w:szCs w:val="24"/>
          <w:lang w:val="en-US"/>
        </w:rPr>
      </w:pPr>
    </w:p>
    <w:p w14:paraId="3C36395B" w14:textId="4FE112CA" w:rsidR="0003283E" w:rsidRDefault="00000000" w:rsidP="00A4561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lang w:val="en-US"/>
        </w:rPr>
        <w:lastRenderedPageBreak/>
        <w:t>Topic:</w:t>
      </w:r>
      <w:r w:rsidRPr="0003283E">
        <w:rPr>
          <w:rFonts w:ascii="Times New Roman" w:hAnsi="Times New Roman" w:cs="Times New Roman"/>
          <w:sz w:val="24"/>
          <w:szCs w:val="24"/>
        </w:rPr>
        <w:t xml:space="preserve"> </w:t>
      </w:r>
      <w:r w:rsidRPr="0003283E">
        <w:rPr>
          <w:rFonts w:ascii="Times New Roman" w:hAnsi="Times New Roman" w:cs="Times New Roman"/>
          <w:b/>
          <w:bCs/>
          <w:sz w:val="24"/>
          <w:szCs w:val="24"/>
        </w:rPr>
        <w:t>How Health Information Systems Promote Equitable Access to Appointments for Both New and Existing Patients.</w:t>
      </w:r>
    </w:p>
    <w:p w14:paraId="089AB956" w14:textId="0F4E884F" w:rsidR="00F32A12" w:rsidRPr="0003283E" w:rsidRDefault="00000000" w:rsidP="0003283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Problem statement </w:t>
      </w:r>
    </w:p>
    <w:p w14:paraId="301C0AAA" w14:textId="368017B3" w:rsidR="008F2888" w:rsidRPr="008F2888" w:rsidRDefault="00000000" w:rsidP="008F2888">
      <w:pPr>
        <w:spacing w:line="480" w:lineRule="auto"/>
        <w:jc w:val="both"/>
        <w:rPr>
          <w:rFonts w:ascii="Times New Roman" w:hAnsi="Times New Roman" w:cs="Times New Roman"/>
          <w:sz w:val="24"/>
          <w:szCs w:val="24"/>
        </w:rPr>
      </w:pPr>
      <w:r w:rsidRPr="008F2888">
        <w:rPr>
          <w:rFonts w:ascii="Times New Roman" w:hAnsi="Times New Roman" w:cs="Times New Roman"/>
          <w:sz w:val="24"/>
          <w:szCs w:val="24"/>
        </w:rPr>
        <w:t>According to recent views, the Health Information System (HIS) plays a crucial role in areas such as patient appointment scheduling and management, as well as various other aspects of healthcare services, i</w:t>
      </w:r>
      <w:r w:rsidR="007C42D9">
        <w:rPr>
          <w:rFonts w:ascii="Times New Roman" w:hAnsi="Times New Roman" w:cs="Times New Roman"/>
          <w:sz w:val="24"/>
          <w:szCs w:val="24"/>
        </w:rPr>
        <w:t xml:space="preserve">n facilitating the transition of </w:t>
      </w:r>
      <w:r w:rsidRPr="008F2888">
        <w:rPr>
          <w:rFonts w:ascii="Times New Roman" w:hAnsi="Times New Roman" w:cs="Times New Roman"/>
          <w:sz w:val="24"/>
          <w:szCs w:val="24"/>
        </w:rPr>
        <w:t>healthcare towards effectiveness (Socha-Dietrich, 2021; Berwick et al., 2025). Improved operational efficiency, reduced waiting times, and an overall better patient experience — particularly for established patients — are said to have been achieved using tools such as Electronic Health Records (EHRs), AI-based scheduling platforms, and telehealth portals (Goldzweig et al., 2013).</w:t>
      </w:r>
    </w:p>
    <w:p w14:paraId="7A3556C9" w14:textId="5F88D474" w:rsidR="0003283E" w:rsidRDefault="00000000" w:rsidP="008F2888">
      <w:pPr>
        <w:spacing w:line="480" w:lineRule="auto"/>
        <w:jc w:val="both"/>
        <w:rPr>
          <w:rFonts w:ascii="Times New Roman" w:hAnsi="Times New Roman" w:cs="Times New Roman"/>
          <w:sz w:val="24"/>
          <w:szCs w:val="24"/>
        </w:rPr>
      </w:pPr>
      <w:r w:rsidRPr="008F2888">
        <w:rPr>
          <w:rFonts w:ascii="Times New Roman" w:hAnsi="Times New Roman" w:cs="Times New Roman"/>
          <w:sz w:val="24"/>
          <w:szCs w:val="24"/>
        </w:rPr>
        <w:t xml:space="preserve">The mentioned advancements only handle a small part, and there is still an extensive issue left to be addressed, giving equitable access to booking appointments for new and old patients, especially from digitally marginalized communities. According to Nguyen &amp; Bellucci (2020) and Kruse et al. (2021), while HIS tools smooth access for the tech-savvy urban </w:t>
      </w:r>
      <w:r w:rsidR="007C42D9">
        <w:rPr>
          <w:rFonts w:ascii="Times New Roman" w:hAnsi="Times New Roman" w:cs="Times New Roman"/>
          <w:sz w:val="24"/>
          <w:szCs w:val="24"/>
        </w:rPr>
        <w:t xml:space="preserve">residents, </w:t>
      </w:r>
      <w:r w:rsidRPr="008F2888">
        <w:rPr>
          <w:rFonts w:ascii="Times New Roman" w:hAnsi="Times New Roman" w:cs="Times New Roman"/>
          <w:sz w:val="24"/>
          <w:szCs w:val="24"/>
        </w:rPr>
        <w:t>they inadvertently marginalize other vulnerable groups, including elderly persons, low-income residents, rural populations, and those with limited digital literacy. They raise a red flag in terms of digital health equity, where technological breakthrough has a tendency to aggravate the disparity in access (Reed et al., 2018; Patel &amp;</w:t>
      </w:r>
      <w:r w:rsidR="0099772E">
        <w:rPr>
          <w:rFonts w:ascii="Times New Roman" w:hAnsi="Times New Roman" w:cs="Times New Roman"/>
          <w:sz w:val="24"/>
          <w:szCs w:val="24"/>
        </w:rPr>
        <w:t xml:space="preserve"> Thomas, 2029).</w:t>
      </w:r>
    </w:p>
    <w:p w14:paraId="57EFEC32" w14:textId="77777777" w:rsidR="0099772E" w:rsidRPr="0099772E" w:rsidRDefault="00000000"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 xml:space="preserve">Different studies have proposed various digital tools and AI-based scheduling solutions. However, only a few have explicitly adopted a patient-centered methodology on the equitable design and implementation of HIS. Furthermore, it is even questionable whether any integrative research has been conducted so far to reveal whether such current HIS tools reduce or magnify inequities in access to a given appointment slot, especially at the first point of contact when people come into a healthcare system. </w:t>
      </w:r>
    </w:p>
    <w:p w14:paraId="2A451BB9" w14:textId="77777777" w:rsidR="0099772E" w:rsidRPr="0099772E" w:rsidRDefault="0099772E" w:rsidP="0099772E">
      <w:pPr>
        <w:spacing w:line="480" w:lineRule="auto"/>
        <w:jc w:val="both"/>
        <w:rPr>
          <w:rFonts w:ascii="Times New Roman" w:hAnsi="Times New Roman" w:cs="Times New Roman"/>
          <w:sz w:val="24"/>
          <w:szCs w:val="24"/>
        </w:rPr>
      </w:pPr>
    </w:p>
    <w:p w14:paraId="46E5A536" w14:textId="22B6DBFF" w:rsidR="008F2888" w:rsidRDefault="00000000"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Therefore, this study is needed to assess the intersection between HIS innovation and equitable access, identify the main barriers that prevent underserved populations from accessing HIS, and recommend inclusive solutions to ameliorate equity in all patients, new and returning alike, to be able to make appointments.</w:t>
      </w:r>
    </w:p>
    <w:p w14:paraId="19002EC1" w14:textId="5B5A8C89" w:rsidR="0099772E" w:rsidRPr="0099772E" w:rsidRDefault="00000000" w:rsidP="0099772E">
      <w:pPr>
        <w:spacing w:line="480" w:lineRule="auto"/>
        <w:jc w:val="both"/>
        <w:rPr>
          <w:rFonts w:ascii="Times New Roman" w:hAnsi="Times New Roman" w:cs="Times New Roman"/>
          <w:b/>
          <w:bCs/>
          <w:sz w:val="24"/>
          <w:szCs w:val="24"/>
        </w:rPr>
      </w:pPr>
      <w:r w:rsidRPr="0099772E">
        <w:rPr>
          <w:rFonts w:ascii="Times New Roman" w:hAnsi="Times New Roman" w:cs="Times New Roman"/>
          <w:b/>
          <w:bCs/>
          <w:sz w:val="24"/>
          <w:szCs w:val="24"/>
        </w:rPr>
        <w:t xml:space="preserve">Primary </w:t>
      </w:r>
      <w:r>
        <w:rPr>
          <w:rFonts w:ascii="Times New Roman" w:hAnsi="Times New Roman" w:cs="Times New Roman"/>
          <w:b/>
          <w:bCs/>
          <w:sz w:val="24"/>
          <w:szCs w:val="24"/>
        </w:rPr>
        <w:t>Research Aim</w:t>
      </w:r>
    </w:p>
    <w:p w14:paraId="35787787" w14:textId="538A31AB" w:rsidR="0099772E" w:rsidRPr="0099772E" w:rsidRDefault="00000000" w:rsidP="0099772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examine </w:t>
      </w:r>
      <w:r w:rsidRPr="0099772E">
        <w:rPr>
          <w:rFonts w:ascii="Times New Roman" w:hAnsi="Times New Roman" w:cs="Times New Roman"/>
          <w:sz w:val="24"/>
          <w:szCs w:val="24"/>
        </w:rPr>
        <w:t xml:space="preserve">how planning and researching HIS, how does HIS impact equitable access to appointments for new patients as opposed to appointments for existing patients, and what can be done to help HIS adjust for inclusiveness among various patients? </w:t>
      </w:r>
    </w:p>
    <w:p w14:paraId="0FCA0EBF" w14:textId="19A213A8" w:rsidR="0099772E" w:rsidRPr="0099772E" w:rsidRDefault="00000000" w:rsidP="0099772E">
      <w:pPr>
        <w:spacing w:line="480" w:lineRule="auto"/>
        <w:jc w:val="both"/>
        <w:rPr>
          <w:rFonts w:ascii="Times New Roman" w:hAnsi="Times New Roman" w:cs="Times New Roman"/>
          <w:b/>
          <w:bCs/>
          <w:sz w:val="24"/>
          <w:szCs w:val="24"/>
        </w:rPr>
      </w:pPr>
      <w:r w:rsidRPr="0099772E">
        <w:rPr>
          <w:rFonts w:ascii="Times New Roman" w:hAnsi="Times New Roman" w:cs="Times New Roman"/>
          <w:b/>
          <w:bCs/>
          <w:sz w:val="24"/>
          <w:szCs w:val="24"/>
        </w:rPr>
        <w:t xml:space="preserve">Research </w:t>
      </w:r>
      <w:r>
        <w:rPr>
          <w:rFonts w:ascii="Times New Roman" w:hAnsi="Times New Roman" w:cs="Times New Roman"/>
          <w:b/>
          <w:bCs/>
          <w:sz w:val="24"/>
          <w:szCs w:val="24"/>
        </w:rPr>
        <w:t>Objective</w:t>
      </w:r>
      <w:r w:rsidRPr="0099772E">
        <w:rPr>
          <w:rFonts w:ascii="Times New Roman" w:hAnsi="Times New Roman" w:cs="Times New Roman"/>
          <w:b/>
          <w:bCs/>
          <w:sz w:val="24"/>
          <w:szCs w:val="24"/>
        </w:rPr>
        <w:t>:</w:t>
      </w:r>
    </w:p>
    <w:p w14:paraId="2248D613" w14:textId="3513661B" w:rsidR="0099772E" w:rsidRPr="0099772E" w:rsidRDefault="00000000"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analyze the role of Health Information Systems (e.g., EHRs, AI scheduling, telehealth) in creating efficiency in appointment scheduling for patients.</w:t>
      </w:r>
    </w:p>
    <w:p w14:paraId="1E91050B" w14:textId="57101D10" w:rsidR="0099772E" w:rsidRPr="0099772E" w:rsidRDefault="00000000"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examine barriers in accessing appointments through HIS platforms for digitally disadvantaged or underserved populations.</w:t>
      </w:r>
    </w:p>
    <w:p w14:paraId="5F71CF17" w14:textId="420537DB" w:rsidR="0099772E" w:rsidRPr="0099772E" w:rsidRDefault="00000000"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examine the equity implications of present HIS tools as they apply to various demographic gradients (e.g., age, income, digital literacy, geography).</w:t>
      </w:r>
    </w:p>
    <w:p w14:paraId="4253F463" w14:textId="3C0E9F2F" w:rsidR="0099772E" w:rsidRPr="0099772E" w:rsidRDefault="00000000"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identify interventions or adaptations to HIS that have been shown to improve equity in access to appointments.</w:t>
      </w:r>
    </w:p>
    <w:p w14:paraId="7203E821" w14:textId="48A44189" w:rsidR="0099772E" w:rsidRDefault="00000000" w:rsidP="0099772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Pr="0099772E">
        <w:rPr>
          <w:rFonts w:ascii="Times New Roman" w:hAnsi="Times New Roman" w:cs="Times New Roman"/>
          <w:sz w:val="24"/>
          <w:szCs w:val="24"/>
        </w:rPr>
        <w:t>design a patient-centered framework or design recommendations for the equitable placement of HIS in appointment management systems.</w:t>
      </w:r>
    </w:p>
    <w:p w14:paraId="7165F40E" w14:textId="77777777" w:rsidR="00A4561E" w:rsidRDefault="00A4561E" w:rsidP="00A4561E">
      <w:pPr>
        <w:spacing w:line="480" w:lineRule="auto"/>
        <w:jc w:val="both"/>
        <w:rPr>
          <w:rFonts w:ascii="Times New Roman" w:hAnsi="Times New Roman" w:cs="Times New Roman"/>
          <w:sz w:val="24"/>
          <w:szCs w:val="24"/>
          <w:rtl/>
        </w:rPr>
      </w:pPr>
    </w:p>
    <w:p w14:paraId="0D626D28" w14:textId="77777777" w:rsidR="00A4561E" w:rsidRDefault="00A4561E" w:rsidP="00A4561E">
      <w:pPr>
        <w:spacing w:line="480" w:lineRule="auto"/>
        <w:jc w:val="both"/>
        <w:rPr>
          <w:rFonts w:ascii="Times New Roman" w:hAnsi="Times New Roman" w:cs="Times New Roman"/>
          <w:sz w:val="24"/>
          <w:szCs w:val="24"/>
          <w:rtl/>
        </w:rPr>
      </w:pPr>
    </w:p>
    <w:p w14:paraId="3A17F9F7" w14:textId="77777777" w:rsidR="00A4561E" w:rsidRPr="00A4561E" w:rsidRDefault="00A4561E" w:rsidP="00A4561E">
      <w:pPr>
        <w:spacing w:line="480" w:lineRule="auto"/>
        <w:jc w:val="both"/>
        <w:rPr>
          <w:rFonts w:ascii="Times New Roman" w:hAnsi="Times New Roman" w:cs="Times New Roman"/>
          <w:sz w:val="24"/>
          <w:szCs w:val="24"/>
        </w:rPr>
      </w:pPr>
    </w:p>
    <w:p w14:paraId="1AA26984" w14:textId="44B7670A" w:rsidR="00FA1F7E" w:rsidRDefault="00000000" w:rsidP="0099772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Literature review </w:t>
      </w:r>
    </w:p>
    <w:p w14:paraId="4AF8D4A8" w14:textId="292ECDA0"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Health IT and appointment Access efficiency</w:t>
      </w:r>
    </w:p>
    <w:p w14:paraId="488EAB14" w14:textId="1CA254F8" w:rsidR="0099772E" w:rsidRPr="0099772E" w:rsidRDefault="00000000" w:rsidP="0099772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Pr>
          <w:rFonts w:ascii="Times New Roman" w:hAnsi="Times New Roman" w:cs="Times New Roman"/>
          <w:sz w:val="24"/>
          <w:szCs w:val="24"/>
        </w:rPr>
        <w:t>:</w:t>
      </w:r>
      <w:r w:rsidRPr="0099772E">
        <w:rPr>
          <w:rFonts w:ascii="Times New Roman" w:hAnsi="Times New Roman" w:cs="Times New Roman"/>
          <w:sz w:val="24"/>
          <w:szCs w:val="24"/>
        </w:rPr>
        <w:t xml:space="preserve"> Goldzweig et al. </w:t>
      </w:r>
      <w:r>
        <w:rPr>
          <w:rFonts w:ascii="Times New Roman" w:hAnsi="Times New Roman" w:cs="Times New Roman"/>
          <w:sz w:val="24"/>
          <w:szCs w:val="24"/>
        </w:rPr>
        <w:t>(</w:t>
      </w:r>
      <w:r w:rsidRPr="0099772E">
        <w:rPr>
          <w:rFonts w:ascii="Times New Roman" w:hAnsi="Times New Roman" w:cs="Times New Roman"/>
          <w:sz w:val="24"/>
          <w:szCs w:val="24"/>
        </w:rPr>
        <w:t>2013</w:t>
      </w:r>
      <w:r>
        <w:rPr>
          <w:rFonts w:ascii="Times New Roman" w:hAnsi="Times New Roman" w:cs="Times New Roman"/>
          <w:sz w:val="24"/>
          <w:szCs w:val="24"/>
        </w:rPr>
        <w:t>)</w:t>
      </w:r>
      <w:r w:rsidRPr="0099772E">
        <w:rPr>
          <w:rFonts w:ascii="Times New Roman" w:hAnsi="Times New Roman" w:cs="Times New Roman"/>
          <w:sz w:val="24"/>
          <w:szCs w:val="24"/>
        </w:rPr>
        <w:t>.</w:t>
      </w:r>
    </w:p>
    <w:p w14:paraId="2D9C1AD7" w14:textId="1F09B5E6" w:rsidR="0099772E" w:rsidRPr="0099772E" w:rsidRDefault="00000000"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This systematic review offers one of the earliest comprehensive assessments of health information technologies' (HIT) impact on scheduling systems and appointment access. The researchers investigated multiple forms of HIT, including online portals, automated self-scheduling platforms, and reminder systems. The differences pointed out the reduced patient waiting time and improvement of appointment continuity for existing patients receiving routine appointments with that healthcare provider across these systems.</w:t>
      </w:r>
    </w:p>
    <w:p w14:paraId="42724252" w14:textId="58BE7E8C" w:rsidR="0099772E" w:rsidRDefault="00000000" w:rsidP="0099772E">
      <w:pPr>
        <w:spacing w:line="480" w:lineRule="auto"/>
        <w:jc w:val="both"/>
        <w:rPr>
          <w:rFonts w:ascii="Times New Roman" w:hAnsi="Times New Roman" w:cs="Times New Roman"/>
          <w:sz w:val="24"/>
          <w:szCs w:val="24"/>
        </w:rPr>
      </w:pPr>
      <w:r w:rsidRPr="0099772E">
        <w:rPr>
          <w:rFonts w:ascii="Times New Roman" w:hAnsi="Times New Roman" w:cs="Times New Roman"/>
          <w:sz w:val="24"/>
          <w:szCs w:val="24"/>
        </w:rPr>
        <w:t>However, perhaps the biggest limitation of this review is a focus on data from the United States that may not apply to other health system contexts, especially low- to middle-income countries. More seriously, Goldzweig et al. failed to address issues of equity or to assess the impact of HIT on populations that lack digital literacy or consistent access to the internet. While efficiency gains were evident, the lack of an equity lens made this study less pertinent to the larger issue of access for new and digitally disadvantaged patients.</w:t>
      </w:r>
    </w:p>
    <w:p w14:paraId="1215DB14" w14:textId="77777777"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sidRPr="00FA1F7E">
        <w:rPr>
          <w:rFonts w:ascii="Times New Roman" w:hAnsi="Times New Roman" w:cs="Times New Roman"/>
          <w:b/>
          <w:bCs/>
          <w:sz w:val="24"/>
          <w:szCs w:val="24"/>
        </w:rPr>
        <w:t>Integration of EHRs and Equity Challenges in Primary Care</w:t>
      </w:r>
    </w:p>
    <w:p w14:paraId="6B824449" w14:textId="77777777"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sidRPr="00FA1F7E">
        <w:rPr>
          <w:rFonts w:ascii="Times New Roman" w:hAnsi="Times New Roman" w:cs="Times New Roman"/>
          <w:sz w:val="24"/>
          <w:szCs w:val="24"/>
        </w:rPr>
        <w:t xml:space="preserve"> Nguyen &amp; Bellucci (2020)</w:t>
      </w:r>
    </w:p>
    <w:p w14:paraId="7F82A34B" w14:textId="313E5F4B"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Nguyen and Bellucci gave a nuanced analysis of how EHR-integrated appointment systems are functioning within Australian primary care clinics. By using a mixed-methods approach (of case studies and surveys), they have revealed that EHR-linked scheduling tools improved throughput while minimizing scheduling errors and enhancing the reliability of appointment data. Such advantages notwithstanding, the study throws up the very pertinent issue of how low digital literacy or technological access</w:t>
      </w:r>
      <w:r w:rsidR="00A642C9">
        <w:rPr>
          <w:rFonts w:ascii="Times New Roman" w:hAnsi="Times New Roman" w:cs="Times New Roman"/>
          <w:sz w:val="24"/>
          <w:szCs w:val="24"/>
        </w:rPr>
        <w:t xml:space="preserve">, </w:t>
      </w:r>
      <w:r w:rsidRPr="00FA1F7E">
        <w:rPr>
          <w:rFonts w:ascii="Times New Roman" w:hAnsi="Times New Roman" w:cs="Times New Roman"/>
          <w:sz w:val="24"/>
          <w:szCs w:val="24"/>
        </w:rPr>
        <w:t xml:space="preserve">particularly for the elderly and those from the </w:t>
      </w:r>
      <w:r w:rsidRPr="00FA1F7E">
        <w:rPr>
          <w:rFonts w:ascii="Times New Roman" w:hAnsi="Times New Roman" w:cs="Times New Roman"/>
          <w:sz w:val="24"/>
          <w:szCs w:val="24"/>
        </w:rPr>
        <w:lastRenderedPageBreak/>
        <w:t>socio-economically disadvantaged segments of society</w:t>
      </w:r>
      <w:r w:rsidR="00A642C9">
        <w:rPr>
          <w:rFonts w:ascii="Times New Roman" w:hAnsi="Times New Roman" w:cs="Times New Roman"/>
          <w:sz w:val="24"/>
          <w:szCs w:val="24"/>
        </w:rPr>
        <w:t xml:space="preserve">, has </w:t>
      </w:r>
      <w:r w:rsidRPr="00FA1F7E">
        <w:rPr>
          <w:rFonts w:ascii="Times New Roman" w:hAnsi="Times New Roman" w:cs="Times New Roman"/>
          <w:sz w:val="24"/>
          <w:szCs w:val="24"/>
        </w:rPr>
        <w:t>become a significant impediment to using these digital systems.</w:t>
      </w:r>
    </w:p>
    <w:p w14:paraId="51BF8156" w14:textId="77777777" w:rsidR="00FA1F7E" w:rsidRPr="00FA1F7E" w:rsidRDefault="00FA1F7E" w:rsidP="00FA1F7E">
      <w:pPr>
        <w:spacing w:line="480" w:lineRule="auto"/>
        <w:jc w:val="both"/>
        <w:rPr>
          <w:rFonts w:ascii="Times New Roman" w:hAnsi="Times New Roman" w:cs="Times New Roman"/>
          <w:sz w:val="24"/>
          <w:szCs w:val="24"/>
        </w:rPr>
      </w:pPr>
    </w:p>
    <w:p w14:paraId="32144338" w14:textId="77777777" w:rsidR="00FA1F7E" w:rsidRDefault="00000000" w:rsidP="00FA1F7E">
      <w:pPr>
        <w:spacing w:line="480" w:lineRule="auto"/>
        <w:jc w:val="both"/>
      </w:pPr>
      <w:r w:rsidRPr="00FA1F7E">
        <w:rPr>
          <w:rFonts w:ascii="Times New Roman" w:hAnsi="Times New Roman" w:cs="Times New Roman"/>
          <w:sz w:val="24"/>
          <w:szCs w:val="24"/>
        </w:rPr>
        <w:t>Regarding the external validity of the work, a limitation in geographic scope (a few clinics in Australia) seems to be present, but its strength lies in showing the practical terms of the "digital divide" and that technical efficiency does not necessarily guarantee equal access. The researchers recommend that the forthcoming HIS implementations take into account the users' capability, access</w:t>
      </w:r>
      <w:r w:rsidRPr="00FA1F7E">
        <w:t xml:space="preserve">. </w:t>
      </w:r>
    </w:p>
    <w:p w14:paraId="62A73276" w14:textId="7ED73CE8"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w:t>
      </w:r>
      <w:r w:rsidRPr="00FA1F7E">
        <w:rPr>
          <w:rFonts w:ascii="Times New Roman" w:hAnsi="Times New Roman" w:cs="Times New Roman"/>
          <w:b/>
          <w:bCs/>
          <w:sz w:val="24"/>
          <w:szCs w:val="24"/>
        </w:rPr>
        <w:t xml:space="preserve">he Telehealth Paradox </w:t>
      </w:r>
      <w:r>
        <w:rPr>
          <w:rFonts w:ascii="Times New Roman" w:hAnsi="Times New Roman" w:cs="Times New Roman"/>
          <w:b/>
          <w:bCs/>
          <w:sz w:val="24"/>
          <w:szCs w:val="24"/>
        </w:rPr>
        <w:t xml:space="preserve">and </w:t>
      </w:r>
      <w:r w:rsidRPr="00FA1F7E">
        <w:rPr>
          <w:rFonts w:ascii="Times New Roman" w:hAnsi="Times New Roman" w:cs="Times New Roman"/>
          <w:b/>
          <w:bCs/>
          <w:sz w:val="24"/>
          <w:szCs w:val="24"/>
        </w:rPr>
        <w:t xml:space="preserve">Digital Exclusion </w:t>
      </w:r>
    </w:p>
    <w:p w14:paraId="4347CD88" w14:textId="77777777"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sidRPr="00FA1F7E">
        <w:rPr>
          <w:rFonts w:ascii="Times New Roman" w:hAnsi="Times New Roman" w:cs="Times New Roman"/>
          <w:sz w:val="24"/>
          <w:szCs w:val="24"/>
        </w:rPr>
        <w:t xml:space="preserve"> Kruse et al. (2021)</w:t>
      </w:r>
    </w:p>
    <w:p w14:paraId="2C9292D9" w14:textId="34DEF472"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 xml:space="preserve">This cross-sectional study examined the </w:t>
      </w:r>
      <w:r w:rsidR="007C42D9">
        <w:rPr>
          <w:rFonts w:ascii="Times New Roman" w:hAnsi="Times New Roman" w:cs="Times New Roman"/>
          <w:sz w:val="24"/>
          <w:szCs w:val="24"/>
        </w:rPr>
        <w:t xml:space="preserve">flow </w:t>
      </w:r>
      <w:r w:rsidRPr="00FA1F7E">
        <w:rPr>
          <w:rFonts w:ascii="Times New Roman" w:hAnsi="Times New Roman" w:cs="Times New Roman"/>
          <w:sz w:val="24"/>
          <w:szCs w:val="24"/>
        </w:rPr>
        <w:t xml:space="preserve">in telehealth usage during the COVID-19 pandemic. The findings are </w:t>
      </w:r>
      <w:r w:rsidR="007C42D9">
        <w:rPr>
          <w:rFonts w:ascii="Times New Roman" w:hAnsi="Times New Roman" w:cs="Times New Roman"/>
          <w:sz w:val="24"/>
          <w:szCs w:val="24"/>
        </w:rPr>
        <w:t xml:space="preserve">a basic </w:t>
      </w:r>
      <w:r w:rsidRPr="00FA1F7E">
        <w:rPr>
          <w:rFonts w:ascii="Times New Roman" w:hAnsi="Times New Roman" w:cs="Times New Roman"/>
          <w:sz w:val="24"/>
          <w:szCs w:val="24"/>
        </w:rPr>
        <w:t>dual-sided outcome whereby telehealth improved appointment access to patients, especially in urban settings, with a high degree of digital readiness on their part; conversely, it has also introduced new forms of inequity. Older adults, rural populations, and individuals without access to devices or stable internet connections were frequently excluded from benefiting fully from telehealth services.</w:t>
      </w:r>
    </w:p>
    <w:p w14:paraId="50DF8A0C" w14:textId="0E1849BB" w:rsidR="0099772E" w:rsidRDefault="00000000" w:rsidP="00FA1F7E">
      <w:pPr>
        <w:spacing w:line="480" w:lineRule="auto"/>
        <w:jc w:val="both"/>
        <w:rPr>
          <w:rFonts w:ascii="Times New Roman" w:hAnsi="Times New Roman" w:cs="Times New Roman"/>
          <w:sz w:val="24"/>
          <w:szCs w:val="24"/>
          <w:rtl/>
        </w:rPr>
      </w:pPr>
      <w:r w:rsidRPr="00FA1F7E">
        <w:rPr>
          <w:rFonts w:ascii="Times New Roman" w:hAnsi="Times New Roman" w:cs="Times New Roman"/>
          <w:sz w:val="24"/>
          <w:szCs w:val="24"/>
        </w:rPr>
        <w:t>Kruse et al. used statistically valid correlations between demographic variables and appointment access outcomes based on national datasets. However, the main focus of the article is telehealth as opposed to HIS in general, which diminishes its external validity when applied to other digital health platforms. Nevertheless, it remains pertinent to multiple equity debates, indicating that unless inclusively designed, digital health interventions might only deepen existing health inequities. Ability, and other means of booking.</w:t>
      </w:r>
    </w:p>
    <w:p w14:paraId="494085A2" w14:textId="77777777" w:rsidR="00A4561E" w:rsidRDefault="00A4561E" w:rsidP="00FA1F7E">
      <w:pPr>
        <w:spacing w:line="480" w:lineRule="auto"/>
        <w:jc w:val="both"/>
        <w:rPr>
          <w:rFonts w:ascii="Times New Roman" w:hAnsi="Times New Roman" w:cs="Times New Roman"/>
          <w:sz w:val="24"/>
          <w:szCs w:val="24"/>
        </w:rPr>
      </w:pPr>
    </w:p>
    <w:p w14:paraId="1132AE34" w14:textId="2D2DF8DC"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sidRPr="00FA1F7E">
        <w:rPr>
          <w:rFonts w:ascii="Times New Roman" w:hAnsi="Times New Roman" w:cs="Times New Roman"/>
          <w:b/>
          <w:bCs/>
          <w:sz w:val="24"/>
          <w:szCs w:val="24"/>
        </w:rPr>
        <w:lastRenderedPageBreak/>
        <w:t>Demographics and Patient Portals Study</w:t>
      </w:r>
    </w:p>
    <w:p w14:paraId="39216E38" w14:textId="0C9402FF" w:rsid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sidRPr="00FA1F7E">
        <w:rPr>
          <w:rFonts w:ascii="Times New Roman" w:hAnsi="Times New Roman" w:cs="Times New Roman"/>
          <w:sz w:val="24"/>
          <w:szCs w:val="24"/>
        </w:rPr>
        <w:t>: Reed et al. (2018)</w:t>
      </w:r>
    </w:p>
    <w:p w14:paraId="2D183BDB" w14:textId="2543B0ED"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 xml:space="preserve"> Reed and co-authors examined reports on systematic differences between self-scheduling practices in patient portals. In summary, their research supports the idea that younger, college-educated, and well-informed patients will use self-scheduling features for self-scheduling purposes. Opposed to this are older patients and people with less education or income, who seem unaware or just unwilling to engage in such actions.</w:t>
      </w:r>
    </w:p>
    <w:p w14:paraId="33C58BF3" w14:textId="17661EA2" w:rsid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 xml:space="preserve">The study's strength is in its examination of user behavior and preference, not just system performance. Discussion of intervention or design strategies to reduce these barriers is sorely lacking. Findings therefore </w:t>
      </w:r>
      <w:r w:rsidR="007C42D9">
        <w:rPr>
          <w:rFonts w:ascii="Times New Roman" w:hAnsi="Times New Roman" w:cs="Times New Roman"/>
          <w:sz w:val="24"/>
          <w:szCs w:val="24"/>
        </w:rPr>
        <w:t>support</w:t>
      </w:r>
      <w:r w:rsidRPr="00FA1F7E">
        <w:rPr>
          <w:rFonts w:ascii="Times New Roman" w:hAnsi="Times New Roman" w:cs="Times New Roman"/>
          <w:sz w:val="24"/>
          <w:szCs w:val="24"/>
        </w:rPr>
        <w:t xml:space="preserve"> the argument that HIS tools appear to serve those who are already privileged by access and digital know-how, raising critical questions about inclusion.</w:t>
      </w:r>
    </w:p>
    <w:p w14:paraId="15555EA5" w14:textId="77777777"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sidRPr="00FA1F7E">
        <w:rPr>
          <w:rFonts w:ascii="Times New Roman" w:hAnsi="Times New Roman" w:cs="Times New Roman"/>
          <w:b/>
          <w:bCs/>
          <w:sz w:val="24"/>
          <w:szCs w:val="24"/>
        </w:rPr>
        <w:t>AI Scheduling and Operational Gains</w:t>
      </w:r>
    </w:p>
    <w:p w14:paraId="071CAABA" w14:textId="77777777"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sidRPr="00FA1F7E">
        <w:rPr>
          <w:rFonts w:ascii="Times New Roman" w:hAnsi="Times New Roman" w:cs="Times New Roman"/>
          <w:sz w:val="24"/>
          <w:szCs w:val="24"/>
        </w:rPr>
        <w:t>: Zhang et al, 2022</w:t>
      </w:r>
    </w:p>
    <w:p w14:paraId="12EC672F" w14:textId="1AC567EF"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This pilot study runs experimental trials to determine the applicability of AI-based scheduling algorithms in outpatient clinics. The AI set up the appointment allocation based on predicted no-show probabilities and patient traffic data. It was able to achieve a 20% improvement in the utilization of the clinic, as well as reduce wait times for all.</w:t>
      </w:r>
    </w:p>
    <w:p w14:paraId="2F73AB30" w14:textId="56D95682" w:rsid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While these findings are significant from an administrative efficiency standpoint, this study did not address the questions of equity. There was no demographic assessment to determine whether or not the results were helpful to marginally present populations concerning improvements made by AIs in scheduling. This is a huge gap since AI algorithms are oftentimes trained using past data, which may already introduce and perpetuate certain types of biases against some patient groups.</w:t>
      </w:r>
    </w:p>
    <w:p w14:paraId="78BC984D" w14:textId="77777777" w:rsidR="00FA1F7E" w:rsidRPr="00FA1F7E" w:rsidRDefault="00000000" w:rsidP="00FA1F7E">
      <w:pPr>
        <w:pStyle w:val="ListParagraph"/>
        <w:numPr>
          <w:ilvl w:val="0"/>
          <w:numId w:val="2"/>
        </w:numPr>
        <w:spacing w:line="480" w:lineRule="auto"/>
        <w:jc w:val="both"/>
        <w:rPr>
          <w:rFonts w:ascii="Times New Roman" w:hAnsi="Times New Roman" w:cs="Times New Roman"/>
          <w:b/>
          <w:bCs/>
          <w:sz w:val="24"/>
          <w:szCs w:val="24"/>
        </w:rPr>
      </w:pPr>
      <w:r w:rsidRPr="00FA1F7E">
        <w:rPr>
          <w:rFonts w:ascii="Times New Roman" w:hAnsi="Times New Roman" w:cs="Times New Roman"/>
          <w:b/>
          <w:bCs/>
          <w:sz w:val="24"/>
          <w:szCs w:val="24"/>
        </w:rPr>
        <w:lastRenderedPageBreak/>
        <w:t>HIS in Low-Income Communities</w:t>
      </w:r>
    </w:p>
    <w:p w14:paraId="762BBBA7" w14:textId="19FB2708"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b/>
          <w:bCs/>
          <w:sz w:val="24"/>
          <w:szCs w:val="24"/>
        </w:rPr>
        <w:t>Study:</w:t>
      </w:r>
      <w:r w:rsidRPr="00FA1F7E">
        <w:rPr>
          <w:rFonts w:ascii="Times New Roman" w:hAnsi="Times New Roman" w:cs="Times New Roman"/>
          <w:sz w:val="24"/>
          <w:szCs w:val="24"/>
        </w:rPr>
        <w:t xml:space="preserve"> Patel &amp; Thomas (2020)</w:t>
      </w:r>
    </w:p>
    <w:p w14:paraId="06CAF546" w14:textId="77777777"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This research article from Patel and Thomas detailed a qualitative study investigating how HIS are used in community health centers targeting low-income populations. It found that HIS, which includes multilingual patient portals, staff-assisted booking options, and culturally appropriate communication, significantly enhances appointment access for new patients and those with low digital literacy.</w:t>
      </w:r>
    </w:p>
    <w:p w14:paraId="6AD88F2B" w14:textId="5CE5CCB5" w:rsidR="00FA1F7E" w:rsidRPr="00FA1F7E" w:rsidRDefault="00000000" w:rsidP="00FA1F7E">
      <w:pPr>
        <w:spacing w:line="480" w:lineRule="auto"/>
        <w:jc w:val="both"/>
        <w:rPr>
          <w:rFonts w:ascii="Times New Roman" w:hAnsi="Times New Roman" w:cs="Times New Roman"/>
          <w:sz w:val="24"/>
          <w:szCs w:val="24"/>
        </w:rPr>
      </w:pPr>
      <w:r w:rsidRPr="00FA1F7E">
        <w:rPr>
          <w:rFonts w:ascii="Times New Roman" w:hAnsi="Times New Roman" w:cs="Times New Roman"/>
          <w:sz w:val="24"/>
          <w:szCs w:val="24"/>
        </w:rPr>
        <w:t>What makes this study stand out is its direct attempt to address issues raised by equity in HIS implementation. Their individualized perspective was revealed during the construction of gaps in access to healthcare for vulnerable populations. However, as the authors note, these individualized solutions are often resource-demanding and difficult to replicate on larger systems without dedicated funding and infrastructure.</w:t>
      </w:r>
    </w:p>
    <w:p w14:paraId="2BEE38F5" w14:textId="77777777" w:rsidR="002E556A" w:rsidRDefault="002E556A" w:rsidP="0003283E">
      <w:pPr>
        <w:spacing w:line="480" w:lineRule="auto"/>
        <w:jc w:val="both"/>
        <w:rPr>
          <w:rFonts w:ascii="Times New Roman" w:hAnsi="Times New Roman" w:cs="Times New Roman"/>
          <w:sz w:val="24"/>
          <w:szCs w:val="24"/>
          <w:rtl/>
        </w:rPr>
      </w:pPr>
    </w:p>
    <w:p w14:paraId="49D737D2" w14:textId="77777777" w:rsidR="00A4561E" w:rsidRDefault="00A4561E" w:rsidP="0003283E">
      <w:pPr>
        <w:spacing w:line="480" w:lineRule="auto"/>
        <w:jc w:val="both"/>
        <w:rPr>
          <w:rFonts w:ascii="Times New Roman" w:hAnsi="Times New Roman" w:cs="Times New Roman"/>
          <w:sz w:val="24"/>
          <w:szCs w:val="24"/>
          <w:rtl/>
        </w:rPr>
      </w:pPr>
    </w:p>
    <w:p w14:paraId="741AE619" w14:textId="77777777" w:rsidR="00A4561E" w:rsidRDefault="00A4561E" w:rsidP="0003283E">
      <w:pPr>
        <w:spacing w:line="480" w:lineRule="auto"/>
        <w:jc w:val="both"/>
        <w:rPr>
          <w:rFonts w:ascii="Times New Roman" w:hAnsi="Times New Roman" w:cs="Times New Roman"/>
          <w:sz w:val="24"/>
          <w:szCs w:val="24"/>
          <w:rtl/>
        </w:rPr>
      </w:pPr>
    </w:p>
    <w:p w14:paraId="0A79A672" w14:textId="77777777" w:rsidR="00A4561E" w:rsidRDefault="00A4561E" w:rsidP="0003283E">
      <w:pPr>
        <w:spacing w:line="480" w:lineRule="auto"/>
        <w:jc w:val="both"/>
        <w:rPr>
          <w:rFonts w:ascii="Times New Roman" w:hAnsi="Times New Roman" w:cs="Times New Roman"/>
          <w:sz w:val="24"/>
          <w:szCs w:val="24"/>
          <w:rtl/>
        </w:rPr>
      </w:pPr>
    </w:p>
    <w:p w14:paraId="45AD8463" w14:textId="77777777" w:rsidR="00A4561E" w:rsidRDefault="00A4561E" w:rsidP="0003283E">
      <w:pPr>
        <w:spacing w:line="480" w:lineRule="auto"/>
        <w:jc w:val="both"/>
        <w:rPr>
          <w:rFonts w:ascii="Times New Roman" w:hAnsi="Times New Roman" w:cs="Times New Roman"/>
          <w:sz w:val="24"/>
          <w:szCs w:val="24"/>
          <w:rtl/>
        </w:rPr>
      </w:pPr>
    </w:p>
    <w:p w14:paraId="59B74099" w14:textId="77777777" w:rsidR="00A4561E" w:rsidRDefault="00A4561E" w:rsidP="0003283E">
      <w:pPr>
        <w:spacing w:line="480" w:lineRule="auto"/>
        <w:jc w:val="both"/>
        <w:rPr>
          <w:rFonts w:ascii="Times New Roman" w:hAnsi="Times New Roman" w:cs="Times New Roman"/>
          <w:sz w:val="24"/>
          <w:szCs w:val="24"/>
          <w:rtl/>
        </w:rPr>
      </w:pPr>
    </w:p>
    <w:p w14:paraId="40CA974A" w14:textId="77777777" w:rsidR="00A4561E" w:rsidRDefault="00A4561E" w:rsidP="0003283E">
      <w:pPr>
        <w:spacing w:line="480" w:lineRule="auto"/>
        <w:jc w:val="both"/>
        <w:rPr>
          <w:rFonts w:ascii="Times New Roman" w:hAnsi="Times New Roman" w:cs="Times New Roman"/>
          <w:sz w:val="24"/>
          <w:szCs w:val="24"/>
          <w:rtl/>
        </w:rPr>
      </w:pPr>
    </w:p>
    <w:p w14:paraId="16D02EDE" w14:textId="77777777" w:rsidR="00A4561E" w:rsidRDefault="00A4561E" w:rsidP="0003283E">
      <w:pPr>
        <w:spacing w:line="480" w:lineRule="auto"/>
        <w:jc w:val="both"/>
        <w:rPr>
          <w:rFonts w:ascii="Times New Roman" w:hAnsi="Times New Roman" w:cs="Times New Roman"/>
          <w:sz w:val="24"/>
          <w:szCs w:val="24"/>
          <w:rtl/>
        </w:rPr>
      </w:pPr>
    </w:p>
    <w:p w14:paraId="3F152439" w14:textId="77777777" w:rsidR="00A4561E" w:rsidRDefault="00A4561E" w:rsidP="0003283E">
      <w:pPr>
        <w:spacing w:line="480" w:lineRule="auto"/>
        <w:jc w:val="both"/>
        <w:rPr>
          <w:rFonts w:ascii="Times New Roman" w:hAnsi="Times New Roman" w:cs="Times New Roman"/>
          <w:sz w:val="24"/>
          <w:szCs w:val="24"/>
          <w:rtl/>
        </w:rPr>
      </w:pPr>
    </w:p>
    <w:p w14:paraId="1D45AC09" w14:textId="77777777" w:rsidR="00A4561E" w:rsidRDefault="00A4561E" w:rsidP="0003283E">
      <w:pPr>
        <w:spacing w:line="480" w:lineRule="auto"/>
        <w:jc w:val="both"/>
        <w:rPr>
          <w:rFonts w:ascii="Times New Roman" w:hAnsi="Times New Roman" w:cs="Times New Roman"/>
          <w:sz w:val="24"/>
          <w:szCs w:val="24"/>
        </w:rPr>
      </w:pPr>
    </w:p>
    <w:p w14:paraId="5A7C7B21" w14:textId="225C232B" w:rsidR="002E556A" w:rsidRPr="002E556A" w:rsidRDefault="00000000" w:rsidP="002E556A">
      <w:pPr>
        <w:spacing w:line="480" w:lineRule="auto"/>
        <w:jc w:val="both"/>
        <w:rPr>
          <w:rFonts w:ascii="Times New Roman" w:hAnsi="Times New Roman" w:cs="Times New Roman"/>
          <w:b/>
          <w:bCs/>
          <w:sz w:val="24"/>
          <w:szCs w:val="24"/>
          <w:lang w:val="en-US"/>
        </w:rPr>
      </w:pPr>
      <w:r w:rsidRPr="0003283E">
        <w:rPr>
          <w:rFonts w:ascii="Times New Roman" w:hAnsi="Times New Roman" w:cs="Times New Roman"/>
          <w:b/>
          <w:bCs/>
          <w:sz w:val="24"/>
          <w:szCs w:val="24"/>
          <w:lang w:val="en-US"/>
        </w:rPr>
        <w:lastRenderedPageBreak/>
        <w:t>References</w:t>
      </w:r>
    </w:p>
    <w:p w14:paraId="748C9772" w14:textId="77777777" w:rsidR="002E556A" w:rsidRPr="002E556A" w:rsidRDefault="00000000"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Arcury, T. A., Preisser, J. S., Gesler, W. M., &amp; Powers, J. M. (2018). Access to transportation and health care utilization in a rural region. Journal of Rural Health 34(3): 253-260. https://doi.org/10.1111/jrh.12257</w:t>
      </w:r>
    </w:p>
    <w:p w14:paraId="12C951C8" w14:textId="77777777" w:rsidR="002E556A" w:rsidRDefault="00000000" w:rsidP="001D225F">
      <w:pPr>
        <w:pStyle w:val="NormalWeb"/>
        <w:spacing w:before="0" w:beforeAutospacing="0" w:after="0" w:afterAutospacing="0" w:line="480" w:lineRule="auto"/>
        <w:ind w:left="720" w:hanging="720"/>
        <w:rPr>
          <w:lang w:val="en-US"/>
        </w:rPr>
      </w:pPr>
      <w:r>
        <w:t>Berwick, D. M., Batchelor, E., Chokshi, D. A., Gabow, P., Gilfillan, R., Isasi, F., Milstein, A.,</w:t>
      </w:r>
    </w:p>
    <w:p w14:paraId="5CBD96A1" w14:textId="2C13E873" w:rsidR="002E556A" w:rsidRDefault="00000000" w:rsidP="001D225F">
      <w:pPr>
        <w:pStyle w:val="NormalWeb"/>
        <w:spacing w:before="0" w:beforeAutospacing="0" w:after="0" w:afterAutospacing="0" w:line="480" w:lineRule="auto"/>
        <w:ind w:left="720" w:hanging="720"/>
      </w:pPr>
      <w:r>
        <w:t>&amp; Nichols, L. M. (2025). From Laggard to Leader: Why Health Care in the United</w:t>
      </w:r>
    </w:p>
    <w:p w14:paraId="509AF749" w14:textId="0921476B" w:rsidR="002E556A" w:rsidRDefault="00000000" w:rsidP="001D225F">
      <w:pPr>
        <w:pStyle w:val="NormalWeb"/>
        <w:spacing w:before="0" w:beforeAutospacing="0" w:after="0" w:afterAutospacing="0" w:line="480" w:lineRule="auto"/>
        <w:ind w:left="720" w:hanging="720"/>
      </w:pPr>
      <w:r>
        <w:t xml:space="preserve">States are failing, and how to fix it. </w:t>
      </w:r>
      <w:r>
        <w:rPr>
          <w:i/>
          <w:iCs/>
        </w:rPr>
        <w:t>Health Affairs</w:t>
      </w:r>
      <w:r>
        <w:t xml:space="preserve">. </w:t>
      </w:r>
      <w:r>
        <w:rPr>
          <w:rStyle w:val="url"/>
        </w:rPr>
        <w:t>https://doi.org/10.1377/hlthaff.2024.01007</w:t>
      </w:r>
    </w:p>
    <w:p w14:paraId="0D5FFFA7" w14:textId="77777777" w:rsidR="002E556A" w:rsidRDefault="00000000" w:rsidP="001D225F">
      <w:pPr>
        <w:pStyle w:val="NormalWeb"/>
        <w:spacing w:before="0" w:beforeAutospacing="0" w:after="0" w:afterAutospacing="0" w:line="480" w:lineRule="auto"/>
        <w:ind w:left="720" w:hanging="720"/>
      </w:pPr>
      <w:r>
        <w:t>Goldzweig, C. L., Orshansky, G., Paige, N. M., Towfigh, A. A., Haggstrom, D. A., Miake</w:t>
      </w:r>
    </w:p>
    <w:p w14:paraId="31D4F446" w14:textId="77777777" w:rsidR="002E556A" w:rsidRDefault="00000000" w:rsidP="001D225F">
      <w:pPr>
        <w:pStyle w:val="NormalWeb"/>
        <w:spacing w:before="0" w:beforeAutospacing="0" w:after="0" w:afterAutospacing="0" w:line="480" w:lineRule="auto"/>
        <w:ind w:left="720" w:hanging="720"/>
      </w:pPr>
      <w:r>
        <w:t>Lye, I., Beroes, J. M., &amp; Shekelle, P. G. (2013). Electronic Patient Portals: evidence on health</w:t>
      </w:r>
    </w:p>
    <w:p w14:paraId="32A8A7B6" w14:textId="77777777" w:rsidR="002E556A" w:rsidRDefault="00000000" w:rsidP="001D225F">
      <w:pPr>
        <w:pStyle w:val="NormalWeb"/>
        <w:spacing w:before="0" w:beforeAutospacing="0" w:after="0" w:afterAutospacing="0" w:line="480" w:lineRule="auto"/>
        <w:ind w:left="720" w:hanging="720"/>
      </w:pPr>
      <w:r>
        <w:t xml:space="preserve">Outcomes, satisfaction, efficiency, and attitudes. </w:t>
      </w:r>
      <w:r>
        <w:rPr>
          <w:i/>
          <w:iCs/>
        </w:rPr>
        <w:t>Annals of Internal Medicine</w:t>
      </w:r>
      <w:r>
        <w:t xml:space="preserve">, </w:t>
      </w:r>
      <w:r>
        <w:rPr>
          <w:i/>
          <w:iCs/>
        </w:rPr>
        <w:t>159</w:t>
      </w:r>
      <w:r>
        <w:t>(10), 677.</w:t>
      </w:r>
    </w:p>
    <w:p w14:paraId="640D838F" w14:textId="4A4420BC" w:rsidR="002E556A" w:rsidRDefault="00000000" w:rsidP="001D225F">
      <w:pPr>
        <w:pStyle w:val="NormalWeb"/>
        <w:spacing w:before="0" w:beforeAutospacing="0" w:after="0" w:afterAutospacing="0" w:line="480" w:lineRule="auto"/>
        <w:ind w:left="720" w:hanging="720"/>
      </w:pPr>
      <w:r>
        <w:rPr>
          <w:rStyle w:val="url"/>
        </w:rPr>
        <w:t>https://doi.org/10.7326/0003-4819-159-10-201311190-00006</w:t>
      </w:r>
    </w:p>
    <w:p w14:paraId="54F140BB" w14:textId="77777777" w:rsidR="002E556A" w:rsidRPr="002E556A" w:rsidRDefault="00000000"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Kruse et al. 2021 made a systematic review evaluating barriers to telemedicine adoption on a worldwide scale. Journal of Telemedicine and Telecare 27(1): 4-12. https://doi.org/10.1177/1357633X20916567</w:t>
      </w:r>
    </w:p>
    <w:p w14:paraId="464D319B" w14:textId="77777777" w:rsidR="002E556A" w:rsidRPr="002E556A" w:rsidRDefault="00000000"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Lockett, M. M. et al. 2022 Interoperability in health care: The key to better outcomes. Health Affairs 41(6): 819-826. https://doi.org/10.1377/hlthaff.2022.00256</w:t>
      </w:r>
    </w:p>
    <w:p w14:paraId="1A74E1D3" w14:textId="77777777" w:rsidR="002E556A" w:rsidRPr="0003283E" w:rsidRDefault="00000000" w:rsidP="002E556A">
      <w:pPr>
        <w:spacing w:line="480" w:lineRule="auto"/>
        <w:jc w:val="both"/>
        <w:rPr>
          <w:rFonts w:ascii="Times New Roman" w:hAnsi="Times New Roman" w:cs="Times New Roman"/>
          <w:sz w:val="24"/>
          <w:szCs w:val="24"/>
          <w:lang w:val="en-US"/>
        </w:rPr>
      </w:pPr>
      <w:r w:rsidRPr="002E556A">
        <w:rPr>
          <w:rFonts w:ascii="Times New Roman" w:hAnsi="Times New Roman" w:cs="Times New Roman"/>
          <w:sz w:val="24"/>
          <w:szCs w:val="24"/>
          <w:lang w:val="en-US"/>
        </w:rPr>
        <w:t>Mehta, S. and Tan, J. (2023). Artificial intelligence in health care scheduling pilot study conducted in urban public hospitals. International Journal of Medical Informatics 170(1): 104954. https://doi.org/10.1016/j.ijmedinf.2023.104954</w:t>
      </w:r>
    </w:p>
    <w:p w14:paraId="6D5F668A" w14:textId="77777777" w:rsidR="002E556A" w:rsidRDefault="00000000" w:rsidP="00763846">
      <w:pPr>
        <w:pStyle w:val="NormalWeb"/>
        <w:spacing w:before="0" w:beforeAutospacing="0" w:after="0" w:afterAutospacing="0" w:line="480" w:lineRule="auto"/>
        <w:ind w:left="720" w:hanging="720"/>
      </w:pPr>
      <w:r>
        <w:t>Shim, M., &amp; Jo, H. S. (2020). What quality factors matter in enhancing the perceived benefits</w:t>
      </w:r>
    </w:p>
    <w:p w14:paraId="722A74FB" w14:textId="77777777" w:rsidR="002E556A" w:rsidRDefault="00000000" w:rsidP="00763846">
      <w:pPr>
        <w:pStyle w:val="NormalWeb"/>
        <w:spacing w:before="0" w:beforeAutospacing="0" w:after="0" w:afterAutospacing="0" w:line="480" w:lineRule="auto"/>
        <w:ind w:left="720" w:hanging="720"/>
      </w:pPr>
      <w:r>
        <w:t>Of online health information sites? Application of the updated DeLone and McLean</w:t>
      </w:r>
    </w:p>
    <w:p w14:paraId="0A3711B2" w14:textId="77777777" w:rsidR="002E556A" w:rsidRDefault="00000000" w:rsidP="00763846">
      <w:pPr>
        <w:pStyle w:val="NormalWeb"/>
        <w:spacing w:before="0" w:beforeAutospacing="0" w:after="0" w:afterAutospacing="0" w:line="480" w:lineRule="auto"/>
        <w:ind w:left="720" w:hanging="720"/>
      </w:pPr>
      <w:r>
        <w:t xml:space="preserve">Information Systems Success Model. </w:t>
      </w:r>
      <w:r>
        <w:rPr>
          <w:i/>
          <w:iCs/>
        </w:rPr>
        <w:t>International Journal of Medical Informatics</w:t>
      </w:r>
      <w:r>
        <w:t xml:space="preserve">, </w:t>
      </w:r>
      <w:r>
        <w:rPr>
          <w:i/>
          <w:iCs/>
        </w:rPr>
        <w:t>137</w:t>
      </w:r>
      <w:r>
        <w:t>,</w:t>
      </w:r>
    </w:p>
    <w:p w14:paraId="11081F51" w14:textId="03590C3C" w:rsidR="002E556A" w:rsidRDefault="00000000" w:rsidP="00763846">
      <w:pPr>
        <w:pStyle w:val="NormalWeb"/>
        <w:spacing w:before="0" w:beforeAutospacing="0" w:after="0" w:afterAutospacing="0" w:line="480" w:lineRule="auto"/>
        <w:ind w:left="720" w:hanging="720"/>
      </w:pPr>
      <w:r>
        <w:lastRenderedPageBreak/>
        <w:t xml:space="preserve">104093. </w:t>
      </w:r>
      <w:r>
        <w:rPr>
          <w:rStyle w:val="url"/>
        </w:rPr>
        <w:t>https://doi.org/10.1016/j.ijmedinf.2020.104093</w:t>
      </w:r>
    </w:p>
    <w:p w14:paraId="7FA61AB9" w14:textId="77777777" w:rsidR="002E556A" w:rsidRDefault="00000000" w:rsidP="001D225F">
      <w:pPr>
        <w:pStyle w:val="NormalWeb"/>
        <w:spacing w:before="0" w:beforeAutospacing="0" w:after="0" w:afterAutospacing="0" w:line="480" w:lineRule="auto"/>
        <w:ind w:left="720" w:hanging="720"/>
      </w:pPr>
      <w:r>
        <w:t xml:space="preserve">Socha-Dietrich, K. (2021). Empowering the health workforce to make the most of the digital revolution. </w:t>
      </w:r>
      <w:r>
        <w:rPr>
          <w:i/>
          <w:iCs/>
        </w:rPr>
        <w:t>OECD Health Working Papers</w:t>
      </w:r>
      <w:r>
        <w:t xml:space="preserve">. </w:t>
      </w:r>
      <w:r>
        <w:rPr>
          <w:rStyle w:val="url"/>
        </w:rPr>
        <w:t>https://doi.org/10.1787/37ff0eaa-en</w:t>
      </w:r>
    </w:p>
    <w:sectPr w:rsidR="002E556A" w:rsidSect="00A4561E">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5A1D" w14:textId="77777777" w:rsidR="00AE52F7" w:rsidRDefault="00AE52F7">
      <w:pPr>
        <w:spacing w:after="0" w:line="240" w:lineRule="auto"/>
      </w:pPr>
      <w:r>
        <w:separator/>
      </w:r>
    </w:p>
  </w:endnote>
  <w:endnote w:type="continuationSeparator" w:id="0">
    <w:p w14:paraId="0C4E6BFC" w14:textId="77777777" w:rsidR="00AE52F7" w:rsidRDefault="00AE5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F8AC1" w14:textId="77777777" w:rsidR="00AE52F7" w:rsidRDefault="00AE52F7">
      <w:pPr>
        <w:spacing w:after="0" w:line="240" w:lineRule="auto"/>
      </w:pPr>
      <w:r>
        <w:separator/>
      </w:r>
    </w:p>
  </w:footnote>
  <w:footnote w:type="continuationSeparator" w:id="0">
    <w:p w14:paraId="63467BDE" w14:textId="77777777" w:rsidR="00AE52F7" w:rsidRDefault="00AE52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601B8" w14:textId="4E06CC3C" w:rsidR="0003283E" w:rsidRDefault="00000000">
    <w:pPr>
      <w:pStyle w:val="Header"/>
    </w:pPr>
    <w:r>
      <w:tab/>
    </w:r>
    <w:r>
      <w:tab/>
    </w:r>
    <w:sdt>
      <w:sdtPr>
        <w:id w:val="-1967821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3AB675D" w14:textId="77777777" w:rsidR="0003283E" w:rsidRDefault="000328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A3448"/>
    <w:multiLevelType w:val="hybridMultilevel"/>
    <w:tmpl w:val="DA2A0DA8"/>
    <w:lvl w:ilvl="0" w:tplc="5E78B9FA">
      <w:start w:val="1"/>
      <w:numFmt w:val="decimal"/>
      <w:lvlText w:val="%1."/>
      <w:lvlJc w:val="left"/>
      <w:pPr>
        <w:ind w:left="720" w:hanging="360"/>
      </w:pPr>
    </w:lvl>
    <w:lvl w:ilvl="1" w:tplc="29BEB8A6" w:tentative="1">
      <w:start w:val="1"/>
      <w:numFmt w:val="lowerLetter"/>
      <w:lvlText w:val="%2."/>
      <w:lvlJc w:val="left"/>
      <w:pPr>
        <w:ind w:left="1440" w:hanging="360"/>
      </w:pPr>
    </w:lvl>
    <w:lvl w:ilvl="2" w:tplc="2EF24D64" w:tentative="1">
      <w:start w:val="1"/>
      <w:numFmt w:val="lowerRoman"/>
      <w:lvlText w:val="%3."/>
      <w:lvlJc w:val="right"/>
      <w:pPr>
        <w:ind w:left="2160" w:hanging="180"/>
      </w:pPr>
    </w:lvl>
    <w:lvl w:ilvl="3" w:tplc="488E02EA" w:tentative="1">
      <w:start w:val="1"/>
      <w:numFmt w:val="decimal"/>
      <w:lvlText w:val="%4."/>
      <w:lvlJc w:val="left"/>
      <w:pPr>
        <w:ind w:left="2880" w:hanging="360"/>
      </w:pPr>
    </w:lvl>
    <w:lvl w:ilvl="4" w:tplc="31726330" w:tentative="1">
      <w:start w:val="1"/>
      <w:numFmt w:val="lowerLetter"/>
      <w:lvlText w:val="%5."/>
      <w:lvlJc w:val="left"/>
      <w:pPr>
        <w:ind w:left="3600" w:hanging="360"/>
      </w:pPr>
    </w:lvl>
    <w:lvl w:ilvl="5" w:tplc="8AA68CF6" w:tentative="1">
      <w:start w:val="1"/>
      <w:numFmt w:val="lowerRoman"/>
      <w:lvlText w:val="%6."/>
      <w:lvlJc w:val="right"/>
      <w:pPr>
        <w:ind w:left="4320" w:hanging="180"/>
      </w:pPr>
    </w:lvl>
    <w:lvl w:ilvl="6" w:tplc="49E40800" w:tentative="1">
      <w:start w:val="1"/>
      <w:numFmt w:val="decimal"/>
      <w:lvlText w:val="%7."/>
      <w:lvlJc w:val="left"/>
      <w:pPr>
        <w:ind w:left="5040" w:hanging="360"/>
      </w:pPr>
    </w:lvl>
    <w:lvl w:ilvl="7" w:tplc="353ED6D8" w:tentative="1">
      <w:start w:val="1"/>
      <w:numFmt w:val="lowerLetter"/>
      <w:lvlText w:val="%8."/>
      <w:lvlJc w:val="left"/>
      <w:pPr>
        <w:ind w:left="5760" w:hanging="360"/>
      </w:pPr>
    </w:lvl>
    <w:lvl w:ilvl="8" w:tplc="CE423EE0" w:tentative="1">
      <w:start w:val="1"/>
      <w:numFmt w:val="lowerRoman"/>
      <w:lvlText w:val="%9."/>
      <w:lvlJc w:val="right"/>
      <w:pPr>
        <w:ind w:left="6480" w:hanging="180"/>
      </w:pPr>
    </w:lvl>
  </w:abstractNum>
  <w:abstractNum w:abstractNumId="1" w15:restartNumberingAfterBreak="0">
    <w:nsid w:val="47025AE3"/>
    <w:multiLevelType w:val="hybridMultilevel"/>
    <w:tmpl w:val="21F28DA8"/>
    <w:lvl w:ilvl="0" w:tplc="AF6C5900">
      <w:start w:val="1"/>
      <w:numFmt w:val="decimal"/>
      <w:lvlText w:val="%1."/>
      <w:lvlJc w:val="left"/>
      <w:pPr>
        <w:ind w:left="720" w:hanging="360"/>
      </w:pPr>
    </w:lvl>
    <w:lvl w:ilvl="1" w:tplc="BA88A0DC" w:tentative="1">
      <w:start w:val="1"/>
      <w:numFmt w:val="lowerLetter"/>
      <w:lvlText w:val="%2."/>
      <w:lvlJc w:val="left"/>
      <w:pPr>
        <w:ind w:left="1440" w:hanging="360"/>
      </w:pPr>
    </w:lvl>
    <w:lvl w:ilvl="2" w:tplc="8A460D4E" w:tentative="1">
      <w:start w:val="1"/>
      <w:numFmt w:val="lowerRoman"/>
      <w:lvlText w:val="%3."/>
      <w:lvlJc w:val="right"/>
      <w:pPr>
        <w:ind w:left="2160" w:hanging="180"/>
      </w:pPr>
    </w:lvl>
    <w:lvl w:ilvl="3" w:tplc="CE0639F4" w:tentative="1">
      <w:start w:val="1"/>
      <w:numFmt w:val="decimal"/>
      <w:lvlText w:val="%4."/>
      <w:lvlJc w:val="left"/>
      <w:pPr>
        <w:ind w:left="2880" w:hanging="360"/>
      </w:pPr>
    </w:lvl>
    <w:lvl w:ilvl="4" w:tplc="B6765084" w:tentative="1">
      <w:start w:val="1"/>
      <w:numFmt w:val="lowerLetter"/>
      <w:lvlText w:val="%5."/>
      <w:lvlJc w:val="left"/>
      <w:pPr>
        <w:ind w:left="3600" w:hanging="360"/>
      </w:pPr>
    </w:lvl>
    <w:lvl w:ilvl="5" w:tplc="54104AC2" w:tentative="1">
      <w:start w:val="1"/>
      <w:numFmt w:val="lowerRoman"/>
      <w:lvlText w:val="%6."/>
      <w:lvlJc w:val="right"/>
      <w:pPr>
        <w:ind w:left="4320" w:hanging="180"/>
      </w:pPr>
    </w:lvl>
    <w:lvl w:ilvl="6" w:tplc="47BA34F6" w:tentative="1">
      <w:start w:val="1"/>
      <w:numFmt w:val="decimal"/>
      <w:lvlText w:val="%7."/>
      <w:lvlJc w:val="left"/>
      <w:pPr>
        <w:ind w:left="5040" w:hanging="360"/>
      </w:pPr>
    </w:lvl>
    <w:lvl w:ilvl="7" w:tplc="4FEEE8AA" w:tentative="1">
      <w:start w:val="1"/>
      <w:numFmt w:val="lowerLetter"/>
      <w:lvlText w:val="%8."/>
      <w:lvlJc w:val="left"/>
      <w:pPr>
        <w:ind w:left="5760" w:hanging="360"/>
      </w:pPr>
    </w:lvl>
    <w:lvl w:ilvl="8" w:tplc="4E6E26A0" w:tentative="1">
      <w:start w:val="1"/>
      <w:numFmt w:val="lowerRoman"/>
      <w:lvlText w:val="%9."/>
      <w:lvlJc w:val="right"/>
      <w:pPr>
        <w:ind w:left="6480" w:hanging="180"/>
      </w:pPr>
    </w:lvl>
  </w:abstractNum>
  <w:num w:numId="1" w16cid:durableId="1261526863">
    <w:abstractNumId w:val="0"/>
  </w:num>
  <w:num w:numId="2" w16cid:durableId="785781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70"/>
    <w:rsid w:val="0003283E"/>
    <w:rsid w:val="001133F8"/>
    <w:rsid w:val="001A3757"/>
    <w:rsid w:val="001D225F"/>
    <w:rsid w:val="001D7F8D"/>
    <w:rsid w:val="002E556A"/>
    <w:rsid w:val="00491200"/>
    <w:rsid w:val="006437BC"/>
    <w:rsid w:val="006645A1"/>
    <w:rsid w:val="006A4E8C"/>
    <w:rsid w:val="00760A0A"/>
    <w:rsid w:val="00763846"/>
    <w:rsid w:val="00793D53"/>
    <w:rsid w:val="007C42D9"/>
    <w:rsid w:val="008371AE"/>
    <w:rsid w:val="008F2888"/>
    <w:rsid w:val="0099772E"/>
    <w:rsid w:val="00A4561E"/>
    <w:rsid w:val="00A45E70"/>
    <w:rsid w:val="00A642C9"/>
    <w:rsid w:val="00AB6010"/>
    <w:rsid w:val="00AE52F7"/>
    <w:rsid w:val="00AF1C89"/>
    <w:rsid w:val="00B174DD"/>
    <w:rsid w:val="00B3250C"/>
    <w:rsid w:val="00CC35B9"/>
    <w:rsid w:val="00F32A12"/>
    <w:rsid w:val="00FA1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CFD"/>
  <w15:chartTrackingRefBased/>
  <w15:docId w15:val="{5283D8A1-6EB9-4AD3-A63E-9E1A6309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3-Accent5">
    <w:name w:val="Grid Table 3 Accent 5"/>
    <w:basedOn w:val="TableNormal"/>
    <w:uiPriority w:val="48"/>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0328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032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83E"/>
  </w:style>
  <w:style w:type="paragraph" w:styleId="Footer">
    <w:name w:val="footer"/>
    <w:basedOn w:val="Normal"/>
    <w:link w:val="FooterChar"/>
    <w:uiPriority w:val="99"/>
    <w:unhideWhenUsed/>
    <w:rsid w:val="00032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83E"/>
  </w:style>
  <w:style w:type="paragraph" w:styleId="NormalWeb">
    <w:name w:val="Normal (Web)"/>
    <w:basedOn w:val="Normal"/>
    <w:uiPriority w:val="99"/>
    <w:semiHidden/>
    <w:unhideWhenUsed/>
    <w:rsid w:val="001D225F"/>
    <w:pPr>
      <w:spacing w:before="100" w:beforeAutospacing="1" w:after="100" w:afterAutospacing="1" w:line="240" w:lineRule="auto"/>
    </w:pPr>
    <w:rPr>
      <w:rFonts w:ascii="Times New Roman" w:eastAsia="Times New Roman" w:hAnsi="Times New Roman" w:cs="Times New Roman"/>
      <w:sz w:val="24"/>
      <w:szCs w:val="24"/>
      <w:lang w:eastAsia=""/>
    </w:rPr>
  </w:style>
  <w:style w:type="character" w:customStyle="1" w:styleId="url">
    <w:name w:val="url"/>
    <w:basedOn w:val="DefaultParagraphFont"/>
    <w:rsid w:val="001D225F"/>
  </w:style>
  <w:style w:type="table" w:styleId="GridTable2-Accent5">
    <w:name w:val="Grid Table 2 Accent 5"/>
    <w:basedOn w:val="TableNormal"/>
    <w:uiPriority w:val="47"/>
    <w:rsid w:val="001D225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7638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8F288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997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0E056-243C-4592-A0D8-60D1E35E1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faisal muteb</cp:lastModifiedBy>
  <cp:revision>2</cp:revision>
  <dcterms:created xsi:type="dcterms:W3CDTF">2025-07-14T21:15:00Z</dcterms:created>
  <dcterms:modified xsi:type="dcterms:W3CDTF">2025-07-14T21:15:00Z</dcterms:modified>
</cp:coreProperties>
</file>