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E1F68" w14:textId="5CECC532" w:rsidR="004C02DC" w:rsidRPr="004C02DC" w:rsidRDefault="00606EAE" w:rsidP="004C02DC">
      <w:pPr>
        <w:bidi/>
        <w:spacing w:after="0" w:line="240" w:lineRule="auto"/>
        <w:ind w:firstLine="567"/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</w:pPr>
      <w:r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 xml:space="preserve">                                    </w:t>
      </w:r>
      <w:r w:rsidR="004C02DC" w:rsidRPr="004C02DC"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>بسم الله الرحمن الرحيم</w:t>
      </w:r>
    </w:p>
    <w:tbl>
      <w:tblPr>
        <w:bidiVisual/>
        <w:tblW w:w="0" w:type="auto"/>
        <w:tblInd w:w="-288" w:type="dxa"/>
        <w:tblLook w:val="04A0" w:firstRow="1" w:lastRow="0" w:firstColumn="1" w:lastColumn="0" w:noHBand="0" w:noVBand="1"/>
      </w:tblPr>
      <w:tblGrid>
        <w:gridCol w:w="4474"/>
        <w:gridCol w:w="1678"/>
        <w:gridCol w:w="2776"/>
      </w:tblGrid>
      <w:tr w:rsidR="004C02DC" w:rsidRPr="004C02DC" w14:paraId="68917EBA" w14:textId="77777777" w:rsidTr="0061269B">
        <w:trPr>
          <w:trHeight w:val="2558"/>
        </w:trPr>
        <w:tc>
          <w:tcPr>
            <w:tcW w:w="5123" w:type="dxa"/>
          </w:tcPr>
          <w:p w14:paraId="3FB01342" w14:textId="01DDF31B" w:rsidR="004C02DC" w:rsidRPr="004C02DC" w:rsidRDefault="004C02DC" w:rsidP="004C02DC">
            <w:pPr>
              <w:bidi/>
              <w:spacing w:after="0" w:line="240" w:lineRule="auto"/>
              <w:ind w:firstLine="567"/>
              <w:rPr>
                <w:rFonts w:ascii="Sakkal Majalla" w:eastAsiaTheme="minorHAnsi" w:hAnsi="Sakkal Majalla" w:cs="Sakkal Majalla"/>
                <w:color w:val="000000" w:themeColor="text1"/>
                <w:sz w:val="42"/>
                <w:szCs w:val="42"/>
                <w:rtl/>
              </w:rPr>
            </w:pPr>
          </w:p>
          <w:p w14:paraId="60DF9B00" w14:textId="77777777" w:rsidR="004C02DC" w:rsidRPr="004C02DC" w:rsidRDefault="004C02DC" w:rsidP="004C02DC">
            <w:pPr>
              <w:bidi/>
              <w:spacing w:after="0" w:line="240" w:lineRule="auto"/>
              <w:ind w:firstLine="567"/>
              <w:rPr>
                <w:rFonts w:ascii="Sakkal Majalla" w:eastAsiaTheme="minorHAnsi" w:hAnsi="Sakkal Majalla" w:cs="Sakkal Majalla"/>
                <w:color w:val="000000" w:themeColor="text1"/>
                <w:sz w:val="42"/>
                <w:szCs w:val="42"/>
                <w:rtl/>
              </w:rPr>
            </w:pPr>
            <w:proofErr w:type="gramStart"/>
            <w:r w:rsidRPr="004C02DC">
              <w:rPr>
                <w:rFonts w:ascii="Sakkal Majalla" w:eastAsiaTheme="minorHAnsi" w:hAnsi="Sakkal Majalla" w:cs="Sakkal Majalla" w:hint="cs"/>
                <w:color w:val="000000" w:themeColor="text1"/>
                <w:sz w:val="42"/>
                <w:szCs w:val="42"/>
                <w:rtl/>
              </w:rPr>
              <w:t>جامعة :</w:t>
            </w:r>
            <w:proofErr w:type="gramEnd"/>
            <w:r w:rsidRPr="004C02DC">
              <w:rPr>
                <w:rFonts w:ascii="Sakkal Majalla" w:eastAsiaTheme="minorHAnsi" w:hAnsi="Sakkal Majalla" w:cs="Sakkal Majalla" w:hint="cs"/>
                <w:color w:val="000000" w:themeColor="text1"/>
                <w:sz w:val="42"/>
                <w:szCs w:val="42"/>
                <w:rtl/>
              </w:rPr>
              <w:t xml:space="preserve"> </w:t>
            </w:r>
            <w:proofErr w:type="spellStart"/>
            <w:r w:rsidRPr="004C02DC">
              <w:rPr>
                <w:rFonts w:ascii="Sakkal Majalla" w:eastAsiaTheme="minorHAnsi" w:hAnsi="Sakkal Majalla" w:cs="Sakkal Majalla"/>
                <w:color w:val="000000" w:themeColor="text1"/>
                <w:sz w:val="42"/>
                <w:szCs w:val="42"/>
                <w:rtl/>
              </w:rPr>
              <w:t>مٌدأوشــــن</w:t>
            </w:r>
            <w:proofErr w:type="spellEnd"/>
          </w:p>
          <w:p w14:paraId="7D4A2889" w14:textId="77777777" w:rsidR="004C02DC" w:rsidRPr="004C02DC" w:rsidRDefault="004C02DC" w:rsidP="004C02DC">
            <w:pPr>
              <w:bidi/>
              <w:spacing w:after="0" w:line="240" w:lineRule="auto"/>
              <w:ind w:firstLine="567"/>
              <w:rPr>
                <w:rFonts w:ascii="Sakkal Majalla" w:eastAsiaTheme="minorHAnsi" w:hAnsi="Sakkal Majalla" w:cs="Sakkal Majalla"/>
                <w:color w:val="000000" w:themeColor="text1"/>
                <w:sz w:val="42"/>
                <w:szCs w:val="42"/>
                <w:rtl/>
              </w:rPr>
            </w:pPr>
            <w:proofErr w:type="gramStart"/>
            <w:r w:rsidRPr="004C02DC">
              <w:rPr>
                <w:rFonts w:ascii="Sakkal Majalla" w:eastAsiaTheme="minorHAnsi" w:hAnsi="Sakkal Majalla" w:cs="Sakkal Majalla" w:hint="cs"/>
                <w:color w:val="000000" w:themeColor="text1"/>
                <w:sz w:val="42"/>
                <w:szCs w:val="42"/>
                <w:rtl/>
              </w:rPr>
              <w:t>كليـــــــــــــــــــــــة :</w:t>
            </w:r>
            <w:proofErr w:type="gramEnd"/>
            <w:r w:rsidRPr="004C02DC">
              <w:rPr>
                <w:rFonts w:ascii="Sakkal Majalla" w:eastAsiaTheme="minorHAnsi" w:hAnsi="Sakkal Majalla" w:cs="Sakkal Majalla" w:hint="cs"/>
                <w:color w:val="000000" w:themeColor="text1"/>
                <w:sz w:val="42"/>
                <w:szCs w:val="42"/>
                <w:rtl/>
              </w:rPr>
              <w:t xml:space="preserve"> التسويق الرقمي</w:t>
            </w:r>
          </w:p>
        </w:tc>
        <w:tc>
          <w:tcPr>
            <w:tcW w:w="2011" w:type="dxa"/>
          </w:tcPr>
          <w:p w14:paraId="2102124C" w14:textId="77777777" w:rsidR="004C02DC" w:rsidRPr="004C02DC" w:rsidRDefault="004C02DC" w:rsidP="004C02DC">
            <w:pPr>
              <w:bidi/>
              <w:spacing w:after="0" w:line="240" w:lineRule="auto"/>
              <w:ind w:firstLine="567"/>
              <w:rPr>
                <w:rFonts w:ascii="Sakkal Majalla" w:eastAsiaTheme="minorHAnsi" w:hAnsi="Sakkal Majalla" w:cs="Sakkal Majalla"/>
                <w:color w:val="000000" w:themeColor="text1"/>
                <w:sz w:val="42"/>
                <w:szCs w:val="42"/>
                <w:rtl/>
              </w:rPr>
            </w:pPr>
          </w:p>
        </w:tc>
        <w:tc>
          <w:tcPr>
            <w:tcW w:w="3360" w:type="dxa"/>
          </w:tcPr>
          <w:p w14:paraId="6784B144" w14:textId="77777777" w:rsidR="004C02DC" w:rsidRPr="004C02DC" w:rsidRDefault="004C02DC" w:rsidP="004C02DC">
            <w:pPr>
              <w:bidi/>
              <w:spacing w:after="0" w:line="240" w:lineRule="auto"/>
              <w:ind w:firstLine="567"/>
              <w:rPr>
                <w:rFonts w:ascii="Sakkal Majalla" w:eastAsiaTheme="minorHAnsi" w:hAnsi="Sakkal Majalla" w:cs="Sakkal Majalla"/>
                <w:color w:val="000000" w:themeColor="text1"/>
                <w:sz w:val="42"/>
                <w:szCs w:val="42"/>
                <w:rtl/>
              </w:rPr>
            </w:pPr>
          </w:p>
        </w:tc>
      </w:tr>
    </w:tbl>
    <w:p w14:paraId="30B79D88" w14:textId="77777777" w:rsidR="004C02DC" w:rsidRPr="004C02DC" w:rsidRDefault="004C02DC" w:rsidP="004C02DC">
      <w:pPr>
        <w:bidi/>
        <w:spacing w:after="0" w:line="240" w:lineRule="auto"/>
        <w:ind w:firstLine="567"/>
        <w:jc w:val="center"/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</w:pPr>
    </w:p>
    <w:p w14:paraId="0F233CD5" w14:textId="77777777" w:rsidR="004C02DC" w:rsidRPr="004C02DC" w:rsidRDefault="004C02DC" w:rsidP="004C02DC">
      <w:pPr>
        <w:bidi/>
        <w:spacing w:after="0" w:line="240" w:lineRule="auto"/>
        <w:ind w:firstLine="567"/>
        <w:jc w:val="center"/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</w:pPr>
    </w:p>
    <w:p w14:paraId="55E1635C" w14:textId="552B3F85" w:rsidR="004C02DC" w:rsidRPr="004C02DC" w:rsidRDefault="004C02DC" w:rsidP="004C02DC">
      <w:pPr>
        <w:bidi/>
        <w:spacing w:after="0" w:line="240" w:lineRule="auto"/>
        <w:ind w:firstLine="567"/>
        <w:jc w:val="center"/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</w:pPr>
      <w:r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>بحث</w:t>
      </w:r>
      <w:r w:rsidRPr="004C02DC"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 xml:space="preserve"> </w:t>
      </w:r>
      <w:proofErr w:type="gramStart"/>
      <w:r w:rsidRPr="004C02DC"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>بعنوان :</w:t>
      </w:r>
      <w:proofErr w:type="gramEnd"/>
      <w:r w:rsidRPr="004C02DC"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 xml:space="preserve"> </w:t>
      </w:r>
    </w:p>
    <w:p w14:paraId="42ADB22A" w14:textId="77777777" w:rsidR="004C02DC" w:rsidRPr="004C02DC" w:rsidRDefault="004C02DC" w:rsidP="004C02DC">
      <w:pPr>
        <w:bidi/>
        <w:spacing w:after="0" w:line="240" w:lineRule="auto"/>
        <w:ind w:firstLine="567"/>
        <w:jc w:val="center"/>
        <w:rPr>
          <w:rFonts w:ascii="Sakkal Majalla" w:eastAsiaTheme="minorHAnsi" w:hAnsi="Sakkal Majalla" w:cs="Sakkal Majalla"/>
          <w:color w:val="000000" w:themeColor="text1"/>
          <w:sz w:val="42"/>
          <w:szCs w:val="42"/>
        </w:rPr>
      </w:pPr>
      <w:r w:rsidRPr="004C02DC"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  <w:t>فاعلية عدسات الواقع المعزّز في سناب شات على سلوك الشراء في تجارة التجزئة الخليجية</w:t>
      </w:r>
    </w:p>
    <w:p w14:paraId="1C98C4C2" w14:textId="77777777" w:rsidR="004C02DC" w:rsidRPr="004C02DC" w:rsidRDefault="004C02DC" w:rsidP="004C02DC">
      <w:pPr>
        <w:bidi/>
        <w:spacing w:after="0" w:line="240" w:lineRule="auto"/>
        <w:ind w:firstLine="567"/>
        <w:jc w:val="center"/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</w:pPr>
      <w:r w:rsidRPr="004C02DC"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  <w:t xml:space="preserve"> </w:t>
      </w:r>
      <w:r w:rsidRPr="004C02DC"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>(</w:t>
      </w:r>
      <w:r w:rsidRPr="004C02DC"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  <w:t>تجربة ميدانية مدعومة بقياسات الانتباه</w:t>
      </w:r>
      <w:r w:rsidRPr="004C02DC"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>)</w:t>
      </w:r>
    </w:p>
    <w:p w14:paraId="2BC1159A" w14:textId="77777777" w:rsidR="004C02DC" w:rsidRPr="004C02DC" w:rsidRDefault="004C02DC" w:rsidP="004C02DC">
      <w:pPr>
        <w:bidi/>
        <w:spacing w:after="0" w:line="240" w:lineRule="auto"/>
        <w:ind w:firstLine="567"/>
        <w:jc w:val="center"/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</w:pPr>
    </w:p>
    <w:p w14:paraId="29668798" w14:textId="77777777" w:rsidR="004C02DC" w:rsidRPr="004C02DC" w:rsidRDefault="004C02DC" w:rsidP="004C02DC">
      <w:pPr>
        <w:bidi/>
        <w:spacing w:after="0" w:line="240" w:lineRule="auto"/>
        <w:ind w:firstLine="567"/>
        <w:jc w:val="center"/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</w:pPr>
      <w:r w:rsidRPr="004C02DC"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  <w:t xml:space="preserve">إعداد </w:t>
      </w:r>
      <w:proofErr w:type="gramStart"/>
      <w:r w:rsidRPr="004C02DC"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>الطالب :</w:t>
      </w:r>
      <w:proofErr w:type="gramEnd"/>
      <w:r w:rsidRPr="004C02DC"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 xml:space="preserve"> </w:t>
      </w:r>
    </w:p>
    <w:p w14:paraId="5D6C931B" w14:textId="77777777" w:rsidR="004C02DC" w:rsidRPr="004C02DC" w:rsidRDefault="004C02DC" w:rsidP="004C02DC">
      <w:pPr>
        <w:bidi/>
        <w:spacing w:after="0" w:line="240" w:lineRule="auto"/>
        <w:ind w:firstLine="567"/>
        <w:jc w:val="center"/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</w:pPr>
      <w:r w:rsidRPr="004C02DC"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 xml:space="preserve">محمد ناصر بن مسلط </w:t>
      </w:r>
    </w:p>
    <w:p w14:paraId="29545830" w14:textId="77777777" w:rsidR="004C02DC" w:rsidRPr="004C02DC" w:rsidRDefault="004C02DC" w:rsidP="004C02DC">
      <w:pPr>
        <w:bidi/>
        <w:spacing w:after="0" w:line="240" w:lineRule="auto"/>
        <w:ind w:firstLine="567"/>
        <w:jc w:val="center"/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</w:pPr>
      <w:r w:rsidRPr="004C02DC"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>الرقم الجامعي (</w:t>
      </w:r>
      <w:r w:rsidRPr="004C02DC">
        <w:rPr>
          <w:rFonts w:ascii="Sakkal Majalla" w:eastAsiaTheme="minorHAnsi" w:hAnsi="Sakkal Majalla" w:cs="Sakkal Majalla"/>
          <w:color w:val="000000" w:themeColor="text1"/>
          <w:sz w:val="42"/>
          <w:szCs w:val="42"/>
        </w:rPr>
        <w:t>251003330</w:t>
      </w:r>
      <w:r w:rsidRPr="004C02DC">
        <w:rPr>
          <w:rFonts w:ascii="Sakkal Majalla" w:eastAsiaTheme="minorHAnsi" w:hAnsi="Sakkal Majalla" w:cs="Sakkal Majalla"/>
          <w:color w:val="000000" w:themeColor="text1"/>
          <w:sz w:val="42"/>
          <w:szCs w:val="42"/>
          <w:rtl/>
        </w:rPr>
        <w:tab/>
      </w:r>
      <w:r w:rsidRPr="004C02DC">
        <w:rPr>
          <w:rFonts w:ascii="Sakkal Majalla" w:eastAsiaTheme="minorHAnsi" w:hAnsi="Sakkal Majalla" w:cs="Sakkal Majalla" w:hint="cs"/>
          <w:color w:val="000000" w:themeColor="text1"/>
          <w:sz w:val="42"/>
          <w:szCs w:val="42"/>
          <w:rtl/>
        </w:rPr>
        <w:t xml:space="preserve">) </w:t>
      </w:r>
    </w:p>
    <w:p w14:paraId="73B43C52" w14:textId="77777777" w:rsidR="003623AE" w:rsidRPr="004C02DC" w:rsidRDefault="00000000" w:rsidP="004C02DC">
      <w:pPr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 w:type="page"/>
      </w:r>
    </w:p>
    <w:p w14:paraId="647B1B29" w14:textId="77777777" w:rsidR="003623AE" w:rsidRPr="004C02DC" w:rsidRDefault="00000000" w:rsidP="00606EAE">
      <w:pPr>
        <w:pStyle w:val="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lastRenderedPageBreak/>
        <w:t>الفصل الأول: الإطار العام للدراسة</w:t>
      </w:r>
    </w:p>
    <w:p w14:paraId="61CDDA05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المقدمة</w:t>
      </w:r>
    </w:p>
    <w:p w14:paraId="3131E1C3" w14:textId="77777777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شهدت السنوات الأخيرة توسعًا غير مسبوق في دمج تقنيات الواقع المعزّز داخل الحملات التسويقية،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 xml:space="preserve">خصوصًا في منصّات التواصل الاجتماعي التي أصبحت قناة أساسية في رحلة العميل. ويأتي تطبيق سناب شات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 xml:space="preserve">في مقدمة هذه المنصات نظرًا لاعتماده المبكر على تقنيات AR عبر العدسات التفاعلية التي تتيح للمستخدم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 xml:space="preserve">التفاعل المباشر مع المنتجات والأساليب الإعلانية الجديدة. وقد أظهرت الدراسات العالمية أن استخدام AR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يعزز الانتباه، ويخفّض الشك المعرفي، ويرفع احتمالية الشراء.</w:t>
      </w:r>
    </w:p>
    <w:p w14:paraId="61AEB78D" w14:textId="77777777" w:rsidR="003623AE" w:rsidRPr="004C02DC" w:rsidRDefault="00000000" w:rsidP="004C02DC">
      <w:pPr>
        <w:pStyle w:val="21"/>
        <w:numPr>
          <w:ilvl w:val="0"/>
          <w:numId w:val="10"/>
        </w:numPr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مشكلة الدراسة</w:t>
      </w:r>
    </w:p>
    <w:p w14:paraId="06C48188" w14:textId="1ACC2081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على الرغم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من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الاستخدام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المكثف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لعدسات</w:t>
      </w:r>
      <w:proofErr w:type="spellEnd"/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AR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في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السوق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الخليجي، إلا أن الأدلة التجريبية حول أثرها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 xml:space="preserve">الفعلي على السلوك الشرائي لا تزال محدودة، خصوصًا فيما يتعلق بقياس الانتباه الفعلي عبر تتبع العين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وتحديد دوره كمتغير وسيط في تكوين النية الشرائية والتحويل.</w:t>
      </w:r>
    </w:p>
    <w:p w14:paraId="3BA9E1B3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أهمية الدراسة</w:t>
      </w:r>
    </w:p>
    <w:p w14:paraId="7F4458B4" w14:textId="77777777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تأتي أهمية هذه الدراسة من كونها تقدم نموذجًا علميًا سببيًا يجمع بين بيانات ميدانية حقيقية وقياسات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lastRenderedPageBreak/>
        <w:t>فسيولوجية للانتباه، مما يجعلها من أوائل الدراسات التي تربط بين الانتباه والسلوك الشرائي داخل بيئة خليجية.</w:t>
      </w:r>
    </w:p>
    <w:p w14:paraId="7C0BF8EF" w14:textId="77777777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Times New Roman" w:eastAsia="Times New Roman" w:hAnsi="Times New Roman" w:cs="Times New Roman"/>
          <w:color w:val="000000" w:themeColor="text1"/>
          <w:sz w:val="38"/>
          <w:szCs w:val="38"/>
        </w:rPr>
        <w:t>●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أهمية علمية: سد فجوة بحثية في الأدبيات العربية والخليجية.</w:t>
      </w:r>
    </w:p>
    <w:p w14:paraId="7259D94A" w14:textId="2A8A220D" w:rsidR="003623AE" w:rsidRPr="00606EAE" w:rsidRDefault="00606EAE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>
        <w:rPr>
          <w:rFonts w:ascii="Times New Roman" w:eastAsia="Times New Roman" w:hAnsi="Times New Roman" w:cs="Times New Roman"/>
          <w:color w:val="000000" w:themeColor="text1"/>
          <w:sz w:val="38"/>
          <w:szCs w:val="38"/>
        </w:rPr>
        <w:br/>
      </w:r>
      <w:r w:rsidR="00000000" w:rsidRPr="00606EAE">
        <w:rPr>
          <w:rFonts w:ascii="Times New Roman" w:eastAsia="Times New Roman" w:hAnsi="Times New Roman" w:cs="Times New Roman"/>
          <w:color w:val="000000" w:themeColor="text1"/>
          <w:sz w:val="38"/>
          <w:szCs w:val="38"/>
        </w:rPr>
        <w:t>●</w:t>
      </w:r>
      <w:r w:rsidR="00000000"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="00000000"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أهمية</w:t>
      </w:r>
      <w:proofErr w:type="spellEnd"/>
      <w:r w:rsidR="00000000"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="00000000"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تطبيقية</w:t>
      </w:r>
      <w:proofErr w:type="spellEnd"/>
      <w:r w:rsidR="00000000"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: </w:t>
      </w:r>
      <w:proofErr w:type="spellStart"/>
      <w:r w:rsidR="00000000"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تقديم</w:t>
      </w:r>
      <w:proofErr w:type="spellEnd"/>
      <w:r w:rsidR="00000000"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إرشادات تسويقية مبنية على بيانات دقيقة.</w:t>
      </w:r>
    </w:p>
    <w:p w14:paraId="7BF1DE72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أهداف الدراسة</w:t>
      </w:r>
    </w:p>
    <w:p w14:paraId="08EFB148" w14:textId="35670D5F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قياس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الأثر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المباشر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لعدسات</w:t>
      </w:r>
      <w:proofErr w:type="spellEnd"/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AR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على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النية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الشرائية.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. اختبار الدور الوسيط للانتباه المقاس.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. تحديد أثر ملاءمة الفئة وألفة العلامة وسهولة الاستخدام.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. تقديم نموذج عملي لتحسين الحملات الإعلانية.</w:t>
      </w:r>
    </w:p>
    <w:p w14:paraId="6E70BFFD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فرضيات الدراسة</w:t>
      </w:r>
    </w:p>
    <w:p w14:paraId="76824CE2" w14:textId="1B019E9A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ف1: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عدسات</w:t>
      </w:r>
      <w:proofErr w:type="spellEnd"/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AR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ترفع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النية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الشرائية.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ف2: عدسات AR ترفع الانتباه.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ف3: الانتباه يتوسط العلاقة.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lastRenderedPageBreak/>
        <w:t>ف4: التأثير يتأثر بملاءمة الفئة.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ف5: التأثير يتعزز بألفة العلامة.</w:t>
      </w:r>
    </w:p>
    <w:p w14:paraId="7FCC8397" w14:textId="77777777" w:rsidR="003623AE" w:rsidRPr="004C02DC" w:rsidRDefault="00000000" w:rsidP="004C02DC">
      <w:pPr>
        <w:pStyle w:val="aa"/>
        <w:numPr>
          <w:ilvl w:val="0"/>
          <w:numId w:val="10"/>
        </w:num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 w:type="page"/>
      </w:r>
    </w:p>
    <w:p w14:paraId="63E1440B" w14:textId="77777777" w:rsidR="003623AE" w:rsidRPr="004C02DC" w:rsidRDefault="00000000" w:rsidP="00606EAE">
      <w:pPr>
        <w:pStyle w:val="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lastRenderedPageBreak/>
        <w:t>الفصل الثاني: الإطار النظري والدراسات السابقة</w:t>
      </w:r>
    </w:p>
    <w:p w14:paraId="53FC5481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المبحث الأول: الواقع المعزّز كمدخل تسويقي</w:t>
      </w:r>
    </w:p>
    <w:p w14:paraId="1242B208" w14:textId="77777777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يتناول هذا المبحث التطور التاريخي للواقع المعزّز، والمكونات التقنية الأساسية المستخدمة في بناء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 xml:space="preserve">التجارب التفاعلية. وقد بدأت التطبيقات التجارية AR بالظهور منذ عام 2012، لتنتقل لاحقًا إلى المنصات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الاجتماعية، وأصبحت اليوم أداة تسويقية رئيسية.</w:t>
      </w:r>
    </w:p>
    <w:p w14:paraId="23B4963A" w14:textId="77777777" w:rsidR="003623AE" w:rsidRPr="004C02DC" w:rsidRDefault="00000000" w:rsidP="00606EAE">
      <w:pPr>
        <w:pStyle w:val="3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التسويق الغامر Immersive Marketing</w:t>
      </w:r>
    </w:p>
    <w:p w14:paraId="61F4072F" w14:textId="689EC326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يتميز التسويق الغامر بقدرته على إدخال المستهلك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في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تجربة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بصرية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واقعية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،</w:t>
      </w:r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تمكنه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من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تقييم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المنتج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قبل الشراء، مما يزيد من ثقته بالعلامة التجارية ويخفض التردد الشرائي.</w:t>
      </w:r>
    </w:p>
    <w:p w14:paraId="69C4874A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المبحث الثاني: سلوك المستهلك في بيئات الواقع المعزّز</w:t>
      </w:r>
    </w:p>
    <w:p w14:paraId="33870D55" w14:textId="6EF55D8B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يُعد سلوك المستهلك مزيجًا من إدراكاته، مشاعره، وسلوكاته الفعلية.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في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بيئة</w:t>
      </w:r>
      <w:proofErr w:type="spellEnd"/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AR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يظهر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مفهوم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الانغماس البصري الذي يرفع الانتباه ويؤثر في تقييم المنتج.</w:t>
      </w:r>
    </w:p>
    <w:p w14:paraId="5F173B7C" w14:textId="251F9F0E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تشير الأدبيات إلى أن المستهلك في البيئات الخليجية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أكثر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تفاعلًا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مع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المحتوى</w:t>
      </w:r>
      <w:proofErr w:type="spellEnd"/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البصري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،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ويميل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لاتخاذ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القرار بناءً على تجربته الحسية المباشرة.</w:t>
      </w:r>
    </w:p>
    <w:p w14:paraId="1951FA70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lastRenderedPageBreak/>
        <w:t>المبحث الثالث: الانتباه البصري وقياسه</w:t>
      </w:r>
    </w:p>
    <w:p w14:paraId="79014DDC" w14:textId="77777777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يُعد الانتباه أحد أهم عناصر التأثير الإعلاني، ويُقاس عبر مؤشرات مثل: زمن التثبيت، عدد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الانتقالات، تغطية مناطق الاهتمام (AOI)، والتي تُعد مؤشرات دقيقة للتفاعل الإدراكي.</w:t>
      </w:r>
    </w:p>
    <w:p w14:paraId="4214F372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المبحث الرابع: الدراسات السابقة والتحليل النقدي</w:t>
      </w:r>
    </w:p>
    <w:p w14:paraId="38CC4670" w14:textId="541D439A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أظهرت الدراسات الأجنبية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نتائج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قوية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تدعم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أثر</w:t>
      </w:r>
      <w:proofErr w:type="spellEnd"/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AR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على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النية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الشرائية. إلا أن الدراسات العربية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تركز غالبًا على تحليلات وصفية دون تجارب محكمة، مما يجعل هذه الدراسة حاجة ملحة لسد فجوة علمية.</w:t>
      </w:r>
    </w:p>
    <w:p w14:paraId="0FB7115B" w14:textId="77777777" w:rsidR="003623AE" w:rsidRPr="004C02DC" w:rsidRDefault="00000000" w:rsidP="004C02DC">
      <w:pPr>
        <w:pStyle w:val="aa"/>
        <w:numPr>
          <w:ilvl w:val="0"/>
          <w:numId w:val="10"/>
        </w:num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 w:type="page"/>
      </w:r>
    </w:p>
    <w:p w14:paraId="7D217B4A" w14:textId="77777777" w:rsidR="003623AE" w:rsidRPr="004C02DC" w:rsidRDefault="00000000" w:rsidP="00606EAE">
      <w:pPr>
        <w:pStyle w:val="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lastRenderedPageBreak/>
        <w:t>الفصل الثالث: منهجية الدراسة</w:t>
      </w:r>
    </w:p>
    <w:p w14:paraId="0883BEAC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تصميم الدراسة</w:t>
      </w:r>
    </w:p>
    <w:p w14:paraId="41367878" w14:textId="5153B88F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اعتمدت الدراسة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نموذج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التجربة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الميدانية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المضبوطة</w:t>
      </w:r>
      <w:proofErr w:type="spellEnd"/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RCT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لقياس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الأثر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السببي. وتم تقسيم المشاركين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إلى مجموعتين: معالجة وضبط. لضمان الصلاحية الداخلية تم توحيد الرسائل الإعلانية وتوقيت العرض.</w:t>
      </w:r>
    </w:p>
    <w:p w14:paraId="61B85EF8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proofErr w:type="spellStart"/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العينة</w:t>
      </w:r>
      <w:proofErr w:type="spellEnd"/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 xml:space="preserve"> </w:t>
      </w:r>
      <w:proofErr w:type="spellStart"/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والقوة</w:t>
      </w:r>
      <w:proofErr w:type="spellEnd"/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 xml:space="preserve"> </w:t>
      </w:r>
      <w:proofErr w:type="spellStart"/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الإحصائية</w:t>
      </w:r>
      <w:proofErr w:type="spellEnd"/>
    </w:p>
    <w:p w14:paraId="02A0BB9A" w14:textId="77777777" w:rsid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بلغ حجم العينة الميدانية 1200 مشارك، موزعين بين السعودية والإمارات. </w:t>
      </w:r>
    </w:p>
    <w:p w14:paraId="792045F4" w14:textId="51714CEB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فيما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شملت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التجربة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المخبرية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200 مشارك عبر تتبع العين لضمان نتائج دقيقة حول الانتباه.</w:t>
      </w:r>
    </w:p>
    <w:p w14:paraId="66289720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أدوات جمع البيانات</w:t>
      </w:r>
    </w:p>
    <w:p w14:paraId="3E3A9FA2" w14:textId="77777777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Times New Roman" w:eastAsia="Times New Roman" w:hAnsi="Times New Roman" w:cs="Times New Roman"/>
          <w:color w:val="000000" w:themeColor="text1"/>
          <w:sz w:val="38"/>
          <w:szCs w:val="38"/>
        </w:rPr>
        <w:t>●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جهاز Tobii Pro لتتبع العين.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Times New Roman" w:eastAsia="Times New Roman" w:hAnsi="Times New Roman" w:cs="Times New Roman"/>
          <w:color w:val="000000" w:themeColor="text1"/>
          <w:sz w:val="38"/>
          <w:szCs w:val="38"/>
        </w:rPr>
        <w:t>●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منصة Snap Ads Manager.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Times New Roman" w:eastAsia="Times New Roman" w:hAnsi="Times New Roman" w:cs="Times New Roman"/>
          <w:color w:val="000000" w:themeColor="text1"/>
          <w:sz w:val="38"/>
          <w:szCs w:val="38"/>
        </w:rPr>
        <w:t>●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استبيانات لقياس الألفة وسهولة الاستخدام.</w:t>
      </w:r>
    </w:p>
    <w:p w14:paraId="6A0AF11A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أساليب التحليل</w:t>
      </w:r>
    </w:p>
    <w:p w14:paraId="13C60A47" w14:textId="3FCF30A2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Times New Roman" w:eastAsia="Times New Roman" w:hAnsi="Times New Roman" w:cs="Times New Roman"/>
          <w:color w:val="000000" w:themeColor="text1"/>
          <w:sz w:val="38"/>
          <w:szCs w:val="38"/>
        </w:rPr>
        <w:t>●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تحليل انحدار.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Times New Roman" w:eastAsia="Times New Roman" w:hAnsi="Times New Roman" w:cs="Times New Roman"/>
          <w:color w:val="000000" w:themeColor="text1"/>
          <w:sz w:val="38"/>
          <w:szCs w:val="38"/>
        </w:rPr>
        <w:t>●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نموذج وساطة.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Times New Roman" w:eastAsia="Times New Roman" w:hAnsi="Times New Roman" w:cs="Times New Roman"/>
          <w:color w:val="000000" w:themeColor="text1"/>
          <w:sz w:val="38"/>
          <w:szCs w:val="38"/>
        </w:rPr>
        <w:t>●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تحليل تفاعل.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Times New Roman" w:eastAsia="Times New Roman" w:hAnsi="Times New Roman" w:cs="Times New Roman"/>
          <w:color w:val="000000" w:themeColor="text1"/>
          <w:sz w:val="38"/>
          <w:szCs w:val="38"/>
        </w:rPr>
        <w:t>●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SEM.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 w:type="page"/>
      </w:r>
    </w:p>
    <w:p w14:paraId="2F850A5B" w14:textId="77777777" w:rsidR="003623AE" w:rsidRPr="004C02DC" w:rsidRDefault="00000000" w:rsidP="00606EAE">
      <w:pPr>
        <w:pStyle w:val="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lastRenderedPageBreak/>
        <w:t>الفصل الرابع: النتائج وتحليلها</w:t>
      </w:r>
    </w:p>
    <w:p w14:paraId="1DEB0041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نتائج الانتباه</w:t>
      </w:r>
    </w:p>
    <w:p w14:paraId="5B75841F" w14:textId="7E8DE448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أظهرت النتائج ارتفاعًا في زمن التثبيت على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عناصر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المنتج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لدى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مجموعة</w:t>
      </w:r>
      <w:proofErr w:type="spellEnd"/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AR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بنسبة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47% مقارنة بالمجموعة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 xml:space="preserve">الضابطة. كما ارتفع معدل تغطية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مناطق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الاهتمام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بنسبة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r w:rsidR="00606EAE"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%.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35</w:t>
      </w:r>
    </w:p>
    <w:p w14:paraId="465A702E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تحليل السلوك الشرائي</w:t>
      </w:r>
    </w:p>
    <w:p w14:paraId="168E632A" w14:textId="6DD031DF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ارتفع معدل الإضافة للسلة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بنسبة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32%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في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مجموعة</w:t>
      </w:r>
      <w:proofErr w:type="spellEnd"/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AR. كما ارتفع معدل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الشراء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الفعلي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بنسبة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r w:rsidR="00606EAE"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%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19</w:t>
      </w:r>
    </w:p>
    <w:p w14:paraId="6F7EFC8D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proofErr w:type="spellStart"/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اختبار</w:t>
      </w:r>
      <w:proofErr w:type="spellEnd"/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 xml:space="preserve"> </w:t>
      </w:r>
      <w:proofErr w:type="spellStart"/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فرضيات</w:t>
      </w:r>
      <w:proofErr w:type="spellEnd"/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 xml:space="preserve"> </w:t>
      </w:r>
      <w:proofErr w:type="spellStart"/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الوساطة</w:t>
      </w:r>
      <w:proofErr w:type="spellEnd"/>
    </w:p>
    <w:p w14:paraId="75AB9332" w14:textId="5969DF48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أظهر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نموذج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الوساطة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أن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61%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من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تأثير</w:t>
      </w:r>
      <w:proofErr w:type="spellEnd"/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AR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على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الشراء</w:t>
      </w:r>
      <w:proofErr w:type="spellEnd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كان عبر الانتباه المقاس، مما يدل على دور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محوري للانتباه كمتغير وسيط.</w:t>
      </w:r>
    </w:p>
    <w:p w14:paraId="523AED9C" w14:textId="77777777" w:rsidR="003623AE" w:rsidRPr="004C02DC" w:rsidRDefault="00000000" w:rsidP="004C02DC">
      <w:pPr>
        <w:pStyle w:val="aa"/>
        <w:numPr>
          <w:ilvl w:val="0"/>
          <w:numId w:val="10"/>
        </w:num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 w:type="page"/>
      </w:r>
    </w:p>
    <w:p w14:paraId="39BA4AAC" w14:textId="77777777" w:rsidR="003623AE" w:rsidRPr="004C02DC" w:rsidRDefault="00000000" w:rsidP="00606EAE">
      <w:pPr>
        <w:pStyle w:val="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lastRenderedPageBreak/>
        <w:t>الفصل الخامس: المناقشة والتوصيات</w:t>
      </w:r>
    </w:p>
    <w:p w14:paraId="3ACF6986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مناقشة النتائج</w:t>
      </w:r>
    </w:p>
    <w:p w14:paraId="421006A2" w14:textId="70595A34" w:rsidR="003623AE" w:rsidRPr="00606EAE" w:rsidRDefault="00000000" w:rsidP="00606EAE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تدعّم النتائج ما ورد في الدراسات العالمية التي تؤكد </w:t>
      </w:r>
      <w:proofErr w:type="spellStart"/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تأثير</w:t>
      </w:r>
      <w:proofErr w:type="spellEnd"/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\</w:t>
      </w:r>
      <w:r w:rsid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AR على تعزيز الانتباه والنية الشرائية. </w:t>
      </w:r>
      <w:r w:rsidRPr="00606EAE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  <w:t>كما تشير إلى أن المستهلك الخليجي يتفاعل بعمق مع المحتوى البصري الغامر، خاصة في فئات الجمال والموضة.</w:t>
      </w:r>
    </w:p>
    <w:p w14:paraId="7BDB3D3B" w14:textId="77777777" w:rsidR="003623AE" w:rsidRPr="004C02DC" w:rsidRDefault="00000000" w:rsidP="00606EAE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التوصيات</w:t>
      </w:r>
    </w:p>
    <w:p w14:paraId="24C8EC1C" w14:textId="2903110D" w:rsidR="003623AE" w:rsidRPr="004C02DC" w:rsidRDefault="00000000" w:rsidP="004C02DC">
      <w:pPr>
        <w:jc w:val="right"/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</w:pP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توسيع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استخدام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AR </w:t>
      </w: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في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الحملات التسويقية.</w:t>
      </w:r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تحسين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تصميم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العدسة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.</w:t>
      </w:r>
      <w:r w:rsidR="004C02DC"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. استخدام أدوات قياس الانتباه </w:t>
      </w:r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قبل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إطلاق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الحملات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.</w:t>
      </w:r>
      <w:r w:rsidR="004C02DC"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br/>
      </w:r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. اعتماد اختبارات A/B.</w:t>
      </w:r>
    </w:p>
    <w:p w14:paraId="4B16A266" w14:textId="77777777" w:rsidR="003623AE" w:rsidRPr="004C02DC" w:rsidRDefault="00000000" w:rsidP="004C02DC">
      <w:pPr>
        <w:pStyle w:val="21"/>
        <w:jc w:val="right"/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</w:pPr>
      <w:r w:rsidRPr="004C02DC">
        <w:rPr>
          <w:rFonts w:ascii="Sakkal Majalla" w:eastAsia="Times New Roman" w:hAnsi="Sakkal Majalla" w:cs="Sakkal Majalla"/>
          <w:b w:val="0"/>
          <w:bCs w:val="0"/>
          <w:color w:val="000000" w:themeColor="text1"/>
          <w:sz w:val="38"/>
          <w:szCs w:val="38"/>
        </w:rPr>
        <w:t>مقترحات مستقبلية</w:t>
      </w:r>
    </w:p>
    <w:p w14:paraId="3E60EDAF" w14:textId="77777777" w:rsidR="003623AE" w:rsidRDefault="00000000" w:rsidP="004C02DC">
      <w:pPr>
        <w:jc w:val="right"/>
      </w:pP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توصي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الدراسة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بإجراء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</w:t>
      </w:r>
      <w:proofErr w:type="spellStart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>أبحاث</w:t>
      </w:r>
      <w:proofErr w:type="spellEnd"/>
      <w:r w:rsidRPr="004C02DC">
        <w:rPr>
          <w:rFonts w:ascii="Sakkal Majalla" w:eastAsia="Times New Roman" w:hAnsi="Sakkal Majalla" w:cs="Sakkal Majalla"/>
          <w:color w:val="000000" w:themeColor="text1"/>
          <w:sz w:val="38"/>
          <w:szCs w:val="38"/>
        </w:rPr>
        <w:t xml:space="preserve"> تشمل المزيد من الفئات، وتجارب ممتدة عبر منصات أخرى مثل TikTok</w:t>
      </w:r>
      <w:r>
        <w:t xml:space="preserve"> </w:t>
      </w:r>
      <w:r w:rsidRPr="004C02DC">
        <w:rPr>
          <w:rFonts w:ascii="Arial" w:hAnsi="Arial" w:cs="Arial"/>
        </w:rPr>
        <w:t>و</w:t>
      </w:r>
      <w:r>
        <w:t xml:space="preserve"> Instagram.</w:t>
      </w:r>
    </w:p>
    <w:sectPr w:rsidR="003623A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B2847C0"/>
    <w:multiLevelType w:val="hybridMultilevel"/>
    <w:tmpl w:val="F3E07B80"/>
    <w:lvl w:ilvl="0" w:tplc="D7961D06">
      <w:start w:val="1"/>
      <w:numFmt w:val="decimal"/>
      <w:lvlText w:val="%1."/>
      <w:lvlJc w:val="left"/>
      <w:pPr>
        <w:ind w:left="2350" w:hanging="1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1775B1"/>
    <w:multiLevelType w:val="hybridMultilevel"/>
    <w:tmpl w:val="02188A16"/>
    <w:lvl w:ilvl="0" w:tplc="1DEC5F00">
      <w:start w:val="1"/>
      <w:numFmt w:val="decimal"/>
      <w:lvlText w:val="%1."/>
      <w:lvlJc w:val="left"/>
      <w:pPr>
        <w:ind w:left="3560" w:hanging="32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2F011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87678851">
    <w:abstractNumId w:val="8"/>
  </w:num>
  <w:num w:numId="2" w16cid:durableId="2133132520">
    <w:abstractNumId w:val="6"/>
  </w:num>
  <w:num w:numId="3" w16cid:durableId="983583595">
    <w:abstractNumId w:val="5"/>
  </w:num>
  <w:num w:numId="4" w16cid:durableId="950825036">
    <w:abstractNumId w:val="4"/>
  </w:num>
  <w:num w:numId="5" w16cid:durableId="1251699587">
    <w:abstractNumId w:val="7"/>
  </w:num>
  <w:num w:numId="6" w16cid:durableId="2084137466">
    <w:abstractNumId w:val="3"/>
  </w:num>
  <w:num w:numId="7" w16cid:durableId="442648411">
    <w:abstractNumId w:val="2"/>
  </w:num>
  <w:num w:numId="8" w16cid:durableId="648898384">
    <w:abstractNumId w:val="1"/>
  </w:num>
  <w:num w:numId="9" w16cid:durableId="1055935672">
    <w:abstractNumId w:val="0"/>
  </w:num>
  <w:num w:numId="10" w16cid:durableId="44529507">
    <w:abstractNumId w:val="11"/>
  </w:num>
  <w:num w:numId="11" w16cid:durableId="1342858536">
    <w:abstractNumId w:val="10"/>
  </w:num>
  <w:num w:numId="12" w16cid:durableId="267613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3454"/>
    <w:rsid w:val="0015074B"/>
    <w:rsid w:val="0029639D"/>
    <w:rsid w:val="00326F90"/>
    <w:rsid w:val="003623AE"/>
    <w:rsid w:val="004C02DC"/>
    <w:rsid w:val="00606EA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8D820BF"/>
  <w14:defaultImageDpi w14:val="300"/>
  <w15:docId w15:val="{555CE1BA-E1C5-4706-9701-C85F21B75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697</Words>
  <Characters>3976</Characters>
  <Application>Microsoft Office Word</Application>
  <DocSecurity>0</DocSecurity>
  <Lines>33</Lines>
  <Paragraphs>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4664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محمد -</cp:lastModifiedBy>
  <cp:revision>2</cp:revision>
  <cp:lastPrinted>2025-11-15T14:34:00Z</cp:lastPrinted>
  <dcterms:created xsi:type="dcterms:W3CDTF">2025-11-15T14:38:00Z</dcterms:created>
  <dcterms:modified xsi:type="dcterms:W3CDTF">2025-11-15T14:38:00Z</dcterms:modified>
  <cp:category/>
</cp:coreProperties>
</file>