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8F4EFA" w14:textId="6AF69908" w:rsidR="00275733" w:rsidRDefault="004418F5" w:rsidP="00247503">
      <w:pPr>
        <w:bidi w:val="0"/>
        <w:spacing w:line="360" w:lineRule="auto"/>
        <w:rPr>
          <w:rFonts w:asciiTheme="majorBidi" w:eastAsia="Times New Roman" w:hAnsiTheme="majorBidi" w:cstheme="majorBidi"/>
          <w:b/>
          <w:bCs/>
          <w:kern w:val="0"/>
          <w:sz w:val="24"/>
          <w:szCs w:val="24"/>
          <w14:ligatures w14:val="none"/>
        </w:rPr>
      </w:pPr>
      <w:r w:rsidRPr="00E0699A">
        <w:rPr>
          <w:rFonts w:asciiTheme="majorBidi" w:hAnsiTheme="majorBidi" w:cstheme="majorBidi"/>
          <w:b/>
          <w:bCs/>
          <w:sz w:val="24"/>
          <w:szCs w:val="24"/>
          <w:u w:val="single"/>
        </w:rPr>
        <w:t xml:space="preserve">Midocean University </w:t>
      </w:r>
    </w:p>
    <w:p w14:paraId="734F5CA9" w14:textId="77777777" w:rsidR="00BA5893" w:rsidRDefault="00BA5893" w:rsidP="00BA5893">
      <w:pPr>
        <w:bidi w:val="0"/>
        <w:spacing w:before="100" w:beforeAutospacing="1" w:after="100" w:afterAutospacing="1" w:line="360" w:lineRule="auto"/>
        <w:outlineLvl w:val="1"/>
        <w:rPr>
          <w:rFonts w:asciiTheme="majorBidi" w:eastAsia="Times New Roman" w:hAnsiTheme="majorBidi" w:cstheme="majorBidi"/>
          <w:b/>
          <w:bCs/>
          <w:kern w:val="0"/>
          <w:sz w:val="24"/>
          <w:szCs w:val="24"/>
          <w14:ligatures w14:val="none"/>
        </w:rPr>
      </w:pPr>
    </w:p>
    <w:p w14:paraId="37779627" w14:textId="77777777" w:rsidR="00E0699A" w:rsidRPr="00E0699A" w:rsidRDefault="00E0699A" w:rsidP="00E0699A">
      <w:pPr>
        <w:spacing w:line="360" w:lineRule="auto"/>
        <w:rPr>
          <w:rFonts w:asciiTheme="majorBidi" w:hAnsiTheme="majorBidi" w:cstheme="majorBidi"/>
          <w:sz w:val="24"/>
          <w:szCs w:val="24"/>
          <w:u w:val="single"/>
        </w:rPr>
      </w:pPr>
    </w:p>
    <w:p w14:paraId="6E4D9BBA" w14:textId="77777777" w:rsidR="00FA5609" w:rsidRPr="00FA5609" w:rsidRDefault="00FA5609" w:rsidP="00FA5609">
      <w:pPr>
        <w:bidi w:val="0"/>
        <w:spacing w:before="100" w:beforeAutospacing="1" w:after="100" w:afterAutospacing="1" w:line="240" w:lineRule="auto"/>
        <w:outlineLvl w:val="0"/>
        <w:rPr>
          <w:rFonts w:asciiTheme="majorBidi" w:eastAsia="Times New Roman" w:hAnsiTheme="majorBidi" w:cstheme="majorBidi"/>
          <w:b/>
          <w:bCs/>
          <w:kern w:val="36"/>
          <w:sz w:val="32"/>
          <w:szCs w:val="32"/>
          <w14:ligatures w14:val="none"/>
        </w:rPr>
      </w:pPr>
      <w:bookmarkStart w:id="0" w:name="_Toc224849005"/>
      <w:bookmarkStart w:id="1" w:name="_Toc224849121"/>
      <w:bookmarkStart w:id="2" w:name="_Toc224850306"/>
      <w:bookmarkStart w:id="3" w:name="_Toc224854234"/>
      <w:r w:rsidRPr="00FA5609">
        <w:rPr>
          <w:rFonts w:asciiTheme="majorBidi" w:eastAsia="Times New Roman" w:hAnsiTheme="majorBidi" w:cstheme="majorBidi"/>
          <w:b/>
          <w:bCs/>
          <w:kern w:val="36"/>
          <w:sz w:val="32"/>
          <w:szCs w:val="32"/>
          <w14:ligatures w14:val="none"/>
        </w:rPr>
        <w:t>CHAPTER 1: INTRODUCTION</w:t>
      </w:r>
      <w:bookmarkEnd w:id="0"/>
      <w:bookmarkEnd w:id="1"/>
      <w:bookmarkEnd w:id="2"/>
      <w:bookmarkEnd w:id="3"/>
    </w:p>
    <w:p w14:paraId="325C23B9"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pict w14:anchorId="35778B9D">
          <v:rect id="_x0000_i1025" style="width:0;height:1.5pt" o:hralign="center" o:hrstd="t" o:hr="t" fillcolor="#a0a0a0" stroked="f"/>
        </w:pict>
      </w:r>
    </w:p>
    <w:p w14:paraId="13D336B8" w14:textId="77777777" w:rsidR="00FA5609" w:rsidRPr="00FA5609" w:rsidRDefault="00FA5609" w:rsidP="00FA5609">
      <w:pPr>
        <w:bidi w:val="0"/>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bookmarkStart w:id="4" w:name="_Toc224849006"/>
      <w:bookmarkStart w:id="5" w:name="_Toc224849122"/>
      <w:bookmarkStart w:id="6" w:name="_Toc224850307"/>
      <w:bookmarkStart w:id="7" w:name="_Toc224854235"/>
      <w:r w:rsidRPr="00FA5609">
        <w:rPr>
          <w:rFonts w:asciiTheme="majorBidi" w:eastAsia="Times New Roman" w:hAnsiTheme="majorBidi" w:cstheme="majorBidi"/>
          <w:b/>
          <w:bCs/>
          <w:kern w:val="0"/>
          <w:sz w:val="28"/>
          <w:szCs w:val="28"/>
          <w14:ligatures w14:val="none"/>
        </w:rPr>
        <w:t>1.1 Introduction</w:t>
      </w:r>
      <w:bookmarkEnd w:id="4"/>
      <w:bookmarkEnd w:id="5"/>
      <w:bookmarkEnd w:id="6"/>
      <w:bookmarkEnd w:id="7"/>
    </w:p>
    <w:p w14:paraId="28E6E166"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Clinical laboratories are a cornerstone of modern healthcare systems. They support diagnosis, guide treatment decisions, and monitor disease progression across nearly all medical specialties. A substantial proportion of clinical decisions depends on laboratory test results, and in acute settings such as emergency and critical care, the timely availability of accurate results can be lifesaving.</w:t>
      </w:r>
    </w:p>
    <w:p w14:paraId="7A2D77FC" w14:textId="77777777" w:rsidR="00413B89" w:rsidRDefault="00413B89" w:rsidP="00413B89">
      <w:pPr>
        <w:bidi w:val="0"/>
        <w:spacing w:after="0" w:line="240" w:lineRule="auto"/>
        <w:rPr>
          <w:rFonts w:ascii="Times New Roman" w:eastAsia="Times New Roman" w:hAnsi="Times New Roman" w:cs="Times New Roman"/>
          <w:kern w:val="0"/>
          <w:sz w:val="24"/>
          <w:szCs w:val="24"/>
          <w14:ligatures w14:val="none"/>
        </w:rPr>
      </w:pPr>
      <w:r w:rsidRPr="00413B89">
        <w:rPr>
          <w:rFonts w:ascii="Times New Roman" w:eastAsia="Times New Roman" w:hAnsi="Times New Roman" w:cs="Times New Roman"/>
          <w:kern w:val="0"/>
          <w:sz w:val="24"/>
          <w:szCs w:val="24"/>
          <w14:ligatures w14:val="none"/>
        </w:rPr>
        <w:t>Turnaround Time (TAT) is a widely used metric of laboratory performance. TAT is defined as the time between the request for a test or the collection of a sample and the physician receiving verified results. This metric shows the overall efficiency of the testing process, including pre-analytical, analytical, and post-analytical phases.</w:t>
      </w:r>
    </w:p>
    <w:p w14:paraId="05F9C31A" w14:textId="77777777" w:rsidR="00413B89" w:rsidRPr="00413B89" w:rsidRDefault="00413B89" w:rsidP="00413B89">
      <w:pPr>
        <w:bidi w:val="0"/>
        <w:spacing w:after="0" w:line="240" w:lineRule="auto"/>
        <w:rPr>
          <w:rFonts w:ascii="Times New Roman" w:eastAsia="Times New Roman" w:hAnsi="Times New Roman" w:cs="Times New Roman"/>
          <w:kern w:val="0"/>
          <w:sz w:val="24"/>
          <w:szCs w:val="24"/>
          <w14:ligatures w14:val="none"/>
        </w:rPr>
      </w:pPr>
    </w:p>
    <w:p w14:paraId="2B32D4B5" w14:textId="77777777" w:rsidR="00413B89" w:rsidRDefault="00413B89" w:rsidP="00413B89">
      <w:pPr>
        <w:bidi w:val="0"/>
        <w:spacing w:after="0" w:line="240" w:lineRule="auto"/>
        <w:rPr>
          <w:rFonts w:ascii="Times New Roman" w:eastAsia="Times New Roman" w:hAnsi="Times New Roman" w:cs="Times New Roman"/>
          <w:kern w:val="0"/>
          <w:sz w:val="24"/>
          <w:szCs w:val="24"/>
          <w14:ligatures w14:val="none"/>
        </w:rPr>
      </w:pPr>
      <w:r w:rsidRPr="00413B89">
        <w:rPr>
          <w:rFonts w:ascii="Times New Roman" w:eastAsia="Times New Roman" w:hAnsi="Times New Roman" w:cs="Times New Roman"/>
          <w:kern w:val="0"/>
          <w:sz w:val="24"/>
          <w:szCs w:val="24"/>
          <w14:ligatures w14:val="none"/>
        </w:rPr>
        <w:t>Healthcare systems have become more sophisticated in recent years, with expanded test menus, rising patient numbers, and increased demand to enhance efficiency and minimize patient wait times. These considerations have placed tremendous pressures on laboratories to deliver results quickly while maintaining quality. Prolonged TAT may result in diagnostic and treatment delays, longer patient stays, and lower patient and provider satisfaction levels. In contrast, optimized TAT contributes to improved clinical workflow, increased patient throughput, and more efficient use of healthcare resources.</w:t>
      </w:r>
    </w:p>
    <w:p w14:paraId="771E9B05" w14:textId="77777777" w:rsidR="00413B89" w:rsidRPr="00413B89" w:rsidRDefault="00413B89" w:rsidP="00413B89">
      <w:pPr>
        <w:bidi w:val="0"/>
        <w:spacing w:after="0" w:line="240" w:lineRule="auto"/>
        <w:rPr>
          <w:rFonts w:ascii="Times New Roman" w:eastAsia="Times New Roman" w:hAnsi="Times New Roman" w:cs="Times New Roman"/>
          <w:kern w:val="0"/>
          <w:sz w:val="24"/>
          <w:szCs w:val="24"/>
          <w14:ligatures w14:val="none"/>
        </w:rPr>
      </w:pPr>
    </w:p>
    <w:p w14:paraId="4AB37048" w14:textId="77777777" w:rsidR="00413B89" w:rsidRDefault="00413B89" w:rsidP="00413B89">
      <w:pPr>
        <w:bidi w:val="0"/>
        <w:spacing w:after="0" w:line="240" w:lineRule="auto"/>
        <w:rPr>
          <w:rFonts w:ascii="Times New Roman" w:eastAsia="Times New Roman" w:hAnsi="Times New Roman" w:cs="Times New Roman"/>
          <w:kern w:val="0"/>
          <w:sz w:val="24"/>
          <w:szCs w:val="24"/>
          <w14:ligatures w14:val="none"/>
        </w:rPr>
      </w:pPr>
      <w:r w:rsidRPr="00413B89">
        <w:rPr>
          <w:rFonts w:ascii="Times New Roman" w:eastAsia="Times New Roman" w:hAnsi="Times New Roman" w:cs="Times New Roman"/>
          <w:kern w:val="0"/>
          <w:sz w:val="24"/>
          <w:szCs w:val="24"/>
          <w14:ligatures w14:val="none"/>
        </w:rPr>
        <w:t>Despite developments in automation, laboratory information systems (LIS), and diagnostic technologies, many laboratories still struggle to achieve maximum TAT performance. Delays might occur during any stage of the testing process. The pre-analytical process, which includes test ordering, sample collection, labeling, and transportation, is particularly susceptible to inefficiencies. Instrument downtime, quality control processes, and batch testing practices can all have an impact on the analytical phase, whereas result verification delays and communication hurdles can influence the post-analytical phase.</w:t>
      </w:r>
    </w:p>
    <w:p w14:paraId="00268CF8" w14:textId="77777777" w:rsidR="00413B89" w:rsidRPr="00413B89" w:rsidRDefault="00413B89" w:rsidP="00413B89">
      <w:pPr>
        <w:bidi w:val="0"/>
        <w:spacing w:after="0" w:line="240" w:lineRule="auto"/>
        <w:rPr>
          <w:rFonts w:ascii="Times New Roman" w:eastAsia="Times New Roman" w:hAnsi="Times New Roman" w:cs="Times New Roman"/>
          <w:kern w:val="0"/>
          <w:sz w:val="24"/>
          <w:szCs w:val="24"/>
          <w14:ligatures w14:val="none"/>
        </w:rPr>
      </w:pPr>
    </w:p>
    <w:p w14:paraId="1C7F85A9" w14:textId="77777777" w:rsidR="00413B89" w:rsidRDefault="00413B89" w:rsidP="00413B89">
      <w:pPr>
        <w:bidi w:val="0"/>
        <w:spacing w:after="0" w:line="240" w:lineRule="auto"/>
        <w:rPr>
          <w:rFonts w:ascii="Times New Roman" w:eastAsia="Times New Roman" w:hAnsi="Times New Roman" w:cs="Times New Roman"/>
          <w:kern w:val="0"/>
          <w:sz w:val="24"/>
          <w:szCs w:val="24"/>
          <w14:ligatures w14:val="none"/>
        </w:rPr>
      </w:pPr>
      <w:r w:rsidRPr="00413B89">
        <w:rPr>
          <w:rFonts w:ascii="Times New Roman" w:eastAsia="Times New Roman" w:hAnsi="Times New Roman" w:cs="Times New Roman"/>
          <w:kern w:val="0"/>
          <w:sz w:val="24"/>
          <w:szCs w:val="24"/>
          <w14:ligatures w14:val="none"/>
        </w:rPr>
        <w:t>The impact of sample transportation and logistics is an essential but sometimes overlooked issue in laboratory performance, especially in laboratories that acquire specimens from various external sources. Transport time can account for a significant amount of total TAT in private diagnostic laboratories that collect samples from hospitals, clinics, and walk-in patients in multiple locations. Delays may occur owing to geographical distance, fixed courier timetables, and sample batching before shipping.</w:t>
      </w:r>
    </w:p>
    <w:p w14:paraId="104237DE" w14:textId="77777777" w:rsidR="00413B89" w:rsidRPr="00413B89" w:rsidRDefault="00413B89" w:rsidP="00413B89">
      <w:pPr>
        <w:bidi w:val="0"/>
        <w:spacing w:after="0" w:line="240" w:lineRule="auto"/>
        <w:rPr>
          <w:rFonts w:ascii="Times New Roman" w:eastAsia="Times New Roman" w:hAnsi="Times New Roman" w:cs="Times New Roman"/>
          <w:kern w:val="0"/>
          <w:sz w:val="24"/>
          <w:szCs w:val="24"/>
          <w14:ligatures w14:val="none"/>
        </w:rPr>
      </w:pPr>
    </w:p>
    <w:p w14:paraId="4A5C8980" w14:textId="77777777" w:rsidR="00413B89" w:rsidRDefault="00413B89" w:rsidP="00413B89">
      <w:pPr>
        <w:bidi w:val="0"/>
        <w:spacing w:after="0" w:line="240" w:lineRule="auto"/>
        <w:rPr>
          <w:rFonts w:ascii="Times New Roman" w:eastAsia="Times New Roman" w:hAnsi="Times New Roman" w:cs="Times New Roman"/>
          <w:kern w:val="0"/>
          <w:sz w:val="24"/>
          <w:szCs w:val="24"/>
          <w14:ligatures w14:val="none"/>
        </w:rPr>
      </w:pPr>
      <w:r w:rsidRPr="00413B89">
        <w:rPr>
          <w:rFonts w:ascii="Times New Roman" w:eastAsia="Times New Roman" w:hAnsi="Times New Roman" w:cs="Times New Roman"/>
          <w:kern w:val="0"/>
          <w:sz w:val="24"/>
          <w:szCs w:val="24"/>
          <w14:ligatures w14:val="none"/>
        </w:rPr>
        <w:t xml:space="preserve">Furthermore, the TAT is not consistent across all tests. It varies according on test complexity, workflow needs, and whether the test is run individually or in batches. Routine </w:t>
      </w:r>
      <w:r w:rsidRPr="00413B89">
        <w:rPr>
          <w:rFonts w:ascii="Times New Roman" w:eastAsia="Times New Roman" w:hAnsi="Times New Roman" w:cs="Times New Roman"/>
          <w:kern w:val="0"/>
          <w:sz w:val="24"/>
          <w:szCs w:val="24"/>
          <w14:ligatures w14:val="none"/>
        </w:rPr>
        <w:lastRenderedPageBreak/>
        <w:t>automated tests, such as hematological and basic chemistry assays, often have faster turnaround times, whereas molecular and specialized testing frequently require batch processing, resulting in longer delays.</w:t>
      </w:r>
    </w:p>
    <w:p w14:paraId="63565DA4" w14:textId="77777777" w:rsidR="00413B89" w:rsidRPr="00413B89" w:rsidRDefault="00413B89" w:rsidP="00413B89">
      <w:pPr>
        <w:bidi w:val="0"/>
        <w:spacing w:after="0" w:line="240" w:lineRule="auto"/>
        <w:rPr>
          <w:rFonts w:ascii="Times New Roman" w:eastAsia="Times New Roman" w:hAnsi="Times New Roman" w:cs="Times New Roman"/>
          <w:kern w:val="0"/>
          <w:sz w:val="24"/>
          <w:szCs w:val="24"/>
          <w14:ligatures w14:val="none"/>
        </w:rPr>
      </w:pPr>
    </w:p>
    <w:p w14:paraId="68267399" w14:textId="77777777" w:rsidR="00413B89" w:rsidRDefault="00413B89" w:rsidP="00413B89">
      <w:pPr>
        <w:bidi w:val="0"/>
        <w:spacing w:after="0" w:line="240" w:lineRule="auto"/>
        <w:rPr>
          <w:rFonts w:ascii="Times New Roman" w:eastAsia="Times New Roman" w:hAnsi="Times New Roman" w:cs="Times New Roman"/>
          <w:kern w:val="0"/>
          <w:sz w:val="24"/>
          <w:szCs w:val="24"/>
          <w14:ligatures w14:val="none"/>
        </w:rPr>
      </w:pPr>
      <w:r w:rsidRPr="00413B89">
        <w:rPr>
          <w:rFonts w:ascii="Times New Roman" w:eastAsia="Times New Roman" w:hAnsi="Times New Roman" w:cs="Times New Roman"/>
          <w:kern w:val="0"/>
          <w:sz w:val="24"/>
          <w:szCs w:val="24"/>
          <w14:ligatures w14:val="none"/>
        </w:rPr>
        <w:t>To solve TAT difficulties, several laboratories have used quality improvement approaches like as Lean and Six Sigma, which emphasize process optimization, waste reduction, and standardization. While these approaches have shown promise in reducing delays, their performance is dependent on recognizing the individual operational issues influencing each laboratory.</w:t>
      </w:r>
    </w:p>
    <w:p w14:paraId="26D09F40" w14:textId="77777777" w:rsidR="00413B89" w:rsidRPr="00413B89" w:rsidRDefault="00413B89" w:rsidP="00413B89">
      <w:pPr>
        <w:bidi w:val="0"/>
        <w:spacing w:after="0" w:line="240" w:lineRule="auto"/>
        <w:rPr>
          <w:rFonts w:ascii="Times New Roman" w:eastAsia="Times New Roman" w:hAnsi="Times New Roman" w:cs="Times New Roman"/>
          <w:kern w:val="0"/>
          <w:sz w:val="24"/>
          <w:szCs w:val="24"/>
          <w14:ligatures w14:val="none"/>
        </w:rPr>
      </w:pPr>
    </w:p>
    <w:p w14:paraId="3281DDEA" w14:textId="77777777" w:rsidR="00413B89" w:rsidRDefault="00413B89" w:rsidP="00413B89">
      <w:pPr>
        <w:bidi w:val="0"/>
        <w:spacing w:after="0" w:line="240" w:lineRule="auto"/>
        <w:rPr>
          <w:rFonts w:ascii="Times New Roman" w:eastAsia="Times New Roman" w:hAnsi="Times New Roman" w:cs="Times New Roman"/>
          <w:kern w:val="0"/>
          <w:sz w:val="24"/>
          <w:szCs w:val="24"/>
          <w14:ligatures w14:val="none"/>
        </w:rPr>
      </w:pPr>
      <w:r w:rsidRPr="00413B89">
        <w:rPr>
          <w:rFonts w:ascii="Times New Roman" w:eastAsia="Times New Roman" w:hAnsi="Times New Roman" w:cs="Times New Roman"/>
          <w:kern w:val="0"/>
          <w:sz w:val="24"/>
          <w:szCs w:val="24"/>
          <w14:ligatures w14:val="none"/>
        </w:rPr>
        <w:t>Importantly, the factors of TAT are heavily context-dependent. Each laboratory runs under its own set of conditions due to differences in infrastructure, workflow design, staffing, transportation systems, and customer distribution. As a result, specialized investigations are required to identify the most significant drivers to delays within a certain area.</w:t>
      </w:r>
    </w:p>
    <w:p w14:paraId="6B2F2435" w14:textId="77777777" w:rsidR="00413B89" w:rsidRPr="00413B89" w:rsidRDefault="00413B89" w:rsidP="00413B89">
      <w:pPr>
        <w:bidi w:val="0"/>
        <w:spacing w:after="0" w:line="240" w:lineRule="auto"/>
        <w:rPr>
          <w:rFonts w:ascii="Times New Roman" w:eastAsia="Times New Roman" w:hAnsi="Times New Roman" w:cs="Times New Roman"/>
          <w:kern w:val="0"/>
          <w:sz w:val="24"/>
          <w:szCs w:val="24"/>
          <w14:ligatures w14:val="none"/>
        </w:rPr>
      </w:pPr>
    </w:p>
    <w:p w14:paraId="33A97F67" w14:textId="77777777" w:rsidR="00413B89" w:rsidRPr="00413B89" w:rsidRDefault="00413B89" w:rsidP="00413B89">
      <w:pPr>
        <w:bidi w:val="0"/>
        <w:spacing w:after="0" w:line="240" w:lineRule="auto"/>
        <w:rPr>
          <w:rFonts w:ascii="Times New Roman" w:eastAsia="Times New Roman" w:hAnsi="Times New Roman" w:cs="Times New Roman"/>
          <w:kern w:val="0"/>
          <w:sz w:val="24"/>
          <w:szCs w:val="24"/>
          <w14:ligatures w14:val="none"/>
        </w:rPr>
      </w:pPr>
      <w:r w:rsidRPr="00413B89">
        <w:rPr>
          <w:rFonts w:ascii="Times New Roman" w:eastAsia="Times New Roman" w:hAnsi="Times New Roman" w:cs="Times New Roman"/>
          <w:kern w:val="0"/>
          <w:sz w:val="24"/>
          <w:szCs w:val="24"/>
          <w14:ligatures w14:val="none"/>
        </w:rPr>
        <w:t>This study seeks to assess the factors that influence laboratory turnaround time in a private diagnostic laboratory in Riyadh, Saudi Arabia. Transport logistics, batch processing, and workflow features are all emphasized as factors impacting overall TAT. The findings are designed to provide practical, evidence-based insights to help enhance laboratory performance and service quality.</w:t>
      </w:r>
    </w:p>
    <w:p w14:paraId="16F93A0C"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pict w14:anchorId="4633CB32">
          <v:rect id="_x0000_i1026" style="width:0;height:1.5pt" o:hralign="center" o:hrstd="t" o:hr="t" fillcolor="#a0a0a0" stroked="f"/>
        </w:pict>
      </w:r>
    </w:p>
    <w:p w14:paraId="7234A11E" w14:textId="77777777" w:rsidR="00FA5609" w:rsidRPr="00FA5609" w:rsidRDefault="00FA5609" w:rsidP="00FA5609">
      <w:pPr>
        <w:bidi w:val="0"/>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bookmarkStart w:id="8" w:name="_Toc224849007"/>
      <w:bookmarkStart w:id="9" w:name="_Toc224849123"/>
      <w:bookmarkStart w:id="10" w:name="_Toc224850308"/>
      <w:bookmarkStart w:id="11" w:name="_Toc224854236"/>
      <w:r w:rsidRPr="00FA5609">
        <w:rPr>
          <w:rFonts w:asciiTheme="majorBidi" w:eastAsia="Times New Roman" w:hAnsiTheme="majorBidi" w:cstheme="majorBidi"/>
          <w:b/>
          <w:bCs/>
          <w:kern w:val="0"/>
          <w:sz w:val="28"/>
          <w:szCs w:val="28"/>
          <w14:ligatures w14:val="none"/>
        </w:rPr>
        <w:t>1.2 Statement of the Problem</w:t>
      </w:r>
      <w:bookmarkEnd w:id="8"/>
      <w:bookmarkEnd w:id="9"/>
      <w:bookmarkEnd w:id="10"/>
      <w:bookmarkEnd w:id="11"/>
    </w:p>
    <w:p w14:paraId="6815F608"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Turnaround Time (TAT) is widely recognized as a critical quality indicator in laboratory medicine; however, many laboratories continue to face challenges in delivering results within expected timeframes. Delays in laboratory reporting are a frequent concern among clinicians, particularly in settings where timely decision-making is essential. In private diagnostic laboratories, these challenges may be even more pronounced due to reliance on samples received from multiple external sources.</w:t>
      </w:r>
    </w:p>
    <w:p w14:paraId="2D8C6DBE"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Although advancements in laboratory automation and information systems have improved analytical efficiency, delays in TAT persist. Evidence suggests that a significant proportion of these delays originates outside the analytical phase, particularly in the pre-analytical and post-analytical stages. Factors such as inefficient sample transportation, variability in collection and dispatch practices, limited prioritization mechanisms, batching of specialized tests, and workflow inefficiencies can all contribute to prolonged turnaround times.</w:t>
      </w:r>
    </w:p>
    <w:p w14:paraId="7F5AEDE2"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In private diagnostic laboratories, transport logistics represent a particularly critical challenge. Samples are often received from geographically distributed locations, including hospitals, clinics, and remote collection sites. Delays may occur due to long transport distances, fixed courier schedules, and practices such as once-daily sample dispatch. These factors can result in significant pre-analytical delays, which may constitute a large portion of total turnaround time.</w:t>
      </w:r>
    </w:p>
    <w:p w14:paraId="5E64EB77"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 xml:space="preserve">Furthermore, batch processing of specialized tests, particularly in molecular diagnostics, introduces additional delays. Samples may need to be accumulated before processing, leading to extended waiting times and increased variability in turnaround performance. Despite the known impact of these factors, many laboratories lack detailed, phase-specific </w:t>
      </w:r>
      <w:r w:rsidRPr="00FA5609">
        <w:rPr>
          <w:rFonts w:asciiTheme="majorBidi" w:eastAsia="Times New Roman" w:hAnsiTheme="majorBidi" w:cstheme="majorBidi"/>
          <w:kern w:val="0"/>
          <w:sz w:val="24"/>
          <w:szCs w:val="24"/>
          <w14:ligatures w14:val="none"/>
        </w:rPr>
        <w:lastRenderedPageBreak/>
        <w:t>analysis to determine which elements contribute most significantly to delays within their own operational context.</w:t>
      </w:r>
    </w:p>
    <w:p w14:paraId="60AA1184"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In many cases, available performance data are limited to overall averages and do not provide sufficient insight into the distribution, variability, or root causes of delay. Without a comprehensive, data-driven evaluation, it is difficult for laboratory managers to design targeted and effective interventions. As a result, inefficiencies may persist despite investments in technology and resources.</w:t>
      </w:r>
    </w:p>
    <w:p w14:paraId="776ED442"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This study addresses this gap by conducting a structured analysis of laboratory turnaround time in a private diagnostic laboratory in Riyadh, Saudi Arabia. It focuses on identifying the relative contribution of transport time, in-laboratory processing, and batch testing practices to overall delays. By providing a detailed understanding of these factors, the study aims to support evidence-based improvements in laboratory performance and service delivery.</w:t>
      </w:r>
    </w:p>
    <w:p w14:paraId="71D1E9F9"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pict w14:anchorId="4C0709BE">
          <v:rect id="_x0000_i1027" style="width:0;height:1.5pt" o:hralign="center" o:hrstd="t" o:hr="t" fillcolor="#a0a0a0" stroked="f"/>
        </w:pict>
      </w:r>
    </w:p>
    <w:p w14:paraId="1D09FB5B" w14:textId="77777777" w:rsidR="00FA5609" w:rsidRPr="00FA5609" w:rsidRDefault="00FA5609" w:rsidP="00FA5609">
      <w:pPr>
        <w:bidi w:val="0"/>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bookmarkStart w:id="12" w:name="_Toc224849008"/>
      <w:bookmarkStart w:id="13" w:name="_Toc224849124"/>
      <w:bookmarkStart w:id="14" w:name="_Toc224850309"/>
      <w:bookmarkStart w:id="15" w:name="_Toc224854237"/>
      <w:r w:rsidRPr="00FA5609">
        <w:rPr>
          <w:rFonts w:asciiTheme="majorBidi" w:eastAsia="Times New Roman" w:hAnsiTheme="majorBidi" w:cstheme="majorBidi"/>
          <w:b/>
          <w:bCs/>
          <w:kern w:val="0"/>
          <w:sz w:val="28"/>
          <w:szCs w:val="28"/>
          <w14:ligatures w14:val="none"/>
        </w:rPr>
        <w:t>1.3 Significance of the Study</w:t>
      </w:r>
      <w:bookmarkEnd w:id="12"/>
      <w:bookmarkEnd w:id="13"/>
      <w:bookmarkEnd w:id="14"/>
      <w:bookmarkEnd w:id="15"/>
    </w:p>
    <w:p w14:paraId="22FC9C51"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This study is important at multiple levels, including clinical, operational, managerial, and academic perspectives.</w:t>
      </w:r>
    </w:p>
    <w:p w14:paraId="50058320"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16" w:name="_Toc224849009"/>
      <w:bookmarkStart w:id="17" w:name="_Toc224849125"/>
      <w:bookmarkStart w:id="18" w:name="_Toc224854238"/>
      <w:r w:rsidRPr="00FA5609">
        <w:rPr>
          <w:rFonts w:asciiTheme="majorBidi" w:eastAsia="Times New Roman" w:hAnsiTheme="majorBidi" w:cstheme="majorBidi"/>
          <w:b/>
          <w:bCs/>
          <w:kern w:val="0"/>
          <w:sz w:val="24"/>
          <w:szCs w:val="24"/>
          <w14:ligatures w14:val="none"/>
        </w:rPr>
        <w:t>1.3.1 Clinical Significance</w:t>
      </w:r>
      <w:bookmarkEnd w:id="16"/>
      <w:bookmarkEnd w:id="17"/>
      <w:bookmarkEnd w:id="18"/>
    </w:p>
    <w:p w14:paraId="7E844933"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Timely laboratory results are essential for safe and effective patient care. Short turnaround times enable clinicians to confirm diagnoses earlier, initiate or adjust treatment promptly, and avoid unnecessary delays in patient management. In settings where samples are referred from multiple external facilities, delays in laboratory reporting may indirectly affect clinical decision-making timelines. Therefore, improving turnaround time contributes to better continuity of care and supports more efficient patient management across healthcare services.</w:t>
      </w:r>
    </w:p>
    <w:p w14:paraId="33F91CEB"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19" w:name="_Toc224849010"/>
      <w:bookmarkStart w:id="20" w:name="_Toc224849126"/>
      <w:bookmarkStart w:id="21" w:name="_Toc224854239"/>
      <w:r w:rsidRPr="00FA5609">
        <w:rPr>
          <w:rFonts w:asciiTheme="majorBidi" w:eastAsia="Times New Roman" w:hAnsiTheme="majorBidi" w:cstheme="majorBidi"/>
          <w:b/>
          <w:bCs/>
          <w:kern w:val="0"/>
          <w:sz w:val="24"/>
          <w:szCs w:val="24"/>
          <w14:ligatures w14:val="none"/>
        </w:rPr>
        <w:t>1.3.2 Operational Significance</w:t>
      </w:r>
      <w:bookmarkEnd w:id="19"/>
      <w:bookmarkEnd w:id="20"/>
      <w:bookmarkEnd w:id="21"/>
    </w:p>
    <w:p w14:paraId="76D732B8"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From an operational perspective, turnaround time reflects the efficiency of laboratory processes across all phases of testing. In private diagnostic laboratories that receive samples from hospitals, clinics, and remote collection sites, operational complexity is increased due to transportation logistics and variability in sample arrival times.</w:t>
      </w:r>
    </w:p>
    <w:p w14:paraId="38C1A465"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Identifying where delays occur—particularly in transport time and in-laboratory processing—enables laboratories to optimize workflow, reduce bottlenecks, and improve coordination between different operational units. Improvements in TAT can lead to reduced workload pressure, fewer delays in result reporting, and enhanced overall service efficiency.</w:t>
      </w:r>
    </w:p>
    <w:p w14:paraId="77CC91BA"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22" w:name="_Toc224849011"/>
      <w:bookmarkStart w:id="23" w:name="_Toc224849127"/>
      <w:bookmarkStart w:id="24" w:name="_Toc224854240"/>
      <w:r w:rsidRPr="00FA5609">
        <w:rPr>
          <w:rFonts w:asciiTheme="majorBidi" w:eastAsia="Times New Roman" w:hAnsiTheme="majorBidi" w:cstheme="majorBidi"/>
          <w:b/>
          <w:bCs/>
          <w:kern w:val="0"/>
          <w:sz w:val="24"/>
          <w:szCs w:val="24"/>
          <w14:ligatures w14:val="none"/>
        </w:rPr>
        <w:t>1.3.3 Managerial and Strategic Significance</w:t>
      </w:r>
      <w:bookmarkEnd w:id="22"/>
      <w:bookmarkEnd w:id="23"/>
      <w:bookmarkEnd w:id="24"/>
    </w:p>
    <w:p w14:paraId="7DFF8101"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 xml:space="preserve">At the managerial level, this study provides evidence-based insights to support decision-making related to resource allocation, workflow design, and service optimization. </w:t>
      </w:r>
      <w:r w:rsidRPr="00FA5609">
        <w:rPr>
          <w:rFonts w:asciiTheme="majorBidi" w:eastAsia="Times New Roman" w:hAnsiTheme="majorBidi" w:cstheme="majorBidi"/>
          <w:kern w:val="0"/>
          <w:sz w:val="24"/>
          <w:szCs w:val="24"/>
          <w14:ligatures w14:val="none"/>
        </w:rPr>
        <w:lastRenderedPageBreak/>
        <w:t>Specifically, it highlights the importance of transport logistics and batch processing practices as key determinants of laboratory performance.</w:t>
      </w:r>
    </w:p>
    <w:p w14:paraId="4E050E0E"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The findings can guide strategic improvements such as optimizing courier schedules, increasing batch processing frequency, and enhancing laboratory workflow management. In addition, monitoring and improving TAT is a key requirement for compliance with international accreditation standards such as ISO 15189 and the College of American Pathologists (CAP), making this study relevant for quality assurance and accreditation processes.</w:t>
      </w:r>
    </w:p>
    <w:p w14:paraId="32F91151"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25" w:name="_Toc224849012"/>
      <w:bookmarkStart w:id="26" w:name="_Toc224849128"/>
      <w:bookmarkStart w:id="27" w:name="_Toc224854241"/>
      <w:r w:rsidRPr="00FA5609">
        <w:rPr>
          <w:rFonts w:asciiTheme="majorBidi" w:eastAsia="Times New Roman" w:hAnsiTheme="majorBidi" w:cstheme="majorBidi"/>
          <w:b/>
          <w:bCs/>
          <w:kern w:val="0"/>
          <w:sz w:val="24"/>
          <w:szCs w:val="24"/>
          <w14:ligatures w14:val="none"/>
        </w:rPr>
        <w:t>1.3.4 Academic Significance</w:t>
      </w:r>
      <w:bookmarkEnd w:id="25"/>
      <w:bookmarkEnd w:id="26"/>
      <w:bookmarkEnd w:id="27"/>
    </w:p>
    <w:p w14:paraId="181A2F4A"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From an academic perspective, this study contributes to the existing body of knowledge on laboratory performance and quality improvement, particularly within the context of private diagnostic laboratories. While many studies have focused on hospital-based laboratories, fewer have examined the impact of transport logistics and external sample sources on turnaround time.</w:t>
      </w:r>
    </w:p>
    <w:p w14:paraId="3F94DBB6"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By applying established frameworks such as the Donabedian structure–process–outcome model and principles of Lean management, this study provides a structured approach to understanding how operational factors influence TAT. The findings may serve as a reference for future research and support the development of targeted interventions aimed at improving laboratory efficiency.</w:t>
      </w:r>
    </w:p>
    <w:p w14:paraId="4CBDA6F0"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28" w:name="_Toc224849013"/>
      <w:bookmarkStart w:id="29" w:name="_Toc224849129"/>
      <w:bookmarkStart w:id="30" w:name="_Toc224854242"/>
      <w:r w:rsidRPr="00FA5609">
        <w:rPr>
          <w:rFonts w:asciiTheme="majorBidi" w:eastAsia="Times New Roman" w:hAnsiTheme="majorBidi" w:cstheme="majorBidi"/>
          <w:b/>
          <w:bCs/>
          <w:kern w:val="0"/>
          <w:sz w:val="24"/>
          <w:szCs w:val="24"/>
          <w14:ligatures w14:val="none"/>
        </w:rPr>
        <w:t>1.3.5 Overall Significance</w:t>
      </w:r>
      <w:bookmarkEnd w:id="28"/>
      <w:bookmarkEnd w:id="29"/>
      <w:bookmarkEnd w:id="30"/>
    </w:p>
    <w:p w14:paraId="22BA2C84"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Ultimately, this study provides a comprehensive evaluation of the factors influencing laboratory turnaround time within a real-world private diagnostic laboratory setting. By identifying key contributors to delay—particularly transport logistics and batch processing—it offers practical, evidence-based recommendations that can enhance laboratory performance, improve service quality, and support better healthcare delivery.</w:t>
      </w:r>
    </w:p>
    <w:p w14:paraId="5B4A89EF"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pict w14:anchorId="450D89ED">
          <v:rect id="_x0000_i1028" style="width:0;height:1.5pt" o:hralign="center" o:hrstd="t" o:hr="t" fillcolor="#a0a0a0" stroked="f"/>
        </w:pict>
      </w:r>
    </w:p>
    <w:p w14:paraId="559A88B0" w14:textId="77777777" w:rsidR="00FA5609" w:rsidRPr="00FA5609" w:rsidRDefault="00FA5609" w:rsidP="00FA5609">
      <w:pPr>
        <w:bidi w:val="0"/>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bookmarkStart w:id="31" w:name="_Toc224849014"/>
      <w:bookmarkStart w:id="32" w:name="_Toc224849130"/>
      <w:bookmarkStart w:id="33" w:name="_Toc224850310"/>
      <w:bookmarkStart w:id="34" w:name="_Toc224854243"/>
      <w:r w:rsidRPr="00FA5609">
        <w:rPr>
          <w:rFonts w:asciiTheme="majorBidi" w:eastAsia="Times New Roman" w:hAnsiTheme="majorBidi" w:cstheme="majorBidi"/>
          <w:b/>
          <w:bCs/>
          <w:kern w:val="0"/>
          <w:sz w:val="28"/>
          <w:szCs w:val="28"/>
          <w14:ligatures w14:val="none"/>
        </w:rPr>
        <w:t>1.4 Objectives of the Study</w:t>
      </w:r>
      <w:bookmarkEnd w:id="31"/>
      <w:bookmarkEnd w:id="32"/>
      <w:bookmarkEnd w:id="33"/>
      <w:bookmarkEnd w:id="34"/>
    </w:p>
    <w:p w14:paraId="247AB33D"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35" w:name="_Toc224849015"/>
      <w:bookmarkStart w:id="36" w:name="_Toc224849131"/>
      <w:bookmarkStart w:id="37" w:name="_Toc224854244"/>
      <w:r w:rsidRPr="00FA5609">
        <w:rPr>
          <w:rFonts w:asciiTheme="majorBidi" w:eastAsia="Times New Roman" w:hAnsiTheme="majorBidi" w:cstheme="majorBidi"/>
          <w:b/>
          <w:bCs/>
          <w:kern w:val="0"/>
          <w:sz w:val="24"/>
          <w:szCs w:val="24"/>
          <w14:ligatures w14:val="none"/>
        </w:rPr>
        <w:t>1.4.1 General Objective</w:t>
      </w:r>
      <w:bookmarkEnd w:id="35"/>
      <w:bookmarkEnd w:id="36"/>
      <w:bookmarkEnd w:id="37"/>
    </w:p>
    <w:p w14:paraId="123AE2D6"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 evaluate the factors influencing laboratory turnaround time (TAT) in a private diagnostic laboratory in Riyadh, Saudi Arabia, using a descriptive cross-sectional analysis of laboratory information system data.</w:t>
      </w:r>
    </w:p>
    <w:p w14:paraId="781CDDA4"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38" w:name="_Toc224849016"/>
      <w:bookmarkStart w:id="39" w:name="_Toc224849132"/>
      <w:bookmarkStart w:id="40" w:name="_Toc224854245"/>
      <w:r w:rsidRPr="00FA5609">
        <w:rPr>
          <w:rFonts w:asciiTheme="majorBidi" w:eastAsia="Times New Roman" w:hAnsiTheme="majorBidi" w:cstheme="majorBidi"/>
          <w:b/>
          <w:bCs/>
          <w:kern w:val="0"/>
          <w:sz w:val="24"/>
          <w:szCs w:val="24"/>
          <w14:ligatures w14:val="none"/>
        </w:rPr>
        <w:t>1.4.2 Specific Objectives</w:t>
      </w:r>
      <w:bookmarkEnd w:id="38"/>
      <w:bookmarkEnd w:id="39"/>
      <w:bookmarkEnd w:id="40"/>
    </w:p>
    <w:p w14:paraId="066FDBBC" w14:textId="77777777" w:rsidR="00FA5609" w:rsidRPr="00FA5609" w:rsidRDefault="00FA5609" w:rsidP="00FA5609">
      <w:pPr>
        <w:numPr>
          <w:ilvl w:val="0"/>
          <w:numId w:val="5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 measure and describe turnaround time for selected laboratory tests using retrospective data.</w:t>
      </w:r>
    </w:p>
    <w:p w14:paraId="0C4D7838" w14:textId="77777777" w:rsidR="00FA5609" w:rsidRPr="00FA5609" w:rsidRDefault="00FA5609" w:rsidP="00FA5609">
      <w:pPr>
        <w:numPr>
          <w:ilvl w:val="0"/>
          <w:numId w:val="5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 compare turnaround time across different test categories, including routine and molecular tests.</w:t>
      </w:r>
    </w:p>
    <w:p w14:paraId="1309A34F" w14:textId="77777777" w:rsidR="00FA5609" w:rsidRPr="00FA5609" w:rsidRDefault="00FA5609" w:rsidP="00FA5609">
      <w:pPr>
        <w:numPr>
          <w:ilvl w:val="0"/>
          <w:numId w:val="5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 assess the contribution of transport time (collection to receipt) to total turnaround time.</w:t>
      </w:r>
    </w:p>
    <w:p w14:paraId="73CAD28E" w14:textId="77777777" w:rsidR="00FA5609" w:rsidRPr="00FA5609" w:rsidRDefault="00FA5609" w:rsidP="00FA5609">
      <w:pPr>
        <w:numPr>
          <w:ilvl w:val="0"/>
          <w:numId w:val="5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lastRenderedPageBreak/>
        <w:t>To evaluate in-laboratory processing time (receipt to result approval) for different test types.</w:t>
      </w:r>
    </w:p>
    <w:p w14:paraId="46FC8F04" w14:textId="77777777" w:rsidR="00FA5609" w:rsidRPr="00FA5609" w:rsidRDefault="00FA5609" w:rsidP="00FA5609">
      <w:pPr>
        <w:numPr>
          <w:ilvl w:val="0"/>
          <w:numId w:val="5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 examine the impact of batch processing on turnaround time, particularly for molecular tests.</w:t>
      </w:r>
    </w:p>
    <w:p w14:paraId="620768FD" w14:textId="77777777" w:rsidR="00FA5609" w:rsidRPr="00FA5609" w:rsidRDefault="00FA5609" w:rsidP="00FA5609">
      <w:pPr>
        <w:numPr>
          <w:ilvl w:val="0"/>
          <w:numId w:val="5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 evaluate variability and distribution of turnaround time using statistical measures (mean, median, standard deviation, and range).</w:t>
      </w:r>
    </w:p>
    <w:p w14:paraId="51539843" w14:textId="77777777" w:rsidR="00FA5609" w:rsidRPr="00FA5609" w:rsidRDefault="00FA5609" w:rsidP="00FA5609">
      <w:pPr>
        <w:numPr>
          <w:ilvl w:val="0"/>
          <w:numId w:val="5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 identify key operational factors contributing to delays, including transport logistics and workflow characteristics.</w:t>
      </w:r>
    </w:p>
    <w:p w14:paraId="0F0520D4" w14:textId="77777777" w:rsidR="00FA5609" w:rsidRPr="00FA5609" w:rsidRDefault="00FA5609" w:rsidP="00FA5609">
      <w:pPr>
        <w:numPr>
          <w:ilvl w:val="0"/>
          <w:numId w:val="53"/>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 develop evidence-based recommendations to improve turnaround time and laboratory efficiency.</w:t>
      </w:r>
    </w:p>
    <w:p w14:paraId="52C91A5D"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pict w14:anchorId="33712303">
          <v:rect id="_x0000_i1029" style="width:0;height:1.5pt" o:hralign="center" o:hrstd="t" o:hr="t" fillcolor="#a0a0a0" stroked="f"/>
        </w:pict>
      </w:r>
    </w:p>
    <w:p w14:paraId="08054837" w14:textId="77777777" w:rsidR="00FA5609" w:rsidRPr="00FA5609" w:rsidRDefault="00FA5609" w:rsidP="00FA5609">
      <w:pPr>
        <w:bidi w:val="0"/>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bookmarkStart w:id="41" w:name="_Toc224849017"/>
      <w:bookmarkStart w:id="42" w:name="_Toc224849133"/>
      <w:bookmarkStart w:id="43" w:name="_Toc224850311"/>
      <w:bookmarkStart w:id="44" w:name="_Toc224854246"/>
      <w:r w:rsidRPr="00FA5609">
        <w:rPr>
          <w:rFonts w:asciiTheme="majorBidi" w:eastAsia="Times New Roman" w:hAnsiTheme="majorBidi" w:cstheme="majorBidi"/>
          <w:b/>
          <w:bCs/>
          <w:kern w:val="0"/>
          <w:sz w:val="28"/>
          <w:szCs w:val="28"/>
          <w14:ligatures w14:val="none"/>
        </w:rPr>
        <w:t>1.5 Research Questions</w:t>
      </w:r>
      <w:bookmarkEnd w:id="41"/>
      <w:bookmarkEnd w:id="42"/>
      <w:bookmarkEnd w:id="43"/>
      <w:bookmarkEnd w:id="44"/>
    </w:p>
    <w:p w14:paraId="4DB02512" w14:textId="77777777" w:rsidR="00FA5609" w:rsidRPr="00FA5609" w:rsidRDefault="00FA5609" w:rsidP="00FA5609">
      <w:pPr>
        <w:numPr>
          <w:ilvl w:val="0"/>
          <w:numId w:val="54"/>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What is the current turnaround time for selected laboratory tests in a private diagnostic laboratory?</w:t>
      </w:r>
    </w:p>
    <w:p w14:paraId="798AFB21" w14:textId="77777777" w:rsidR="00FA5609" w:rsidRPr="00FA5609" w:rsidRDefault="00FA5609" w:rsidP="00FA5609">
      <w:pPr>
        <w:numPr>
          <w:ilvl w:val="0"/>
          <w:numId w:val="54"/>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 what extent does transport time contribute to total turnaround time?</w:t>
      </w:r>
    </w:p>
    <w:p w14:paraId="63D107CA" w14:textId="77777777" w:rsidR="00FA5609" w:rsidRPr="00FA5609" w:rsidRDefault="00FA5609" w:rsidP="00FA5609">
      <w:pPr>
        <w:numPr>
          <w:ilvl w:val="0"/>
          <w:numId w:val="54"/>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How does turnaround time differ between routine and molecular tests?</w:t>
      </w:r>
    </w:p>
    <w:p w14:paraId="6524B250" w14:textId="77777777" w:rsidR="00FA5609" w:rsidRPr="00FA5609" w:rsidRDefault="00FA5609" w:rsidP="00FA5609">
      <w:pPr>
        <w:numPr>
          <w:ilvl w:val="0"/>
          <w:numId w:val="54"/>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What is the impact of batch processing on in-laboratory turnaround time?</w:t>
      </w:r>
    </w:p>
    <w:p w14:paraId="4BD99069" w14:textId="77777777" w:rsidR="00FA5609" w:rsidRPr="00FA5609" w:rsidRDefault="00FA5609" w:rsidP="00FA5609">
      <w:pPr>
        <w:numPr>
          <w:ilvl w:val="0"/>
          <w:numId w:val="54"/>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What are the key operational factors contributing to delays in turnaround time?</w:t>
      </w:r>
    </w:p>
    <w:p w14:paraId="7485F4D1" w14:textId="77777777" w:rsidR="00FA5609" w:rsidRPr="00FA5609" w:rsidRDefault="00FA5609" w:rsidP="00FA5609">
      <w:pPr>
        <w:numPr>
          <w:ilvl w:val="0"/>
          <w:numId w:val="54"/>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What strategies can be implemented to improve turnaround time?</w:t>
      </w:r>
    </w:p>
    <w:p w14:paraId="520DEC9D"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pict w14:anchorId="165902BC">
          <v:rect id="_x0000_i1030" style="width:0;height:1.5pt" o:hralign="center" o:hrstd="t" o:hr="t" fillcolor="#a0a0a0" stroked="f"/>
        </w:pict>
      </w:r>
    </w:p>
    <w:p w14:paraId="7B3B1215" w14:textId="77777777" w:rsidR="00FA5609" w:rsidRPr="00FA5609" w:rsidRDefault="00FA5609" w:rsidP="00FA5609">
      <w:pPr>
        <w:bidi w:val="0"/>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bookmarkStart w:id="45" w:name="_Toc224849018"/>
      <w:bookmarkStart w:id="46" w:name="_Toc224849134"/>
      <w:bookmarkStart w:id="47" w:name="_Toc224850312"/>
      <w:bookmarkStart w:id="48" w:name="_Toc224854247"/>
      <w:r w:rsidRPr="00FA5609">
        <w:rPr>
          <w:rFonts w:asciiTheme="majorBidi" w:eastAsia="Times New Roman" w:hAnsiTheme="majorBidi" w:cstheme="majorBidi"/>
          <w:b/>
          <w:bCs/>
          <w:kern w:val="0"/>
          <w:sz w:val="28"/>
          <w:szCs w:val="28"/>
          <w14:ligatures w14:val="none"/>
        </w:rPr>
        <w:t>1.6 Research Hypotheses</w:t>
      </w:r>
      <w:bookmarkEnd w:id="45"/>
      <w:bookmarkEnd w:id="46"/>
      <w:bookmarkEnd w:id="47"/>
      <w:bookmarkEnd w:id="48"/>
    </w:p>
    <w:p w14:paraId="2431A1AC" w14:textId="77777777" w:rsidR="00FA5609" w:rsidRPr="00FA5609" w:rsidRDefault="00FA5609" w:rsidP="00FA5609">
      <w:pPr>
        <w:numPr>
          <w:ilvl w:val="0"/>
          <w:numId w:val="55"/>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H1: Transport time is associated with increased total turnaround time.</w:t>
      </w:r>
    </w:p>
    <w:p w14:paraId="1F1408A5" w14:textId="77777777" w:rsidR="00FA5609" w:rsidRPr="00FA5609" w:rsidRDefault="00FA5609" w:rsidP="00FA5609">
      <w:pPr>
        <w:numPr>
          <w:ilvl w:val="0"/>
          <w:numId w:val="55"/>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H2: Batch-processed tests have longer turnaround times than non-batch tests.</w:t>
      </w:r>
    </w:p>
    <w:p w14:paraId="5E9C6E84" w14:textId="77777777" w:rsidR="00FA5609" w:rsidRPr="00FA5609" w:rsidRDefault="00FA5609" w:rsidP="00FA5609">
      <w:pPr>
        <w:numPr>
          <w:ilvl w:val="0"/>
          <w:numId w:val="55"/>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H3: Molecular tests have longer in-laboratory turnaround times compared to routine tests.</w:t>
      </w:r>
    </w:p>
    <w:p w14:paraId="3248B038" w14:textId="77777777" w:rsidR="00FA5609" w:rsidRPr="00FA5609" w:rsidRDefault="00FA5609" w:rsidP="00FA5609">
      <w:pPr>
        <w:numPr>
          <w:ilvl w:val="0"/>
          <w:numId w:val="55"/>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H4: Turnaround time differs across laboratory test categories.</w:t>
      </w:r>
    </w:p>
    <w:p w14:paraId="299D2E42" w14:textId="77777777" w:rsidR="00FA5609" w:rsidRPr="00FA5609" w:rsidRDefault="00FA5609" w:rsidP="00FA5609">
      <w:pPr>
        <w:numPr>
          <w:ilvl w:val="0"/>
          <w:numId w:val="55"/>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H5: Transport time constitutes a substantial proportion of total turnaround time.</w:t>
      </w:r>
    </w:p>
    <w:p w14:paraId="0E04729F"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pict w14:anchorId="6FCA9533">
          <v:rect id="_x0000_i1031" style="width:0;height:1.5pt" o:hralign="center" o:hrstd="t" o:hr="t" fillcolor="#a0a0a0" stroked="f"/>
        </w:pict>
      </w:r>
    </w:p>
    <w:p w14:paraId="5BADECAA" w14:textId="77777777" w:rsidR="00FA5609" w:rsidRPr="00FA5609" w:rsidRDefault="00FA5609" w:rsidP="00FA5609">
      <w:pPr>
        <w:bidi w:val="0"/>
        <w:spacing w:before="100" w:beforeAutospacing="1" w:after="100" w:afterAutospacing="1" w:line="240" w:lineRule="auto"/>
        <w:outlineLvl w:val="1"/>
        <w:rPr>
          <w:rFonts w:asciiTheme="majorBidi" w:eastAsia="Times New Roman" w:hAnsiTheme="majorBidi" w:cstheme="majorBidi"/>
          <w:b/>
          <w:bCs/>
          <w:kern w:val="0"/>
          <w:sz w:val="28"/>
          <w:szCs w:val="28"/>
          <w14:ligatures w14:val="none"/>
        </w:rPr>
      </w:pPr>
      <w:bookmarkStart w:id="49" w:name="_Toc224849019"/>
      <w:bookmarkStart w:id="50" w:name="_Toc224849135"/>
      <w:bookmarkStart w:id="51" w:name="_Toc224850313"/>
      <w:bookmarkStart w:id="52" w:name="_Toc224854248"/>
      <w:r w:rsidRPr="00FA5609">
        <w:rPr>
          <w:rFonts w:asciiTheme="majorBidi" w:eastAsia="Times New Roman" w:hAnsiTheme="majorBidi" w:cstheme="majorBidi"/>
          <w:b/>
          <w:bCs/>
          <w:kern w:val="0"/>
          <w:sz w:val="28"/>
          <w:szCs w:val="28"/>
          <w14:ligatures w14:val="none"/>
        </w:rPr>
        <w:t>1.7 Theoretical Framework</w:t>
      </w:r>
      <w:bookmarkEnd w:id="49"/>
      <w:bookmarkEnd w:id="50"/>
      <w:bookmarkEnd w:id="51"/>
      <w:bookmarkEnd w:id="52"/>
    </w:p>
    <w:p w14:paraId="3A5D2AB9"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This study is grounded in established healthcare quality frameworks that explain how organizational structure and operational processes influence outcomes. In laboratory medicine, turnaround time (TAT) is widely recognized as a key outcome indicator reflecting the efficiency and performance of laboratory services. To provide a structured understanding of the factors influencing TAT, this study adopts the Donabedian model as its primary theoretical framework, supported by principles from Lean management.</w:t>
      </w:r>
    </w:p>
    <w:p w14:paraId="233CC371"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53" w:name="_Toc224849020"/>
      <w:bookmarkStart w:id="54" w:name="_Toc224849136"/>
      <w:bookmarkStart w:id="55" w:name="_Toc224854249"/>
      <w:r w:rsidRPr="00FA5609">
        <w:rPr>
          <w:rFonts w:asciiTheme="majorBidi" w:eastAsia="Times New Roman" w:hAnsiTheme="majorBidi" w:cstheme="majorBidi"/>
          <w:b/>
          <w:bCs/>
          <w:kern w:val="0"/>
          <w:sz w:val="24"/>
          <w:szCs w:val="24"/>
          <w14:ligatures w14:val="none"/>
        </w:rPr>
        <w:t>1.7.1 The Donabedian Model</w:t>
      </w:r>
      <w:bookmarkEnd w:id="53"/>
      <w:bookmarkEnd w:id="54"/>
      <w:bookmarkEnd w:id="55"/>
    </w:p>
    <w:p w14:paraId="6D227D6C"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lastRenderedPageBreak/>
        <w:t>The Donabedian model, developed by Avedis Donabedian, is one of the most widely used frameworks for evaluating healthcare quality. It categorizes healthcare systems into three interrelated components: structure, process, and outcome.</w:t>
      </w:r>
    </w:p>
    <w:p w14:paraId="5F327AFD" w14:textId="77777777" w:rsidR="00FA5609" w:rsidRPr="00FA5609" w:rsidRDefault="00FA5609" w:rsidP="00FA5609">
      <w:pPr>
        <w:numPr>
          <w:ilvl w:val="0"/>
          <w:numId w:val="56"/>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b/>
          <w:bCs/>
          <w:kern w:val="0"/>
          <w:sz w:val="24"/>
          <w:szCs w:val="24"/>
          <w14:ligatures w14:val="none"/>
        </w:rPr>
        <w:t>Structure</w:t>
      </w:r>
      <w:r w:rsidRPr="00FA5609">
        <w:rPr>
          <w:rFonts w:asciiTheme="majorBidi" w:eastAsia="Times New Roman" w:hAnsiTheme="majorBidi" w:cstheme="majorBidi"/>
          <w:kern w:val="0"/>
          <w:sz w:val="24"/>
          <w:szCs w:val="24"/>
          <w14:ligatures w14:val="none"/>
        </w:rPr>
        <w:t xml:space="preserve"> refers to the physical and organizational aspects of a healthcare setting, including laboratory infrastructure, equipment, staffing, and information systems.</w:t>
      </w:r>
    </w:p>
    <w:p w14:paraId="2EA52556" w14:textId="77777777" w:rsidR="00FA5609" w:rsidRPr="00FA5609" w:rsidRDefault="00FA5609" w:rsidP="00FA5609">
      <w:pPr>
        <w:numPr>
          <w:ilvl w:val="0"/>
          <w:numId w:val="56"/>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b/>
          <w:bCs/>
          <w:kern w:val="0"/>
          <w:sz w:val="24"/>
          <w:szCs w:val="24"/>
          <w14:ligatures w14:val="none"/>
        </w:rPr>
        <w:t>Process</w:t>
      </w:r>
      <w:r w:rsidRPr="00FA5609">
        <w:rPr>
          <w:rFonts w:asciiTheme="majorBidi" w:eastAsia="Times New Roman" w:hAnsiTheme="majorBidi" w:cstheme="majorBidi"/>
          <w:kern w:val="0"/>
          <w:sz w:val="24"/>
          <w:szCs w:val="24"/>
          <w14:ligatures w14:val="none"/>
        </w:rPr>
        <w:t xml:space="preserve"> involves the activities and workflows through which healthcare services are delivered, such as sample collection, transportation, analysis, and result reporting.</w:t>
      </w:r>
    </w:p>
    <w:p w14:paraId="10961D86" w14:textId="77777777" w:rsidR="00FA5609" w:rsidRPr="00FA5609" w:rsidRDefault="00FA5609" w:rsidP="00FA5609">
      <w:pPr>
        <w:numPr>
          <w:ilvl w:val="0"/>
          <w:numId w:val="56"/>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b/>
          <w:bCs/>
          <w:kern w:val="0"/>
          <w:sz w:val="24"/>
          <w:szCs w:val="24"/>
          <w14:ligatures w14:val="none"/>
        </w:rPr>
        <w:t>Outcome</w:t>
      </w:r>
      <w:r w:rsidRPr="00FA5609">
        <w:rPr>
          <w:rFonts w:asciiTheme="majorBidi" w:eastAsia="Times New Roman" w:hAnsiTheme="majorBidi" w:cstheme="majorBidi"/>
          <w:kern w:val="0"/>
          <w:sz w:val="24"/>
          <w:szCs w:val="24"/>
          <w14:ligatures w14:val="none"/>
        </w:rPr>
        <w:t xml:space="preserve"> represents the results of healthcare services, including clinical outcomes, patient satisfaction, and performance indicators such as turnaround time.</w:t>
      </w:r>
    </w:p>
    <w:p w14:paraId="69F769E1"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This model provides a systematic approach to analyzing how variations in structure and process lead to differences in outcomes.</w:t>
      </w:r>
    </w:p>
    <w:p w14:paraId="53A5D286"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pict w14:anchorId="49CABA7D">
          <v:rect id="_x0000_i1032" style="width:0;height:1.5pt" o:hralign="center" o:hrstd="t" o:hr="t" fillcolor="#a0a0a0" stroked="f"/>
        </w:pict>
      </w:r>
    </w:p>
    <w:p w14:paraId="1B8A4D34"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56" w:name="_Toc224849021"/>
      <w:bookmarkStart w:id="57" w:name="_Toc224849137"/>
      <w:bookmarkStart w:id="58" w:name="_Toc224854250"/>
      <w:r w:rsidRPr="00FA5609">
        <w:rPr>
          <w:rFonts w:asciiTheme="majorBidi" w:eastAsia="Times New Roman" w:hAnsiTheme="majorBidi" w:cstheme="majorBidi"/>
          <w:b/>
          <w:bCs/>
          <w:kern w:val="0"/>
          <w:sz w:val="24"/>
          <w:szCs w:val="24"/>
          <w14:ligatures w14:val="none"/>
        </w:rPr>
        <w:t>1.7.2 Application to the Present Study</w:t>
      </w:r>
      <w:bookmarkEnd w:id="56"/>
      <w:bookmarkEnd w:id="57"/>
      <w:bookmarkEnd w:id="58"/>
    </w:p>
    <w:p w14:paraId="23C0744C"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In the context of this study, the Donabedian model is applied to understand how laboratory processes and operational conditions influence turnaround time.</w:t>
      </w:r>
    </w:p>
    <w:p w14:paraId="293A4820" w14:textId="77777777" w:rsidR="00FA5609" w:rsidRPr="00FA5609" w:rsidRDefault="00FA5609" w:rsidP="00FA5609">
      <w:pPr>
        <w:numPr>
          <w:ilvl w:val="0"/>
          <w:numId w:val="57"/>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 xml:space="preserve">The </w:t>
      </w:r>
      <w:r w:rsidRPr="00FA5609">
        <w:rPr>
          <w:rFonts w:asciiTheme="majorBidi" w:eastAsia="Times New Roman" w:hAnsiTheme="majorBidi" w:cstheme="majorBidi"/>
          <w:b/>
          <w:bCs/>
          <w:kern w:val="0"/>
          <w:sz w:val="24"/>
          <w:szCs w:val="24"/>
          <w14:ligatures w14:val="none"/>
        </w:rPr>
        <w:t>structure</w:t>
      </w:r>
      <w:r w:rsidRPr="00FA5609">
        <w:rPr>
          <w:rFonts w:asciiTheme="majorBidi" w:eastAsia="Times New Roman" w:hAnsiTheme="majorBidi" w:cstheme="majorBidi"/>
          <w:kern w:val="0"/>
          <w:sz w:val="24"/>
          <w:szCs w:val="24"/>
          <w14:ligatures w14:val="none"/>
        </w:rPr>
        <w:t xml:space="preserve"> component includes the characteristics of the private diagnostic laboratory, including its role in receiving samples from multiple external sources (hospitals, clinics, and walk-in patients), as well as its infrastructure and operational setup.</w:t>
      </w:r>
    </w:p>
    <w:p w14:paraId="3BEDB629" w14:textId="77777777" w:rsidR="00FA5609" w:rsidRPr="00FA5609" w:rsidRDefault="00FA5609" w:rsidP="00FA5609">
      <w:pPr>
        <w:numPr>
          <w:ilvl w:val="0"/>
          <w:numId w:val="57"/>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 xml:space="preserve">The </w:t>
      </w:r>
      <w:r w:rsidRPr="00FA5609">
        <w:rPr>
          <w:rFonts w:asciiTheme="majorBidi" w:eastAsia="Times New Roman" w:hAnsiTheme="majorBidi" w:cstheme="majorBidi"/>
          <w:b/>
          <w:bCs/>
          <w:kern w:val="0"/>
          <w:sz w:val="24"/>
          <w:szCs w:val="24"/>
          <w14:ligatures w14:val="none"/>
        </w:rPr>
        <w:t>process</w:t>
      </w:r>
      <w:r w:rsidRPr="00FA5609">
        <w:rPr>
          <w:rFonts w:asciiTheme="majorBidi" w:eastAsia="Times New Roman" w:hAnsiTheme="majorBidi" w:cstheme="majorBidi"/>
          <w:kern w:val="0"/>
          <w:sz w:val="24"/>
          <w:szCs w:val="24"/>
          <w14:ligatures w14:val="none"/>
        </w:rPr>
        <w:t xml:space="preserve"> component focuses on key workflow elements that directly affect TAT, including sample transportation, in-laboratory processing, and batch testing practices. Particular attention is given to transport logistics and batching.</w:t>
      </w:r>
    </w:p>
    <w:p w14:paraId="29722820" w14:textId="77777777" w:rsidR="00FA5609" w:rsidRPr="00FA5609" w:rsidRDefault="00FA5609" w:rsidP="00FA5609">
      <w:pPr>
        <w:numPr>
          <w:ilvl w:val="0"/>
          <w:numId w:val="57"/>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 xml:space="preserve">The </w:t>
      </w:r>
      <w:r w:rsidRPr="00FA5609">
        <w:rPr>
          <w:rFonts w:asciiTheme="majorBidi" w:eastAsia="Times New Roman" w:hAnsiTheme="majorBidi" w:cstheme="majorBidi"/>
          <w:b/>
          <w:bCs/>
          <w:kern w:val="0"/>
          <w:sz w:val="24"/>
          <w:szCs w:val="24"/>
          <w14:ligatures w14:val="none"/>
        </w:rPr>
        <w:t>outcome</w:t>
      </w:r>
      <w:r w:rsidRPr="00FA5609">
        <w:rPr>
          <w:rFonts w:asciiTheme="majorBidi" w:eastAsia="Times New Roman" w:hAnsiTheme="majorBidi" w:cstheme="majorBidi"/>
          <w:kern w:val="0"/>
          <w:sz w:val="24"/>
          <w:szCs w:val="24"/>
          <w14:ligatures w14:val="none"/>
        </w:rPr>
        <w:t xml:space="preserve"> component is represented by turnaround time, measured as transport time (collection to receipt), in-laboratory processing time (receipt to result approval), and total turnaround time.</w:t>
      </w:r>
    </w:p>
    <w:p w14:paraId="1B7A1650"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pict w14:anchorId="01613C15">
          <v:rect id="_x0000_i1033" style="width:0;height:1.5pt" o:hralign="center" o:hrstd="t" o:hr="t" fillcolor="#a0a0a0" stroked="f"/>
        </w:pict>
      </w:r>
    </w:p>
    <w:p w14:paraId="35B6C7DD" w14:textId="77777777" w:rsidR="00FA5609" w:rsidRPr="00FA5609" w:rsidRDefault="00FA5609"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59" w:name="_Toc224849022"/>
      <w:bookmarkStart w:id="60" w:name="_Toc224849138"/>
      <w:bookmarkStart w:id="61" w:name="_Toc224854251"/>
      <w:r w:rsidRPr="00FA5609">
        <w:rPr>
          <w:rFonts w:asciiTheme="majorBidi" w:eastAsia="Times New Roman" w:hAnsiTheme="majorBidi" w:cstheme="majorBidi"/>
          <w:b/>
          <w:bCs/>
          <w:kern w:val="0"/>
          <w:sz w:val="24"/>
          <w:szCs w:val="24"/>
          <w14:ligatures w14:val="none"/>
        </w:rPr>
        <w:t>1.7.3 Supporting Framework: Lean Management Principles</w:t>
      </w:r>
      <w:bookmarkEnd w:id="59"/>
      <w:bookmarkEnd w:id="60"/>
      <w:bookmarkEnd w:id="61"/>
    </w:p>
    <w:p w14:paraId="401E4A18"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In addition to the Donabedian model, this study is supported by Lean management principles, which focus on improving efficiency by eliminating waste and optimizing workflow processes.</w:t>
      </w:r>
    </w:p>
    <w:p w14:paraId="650D4845"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Lean principles emphasize:</w:t>
      </w:r>
    </w:p>
    <w:p w14:paraId="499A58D5" w14:textId="77777777" w:rsidR="00FA5609" w:rsidRPr="00FA5609" w:rsidRDefault="00FA5609" w:rsidP="00FA5609">
      <w:pPr>
        <w:numPr>
          <w:ilvl w:val="0"/>
          <w:numId w:val="58"/>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reducing unnecessary waiting times</w:t>
      </w:r>
    </w:p>
    <w:p w14:paraId="414EAE15" w14:textId="77777777" w:rsidR="00FA5609" w:rsidRPr="00FA5609" w:rsidRDefault="00FA5609" w:rsidP="00FA5609">
      <w:pPr>
        <w:numPr>
          <w:ilvl w:val="0"/>
          <w:numId w:val="58"/>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improving process flow</w:t>
      </w:r>
    </w:p>
    <w:p w14:paraId="02793925" w14:textId="77777777" w:rsidR="00FA5609" w:rsidRPr="00FA5609" w:rsidRDefault="00FA5609" w:rsidP="00FA5609">
      <w:pPr>
        <w:numPr>
          <w:ilvl w:val="0"/>
          <w:numId w:val="58"/>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minimizing delays and inefficiencies</w:t>
      </w:r>
    </w:p>
    <w:p w14:paraId="7F91E7ED" w14:textId="77777777" w:rsidR="00FA5609" w:rsidRPr="00FA5609" w:rsidRDefault="00FA5609" w:rsidP="00FA5609">
      <w:pPr>
        <w:numPr>
          <w:ilvl w:val="0"/>
          <w:numId w:val="58"/>
        </w:num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standardizing operations</w:t>
      </w:r>
    </w:p>
    <w:p w14:paraId="1B7B64BD"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In laboratory settings, delays in turnaround time can be viewed as forms of process inefficiency. Factors such as prolonged transport time, delayed batch processing, and workflow bottlenecks represent opportunities for improvement.</w:t>
      </w:r>
    </w:p>
    <w:p w14:paraId="67D477F5" w14:textId="77777777" w:rsidR="00FA5609" w:rsidRPr="00FA5609" w:rsidRDefault="00000000" w:rsidP="00FA5609">
      <w:pPr>
        <w:bidi w:val="0"/>
        <w:spacing w:after="0" w:line="240" w:lineRule="auto"/>
        <w:rPr>
          <w:rFonts w:asciiTheme="majorBidi" w:eastAsia="Times New Roman" w:hAnsiTheme="majorBidi" w:cstheme="majorBidi"/>
          <w:kern w:val="0"/>
          <w:sz w:val="24"/>
          <w:szCs w:val="24"/>
          <w14:ligatures w14:val="none"/>
        </w:rPr>
      </w:pPr>
      <w:r>
        <w:rPr>
          <w:rFonts w:asciiTheme="majorBidi" w:eastAsia="Times New Roman" w:hAnsiTheme="majorBidi" w:cstheme="majorBidi"/>
          <w:kern w:val="0"/>
          <w:sz w:val="24"/>
          <w:szCs w:val="24"/>
          <w14:ligatures w14:val="none"/>
        </w:rPr>
        <w:lastRenderedPageBreak/>
        <w:pict w14:anchorId="0A4AAFF9">
          <v:rect id="_x0000_i1034" style="width:0;height:1.5pt" o:hralign="center" o:hrstd="t" o:hr="t" fillcolor="#a0a0a0" stroked="f"/>
        </w:pict>
      </w:r>
    </w:p>
    <w:p w14:paraId="266ABA88" w14:textId="77777777" w:rsidR="00987FB2" w:rsidRDefault="00987FB2" w:rsidP="00FA5609">
      <w:pPr>
        <w:bidi w:val="0"/>
        <w:spacing w:before="100" w:beforeAutospacing="1" w:after="100" w:afterAutospacing="1" w:line="240" w:lineRule="auto"/>
        <w:outlineLvl w:val="2"/>
        <w:rPr>
          <w:rFonts w:asciiTheme="majorBidi" w:eastAsia="Times New Roman" w:hAnsiTheme="majorBidi" w:cstheme="majorBidi"/>
          <w:b/>
          <w:bCs/>
          <w:kern w:val="0"/>
          <w:sz w:val="24"/>
          <w:szCs w:val="24"/>
          <w:rtl/>
          <w14:ligatures w14:val="none"/>
        </w:rPr>
      </w:pPr>
    </w:p>
    <w:p w14:paraId="5D0ACEEA" w14:textId="44C721DB" w:rsidR="00FA5609" w:rsidRPr="00FA5609" w:rsidRDefault="00FA5609" w:rsidP="00987FB2">
      <w:pPr>
        <w:bidi w:val="0"/>
        <w:spacing w:before="100" w:beforeAutospacing="1" w:after="100" w:afterAutospacing="1" w:line="240" w:lineRule="auto"/>
        <w:outlineLvl w:val="2"/>
        <w:rPr>
          <w:rFonts w:asciiTheme="majorBidi" w:eastAsia="Times New Roman" w:hAnsiTheme="majorBidi" w:cstheme="majorBidi"/>
          <w:b/>
          <w:bCs/>
          <w:kern w:val="0"/>
          <w:sz w:val="24"/>
          <w:szCs w:val="24"/>
          <w14:ligatures w14:val="none"/>
        </w:rPr>
      </w:pPr>
      <w:bookmarkStart w:id="62" w:name="_Toc224849023"/>
      <w:bookmarkStart w:id="63" w:name="_Toc224849139"/>
      <w:bookmarkStart w:id="64" w:name="_Toc224854252"/>
      <w:r w:rsidRPr="00FA5609">
        <w:rPr>
          <w:rFonts w:asciiTheme="majorBidi" w:eastAsia="Times New Roman" w:hAnsiTheme="majorBidi" w:cstheme="majorBidi"/>
          <w:b/>
          <w:bCs/>
          <w:kern w:val="0"/>
          <w:sz w:val="24"/>
          <w:szCs w:val="24"/>
          <w14:ligatures w14:val="none"/>
        </w:rPr>
        <w:t>1.7.4 Relevance of the Framework</w:t>
      </w:r>
      <w:bookmarkEnd w:id="62"/>
      <w:bookmarkEnd w:id="63"/>
      <w:bookmarkEnd w:id="64"/>
    </w:p>
    <w:p w14:paraId="02B0C9D8"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The integration of the Donabedian model and Lean principles provides a comprehensive theoretical foundation for this study. While the Donabedian model explains the relationship between structure, process, and outcome, Lean management offers practical approaches to identifying and reducing inefficiencies.</w:t>
      </w:r>
    </w:p>
    <w:p w14:paraId="533C06FC" w14:textId="77777777" w:rsidR="00FA5609" w:rsidRPr="00FA5609" w:rsidRDefault="00FA5609" w:rsidP="00FA5609">
      <w:pPr>
        <w:bidi w:val="0"/>
        <w:spacing w:before="100" w:beforeAutospacing="1" w:after="100" w:afterAutospacing="1" w:line="240" w:lineRule="auto"/>
        <w:rPr>
          <w:rFonts w:asciiTheme="majorBidi" w:eastAsia="Times New Roman" w:hAnsiTheme="majorBidi" w:cstheme="majorBidi"/>
          <w:kern w:val="0"/>
          <w:sz w:val="24"/>
          <w:szCs w:val="24"/>
          <w14:ligatures w14:val="none"/>
        </w:rPr>
      </w:pPr>
      <w:r w:rsidRPr="00FA5609">
        <w:rPr>
          <w:rFonts w:asciiTheme="majorBidi" w:eastAsia="Times New Roman" w:hAnsiTheme="majorBidi" w:cstheme="majorBidi"/>
          <w:kern w:val="0"/>
          <w:sz w:val="24"/>
          <w:szCs w:val="24"/>
          <w14:ligatures w14:val="none"/>
        </w:rPr>
        <w:t>Together, these frameworks support a structured and systematic evaluation of laboratory turnaround time and guide the interpretation of findings in relation to operational performance and quality improvement.</w:t>
      </w:r>
    </w:p>
    <w:p w14:paraId="3D346AF5" w14:textId="77777777" w:rsidR="00F925D0" w:rsidRPr="00FA5609" w:rsidRDefault="00F925D0" w:rsidP="00E0699A">
      <w:pPr>
        <w:bidi w:val="0"/>
        <w:spacing w:line="360" w:lineRule="auto"/>
        <w:rPr>
          <w:rFonts w:asciiTheme="majorBidi" w:hAnsiTheme="majorBidi" w:cstheme="majorBidi"/>
          <w:sz w:val="24"/>
          <w:szCs w:val="24"/>
          <w:u w:val="single"/>
          <w:rtl/>
        </w:rPr>
      </w:pPr>
    </w:p>
    <w:p w14:paraId="2AAD8009" w14:textId="77777777" w:rsidR="00F925D0" w:rsidRPr="00E0699A" w:rsidRDefault="00F925D0" w:rsidP="00E0699A">
      <w:pPr>
        <w:spacing w:line="360" w:lineRule="auto"/>
        <w:rPr>
          <w:rFonts w:asciiTheme="majorBidi" w:hAnsiTheme="majorBidi" w:cstheme="majorBidi"/>
          <w:sz w:val="24"/>
          <w:szCs w:val="24"/>
          <w:u w:val="single"/>
          <w:rtl/>
        </w:rPr>
      </w:pPr>
    </w:p>
    <w:p w14:paraId="3B1C3E62" w14:textId="77777777" w:rsidR="00F925D0" w:rsidRDefault="00F925D0" w:rsidP="00E0699A">
      <w:pPr>
        <w:spacing w:line="360" w:lineRule="auto"/>
        <w:rPr>
          <w:rFonts w:asciiTheme="majorBidi" w:hAnsiTheme="majorBidi" w:cstheme="majorBidi"/>
          <w:sz w:val="24"/>
          <w:szCs w:val="24"/>
          <w:u w:val="single"/>
          <w:rtl/>
        </w:rPr>
      </w:pPr>
    </w:p>
    <w:p w14:paraId="1E902C81" w14:textId="77777777" w:rsidR="00987FB2" w:rsidRDefault="00987FB2" w:rsidP="00E0699A">
      <w:pPr>
        <w:spacing w:line="360" w:lineRule="auto"/>
        <w:rPr>
          <w:rFonts w:asciiTheme="majorBidi" w:hAnsiTheme="majorBidi" w:cstheme="majorBidi"/>
          <w:sz w:val="24"/>
          <w:szCs w:val="24"/>
          <w:u w:val="single"/>
          <w:rtl/>
        </w:rPr>
      </w:pPr>
    </w:p>
    <w:p w14:paraId="7AF46B44" w14:textId="77777777" w:rsidR="00987FB2" w:rsidRDefault="00987FB2" w:rsidP="00E0699A">
      <w:pPr>
        <w:spacing w:line="360" w:lineRule="auto"/>
        <w:rPr>
          <w:rFonts w:asciiTheme="majorBidi" w:hAnsiTheme="majorBidi" w:cstheme="majorBidi"/>
          <w:sz w:val="24"/>
          <w:szCs w:val="24"/>
          <w:u w:val="single"/>
          <w:rtl/>
        </w:rPr>
      </w:pPr>
    </w:p>
    <w:p w14:paraId="33ABFF96" w14:textId="77777777" w:rsidR="00987FB2" w:rsidRDefault="00987FB2" w:rsidP="00E0699A">
      <w:pPr>
        <w:spacing w:line="360" w:lineRule="auto"/>
        <w:rPr>
          <w:rFonts w:asciiTheme="majorBidi" w:hAnsiTheme="majorBidi" w:cstheme="majorBidi"/>
          <w:sz w:val="24"/>
          <w:szCs w:val="24"/>
          <w:u w:val="single"/>
          <w:rtl/>
        </w:rPr>
      </w:pPr>
    </w:p>
    <w:p w14:paraId="027BF7A7" w14:textId="77777777" w:rsidR="00987FB2" w:rsidRDefault="00987FB2" w:rsidP="00E0699A">
      <w:pPr>
        <w:spacing w:line="360" w:lineRule="auto"/>
        <w:rPr>
          <w:rFonts w:asciiTheme="majorBidi" w:hAnsiTheme="majorBidi" w:cstheme="majorBidi"/>
          <w:sz w:val="24"/>
          <w:szCs w:val="24"/>
          <w:u w:val="single"/>
          <w:rtl/>
        </w:rPr>
      </w:pPr>
    </w:p>
    <w:p w14:paraId="51555229" w14:textId="77777777" w:rsidR="00987FB2" w:rsidRDefault="00987FB2" w:rsidP="00E0699A">
      <w:pPr>
        <w:spacing w:line="360" w:lineRule="auto"/>
        <w:rPr>
          <w:rFonts w:asciiTheme="majorBidi" w:hAnsiTheme="majorBidi" w:cstheme="majorBidi"/>
          <w:sz w:val="24"/>
          <w:szCs w:val="24"/>
          <w:u w:val="single"/>
          <w:rtl/>
        </w:rPr>
      </w:pPr>
    </w:p>
    <w:p w14:paraId="4BA95631" w14:textId="77777777" w:rsidR="00987FB2" w:rsidRDefault="00987FB2" w:rsidP="00E0699A">
      <w:pPr>
        <w:spacing w:line="360" w:lineRule="auto"/>
        <w:rPr>
          <w:rFonts w:asciiTheme="majorBidi" w:hAnsiTheme="majorBidi" w:cstheme="majorBidi"/>
          <w:sz w:val="24"/>
          <w:szCs w:val="24"/>
          <w:u w:val="single"/>
          <w:rtl/>
        </w:rPr>
      </w:pPr>
    </w:p>
    <w:p w14:paraId="06874003" w14:textId="77777777" w:rsidR="00987FB2" w:rsidRDefault="00987FB2" w:rsidP="00E0699A">
      <w:pPr>
        <w:spacing w:line="360" w:lineRule="auto"/>
        <w:rPr>
          <w:rFonts w:asciiTheme="majorBidi" w:hAnsiTheme="majorBidi" w:cstheme="majorBidi"/>
          <w:sz w:val="24"/>
          <w:szCs w:val="24"/>
          <w:u w:val="single"/>
          <w:rtl/>
        </w:rPr>
      </w:pPr>
    </w:p>
    <w:p w14:paraId="1F7CBDA4" w14:textId="77777777" w:rsidR="00987FB2" w:rsidRDefault="00987FB2" w:rsidP="00E0699A">
      <w:pPr>
        <w:spacing w:line="360" w:lineRule="auto"/>
        <w:rPr>
          <w:rFonts w:asciiTheme="majorBidi" w:hAnsiTheme="majorBidi" w:cstheme="majorBidi"/>
          <w:sz w:val="24"/>
          <w:szCs w:val="24"/>
          <w:u w:val="single"/>
          <w:rtl/>
        </w:rPr>
      </w:pPr>
    </w:p>
    <w:p w14:paraId="546C1172" w14:textId="77777777" w:rsidR="00987FB2" w:rsidRDefault="00987FB2" w:rsidP="00E0699A">
      <w:pPr>
        <w:spacing w:line="360" w:lineRule="auto"/>
        <w:rPr>
          <w:rFonts w:asciiTheme="majorBidi" w:hAnsiTheme="majorBidi" w:cstheme="majorBidi"/>
          <w:sz w:val="24"/>
          <w:szCs w:val="24"/>
          <w:u w:val="single"/>
          <w:rtl/>
        </w:rPr>
      </w:pPr>
    </w:p>
    <w:p w14:paraId="284C6A79" w14:textId="77777777" w:rsidR="00987FB2" w:rsidRDefault="00987FB2" w:rsidP="00E0699A">
      <w:pPr>
        <w:spacing w:line="360" w:lineRule="auto"/>
        <w:rPr>
          <w:rFonts w:asciiTheme="majorBidi" w:hAnsiTheme="majorBidi" w:cstheme="majorBidi"/>
          <w:sz w:val="24"/>
          <w:szCs w:val="24"/>
          <w:u w:val="single"/>
          <w:rtl/>
        </w:rPr>
      </w:pPr>
    </w:p>
    <w:p w14:paraId="33124B3B" w14:textId="77777777" w:rsidR="00987FB2" w:rsidRDefault="00987FB2" w:rsidP="00E0699A">
      <w:pPr>
        <w:spacing w:line="360" w:lineRule="auto"/>
        <w:rPr>
          <w:rFonts w:asciiTheme="majorBidi" w:hAnsiTheme="majorBidi" w:cstheme="majorBidi"/>
          <w:sz w:val="24"/>
          <w:szCs w:val="24"/>
          <w:u w:val="single"/>
          <w:rtl/>
        </w:rPr>
      </w:pPr>
    </w:p>
    <w:p w14:paraId="383FD305" w14:textId="77777777" w:rsidR="00987FB2" w:rsidRDefault="00987FB2" w:rsidP="00E0699A">
      <w:pPr>
        <w:spacing w:line="360" w:lineRule="auto"/>
        <w:rPr>
          <w:rFonts w:asciiTheme="majorBidi" w:hAnsiTheme="majorBidi" w:cstheme="majorBidi"/>
          <w:sz w:val="24"/>
          <w:szCs w:val="24"/>
          <w:u w:val="single"/>
          <w:rtl/>
        </w:rPr>
      </w:pPr>
    </w:p>
    <w:p w14:paraId="26FE5DBE" w14:textId="77777777" w:rsidR="00987FB2" w:rsidRDefault="00987FB2" w:rsidP="00E0699A">
      <w:pPr>
        <w:spacing w:line="360" w:lineRule="auto"/>
        <w:rPr>
          <w:rFonts w:asciiTheme="majorBidi" w:hAnsiTheme="majorBidi" w:cstheme="majorBidi"/>
          <w:sz w:val="24"/>
          <w:szCs w:val="24"/>
          <w:u w:val="single"/>
          <w:rtl/>
        </w:rPr>
      </w:pPr>
    </w:p>
    <w:p w14:paraId="65698E37" w14:textId="77777777" w:rsidR="00987FB2" w:rsidRDefault="00987FB2" w:rsidP="00E0699A">
      <w:pPr>
        <w:spacing w:line="360" w:lineRule="auto"/>
        <w:rPr>
          <w:rFonts w:asciiTheme="majorBidi" w:hAnsiTheme="majorBidi" w:cstheme="majorBidi"/>
          <w:sz w:val="24"/>
          <w:szCs w:val="24"/>
          <w:u w:val="single"/>
          <w:rtl/>
        </w:rPr>
      </w:pPr>
    </w:p>
    <w:p w14:paraId="16C776FE" w14:textId="77777777" w:rsidR="00987FB2" w:rsidRDefault="00987FB2" w:rsidP="00E0699A">
      <w:pPr>
        <w:spacing w:line="360" w:lineRule="auto"/>
        <w:rPr>
          <w:rFonts w:asciiTheme="majorBidi" w:hAnsiTheme="majorBidi" w:cstheme="majorBidi"/>
          <w:sz w:val="24"/>
          <w:szCs w:val="24"/>
          <w:u w:val="single"/>
          <w:rtl/>
        </w:rPr>
      </w:pPr>
    </w:p>
    <w:p w14:paraId="3BF72FEA" w14:textId="77777777" w:rsidR="004362E2" w:rsidRDefault="004362E2" w:rsidP="004362E2">
      <w:pPr>
        <w:bidi w:val="0"/>
        <w:spacing w:before="100" w:beforeAutospacing="1" w:after="100" w:afterAutospacing="1" w:line="240" w:lineRule="auto"/>
        <w:outlineLvl w:val="0"/>
        <w:rPr>
          <w:rFonts w:ascii="Times New Roman" w:eastAsia="Times New Roman" w:hAnsi="Times New Roman" w:cs="Times New Roman"/>
          <w:b/>
          <w:bCs/>
          <w:kern w:val="36"/>
          <w:sz w:val="32"/>
          <w:szCs w:val="32"/>
          <w14:ligatures w14:val="none"/>
        </w:rPr>
      </w:pPr>
      <w:bookmarkStart w:id="65" w:name="_Toc224849024"/>
      <w:bookmarkStart w:id="66" w:name="_Toc224849140"/>
      <w:bookmarkStart w:id="67" w:name="_Toc224850314"/>
    </w:p>
    <w:p w14:paraId="479FD0A9" w14:textId="77777777" w:rsidR="00323EE2" w:rsidRPr="00323EE2" w:rsidRDefault="00323EE2" w:rsidP="00323EE2">
      <w:pPr>
        <w:bidi w:val="0"/>
        <w:spacing w:before="100" w:beforeAutospacing="1" w:after="100" w:afterAutospacing="1" w:line="360" w:lineRule="auto"/>
        <w:outlineLvl w:val="0"/>
        <w:rPr>
          <w:rFonts w:asciiTheme="majorBidi" w:eastAsia="Times New Roman" w:hAnsiTheme="majorBidi" w:cstheme="majorBidi"/>
          <w:b/>
          <w:bCs/>
          <w:kern w:val="36"/>
          <w:sz w:val="32"/>
          <w:szCs w:val="32"/>
          <w14:ligatures w14:val="none"/>
        </w:rPr>
      </w:pPr>
      <w:bookmarkStart w:id="68" w:name="_Toc224854253"/>
      <w:bookmarkStart w:id="69" w:name="_Toc224849042"/>
      <w:bookmarkStart w:id="70" w:name="_Toc224849158"/>
      <w:bookmarkStart w:id="71" w:name="_Toc224850326"/>
      <w:bookmarkEnd w:id="65"/>
      <w:bookmarkEnd w:id="66"/>
      <w:bookmarkEnd w:id="67"/>
      <w:r w:rsidRPr="00323EE2">
        <w:rPr>
          <w:rFonts w:asciiTheme="majorBidi" w:eastAsia="Times New Roman" w:hAnsiTheme="majorBidi" w:cstheme="majorBidi"/>
          <w:b/>
          <w:bCs/>
          <w:kern w:val="36"/>
          <w:sz w:val="32"/>
          <w:szCs w:val="32"/>
          <w14:ligatures w14:val="none"/>
        </w:rPr>
        <w:t>Chapter 2: Literature Review</w:t>
      </w:r>
      <w:bookmarkEnd w:id="68"/>
    </w:p>
    <w:p w14:paraId="5914CB78"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72" w:name="_Toc224854254"/>
      <w:r w:rsidRPr="00323EE2">
        <w:rPr>
          <w:rFonts w:asciiTheme="majorBidi" w:eastAsia="Times New Roman" w:hAnsiTheme="majorBidi" w:cstheme="majorBidi"/>
          <w:b/>
          <w:bCs/>
          <w:kern w:val="0"/>
          <w:sz w:val="28"/>
          <w:szCs w:val="28"/>
          <w14:ligatures w14:val="none"/>
        </w:rPr>
        <w:t>2.1 Definition and Importance of Turnaround Time</w:t>
      </w:r>
      <w:bookmarkEnd w:id="72"/>
    </w:p>
    <w:p w14:paraId="0DCE9FE6"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Turnaround Time (TAT) is one of the most widely used indicators for evaluating laboratory performance and service quality. Although its exact definition may vary slightly across institutions, TAT generally refers to the time interval from test request or sample collection to the availability of verified results. Regardless of the specific definition adopted, TAT reflects the responsiveness and efficiency of laboratory services and is closely associated with clinician satisfaction and perceived service quality (Steindel &amp; Howanitz, 2001).</w:t>
      </w:r>
    </w:p>
    <w:p w14:paraId="4AD90435"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TAT is particularly important in clinical practice because delays in laboratory results can lead to delayed diagnosis, prolonged patient management, and inefficiencies in healthcare delivery. Timely laboratory reporting supports faster clinical decision-making, improved patient flow, and better utilization of healthcare resources. This importance has been highlighted not only in hospital-based emergency settings but also in broader laboratory performance improvement efforts (Fernandes et al., 2004; Jalili et al., 2012; Khalifa, 2019).</w:t>
      </w:r>
    </w:p>
    <w:p w14:paraId="0283544D"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73" w:name="_Toc224854255"/>
      <w:r w:rsidRPr="00323EE2">
        <w:rPr>
          <w:rFonts w:asciiTheme="majorBidi" w:eastAsia="Times New Roman" w:hAnsiTheme="majorBidi" w:cstheme="majorBidi"/>
          <w:b/>
          <w:bCs/>
          <w:kern w:val="0"/>
          <w:sz w:val="28"/>
          <w:szCs w:val="28"/>
          <w14:ligatures w14:val="none"/>
        </w:rPr>
        <w:t>2.2 Phases of the Total Testing Process</w:t>
      </w:r>
      <w:bookmarkEnd w:id="73"/>
    </w:p>
    <w:p w14:paraId="0345C8CC"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The total testing process is commonly divided into three main phases: the pre-analytical phase, the analytical phase, and the post-analytical phase. Each phase contributes differently to overall turnaround time and may be affected by distinct operational challenges (Donabedian, 1988; Howanitz et al., 1992).</w:t>
      </w:r>
    </w:p>
    <w:p w14:paraId="2734DDC8" w14:textId="77777777" w:rsidR="00323EE2" w:rsidRPr="00323EE2" w:rsidRDefault="00323EE2" w:rsidP="00323EE2">
      <w:pPr>
        <w:bidi w:val="0"/>
        <w:spacing w:before="100" w:beforeAutospacing="1" w:after="100" w:afterAutospacing="1" w:line="360" w:lineRule="auto"/>
        <w:outlineLvl w:val="2"/>
        <w:rPr>
          <w:rFonts w:asciiTheme="majorBidi" w:eastAsia="Times New Roman" w:hAnsiTheme="majorBidi" w:cstheme="majorBidi"/>
          <w:b/>
          <w:bCs/>
          <w:kern w:val="0"/>
          <w:sz w:val="24"/>
          <w:szCs w:val="24"/>
          <w14:ligatures w14:val="none"/>
        </w:rPr>
      </w:pPr>
      <w:bookmarkStart w:id="74" w:name="_Toc224854256"/>
      <w:r w:rsidRPr="00323EE2">
        <w:rPr>
          <w:rFonts w:asciiTheme="majorBidi" w:eastAsia="Times New Roman" w:hAnsiTheme="majorBidi" w:cstheme="majorBidi"/>
          <w:b/>
          <w:bCs/>
          <w:kern w:val="0"/>
          <w:sz w:val="24"/>
          <w:szCs w:val="24"/>
          <w14:ligatures w14:val="none"/>
        </w:rPr>
        <w:t>2.2.1 Pre-Analytical Phase</w:t>
      </w:r>
      <w:bookmarkEnd w:id="74"/>
    </w:p>
    <w:p w14:paraId="322CF774"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The pre-analytical phase includes all steps from test ordering to sample readiness for analysis, including sample collection, labeling, transportation, and registration in the laboratory information system (LIS). Numerous studies have shown that the pre-analytical phase is the most significant source of laboratory delays and errors (Howanitz et al., 1992; Steindel &amp; Howanitz, 2001; Meena et al., 2019).</w:t>
      </w:r>
    </w:p>
    <w:p w14:paraId="021DD903"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lastRenderedPageBreak/>
        <w:t>Delays in this phase may arise from improper sample handling, labeling errors, inefficient communication, and transportation-related problems. Transport time is especially critical in laboratories that receive samples from external locations. In such settings, long distances, fixed courier schedules, and batching of samples before transport can substantially prolong turnaround time. Previous studies have demonstrated that transport delays may account for a substantial proportion of total TAT, particularly in decentralized laboratory systems (Fernandes et al., 1997; Meena et al., 2019; Dawande et al., 2022).</w:t>
      </w:r>
    </w:p>
    <w:p w14:paraId="4E1B0096" w14:textId="77777777" w:rsidR="00323EE2" w:rsidRPr="00323EE2" w:rsidRDefault="00323EE2" w:rsidP="00323EE2">
      <w:pPr>
        <w:bidi w:val="0"/>
        <w:spacing w:before="100" w:beforeAutospacing="1" w:after="100" w:afterAutospacing="1" w:line="360" w:lineRule="auto"/>
        <w:outlineLvl w:val="2"/>
        <w:rPr>
          <w:rFonts w:asciiTheme="majorBidi" w:eastAsia="Times New Roman" w:hAnsiTheme="majorBidi" w:cstheme="majorBidi"/>
          <w:b/>
          <w:bCs/>
          <w:kern w:val="0"/>
          <w:sz w:val="24"/>
          <w:szCs w:val="24"/>
          <w14:ligatures w14:val="none"/>
        </w:rPr>
      </w:pPr>
      <w:bookmarkStart w:id="75" w:name="_Toc224854257"/>
      <w:r w:rsidRPr="00323EE2">
        <w:rPr>
          <w:rFonts w:asciiTheme="majorBidi" w:eastAsia="Times New Roman" w:hAnsiTheme="majorBidi" w:cstheme="majorBidi"/>
          <w:b/>
          <w:bCs/>
          <w:kern w:val="0"/>
          <w:sz w:val="24"/>
          <w:szCs w:val="24"/>
          <w14:ligatures w14:val="none"/>
        </w:rPr>
        <w:t>2.2.2 Analytical Phase</w:t>
      </w:r>
      <w:bookmarkEnd w:id="75"/>
    </w:p>
    <w:p w14:paraId="7CF252AF"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The analytical phase involves the actual testing of samples using automated or manual laboratory methods. Advances in laboratory automation have made analytical times for many routine tests relatively short and consistent. However, delays may still occur because of instrument downtime, maintenance issues, reagent shortages, or quality control procedures (Inal et al., 2017; Khalifa, 2019).</w:t>
      </w:r>
    </w:p>
    <w:p w14:paraId="775AEC65"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Batch processing is another important factor during the analytical phase, especially in molecular diagnostics and specialized testing. When samples must be accumulated before analysis, waiting time increases, which can extend overall TAT. Studies have shown that improving workflow design, optimizing instrument utilization, and reducing unnecessary batching can reduce delays and improve laboratory performance (Inal et al., 2017; Bhatt et al., 2019).</w:t>
      </w:r>
    </w:p>
    <w:p w14:paraId="762BE363" w14:textId="77777777" w:rsidR="00323EE2" w:rsidRPr="00323EE2" w:rsidRDefault="00323EE2" w:rsidP="00323EE2">
      <w:pPr>
        <w:bidi w:val="0"/>
        <w:spacing w:before="100" w:beforeAutospacing="1" w:after="100" w:afterAutospacing="1" w:line="360" w:lineRule="auto"/>
        <w:outlineLvl w:val="2"/>
        <w:rPr>
          <w:rFonts w:asciiTheme="majorBidi" w:eastAsia="Times New Roman" w:hAnsiTheme="majorBidi" w:cstheme="majorBidi"/>
          <w:b/>
          <w:bCs/>
          <w:kern w:val="0"/>
          <w:sz w:val="24"/>
          <w:szCs w:val="24"/>
          <w14:ligatures w14:val="none"/>
        </w:rPr>
      </w:pPr>
      <w:bookmarkStart w:id="76" w:name="_Toc224854258"/>
      <w:r w:rsidRPr="00323EE2">
        <w:rPr>
          <w:rFonts w:asciiTheme="majorBidi" w:eastAsia="Times New Roman" w:hAnsiTheme="majorBidi" w:cstheme="majorBidi"/>
          <w:b/>
          <w:bCs/>
          <w:kern w:val="0"/>
          <w:sz w:val="24"/>
          <w:szCs w:val="24"/>
          <w14:ligatures w14:val="none"/>
        </w:rPr>
        <w:t>2.2.3 Post-Analytical Phase</w:t>
      </w:r>
      <w:bookmarkEnd w:id="76"/>
    </w:p>
    <w:p w14:paraId="0CBF412F"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The post-analytical phase includes result verification, reporting, and communication with clinicians. Although this phase often contributes less to total delay than the pre-analytical phase, inefficiencies such as manual review processes, lack of auto-verification systems, and poor communication can still affect final turnaround time (Fernandes et al., 2004; Khalifa, 2019).</w:t>
      </w:r>
    </w:p>
    <w:p w14:paraId="20345110"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77" w:name="_Toc224854259"/>
      <w:r w:rsidRPr="00323EE2">
        <w:rPr>
          <w:rFonts w:asciiTheme="majorBidi" w:eastAsia="Times New Roman" w:hAnsiTheme="majorBidi" w:cstheme="majorBidi"/>
          <w:b/>
          <w:bCs/>
          <w:kern w:val="0"/>
          <w:sz w:val="28"/>
          <w:szCs w:val="28"/>
          <w14:ligatures w14:val="none"/>
        </w:rPr>
        <w:t>2.3 Factors Affecting Turnaround Time</w:t>
      </w:r>
      <w:bookmarkEnd w:id="77"/>
    </w:p>
    <w:p w14:paraId="12169401"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 xml:space="preserve">Several factors have been identified as influencing TAT across different laboratory settings. Transport time is consistently reported as a major contributor to delays, particularly in laboratories receiving samples from multiple external sources. Long transport distances, </w:t>
      </w:r>
      <w:r w:rsidRPr="00323EE2">
        <w:rPr>
          <w:rFonts w:asciiTheme="majorBidi" w:eastAsia="Times New Roman" w:hAnsiTheme="majorBidi" w:cstheme="majorBidi"/>
          <w:kern w:val="0"/>
          <w:sz w:val="24"/>
          <w:szCs w:val="24"/>
          <w14:ligatures w14:val="none"/>
        </w:rPr>
        <w:lastRenderedPageBreak/>
        <w:t>infrequent courier schedules, and delayed sample dispatch practices can significantly increase turnaround time (Fernandes et al., 1997; Meena et al., 2019; Dawande et al., 2022).</w:t>
      </w:r>
    </w:p>
    <w:p w14:paraId="07389EE4"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Batch processing is another important factor, especially for specialized and molecular tests. While batching improves resource utilization and reduces reagent waste, it introduces waiting time before analysis, which can increase both mean TAT and variability (Inal et al., 2017; Dawande et al., 2022).</w:t>
      </w:r>
    </w:p>
    <w:p w14:paraId="223450F8"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Test type also plays a major role. Routine automated tests generally have shorter turnaround times, whereas complex or specialized tests often require more extensive preparation, processing, and review, which can prolong TAT (Steindel &amp; Howanitz, 2001; Khalifa, 2019).</w:t>
      </w:r>
    </w:p>
    <w:p w14:paraId="4C130027"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78" w:name="_Toc224854260"/>
      <w:r w:rsidRPr="00323EE2">
        <w:rPr>
          <w:rFonts w:asciiTheme="majorBidi" w:eastAsia="Times New Roman" w:hAnsiTheme="majorBidi" w:cstheme="majorBidi"/>
          <w:b/>
          <w:bCs/>
          <w:kern w:val="0"/>
          <w:sz w:val="28"/>
          <w:szCs w:val="28"/>
          <w14:ligatures w14:val="none"/>
        </w:rPr>
        <w:t>2.4 Operational and Organizational Factors</w:t>
      </w:r>
      <w:bookmarkEnd w:id="78"/>
    </w:p>
    <w:p w14:paraId="0FF9ABA4"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Operational and organizational factors such as workflow design, process standardization, staffing coordination, and communication between units also influence turnaround time. Inefficient workflows, unclear prioritization rules, and poor coordination between sample collection and laboratory processing can create delays even when analytical systems are functioning properly (Bhatt et al., 2019; Khalifa, 2019; Dawande et al., 2022).</w:t>
      </w:r>
    </w:p>
    <w:p w14:paraId="783A7363"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In private laboratory settings, these operational challenges are often intensified by variability in sample arrival times and dependence on external collection systems. This makes the optimization of both transport logistics and internal workflow especially important (Khalifa, 2019; Dawande et al., 2022).</w:t>
      </w:r>
    </w:p>
    <w:p w14:paraId="7569A1BC"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79" w:name="_Toc224854261"/>
      <w:r w:rsidRPr="00323EE2">
        <w:rPr>
          <w:rFonts w:asciiTheme="majorBidi" w:eastAsia="Times New Roman" w:hAnsiTheme="majorBidi" w:cstheme="majorBidi"/>
          <w:b/>
          <w:bCs/>
          <w:kern w:val="0"/>
          <w:sz w:val="28"/>
          <w:szCs w:val="28"/>
          <w14:ligatures w14:val="none"/>
        </w:rPr>
        <w:t>2.5 Quality Improvement Approaches: Lean and Six Sigma</w:t>
      </w:r>
      <w:bookmarkEnd w:id="79"/>
    </w:p>
    <w:p w14:paraId="706EA467"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To address challenges in turnaround time, many laboratories have adopted Lean and Six Sigma methodologies. Lean focuses on eliminating waste and improving process flow, whereas Six Sigma aims to reduce variability and defects. Together, these approaches provide structured methods for identifying bottlenecks and improving service efficiency (Inal et al., 2017; Bhatt et al., 2019).</w:t>
      </w:r>
    </w:p>
    <w:p w14:paraId="5FA5EE0A"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lastRenderedPageBreak/>
        <w:t>Studies have shown that applying Lean principles in laboratory workflows can significantly reduce turnaround time by improving efficiency, reducing waiting times, and optimizing resource utilization. Common interventions include process mapping, workflow redesign, improved sample tracking, reduction of batching delays, and better communication between operational units (Inal et al., 2017; Bhatt et al., 2019; Khalifa, 2019).</w:t>
      </w:r>
    </w:p>
    <w:p w14:paraId="7BA9E1C0"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80" w:name="_Toc224854262"/>
      <w:r w:rsidRPr="00323EE2">
        <w:rPr>
          <w:rFonts w:asciiTheme="majorBidi" w:eastAsia="Times New Roman" w:hAnsiTheme="majorBidi" w:cstheme="majorBidi"/>
          <w:b/>
          <w:bCs/>
          <w:kern w:val="0"/>
          <w:sz w:val="28"/>
          <w:szCs w:val="28"/>
          <w14:ligatures w14:val="none"/>
        </w:rPr>
        <w:t>2.6 Conceptual and Theoretical Models</w:t>
      </w:r>
      <w:bookmarkEnd w:id="80"/>
    </w:p>
    <w:p w14:paraId="3F468713"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The Donabedian Structure–Process–Outcome (SPO) model provides a comprehensive framework for understanding healthcare quality. According to this model, outcomes are influenced by both structural and process-related factors (Donabedian, 1988).</w:t>
      </w:r>
    </w:p>
    <w:p w14:paraId="0FB8B55A"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In the context of laboratory TAT, structure includes laboratory infrastructure, staffing, equipment, and information systems. Process includes sample transportation, analytical workflow, and result reporting. Outcome is represented by turnaround time itself. This framework is useful for understanding how operational systems and workflow characteristics influence laboratory performance (Donabedian, 1988; Khalifa, 2019).</w:t>
      </w:r>
    </w:p>
    <w:p w14:paraId="3C12022E"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81" w:name="_Toc224854263"/>
      <w:r w:rsidRPr="00323EE2">
        <w:rPr>
          <w:rFonts w:asciiTheme="majorBidi" w:eastAsia="Times New Roman" w:hAnsiTheme="majorBidi" w:cstheme="majorBidi"/>
          <w:b/>
          <w:bCs/>
          <w:kern w:val="0"/>
          <w:sz w:val="28"/>
          <w:szCs w:val="28"/>
          <w14:ligatures w14:val="none"/>
        </w:rPr>
        <w:t>2.7 Transport Logistics and External Sample Sources</w:t>
      </w:r>
      <w:bookmarkEnd w:id="81"/>
    </w:p>
    <w:p w14:paraId="19EA794D"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Transport logistics play a critical role in determining laboratory turnaround time, particularly in private diagnostic laboratories that receive samples from multiple external locations. Unlike hospital-based laboratories, where samples are often collected and processed within the same facility, private laboratories rely heavily on transportation systems to receive specimens from hospitals, clinics, and remote collection sites (Fernandes et al., 1997; Dawande et al., 2022).</w:t>
      </w:r>
    </w:p>
    <w:p w14:paraId="533C499A"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Several studies have identified transport time as a major contributor to total TAT, especially in decentralized laboratory networks. Delays may arise due to long travel distances, traffic conditions, limited courier availability, and fixed dispatch schedules. In many settings, samples are not transported immediately after collection but are instead accumulated and sent in batches, further increasing delay (Fernandes et al., 1997; Meena et al., 2019; Dawande et al., 2022).</w:t>
      </w:r>
    </w:p>
    <w:p w14:paraId="4AE06F7D"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lastRenderedPageBreak/>
        <w:t>Research has shown that pre-analytical transport delays can account for a substantial proportion of total turnaround time, in some cases exceeding the time spent in the analytical phase. This is especially relevant in laboratories serving geographically dispersed clients, where variation in transport time contributes to inconsistency in TAT performance (Howanitz et al., 1992; Fernandes et al., 1997; Dawande et al., 2022).</w:t>
      </w:r>
    </w:p>
    <w:p w14:paraId="1F21E062"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82" w:name="_Toc224854264"/>
      <w:r w:rsidRPr="00323EE2">
        <w:rPr>
          <w:rFonts w:asciiTheme="majorBidi" w:eastAsia="Times New Roman" w:hAnsiTheme="majorBidi" w:cstheme="majorBidi"/>
          <w:b/>
          <w:bCs/>
          <w:kern w:val="0"/>
          <w:sz w:val="28"/>
          <w:szCs w:val="28"/>
          <w14:ligatures w14:val="none"/>
        </w:rPr>
        <w:t>2.8 Impact of Batch Processing on Turnaround Time</w:t>
      </w:r>
      <w:bookmarkEnd w:id="82"/>
    </w:p>
    <w:p w14:paraId="71A9DE80"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Batch processing is a common practice in laboratory operations, particularly for specialized and molecular tests such as nucleic acid testing (NAT) and STD panels. In batch processing, samples are accumulated over a period of time and processed together rather than being analyzed individually as they arrive.</w:t>
      </w:r>
    </w:p>
    <w:p w14:paraId="1CC9B89B"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While batching can improve resource utilization and reduce reagent waste, it introduces an inherent waiting period because samples must wait until a sufficient number has accumulated before testing begins. This waiting period can significantly increase both average turnaround time and its variability (Inal et al., 2017; Dawande et al., 2022).</w:t>
      </w:r>
    </w:p>
    <w:p w14:paraId="01BBDF90"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Studies have shown that batch processing is associated with longer turnaround times than continuous or random-access testing systems. This effect is particularly pronounced in low-volume settings, where more time may be required to accumulate a workable number of samples (Inal et al., 2017; Khalifa, 2019).</w:t>
      </w:r>
    </w:p>
    <w:p w14:paraId="1F7C5535"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83" w:name="_Toc224854265"/>
      <w:r w:rsidRPr="00323EE2">
        <w:rPr>
          <w:rFonts w:asciiTheme="majorBidi" w:eastAsia="Times New Roman" w:hAnsiTheme="majorBidi" w:cstheme="majorBidi"/>
          <w:b/>
          <w:bCs/>
          <w:kern w:val="0"/>
          <w:sz w:val="28"/>
          <w:szCs w:val="28"/>
          <w14:ligatures w14:val="none"/>
        </w:rPr>
        <w:t>2.9 Variability in Turnaround Time and the Role of Statistical Measures</w:t>
      </w:r>
      <w:bookmarkEnd w:id="83"/>
    </w:p>
    <w:p w14:paraId="7FDD8714"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Turnaround time is not a fixed value but a variable measure that can fluctuate considerably depending on operational and logistical conditions. For this reason, relying solely on mean TAT may not provide a complete picture of laboratory performance.</w:t>
      </w:r>
    </w:p>
    <w:p w14:paraId="7093FD47"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Several studies have emphasized the importance of using additional statistical measures, such as median, standard deviation, and range, when evaluating TAT distribution. High standard deviation values indicate variability in performance, while large differences between mean and median suggest the presence of outliers (Steindel &amp; Howanitz, 2001; Dawande et al., 2022).</w:t>
      </w:r>
    </w:p>
    <w:p w14:paraId="78688619"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lastRenderedPageBreak/>
        <w:t>Outliers in TAT data often reflect cases of substantial delay and may be linked to transport issues, batching effects, or workflow interruptions. Their analysis is therefore important for identifying the root causes of inefficiency and for evaluating the consistency of laboratory performance (Bhatt et al., 2019; Dawande et al., 2022).</w:t>
      </w:r>
    </w:p>
    <w:p w14:paraId="5CED7048"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84" w:name="_Toc224854266"/>
      <w:r w:rsidRPr="00323EE2">
        <w:rPr>
          <w:rFonts w:asciiTheme="majorBidi" w:eastAsia="Times New Roman" w:hAnsiTheme="majorBidi" w:cstheme="majorBidi"/>
          <w:b/>
          <w:bCs/>
          <w:kern w:val="0"/>
          <w:sz w:val="28"/>
          <w:szCs w:val="28"/>
          <w14:ligatures w14:val="none"/>
        </w:rPr>
        <w:t>2.10 Differences Between Private and Hospital Laboratories</w:t>
      </w:r>
      <w:bookmarkEnd w:id="84"/>
    </w:p>
    <w:p w14:paraId="1BF95619"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Most published studies on turnaround time focus on hospital-based laboratories, where sample collection, processing, and reporting occur within the same institution. However, private diagnostic laboratories operate under different conditions that can significantly affect TAT.</w:t>
      </w:r>
    </w:p>
    <w:p w14:paraId="4768ABB0"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Private laboratories often receive samples from multiple external sources, including hospitals, clinics, and independent collection centers. This creates additional complexity in transport logistics, increases variability in sample arrival times, and makes the laboratory more dependent on external workflows. Unlike hospital laboratories, where urgent samples may be prioritized according to clinical need, private laboratories may process samples according to workflow efficiency, dispatch schedules, or batching practices (Fernandes et al., 1997; Khalifa, 2019; Dawande et al., 2022).</w:t>
      </w:r>
    </w:p>
    <w:p w14:paraId="158F5808"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These differences highlight the importance of context-specific studies examining TAT in private diagnostic laboratories rather than relying only on hospital-based evidence.</w:t>
      </w:r>
    </w:p>
    <w:p w14:paraId="3730DD42" w14:textId="77777777" w:rsidR="00323EE2" w:rsidRPr="00323EE2" w:rsidRDefault="00323EE2" w:rsidP="00323EE2">
      <w:pPr>
        <w:bidi w:val="0"/>
        <w:spacing w:before="100" w:beforeAutospacing="1" w:after="100" w:afterAutospacing="1" w:line="360" w:lineRule="auto"/>
        <w:outlineLvl w:val="1"/>
        <w:rPr>
          <w:rFonts w:asciiTheme="majorBidi" w:eastAsia="Times New Roman" w:hAnsiTheme="majorBidi" w:cstheme="majorBidi"/>
          <w:b/>
          <w:bCs/>
          <w:kern w:val="0"/>
          <w:sz w:val="28"/>
          <w:szCs w:val="28"/>
          <w14:ligatures w14:val="none"/>
        </w:rPr>
      </w:pPr>
      <w:bookmarkStart w:id="85" w:name="_Toc224854267"/>
      <w:r w:rsidRPr="00323EE2">
        <w:rPr>
          <w:rFonts w:asciiTheme="majorBidi" w:eastAsia="Times New Roman" w:hAnsiTheme="majorBidi" w:cstheme="majorBidi"/>
          <w:b/>
          <w:bCs/>
          <w:kern w:val="0"/>
          <w:sz w:val="28"/>
          <w:szCs w:val="28"/>
          <w14:ligatures w14:val="none"/>
        </w:rPr>
        <w:t>2.11 Theoretical Framework of the Study</w:t>
      </w:r>
      <w:bookmarkEnd w:id="85"/>
    </w:p>
    <w:p w14:paraId="68A50936"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The theoretical foundation of this study is based on two complementary frameworks: Donabedian’s Structure–Process–Outcome (SPO) model and Lean management principles. Together, these frameworks provide a structured approach to understanding how operational and organizational factors influence laboratory turnaround time.</w:t>
      </w:r>
    </w:p>
    <w:p w14:paraId="1E5F4D76" w14:textId="77777777" w:rsidR="00323EE2" w:rsidRPr="00323EE2" w:rsidRDefault="00323EE2" w:rsidP="00323EE2">
      <w:pPr>
        <w:bidi w:val="0"/>
        <w:spacing w:before="100" w:beforeAutospacing="1" w:after="100" w:afterAutospacing="1" w:line="360" w:lineRule="auto"/>
        <w:outlineLvl w:val="2"/>
        <w:rPr>
          <w:rFonts w:asciiTheme="majorBidi" w:eastAsia="Times New Roman" w:hAnsiTheme="majorBidi" w:cstheme="majorBidi"/>
          <w:b/>
          <w:bCs/>
          <w:kern w:val="0"/>
          <w:sz w:val="24"/>
          <w:szCs w:val="24"/>
          <w14:ligatures w14:val="none"/>
        </w:rPr>
      </w:pPr>
      <w:bookmarkStart w:id="86" w:name="_Toc224854268"/>
      <w:r w:rsidRPr="00323EE2">
        <w:rPr>
          <w:rFonts w:asciiTheme="majorBidi" w:eastAsia="Times New Roman" w:hAnsiTheme="majorBidi" w:cstheme="majorBidi"/>
          <w:b/>
          <w:bCs/>
          <w:kern w:val="0"/>
          <w:sz w:val="24"/>
          <w:szCs w:val="24"/>
          <w14:ligatures w14:val="none"/>
        </w:rPr>
        <w:t>2.11.1 Donabedian’s Structure–Process–Outcome Model</w:t>
      </w:r>
      <w:bookmarkEnd w:id="86"/>
    </w:p>
    <w:p w14:paraId="492B7079"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The Donabedian model is one of the most widely used frameworks in healthcare quality assessment. It explains how outcomes are influenced by both structural and process-related factors (Donabedian, 1988).</w:t>
      </w:r>
    </w:p>
    <w:p w14:paraId="2286AC2C"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lastRenderedPageBreak/>
        <w:t>In the context of this study, structure refers to the organizational and operational setup of the private diagnostic laboratory, including its receipt of samples from multiple external sources, available infrastructure, and overall system design. Process includes the full testing cycle, including sample transportation, in-laboratory testing, and result reporting. Outcome is represented by turnaround time, including transport time, in-laboratory processing time, and total turnaround time. This model therefore provides a systematic framework for analyzing how transport logistics, workflow characteristics, and batch processing affect laboratory performance (Donabedian, 1988).</w:t>
      </w:r>
    </w:p>
    <w:p w14:paraId="2387E223" w14:textId="77777777" w:rsidR="00323EE2" w:rsidRPr="00323EE2" w:rsidRDefault="00323EE2" w:rsidP="00323EE2">
      <w:pPr>
        <w:bidi w:val="0"/>
        <w:spacing w:before="100" w:beforeAutospacing="1" w:after="100" w:afterAutospacing="1" w:line="360" w:lineRule="auto"/>
        <w:outlineLvl w:val="2"/>
        <w:rPr>
          <w:rFonts w:asciiTheme="majorBidi" w:eastAsia="Times New Roman" w:hAnsiTheme="majorBidi" w:cstheme="majorBidi"/>
          <w:b/>
          <w:bCs/>
          <w:kern w:val="0"/>
          <w:sz w:val="24"/>
          <w:szCs w:val="24"/>
          <w14:ligatures w14:val="none"/>
        </w:rPr>
      </w:pPr>
      <w:bookmarkStart w:id="87" w:name="_Toc224854269"/>
      <w:r w:rsidRPr="00323EE2">
        <w:rPr>
          <w:rFonts w:asciiTheme="majorBidi" w:eastAsia="Times New Roman" w:hAnsiTheme="majorBidi" w:cstheme="majorBidi"/>
          <w:b/>
          <w:bCs/>
          <w:kern w:val="0"/>
          <w:sz w:val="24"/>
          <w:szCs w:val="24"/>
          <w14:ligatures w14:val="none"/>
        </w:rPr>
        <w:t>2.11.2 Lean Management Principles</w:t>
      </w:r>
      <w:bookmarkEnd w:id="87"/>
    </w:p>
    <w:p w14:paraId="2EFB1D80"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Lean management focuses on maximizing value while minimizing waste within operational processes. In laboratory settings, inefficiencies that prolong turnaround time can be viewed as forms of process waste. These may include delays in sample transportation, waiting time due to batch processing, unnecessary sample movement, and workflow bottlenecks (Inal et al., 2017; Bhatt et al., 2019).</w:t>
      </w:r>
    </w:p>
    <w:p w14:paraId="72A78798"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Lean tools such as process mapping and workflow analysis help identify non-value-adding steps and areas of delay. By reducing inefficiencies and improving process flow, Lean management can support significant improvements in turnaround time and overall laboratory performance (Inal et al., 2017; Khalifa, 2019).</w:t>
      </w:r>
    </w:p>
    <w:p w14:paraId="2009D918" w14:textId="77777777" w:rsidR="00323EE2" w:rsidRPr="00323EE2" w:rsidRDefault="00323EE2" w:rsidP="00323EE2">
      <w:pPr>
        <w:bidi w:val="0"/>
        <w:spacing w:before="100" w:beforeAutospacing="1" w:after="100" w:afterAutospacing="1" w:line="360" w:lineRule="auto"/>
        <w:outlineLvl w:val="2"/>
        <w:rPr>
          <w:rFonts w:asciiTheme="majorBidi" w:eastAsia="Times New Roman" w:hAnsiTheme="majorBidi" w:cstheme="majorBidi"/>
          <w:b/>
          <w:bCs/>
          <w:kern w:val="0"/>
          <w:sz w:val="24"/>
          <w:szCs w:val="24"/>
          <w14:ligatures w14:val="none"/>
        </w:rPr>
      </w:pPr>
      <w:bookmarkStart w:id="88" w:name="_Toc224854270"/>
      <w:r w:rsidRPr="00323EE2">
        <w:rPr>
          <w:rFonts w:asciiTheme="majorBidi" w:eastAsia="Times New Roman" w:hAnsiTheme="majorBidi" w:cstheme="majorBidi"/>
          <w:b/>
          <w:bCs/>
          <w:kern w:val="0"/>
          <w:sz w:val="24"/>
          <w:szCs w:val="24"/>
          <w14:ligatures w14:val="none"/>
        </w:rPr>
        <w:t>2.11.3 Integration of the Frameworks</w:t>
      </w:r>
      <w:bookmarkEnd w:id="88"/>
    </w:p>
    <w:p w14:paraId="34DA1F66"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By combining the Donabedian model with Lean principles, this study adopts a comprehensive approach to analyzing turnaround time. The Donabedian model explains how structure and process influence outcomes, while Lean principles help identify and reduce inefficiencies within those processes.</w:t>
      </w:r>
    </w:p>
    <w:p w14:paraId="2EF34FF1" w14:textId="77777777" w:rsidR="00323EE2" w:rsidRPr="00323EE2" w:rsidRDefault="00323EE2" w:rsidP="00323EE2">
      <w:pPr>
        <w:bidi w:val="0"/>
        <w:spacing w:before="100" w:beforeAutospacing="1" w:after="100" w:afterAutospacing="1" w:line="360" w:lineRule="auto"/>
        <w:rPr>
          <w:rFonts w:asciiTheme="majorBidi" w:eastAsia="Times New Roman" w:hAnsiTheme="majorBidi" w:cstheme="majorBidi"/>
          <w:kern w:val="0"/>
          <w:sz w:val="24"/>
          <w:szCs w:val="24"/>
          <w14:ligatures w14:val="none"/>
        </w:rPr>
      </w:pPr>
      <w:r w:rsidRPr="00323EE2">
        <w:rPr>
          <w:rFonts w:asciiTheme="majorBidi" w:eastAsia="Times New Roman" w:hAnsiTheme="majorBidi" w:cstheme="majorBidi"/>
          <w:kern w:val="0"/>
          <w:sz w:val="24"/>
          <w:szCs w:val="24"/>
          <w14:ligatures w14:val="none"/>
        </w:rPr>
        <w:t>In this study, turnaround time is viewed as the outcome of interactions among transport systems, laboratory workflow, and batch processing practices. This integrated framework supports a structured analysis of delays and provides a basis for targeted, evidence-based improvement in laboratory performance.</w:t>
      </w:r>
    </w:p>
    <w:bookmarkEnd w:id="69"/>
    <w:bookmarkEnd w:id="70"/>
    <w:bookmarkEnd w:id="71"/>
    <w:p w14:paraId="57EC7116" w14:textId="77777777" w:rsidR="00323EE2" w:rsidRDefault="00323EE2" w:rsidP="00987FB2">
      <w:pPr>
        <w:bidi w:val="0"/>
        <w:spacing w:before="100" w:beforeAutospacing="1" w:after="100" w:afterAutospacing="1" w:line="240" w:lineRule="auto"/>
        <w:outlineLvl w:val="0"/>
        <w:rPr>
          <w:rFonts w:ascii="Times New Roman" w:eastAsia="Times New Roman" w:hAnsi="Times New Roman" w:cs="Times New Roman"/>
          <w:b/>
          <w:bCs/>
          <w:kern w:val="36"/>
          <w:sz w:val="32"/>
          <w:szCs w:val="32"/>
          <w14:ligatures w14:val="none"/>
        </w:rPr>
      </w:pPr>
    </w:p>
    <w:sectPr w:rsidR="00323EE2"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19027" w14:textId="77777777" w:rsidR="004650F9" w:rsidRDefault="004650F9" w:rsidP="009125CE">
      <w:pPr>
        <w:spacing w:after="0" w:line="240" w:lineRule="auto"/>
      </w:pPr>
      <w:r>
        <w:separator/>
      </w:r>
    </w:p>
  </w:endnote>
  <w:endnote w:type="continuationSeparator" w:id="0">
    <w:p w14:paraId="33E2441D" w14:textId="77777777" w:rsidR="004650F9" w:rsidRDefault="004650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45529492"/>
      <w:docPartObj>
        <w:docPartGallery w:val="Page Numbers (Bottom of Page)"/>
        <w:docPartUnique/>
      </w:docPartObj>
    </w:sdtPr>
    <w:sdtEndPr>
      <w:rPr>
        <w:noProof/>
      </w:rPr>
    </w:sdtEndPr>
    <w:sdtContent>
      <w:p w14:paraId="4762F306" w14:textId="3A668330" w:rsidR="00BB1703" w:rsidRDefault="00BB170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50DD4D" w14:textId="77777777" w:rsidR="00BB1703" w:rsidRDefault="00BB1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DBD71" w14:textId="77777777" w:rsidR="004650F9" w:rsidRDefault="004650F9" w:rsidP="009125CE">
      <w:pPr>
        <w:spacing w:after="0" w:line="240" w:lineRule="auto"/>
      </w:pPr>
      <w:r>
        <w:separator/>
      </w:r>
    </w:p>
  </w:footnote>
  <w:footnote w:type="continuationSeparator" w:id="0">
    <w:p w14:paraId="4737E10A" w14:textId="77777777" w:rsidR="004650F9" w:rsidRDefault="004650F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5754"/>
    <w:multiLevelType w:val="multilevel"/>
    <w:tmpl w:val="02D0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74CB7"/>
    <w:multiLevelType w:val="multilevel"/>
    <w:tmpl w:val="7BBC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E1756B"/>
    <w:multiLevelType w:val="multilevel"/>
    <w:tmpl w:val="D638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F2C08"/>
    <w:multiLevelType w:val="multilevel"/>
    <w:tmpl w:val="E52E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1087D"/>
    <w:multiLevelType w:val="multilevel"/>
    <w:tmpl w:val="C3F05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803DBB"/>
    <w:multiLevelType w:val="multilevel"/>
    <w:tmpl w:val="BCFA5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CF7E2B"/>
    <w:multiLevelType w:val="multilevel"/>
    <w:tmpl w:val="2358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362B2B"/>
    <w:multiLevelType w:val="multilevel"/>
    <w:tmpl w:val="A3CAF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617BDC"/>
    <w:multiLevelType w:val="multilevel"/>
    <w:tmpl w:val="E1DA1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380F46"/>
    <w:multiLevelType w:val="multilevel"/>
    <w:tmpl w:val="2D36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5753B0"/>
    <w:multiLevelType w:val="multilevel"/>
    <w:tmpl w:val="8D86D2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882F73"/>
    <w:multiLevelType w:val="multilevel"/>
    <w:tmpl w:val="2124D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4A1432"/>
    <w:multiLevelType w:val="multilevel"/>
    <w:tmpl w:val="04C6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F07A08"/>
    <w:multiLevelType w:val="multilevel"/>
    <w:tmpl w:val="A118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C61EAA"/>
    <w:multiLevelType w:val="multilevel"/>
    <w:tmpl w:val="26D88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9D06E0C"/>
    <w:multiLevelType w:val="multilevel"/>
    <w:tmpl w:val="1F64A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8D4FB3"/>
    <w:multiLevelType w:val="multilevel"/>
    <w:tmpl w:val="9CCC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610B3B"/>
    <w:multiLevelType w:val="multilevel"/>
    <w:tmpl w:val="F4F2A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3F665C"/>
    <w:multiLevelType w:val="multilevel"/>
    <w:tmpl w:val="28E06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5C3286"/>
    <w:multiLevelType w:val="multilevel"/>
    <w:tmpl w:val="FAEA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CE2B74"/>
    <w:multiLevelType w:val="multilevel"/>
    <w:tmpl w:val="72E6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8D43CC"/>
    <w:multiLevelType w:val="multilevel"/>
    <w:tmpl w:val="3E9A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F2019A"/>
    <w:multiLevelType w:val="multilevel"/>
    <w:tmpl w:val="5DF28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901FA4"/>
    <w:multiLevelType w:val="multilevel"/>
    <w:tmpl w:val="307A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9033CA"/>
    <w:multiLevelType w:val="multilevel"/>
    <w:tmpl w:val="1EF8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357E49"/>
    <w:multiLevelType w:val="multilevel"/>
    <w:tmpl w:val="13C6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1B7C37"/>
    <w:multiLevelType w:val="multilevel"/>
    <w:tmpl w:val="3AE23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C011FA"/>
    <w:multiLevelType w:val="multilevel"/>
    <w:tmpl w:val="C72C7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781149"/>
    <w:multiLevelType w:val="multilevel"/>
    <w:tmpl w:val="8AFEA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C51C11"/>
    <w:multiLevelType w:val="multilevel"/>
    <w:tmpl w:val="01A6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2E456F"/>
    <w:multiLevelType w:val="multilevel"/>
    <w:tmpl w:val="F83A8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762EC4"/>
    <w:multiLevelType w:val="multilevel"/>
    <w:tmpl w:val="98A2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97297F"/>
    <w:multiLevelType w:val="multilevel"/>
    <w:tmpl w:val="4718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3451F65"/>
    <w:multiLevelType w:val="multilevel"/>
    <w:tmpl w:val="1B420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C542356"/>
    <w:multiLevelType w:val="multilevel"/>
    <w:tmpl w:val="9978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370267"/>
    <w:multiLevelType w:val="multilevel"/>
    <w:tmpl w:val="CE9A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1E15F9"/>
    <w:multiLevelType w:val="multilevel"/>
    <w:tmpl w:val="31AAB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8E5BDD"/>
    <w:multiLevelType w:val="multilevel"/>
    <w:tmpl w:val="C8E2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B312DB"/>
    <w:multiLevelType w:val="multilevel"/>
    <w:tmpl w:val="17E4D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70248BC"/>
    <w:multiLevelType w:val="multilevel"/>
    <w:tmpl w:val="3C46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6F3C68"/>
    <w:multiLevelType w:val="multilevel"/>
    <w:tmpl w:val="473AE0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792DBD"/>
    <w:multiLevelType w:val="multilevel"/>
    <w:tmpl w:val="AC780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9959DE"/>
    <w:multiLevelType w:val="multilevel"/>
    <w:tmpl w:val="B9707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98836DE"/>
    <w:multiLevelType w:val="multilevel"/>
    <w:tmpl w:val="3A9CF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E47783"/>
    <w:multiLevelType w:val="multilevel"/>
    <w:tmpl w:val="7B861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C9A6A73"/>
    <w:multiLevelType w:val="multilevel"/>
    <w:tmpl w:val="244A7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D44A9E"/>
    <w:multiLevelType w:val="multilevel"/>
    <w:tmpl w:val="B2784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A277CF"/>
    <w:multiLevelType w:val="multilevel"/>
    <w:tmpl w:val="1920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D1574D"/>
    <w:multiLevelType w:val="multilevel"/>
    <w:tmpl w:val="FB12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F00460"/>
    <w:multiLevelType w:val="multilevel"/>
    <w:tmpl w:val="1A72C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415674A"/>
    <w:multiLevelType w:val="multilevel"/>
    <w:tmpl w:val="BC989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64D0A16"/>
    <w:multiLevelType w:val="multilevel"/>
    <w:tmpl w:val="58763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86311FD"/>
    <w:multiLevelType w:val="multilevel"/>
    <w:tmpl w:val="B9602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A4F519B"/>
    <w:multiLevelType w:val="multilevel"/>
    <w:tmpl w:val="DC0C5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7D6566"/>
    <w:multiLevelType w:val="multilevel"/>
    <w:tmpl w:val="875A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D52D2A"/>
    <w:multiLevelType w:val="multilevel"/>
    <w:tmpl w:val="DFAC8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9361B09"/>
    <w:multiLevelType w:val="multilevel"/>
    <w:tmpl w:val="AD82D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93B41AD"/>
    <w:multiLevelType w:val="multilevel"/>
    <w:tmpl w:val="B610F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3A7931"/>
    <w:multiLevelType w:val="multilevel"/>
    <w:tmpl w:val="442A7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DF2387B"/>
    <w:multiLevelType w:val="multilevel"/>
    <w:tmpl w:val="EC16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E685D1B"/>
    <w:multiLevelType w:val="multilevel"/>
    <w:tmpl w:val="2F22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E726A66"/>
    <w:multiLevelType w:val="multilevel"/>
    <w:tmpl w:val="54800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4547B26"/>
    <w:multiLevelType w:val="multilevel"/>
    <w:tmpl w:val="82580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237E02"/>
    <w:multiLevelType w:val="multilevel"/>
    <w:tmpl w:val="D2D6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814DB3"/>
    <w:multiLevelType w:val="multilevel"/>
    <w:tmpl w:val="172A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8C662C"/>
    <w:multiLevelType w:val="multilevel"/>
    <w:tmpl w:val="F57A0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C848AD"/>
    <w:multiLevelType w:val="multilevel"/>
    <w:tmpl w:val="CDA6F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17916">
    <w:abstractNumId w:val="18"/>
  </w:num>
  <w:num w:numId="2" w16cid:durableId="287980683">
    <w:abstractNumId w:val="11"/>
  </w:num>
  <w:num w:numId="3" w16cid:durableId="24600646">
    <w:abstractNumId w:val="50"/>
  </w:num>
  <w:num w:numId="4" w16cid:durableId="1318263650">
    <w:abstractNumId w:val="61"/>
  </w:num>
  <w:num w:numId="5" w16cid:durableId="218126632">
    <w:abstractNumId w:val="42"/>
  </w:num>
  <w:num w:numId="6" w16cid:durableId="635795885">
    <w:abstractNumId w:val="45"/>
  </w:num>
  <w:num w:numId="7" w16cid:durableId="359400812">
    <w:abstractNumId w:val="27"/>
  </w:num>
  <w:num w:numId="8" w16cid:durableId="1680740178">
    <w:abstractNumId w:val="32"/>
  </w:num>
  <w:num w:numId="9" w16cid:durableId="523179597">
    <w:abstractNumId w:val="1"/>
  </w:num>
  <w:num w:numId="10" w16cid:durableId="1926302776">
    <w:abstractNumId w:val="3"/>
  </w:num>
  <w:num w:numId="11" w16cid:durableId="212884356">
    <w:abstractNumId w:val="15"/>
  </w:num>
  <w:num w:numId="12" w16cid:durableId="156389267">
    <w:abstractNumId w:val="33"/>
  </w:num>
  <w:num w:numId="13" w16cid:durableId="633952115">
    <w:abstractNumId w:val="6"/>
  </w:num>
  <w:num w:numId="14" w16cid:durableId="1307903957">
    <w:abstractNumId w:val="25"/>
  </w:num>
  <w:num w:numId="15" w16cid:durableId="86930733">
    <w:abstractNumId w:val="23"/>
  </w:num>
  <w:num w:numId="16" w16cid:durableId="1936090890">
    <w:abstractNumId w:val="5"/>
  </w:num>
  <w:num w:numId="17" w16cid:durableId="2130470705">
    <w:abstractNumId w:val="28"/>
  </w:num>
  <w:num w:numId="18" w16cid:durableId="473722854">
    <w:abstractNumId w:val="20"/>
  </w:num>
  <w:num w:numId="19" w16cid:durableId="1692414549">
    <w:abstractNumId w:val="17"/>
  </w:num>
  <w:num w:numId="20" w16cid:durableId="429591214">
    <w:abstractNumId w:val="22"/>
  </w:num>
  <w:num w:numId="21" w16cid:durableId="1360622506">
    <w:abstractNumId w:val="62"/>
  </w:num>
  <w:num w:numId="22" w16cid:durableId="690029771">
    <w:abstractNumId w:val="2"/>
  </w:num>
  <w:num w:numId="23" w16cid:durableId="1689680168">
    <w:abstractNumId w:val="13"/>
  </w:num>
  <w:num w:numId="24" w16cid:durableId="215437535">
    <w:abstractNumId w:val="40"/>
  </w:num>
  <w:num w:numId="25" w16cid:durableId="1331445704">
    <w:abstractNumId w:val="46"/>
  </w:num>
  <w:num w:numId="26" w16cid:durableId="13699628">
    <w:abstractNumId w:val="26"/>
  </w:num>
  <w:num w:numId="27" w16cid:durableId="1349408341">
    <w:abstractNumId w:val="8"/>
  </w:num>
  <w:num w:numId="28" w16cid:durableId="647784652">
    <w:abstractNumId w:val="39"/>
  </w:num>
  <w:num w:numId="29" w16cid:durableId="746923382">
    <w:abstractNumId w:val="29"/>
  </w:num>
  <w:num w:numId="30" w16cid:durableId="202642819">
    <w:abstractNumId w:val="55"/>
  </w:num>
  <w:num w:numId="31" w16cid:durableId="194848746">
    <w:abstractNumId w:val="58"/>
  </w:num>
  <w:num w:numId="32" w16cid:durableId="933783376">
    <w:abstractNumId w:val="56"/>
  </w:num>
  <w:num w:numId="33" w16cid:durableId="1831024517">
    <w:abstractNumId w:val="37"/>
  </w:num>
  <w:num w:numId="34" w16cid:durableId="1065491734">
    <w:abstractNumId w:val="16"/>
  </w:num>
  <w:num w:numId="35" w16cid:durableId="1649898977">
    <w:abstractNumId w:val="0"/>
  </w:num>
  <w:num w:numId="36" w16cid:durableId="1991136650">
    <w:abstractNumId w:val="10"/>
  </w:num>
  <w:num w:numId="37" w16cid:durableId="1063331416">
    <w:abstractNumId w:val="54"/>
  </w:num>
  <w:num w:numId="38" w16cid:durableId="2144080252">
    <w:abstractNumId w:val="43"/>
  </w:num>
  <w:num w:numId="39" w16cid:durableId="302540495">
    <w:abstractNumId w:val="64"/>
  </w:num>
  <w:num w:numId="40" w16cid:durableId="715272856">
    <w:abstractNumId w:val="57"/>
  </w:num>
  <w:num w:numId="41" w16cid:durableId="1724021888">
    <w:abstractNumId w:val="24"/>
  </w:num>
  <w:num w:numId="42" w16cid:durableId="1978561039">
    <w:abstractNumId w:val="9"/>
  </w:num>
  <w:num w:numId="43" w16cid:durableId="1897353618">
    <w:abstractNumId w:val="59"/>
  </w:num>
  <w:num w:numId="44" w16cid:durableId="1158762648">
    <w:abstractNumId w:val="12"/>
  </w:num>
  <w:num w:numId="45" w16cid:durableId="1934582712">
    <w:abstractNumId w:val="30"/>
  </w:num>
  <w:num w:numId="46" w16cid:durableId="587539703">
    <w:abstractNumId w:val="41"/>
  </w:num>
  <w:num w:numId="47" w16cid:durableId="287588467">
    <w:abstractNumId w:val="35"/>
  </w:num>
  <w:num w:numId="48" w16cid:durableId="315763140">
    <w:abstractNumId w:val="36"/>
  </w:num>
  <w:num w:numId="49" w16cid:durableId="357659630">
    <w:abstractNumId w:val="60"/>
  </w:num>
  <w:num w:numId="50" w16cid:durableId="1297371710">
    <w:abstractNumId w:val="47"/>
  </w:num>
  <w:num w:numId="51" w16cid:durableId="1733969447">
    <w:abstractNumId w:val="48"/>
  </w:num>
  <w:num w:numId="52" w16cid:durableId="716202729">
    <w:abstractNumId w:val="7"/>
  </w:num>
  <w:num w:numId="53" w16cid:durableId="1585530852">
    <w:abstractNumId w:val="38"/>
  </w:num>
  <w:num w:numId="54" w16cid:durableId="1641037446">
    <w:abstractNumId w:val="44"/>
  </w:num>
  <w:num w:numId="55" w16cid:durableId="861675089">
    <w:abstractNumId w:val="52"/>
  </w:num>
  <w:num w:numId="56" w16cid:durableId="1724909230">
    <w:abstractNumId w:val="34"/>
  </w:num>
  <w:num w:numId="57" w16cid:durableId="1694726674">
    <w:abstractNumId w:val="63"/>
  </w:num>
  <w:num w:numId="58" w16cid:durableId="964889645">
    <w:abstractNumId w:val="53"/>
  </w:num>
  <w:num w:numId="59" w16cid:durableId="823081010">
    <w:abstractNumId w:val="49"/>
  </w:num>
  <w:num w:numId="60" w16cid:durableId="20325418">
    <w:abstractNumId w:val="14"/>
  </w:num>
  <w:num w:numId="61" w16cid:durableId="2063214276">
    <w:abstractNumId w:val="4"/>
  </w:num>
  <w:num w:numId="62" w16cid:durableId="283778957">
    <w:abstractNumId w:val="19"/>
  </w:num>
  <w:num w:numId="63" w16cid:durableId="2016568949">
    <w:abstractNumId w:val="31"/>
  </w:num>
  <w:num w:numId="64" w16cid:durableId="1331256112">
    <w:abstractNumId w:val="51"/>
  </w:num>
  <w:num w:numId="65" w16cid:durableId="1458258564">
    <w:abstractNumId w:val="66"/>
  </w:num>
  <w:num w:numId="66" w16cid:durableId="1210611427">
    <w:abstractNumId w:val="65"/>
  </w:num>
  <w:num w:numId="67" w16cid:durableId="195431600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74B2"/>
    <w:rsid w:val="0007622C"/>
    <w:rsid w:val="00090F21"/>
    <w:rsid w:val="000C5883"/>
    <w:rsid w:val="000F44B4"/>
    <w:rsid w:val="000F51C7"/>
    <w:rsid w:val="001729F9"/>
    <w:rsid w:val="001902DB"/>
    <w:rsid w:val="001C2162"/>
    <w:rsid w:val="00214979"/>
    <w:rsid w:val="00237661"/>
    <w:rsid w:val="00247503"/>
    <w:rsid w:val="00264D5E"/>
    <w:rsid w:val="00275733"/>
    <w:rsid w:val="002910FA"/>
    <w:rsid w:val="002C3FDC"/>
    <w:rsid w:val="00323EE2"/>
    <w:rsid w:val="00384889"/>
    <w:rsid w:val="003A1517"/>
    <w:rsid w:val="003A3EC5"/>
    <w:rsid w:val="003D301F"/>
    <w:rsid w:val="00413B89"/>
    <w:rsid w:val="004163C7"/>
    <w:rsid w:val="004306DE"/>
    <w:rsid w:val="004362E2"/>
    <w:rsid w:val="004418F5"/>
    <w:rsid w:val="004619FF"/>
    <w:rsid w:val="004650F9"/>
    <w:rsid w:val="004A3722"/>
    <w:rsid w:val="004B3AAE"/>
    <w:rsid w:val="005132BB"/>
    <w:rsid w:val="00576505"/>
    <w:rsid w:val="005A4F43"/>
    <w:rsid w:val="005C3AB1"/>
    <w:rsid w:val="005E0E4A"/>
    <w:rsid w:val="00651163"/>
    <w:rsid w:val="00651316"/>
    <w:rsid w:val="006878B6"/>
    <w:rsid w:val="006948DE"/>
    <w:rsid w:val="00703C84"/>
    <w:rsid w:val="00710A4C"/>
    <w:rsid w:val="0076301C"/>
    <w:rsid w:val="007A7D78"/>
    <w:rsid w:val="007B0E54"/>
    <w:rsid w:val="007C1910"/>
    <w:rsid w:val="007C26B2"/>
    <w:rsid w:val="007D0CA3"/>
    <w:rsid w:val="007E3A20"/>
    <w:rsid w:val="00877AAC"/>
    <w:rsid w:val="00896FE4"/>
    <w:rsid w:val="008F1EAE"/>
    <w:rsid w:val="009125CE"/>
    <w:rsid w:val="00946F5F"/>
    <w:rsid w:val="00977714"/>
    <w:rsid w:val="00982DCE"/>
    <w:rsid w:val="00987FB2"/>
    <w:rsid w:val="009A65D3"/>
    <w:rsid w:val="009B6888"/>
    <w:rsid w:val="009C0161"/>
    <w:rsid w:val="009D108D"/>
    <w:rsid w:val="009E1436"/>
    <w:rsid w:val="009E2239"/>
    <w:rsid w:val="009E5668"/>
    <w:rsid w:val="00A01D5F"/>
    <w:rsid w:val="00A55E4F"/>
    <w:rsid w:val="00A80B27"/>
    <w:rsid w:val="00A95171"/>
    <w:rsid w:val="00AA77B9"/>
    <w:rsid w:val="00AA79E9"/>
    <w:rsid w:val="00AB0A70"/>
    <w:rsid w:val="00AC4CE7"/>
    <w:rsid w:val="00AD6EC3"/>
    <w:rsid w:val="00AF68CE"/>
    <w:rsid w:val="00B11D43"/>
    <w:rsid w:val="00B60F82"/>
    <w:rsid w:val="00B63B0F"/>
    <w:rsid w:val="00B749F0"/>
    <w:rsid w:val="00B7678A"/>
    <w:rsid w:val="00B83091"/>
    <w:rsid w:val="00B90835"/>
    <w:rsid w:val="00BA5893"/>
    <w:rsid w:val="00BB1703"/>
    <w:rsid w:val="00BC094B"/>
    <w:rsid w:val="00C04A7A"/>
    <w:rsid w:val="00C42547"/>
    <w:rsid w:val="00C72744"/>
    <w:rsid w:val="00C84F5C"/>
    <w:rsid w:val="00CB2A44"/>
    <w:rsid w:val="00CF10D2"/>
    <w:rsid w:val="00D04F62"/>
    <w:rsid w:val="00D211D0"/>
    <w:rsid w:val="00D22171"/>
    <w:rsid w:val="00D52480"/>
    <w:rsid w:val="00D6595B"/>
    <w:rsid w:val="00D66C46"/>
    <w:rsid w:val="00DF5794"/>
    <w:rsid w:val="00E0699A"/>
    <w:rsid w:val="00E6183C"/>
    <w:rsid w:val="00E7281E"/>
    <w:rsid w:val="00E74B87"/>
    <w:rsid w:val="00E80FD9"/>
    <w:rsid w:val="00EC0150"/>
    <w:rsid w:val="00EC7906"/>
    <w:rsid w:val="00F546CE"/>
    <w:rsid w:val="00F87D69"/>
    <w:rsid w:val="00F925D0"/>
    <w:rsid w:val="00FA56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C3AB1"/>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semiHidden/>
    <w:unhideWhenUsed/>
    <w:qFormat/>
    <w:rsid w:val="009E22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82D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B60F8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60F82"/>
    <w:rPr>
      <w:b/>
      <w:bCs/>
    </w:rPr>
  </w:style>
  <w:style w:type="table" w:styleId="TableGrid">
    <w:name w:val="Table Grid"/>
    <w:basedOn w:val="TableNormal"/>
    <w:uiPriority w:val="59"/>
    <w:rsid w:val="005C3AB1"/>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C3AB1"/>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semiHidden/>
    <w:rsid w:val="009E223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82DC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84889"/>
    <w:pPr>
      <w:ind w:left="720"/>
      <w:contextualSpacing/>
    </w:pPr>
  </w:style>
  <w:style w:type="paragraph" w:styleId="TOCHeading">
    <w:name w:val="TOC Heading"/>
    <w:basedOn w:val="Heading1"/>
    <w:next w:val="Normal"/>
    <w:uiPriority w:val="39"/>
    <w:unhideWhenUsed/>
    <w:qFormat/>
    <w:rsid w:val="00BA5893"/>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323EE2"/>
    <w:pPr>
      <w:tabs>
        <w:tab w:val="right" w:leader="dot" w:pos="8822"/>
      </w:tabs>
      <w:bidi w:val="0"/>
      <w:spacing w:after="100"/>
      <w:ind w:left="220"/>
    </w:pPr>
  </w:style>
  <w:style w:type="paragraph" w:styleId="TOC1">
    <w:name w:val="toc 1"/>
    <w:basedOn w:val="Normal"/>
    <w:next w:val="Normal"/>
    <w:autoRedefine/>
    <w:uiPriority w:val="39"/>
    <w:unhideWhenUsed/>
    <w:rsid w:val="00264D5E"/>
    <w:pPr>
      <w:spacing w:after="100"/>
    </w:pPr>
  </w:style>
  <w:style w:type="paragraph" w:styleId="TOC3">
    <w:name w:val="toc 3"/>
    <w:basedOn w:val="Normal"/>
    <w:next w:val="Normal"/>
    <w:autoRedefine/>
    <w:uiPriority w:val="39"/>
    <w:unhideWhenUsed/>
    <w:rsid w:val="00BA5893"/>
    <w:pPr>
      <w:spacing w:after="100"/>
      <w:ind w:left="440"/>
    </w:pPr>
  </w:style>
  <w:style w:type="paragraph" w:styleId="TOC4">
    <w:name w:val="toc 4"/>
    <w:basedOn w:val="Normal"/>
    <w:next w:val="Normal"/>
    <w:autoRedefine/>
    <w:uiPriority w:val="39"/>
    <w:unhideWhenUsed/>
    <w:rsid w:val="00BA5893"/>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BA5893"/>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BA5893"/>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BA5893"/>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BA5893"/>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BA5893"/>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BA5893"/>
    <w:rPr>
      <w:color w:val="0563C1" w:themeColor="hyperlink"/>
      <w:u w:val="single"/>
    </w:rPr>
  </w:style>
  <w:style w:type="character" w:styleId="UnresolvedMention">
    <w:name w:val="Unresolved Mention"/>
    <w:basedOn w:val="DefaultParagraphFont"/>
    <w:uiPriority w:val="99"/>
    <w:semiHidden/>
    <w:unhideWhenUsed/>
    <w:rsid w:val="00BA5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C4160-58C1-4D62-B728-5C7A28AF2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4535</Words>
  <Characters>25852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Abdulmajeed Yassin</cp:lastModifiedBy>
  <cp:revision>2</cp:revision>
  <cp:lastPrinted>2026-03-27T08:01:00Z</cp:lastPrinted>
  <dcterms:created xsi:type="dcterms:W3CDTF">2026-03-27T10:33:00Z</dcterms:created>
  <dcterms:modified xsi:type="dcterms:W3CDTF">2026-03-27T10:33:00Z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