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F65BFD3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9AC2469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3978" w:type="dxa"/>
            <w:vAlign w:val="center"/>
          </w:tcPr>
          <w:p w14:paraId="0BC33540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7221A13D" w:rsidR="006E7950" w:rsidRDefault="006E7950">
            <w:pPr>
              <w:jc w:val="center"/>
            </w:pPr>
            <w:r>
              <w:rPr>
                <w:rFonts w:hint="cs"/>
                <w:rtl/>
              </w:rPr>
              <w:t xml:space="preserve">ذكرت انها دراسة تطبيقية ومرة دراسة حالة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F3382A5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2CBCE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540DC3D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58CEF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0666A45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082DF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EE86D8E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3D8804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AF18FFE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3BED17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9C671B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7633E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AF0A197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B2A3F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55EAACB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496CF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7E47759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42C5961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E6DE2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0EABB4C" w:rsidR="008239B5" w:rsidRDefault="006E7950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644DD"/>
    <w:rsid w:val="006E7950"/>
    <w:rsid w:val="008239B5"/>
    <w:rsid w:val="008C3EB8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2025-07-27T18:23:00Z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