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D9823" w14:textId="77777777" w:rsidR="003D1B66" w:rsidRDefault="003D1B66" w:rsidP="003D1B66">
      <w:pPr>
        <w:tabs>
          <w:tab w:val="right" w:pos="8929"/>
        </w:tabs>
        <w:bidi/>
        <w:jc w:val="both"/>
      </w:pPr>
      <w:r>
        <w:rPr>
          <w:noProof/>
        </w:rPr>
        <w:drawing>
          <wp:anchor distT="0" distB="0" distL="114300" distR="114300" simplePos="0" relativeHeight="251659264" behindDoc="1" locked="0" layoutInCell="1" allowOverlap="1" wp14:anchorId="7FA22448" wp14:editId="0A56EC60">
            <wp:simplePos x="0" y="0"/>
            <wp:positionH relativeFrom="column">
              <wp:posOffset>-420494</wp:posOffset>
            </wp:positionH>
            <wp:positionV relativeFrom="paragraph">
              <wp:posOffset>-108225</wp:posOffset>
            </wp:positionV>
            <wp:extent cx="1774209" cy="1645416"/>
            <wp:effectExtent l="0" t="0" r="0" b="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778908" cy="1649774"/>
                    </a:xfrm>
                    <a:prstGeom prst="rect">
                      <a:avLst/>
                    </a:prstGeom>
                    <a:noFill/>
                  </pic:spPr>
                </pic:pic>
              </a:graphicData>
            </a:graphic>
            <wp14:sizeRelH relativeFrom="margin">
              <wp14:pctWidth>0</wp14:pctWidth>
            </wp14:sizeRelH>
            <wp14:sizeRelV relativeFrom="margin">
              <wp14:pctHeight>0</wp14:pctHeight>
            </wp14:sizeRelV>
          </wp:anchor>
        </w:drawing>
      </w:r>
    </w:p>
    <w:p w14:paraId="4DE22818" w14:textId="77777777" w:rsidR="003D1B66" w:rsidRPr="002B3A3A" w:rsidRDefault="003D1B66" w:rsidP="003D1B66">
      <w:pPr>
        <w:bidi/>
        <w:spacing w:after="120"/>
        <w:jc w:val="both"/>
        <w:rPr>
          <w:bCs/>
          <w:sz w:val="32"/>
          <w:szCs w:val="32"/>
        </w:rPr>
      </w:pPr>
      <w:bookmarkStart w:id="0" w:name="_Hlk235047355"/>
      <w:r w:rsidRPr="002B3A3A">
        <w:rPr>
          <w:rFonts w:eastAsia="Arial"/>
          <w:bCs/>
          <w:sz w:val="32"/>
          <w:szCs w:val="32"/>
          <w:rtl/>
        </w:rPr>
        <w:t>جامعة ميدأوشن</w:t>
      </w:r>
    </w:p>
    <w:p w14:paraId="7828EF17" w14:textId="77777777" w:rsidR="003D1B66" w:rsidRDefault="003D1B66" w:rsidP="003D1B66">
      <w:pPr>
        <w:bidi/>
        <w:spacing w:after="120"/>
        <w:jc w:val="both"/>
        <w:rPr>
          <w:bCs/>
          <w:sz w:val="32"/>
          <w:szCs w:val="32"/>
          <w:rtl/>
        </w:rPr>
      </w:pPr>
      <w:r w:rsidRPr="002B3A3A">
        <w:rPr>
          <w:rFonts w:eastAsia="Arial"/>
          <w:bCs/>
          <w:sz w:val="32"/>
          <w:szCs w:val="32"/>
          <w:rtl/>
        </w:rPr>
        <w:t>كلية الإدارة</w:t>
      </w:r>
    </w:p>
    <w:p w14:paraId="55694568" w14:textId="77777777" w:rsidR="003D1B66" w:rsidRPr="002B3A3A" w:rsidRDefault="003D1B66" w:rsidP="003D1B66">
      <w:pPr>
        <w:bidi/>
        <w:spacing w:after="120"/>
        <w:jc w:val="both"/>
        <w:rPr>
          <w:bCs/>
          <w:sz w:val="32"/>
          <w:szCs w:val="32"/>
        </w:rPr>
      </w:pPr>
      <w:r>
        <w:rPr>
          <w:rFonts w:hint="cs"/>
          <w:bCs/>
          <w:sz w:val="32"/>
          <w:szCs w:val="32"/>
          <w:rtl/>
        </w:rPr>
        <w:t>قسم الإدارة الصحية</w:t>
      </w:r>
    </w:p>
    <w:p w14:paraId="429890F4" w14:textId="77777777" w:rsidR="003D1B66" w:rsidRDefault="003D1B66" w:rsidP="003D1B66">
      <w:pPr>
        <w:bidi/>
        <w:jc w:val="both"/>
      </w:pPr>
    </w:p>
    <w:p w14:paraId="71FDC93D" w14:textId="77777777" w:rsidR="003D1B66" w:rsidRDefault="003D1B66" w:rsidP="003D1B66">
      <w:pPr>
        <w:bidi/>
        <w:jc w:val="both"/>
      </w:pPr>
    </w:p>
    <w:p w14:paraId="301E18E1" w14:textId="77777777" w:rsidR="003D1B66" w:rsidRPr="002B3A3A" w:rsidRDefault="003D1B66" w:rsidP="003D1B66">
      <w:pPr>
        <w:bidi/>
        <w:spacing w:after="320"/>
        <w:jc w:val="center"/>
        <w:rPr>
          <w:bCs/>
          <w:sz w:val="32"/>
          <w:szCs w:val="32"/>
        </w:rPr>
      </w:pPr>
      <w:r w:rsidRPr="002B3A3A">
        <w:rPr>
          <w:rFonts w:eastAsia="Arial"/>
          <w:bCs/>
          <w:sz w:val="32"/>
          <w:szCs w:val="32"/>
          <w:rtl/>
        </w:rPr>
        <w:t>دور الحوكمة الصحية في تعزيز الشفافية والكفاءة في إدارة المؤسسات الصحية في المملكة العربية السعودية</w:t>
      </w:r>
    </w:p>
    <w:p w14:paraId="0DAD42FD" w14:textId="77777777" w:rsidR="003D1B66" w:rsidRDefault="003D1B66" w:rsidP="003D1B66">
      <w:pPr>
        <w:bidi/>
        <w:jc w:val="center"/>
      </w:pPr>
    </w:p>
    <w:p w14:paraId="4AEF8FD1" w14:textId="77777777" w:rsidR="003D1B66" w:rsidRDefault="003D1B66" w:rsidP="003D1B66">
      <w:pPr>
        <w:bidi/>
        <w:jc w:val="center"/>
      </w:pPr>
    </w:p>
    <w:p w14:paraId="636D2FB2" w14:textId="77777777" w:rsidR="003D1B66" w:rsidRPr="002B3A3A" w:rsidRDefault="003D1B66" w:rsidP="003D1B66">
      <w:pPr>
        <w:bidi/>
        <w:jc w:val="center"/>
        <w:rPr>
          <w:bCs/>
          <w:sz w:val="32"/>
          <w:szCs w:val="32"/>
        </w:rPr>
      </w:pPr>
    </w:p>
    <w:p w14:paraId="6ECBB9A5" w14:textId="77777777" w:rsidR="003D1B66" w:rsidRPr="002B3A3A" w:rsidRDefault="003D1B66" w:rsidP="003D1B66">
      <w:pPr>
        <w:bidi/>
        <w:jc w:val="center"/>
        <w:rPr>
          <w:rFonts w:eastAsia="Arial"/>
          <w:bCs/>
          <w:sz w:val="32"/>
          <w:szCs w:val="32"/>
          <w:rtl/>
        </w:rPr>
      </w:pPr>
      <w:r w:rsidRPr="002B3A3A">
        <w:rPr>
          <w:rFonts w:eastAsia="Arial" w:hint="cs"/>
          <w:bCs/>
          <w:sz w:val="32"/>
          <w:szCs w:val="32"/>
          <w:rtl/>
        </w:rPr>
        <w:t>إعداد الطالبة: فاطمة عبدالوهاب السبيعي</w:t>
      </w:r>
    </w:p>
    <w:p w14:paraId="189DE40F" w14:textId="77777777" w:rsidR="003D1B66" w:rsidRPr="002B3A3A" w:rsidRDefault="003D1B66" w:rsidP="003D1B66">
      <w:pPr>
        <w:bidi/>
        <w:jc w:val="center"/>
        <w:rPr>
          <w:bCs/>
          <w:sz w:val="32"/>
          <w:szCs w:val="32"/>
          <w:rtl/>
        </w:rPr>
      </w:pPr>
      <w:r w:rsidRPr="002B3A3A">
        <w:rPr>
          <w:rFonts w:eastAsia="Arial" w:hint="cs"/>
          <w:bCs/>
          <w:sz w:val="32"/>
          <w:szCs w:val="32"/>
          <w:rtl/>
        </w:rPr>
        <w:t>الرقم الجامعي</w:t>
      </w:r>
      <w:r>
        <w:rPr>
          <w:rFonts w:eastAsia="Arial" w:hint="cs"/>
          <w:bCs/>
          <w:sz w:val="32"/>
          <w:szCs w:val="32"/>
          <w:rtl/>
        </w:rPr>
        <w:t>/</w:t>
      </w:r>
      <w:r w:rsidRPr="00896CC0">
        <w:rPr>
          <w:rFonts w:eastAsia="Arial"/>
          <w:b/>
          <w:sz w:val="32"/>
          <w:szCs w:val="32"/>
        </w:rPr>
        <w:t>25300043</w:t>
      </w:r>
    </w:p>
    <w:p w14:paraId="7C42C353" w14:textId="77777777" w:rsidR="003D1B66" w:rsidRPr="002B3A3A" w:rsidRDefault="003D1B66" w:rsidP="003D1B66">
      <w:pPr>
        <w:bidi/>
        <w:jc w:val="center"/>
        <w:rPr>
          <w:bCs/>
          <w:sz w:val="32"/>
          <w:szCs w:val="32"/>
        </w:rPr>
      </w:pPr>
    </w:p>
    <w:p w14:paraId="284C49FB" w14:textId="77777777" w:rsidR="003D1B66" w:rsidRPr="002B3A3A" w:rsidRDefault="003D1B66" w:rsidP="003D1B66">
      <w:pPr>
        <w:bidi/>
        <w:spacing w:after="120"/>
        <w:jc w:val="center"/>
        <w:rPr>
          <w:bCs/>
          <w:sz w:val="32"/>
          <w:szCs w:val="32"/>
        </w:rPr>
      </w:pPr>
      <w:r w:rsidRPr="002B3A3A">
        <w:rPr>
          <w:rFonts w:eastAsia="Arial"/>
          <w:bCs/>
          <w:sz w:val="32"/>
          <w:szCs w:val="32"/>
          <w:rtl/>
        </w:rPr>
        <w:t>إشراف/</w:t>
      </w:r>
    </w:p>
    <w:p w14:paraId="11BEDB5B" w14:textId="77777777" w:rsidR="003D1B66" w:rsidRPr="002B3A3A" w:rsidRDefault="003D1B66" w:rsidP="003D1B66">
      <w:pPr>
        <w:bidi/>
        <w:spacing w:after="120"/>
        <w:jc w:val="center"/>
        <w:rPr>
          <w:bCs/>
          <w:sz w:val="32"/>
          <w:szCs w:val="32"/>
        </w:rPr>
      </w:pPr>
      <w:r w:rsidRPr="002B3A3A">
        <w:rPr>
          <w:rFonts w:eastAsia="Arial"/>
          <w:bCs/>
          <w:sz w:val="32"/>
          <w:szCs w:val="32"/>
          <w:rtl/>
        </w:rPr>
        <w:t>د. الفيصل عبد الحميد محمد حسن</w:t>
      </w:r>
    </w:p>
    <w:p w14:paraId="61F1FC3C" w14:textId="77777777" w:rsidR="003D1B66" w:rsidRPr="002B3A3A" w:rsidRDefault="003D1B66" w:rsidP="003D1B66">
      <w:pPr>
        <w:bidi/>
        <w:spacing w:after="120"/>
        <w:jc w:val="center"/>
        <w:rPr>
          <w:bCs/>
          <w:sz w:val="32"/>
          <w:szCs w:val="32"/>
        </w:rPr>
      </w:pPr>
      <w:r w:rsidRPr="002B3A3A">
        <w:rPr>
          <w:rFonts w:eastAsia="Arial"/>
          <w:bCs/>
          <w:sz w:val="32"/>
          <w:szCs w:val="32"/>
          <w:rtl/>
        </w:rPr>
        <w:t>د. فايز جراد</w:t>
      </w:r>
    </w:p>
    <w:p w14:paraId="1B668342" w14:textId="77777777" w:rsidR="003D1B66" w:rsidRDefault="003D1B66" w:rsidP="003D1B66">
      <w:pPr>
        <w:bidi/>
        <w:jc w:val="center"/>
      </w:pPr>
    </w:p>
    <w:p w14:paraId="46C63F50" w14:textId="77777777" w:rsidR="003D1B66" w:rsidRDefault="003D1B66" w:rsidP="003D1B66">
      <w:pPr>
        <w:bidi/>
        <w:jc w:val="center"/>
      </w:pPr>
    </w:p>
    <w:p w14:paraId="3E77ACB7" w14:textId="77777777" w:rsidR="003D1B66" w:rsidRDefault="003D1B66" w:rsidP="003D1B66">
      <w:pPr>
        <w:bidi/>
        <w:spacing w:after="120"/>
        <w:jc w:val="center"/>
        <w:rPr>
          <w:rFonts w:eastAsia="Arial"/>
          <w:bCs/>
          <w:sz w:val="32"/>
          <w:szCs w:val="32"/>
          <w:rtl/>
        </w:rPr>
      </w:pPr>
      <w:r w:rsidRPr="002B3A3A">
        <w:rPr>
          <w:rFonts w:eastAsia="Arial"/>
          <w:bCs/>
          <w:sz w:val="32"/>
          <w:szCs w:val="32"/>
          <w:rtl/>
        </w:rPr>
        <w:t>العام الدراسي</w:t>
      </w:r>
    </w:p>
    <w:p w14:paraId="1029BB5B" w14:textId="77777777" w:rsidR="003D1B66" w:rsidRDefault="003D1B66" w:rsidP="003D1B66">
      <w:pPr>
        <w:bidi/>
        <w:spacing w:after="120"/>
        <w:jc w:val="center"/>
        <w:rPr>
          <w:rFonts w:eastAsia="Arial"/>
          <w:b/>
          <w:sz w:val="30"/>
          <w:rtl/>
        </w:rPr>
      </w:pPr>
      <w:r>
        <w:rPr>
          <w:rFonts w:eastAsia="Arial"/>
          <w:b/>
          <w:sz w:val="30"/>
        </w:rPr>
        <w:t>2025/2026</w:t>
      </w:r>
    </w:p>
    <w:p w14:paraId="2C05417D" w14:textId="77777777" w:rsidR="003D1B66" w:rsidRDefault="003D1B66" w:rsidP="003D1B66">
      <w:pPr>
        <w:bidi/>
        <w:spacing w:after="120"/>
        <w:jc w:val="center"/>
        <w:rPr>
          <w:rFonts w:eastAsia="Arial"/>
          <w:b/>
          <w:sz w:val="30"/>
          <w:rtl/>
        </w:rPr>
      </w:pPr>
    </w:p>
    <w:p w14:paraId="60AE316C" w14:textId="77777777" w:rsidR="003D1B66" w:rsidRDefault="003D1B66" w:rsidP="003D1B66">
      <w:pPr>
        <w:bidi/>
        <w:spacing w:after="120"/>
        <w:jc w:val="center"/>
        <w:rPr>
          <w:rFonts w:eastAsia="Arial"/>
          <w:b/>
          <w:sz w:val="30"/>
          <w:rtl/>
        </w:rPr>
      </w:pPr>
    </w:p>
    <w:bookmarkEnd w:id="0"/>
    <w:p w14:paraId="15AAF459" w14:textId="77777777" w:rsidR="003D1B66" w:rsidRPr="002B3A3A" w:rsidRDefault="003D1B66" w:rsidP="003D1B66">
      <w:pPr>
        <w:bidi/>
        <w:spacing w:after="120"/>
        <w:jc w:val="both"/>
        <w:rPr>
          <w:rFonts w:eastAsia="Arial"/>
          <w:b/>
          <w:sz w:val="30"/>
        </w:rPr>
        <w:sectPr w:rsidR="003D1B66" w:rsidRPr="002B3A3A">
          <w:pgSz w:w="11906" w:h="16838"/>
          <w:pgMar w:top="1417" w:right="1276" w:bottom="1417" w:left="1701" w:header="0" w:footer="709" w:gutter="0"/>
          <w:pgBorders w:offsetFrom="page">
            <w:top w:val="thinThickSmallGap" w:sz="18" w:space="20" w:color="000000"/>
            <w:left w:val="thinThickSmallGap" w:sz="18" w:space="20" w:color="000000"/>
            <w:bottom w:val="thickThinSmallGap" w:sz="18" w:space="20" w:color="000000"/>
            <w:right w:val="thickThinSmallGap" w:sz="18" w:space="20" w:color="000000"/>
          </w:pgBorders>
          <w:pgNumType w:start="1"/>
          <w:cols w:space="720"/>
          <w:formProt w:val="0"/>
          <w:bidi/>
          <w:rtlGutter/>
          <w:docGrid w:linePitch="360"/>
        </w:sectPr>
      </w:pPr>
    </w:p>
    <w:p w14:paraId="5A6CB453" w14:textId="77777777" w:rsidR="003D1B66" w:rsidRDefault="003D1B66" w:rsidP="003D1B66">
      <w:pPr>
        <w:bidi/>
        <w:spacing w:after="120"/>
        <w:jc w:val="both"/>
        <w:rPr>
          <w:rFonts w:eastAsia="Arial"/>
          <w:bCs/>
          <w:sz w:val="72"/>
          <w:szCs w:val="32"/>
        </w:rPr>
      </w:pPr>
      <w:bookmarkStart w:id="1" w:name="_Hlk235047564"/>
    </w:p>
    <w:p w14:paraId="174EC49F" w14:textId="77777777" w:rsidR="003D1B66" w:rsidRPr="007F0AF7" w:rsidRDefault="003D1B66" w:rsidP="003D1B66">
      <w:pPr>
        <w:bidi/>
        <w:spacing w:after="120"/>
        <w:jc w:val="center"/>
        <w:rPr>
          <w:bCs/>
          <w:sz w:val="40"/>
          <w:szCs w:val="32"/>
        </w:rPr>
      </w:pPr>
      <w:r w:rsidRPr="007F0AF7">
        <w:rPr>
          <w:rFonts w:eastAsia="Arial"/>
          <w:bCs/>
          <w:sz w:val="72"/>
          <w:szCs w:val="32"/>
          <w:rtl/>
        </w:rPr>
        <w:t>بسم الله الرحمن الرحيم</w:t>
      </w:r>
    </w:p>
    <w:p w14:paraId="43D9D3E4" w14:textId="77777777" w:rsidR="003D1B66" w:rsidRPr="007F0AF7" w:rsidRDefault="003D1B66" w:rsidP="003D1B66">
      <w:pPr>
        <w:bidi/>
        <w:jc w:val="center"/>
        <w:rPr>
          <w:bCs/>
          <w:sz w:val="40"/>
          <w:szCs w:val="32"/>
        </w:rPr>
      </w:pPr>
    </w:p>
    <w:p w14:paraId="16A29A49" w14:textId="77777777" w:rsidR="003D1B66" w:rsidRPr="007F0AF7" w:rsidRDefault="003D1B66" w:rsidP="003D1B66">
      <w:pPr>
        <w:bidi/>
        <w:jc w:val="center"/>
        <w:rPr>
          <w:bCs/>
          <w:sz w:val="40"/>
          <w:szCs w:val="32"/>
        </w:rPr>
      </w:pPr>
    </w:p>
    <w:p w14:paraId="7705AECB" w14:textId="77777777" w:rsidR="003D1B66" w:rsidRPr="007F0AF7" w:rsidRDefault="003D1B66" w:rsidP="003D1B66">
      <w:pPr>
        <w:bidi/>
        <w:jc w:val="center"/>
        <w:rPr>
          <w:bCs/>
          <w:sz w:val="40"/>
          <w:szCs w:val="32"/>
        </w:rPr>
      </w:pPr>
    </w:p>
    <w:p w14:paraId="300F9E81" w14:textId="77777777" w:rsidR="003D1B66" w:rsidRPr="007F0AF7" w:rsidRDefault="003D1B66" w:rsidP="003D1B66">
      <w:pPr>
        <w:bidi/>
        <w:jc w:val="center"/>
        <w:rPr>
          <w:bCs/>
          <w:sz w:val="40"/>
          <w:szCs w:val="32"/>
        </w:rPr>
      </w:pPr>
    </w:p>
    <w:p w14:paraId="62407EF9" w14:textId="77777777" w:rsidR="003D1B66" w:rsidRPr="007F0AF7" w:rsidRDefault="003D1B66" w:rsidP="003D1B66">
      <w:pPr>
        <w:bidi/>
        <w:jc w:val="center"/>
        <w:rPr>
          <w:bCs/>
          <w:sz w:val="40"/>
          <w:szCs w:val="32"/>
        </w:rPr>
      </w:pPr>
    </w:p>
    <w:p w14:paraId="5F53F491" w14:textId="77777777" w:rsidR="003D1B66" w:rsidRPr="007F0AF7" w:rsidRDefault="003D1B66" w:rsidP="003D1B66">
      <w:pPr>
        <w:bidi/>
        <w:jc w:val="center"/>
        <w:rPr>
          <w:bCs/>
          <w:sz w:val="40"/>
          <w:szCs w:val="32"/>
        </w:rPr>
      </w:pPr>
    </w:p>
    <w:p w14:paraId="32DA3DE9" w14:textId="77777777" w:rsidR="003D1B66" w:rsidRPr="007F0AF7" w:rsidRDefault="003D1B66" w:rsidP="003D1B66">
      <w:pPr>
        <w:bidi/>
        <w:jc w:val="center"/>
        <w:rPr>
          <w:bCs/>
          <w:sz w:val="40"/>
          <w:szCs w:val="32"/>
        </w:rPr>
      </w:pPr>
    </w:p>
    <w:p w14:paraId="7985E84F" w14:textId="77777777" w:rsidR="003D1B66" w:rsidRPr="007F0AF7" w:rsidRDefault="003D1B66" w:rsidP="003D1B66">
      <w:pPr>
        <w:bidi/>
        <w:jc w:val="center"/>
        <w:rPr>
          <w:bCs/>
          <w:sz w:val="40"/>
          <w:szCs w:val="32"/>
        </w:rPr>
      </w:pPr>
    </w:p>
    <w:p w14:paraId="212E28A5" w14:textId="77777777" w:rsidR="003D1B66" w:rsidRPr="007F0AF7" w:rsidRDefault="003D1B66" w:rsidP="003D1B66">
      <w:pPr>
        <w:bidi/>
        <w:jc w:val="center"/>
        <w:rPr>
          <w:bCs/>
          <w:sz w:val="40"/>
          <w:szCs w:val="32"/>
        </w:rPr>
      </w:pPr>
    </w:p>
    <w:p w14:paraId="02DA04DB" w14:textId="77777777" w:rsidR="003D1B66" w:rsidRPr="007F0AF7" w:rsidRDefault="003D1B66" w:rsidP="003D1B66">
      <w:pPr>
        <w:bidi/>
        <w:jc w:val="center"/>
        <w:rPr>
          <w:bCs/>
          <w:sz w:val="40"/>
          <w:szCs w:val="32"/>
        </w:rPr>
      </w:pPr>
    </w:p>
    <w:p w14:paraId="00F900E8" w14:textId="77777777" w:rsidR="003D1B66" w:rsidRPr="007F0AF7" w:rsidRDefault="003D1B66" w:rsidP="003D1B66">
      <w:pPr>
        <w:bidi/>
        <w:spacing w:after="120"/>
        <w:jc w:val="center"/>
        <w:rPr>
          <w:bCs/>
          <w:sz w:val="40"/>
          <w:szCs w:val="32"/>
        </w:rPr>
      </w:pPr>
      <w:r w:rsidRPr="007F0AF7">
        <w:rPr>
          <w:rFonts w:eastAsia="Arial"/>
          <w:bCs/>
          <w:sz w:val="48"/>
          <w:szCs w:val="32"/>
          <w:rtl/>
        </w:rPr>
        <w:t>«وَقُلْ رَبِّ زِدْنِي عِلْمًا»</w:t>
      </w:r>
    </w:p>
    <w:p w14:paraId="6BA4725D" w14:textId="77777777" w:rsidR="003D1B66" w:rsidRPr="000B70EB" w:rsidRDefault="003D1B66" w:rsidP="003D1B66">
      <w:pPr>
        <w:bidi/>
        <w:jc w:val="both"/>
      </w:pPr>
      <w:r>
        <w:br w:type="page"/>
      </w:r>
      <w:bookmarkEnd w:id="1"/>
    </w:p>
    <w:p w14:paraId="1EC43F76" w14:textId="77777777" w:rsidR="003D1B66" w:rsidRPr="00603DEC" w:rsidRDefault="003D1B66" w:rsidP="003D1B66">
      <w:pPr>
        <w:suppressAutoHyphens w:val="0"/>
        <w:bidi/>
        <w:spacing w:after="160" w:line="259" w:lineRule="auto"/>
        <w:jc w:val="center"/>
        <w:rPr>
          <w:b/>
          <w:bCs/>
          <w:sz w:val="52"/>
          <w:szCs w:val="52"/>
        </w:rPr>
      </w:pPr>
      <w:r w:rsidRPr="00603DEC">
        <w:rPr>
          <w:rFonts w:hint="cs"/>
          <w:b/>
          <w:bCs/>
          <w:sz w:val="52"/>
          <w:szCs w:val="52"/>
          <w:rtl/>
        </w:rPr>
        <w:lastRenderedPageBreak/>
        <w:t>الإهداء</w:t>
      </w:r>
    </w:p>
    <w:p w14:paraId="69C344E4" w14:textId="77777777" w:rsidR="003D1B66" w:rsidRPr="00BF4CD3" w:rsidRDefault="003D1B66" w:rsidP="003D1B66">
      <w:pPr>
        <w:suppressAutoHyphens w:val="0"/>
        <w:bidi/>
        <w:spacing w:after="160" w:line="259" w:lineRule="auto"/>
        <w:jc w:val="both"/>
        <w:rPr>
          <w:szCs w:val="28"/>
        </w:rPr>
      </w:pPr>
    </w:p>
    <w:p w14:paraId="0336D36C" w14:textId="77777777" w:rsidR="003D1B66" w:rsidRPr="00BF4CD3" w:rsidRDefault="003D1B66" w:rsidP="003D1B66">
      <w:pPr>
        <w:suppressAutoHyphens w:val="0"/>
        <w:bidi/>
        <w:spacing w:after="160" w:line="259" w:lineRule="auto"/>
        <w:jc w:val="both"/>
        <w:rPr>
          <w:szCs w:val="28"/>
        </w:rPr>
      </w:pPr>
      <w:r w:rsidRPr="00BF4CD3">
        <w:rPr>
          <w:rFonts w:hint="cs"/>
          <w:szCs w:val="28"/>
          <w:rtl/>
        </w:rPr>
        <w:t xml:space="preserve">الى </w:t>
      </w:r>
      <w:r w:rsidRPr="00BF4CD3">
        <w:rPr>
          <w:szCs w:val="28"/>
          <w:rtl/>
        </w:rPr>
        <w:t>زوجي الغال</w:t>
      </w:r>
      <w:r w:rsidRPr="00BF4CD3">
        <w:rPr>
          <w:rFonts w:hint="cs"/>
          <w:szCs w:val="28"/>
          <w:rtl/>
        </w:rPr>
        <w:t>ي</w:t>
      </w:r>
    </w:p>
    <w:p w14:paraId="69597B9F" w14:textId="77777777" w:rsidR="003D1B66" w:rsidRPr="00BF4CD3" w:rsidRDefault="003D1B66" w:rsidP="003D1B66">
      <w:pPr>
        <w:suppressAutoHyphens w:val="0"/>
        <w:bidi/>
        <w:spacing w:after="160" w:line="259" w:lineRule="auto"/>
        <w:jc w:val="both"/>
        <w:rPr>
          <w:szCs w:val="28"/>
        </w:rPr>
      </w:pPr>
    </w:p>
    <w:p w14:paraId="28E8751B" w14:textId="77777777" w:rsidR="003D1B66" w:rsidRPr="00BF4CD3" w:rsidRDefault="003D1B66" w:rsidP="003D1B66">
      <w:pPr>
        <w:suppressAutoHyphens w:val="0"/>
        <w:bidi/>
        <w:spacing w:after="160" w:line="259" w:lineRule="auto"/>
        <w:jc w:val="both"/>
        <w:rPr>
          <w:szCs w:val="28"/>
        </w:rPr>
      </w:pPr>
      <w:r w:rsidRPr="00BF4CD3">
        <w:rPr>
          <w:szCs w:val="28"/>
          <w:rtl/>
        </w:rPr>
        <w:t>إلى سندي ورفيق دربي، الذي كان خير معينٍ لي بعد الله، وشريك رحلتي في كل خطوة، أشكرك على صبرك ودعمك وتشجيعك الدائم، وعلى إيمانك بي في الأوقات التي احتجت فيها إلى من يثق بقدرتي على الاستمرار</w:t>
      </w:r>
      <w:r w:rsidRPr="00BF4CD3">
        <w:rPr>
          <w:szCs w:val="28"/>
        </w:rPr>
        <w:t>.</w:t>
      </w:r>
    </w:p>
    <w:p w14:paraId="78E15E54" w14:textId="77777777" w:rsidR="003D1B66" w:rsidRPr="00BF4CD3" w:rsidRDefault="003D1B66" w:rsidP="003D1B66">
      <w:pPr>
        <w:suppressAutoHyphens w:val="0"/>
        <w:bidi/>
        <w:spacing w:after="160" w:line="259" w:lineRule="auto"/>
        <w:jc w:val="both"/>
        <w:rPr>
          <w:szCs w:val="28"/>
        </w:rPr>
      </w:pPr>
    </w:p>
    <w:p w14:paraId="78ECAE54" w14:textId="77777777" w:rsidR="003D1B66" w:rsidRPr="00BF4CD3" w:rsidRDefault="003D1B66" w:rsidP="003D1B66">
      <w:pPr>
        <w:suppressAutoHyphens w:val="0"/>
        <w:bidi/>
        <w:spacing w:after="160" w:line="259" w:lineRule="auto"/>
        <w:jc w:val="both"/>
        <w:rPr>
          <w:szCs w:val="28"/>
        </w:rPr>
      </w:pPr>
      <w:r w:rsidRPr="00BF4CD3">
        <w:rPr>
          <w:szCs w:val="28"/>
          <w:rtl/>
        </w:rPr>
        <w:t>هذا الإنجاز لم يكن لي وحدي، بل هو ثمرة محبتك ومساندتك، فلك مني كل الامتنان والتقدير</w:t>
      </w:r>
    </w:p>
    <w:p w14:paraId="2AE8C96C" w14:textId="77777777" w:rsidR="003D1B66" w:rsidRPr="00BF4CD3" w:rsidRDefault="003D1B66" w:rsidP="003D1B66">
      <w:pPr>
        <w:suppressAutoHyphens w:val="0"/>
        <w:bidi/>
        <w:spacing w:after="160" w:line="259" w:lineRule="auto"/>
        <w:jc w:val="both"/>
        <w:rPr>
          <w:szCs w:val="28"/>
        </w:rPr>
      </w:pPr>
    </w:p>
    <w:p w14:paraId="3F840648" w14:textId="77777777" w:rsidR="003D1B66" w:rsidRPr="00BF4CD3" w:rsidRDefault="003D1B66" w:rsidP="003D1B66">
      <w:pPr>
        <w:suppressAutoHyphens w:val="0"/>
        <w:bidi/>
        <w:spacing w:after="160" w:line="259" w:lineRule="auto"/>
        <w:jc w:val="both"/>
        <w:rPr>
          <w:szCs w:val="28"/>
          <w:rtl/>
        </w:rPr>
      </w:pPr>
      <w:r w:rsidRPr="00BF4CD3">
        <w:rPr>
          <w:szCs w:val="28"/>
          <w:rtl/>
        </w:rPr>
        <w:t>أهديك هذا العمل بكل فخر ومحبة، وأسأل الله أن يديم بيننا المودة والرحمة، وأن يجعل هذا النجاح بدايةً لنجاحاتٍ أكبر نحققها معً</w:t>
      </w:r>
      <w:r w:rsidRPr="00BF4CD3">
        <w:rPr>
          <w:rFonts w:hint="cs"/>
          <w:szCs w:val="28"/>
          <w:rtl/>
        </w:rPr>
        <w:t>ا</w:t>
      </w:r>
    </w:p>
    <w:p w14:paraId="46F1CE06" w14:textId="77777777" w:rsidR="003D1B66" w:rsidRPr="00BF4CD3" w:rsidRDefault="003D1B66" w:rsidP="003D1B66">
      <w:pPr>
        <w:suppressAutoHyphens w:val="0"/>
        <w:bidi/>
        <w:spacing w:after="160" w:line="259" w:lineRule="auto"/>
        <w:jc w:val="both"/>
        <w:rPr>
          <w:szCs w:val="28"/>
          <w:rtl/>
        </w:rPr>
      </w:pPr>
      <w:r w:rsidRPr="00BF4CD3">
        <w:rPr>
          <w:szCs w:val="28"/>
          <w:rtl/>
        </w:rPr>
        <w:t>إلى والديّ الكريمين، مصدر العطاء والدعاء، وإلى أسرتي التي أحاطتني بالصبر والتشجيع، وإلى كل معلمٍ وزميلٍ وصديق أسهم بكلمة أو موقف في إتمام هذه الرحلة العلمية؛ أهدي هذا العمل المتواضع،سائلة الله أن يجعله علماً نافعاً وخطوة في خد القطاع الصحي والمجتمع</w:t>
      </w:r>
    </w:p>
    <w:p w14:paraId="45799C2A" w14:textId="77777777" w:rsidR="003D1B66" w:rsidRDefault="003D1B66" w:rsidP="003D1B66">
      <w:pPr>
        <w:bidi/>
        <w:jc w:val="both"/>
      </w:pPr>
      <w:r>
        <w:br w:type="page"/>
      </w:r>
    </w:p>
    <w:p w14:paraId="6568C4E2" w14:textId="77777777" w:rsidR="003D1B66" w:rsidRPr="00603DEC" w:rsidRDefault="003D1B66" w:rsidP="003D1B66">
      <w:pPr>
        <w:pStyle w:val="1"/>
        <w:bidi/>
        <w:spacing w:before="0"/>
        <w:jc w:val="center"/>
        <w:rPr>
          <w:sz w:val="52"/>
          <w:szCs w:val="52"/>
        </w:rPr>
      </w:pPr>
      <w:r w:rsidRPr="00603DEC">
        <w:rPr>
          <w:rFonts w:ascii="Arial" w:eastAsia="Arial" w:hAnsi="Arial" w:cs="Arial"/>
          <w:sz w:val="52"/>
          <w:szCs w:val="52"/>
          <w:rtl/>
        </w:rPr>
        <w:lastRenderedPageBreak/>
        <w:t>شكر وتقدير</w:t>
      </w:r>
    </w:p>
    <w:p w14:paraId="7F55F2D5" w14:textId="77777777" w:rsidR="003D1B66" w:rsidRPr="00BF4CD3" w:rsidRDefault="003D1B66" w:rsidP="003D1B66">
      <w:pPr>
        <w:bidi/>
        <w:jc w:val="both"/>
        <w:rPr>
          <w:szCs w:val="28"/>
        </w:rPr>
      </w:pPr>
    </w:p>
    <w:p w14:paraId="1F51C254" w14:textId="77777777" w:rsidR="003D1B66" w:rsidRPr="00BF4CD3" w:rsidRDefault="003D1B66" w:rsidP="003D1B66">
      <w:pPr>
        <w:bidi/>
        <w:jc w:val="both"/>
        <w:rPr>
          <w:szCs w:val="28"/>
        </w:rPr>
      </w:pPr>
    </w:p>
    <w:p w14:paraId="1E98C831" w14:textId="77777777" w:rsidR="003D1B66" w:rsidRPr="00BF4CD3" w:rsidRDefault="003D1B66" w:rsidP="003D1B66">
      <w:pPr>
        <w:bidi/>
        <w:spacing w:after="120" w:line="360" w:lineRule="auto"/>
        <w:ind w:firstLine="397"/>
        <w:jc w:val="both"/>
        <w:rPr>
          <w:szCs w:val="28"/>
        </w:rPr>
      </w:pPr>
      <w:r w:rsidRPr="00BF4CD3">
        <w:rPr>
          <w:rFonts w:eastAsia="Arial"/>
          <w:szCs w:val="28"/>
        </w:rPr>
        <w:t>الحمد لله رب العالمين، والصلاة والسلام على سيدنا محمد وعلى آله وصحبه أجمعين</w:t>
      </w:r>
      <w:r>
        <w:rPr>
          <w:rFonts w:eastAsia="Arial" w:hint="cs"/>
          <w:szCs w:val="28"/>
          <w:rtl/>
        </w:rPr>
        <w:t xml:space="preserve"> </w:t>
      </w:r>
      <w:r w:rsidRPr="00BF4CD3">
        <w:rPr>
          <w:rFonts w:eastAsia="Arial"/>
          <w:szCs w:val="28"/>
        </w:rPr>
        <w:t>أتقدم بخالص الشكر والتقدير إلى المشرفين الكريمين د. الفيصل عبد الحميد محمد حسن ود. فايز جراد، لما قدماه من توجيه علمي وملاحظات منهجية أسهمت في تطوير هذه الدراسة. كما أتوجه بالشكر إلى جامعة ميدأوشن وكلية الإدارة، وإلى المحكمين والمتخصصين الذين أسهموا في مراجعة أداة الدراسة، وإلى القيادات والكوادر الصحية والإدارية والمهنية الذين تفضلوا بالمشاركة في الاستبانة، من أطباء وممرضين وصيادلة وفنيين وممارسين صحيين، إلى جانب العاملين في الإدارة والجودة والمخاطر والامتثال. وأشكر أسرتي وزملائي وكل من ساندني طوال مراحل البحث أسأل الله أن يجزي الجميع خير الجزاء، وأن يجعل هذا العمل نافعاً ومثمراً</w:t>
      </w:r>
    </w:p>
    <w:p w14:paraId="6644B1B3" w14:textId="77777777" w:rsidR="003D1B66" w:rsidRPr="00D05645" w:rsidRDefault="003D1B66" w:rsidP="003D1B66">
      <w:pPr>
        <w:bidi/>
        <w:jc w:val="both"/>
        <w:rPr>
          <w:b/>
          <w:bCs/>
          <w:sz w:val="32"/>
          <w:szCs w:val="24"/>
        </w:rPr>
      </w:pPr>
      <w:r w:rsidRPr="007F0AF7">
        <w:rPr>
          <w:b/>
          <w:bCs/>
          <w:sz w:val="36"/>
          <w:szCs w:val="28"/>
        </w:rPr>
        <w:br w:type="page"/>
      </w:r>
    </w:p>
    <w:p w14:paraId="74621F2E" w14:textId="77777777" w:rsidR="003D1B66" w:rsidRPr="00D05645" w:rsidRDefault="003D1B66" w:rsidP="003D1B66">
      <w:pPr>
        <w:pStyle w:val="1"/>
        <w:bidi/>
        <w:spacing w:before="0"/>
        <w:jc w:val="both"/>
        <w:rPr>
          <w:sz w:val="36"/>
        </w:rPr>
      </w:pPr>
      <w:r w:rsidRPr="00D05645">
        <w:rPr>
          <w:rFonts w:ascii="Arial" w:eastAsia="Arial" w:hAnsi="Arial" w:cs="Arial"/>
          <w:sz w:val="36"/>
          <w:rtl/>
        </w:rPr>
        <w:lastRenderedPageBreak/>
        <w:t>فهرس المحتويات</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4465"/>
        <w:gridCol w:w="4463"/>
      </w:tblGrid>
      <w:tr w:rsidR="003D1B66" w:rsidRPr="00BF4CD3" w14:paraId="6BBA91FD" w14:textId="77777777" w:rsidTr="000B46B5">
        <w:trPr>
          <w:tblHeader/>
          <w:jc w:val="center"/>
        </w:trPr>
        <w:tc>
          <w:tcPr>
            <w:tcW w:w="4464" w:type="dxa"/>
            <w:shd w:val="clear" w:color="auto" w:fill="F2F2F2" w:themeFill="background1" w:themeFillShade="F2"/>
            <w:vAlign w:val="center"/>
          </w:tcPr>
          <w:p w14:paraId="73530AEA" w14:textId="77777777" w:rsidR="003D1B66" w:rsidRPr="00BF4CD3" w:rsidRDefault="003D1B66" w:rsidP="000B46B5">
            <w:pPr>
              <w:bidi/>
              <w:jc w:val="both"/>
              <w:rPr>
                <w:bCs/>
                <w:sz w:val="18"/>
                <w:szCs w:val="18"/>
              </w:rPr>
            </w:pPr>
            <w:r w:rsidRPr="00BF4CD3">
              <w:rPr>
                <w:rFonts w:eastAsia="Arial"/>
                <w:bCs/>
                <w:sz w:val="18"/>
                <w:szCs w:val="18"/>
              </w:rPr>
              <w:t>الموضوع</w:t>
            </w:r>
          </w:p>
        </w:tc>
        <w:tc>
          <w:tcPr>
            <w:tcW w:w="4463" w:type="dxa"/>
            <w:shd w:val="clear" w:color="auto" w:fill="F2F2F2" w:themeFill="background1" w:themeFillShade="F2"/>
            <w:vAlign w:val="center"/>
          </w:tcPr>
          <w:p w14:paraId="53D69FBA" w14:textId="77777777" w:rsidR="003D1B66" w:rsidRPr="00BF4CD3" w:rsidRDefault="003D1B66" w:rsidP="000B46B5">
            <w:pPr>
              <w:bidi/>
              <w:jc w:val="both"/>
              <w:rPr>
                <w:bCs/>
                <w:sz w:val="18"/>
                <w:szCs w:val="18"/>
              </w:rPr>
            </w:pPr>
            <w:r w:rsidRPr="00BF4CD3">
              <w:rPr>
                <w:rFonts w:eastAsia="Arial"/>
                <w:bCs/>
                <w:sz w:val="18"/>
                <w:szCs w:val="18"/>
              </w:rPr>
              <w:t>الصفحة</w:t>
            </w:r>
          </w:p>
        </w:tc>
      </w:tr>
      <w:tr w:rsidR="003D1B66" w:rsidRPr="00BF4CD3" w14:paraId="4E6EABDD" w14:textId="77777777" w:rsidTr="000B46B5">
        <w:trPr>
          <w:jc w:val="center"/>
        </w:trPr>
        <w:tc>
          <w:tcPr>
            <w:tcW w:w="4464" w:type="dxa"/>
            <w:shd w:val="clear" w:color="auto" w:fill="F2F2F2" w:themeFill="background1" w:themeFillShade="F2"/>
            <w:vAlign w:val="center"/>
          </w:tcPr>
          <w:p w14:paraId="6F7F7491" w14:textId="77777777" w:rsidR="003D1B66" w:rsidRPr="00BF4CD3" w:rsidRDefault="003D1B66" w:rsidP="000B46B5">
            <w:pPr>
              <w:bidi/>
              <w:jc w:val="both"/>
              <w:rPr>
                <w:bCs/>
                <w:sz w:val="18"/>
                <w:szCs w:val="18"/>
              </w:rPr>
            </w:pPr>
            <w:r w:rsidRPr="00BF4CD3">
              <w:rPr>
                <w:rFonts w:eastAsia="Arial"/>
                <w:bCs/>
                <w:sz w:val="18"/>
                <w:szCs w:val="18"/>
              </w:rPr>
              <w:t xml:space="preserve">بسم الله الرحمن </w:t>
            </w:r>
            <w:r w:rsidRPr="00BF4CD3">
              <w:rPr>
                <w:rFonts w:eastAsia="Arial"/>
                <w:bCs/>
                <w:sz w:val="18"/>
                <w:szCs w:val="18"/>
                <w:rtl/>
              </w:rPr>
              <w:t>الرحيمي</w:t>
            </w:r>
          </w:p>
        </w:tc>
        <w:tc>
          <w:tcPr>
            <w:tcW w:w="4463" w:type="dxa"/>
            <w:shd w:val="clear" w:color="auto" w:fill="F2F2F2" w:themeFill="background1" w:themeFillShade="F2"/>
            <w:vAlign w:val="center"/>
          </w:tcPr>
          <w:p w14:paraId="07A7E0FB" w14:textId="77777777" w:rsidR="003D1B66" w:rsidRPr="00BF4CD3" w:rsidRDefault="003D1B66" w:rsidP="000B46B5">
            <w:pPr>
              <w:bidi/>
              <w:jc w:val="both"/>
              <w:rPr>
                <w:bCs/>
                <w:sz w:val="18"/>
                <w:szCs w:val="18"/>
              </w:rPr>
            </w:pPr>
            <w:r w:rsidRPr="00BF4CD3">
              <w:rPr>
                <w:rFonts w:eastAsia="Arial"/>
                <w:bCs/>
                <w:sz w:val="18"/>
                <w:szCs w:val="18"/>
              </w:rPr>
              <w:t>I</w:t>
            </w:r>
          </w:p>
        </w:tc>
      </w:tr>
      <w:tr w:rsidR="003D1B66" w:rsidRPr="00BF4CD3" w14:paraId="0C91A9ED" w14:textId="77777777" w:rsidTr="000B46B5">
        <w:trPr>
          <w:jc w:val="center"/>
        </w:trPr>
        <w:tc>
          <w:tcPr>
            <w:tcW w:w="4464" w:type="dxa"/>
            <w:shd w:val="clear" w:color="auto" w:fill="F2F2F2" w:themeFill="background1" w:themeFillShade="F2"/>
            <w:vAlign w:val="center"/>
          </w:tcPr>
          <w:p w14:paraId="06C41D59" w14:textId="77777777" w:rsidR="003D1B66" w:rsidRPr="00BF4CD3" w:rsidRDefault="003D1B66" w:rsidP="000B46B5">
            <w:pPr>
              <w:bidi/>
              <w:jc w:val="both"/>
              <w:rPr>
                <w:bCs/>
                <w:sz w:val="18"/>
                <w:szCs w:val="18"/>
              </w:rPr>
            </w:pPr>
            <w:r w:rsidRPr="00BF4CD3">
              <w:rPr>
                <w:rFonts w:eastAsia="Arial"/>
                <w:bCs/>
                <w:sz w:val="18"/>
                <w:szCs w:val="18"/>
              </w:rPr>
              <w:t>إهداء</w:t>
            </w:r>
          </w:p>
        </w:tc>
        <w:tc>
          <w:tcPr>
            <w:tcW w:w="4463" w:type="dxa"/>
            <w:shd w:val="clear" w:color="auto" w:fill="F2F2F2" w:themeFill="background1" w:themeFillShade="F2"/>
            <w:vAlign w:val="center"/>
          </w:tcPr>
          <w:p w14:paraId="2CA68D90" w14:textId="77777777" w:rsidR="003D1B66" w:rsidRPr="00BF4CD3" w:rsidRDefault="003D1B66" w:rsidP="000B46B5">
            <w:pPr>
              <w:bidi/>
              <w:jc w:val="both"/>
              <w:rPr>
                <w:bCs/>
                <w:sz w:val="18"/>
                <w:szCs w:val="18"/>
              </w:rPr>
            </w:pPr>
            <w:r w:rsidRPr="00BF4CD3">
              <w:rPr>
                <w:rFonts w:eastAsia="Arial"/>
                <w:bCs/>
                <w:sz w:val="18"/>
                <w:szCs w:val="18"/>
              </w:rPr>
              <w:t>Ii</w:t>
            </w:r>
          </w:p>
        </w:tc>
      </w:tr>
      <w:tr w:rsidR="003D1B66" w:rsidRPr="00BF4CD3" w14:paraId="72C88EDD" w14:textId="77777777" w:rsidTr="000B46B5">
        <w:trPr>
          <w:jc w:val="center"/>
        </w:trPr>
        <w:tc>
          <w:tcPr>
            <w:tcW w:w="4464" w:type="dxa"/>
            <w:shd w:val="clear" w:color="auto" w:fill="F2F2F2" w:themeFill="background1" w:themeFillShade="F2"/>
            <w:vAlign w:val="center"/>
          </w:tcPr>
          <w:p w14:paraId="4B30B00E" w14:textId="77777777" w:rsidR="003D1B66" w:rsidRPr="00BF4CD3" w:rsidRDefault="003D1B66" w:rsidP="000B46B5">
            <w:pPr>
              <w:bidi/>
              <w:jc w:val="both"/>
              <w:rPr>
                <w:bCs/>
                <w:sz w:val="18"/>
                <w:szCs w:val="18"/>
              </w:rPr>
            </w:pPr>
            <w:r w:rsidRPr="00BF4CD3">
              <w:rPr>
                <w:rFonts w:eastAsia="Arial"/>
                <w:bCs/>
                <w:sz w:val="18"/>
                <w:szCs w:val="18"/>
              </w:rPr>
              <w:t>شكر وتقدير</w:t>
            </w:r>
          </w:p>
        </w:tc>
        <w:tc>
          <w:tcPr>
            <w:tcW w:w="4463" w:type="dxa"/>
            <w:shd w:val="clear" w:color="auto" w:fill="F2F2F2" w:themeFill="background1" w:themeFillShade="F2"/>
            <w:vAlign w:val="center"/>
          </w:tcPr>
          <w:p w14:paraId="25DEE374" w14:textId="77777777" w:rsidR="003D1B66" w:rsidRPr="00BF4CD3" w:rsidRDefault="003D1B66" w:rsidP="000B46B5">
            <w:pPr>
              <w:bidi/>
              <w:jc w:val="both"/>
              <w:rPr>
                <w:bCs/>
                <w:sz w:val="18"/>
                <w:szCs w:val="18"/>
              </w:rPr>
            </w:pPr>
            <w:r w:rsidRPr="00BF4CD3">
              <w:rPr>
                <w:rFonts w:eastAsia="Arial"/>
                <w:bCs/>
                <w:sz w:val="18"/>
                <w:szCs w:val="18"/>
              </w:rPr>
              <w:t>Iii</w:t>
            </w:r>
          </w:p>
        </w:tc>
      </w:tr>
      <w:tr w:rsidR="003D1B66" w:rsidRPr="00BF4CD3" w14:paraId="731ED0C4" w14:textId="77777777" w:rsidTr="000B46B5">
        <w:trPr>
          <w:jc w:val="center"/>
        </w:trPr>
        <w:tc>
          <w:tcPr>
            <w:tcW w:w="4464" w:type="dxa"/>
            <w:shd w:val="clear" w:color="auto" w:fill="F2F2F2" w:themeFill="background1" w:themeFillShade="F2"/>
            <w:vAlign w:val="center"/>
          </w:tcPr>
          <w:p w14:paraId="131D9732" w14:textId="77777777" w:rsidR="003D1B66" w:rsidRPr="00BF4CD3" w:rsidRDefault="003D1B66" w:rsidP="000B46B5">
            <w:pPr>
              <w:bidi/>
              <w:jc w:val="both"/>
              <w:rPr>
                <w:bCs/>
                <w:sz w:val="18"/>
                <w:szCs w:val="18"/>
              </w:rPr>
            </w:pPr>
            <w:r w:rsidRPr="00BF4CD3">
              <w:rPr>
                <w:rFonts w:eastAsia="Arial"/>
                <w:bCs/>
                <w:sz w:val="18"/>
                <w:szCs w:val="18"/>
              </w:rPr>
              <w:t>فهرس المحتويات</w:t>
            </w:r>
          </w:p>
        </w:tc>
        <w:tc>
          <w:tcPr>
            <w:tcW w:w="4463" w:type="dxa"/>
            <w:shd w:val="clear" w:color="auto" w:fill="F2F2F2" w:themeFill="background1" w:themeFillShade="F2"/>
            <w:vAlign w:val="center"/>
          </w:tcPr>
          <w:p w14:paraId="713E03A5" w14:textId="77777777" w:rsidR="003D1B66" w:rsidRPr="00BF4CD3" w:rsidRDefault="003D1B66" w:rsidP="000B46B5">
            <w:pPr>
              <w:bidi/>
              <w:jc w:val="both"/>
              <w:rPr>
                <w:bCs/>
                <w:sz w:val="18"/>
                <w:szCs w:val="18"/>
              </w:rPr>
            </w:pPr>
            <w:r w:rsidRPr="00BF4CD3">
              <w:rPr>
                <w:rFonts w:eastAsia="Arial"/>
                <w:bCs/>
                <w:sz w:val="18"/>
                <w:szCs w:val="18"/>
              </w:rPr>
              <w:t>Iv</w:t>
            </w:r>
          </w:p>
        </w:tc>
      </w:tr>
      <w:tr w:rsidR="003D1B66" w:rsidRPr="00BF4CD3" w14:paraId="12BD5BF7" w14:textId="77777777" w:rsidTr="000B46B5">
        <w:trPr>
          <w:jc w:val="center"/>
        </w:trPr>
        <w:tc>
          <w:tcPr>
            <w:tcW w:w="4464" w:type="dxa"/>
            <w:shd w:val="clear" w:color="auto" w:fill="F2F2F2" w:themeFill="background1" w:themeFillShade="F2"/>
            <w:vAlign w:val="center"/>
          </w:tcPr>
          <w:p w14:paraId="003BEAEA" w14:textId="77777777" w:rsidR="003D1B66" w:rsidRPr="00BF4CD3" w:rsidRDefault="003D1B66" w:rsidP="000B46B5">
            <w:pPr>
              <w:bidi/>
              <w:jc w:val="both"/>
              <w:rPr>
                <w:bCs/>
                <w:sz w:val="18"/>
                <w:szCs w:val="18"/>
              </w:rPr>
            </w:pPr>
            <w:r w:rsidRPr="00BF4CD3">
              <w:rPr>
                <w:rFonts w:eastAsia="Arial"/>
                <w:bCs/>
                <w:sz w:val="18"/>
                <w:szCs w:val="18"/>
              </w:rPr>
              <w:t>قائمة الجداول</w:t>
            </w:r>
          </w:p>
        </w:tc>
        <w:tc>
          <w:tcPr>
            <w:tcW w:w="4463" w:type="dxa"/>
            <w:shd w:val="clear" w:color="auto" w:fill="F2F2F2" w:themeFill="background1" w:themeFillShade="F2"/>
            <w:vAlign w:val="center"/>
          </w:tcPr>
          <w:p w14:paraId="15AFC24A" w14:textId="77777777" w:rsidR="003D1B66" w:rsidRPr="00BF4CD3" w:rsidRDefault="003D1B66" w:rsidP="000B46B5">
            <w:pPr>
              <w:bidi/>
              <w:jc w:val="both"/>
              <w:rPr>
                <w:bCs/>
                <w:sz w:val="18"/>
                <w:szCs w:val="18"/>
              </w:rPr>
            </w:pPr>
            <w:r w:rsidRPr="00BF4CD3">
              <w:rPr>
                <w:rFonts w:eastAsia="Arial"/>
                <w:bCs/>
                <w:sz w:val="18"/>
                <w:szCs w:val="18"/>
              </w:rPr>
              <w:t>Ix</w:t>
            </w:r>
          </w:p>
        </w:tc>
      </w:tr>
      <w:tr w:rsidR="003D1B66" w:rsidRPr="00BF4CD3" w14:paraId="613FF1CD" w14:textId="77777777" w:rsidTr="000B46B5">
        <w:trPr>
          <w:jc w:val="center"/>
        </w:trPr>
        <w:tc>
          <w:tcPr>
            <w:tcW w:w="4464" w:type="dxa"/>
            <w:shd w:val="clear" w:color="auto" w:fill="F2F2F2" w:themeFill="background1" w:themeFillShade="F2"/>
            <w:vAlign w:val="center"/>
          </w:tcPr>
          <w:p w14:paraId="057DD4BA" w14:textId="77777777" w:rsidR="003D1B66" w:rsidRPr="00BF4CD3" w:rsidRDefault="003D1B66" w:rsidP="000B46B5">
            <w:pPr>
              <w:bidi/>
              <w:jc w:val="both"/>
              <w:rPr>
                <w:bCs/>
                <w:sz w:val="18"/>
                <w:szCs w:val="18"/>
              </w:rPr>
            </w:pPr>
            <w:r w:rsidRPr="00BF4CD3">
              <w:rPr>
                <w:rFonts w:eastAsia="Arial"/>
                <w:bCs/>
                <w:sz w:val="18"/>
                <w:szCs w:val="18"/>
              </w:rPr>
              <w:t>فهرس الأشكال</w:t>
            </w:r>
          </w:p>
        </w:tc>
        <w:tc>
          <w:tcPr>
            <w:tcW w:w="4463" w:type="dxa"/>
            <w:shd w:val="clear" w:color="auto" w:fill="F2F2F2" w:themeFill="background1" w:themeFillShade="F2"/>
            <w:vAlign w:val="center"/>
          </w:tcPr>
          <w:p w14:paraId="47569FDE" w14:textId="77777777" w:rsidR="003D1B66" w:rsidRPr="00BF4CD3" w:rsidRDefault="003D1B66" w:rsidP="000B46B5">
            <w:pPr>
              <w:bidi/>
              <w:jc w:val="both"/>
              <w:rPr>
                <w:bCs/>
                <w:sz w:val="18"/>
                <w:szCs w:val="18"/>
              </w:rPr>
            </w:pPr>
            <w:r w:rsidRPr="00BF4CD3">
              <w:rPr>
                <w:rFonts w:eastAsia="Arial"/>
                <w:bCs/>
                <w:sz w:val="18"/>
                <w:szCs w:val="18"/>
              </w:rPr>
              <w:t>Xiii</w:t>
            </w:r>
          </w:p>
        </w:tc>
      </w:tr>
      <w:tr w:rsidR="003D1B66" w:rsidRPr="00BF4CD3" w14:paraId="24581DAB" w14:textId="77777777" w:rsidTr="000B46B5">
        <w:trPr>
          <w:jc w:val="center"/>
        </w:trPr>
        <w:tc>
          <w:tcPr>
            <w:tcW w:w="4464" w:type="dxa"/>
            <w:shd w:val="clear" w:color="auto" w:fill="F2F2F2" w:themeFill="background1" w:themeFillShade="F2"/>
            <w:vAlign w:val="center"/>
          </w:tcPr>
          <w:p w14:paraId="6D2C35F0" w14:textId="77777777" w:rsidR="003D1B66" w:rsidRPr="00BF4CD3" w:rsidRDefault="003D1B66" w:rsidP="000B46B5">
            <w:pPr>
              <w:bidi/>
              <w:jc w:val="both"/>
              <w:rPr>
                <w:bCs/>
                <w:sz w:val="18"/>
                <w:szCs w:val="18"/>
              </w:rPr>
            </w:pPr>
            <w:r w:rsidRPr="00BF4CD3">
              <w:rPr>
                <w:rFonts w:eastAsia="Arial"/>
                <w:bCs/>
                <w:sz w:val="18"/>
                <w:szCs w:val="18"/>
              </w:rPr>
              <w:t>المستخلص</w:t>
            </w:r>
          </w:p>
        </w:tc>
        <w:tc>
          <w:tcPr>
            <w:tcW w:w="4463" w:type="dxa"/>
            <w:shd w:val="clear" w:color="auto" w:fill="F2F2F2" w:themeFill="background1" w:themeFillShade="F2"/>
            <w:vAlign w:val="center"/>
          </w:tcPr>
          <w:p w14:paraId="541E2AAD" w14:textId="77777777" w:rsidR="003D1B66" w:rsidRPr="00BF4CD3" w:rsidRDefault="003D1B66" w:rsidP="000B46B5">
            <w:pPr>
              <w:bidi/>
              <w:jc w:val="both"/>
              <w:rPr>
                <w:bCs/>
                <w:sz w:val="18"/>
                <w:szCs w:val="18"/>
              </w:rPr>
            </w:pPr>
            <w:r w:rsidRPr="00BF4CD3">
              <w:rPr>
                <w:rFonts w:eastAsia="Arial"/>
                <w:bCs/>
                <w:sz w:val="18"/>
                <w:szCs w:val="18"/>
              </w:rPr>
              <w:t>Xiv</w:t>
            </w:r>
          </w:p>
        </w:tc>
      </w:tr>
      <w:tr w:rsidR="003D1B66" w:rsidRPr="00BF4CD3" w14:paraId="57369FD0" w14:textId="77777777" w:rsidTr="000B46B5">
        <w:trPr>
          <w:jc w:val="center"/>
        </w:trPr>
        <w:tc>
          <w:tcPr>
            <w:tcW w:w="4464" w:type="dxa"/>
            <w:shd w:val="clear" w:color="auto" w:fill="F2F2F2" w:themeFill="background1" w:themeFillShade="F2"/>
            <w:vAlign w:val="center"/>
          </w:tcPr>
          <w:p w14:paraId="6376F565" w14:textId="77777777" w:rsidR="003D1B66" w:rsidRPr="00BF4CD3" w:rsidRDefault="003D1B66" w:rsidP="000B46B5">
            <w:pPr>
              <w:bidi/>
              <w:jc w:val="both"/>
              <w:rPr>
                <w:bCs/>
                <w:sz w:val="18"/>
                <w:szCs w:val="18"/>
              </w:rPr>
            </w:pPr>
            <w:r w:rsidRPr="00BF4CD3">
              <w:rPr>
                <w:rFonts w:eastAsia="Arial"/>
                <w:bCs/>
                <w:sz w:val="18"/>
                <w:szCs w:val="18"/>
              </w:rPr>
              <w:t>Abstract</w:t>
            </w:r>
          </w:p>
        </w:tc>
        <w:tc>
          <w:tcPr>
            <w:tcW w:w="4463" w:type="dxa"/>
            <w:shd w:val="clear" w:color="auto" w:fill="F2F2F2" w:themeFill="background1" w:themeFillShade="F2"/>
            <w:vAlign w:val="center"/>
          </w:tcPr>
          <w:p w14:paraId="65B12072" w14:textId="77777777" w:rsidR="003D1B66" w:rsidRPr="00BF4CD3" w:rsidRDefault="003D1B66" w:rsidP="000B46B5">
            <w:pPr>
              <w:bidi/>
              <w:jc w:val="both"/>
              <w:rPr>
                <w:bCs/>
                <w:sz w:val="18"/>
                <w:szCs w:val="18"/>
              </w:rPr>
            </w:pPr>
            <w:r w:rsidRPr="00BF4CD3">
              <w:rPr>
                <w:rFonts w:eastAsia="Arial"/>
                <w:bCs/>
                <w:sz w:val="18"/>
                <w:szCs w:val="18"/>
              </w:rPr>
              <w:t>Xv</w:t>
            </w:r>
          </w:p>
        </w:tc>
      </w:tr>
      <w:tr w:rsidR="003D1B66" w:rsidRPr="00BF4CD3" w14:paraId="219D0CAF" w14:textId="77777777" w:rsidTr="000B46B5">
        <w:trPr>
          <w:jc w:val="center"/>
        </w:trPr>
        <w:tc>
          <w:tcPr>
            <w:tcW w:w="4464" w:type="dxa"/>
            <w:shd w:val="clear" w:color="auto" w:fill="F2F2F2" w:themeFill="background1" w:themeFillShade="F2"/>
            <w:vAlign w:val="center"/>
          </w:tcPr>
          <w:p w14:paraId="659DC5B4" w14:textId="77777777" w:rsidR="003D1B66" w:rsidRPr="00BF4CD3" w:rsidRDefault="003D1B66" w:rsidP="000B46B5">
            <w:pPr>
              <w:bidi/>
              <w:jc w:val="both"/>
              <w:rPr>
                <w:bCs/>
                <w:sz w:val="18"/>
                <w:szCs w:val="18"/>
              </w:rPr>
            </w:pPr>
            <w:r w:rsidRPr="00BF4CD3">
              <w:rPr>
                <w:rFonts w:eastAsia="Arial"/>
                <w:bCs/>
                <w:sz w:val="18"/>
                <w:szCs w:val="18"/>
              </w:rPr>
              <w:t>الفصل الأول: الإطار العام للدراسة</w:t>
            </w:r>
          </w:p>
        </w:tc>
        <w:tc>
          <w:tcPr>
            <w:tcW w:w="4463" w:type="dxa"/>
            <w:shd w:val="clear" w:color="auto" w:fill="F2F2F2" w:themeFill="background1" w:themeFillShade="F2"/>
            <w:vAlign w:val="center"/>
          </w:tcPr>
          <w:p w14:paraId="70B66DBE" w14:textId="77777777" w:rsidR="003D1B66" w:rsidRPr="00BF4CD3" w:rsidRDefault="003D1B66" w:rsidP="000B46B5">
            <w:pPr>
              <w:bidi/>
              <w:jc w:val="both"/>
              <w:rPr>
                <w:bCs/>
                <w:sz w:val="18"/>
                <w:szCs w:val="18"/>
              </w:rPr>
            </w:pPr>
            <w:r w:rsidRPr="00BF4CD3">
              <w:rPr>
                <w:rFonts w:eastAsia="Arial"/>
                <w:bCs/>
                <w:sz w:val="18"/>
                <w:szCs w:val="18"/>
              </w:rPr>
              <w:t>1</w:t>
            </w:r>
          </w:p>
        </w:tc>
      </w:tr>
      <w:tr w:rsidR="003D1B66" w:rsidRPr="00BF4CD3" w14:paraId="6C81219E" w14:textId="77777777" w:rsidTr="000B46B5">
        <w:trPr>
          <w:jc w:val="center"/>
        </w:trPr>
        <w:tc>
          <w:tcPr>
            <w:tcW w:w="4464" w:type="dxa"/>
            <w:shd w:val="clear" w:color="auto" w:fill="F2F2F2" w:themeFill="background1" w:themeFillShade="F2"/>
            <w:vAlign w:val="center"/>
          </w:tcPr>
          <w:p w14:paraId="20FC5664" w14:textId="77777777" w:rsidR="003D1B66" w:rsidRPr="00BF4CD3" w:rsidRDefault="003D1B66" w:rsidP="000B46B5">
            <w:pPr>
              <w:bidi/>
              <w:jc w:val="both"/>
              <w:rPr>
                <w:bCs/>
                <w:sz w:val="18"/>
                <w:szCs w:val="18"/>
              </w:rPr>
            </w:pPr>
            <w:r w:rsidRPr="00BF4CD3">
              <w:rPr>
                <w:rFonts w:eastAsia="Arial"/>
                <w:bCs/>
                <w:sz w:val="18"/>
                <w:szCs w:val="18"/>
              </w:rPr>
              <w:t>1-1 مقدمة الدراسة</w:t>
            </w:r>
          </w:p>
        </w:tc>
        <w:tc>
          <w:tcPr>
            <w:tcW w:w="4463" w:type="dxa"/>
            <w:shd w:val="clear" w:color="auto" w:fill="F2F2F2" w:themeFill="background1" w:themeFillShade="F2"/>
            <w:vAlign w:val="center"/>
          </w:tcPr>
          <w:p w14:paraId="0B8AF261" w14:textId="77777777" w:rsidR="003D1B66" w:rsidRPr="00BF4CD3" w:rsidRDefault="003D1B66" w:rsidP="000B46B5">
            <w:pPr>
              <w:bidi/>
              <w:jc w:val="both"/>
              <w:rPr>
                <w:bCs/>
                <w:sz w:val="18"/>
                <w:szCs w:val="18"/>
              </w:rPr>
            </w:pPr>
            <w:r w:rsidRPr="00BF4CD3">
              <w:rPr>
                <w:rFonts w:eastAsia="Arial"/>
                <w:bCs/>
                <w:sz w:val="18"/>
                <w:szCs w:val="18"/>
              </w:rPr>
              <w:t>2</w:t>
            </w:r>
          </w:p>
        </w:tc>
      </w:tr>
      <w:tr w:rsidR="003D1B66" w:rsidRPr="00BF4CD3" w14:paraId="77876720" w14:textId="77777777" w:rsidTr="000B46B5">
        <w:trPr>
          <w:jc w:val="center"/>
        </w:trPr>
        <w:tc>
          <w:tcPr>
            <w:tcW w:w="4464" w:type="dxa"/>
            <w:shd w:val="clear" w:color="auto" w:fill="F2F2F2" w:themeFill="background1" w:themeFillShade="F2"/>
            <w:vAlign w:val="center"/>
          </w:tcPr>
          <w:p w14:paraId="30F394F3" w14:textId="77777777" w:rsidR="003D1B66" w:rsidRPr="00BF4CD3" w:rsidRDefault="003D1B66" w:rsidP="000B46B5">
            <w:pPr>
              <w:bidi/>
              <w:jc w:val="both"/>
              <w:rPr>
                <w:bCs/>
                <w:sz w:val="18"/>
                <w:szCs w:val="18"/>
              </w:rPr>
            </w:pPr>
            <w:r w:rsidRPr="00BF4CD3">
              <w:rPr>
                <w:rFonts w:eastAsia="Arial"/>
                <w:bCs/>
                <w:sz w:val="18"/>
                <w:szCs w:val="18"/>
              </w:rPr>
              <w:t>1-2 مشكلة الدراسة</w:t>
            </w:r>
          </w:p>
        </w:tc>
        <w:tc>
          <w:tcPr>
            <w:tcW w:w="4463" w:type="dxa"/>
            <w:shd w:val="clear" w:color="auto" w:fill="F2F2F2" w:themeFill="background1" w:themeFillShade="F2"/>
            <w:vAlign w:val="center"/>
          </w:tcPr>
          <w:p w14:paraId="0BA5ED25" w14:textId="77777777" w:rsidR="003D1B66" w:rsidRPr="00BF4CD3" w:rsidRDefault="003D1B66" w:rsidP="000B46B5">
            <w:pPr>
              <w:bidi/>
              <w:jc w:val="both"/>
              <w:rPr>
                <w:bCs/>
                <w:sz w:val="18"/>
                <w:szCs w:val="18"/>
              </w:rPr>
            </w:pPr>
            <w:r w:rsidRPr="00BF4CD3">
              <w:rPr>
                <w:rFonts w:eastAsia="Arial"/>
                <w:bCs/>
                <w:sz w:val="18"/>
                <w:szCs w:val="18"/>
              </w:rPr>
              <w:t>5</w:t>
            </w:r>
          </w:p>
        </w:tc>
      </w:tr>
      <w:tr w:rsidR="003D1B66" w:rsidRPr="00BF4CD3" w14:paraId="00B9043A" w14:textId="77777777" w:rsidTr="000B46B5">
        <w:trPr>
          <w:jc w:val="center"/>
        </w:trPr>
        <w:tc>
          <w:tcPr>
            <w:tcW w:w="4464" w:type="dxa"/>
            <w:shd w:val="clear" w:color="auto" w:fill="F2F2F2" w:themeFill="background1" w:themeFillShade="F2"/>
            <w:vAlign w:val="center"/>
          </w:tcPr>
          <w:p w14:paraId="208C29CB" w14:textId="77777777" w:rsidR="003D1B66" w:rsidRPr="00BF4CD3" w:rsidRDefault="003D1B66" w:rsidP="000B46B5">
            <w:pPr>
              <w:bidi/>
              <w:jc w:val="both"/>
              <w:rPr>
                <w:bCs/>
                <w:sz w:val="18"/>
                <w:szCs w:val="18"/>
              </w:rPr>
            </w:pPr>
            <w:r w:rsidRPr="00BF4CD3">
              <w:rPr>
                <w:rFonts w:eastAsia="Arial"/>
                <w:bCs/>
                <w:sz w:val="18"/>
                <w:szCs w:val="18"/>
              </w:rPr>
              <w:t>1-3 أهمية الدراسة</w:t>
            </w:r>
          </w:p>
        </w:tc>
        <w:tc>
          <w:tcPr>
            <w:tcW w:w="4463" w:type="dxa"/>
            <w:shd w:val="clear" w:color="auto" w:fill="F2F2F2" w:themeFill="background1" w:themeFillShade="F2"/>
            <w:vAlign w:val="center"/>
          </w:tcPr>
          <w:p w14:paraId="3C2C0B44" w14:textId="77777777" w:rsidR="003D1B66" w:rsidRPr="00BF4CD3" w:rsidRDefault="003D1B66" w:rsidP="000B46B5">
            <w:pPr>
              <w:bidi/>
              <w:jc w:val="both"/>
              <w:rPr>
                <w:bCs/>
                <w:sz w:val="18"/>
                <w:szCs w:val="18"/>
              </w:rPr>
            </w:pPr>
            <w:r w:rsidRPr="00BF4CD3">
              <w:rPr>
                <w:rFonts w:eastAsia="Arial"/>
                <w:bCs/>
                <w:sz w:val="18"/>
                <w:szCs w:val="18"/>
              </w:rPr>
              <w:t>6</w:t>
            </w:r>
          </w:p>
        </w:tc>
      </w:tr>
      <w:tr w:rsidR="003D1B66" w:rsidRPr="00BF4CD3" w14:paraId="60A5D062" w14:textId="77777777" w:rsidTr="000B46B5">
        <w:trPr>
          <w:jc w:val="center"/>
        </w:trPr>
        <w:tc>
          <w:tcPr>
            <w:tcW w:w="4464" w:type="dxa"/>
            <w:shd w:val="clear" w:color="auto" w:fill="F2F2F2" w:themeFill="background1" w:themeFillShade="F2"/>
            <w:vAlign w:val="center"/>
          </w:tcPr>
          <w:p w14:paraId="54E3D459" w14:textId="77777777" w:rsidR="003D1B66" w:rsidRPr="00BF4CD3" w:rsidRDefault="003D1B66" w:rsidP="000B46B5">
            <w:pPr>
              <w:bidi/>
              <w:jc w:val="both"/>
              <w:rPr>
                <w:bCs/>
                <w:sz w:val="18"/>
                <w:szCs w:val="18"/>
              </w:rPr>
            </w:pPr>
            <w:r w:rsidRPr="00BF4CD3">
              <w:rPr>
                <w:rFonts w:eastAsia="Arial"/>
                <w:bCs/>
                <w:sz w:val="18"/>
                <w:szCs w:val="18"/>
              </w:rPr>
              <w:t>1-4 أهداف الدراسة</w:t>
            </w:r>
          </w:p>
        </w:tc>
        <w:tc>
          <w:tcPr>
            <w:tcW w:w="4463" w:type="dxa"/>
            <w:shd w:val="clear" w:color="auto" w:fill="F2F2F2" w:themeFill="background1" w:themeFillShade="F2"/>
            <w:vAlign w:val="center"/>
          </w:tcPr>
          <w:p w14:paraId="43564BC6" w14:textId="77777777" w:rsidR="003D1B66" w:rsidRPr="00BF4CD3" w:rsidRDefault="003D1B66" w:rsidP="000B46B5">
            <w:pPr>
              <w:bidi/>
              <w:jc w:val="both"/>
              <w:rPr>
                <w:bCs/>
                <w:sz w:val="18"/>
                <w:szCs w:val="18"/>
              </w:rPr>
            </w:pPr>
            <w:r w:rsidRPr="00BF4CD3">
              <w:rPr>
                <w:rFonts w:eastAsia="Arial"/>
                <w:bCs/>
                <w:sz w:val="18"/>
                <w:szCs w:val="18"/>
              </w:rPr>
              <w:t>6</w:t>
            </w:r>
          </w:p>
        </w:tc>
      </w:tr>
      <w:tr w:rsidR="003D1B66" w:rsidRPr="00BF4CD3" w14:paraId="24B78AE1" w14:textId="77777777" w:rsidTr="000B46B5">
        <w:trPr>
          <w:jc w:val="center"/>
        </w:trPr>
        <w:tc>
          <w:tcPr>
            <w:tcW w:w="4464" w:type="dxa"/>
            <w:shd w:val="clear" w:color="auto" w:fill="F2F2F2" w:themeFill="background1" w:themeFillShade="F2"/>
            <w:vAlign w:val="center"/>
          </w:tcPr>
          <w:p w14:paraId="54381731" w14:textId="77777777" w:rsidR="003D1B66" w:rsidRPr="00BF4CD3" w:rsidRDefault="003D1B66" w:rsidP="000B46B5">
            <w:pPr>
              <w:bidi/>
              <w:jc w:val="both"/>
              <w:rPr>
                <w:bCs/>
                <w:sz w:val="18"/>
                <w:szCs w:val="18"/>
              </w:rPr>
            </w:pPr>
            <w:r w:rsidRPr="00BF4CD3">
              <w:rPr>
                <w:rFonts w:eastAsia="Arial"/>
                <w:bCs/>
                <w:sz w:val="18"/>
                <w:szCs w:val="18"/>
              </w:rPr>
              <w:t>1-5 تساؤلات الدراسة</w:t>
            </w:r>
          </w:p>
        </w:tc>
        <w:tc>
          <w:tcPr>
            <w:tcW w:w="4463" w:type="dxa"/>
            <w:shd w:val="clear" w:color="auto" w:fill="F2F2F2" w:themeFill="background1" w:themeFillShade="F2"/>
            <w:vAlign w:val="center"/>
          </w:tcPr>
          <w:p w14:paraId="06DE999B" w14:textId="77777777" w:rsidR="003D1B66" w:rsidRPr="00BF4CD3" w:rsidRDefault="003D1B66" w:rsidP="000B46B5">
            <w:pPr>
              <w:bidi/>
              <w:jc w:val="both"/>
              <w:rPr>
                <w:bCs/>
                <w:sz w:val="18"/>
                <w:szCs w:val="18"/>
              </w:rPr>
            </w:pPr>
            <w:r w:rsidRPr="00BF4CD3">
              <w:rPr>
                <w:rFonts w:eastAsia="Arial"/>
                <w:bCs/>
                <w:sz w:val="18"/>
                <w:szCs w:val="18"/>
              </w:rPr>
              <w:t>7</w:t>
            </w:r>
          </w:p>
        </w:tc>
      </w:tr>
      <w:tr w:rsidR="003D1B66" w:rsidRPr="00BF4CD3" w14:paraId="07CCA76E" w14:textId="77777777" w:rsidTr="000B46B5">
        <w:trPr>
          <w:jc w:val="center"/>
        </w:trPr>
        <w:tc>
          <w:tcPr>
            <w:tcW w:w="4464" w:type="dxa"/>
            <w:shd w:val="clear" w:color="auto" w:fill="F2F2F2" w:themeFill="background1" w:themeFillShade="F2"/>
            <w:vAlign w:val="center"/>
          </w:tcPr>
          <w:p w14:paraId="30579CBA" w14:textId="77777777" w:rsidR="003D1B66" w:rsidRPr="00BF4CD3" w:rsidRDefault="003D1B66" w:rsidP="000B46B5">
            <w:pPr>
              <w:bidi/>
              <w:jc w:val="both"/>
              <w:rPr>
                <w:bCs/>
                <w:sz w:val="18"/>
                <w:szCs w:val="18"/>
              </w:rPr>
            </w:pPr>
            <w:r w:rsidRPr="00BF4CD3">
              <w:rPr>
                <w:rFonts w:eastAsia="Arial"/>
                <w:bCs/>
                <w:sz w:val="18"/>
                <w:szCs w:val="18"/>
              </w:rPr>
              <w:t>1-6 فروض الدراسة</w:t>
            </w:r>
          </w:p>
        </w:tc>
        <w:tc>
          <w:tcPr>
            <w:tcW w:w="4463" w:type="dxa"/>
            <w:shd w:val="clear" w:color="auto" w:fill="F2F2F2" w:themeFill="background1" w:themeFillShade="F2"/>
            <w:vAlign w:val="center"/>
          </w:tcPr>
          <w:p w14:paraId="2C244DE2" w14:textId="77777777" w:rsidR="003D1B66" w:rsidRPr="00BF4CD3" w:rsidRDefault="003D1B66" w:rsidP="000B46B5">
            <w:pPr>
              <w:bidi/>
              <w:jc w:val="both"/>
              <w:rPr>
                <w:bCs/>
                <w:sz w:val="18"/>
                <w:szCs w:val="18"/>
              </w:rPr>
            </w:pPr>
            <w:r w:rsidRPr="00BF4CD3">
              <w:rPr>
                <w:rFonts w:eastAsia="Arial"/>
                <w:bCs/>
                <w:sz w:val="18"/>
                <w:szCs w:val="18"/>
              </w:rPr>
              <w:t>7</w:t>
            </w:r>
          </w:p>
        </w:tc>
      </w:tr>
      <w:tr w:rsidR="003D1B66" w:rsidRPr="00BF4CD3" w14:paraId="67302E8E" w14:textId="77777777" w:rsidTr="000B46B5">
        <w:trPr>
          <w:jc w:val="center"/>
        </w:trPr>
        <w:tc>
          <w:tcPr>
            <w:tcW w:w="4464" w:type="dxa"/>
            <w:shd w:val="clear" w:color="auto" w:fill="F2F2F2" w:themeFill="background1" w:themeFillShade="F2"/>
            <w:vAlign w:val="center"/>
          </w:tcPr>
          <w:p w14:paraId="513FCFA5" w14:textId="77777777" w:rsidR="003D1B66" w:rsidRPr="00BF4CD3" w:rsidRDefault="003D1B66" w:rsidP="000B46B5">
            <w:pPr>
              <w:bidi/>
              <w:jc w:val="both"/>
              <w:rPr>
                <w:bCs/>
                <w:sz w:val="18"/>
                <w:szCs w:val="18"/>
              </w:rPr>
            </w:pPr>
            <w:r w:rsidRPr="00BF4CD3">
              <w:rPr>
                <w:rFonts w:eastAsia="Arial"/>
                <w:bCs/>
                <w:sz w:val="18"/>
                <w:szCs w:val="18"/>
              </w:rPr>
              <w:t>1-7 النظرية العلمية المتبعة لإعداد البحث</w:t>
            </w:r>
          </w:p>
        </w:tc>
        <w:tc>
          <w:tcPr>
            <w:tcW w:w="4463" w:type="dxa"/>
            <w:shd w:val="clear" w:color="auto" w:fill="F2F2F2" w:themeFill="background1" w:themeFillShade="F2"/>
            <w:vAlign w:val="center"/>
          </w:tcPr>
          <w:p w14:paraId="180DDEFC" w14:textId="77777777" w:rsidR="003D1B66" w:rsidRPr="00BF4CD3" w:rsidRDefault="003D1B66" w:rsidP="000B46B5">
            <w:pPr>
              <w:bidi/>
              <w:jc w:val="both"/>
              <w:rPr>
                <w:bCs/>
                <w:sz w:val="18"/>
                <w:szCs w:val="18"/>
              </w:rPr>
            </w:pPr>
            <w:r w:rsidRPr="00BF4CD3">
              <w:rPr>
                <w:rFonts w:eastAsia="Arial"/>
                <w:bCs/>
                <w:sz w:val="18"/>
                <w:szCs w:val="18"/>
              </w:rPr>
              <w:t>8</w:t>
            </w:r>
          </w:p>
        </w:tc>
      </w:tr>
    </w:tbl>
    <w:p w14:paraId="3E76E297" w14:textId="77777777" w:rsidR="003D1B66" w:rsidRPr="00D05645" w:rsidRDefault="003D1B66" w:rsidP="003D1B66">
      <w:pPr>
        <w:bidi/>
        <w:jc w:val="both"/>
        <w:rPr>
          <w:sz w:val="24"/>
          <w:szCs w:val="20"/>
        </w:rPr>
      </w:pPr>
      <w:r w:rsidRPr="00D05645">
        <w:rPr>
          <w:sz w:val="24"/>
          <w:szCs w:val="20"/>
        </w:rPr>
        <w:br w:type="page"/>
      </w:r>
    </w:p>
    <w:p w14:paraId="71DF8EFF" w14:textId="77777777" w:rsidR="003D1B66" w:rsidRPr="00D05645" w:rsidRDefault="003D1B66" w:rsidP="003D1B66">
      <w:pPr>
        <w:pStyle w:val="1"/>
        <w:bidi/>
        <w:spacing w:before="0"/>
        <w:jc w:val="both"/>
        <w:rPr>
          <w:sz w:val="36"/>
        </w:rPr>
      </w:pPr>
      <w:r w:rsidRPr="00D05645">
        <w:rPr>
          <w:rFonts w:ascii="Arial" w:eastAsia="Arial" w:hAnsi="Arial" w:cs="Arial"/>
          <w:sz w:val="36"/>
          <w:rtl/>
        </w:rPr>
        <w:lastRenderedPageBreak/>
        <w:t>فهرس المحتويات - تابع</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4465"/>
        <w:gridCol w:w="4463"/>
      </w:tblGrid>
      <w:tr w:rsidR="003D1B66" w:rsidRPr="00BF4CD3" w14:paraId="27CA2369" w14:textId="77777777" w:rsidTr="000B46B5">
        <w:trPr>
          <w:tblHeader/>
          <w:jc w:val="center"/>
        </w:trPr>
        <w:tc>
          <w:tcPr>
            <w:tcW w:w="4464" w:type="dxa"/>
            <w:shd w:val="clear" w:color="auto" w:fill="F2F2F2" w:themeFill="background1" w:themeFillShade="F2"/>
            <w:vAlign w:val="center"/>
          </w:tcPr>
          <w:p w14:paraId="287DCC2B" w14:textId="77777777" w:rsidR="003D1B66" w:rsidRPr="00BF4CD3" w:rsidRDefault="003D1B66" w:rsidP="000B46B5">
            <w:pPr>
              <w:bidi/>
              <w:jc w:val="both"/>
              <w:rPr>
                <w:bCs/>
                <w:sz w:val="18"/>
                <w:szCs w:val="18"/>
              </w:rPr>
            </w:pPr>
            <w:r w:rsidRPr="00BF4CD3">
              <w:rPr>
                <w:rFonts w:eastAsia="Arial"/>
                <w:bCs/>
                <w:sz w:val="18"/>
                <w:szCs w:val="18"/>
              </w:rPr>
              <w:t>الموضوع</w:t>
            </w:r>
          </w:p>
        </w:tc>
        <w:tc>
          <w:tcPr>
            <w:tcW w:w="4463" w:type="dxa"/>
            <w:shd w:val="clear" w:color="auto" w:fill="F2F2F2" w:themeFill="background1" w:themeFillShade="F2"/>
            <w:vAlign w:val="center"/>
          </w:tcPr>
          <w:p w14:paraId="7D0E4716" w14:textId="77777777" w:rsidR="003D1B66" w:rsidRPr="00BF4CD3" w:rsidRDefault="003D1B66" w:rsidP="000B46B5">
            <w:pPr>
              <w:bidi/>
              <w:jc w:val="both"/>
              <w:rPr>
                <w:bCs/>
                <w:sz w:val="18"/>
                <w:szCs w:val="18"/>
              </w:rPr>
            </w:pPr>
            <w:r w:rsidRPr="00BF4CD3">
              <w:rPr>
                <w:rFonts w:eastAsia="Arial"/>
                <w:bCs/>
                <w:sz w:val="18"/>
                <w:szCs w:val="18"/>
              </w:rPr>
              <w:t>الصفحة</w:t>
            </w:r>
          </w:p>
        </w:tc>
      </w:tr>
      <w:tr w:rsidR="003D1B66" w:rsidRPr="00BF4CD3" w14:paraId="6B98A468" w14:textId="77777777" w:rsidTr="000B46B5">
        <w:trPr>
          <w:jc w:val="center"/>
        </w:trPr>
        <w:tc>
          <w:tcPr>
            <w:tcW w:w="4464" w:type="dxa"/>
            <w:shd w:val="clear" w:color="auto" w:fill="F2F2F2" w:themeFill="background1" w:themeFillShade="F2"/>
            <w:vAlign w:val="center"/>
          </w:tcPr>
          <w:p w14:paraId="10BD35E9" w14:textId="77777777" w:rsidR="003D1B66" w:rsidRPr="00BF4CD3" w:rsidRDefault="003D1B66" w:rsidP="000B46B5">
            <w:pPr>
              <w:bidi/>
              <w:jc w:val="both"/>
              <w:rPr>
                <w:bCs/>
                <w:sz w:val="18"/>
                <w:szCs w:val="18"/>
              </w:rPr>
            </w:pPr>
            <w:r w:rsidRPr="00BF4CD3">
              <w:rPr>
                <w:rFonts w:eastAsia="Arial"/>
                <w:bCs/>
                <w:sz w:val="18"/>
                <w:szCs w:val="18"/>
              </w:rPr>
              <w:t>1-8 نموذج الدراسة ومتغيراتها</w:t>
            </w:r>
          </w:p>
        </w:tc>
        <w:tc>
          <w:tcPr>
            <w:tcW w:w="4463" w:type="dxa"/>
            <w:shd w:val="clear" w:color="auto" w:fill="F2F2F2" w:themeFill="background1" w:themeFillShade="F2"/>
            <w:vAlign w:val="center"/>
          </w:tcPr>
          <w:p w14:paraId="45C9D90D" w14:textId="77777777" w:rsidR="003D1B66" w:rsidRPr="00BF4CD3" w:rsidRDefault="003D1B66" w:rsidP="000B46B5">
            <w:pPr>
              <w:bidi/>
              <w:jc w:val="both"/>
              <w:rPr>
                <w:bCs/>
                <w:sz w:val="18"/>
                <w:szCs w:val="18"/>
              </w:rPr>
            </w:pPr>
            <w:r w:rsidRPr="00BF4CD3">
              <w:rPr>
                <w:rFonts w:eastAsia="Arial"/>
                <w:bCs/>
                <w:sz w:val="18"/>
                <w:szCs w:val="18"/>
              </w:rPr>
              <w:t>9</w:t>
            </w:r>
          </w:p>
        </w:tc>
      </w:tr>
      <w:tr w:rsidR="003D1B66" w:rsidRPr="00BF4CD3" w14:paraId="1564CB1F" w14:textId="77777777" w:rsidTr="000B46B5">
        <w:trPr>
          <w:jc w:val="center"/>
        </w:trPr>
        <w:tc>
          <w:tcPr>
            <w:tcW w:w="4464" w:type="dxa"/>
            <w:shd w:val="clear" w:color="auto" w:fill="F2F2F2" w:themeFill="background1" w:themeFillShade="F2"/>
            <w:vAlign w:val="center"/>
          </w:tcPr>
          <w:p w14:paraId="59E81E12" w14:textId="77777777" w:rsidR="003D1B66" w:rsidRPr="00BF4CD3" w:rsidRDefault="003D1B66" w:rsidP="000B46B5">
            <w:pPr>
              <w:bidi/>
              <w:jc w:val="both"/>
              <w:rPr>
                <w:bCs/>
                <w:sz w:val="18"/>
                <w:szCs w:val="18"/>
              </w:rPr>
            </w:pPr>
            <w:r w:rsidRPr="00BF4CD3">
              <w:rPr>
                <w:rFonts w:eastAsia="Arial"/>
                <w:bCs/>
                <w:sz w:val="18"/>
                <w:szCs w:val="18"/>
              </w:rPr>
              <w:t>1-9 حدود الدراسة</w:t>
            </w:r>
          </w:p>
        </w:tc>
        <w:tc>
          <w:tcPr>
            <w:tcW w:w="4463" w:type="dxa"/>
            <w:shd w:val="clear" w:color="auto" w:fill="F2F2F2" w:themeFill="background1" w:themeFillShade="F2"/>
            <w:vAlign w:val="center"/>
          </w:tcPr>
          <w:p w14:paraId="38D66EC8" w14:textId="77777777" w:rsidR="003D1B66" w:rsidRPr="00BF4CD3" w:rsidRDefault="003D1B66" w:rsidP="000B46B5">
            <w:pPr>
              <w:bidi/>
              <w:jc w:val="both"/>
              <w:rPr>
                <w:bCs/>
                <w:sz w:val="18"/>
                <w:szCs w:val="18"/>
              </w:rPr>
            </w:pPr>
            <w:r w:rsidRPr="00BF4CD3">
              <w:rPr>
                <w:rFonts w:eastAsia="Arial"/>
                <w:bCs/>
                <w:sz w:val="18"/>
                <w:szCs w:val="18"/>
              </w:rPr>
              <w:t>11</w:t>
            </w:r>
          </w:p>
        </w:tc>
      </w:tr>
      <w:tr w:rsidR="003D1B66" w:rsidRPr="00BF4CD3" w14:paraId="25E4552E" w14:textId="77777777" w:rsidTr="000B46B5">
        <w:trPr>
          <w:jc w:val="center"/>
        </w:trPr>
        <w:tc>
          <w:tcPr>
            <w:tcW w:w="4464" w:type="dxa"/>
            <w:shd w:val="clear" w:color="auto" w:fill="F2F2F2" w:themeFill="background1" w:themeFillShade="F2"/>
            <w:vAlign w:val="center"/>
          </w:tcPr>
          <w:p w14:paraId="56D11D48" w14:textId="77777777" w:rsidR="003D1B66" w:rsidRPr="00BF4CD3" w:rsidRDefault="003D1B66" w:rsidP="000B46B5">
            <w:pPr>
              <w:bidi/>
              <w:jc w:val="both"/>
              <w:rPr>
                <w:bCs/>
                <w:sz w:val="18"/>
                <w:szCs w:val="18"/>
              </w:rPr>
            </w:pPr>
            <w:r w:rsidRPr="00BF4CD3">
              <w:rPr>
                <w:rFonts w:eastAsia="Arial"/>
                <w:bCs/>
                <w:sz w:val="18"/>
                <w:szCs w:val="18"/>
              </w:rPr>
              <w:t>1-10 مصطلحات الدراسة وتعريفاتها الإجرائية</w:t>
            </w:r>
          </w:p>
        </w:tc>
        <w:tc>
          <w:tcPr>
            <w:tcW w:w="4463" w:type="dxa"/>
            <w:shd w:val="clear" w:color="auto" w:fill="F2F2F2" w:themeFill="background1" w:themeFillShade="F2"/>
            <w:vAlign w:val="center"/>
          </w:tcPr>
          <w:p w14:paraId="2F5D35C3" w14:textId="77777777" w:rsidR="003D1B66" w:rsidRPr="00BF4CD3" w:rsidRDefault="003D1B66" w:rsidP="000B46B5">
            <w:pPr>
              <w:bidi/>
              <w:jc w:val="both"/>
              <w:rPr>
                <w:bCs/>
                <w:sz w:val="18"/>
                <w:szCs w:val="18"/>
              </w:rPr>
            </w:pPr>
            <w:r>
              <w:rPr>
                <w:rFonts w:eastAsia="Arial"/>
                <w:bCs/>
                <w:sz w:val="18"/>
                <w:szCs w:val="18"/>
              </w:rPr>
              <w:t>11</w:t>
            </w:r>
          </w:p>
        </w:tc>
      </w:tr>
      <w:tr w:rsidR="003D1B66" w:rsidRPr="00BF4CD3" w14:paraId="5763120E" w14:textId="77777777" w:rsidTr="000B46B5">
        <w:trPr>
          <w:jc w:val="center"/>
        </w:trPr>
        <w:tc>
          <w:tcPr>
            <w:tcW w:w="4464" w:type="dxa"/>
            <w:shd w:val="clear" w:color="auto" w:fill="F2F2F2" w:themeFill="background1" w:themeFillShade="F2"/>
            <w:vAlign w:val="center"/>
          </w:tcPr>
          <w:p w14:paraId="43A4894C" w14:textId="77777777" w:rsidR="003D1B66" w:rsidRPr="00BF4CD3" w:rsidRDefault="003D1B66" w:rsidP="000B46B5">
            <w:pPr>
              <w:bidi/>
              <w:jc w:val="both"/>
              <w:rPr>
                <w:bCs/>
                <w:sz w:val="18"/>
                <w:szCs w:val="18"/>
              </w:rPr>
            </w:pPr>
            <w:r w:rsidRPr="00BF4CD3">
              <w:rPr>
                <w:rFonts w:eastAsia="Arial"/>
                <w:bCs/>
                <w:sz w:val="18"/>
                <w:szCs w:val="18"/>
              </w:rPr>
              <w:t>1-11 المنهجية الأولية المقترحة</w:t>
            </w:r>
          </w:p>
        </w:tc>
        <w:tc>
          <w:tcPr>
            <w:tcW w:w="4463" w:type="dxa"/>
            <w:shd w:val="clear" w:color="auto" w:fill="F2F2F2" w:themeFill="background1" w:themeFillShade="F2"/>
            <w:vAlign w:val="center"/>
          </w:tcPr>
          <w:p w14:paraId="1A33FC4F" w14:textId="77777777" w:rsidR="003D1B66" w:rsidRPr="00BF4CD3" w:rsidRDefault="003D1B66" w:rsidP="000B46B5">
            <w:pPr>
              <w:bidi/>
              <w:jc w:val="both"/>
              <w:rPr>
                <w:bCs/>
                <w:sz w:val="18"/>
                <w:szCs w:val="18"/>
              </w:rPr>
            </w:pPr>
            <w:r>
              <w:rPr>
                <w:rFonts w:eastAsia="Arial"/>
                <w:bCs/>
                <w:sz w:val="18"/>
                <w:szCs w:val="18"/>
              </w:rPr>
              <w:t>12</w:t>
            </w:r>
          </w:p>
        </w:tc>
      </w:tr>
      <w:tr w:rsidR="003D1B66" w:rsidRPr="00BF4CD3" w14:paraId="22219754" w14:textId="77777777" w:rsidTr="000B46B5">
        <w:trPr>
          <w:jc w:val="center"/>
        </w:trPr>
        <w:tc>
          <w:tcPr>
            <w:tcW w:w="4464" w:type="dxa"/>
            <w:shd w:val="clear" w:color="auto" w:fill="F2F2F2" w:themeFill="background1" w:themeFillShade="F2"/>
            <w:vAlign w:val="center"/>
          </w:tcPr>
          <w:p w14:paraId="0EB87523" w14:textId="77777777" w:rsidR="003D1B66" w:rsidRPr="00BF4CD3" w:rsidRDefault="003D1B66" w:rsidP="000B46B5">
            <w:pPr>
              <w:bidi/>
              <w:jc w:val="both"/>
              <w:rPr>
                <w:bCs/>
                <w:sz w:val="18"/>
                <w:szCs w:val="18"/>
              </w:rPr>
            </w:pPr>
            <w:r w:rsidRPr="00BF4CD3">
              <w:rPr>
                <w:rFonts w:eastAsia="Arial"/>
                <w:bCs/>
                <w:sz w:val="18"/>
                <w:szCs w:val="18"/>
              </w:rPr>
              <w:t>1-12 هيكل الدراسة</w:t>
            </w:r>
          </w:p>
        </w:tc>
        <w:tc>
          <w:tcPr>
            <w:tcW w:w="4463" w:type="dxa"/>
            <w:shd w:val="clear" w:color="auto" w:fill="F2F2F2" w:themeFill="background1" w:themeFillShade="F2"/>
            <w:vAlign w:val="center"/>
          </w:tcPr>
          <w:p w14:paraId="55726F38" w14:textId="77777777" w:rsidR="003D1B66" w:rsidRPr="00BF4CD3" w:rsidRDefault="003D1B66" w:rsidP="000B46B5">
            <w:pPr>
              <w:bidi/>
              <w:jc w:val="both"/>
              <w:rPr>
                <w:bCs/>
                <w:sz w:val="18"/>
                <w:szCs w:val="18"/>
              </w:rPr>
            </w:pPr>
            <w:r>
              <w:rPr>
                <w:rFonts w:eastAsia="Arial"/>
                <w:bCs/>
                <w:sz w:val="18"/>
                <w:szCs w:val="18"/>
              </w:rPr>
              <w:t>13</w:t>
            </w:r>
          </w:p>
        </w:tc>
      </w:tr>
      <w:tr w:rsidR="003D1B66" w:rsidRPr="00BF4CD3" w14:paraId="26707A39" w14:textId="77777777" w:rsidTr="000B46B5">
        <w:trPr>
          <w:jc w:val="center"/>
        </w:trPr>
        <w:tc>
          <w:tcPr>
            <w:tcW w:w="4464" w:type="dxa"/>
            <w:shd w:val="clear" w:color="auto" w:fill="F2F2F2" w:themeFill="background1" w:themeFillShade="F2"/>
            <w:vAlign w:val="center"/>
          </w:tcPr>
          <w:p w14:paraId="7DB73F23" w14:textId="77777777" w:rsidR="003D1B66" w:rsidRPr="00BF4CD3" w:rsidRDefault="003D1B66" w:rsidP="000B46B5">
            <w:pPr>
              <w:bidi/>
              <w:jc w:val="both"/>
              <w:rPr>
                <w:bCs/>
                <w:sz w:val="18"/>
                <w:szCs w:val="18"/>
              </w:rPr>
            </w:pPr>
            <w:r w:rsidRPr="00BF4CD3">
              <w:rPr>
                <w:rFonts w:eastAsia="Arial"/>
                <w:bCs/>
                <w:sz w:val="18"/>
                <w:szCs w:val="18"/>
              </w:rPr>
              <w:t>1-13 خلاصة الفصل</w:t>
            </w:r>
          </w:p>
        </w:tc>
        <w:tc>
          <w:tcPr>
            <w:tcW w:w="4463" w:type="dxa"/>
            <w:shd w:val="clear" w:color="auto" w:fill="F2F2F2" w:themeFill="background1" w:themeFillShade="F2"/>
            <w:vAlign w:val="center"/>
          </w:tcPr>
          <w:p w14:paraId="79FE28CF" w14:textId="77777777" w:rsidR="003D1B66" w:rsidRPr="00BF4CD3" w:rsidRDefault="003D1B66" w:rsidP="000B46B5">
            <w:pPr>
              <w:bidi/>
              <w:jc w:val="both"/>
              <w:rPr>
                <w:bCs/>
                <w:sz w:val="18"/>
                <w:szCs w:val="18"/>
              </w:rPr>
            </w:pPr>
            <w:r>
              <w:rPr>
                <w:bCs/>
                <w:sz w:val="18"/>
                <w:szCs w:val="18"/>
              </w:rPr>
              <w:t>14</w:t>
            </w:r>
          </w:p>
        </w:tc>
      </w:tr>
      <w:tr w:rsidR="003D1B66" w:rsidRPr="00BF4CD3" w14:paraId="06B3AC99" w14:textId="77777777" w:rsidTr="000B46B5">
        <w:trPr>
          <w:jc w:val="center"/>
        </w:trPr>
        <w:tc>
          <w:tcPr>
            <w:tcW w:w="4464" w:type="dxa"/>
            <w:shd w:val="clear" w:color="auto" w:fill="F2F2F2" w:themeFill="background1" w:themeFillShade="F2"/>
            <w:vAlign w:val="center"/>
          </w:tcPr>
          <w:p w14:paraId="440D9B46" w14:textId="77777777" w:rsidR="003D1B66" w:rsidRPr="00BF4CD3" w:rsidRDefault="003D1B66" w:rsidP="000B46B5">
            <w:pPr>
              <w:bidi/>
              <w:jc w:val="both"/>
              <w:rPr>
                <w:bCs/>
                <w:sz w:val="18"/>
                <w:szCs w:val="18"/>
              </w:rPr>
            </w:pPr>
            <w:r w:rsidRPr="00BF4CD3">
              <w:rPr>
                <w:rFonts w:eastAsia="Arial"/>
                <w:bCs/>
                <w:sz w:val="18"/>
                <w:szCs w:val="18"/>
              </w:rPr>
              <w:t>الفصل الثاني: الدراسات السابقة والإطار النظري</w:t>
            </w:r>
          </w:p>
        </w:tc>
        <w:tc>
          <w:tcPr>
            <w:tcW w:w="4463" w:type="dxa"/>
            <w:shd w:val="clear" w:color="auto" w:fill="F2F2F2" w:themeFill="background1" w:themeFillShade="F2"/>
            <w:vAlign w:val="center"/>
          </w:tcPr>
          <w:p w14:paraId="590A999B" w14:textId="77777777" w:rsidR="003D1B66" w:rsidRPr="00BF4CD3" w:rsidRDefault="003D1B66" w:rsidP="000B46B5">
            <w:pPr>
              <w:bidi/>
              <w:jc w:val="both"/>
              <w:rPr>
                <w:bCs/>
                <w:sz w:val="18"/>
                <w:szCs w:val="18"/>
              </w:rPr>
            </w:pPr>
            <w:r>
              <w:rPr>
                <w:bCs/>
                <w:sz w:val="18"/>
                <w:szCs w:val="18"/>
              </w:rPr>
              <w:t>15</w:t>
            </w:r>
          </w:p>
        </w:tc>
      </w:tr>
      <w:tr w:rsidR="003D1B66" w:rsidRPr="00BF4CD3" w14:paraId="1DDDA2AC" w14:textId="77777777" w:rsidTr="000B46B5">
        <w:trPr>
          <w:jc w:val="center"/>
        </w:trPr>
        <w:tc>
          <w:tcPr>
            <w:tcW w:w="4464" w:type="dxa"/>
            <w:shd w:val="clear" w:color="auto" w:fill="F2F2F2" w:themeFill="background1" w:themeFillShade="F2"/>
            <w:vAlign w:val="center"/>
          </w:tcPr>
          <w:p w14:paraId="35F12287" w14:textId="77777777" w:rsidR="003D1B66" w:rsidRPr="00BF4CD3" w:rsidRDefault="003D1B66" w:rsidP="000B46B5">
            <w:pPr>
              <w:bidi/>
              <w:jc w:val="both"/>
              <w:rPr>
                <w:bCs/>
                <w:sz w:val="18"/>
                <w:szCs w:val="18"/>
              </w:rPr>
            </w:pPr>
            <w:r w:rsidRPr="00BF4CD3">
              <w:rPr>
                <w:rFonts w:eastAsia="Arial"/>
                <w:bCs/>
                <w:sz w:val="18"/>
                <w:szCs w:val="18"/>
              </w:rPr>
              <w:t>2-1 مقدمة</w:t>
            </w:r>
          </w:p>
        </w:tc>
        <w:tc>
          <w:tcPr>
            <w:tcW w:w="4463" w:type="dxa"/>
            <w:shd w:val="clear" w:color="auto" w:fill="F2F2F2" w:themeFill="background1" w:themeFillShade="F2"/>
            <w:vAlign w:val="center"/>
          </w:tcPr>
          <w:p w14:paraId="7EC670AD" w14:textId="77777777" w:rsidR="003D1B66" w:rsidRPr="00BF4CD3" w:rsidRDefault="003D1B66" w:rsidP="000B46B5">
            <w:pPr>
              <w:bidi/>
              <w:jc w:val="both"/>
              <w:rPr>
                <w:bCs/>
                <w:sz w:val="18"/>
                <w:szCs w:val="18"/>
              </w:rPr>
            </w:pPr>
            <w:r>
              <w:rPr>
                <w:rFonts w:eastAsia="Arial"/>
                <w:bCs/>
                <w:sz w:val="18"/>
                <w:szCs w:val="18"/>
              </w:rPr>
              <w:t>16</w:t>
            </w:r>
          </w:p>
        </w:tc>
      </w:tr>
      <w:tr w:rsidR="003D1B66" w:rsidRPr="00BF4CD3" w14:paraId="6FD2C7D7" w14:textId="77777777" w:rsidTr="000B46B5">
        <w:trPr>
          <w:jc w:val="center"/>
        </w:trPr>
        <w:tc>
          <w:tcPr>
            <w:tcW w:w="4464" w:type="dxa"/>
            <w:shd w:val="clear" w:color="auto" w:fill="F2F2F2" w:themeFill="background1" w:themeFillShade="F2"/>
            <w:vAlign w:val="center"/>
          </w:tcPr>
          <w:p w14:paraId="5AB663D8" w14:textId="77777777" w:rsidR="003D1B66" w:rsidRPr="00BF4CD3" w:rsidRDefault="003D1B66" w:rsidP="000B46B5">
            <w:pPr>
              <w:bidi/>
              <w:jc w:val="both"/>
              <w:rPr>
                <w:bCs/>
                <w:sz w:val="18"/>
                <w:szCs w:val="18"/>
              </w:rPr>
            </w:pPr>
            <w:r w:rsidRPr="00BF4CD3">
              <w:rPr>
                <w:rFonts w:eastAsia="Arial"/>
                <w:bCs/>
                <w:sz w:val="18"/>
                <w:szCs w:val="18"/>
              </w:rPr>
              <w:t>2-2 الدراسات السابقة</w:t>
            </w:r>
          </w:p>
        </w:tc>
        <w:tc>
          <w:tcPr>
            <w:tcW w:w="4463" w:type="dxa"/>
            <w:shd w:val="clear" w:color="auto" w:fill="F2F2F2" w:themeFill="background1" w:themeFillShade="F2"/>
            <w:vAlign w:val="center"/>
          </w:tcPr>
          <w:p w14:paraId="22213AA0" w14:textId="77777777" w:rsidR="003D1B66" w:rsidRPr="00BF4CD3" w:rsidRDefault="003D1B66" w:rsidP="000B46B5">
            <w:pPr>
              <w:bidi/>
              <w:jc w:val="both"/>
              <w:rPr>
                <w:bCs/>
                <w:sz w:val="18"/>
                <w:szCs w:val="18"/>
              </w:rPr>
            </w:pPr>
            <w:r>
              <w:rPr>
                <w:rFonts w:eastAsia="Arial"/>
                <w:bCs/>
                <w:sz w:val="18"/>
                <w:szCs w:val="18"/>
              </w:rPr>
              <w:t>16</w:t>
            </w:r>
          </w:p>
        </w:tc>
      </w:tr>
      <w:tr w:rsidR="003D1B66" w:rsidRPr="00BF4CD3" w14:paraId="39B3BFEA" w14:textId="77777777" w:rsidTr="000B46B5">
        <w:trPr>
          <w:jc w:val="center"/>
        </w:trPr>
        <w:tc>
          <w:tcPr>
            <w:tcW w:w="4464" w:type="dxa"/>
            <w:shd w:val="clear" w:color="auto" w:fill="F2F2F2" w:themeFill="background1" w:themeFillShade="F2"/>
            <w:vAlign w:val="center"/>
          </w:tcPr>
          <w:p w14:paraId="04497A65" w14:textId="77777777" w:rsidR="003D1B66" w:rsidRPr="00BF4CD3" w:rsidRDefault="003D1B66" w:rsidP="000B46B5">
            <w:pPr>
              <w:bidi/>
              <w:jc w:val="both"/>
              <w:rPr>
                <w:bCs/>
                <w:sz w:val="18"/>
                <w:szCs w:val="18"/>
              </w:rPr>
            </w:pPr>
            <w:r w:rsidRPr="00BF4CD3">
              <w:rPr>
                <w:rFonts w:eastAsia="Arial"/>
                <w:bCs/>
                <w:sz w:val="18"/>
                <w:szCs w:val="18"/>
              </w:rPr>
              <w:t>2-3 الإطار النظري</w:t>
            </w:r>
          </w:p>
        </w:tc>
        <w:tc>
          <w:tcPr>
            <w:tcW w:w="4463" w:type="dxa"/>
            <w:shd w:val="clear" w:color="auto" w:fill="F2F2F2" w:themeFill="background1" w:themeFillShade="F2"/>
            <w:vAlign w:val="center"/>
          </w:tcPr>
          <w:p w14:paraId="11E92EC4" w14:textId="77777777" w:rsidR="003D1B66" w:rsidRPr="00BF4CD3" w:rsidRDefault="003D1B66" w:rsidP="000B46B5">
            <w:pPr>
              <w:bidi/>
              <w:jc w:val="both"/>
              <w:rPr>
                <w:bCs/>
                <w:sz w:val="18"/>
                <w:szCs w:val="18"/>
              </w:rPr>
            </w:pPr>
            <w:r>
              <w:rPr>
                <w:rFonts w:eastAsia="Arial"/>
                <w:bCs/>
                <w:sz w:val="18"/>
                <w:szCs w:val="18"/>
              </w:rPr>
              <w:t>21</w:t>
            </w:r>
          </w:p>
        </w:tc>
      </w:tr>
      <w:tr w:rsidR="003D1B66" w:rsidRPr="00BF4CD3" w14:paraId="79016F46" w14:textId="77777777" w:rsidTr="000B46B5">
        <w:trPr>
          <w:jc w:val="center"/>
        </w:trPr>
        <w:tc>
          <w:tcPr>
            <w:tcW w:w="4464" w:type="dxa"/>
            <w:shd w:val="clear" w:color="auto" w:fill="F2F2F2" w:themeFill="background1" w:themeFillShade="F2"/>
            <w:vAlign w:val="center"/>
          </w:tcPr>
          <w:p w14:paraId="3FD63C04" w14:textId="77777777" w:rsidR="003D1B66" w:rsidRPr="00BF4CD3" w:rsidRDefault="003D1B66" w:rsidP="000B46B5">
            <w:pPr>
              <w:bidi/>
              <w:jc w:val="both"/>
              <w:rPr>
                <w:bCs/>
                <w:sz w:val="18"/>
                <w:szCs w:val="18"/>
              </w:rPr>
            </w:pPr>
            <w:r w:rsidRPr="00BF4CD3">
              <w:rPr>
                <w:rFonts w:eastAsia="Arial"/>
                <w:bCs/>
                <w:sz w:val="18"/>
                <w:szCs w:val="18"/>
              </w:rPr>
              <w:t>2-4 خلاصة الفصل</w:t>
            </w:r>
          </w:p>
        </w:tc>
        <w:tc>
          <w:tcPr>
            <w:tcW w:w="4463" w:type="dxa"/>
            <w:shd w:val="clear" w:color="auto" w:fill="F2F2F2" w:themeFill="background1" w:themeFillShade="F2"/>
            <w:vAlign w:val="center"/>
          </w:tcPr>
          <w:p w14:paraId="18C92E49" w14:textId="77777777" w:rsidR="003D1B66" w:rsidRPr="00BF4CD3" w:rsidRDefault="003D1B66" w:rsidP="000B46B5">
            <w:pPr>
              <w:bidi/>
              <w:jc w:val="both"/>
              <w:rPr>
                <w:bCs/>
                <w:sz w:val="18"/>
                <w:szCs w:val="18"/>
              </w:rPr>
            </w:pPr>
            <w:r>
              <w:rPr>
                <w:bCs/>
                <w:sz w:val="18"/>
                <w:szCs w:val="18"/>
              </w:rPr>
              <w:t>38</w:t>
            </w:r>
          </w:p>
        </w:tc>
      </w:tr>
      <w:tr w:rsidR="003D1B66" w:rsidRPr="00BF4CD3" w14:paraId="0B5EEEE9" w14:textId="77777777" w:rsidTr="000B46B5">
        <w:trPr>
          <w:jc w:val="center"/>
        </w:trPr>
        <w:tc>
          <w:tcPr>
            <w:tcW w:w="4464" w:type="dxa"/>
            <w:shd w:val="clear" w:color="auto" w:fill="F2F2F2" w:themeFill="background1" w:themeFillShade="F2"/>
            <w:vAlign w:val="center"/>
          </w:tcPr>
          <w:p w14:paraId="4716B894" w14:textId="77777777" w:rsidR="003D1B66" w:rsidRPr="00BF4CD3" w:rsidRDefault="003D1B66" w:rsidP="000B46B5">
            <w:pPr>
              <w:bidi/>
              <w:jc w:val="both"/>
              <w:rPr>
                <w:bCs/>
                <w:sz w:val="18"/>
                <w:szCs w:val="18"/>
              </w:rPr>
            </w:pPr>
            <w:r w:rsidRPr="00BF4CD3">
              <w:rPr>
                <w:rFonts w:eastAsia="Arial"/>
                <w:bCs/>
                <w:sz w:val="18"/>
                <w:szCs w:val="18"/>
              </w:rPr>
              <w:t>الفصل الثالث: منهجية الدراسة</w:t>
            </w:r>
          </w:p>
        </w:tc>
        <w:tc>
          <w:tcPr>
            <w:tcW w:w="4463" w:type="dxa"/>
            <w:shd w:val="clear" w:color="auto" w:fill="F2F2F2" w:themeFill="background1" w:themeFillShade="F2"/>
            <w:vAlign w:val="center"/>
          </w:tcPr>
          <w:p w14:paraId="4DB3F230" w14:textId="77777777" w:rsidR="003D1B66" w:rsidRPr="00BF4CD3" w:rsidRDefault="003D1B66" w:rsidP="000B46B5">
            <w:pPr>
              <w:bidi/>
              <w:jc w:val="both"/>
              <w:rPr>
                <w:bCs/>
                <w:sz w:val="18"/>
                <w:szCs w:val="18"/>
              </w:rPr>
            </w:pPr>
            <w:r>
              <w:rPr>
                <w:bCs/>
                <w:sz w:val="18"/>
                <w:szCs w:val="18"/>
              </w:rPr>
              <w:t>40</w:t>
            </w:r>
          </w:p>
        </w:tc>
      </w:tr>
      <w:tr w:rsidR="003D1B66" w:rsidRPr="00BF4CD3" w14:paraId="23D5DCC1" w14:textId="77777777" w:rsidTr="000B46B5">
        <w:trPr>
          <w:jc w:val="center"/>
        </w:trPr>
        <w:tc>
          <w:tcPr>
            <w:tcW w:w="4464" w:type="dxa"/>
            <w:shd w:val="clear" w:color="auto" w:fill="F2F2F2" w:themeFill="background1" w:themeFillShade="F2"/>
            <w:vAlign w:val="center"/>
          </w:tcPr>
          <w:p w14:paraId="54002175" w14:textId="77777777" w:rsidR="003D1B66" w:rsidRPr="00BF4CD3" w:rsidRDefault="003D1B66" w:rsidP="000B46B5">
            <w:pPr>
              <w:bidi/>
              <w:jc w:val="both"/>
              <w:rPr>
                <w:bCs/>
                <w:sz w:val="18"/>
                <w:szCs w:val="18"/>
              </w:rPr>
            </w:pPr>
            <w:r w:rsidRPr="00BF4CD3">
              <w:rPr>
                <w:rFonts w:eastAsia="Arial"/>
                <w:bCs/>
                <w:sz w:val="18"/>
                <w:szCs w:val="18"/>
              </w:rPr>
              <w:t>3-1 مقدمة</w:t>
            </w:r>
          </w:p>
        </w:tc>
        <w:tc>
          <w:tcPr>
            <w:tcW w:w="4463" w:type="dxa"/>
            <w:shd w:val="clear" w:color="auto" w:fill="F2F2F2" w:themeFill="background1" w:themeFillShade="F2"/>
            <w:vAlign w:val="center"/>
          </w:tcPr>
          <w:p w14:paraId="241063EA" w14:textId="77777777" w:rsidR="003D1B66" w:rsidRPr="00BF4CD3" w:rsidRDefault="003D1B66" w:rsidP="000B46B5">
            <w:pPr>
              <w:bidi/>
              <w:jc w:val="both"/>
              <w:rPr>
                <w:bCs/>
                <w:sz w:val="18"/>
                <w:szCs w:val="18"/>
              </w:rPr>
            </w:pPr>
            <w:r>
              <w:rPr>
                <w:rFonts w:eastAsia="Arial"/>
                <w:bCs/>
                <w:sz w:val="18"/>
                <w:szCs w:val="18"/>
              </w:rPr>
              <w:t>41</w:t>
            </w:r>
          </w:p>
        </w:tc>
      </w:tr>
      <w:tr w:rsidR="003D1B66" w:rsidRPr="00BF4CD3" w14:paraId="1361DF0E" w14:textId="77777777" w:rsidTr="000B46B5">
        <w:trPr>
          <w:jc w:val="center"/>
        </w:trPr>
        <w:tc>
          <w:tcPr>
            <w:tcW w:w="4464" w:type="dxa"/>
            <w:shd w:val="clear" w:color="auto" w:fill="F2F2F2" w:themeFill="background1" w:themeFillShade="F2"/>
            <w:vAlign w:val="center"/>
          </w:tcPr>
          <w:p w14:paraId="5E829C4C" w14:textId="77777777" w:rsidR="003D1B66" w:rsidRPr="00BF4CD3" w:rsidRDefault="003D1B66" w:rsidP="000B46B5">
            <w:pPr>
              <w:bidi/>
              <w:jc w:val="both"/>
              <w:rPr>
                <w:bCs/>
                <w:sz w:val="18"/>
                <w:szCs w:val="18"/>
              </w:rPr>
            </w:pPr>
            <w:r w:rsidRPr="00BF4CD3">
              <w:rPr>
                <w:rFonts w:eastAsia="Arial"/>
                <w:bCs/>
                <w:sz w:val="18"/>
                <w:szCs w:val="18"/>
              </w:rPr>
              <w:t>3-2 المنهجية وطرق البحث</w:t>
            </w:r>
          </w:p>
        </w:tc>
        <w:tc>
          <w:tcPr>
            <w:tcW w:w="4463" w:type="dxa"/>
            <w:shd w:val="clear" w:color="auto" w:fill="F2F2F2" w:themeFill="background1" w:themeFillShade="F2"/>
            <w:vAlign w:val="center"/>
          </w:tcPr>
          <w:p w14:paraId="53B2F4B0" w14:textId="77777777" w:rsidR="003D1B66" w:rsidRPr="00BF4CD3" w:rsidRDefault="003D1B66" w:rsidP="000B46B5">
            <w:pPr>
              <w:bidi/>
              <w:jc w:val="both"/>
              <w:rPr>
                <w:bCs/>
                <w:sz w:val="18"/>
                <w:szCs w:val="18"/>
              </w:rPr>
            </w:pPr>
            <w:r>
              <w:rPr>
                <w:rFonts w:eastAsia="Arial"/>
                <w:bCs/>
                <w:sz w:val="18"/>
                <w:szCs w:val="18"/>
              </w:rPr>
              <w:t>41</w:t>
            </w:r>
          </w:p>
        </w:tc>
      </w:tr>
      <w:tr w:rsidR="003D1B66" w:rsidRPr="00BF4CD3" w14:paraId="03705BF0" w14:textId="77777777" w:rsidTr="000B46B5">
        <w:trPr>
          <w:jc w:val="center"/>
        </w:trPr>
        <w:tc>
          <w:tcPr>
            <w:tcW w:w="4464" w:type="dxa"/>
            <w:shd w:val="clear" w:color="auto" w:fill="F2F2F2" w:themeFill="background1" w:themeFillShade="F2"/>
            <w:vAlign w:val="center"/>
          </w:tcPr>
          <w:p w14:paraId="2CB6CAC5" w14:textId="77777777" w:rsidR="003D1B66" w:rsidRPr="00BF4CD3" w:rsidRDefault="003D1B66" w:rsidP="000B46B5">
            <w:pPr>
              <w:bidi/>
              <w:jc w:val="both"/>
              <w:rPr>
                <w:bCs/>
                <w:sz w:val="18"/>
                <w:szCs w:val="18"/>
              </w:rPr>
            </w:pPr>
            <w:r w:rsidRPr="00BF4CD3">
              <w:rPr>
                <w:rFonts w:eastAsia="Arial"/>
                <w:bCs/>
                <w:sz w:val="18"/>
                <w:szCs w:val="18"/>
              </w:rPr>
              <w:t>3-3 مجتمع البحث</w:t>
            </w:r>
          </w:p>
        </w:tc>
        <w:tc>
          <w:tcPr>
            <w:tcW w:w="4463" w:type="dxa"/>
            <w:shd w:val="clear" w:color="auto" w:fill="F2F2F2" w:themeFill="background1" w:themeFillShade="F2"/>
            <w:vAlign w:val="center"/>
          </w:tcPr>
          <w:p w14:paraId="7B8DA142" w14:textId="77777777" w:rsidR="003D1B66" w:rsidRPr="00BF4CD3" w:rsidRDefault="003D1B66" w:rsidP="000B46B5">
            <w:pPr>
              <w:bidi/>
              <w:jc w:val="both"/>
              <w:rPr>
                <w:bCs/>
                <w:sz w:val="18"/>
                <w:szCs w:val="18"/>
              </w:rPr>
            </w:pPr>
            <w:r>
              <w:rPr>
                <w:rFonts w:eastAsia="Arial"/>
                <w:bCs/>
                <w:sz w:val="18"/>
                <w:szCs w:val="18"/>
              </w:rPr>
              <w:t>42</w:t>
            </w:r>
          </w:p>
        </w:tc>
      </w:tr>
      <w:tr w:rsidR="003D1B66" w:rsidRPr="00BF4CD3" w14:paraId="7B9D8D31" w14:textId="77777777" w:rsidTr="000B46B5">
        <w:trPr>
          <w:jc w:val="center"/>
        </w:trPr>
        <w:tc>
          <w:tcPr>
            <w:tcW w:w="4464" w:type="dxa"/>
            <w:shd w:val="clear" w:color="auto" w:fill="F2F2F2" w:themeFill="background1" w:themeFillShade="F2"/>
            <w:vAlign w:val="center"/>
          </w:tcPr>
          <w:p w14:paraId="0883BC84" w14:textId="77777777" w:rsidR="003D1B66" w:rsidRPr="00BF4CD3" w:rsidRDefault="003D1B66" w:rsidP="000B46B5">
            <w:pPr>
              <w:bidi/>
              <w:jc w:val="both"/>
              <w:rPr>
                <w:bCs/>
                <w:sz w:val="18"/>
                <w:szCs w:val="18"/>
              </w:rPr>
            </w:pPr>
            <w:r w:rsidRPr="00BF4CD3">
              <w:rPr>
                <w:rFonts w:eastAsia="Arial"/>
                <w:bCs/>
                <w:sz w:val="18"/>
                <w:szCs w:val="18"/>
              </w:rPr>
              <w:t>3-4 عينة الدراسة وطريقة اختيارها</w:t>
            </w:r>
          </w:p>
        </w:tc>
        <w:tc>
          <w:tcPr>
            <w:tcW w:w="4463" w:type="dxa"/>
            <w:shd w:val="clear" w:color="auto" w:fill="F2F2F2" w:themeFill="background1" w:themeFillShade="F2"/>
            <w:vAlign w:val="center"/>
          </w:tcPr>
          <w:p w14:paraId="40E3BB84" w14:textId="77777777" w:rsidR="003D1B66" w:rsidRPr="00BF4CD3" w:rsidRDefault="003D1B66" w:rsidP="000B46B5">
            <w:pPr>
              <w:bidi/>
              <w:jc w:val="both"/>
              <w:rPr>
                <w:bCs/>
                <w:sz w:val="18"/>
                <w:szCs w:val="18"/>
              </w:rPr>
            </w:pPr>
            <w:r>
              <w:rPr>
                <w:rFonts w:eastAsia="Arial"/>
                <w:bCs/>
                <w:sz w:val="18"/>
                <w:szCs w:val="18"/>
              </w:rPr>
              <w:t>43</w:t>
            </w:r>
          </w:p>
        </w:tc>
      </w:tr>
    </w:tbl>
    <w:p w14:paraId="663E93A0" w14:textId="77777777" w:rsidR="003D1B66" w:rsidRDefault="003D1B66" w:rsidP="003D1B66">
      <w:pPr>
        <w:bidi/>
        <w:jc w:val="both"/>
      </w:pPr>
      <w:r>
        <w:br w:type="page"/>
      </w:r>
    </w:p>
    <w:p w14:paraId="09B240AA" w14:textId="77777777" w:rsidR="003D1B66" w:rsidRPr="000B70EB" w:rsidRDefault="003D1B66" w:rsidP="003D1B66">
      <w:pPr>
        <w:pStyle w:val="1"/>
        <w:bidi/>
        <w:spacing w:before="0"/>
        <w:jc w:val="both"/>
        <w:rPr>
          <w:sz w:val="28"/>
        </w:rPr>
      </w:pPr>
      <w:r w:rsidRPr="000B70EB">
        <w:rPr>
          <w:rFonts w:ascii="Arial" w:eastAsia="Arial" w:hAnsi="Arial" w:cs="Arial"/>
          <w:sz w:val="28"/>
          <w:rtl/>
        </w:rPr>
        <w:lastRenderedPageBreak/>
        <w:t>فهرس المحتويات - تابع</w:t>
      </w:r>
    </w:p>
    <w:tbl>
      <w:tblPr>
        <w:bidiVisual/>
        <w:tblW w:w="8928" w:type="dxa"/>
        <w:jc w:val="center"/>
        <w:tblLayout w:type="fixed"/>
        <w:tblCellMar>
          <w:top w:w="65" w:type="dxa"/>
          <w:left w:w="65" w:type="dxa"/>
          <w:bottom w:w="65" w:type="dxa"/>
          <w:right w:w="65" w:type="dxa"/>
        </w:tblCellMar>
        <w:tblLook w:val="04A0" w:firstRow="1" w:lastRow="0" w:firstColumn="1" w:lastColumn="0" w:noHBand="0" w:noVBand="1"/>
      </w:tblPr>
      <w:tblGrid>
        <w:gridCol w:w="4465"/>
        <w:gridCol w:w="4463"/>
      </w:tblGrid>
      <w:tr w:rsidR="003D1B66" w:rsidRPr="00224698" w14:paraId="6CF629D5" w14:textId="77777777" w:rsidTr="000B46B5">
        <w:trPr>
          <w:tblHeader/>
          <w:jc w:val="center"/>
        </w:trPr>
        <w:tc>
          <w:tcPr>
            <w:tcW w:w="4464" w:type="dxa"/>
            <w:shd w:val="clear" w:color="auto" w:fill="F2F2F2" w:themeFill="background1" w:themeFillShade="F2"/>
            <w:vAlign w:val="center"/>
          </w:tcPr>
          <w:p w14:paraId="16675D94" w14:textId="77777777" w:rsidR="003D1B66" w:rsidRPr="00224698" w:rsidRDefault="003D1B66" w:rsidP="000B46B5">
            <w:pPr>
              <w:bidi/>
              <w:jc w:val="both"/>
              <w:rPr>
                <w:sz w:val="20"/>
                <w:szCs w:val="20"/>
              </w:rPr>
            </w:pPr>
            <w:r w:rsidRPr="00224698">
              <w:rPr>
                <w:rFonts w:eastAsia="Arial"/>
                <w:sz w:val="20"/>
                <w:szCs w:val="20"/>
              </w:rPr>
              <w:t>الموضوع</w:t>
            </w:r>
          </w:p>
        </w:tc>
        <w:tc>
          <w:tcPr>
            <w:tcW w:w="4463" w:type="dxa"/>
            <w:shd w:val="clear" w:color="auto" w:fill="F2F2F2" w:themeFill="background1" w:themeFillShade="F2"/>
            <w:vAlign w:val="center"/>
          </w:tcPr>
          <w:p w14:paraId="167DA380" w14:textId="77777777" w:rsidR="003D1B66" w:rsidRPr="00224698" w:rsidRDefault="003D1B66" w:rsidP="000B46B5">
            <w:pPr>
              <w:bidi/>
              <w:jc w:val="both"/>
              <w:rPr>
                <w:sz w:val="20"/>
                <w:szCs w:val="20"/>
              </w:rPr>
            </w:pPr>
            <w:r w:rsidRPr="00224698">
              <w:rPr>
                <w:rFonts w:eastAsia="Arial"/>
                <w:sz w:val="20"/>
                <w:szCs w:val="20"/>
              </w:rPr>
              <w:t>الصفحة</w:t>
            </w:r>
          </w:p>
        </w:tc>
      </w:tr>
      <w:tr w:rsidR="003D1B66" w:rsidRPr="00224698" w14:paraId="6EA265F9" w14:textId="77777777" w:rsidTr="000B46B5">
        <w:trPr>
          <w:jc w:val="center"/>
        </w:trPr>
        <w:tc>
          <w:tcPr>
            <w:tcW w:w="4464" w:type="dxa"/>
            <w:shd w:val="clear" w:color="auto" w:fill="F2F2F2" w:themeFill="background1" w:themeFillShade="F2"/>
            <w:vAlign w:val="center"/>
          </w:tcPr>
          <w:p w14:paraId="3AAFC365" w14:textId="77777777" w:rsidR="003D1B66" w:rsidRPr="00224698" w:rsidRDefault="003D1B66" w:rsidP="000B46B5">
            <w:pPr>
              <w:bidi/>
              <w:jc w:val="both"/>
              <w:rPr>
                <w:sz w:val="20"/>
                <w:szCs w:val="20"/>
              </w:rPr>
            </w:pPr>
            <w:r w:rsidRPr="00224698">
              <w:rPr>
                <w:rFonts w:eastAsia="Arial"/>
                <w:sz w:val="20"/>
                <w:szCs w:val="20"/>
              </w:rPr>
              <w:t>3-5 حدود البحث</w:t>
            </w:r>
          </w:p>
        </w:tc>
        <w:tc>
          <w:tcPr>
            <w:tcW w:w="4463" w:type="dxa"/>
            <w:shd w:val="clear" w:color="auto" w:fill="F2F2F2" w:themeFill="background1" w:themeFillShade="F2"/>
            <w:vAlign w:val="center"/>
          </w:tcPr>
          <w:p w14:paraId="03E7CCA4" w14:textId="77777777" w:rsidR="003D1B66" w:rsidRPr="00224698" w:rsidRDefault="003D1B66" w:rsidP="000B46B5">
            <w:pPr>
              <w:bidi/>
              <w:jc w:val="both"/>
              <w:rPr>
                <w:sz w:val="20"/>
                <w:szCs w:val="20"/>
              </w:rPr>
            </w:pPr>
            <w:r w:rsidRPr="00224698">
              <w:rPr>
                <w:rFonts w:eastAsia="Arial"/>
                <w:sz w:val="20"/>
                <w:szCs w:val="20"/>
              </w:rPr>
              <w:t>45</w:t>
            </w:r>
          </w:p>
        </w:tc>
      </w:tr>
      <w:tr w:rsidR="003D1B66" w:rsidRPr="00224698" w14:paraId="29E932A7" w14:textId="77777777" w:rsidTr="000B46B5">
        <w:trPr>
          <w:jc w:val="center"/>
        </w:trPr>
        <w:tc>
          <w:tcPr>
            <w:tcW w:w="4464" w:type="dxa"/>
            <w:shd w:val="clear" w:color="auto" w:fill="F2F2F2" w:themeFill="background1" w:themeFillShade="F2"/>
            <w:vAlign w:val="center"/>
          </w:tcPr>
          <w:p w14:paraId="672EFCB6" w14:textId="77777777" w:rsidR="003D1B66" w:rsidRPr="00224698" w:rsidRDefault="003D1B66" w:rsidP="000B46B5">
            <w:pPr>
              <w:bidi/>
              <w:jc w:val="both"/>
              <w:rPr>
                <w:sz w:val="20"/>
                <w:szCs w:val="20"/>
              </w:rPr>
            </w:pPr>
            <w:r w:rsidRPr="00224698">
              <w:rPr>
                <w:rFonts w:eastAsia="Arial"/>
                <w:sz w:val="20"/>
                <w:szCs w:val="20"/>
              </w:rPr>
              <w:t>3-6 متغيرات الدراسة وتعريفاتها الإجرائية</w:t>
            </w:r>
          </w:p>
        </w:tc>
        <w:tc>
          <w:tcPr>
            <w:tcW w:w="4463" w:type="dxa"/>
            <w:shd w:val="clear" w:color="auto" w:fill="F2F2F2" w:themeFill="background1" w:themeFillShade="F2"/>
            <w:vAlign w:val="center"/>
          </w:tcPr>
          <w:p w14:paraId="10A1CAAE" w14:textId="77777777" w:rsidR="003D1B66" w:rsidRPr="00224698" w:rsidRDefault="003D1B66" w:rsidP="000B46B5">
            <w:pPr>
              <w:bidi/>
              <w:jc w:val="both"/>
              <w:rPr>
                <w:sz w:val="20"/>
                <w:szCs w:val="20"/>
              </w:rPr>
            </w:pPr>
            <w:r>
              <w:rPr>
                <w:rFonts w:eastAsia="Arial"/>
                <w:sz w:val="20"/>
                <w:szCs w:val="20"/>
              </w:rPr>
              <w:t>45</w:t>
            </w:r>
          </w:p>
        </w:tc>
      </w:tr>
      <w:tr w:rsidR="003D1B66" w:rsidRPr="00224698" w14:paraId="4F3A3228" w14:textId="77777777" w:rsidTr="000B46B5">
        <w:trPr>
          <w:jc w:val="center"/>
        </w:trPr>
        <w:tc>
          <w:tcPr>
            <w:tcW w:w="4464" w:type="dxa"/>
            <w:shd w:val="clear" w:color="auto" w:fill="F2F2F2" w:themeFill="background1" w:themeFillShade="F2"/>
            <w:vAlign w:val="center"/>
          </w:tcPr>
          <w:p w14:paraId="72490868" w14:textId="77777777" w:rsidR="003D1B66" w:rsidRPr="00224698" w:rsidRDefault="003D1B66" w:rsidP="000B46B5">
            <w:pPr>
              <w:bidi/>
              <w:jc w:val="both"/>
              <w:rPr>
                <w:sz w:val="20"/>
                <w:szCs w:val="20"/>
              </w:rPr>
            </w:pPr>
            <w:r w:rsidRPr="00224698">
              <w:rPr>
                <w:rFonts w:eastAsia="Arial"/>
                <w:sz w:val="20"/>
                <w:szCs w:val="20"/>
              </w:rPr>
              <w:t>3-7 أداة الدراسة وبناؤها</w:t>
            </w:r>
          </w:p>
        </w:tc>
        <w:tc>
          <w:tcPr>
            <w:tcW w:w="4463" w:type="dxa"/>
            <w:shd w:val="clear" w:color="auto" w:fill="F2F2F2" w:themeFill="background1" w:themeFillShade="F2"/>
            <w:vAlign w:val="center"/>
          </w:tcPr>
          <w:p w14:paraId="76D47284" w14:textId="77777777" w:rsidR="003D1B66" w:rsidRPr="00224698" w:rsidRDefault="003D1B66" w:rsidP="000B46B5">
            <w:pPr>
              <w:bidi/>
              <w:jc w:val="both"/>
              <w:rPr>
                <w:sz w:val="20"/>
                <w:szCs w:val="20"/>
              </w:rPr>
            </w:pPr>
            <w:r w:rsidRPr="00224698">
              <w:rPr>
                <w:rFonts w:eastAsia="Arial"/>
                <w:sz w:val="20"/>
                <w:szCs w:val="20"/>
              </w:rPr>
              <w:t>46</w:t>
            </w:r>
          </w:p>
        </w:tc>
      </w:tr>
      <w:tr w:rsidR="003D1B66" w:rsidRPr="00224698" w14:paraId="7EBDE045" w14:textId="77777777" w:rsidTr="000B46B5">
        <w:trPr>
          <w:jc w:val="center"/>
        </w:trPr>
        <w:tc>
          <w:tcPr>
            <w:tcW w:w="4464" w:type="dxa"/>
            <w:shd w:val="clear" w:color="auto" w:fill="F2F2F2" w:themeFill="background1" w:themeFillShade="F2"/>
            <w:vAlign w:val="center"/>
          </w:tcPr>
          <w:p w14:paraId="06A2FA48" w14:textId="77777777" w:rsidR="003D1B66" w:rsidRPr="00224698" w:rsidRDefault="003D1B66" w:rsidP="000B46B5">
            <w:pPr>
              <w:bidi/>
              <w:jc w:val="both"/>
              <w:rPr>
                <w:sz w:val="20"/>
                <w:szCs w:val="20"/>
              </w:rPr>
            </w:pPr>
            <w:r w:rsidRPr="00224698">
              <w:rPr>
                <w:rFonts w:eastAsia="Arial"/>
                <w:sz w:val="20"/>
                <w:szCs w:val="20"/>
              </w:rPr>
              <w:t>3-8 صدق أداة الدراسة</w:t>
            </w:r>
          </w:p>
        </w:tc>
        <w:tc>
          <w:tcPr>
            <w:tcW w:w="4463" w:type="dxa"/>
            <w:shd w:val="clear" w:color="auto" w:fill="F2F2F2" w:themeFill="background1" w:themeFillShade="F2"/>
            <w:vAlign w:val="center"/>
          </w:tcPr>
          <w:p w14:paraId="35685627" w14:textId="77777777" w:rsidR="003D1B66" w:rsidRPr="00224698" w:rsidRDefault="003D1B66" w:rsidP="000B46B5">
            <w:pPr>
              <w:bidi/>
              <w:jc w:val="both"/>
              <w:rPr>
                <w:sz w:val="20"/>
                <w:szCs w:val="20"/>
              </w:rPr>
            </w:pPr>
            <w:r w:rsidRPr="00224698">
              <w:rPr>
                <w:rFonts w:eastAsia="Arial"/>
                <w:sz w:val="20"/>
                <w:szCs w:val="20"/>
              </w:rPr>
              <w:t>48</w:t>
            </w:r>
          </w:p>
        </w:tc>
      </w:tr>
      <w:tr w:rsidR="003D1B66" w:rsidRPr="00224698" w14:paraId="6870B10E" w14:textId="77777777" w:rsidTr="000B46B5">
        <w:trPr>
          <w:jc w:val="center"/>
        </w:trPr>
        <w:tc>
          <w:tcPr>
            <w:tcW w:w="4464" w:type="dxa"/>
            <w:shd w:val="clear" w:color="auto" w:fill="F2F2F2" w:themeFill="background1" w:themeFillShade="F2"/>
            <w:vAlign w:val="center"/>
          </w:tcPr>
          <w:p w14:paraId="5551A98E" w14:textId="77777777" w:rsidR="003D1B66" w:rsidRPr="00224698" w:rsidRDefault="003D1B66" w:rsidP="000B46B5">
            <w:pPr>
              <w:bidi/>
              <w:jc w:val="both"/>
              <w:rPr>
                <w:sz w:val="20"/>
                <w:szCs w:val="20"/>
              </w:rPr>
            </w:pPr>
            <w:r w:rsidRPr="00224698">
              <w:rPr>
                <w:rFonts w:eastAsia="Arial"/>
                <w:sz w:val="20"/>
                <w:szCs w:val="20"/>
              </w:rPr>
              <w:t>3-9 ثبات أداة الدراسة</w:t>
            </w:r>
          </w:p>
        </w:tc>
        <w:tc>
          <w:tcPr>
            <w:tcW w:w="4463" w:type="dxa"/>
            <w:shd w:val="clear" w:color="auto" w:fill="F2F2F2" w:themeFill="background1" w:themeFillShade="F2"/>
            <w:vAlign w:val="center"/>
          </w:tcPr>
          <w:p w14:paraId="38E29B68" w14:textId="77777777" w:rsidR="003D1B66" w:rsidRPr="00224698" w:rsidRDefault="003D1B66" w:rsidP="000B46B5">
            <w:pPr>
              <w:bidi/>
              <w:jc w:val="both"/>
              <w:rPr>
                <w:sz w:val="20"/>
                <w:szCs w:val="20"/>
              </w:rPr>
            </w:pPr>
            <w:r w:rsidRPr="00224698">
              <w:rPr>
                <w:rFonts w:eastAsia="Arial"/>
                <w:sz w:val="20"/>
                <w:szCs w:val="20"/>
              </w:rPr>
              <w:t>49</w:t>
            </w:r>
          </w:p>
        </w:tc>
      </w:tr>
      <w:tr w:rsidR="003D1B66" w:rsidRPr="00224698" w14:paraId="31657802" w14:textId="77777777" w:rsidTr="000B46B5">
        <w:trPr>
          <w:jc w:val="center"/>
        </w:trPr>
        <w:tc>
          <w:tcPr>
            <w:tcW w:w="4464" w:type="dxa"/>
            <w:shd w:val="clear" w:color="auto" w:fill="F2F2F2" w:themeFill="background1" w:themeFillShade="F2"/>
            <w:vAlign w:val="center"/>
          </w:tcPr>
          <w:p w14:paraId="464562D7" w14:textId="77777777" w:rsidR="003D1B66" w:rsidRPr="00224698" w:rsidRDefault="003D1B66" w:rsidP="000B46B5">
            <w:pPr>
              <w:bidi/>
              <w:jc w:val="both"/>
              <w:rPr>
                <w:sz w:val="20"/>
                <w:szCs w:val="20"/>
              </w:rPr>
            </w:pPr>
            <w:r w:rsidRPr="00224698">
              <w:rPr>
                <w:rFonts w:eastAsia="Arial"/>
                <w:sz w:val="20"/>
                <w:szCs w:val="20"/>
              </w:rPr>
              <w:t>3-10 الدراسة الاستطلاعية</w:t>
            </w:r>
          </w:p>
        </w:tc>
        <w:tc>
          <w:tcPr>
            <w:tcW w:w="4463" w:type="dxa"/>
            <w:shd w:val="clear" w:color="auto" w:fill="F2F2F2" w:themeFill="background1" w:themeFillShade="F2"/>
            <w:vAlign w:val="center"/>
          </w:tcPr>
          <w:p w14:paraId="6EEDBC80" w14:textId="77777777" w:rsidR="003D1B66" w:rsidRPr="00224698" w:rsidRDefault="003D1B66" w:rsidP="000B46B5">
            <w:pPr>
              <w:bidi/>
              <w:jc w:val="both"/>
              <w:rPr>
                <w:sz w:val="20"/>
                <w:szCs w:val="20"/>
              </w:rPr>
            </w:pPr>
            <w:r w:rsidRPr="00224698">
              <w:rPr>
                <w:sz w:val="20"/>
                <w:szCs w:val="20"/>
              </w:rPr>
              <w:t>50</w:t>
            </w:r>
          </w:p>
        </w:tc>
      </w:tr>
      <w:tr w:rsidR="003D1B66" w:rsidRPr="00224698" w14:paraId="1EEC63B6" w14:textId="77777777" w:rsidTr="000B46B5">
        <w:trPr>
          <w:jc w:val="center"/>
        </w:trPr>
        <w:tc>
          <w:tcPr>
            <w:tcW w:w="4464" w:type="dxa"/>
            <w:shd w:val="clear" w:color="auto" w:fill="F2F2F2" w:themeFill="background1" w:themeFillShade="F2"/>
            <w:vAlign w:val="center"/>
          </w:tcPr>
          <w:p w14:paraId="1CB9A1CC" w14:textId="77777777" w:rsidR="003D1B66" w:rsidRPr="00224698" w:rsidRDefault="003D1B66" w:rsidP="000B46B5">
            <w:pPr>
              <w:bidi/>
              <w:jc w:val="both"/>
              <w:rPr>
                <w:sz w:val="20"/>
                <w:szCs w:val="20"/>
              </w:rPr>
            </w:pPr>
            <w:r w:rsidRPr="00224698">
              <w:rPr>
                <w:rFonts w:eastAsia="Arial"/>
                <w:sz w:val="20"/>
                <w:szCs w:val="20"/>
              </w:rPr>
              <w:t>3-11 إجراءات جمع البيانات</w:t>
            </w:r>
          </w:p>
        </w:tc>
        <w:tc>
          <w:tcPr>
            <w:tcW w:w="4463" w:type="dxa"/>
            <w:shd w:val="clear" w:color="auto" w:fill="F2F2F2" w:themeFill="background1" w:themeFillShade="F2"/>
            <w:vAlign w:val="center"/>
          </w:tcPr>
          <w:p w14:paraId="1880C403" w14:textId="77777777" w:rsidR="003D1B66" w:rsidRPr="00224698" w:rsidRDefault="003D1B66" w:rsidP="000B46B5">
            <w:pPr>
              <w:bidi/>
              <w:jc w:val="both"/>
              <w:rPr>
                <w:sz w:val="20"/>
                <w:szCs w:val="20"/>
              </w:rPr>
            </w:pPr>
            <w:r w:rsidRPr="00224698">
              <w:rPr>
                <w:rFonts w:eastAsia="Arial"/>
                <w:sz w:val="20"/>
                <w:szCs w:val="20"/>
              </w:rPr>
              <w:t>50</w:t>
            </w:r>
          </w:p>
        </w:tc>
      </w:tr>
      <w:tr w:rsidR="003D1B66" w:rsidRPr="00224698" w14:paraId="1B6D813F" w14:textId="77777777" w:rsidTr="000B46B5">
        <w:trPr>
          <w:jc w:val="center"/>
        </w:trPr>
        <w:tc>
          <w:tcPr>
            <w:tcW w:w="4464" w:type="dxa"/>
            <w:shd w:val="clear" w:color="auto" w:fill="F2F2F2" w:themeFill="background1" w:themeFillShade="F2"/>
            <w:vAlign w:val="center"/>
          </w:tcPr>
          <w:p w14:paraId="6DB9EE91" w14:textId="77777777" w:rsidR="003D1B66" w:rsidRPr="00224698" w:rsidRDefault="003D1B66" w:rsidP="000B46B5">
            <w:pPr>
              <w:bidi/>
              <w:jc w:val="both"/>
              <w:rPr>
                <w:sz w:val="20"/>
                <w:szCs w:val="20"/>
              </w:rPr>
            </w:pPr>
            <w:r w:rsidRPr="00224698">
              <w:rPr>
                <w:rFonts w:eastAsia="Arial"/>
                <w:sz w:val="20"/>
                <w:szCs w:val="20"/>
              </w:rPr>
              <w:t>3-12 خطة التحليل الإحصائي</w:t>
            </w:r>
          </w:p>
        </w:tc>
        <w:tc>
          <w:tcPr>
            <w:tcW w:w="4463" w:type="dxa"/>
            <w:shd w:val="clear" w:color="auto" w:fill="F2F2F2" w:themeFill="background1" w:themeFillShade="F2"/>
            <w:vAlign w:val="center"/>
          </w:tcPr>
          <w:p w14:paraId="11022C63" w14:textId="77777777" w:rsidR="003D1B66" w:rsidRPr="00224698" w:rsidRDefault="003D1B66" w:rsidP="000B46B5">
            <w:pPr>
              <w:bidi/>
              <w:jc w:val="both"/>
              <w:rPr>
                <w:sz w:val="20"/>
                <w:szCs w:val="20"/>
              </w:rPr>
            </w:pPr>
            <w:r w:rsidRPr="00224698">
              <w:rPr>
                <w:sz w:val="20"/>
                <w:szCs w:val="20"/>
              </w:rPr>
              <w:t>51</w:t>
            </w:r>
          </w:p>
        </w:tc>
      </w:tr>
      <w:tr w:rsidR="003D1B66" w:rsidRPr="00224698" w14:paraId="7F029373" w14:textId="77777777" w:rsidTr="000B46B5">
        <w:trPr>
          <w:jc w:val="center"/>
        </w:trPr>
        <w:tc>
          <w:tcPr>
            <w:tcW w:w="4464" w:type="dxa"/>
            <w:shd w:val="clear" w:color="auto" w:fill="F2F2F2" w:themeFill="background1" w:themeFillShade="F2"/>
            <w:vAlign w:val="center"/>
          </w:tcPr>
          <w:p w14:paraId="530418F7" w14:textId="77777777" w:rsidR="003D1B66" w:rsidRPr="00224698" w:rsidRDefault="003D1B66" w:rsidP="000B46B5">
            <w:pPr>
              <w:bidi/>
              <w:jc w:val="both"/>
              <w:rPr>
                <w:sz w:val="20"/>
                <w:szCs w:val="20"/>
              </w:rPr>
            </w:pPr>
            <w:r w:rsidRPr="00224698">
              <w:rPr>
                <w:rFonts w:eastAsia="Arial"/>
                <w:sz w:val="20"/>
                <w:szCs w:val="20"/>
              </w:rPr>
              <w:t>3-13 اختبار الفرضيات وافتراضات التحليل</w:t>
            </w:r>
          </w:p>
        </w:tc>
        <w:tc>
          <w:tcPr>
            <w:tcW w:w="4463" w:type="dxa"/>
            <w:shd w:val="clear" w:color="auto" w:fill="F2F2F2" w:themeFill="background1" w:themeFillShade="F2"/>
            <w:vAlign w:val="center"/>
          </w:tcPr>
          <w:p w14:paraId="5F3E95B8" w14:textId="77777777" w:rsidR="003D1B66" w:rsidRPr="00224698" w:rsidRDefault="003D1B66" w:rsidP="000B46B5">
            <w:pPr>
              <w:bidi/>
              <w:jc w:val="both"/>
              <w:rPr>
                <w:sz w:val="20"/>
                <w:szCs w:val="20"/>
              </w:rPr>
            </w:pPr>
            <w:r w:rsidRPr="00224698">
              <w:rPr>
                <w:rFonts w:eastAsia="Arial"/>
                <w:sz w:val="20"/>
                <w:szCs w:val="20"/>
              </w:rPr>
              <w:t>53</w:t>
            </w:r>
          </w:p>
        </w:tc>
      </w:tr>
      <w:tr w:rsidR="003D1B66" w:rsidRPr="00224698" w14:paraId="491EB780" w14:textId="77777777" w:rsidTr="000B46B5">
        <w:trPr>
          <w:jc w:val="center"/>
        </w:trPr>
        <w:tc>
          <w:tcPr>
            <w:tcW w:w="4464" w:type="dxa"/>
            <w:shd w:val="clear" w:color="auto" w:fill="F2F2F2" w:themeFill="background1" w:themeFillShade="F2"/>
            <w:vAlign w:val="center"/>
          </w:tcPr>
          <w:p w14:paraId="20DF9A4A" w14:textId="77777777" w:rsidR="003D1B66" w:rsidRPr="00224698" w:rsidRDefault="003D1B66" w:rsidP="000B46B5">
            <w:pPr>
              <w:bidi/>
              <w:jc w:val="both"/>
              <w:rPr>
                <w:sz w:val="20"/>
                <w:szCs w:val="20"/>
              </w:rPr>
            </w:pPr>
            <w:r w:rsidRPr="00224698">
              <w:rPr>
                <w:rFonts w:eastAsia="Arial"/>
                <w:sz w:val="20"/>
                <w:szCs w:val="20"/>
              </w:rPr>
              <w:t>3-14 الاعتبارات الأخلاقية</w:t>
            </w:r>
          </w:p>
        </w:tc>
        <w:tc>
          <w:tcPr>
            <w:tcW w:w="4463" w:type="dxa"/>
            <w:shd w:val="clear" w:color="auto" w:fill="F2F2F2" w:themeFill="background1" w:themeFillShade="F2"/>
            <w:vAlign w:val="center"/>
          </w:tcPr>
          <w:p w14:paraId="3D2ED7EF" w14:textId="77777777" w:rsidR="003D1B66" w:rsidRPr="00224698" w:rsidRDefault="003D1B66" w:rsidP="000B46B5">
            <w:pPr>
              <w:bidi/>
              <w:jc w:val="both"/>
              <w:rPr>
                <w:sz w:val="20"/>
                <w:szCs w:val="20"/>
              </w:rPr>
            </w:pPr>
            <w:r w:rsidRPr="00224698">
              <w:rPr>
                <w:sz w:val="20"/>
                <w:szCs w:val="20"/>
              </w:rPr>
              <w:t>54</w:t>
            </w:r>
          </w:p>
        </w:tc>
      </w:tr>
      <w:tr w:rsidR="003D1B66" w:rsidRPr="00224698" w14:paraId="41FAB199" w14:textId="77777777" w:rsidTr="000B46B5">
        <w:trPr>
          <w:jc w:val="center"/>
        </w:trPr>
        <w:tc>
          <w:tcPr>
            <w:tcW w:w="4464" w:type="dxa"/>
            <w:shd w:val="clear" w:color="auto" w:fill="F2F2F2" w:themeFill="background1" w:themeFillShade="F2"/>
            <w:vAlign w:val="center"/>
          </w:tcPr>
          <w:p w14:paraId="3A7294DF" w14:textId="77777777" w:rsidR="003D1B66" w:rsidRPr="00224698" w:rsidRDefault="003D1B66" w:rsidP="000B46B5">
            <w:pPr>
              <w:bidi/>
              <w:jc w:val="both"/>
              <w:rPr>
                <w:sz w:val="20"/>
                <w:szCs w:val="20"/>
              </w:rPr>
            </w:pPr>
            <w:r w:rsidRPr="00224698">
              <w:rPr>
                <w:rFonts w:eastAsia="Arial"/>
                <w:sz w:val="20"/>
                <w:szCs w:val="20"/>
              </w:rPr>
              <w:t>3-15 ضبط جودة البيانات وتقليل التحيز</w:t>
            </w:r>
          </w:p>
        </w:tc>
        <w:tc>
          <w:tcPr>
            <w:tcW w:w="4463" w:type="dxa"/>
            <w:shd w:val="clear" w:color="auto" w:fill="F2F2F2" w:themeFill="background1" w:themeFillShade="F2"/>
            <w:vAlign w:val="center"/>
          </w:tcPr>
          <w:p w14:paraId="58C61404" w14:textId="77777777" w:rsidR="003D1B66" w:rsidRPr="00224698" w:rsidRDefault="003D1B66" w:rsidP="000B46B5">
            <w:pPr>
              <w:bidi/>
              <w:jc w:val="both"/>
              <w:rPr>
                <w:sz w:val="20"/>
                <w:szCs w:val="20"/>
              </w:rPr>
            </w:pPr>
            <w:r w:rsidRPr="00224698">
              <w:rPr>
                <w:rFonts w:eastAsia="Arial"/>
                <w:sz w:val="20"/>
                <w:szCs w:val="20"/>
              </w:rPr>
              <w:t>54</w:t>
            </w:r>
          </w:p>
        </w:tc>
      </w:tr>
      <w:tr w:rsidR="003D1B66" w:rsidRPr="00224698" w14:paraId="1B6E98A8" w14:textId="77777777" w:rsidTr="000B46B5">
        <w:trPr>
          <w:jc w:val="center"/>
        </w:trPr>
        <w:tc>
          <w:tcPr>
            <w:tcW w:w="4464" w:type="dxa"/>
            <w:shd w:val="clear" w:color="auto" w:fill="F2F2F2" w:themeFill="background1" w:themeFillShade="F2"/>
            <w:vAlign w:val="center"/>
          </w:tcPr>
          <w:p w14:paraId="497C13BF" w14:textId="77777777" w:rsidR="003D1B66" w:rsidRPr="00224698" w:rsidRDefault="003D1B66" w:rsidP="000B46B5">
            <w:pPr>
              <w:bidi/>
              <w:jc w:val="both"/>
              <w:rPr>
                <w:sz w:val="20"/>
                <w:szCs w:val="20"/>
              </w:rPr>
            </w:pPr>
            <w:r w:rsidRPr="00224698">
              <w:rPr>
                <w:rFonts w:eastAsia="Arial"/>
                <w:sz w:val="20"/>
                <w:szCs w:val="20"/>
              </w:rPr>
              <w:t>3-16 حدود المنهجية</w:t>
            </w:r>
          </w:p>
        </w:tc>
        <w:tc>
          <w:tcPr>
            <w:tcW w:w="4463" w:type="dxa"/>
            <w:shd w:val="clear" w:color="auto" w:fill="F2F2F2" w:themeFill="background1" w:themeFillShade="F2"/>
            <w:vAlign w:val="center"/>
          </w:tcPr>
          <w:p w14:paraId="380E6612" w14:textId="77777777" w:rsidR="003D1B66" w:rsidRPr="00224698" w:rsidRDefault="003D1B66" w:rsidP="000B46B5">
            <w:pPr>
              <w:bidi/>
              <w:jc w:val="both"/>
              <w:rPr>
                <w:sz w:val="20"/>
                <w:szCs w:val="20"/>
              </w:rPr>
            </w:pPr>
            <w:r w:rsidRPr="00224698">
              <w:rPr>
                <w:rFonts w:eastAsia="Arial"/>
                <w:sz w:val="20"/>
                <w:szCs w:val="20"/>
              </w:rPr>
              <w:t>55</w:t>
            </w:r>
          </w:p>
        </w:tc>
      </w:tr>
      <w:tr w:rsidR="003D1B66" w:rsidRPr="00224698" w14:paraId="4609D2FB" w14:textId="77777777" w:rsidTr="000B46B5">
        <w:trPr>
          <w:jc w:val="center"/>
        </w:trPr>
        <w:tc>
          <w:tcPr>
            <w:tcW w:w="4464" w:type="dxa"/>
            <w:shd w:val="clear" w:color="auto" w:fill="F2F2F2" w:themeFill="background1" w:themeFillShade="F2"/>
            <w:vAlign w:val="center"/>
          </w:tcPr>
          <w:p w14:paraId="7CE32FE2" w14:textId="77777777" w:rsidR="003D1B66" w:rsidRPr="00224698" w:rsidRDefault="003D1B66" w:rsidP="000B46B5">
            <w:pPr>
              <w:bidi/>
              <w:jc w:val="both"/>
              <w:rPr>
                <w:sz w:val="20"/>
                <w:szCs w:val="20"/>
              </w:rPr>
            </w:pPr>
            <w:r w:rsidRPr="00224698">
              <w:rPr>
                <w:rFonts w:eastAsia="Arial"/>
                <w:sz w:val="20"/>
                <w:szCs w:val="20"/>
              </w:rPr>
              <w:t>3-17 خلاصة الفصل</w:t>
            </w:r>
          </w:p>
        </w:tc>
        <w:tc>
          <w:tcPr>
            <w:tcW w:w="4463" w:type="dxa"/>
            <w:shd w:val="clear" w:color="auto" w:fill="F2F2F2" w:themeFill="background1" w:themeFillShade="F2"/>
            <w:vAlign w:val="center"/>
          </w:tcPr>
          <w:p w14:paraId="32B0DC8D" w14:textId="77777777" w:rsidR="003D1B66" w:rsidRPr="00224698" w:rsidRDefault="003D1B66" w:rsidP="000B46B5">
            <w:pPr>
              <w:bidi/>
              <w:jc w:val="both"/>
              <w:rPr>
                <w:sz w:val="20"/>
                <w:szCs w:val="20"/>
              </w:rPr>
            </w:pPr>
            <w:r w:rsidRPr="00224698">
              <w:rPr>
                <w:sz w:val="20"/>
                <w:szCs w:val="20"/>
              </w:rPr>
              <w:t>56</w:t>
            </w:r>
          </w:p>
        </w:tc>
      </w:tr>
      <w:tr w:rsidR="003D1B66" w:rsidRPr="00224698" w14:paraId="2F2F4893" w14:textId="77777777" w:rsidTr="000B46B5">
        <w:trPr>
          <w:jc w:val="center"/>
        </w:trPr>
        <w:tc>
          <w:tcPr>
            <w:tcW w:w="4464" w:type="dxa"/>
            <w:shd w:val="clear" w:color="auto" w:fill="F2F2F2" w:themeFill="background1" w:themeFillShade="F2"/>
            <w:vAlign w:val="center"/>
          </w:tcPr>
          <w:p w14:paraId="01EFC526" w14:textId="77777777" w:rsidR="003D1B66" w:rsidRPr="00224698" w:rsidRDefault="003D1B66" w:rsidP="000B46B5">
            <w:pPr>
              <w:bidi/>
              <w:jc w:val="both"/>
              <w:rPr>
                <w:sz w:val="20"/>
                <w:szCs w:val="20"/>
              </w:rPr>
            </w:pPr>
            <w:r w:rsidRPr="00224698">
              <w:rPr>
                <w:rFonts w:eastAsia="Arial"/>
                <w:sz w:val="20"/>
                <w:szCs w:val="20"/>
              </w:rPr>
              <w:t>الفصل الرابع: النتائج وتحليل البيانات</w:t>
            </w:r>
          </w:p>
        </w:tc>
        <w:tc>
          <w:tcPr>
            <w:tcW w:w="4463" w:type="dxa"/>
            <w:shd w:val="clear" w:color="auto" w:fill="F2F2F2" w:themeFill="background1" w:themeFillShade="F2"/>
            <w:vAlign w:val="center"/>
          </w:tcPr>
          <w:p w14:paraId="666AEDBD" w14:textId="77777777" w:rsidR="003D1B66" w:rsidRPr="00224698" w:rsidRDefault="003D1B66" w:rsidP="000B46B5">
            <w:pPr>
              <w:bidi/>
              <w:jc w:val="both"/>
              <w:rPr>
                <w:sz w:val="20"/>
                <w:szCs w:val="20"/>
              </w:rPr>
            </w:pPr>
            <w:r w:rsidRPr="00224698">
              <w:rPr>
                <w:rFonts w:eastAsia="Arial"/>
                <w:sz w:val="20"/>
                <w:szCs w:val="20"/>
              </w:rPr>
              <w:t>57</w:t>
            </w:r>
          </w:p>
        </w:tc>
      </w:tr>
      <w:tr w:rsidR="003D1B66" w:rsidRPr="00224698" w14:paraId="3E8F6BD9" w14:textId="77777777" w:rsidTr="000B46B5">
        <w:trPr>
          <w:jc w:val="center"/>
        </w:trPr>
        <w:tc>
          <w:tcPr>
            <w:tcW w:w="4464" w:type="dxa"/>
            <w:shd w:val="clear" w:color="auto" w:fill="F2F2F2" w:themeFill="background1" w:themeFillShade="F2"/>
            <w:vAlign w:val="center"/>
          </w:tcPr>
          <w:p w14:paraId="440002DF" w14:textId="77777777" w:rsidR="003D1B66" w:rsidRPr="00224698" w:rsidRDefault="003D1B66" w:rsidP="000B46B5">
            <w:pPr>
              <w:bidi/>
              <w:jc w:val="both"/>
              <w:rPr>
                <w:sz w:val="20"/>
                <w:szCs w:val="20"/>
              </w:rPr>
            </w:pPr>
            <w:r w:rsidRPr="00224698">
              <w:rPr>
                <w:rFonts w:eastAsia="Arial"/>
                <w:sz w:val="20"/>
                <w:szCs w:val="20"/>
              </w:rPr>
              <w:t>4-1 مقدمة</w:t>
            </w:r>
          </w:p>
        </w:tc>
        <w:tc>
          <w:tcPr>
            <w:tcW w:w="4463" w:type="dxa"/>
            <w:shd w:val="clear" w:color="auto" w:fill="F2F2F2" w:themeFill="background1" w:themeFillShade="F2"/>
            <w:vAlign w:val="center"/>
          </w:tcPr>
          <w:p w14:paraId="4F7B0C30" w14:textId="77777777" w:rsidR="003D1B66" w:rsidRPr="00224698" w:rsidRDefault="003D1B66" w:rsidP="000B46B5">
            <w:pPr>
              <w:bidi/>
              <w:jc w:val="both"/>
              <w:rPr>
                <w:sz w:val="20"/>
                <w:szCs w:val="20"/>
              </w:rPr>
            </w:pPr>
            <w:r w:rsidRPr="00224698">
              <w:rPr>
                <w:rFonts w:eastAsia="Arial"/>
                <w:sz w:val="20"/>
                <w:szCs w:val="20"/>
              </w:rPr>
              <w:t>57</w:t>
            </w:r>
          </w:p>
        </w:tc>
      </w:tr>
      <w:tr w:rsidR="003D1B66" w:rsidRPr="00224698" w14:paraId="545DD45B" w14:textId="77777777" w:rsidTr="000B46B5">
        <w:trPr>
          <w:jc w:val="center"/>
        </w:trPr>
        <w:tc>
          <w:tcPr>
            <w:tcW w:w="4464" w:type="dxa"/>
            <w:shd w:val="clear" w:color="auto" w:fill="F2F2F2" w:themeFill="background1" w:themeFillShade="F2"/>
            <w:vAlign w:val="center"/>
          </w:tcPr>
          <w:p w14:paraId="1F293894" w14:textId="77777777" w:rsidR="003D1B66" w:rsidRPr="00224698" w:rsidRDefault="003D1B66" w:rsidP="000B46B5">
            <w:pPr>
              <w:bidi/>
              <w:jc w:val="both"/>
              <w:rPr>
                <w:sz w:val="20"/>
                <w:szCs w:val="20"/>
              </w:rPr>
            </w:pPr>
            <w:r w:rsidRPr="00224698">
              <w:rPr>
                <w:rFonts w:eastAsia="Arial"/>
                <w:sz w:val="20"/>
                <w:szCs w:val="20"/>
              </w:rPr>
              <w:t>4-2 إعداد البيانات وتنظيفها</w:t>
            </w:r>
          </w:p>
        </w:tc>
        <w:tc>
          <w:tcPr>
            <w:tcW w:w="4463" w:type="dxa"/>
            <w:shd w:val="clear" w:color="auto" w:fill="F2F2F2" w:themeFill="background1" w:themeFillShade="F2"/>
            <w:vAlign w:val="center"/>
          </w:tcPr>
          <w:p w14:paraId="0B6C49F4" w14:textId="77777777" w:rsidR="003D1B66" w:rsidRPr="00224698" w:rsidRDefault="003D1B66" w:rsidP="000B46B5">
            <w:pPr>
              <w:bidi/>
              <w:jc w:val="both"/>
              <w:rPr>
                <w:sz w:val="20"/>
                <w:szCs w:val="20"/>
              </w:rPr>
            </w:pPr>
            <w:r w:rsidRPr="00224698">
              <w:rPr>
                <w:rFonts w:eastAsia="Arial"/>
                <w:sz w:val="20"/>
                <w:szCs w:val="20"/>
              </w:rPr>
              <w:t>57</w:t>
            </w:r>
          </w:p>
        </w:tc>
      </w:tr>
    </w:tbl>
    <w:p w14:paraId="2EA8822C" w14:textId="77777777" w:rsidR="003D1B66" w:rsidRPr="00D05645" w:rsidRDefault="003D1B66" w:rsidP="003D1B66">
      <w:pPr>
        <w:bidi/>
        <w:jc w:val="both"/>
        <w:rPr>
          <w:szCs w:val="28"/>
        </w:rPr>
      </w:pPr>
      <w:r w:rsidRPr="00D05645">
        <w:rPr>
          <w:szCs w:val="28"/>
        </w:rPr>
        <w:br w:type="page"/>
      </w:r>
    </w:p>
    <w:p w14:paraId="1196A708" w14:textId="77777777" w:rsidR="003D1B66" w:rsidRDefault="003D1B66" w:rsidP="003D1B66">
      <w:pPr>
        <w:pStyle w:val="1"/>
        <w:bidi/>
        <w:spacing w:before="0"/>
        <w:jc w:val="both"/>
      </w:pPr>
      <w:r>
        <w:rPr>
          <w:rFonts w:ascii="Arial" w:eastAsia="Arial" w:hAnsi="Arial" w:cs="Arial"/>
          <w:rtl/>
        </w:rPr>
        <w:lastRenderedPageBreak/>
        <w:t>فهرس المحتويات - تابع</w:t>
      </w:r>
    </w:p>
    <w:tbl>
      <w:tblPr>
        <w:bidiVisual/>
        <w:tblW w:w="8928" w:type="dxa"/>
        <w:tblLayout w:type="fixed"/>
        <w:tblCellMar>
          <w:top w:w="65" w:type="dxa"/>
          <w:left w:w="65" w:type="dxa"/>
          <w:bottom w:w="65" w:type="dxa"/>
          <w:right w:w="65" w:type="dxa"/>
        </w:tblCellMar>
        <w:tblLook w:val="04A0" w:firstRow="1" w:lastRow="0" w:firstColumn="1" w:lastColumn="0" w:noHBand="0" w:noVBand="1"/>
      </w:tblPr>
      <w:tblGrid>
        <w:gridCol w:w="4465"/>
        <w:gridCol w:w="4463"/>
      </w:tblGrid>
      <w:tr w:rsidR="003D1B66" w:rsidRPr="00603DEC" w14:paraId="143061BF" w14:textId="77777777" w:rsidTr="000B46B5">
        <w:trPr>
          <w:tblHeader/>
        </w:trPr>
        <w:tc>
          <w:tcPr>
            <w:tcW w:w="4464" w:type="dxa"/>
            <w:shd w:val="clear" w:color="auto" w:fill="F2F2F2" w:themeFill="background1" w:themeFillShade="F2"/>
            <w:vAlign w:val="center"/>
          </w:tcPr>
          <w:p w14:paraId="5B92979A" w14:textId="77777777" w:rsidR="003D1B66" w:rsidRPr="00603DEC" w:rsidRDefault="003D1B66" w:rsidP="000B46B5">
            <w:pPr>
              <w:bidi/>
              <w:jc w:val="both"/>
              <w:rPr>
                <w:bCs/>
                <w:sz w:val="20"/>
                <w:szCs w:val="20"/>
              </w:rPr>
            </w:pPr>
            <w:r w:rsidRPr="00603DEC">
              <w:rPr>
                <w:rFonts w:eastAsia="Arial"/>
                <w:bCs/>
                <w:sz w:val="20"/>
                <w:szCs w:val="20"/>
              </w:rPr>
              <w:t>الموضوع</w:t>
            </w:r>
          </w:p>
        </w:tc>
        <w:tc>
          <w:tcPr>
            <w:tcW w:w="4463" w:type="dxa"/>
            <w:shd w:val="clear" w:color="auto" w:fill="F2F2F2" w:themeFill="background1" w:themeFillShade="F2"/>
            <w:vAlign w:val="center"/>
          </w:tcPr>
          <w:p w14:paraId="21CEC38B" w14:textId="77777777" w:rsidR="003D1B66" w:rsidRPr="00603DEC" w:rsidRDefault="003D1B66" w:rsidP="000B46B5">
            <w:pPr>
              <w:bidi/>
              <w:jc w:val="both"/>
              <w:rPr>
                <w:bCs/>
                <w:sz w:val="20"/>
                <w:szCs w:val="20"/>
              </w:rPr>
            </w:pPr>
            <w:r w:rsidRPr="00603DEC">
              <w:rPr>
                <w:rFonts w:eastAsia="Arial"/>
                <w:bCs/>
                <w:sz w:val="20"/>
                <w:szCs w:val="20"/>
              </w:rPr>
              <w:t>الصفحة</w:t>
            </w:r>
          </w:p>
        </w:tc>
      </w:tr>
      <w:tr w:rsidR="003D1B66" w:rsidRPr="00603DEC" w14:paraId="729435F7" w14:textId="77777777" w:rsidTr="000B46B5">
        <w:tc>
          <w:tcPr>
            <w:tcW w:w="4464" w:type="dxa"/>
            <w:shd w:val="clear" w:color="auto" w:fill="F2F2F2" w:themeFill="background1" w:themeFillShade="F2"/>
            <w:vAlign w:val="center"/>
          </w:tcPr>
          <w:p w14:paraId="1F22A359" w14:textId="77777777" w:rsidR="003D1B66" w:rsidRPr="00603DEC" w:rsidRDefault="003D1B66" w:rsidP="000B46B5">
            <w:pPr>
              <w:bidi/>
              <w:jc w:val="both"/>
              <w:rPr>
                <w:bCs/>
                <w:sz w:val="20"/>
                <w:szCs w:val="20"/>
              </w:rPr>
            </w:pPr>
            <w:r w:rsidRPr="00603DEC">
              <w:rPr>
                <w:rFonts w:eastAsia="Arial"/>
                <w:bCs/>
                <w:sz w:val="20"/>
                <w:szCs w:val="20"/>
              </w:rPr>
              <w:t>4-3 خصائص عينة الدراسة</w:t>
            </w:r>
          </w:p>
        </w:tc>
        <w:tc>
          <w:tcPr>
            <w:tcW w:w="4463" w:type="dxa"/>
            <w:shd w:val="clear" w:color="auto" w:fill="F2F2F2" w:themeFill="background1" w:themeFillShade="F2"/>
            <w:vAlign w:val="center"/>
          </w:tcPr>
          <w:p w14:paraId="0EE14156" w14:textId="77777777" w:rsidR="003D1B66" w:rsidRPr="00603DEC" w:rsidRDefault="003D1B66" w:rsidP="000B46B5">
            <w:pPr>
              <w:bidi/>
              <w:jc w:val="both"/>
              <w:rPr>
                <w:bCs/>
                <w:sz w:val="20"/>
                <w:szCs w:val="20"/>
              </w:rPr>
            </w:pPr>
            <w:r w:rsidRPr="00603DEC">
              <w:rPr>
                <w:rFonts w:eastAsia="Arial"/>
                <w:bCs/>
                <w:sz w:val="20"/>
                <w:szCs w:val="20"/>
              </w:rPr>
              <w:t>57</w:t>
            </w:r>
          </w:p>
        </w:tc>
      </w:tr>
      <w:tr w:rsidR="003D1B66" w:rsidRPr="00603DEC" w14:paraId="7F136446" w14:textId="77777777" w:rsidTr="000B46B5">
        <w:tc>
          <w:tcPr>
            <w:tcW w:w="4464" w:type="dxa"/>
            <w:shd w:val="clear" w:color="auto" w:fill="F2F2F2" w:themeFill="background1" w:themeFillShade="F2"/>
            <w:vAlign w:val="center"/>
          </w:tcPr>
          <w:p w14:paraId="3AE727A3" w14:textId="77777777" w:rsidR="003D1B66" w:rsidRPr="00603DEC" w:rsidRDefault="003D1B66" w:rsidP="000B46B5">
            <w:pPr>
              <w:bidi/>
              <w:jc w:val="both"/>
              <w:rPr>
                <w:bCs/>
                <w:sz w:val="20"/>
                <w:szCs w:val="20"/>
              </w:rPr>
            </w:pPr>
            <w:r w:rsidRPr="00603DEC">
              <w:rPr>
                <w:rFonts w:eastAsia="Arial"/>
                <w:bCs/>
                <w:sz w:val="20"/>
                <w:szCs w:val="20"/>
              </w:rPr>
              <w:t>4-4 ثبات أداة الدراسة</w:t>
            </w:r>
          </w:p>
        </w:tc>
        <w:tc>
          <w:tcPr>
            <w:tcW w:w="4463" w:type="dxa"/>
            <w:shd w:val="clear" w:color="auto" w:fill="F2F2F2" w:themeFill="background1" w:themeFillShade="F2"/>
            <w:vAlign w:val="center"/>
          </w:tcPr>
          <w:p w14:paraId="50E86910" w14:textId="77777777" w:rsidR="003D1B66" w:rsidRPr="00603DEC" w:rsidRDefault="003D1B66" w:rsidP="000B46B5">
            <w:pPr>
              <w:bidi/>
              <w:jc w:val="both"/>
              <w:rPr>
                <w:bCs/>
                <w:sz w:val="20"/>
                <w:szCs w:val="20"/>
              </w:rPr>
            </w:pPr>
            <w:r w:rsidRPr="00603DEC">
              <w:rPr>
                <w:rFonts w:eastAsia="Arial"/>
                <w:bCs/>
                <w:sz w:val="20"/>
                <w:szCs w:val="20"/>
              </w:rPr>
              <w:t>60</w:t>
            </w:r>
          </w:p>
        </w:tc>
      </w:tr>
      <w:tr w:rsidR="003D1B66" w:rsidRPr="00603DEC" w14:paraId="315AF9B8" w14:textId="77777777" w:rsidTr="000B46B5">
        <w:tc>
          <w:tcPr>
            <w:tcW w:w="4464" w:type="dxa"/>
            <w:shd w:val="clear" w:color="auto" w:fill="F2F2F2" w:themeFill="background1" w:themeFillShade="F2"/>
            <w:vAlign w:val="center"/>
          </w:tcPr>
          <w:p w14:paraId="25FACCFD" w14:textId="77777777" w:rsidR="003D1B66" w:rsidRPr="00603DEC" w:rsidRDefault="003D1B66" w:rsidP="000B46B5">
            <w:pPr>
              <w:bidi/>
              <w:jc w:val="both"/>
              <w:rPr>
                <w:bCs/>
                <w:sz w:val="20"/>
                <w:szCs w:val="20"/>
              </w:rPr>
            </w:pPr>
            <w:r w:rsidRPr="00603DEC">
              <w:rPr>
                <w:rFonts w:eastAsia="Arial"/>
                <w:bCs/>
                <w:sz w:val="20"/>
                <w:szCs w:val="20"/>
              </w:rPr>
              <w:t>4-5 النتائج الوصفية لمحاور الدراسة</w:t>
            </w:r>
          </w:p>
        </w:tc>
        <w:tc>
          <w:tcPr>
            <w:tcW w:w="4463" w:type="dxa"/>
            <w:shd w:val="clear" w:color="auto" w:fill="F2F2F2" w:themeFill="background1" w:themeFillShade="F2"/>
            <w:vAlign w:val="center"/>
          </w:tcPr>
          <w:p w14:paraId="2196CD9E" w14:textId="77777777" w:rsidR="003D1B66" w:rsidRPr="00603DEC" w:rsidRDefault="003D1B66" w:rsidP="000B46B5">
            <w:pPr>
              <w:bidi/>
              <w:jc w:val="both"/>
              <w:rPr>
                <w:bCs/>
                <w:sz w:val="20"/>
                <w:szCs w:val="20"/>
              </w:rPr>
            </w:pPr>
            <w:r w:rsidRPr="00603DEC">
              <w:rPr>
                <w:rFonts w:eastAsia="Arial"/>
                <w:bCs/>
                <w:sz w:val="20"/>
                <w:szCs w:val="20"/>
              </w:rPr>
              <w:t>60</w:t>
            </w:r>
          </w:p>
        </w:tc>
      </w:tr>
      <w:tr w:rsidR="003D1B66" w:rsidRPr="00603DEC" w14:paraId="547BA326" w14:textId="77777777" w:rsidTr="000B46B5">
        <w:tc>
          <w:tcPr>
            <w:tcW w:w="4464" w:type="dxa"/>
            <w:shd w:val="clear" w:color="auto" w:fill="F2F2F2" w:themeFill="background1" w:themeFillShade="F2"/>
            <w:vAlign w:val="center"/>
          </w:tcPr>
          <w:p w14:paraId="0A2AE116" w14:textId="77777777" w:rsidR="003D1B66" w:rsidRPr="00603DEC" w:rsidRDefault="003D1B66" w:rsidP="000B46B5">
            <w:pPr>
              <w:bidi/>
              <w:jc w:val="both"/>
              <w:rPr>
                <w:bCs/>
                <w:sz w:val="20"/>
                <w:szCs w:val="20"/>
              </w:rPr>
            </w:pPr>
            <w:r w:rsidRPr="00603DEC">
              <w:rPr>
                <w:rFonts w:eastAsia="Arial"/>
                <w:bCs/>
                <w:sz w:val="20"/>
                <w:szCs w:val="20"/>
              </w:rPr>
              <w:t>4-6 تحليل عبارات الدراسة</w:t>
            </w:r>
          </w:p>
        </w:tc>
        <w:tc>
          <w:tcPr>
            <w:tcW w:w="4463" w:type="dxa"/>
            <w:shd w:val="clear" w:color="auto" w:fill="F2F2F2" w:themeFill="background1" w:themeFillShade="F2"/>
            <w:vAlign w:val="center"/>
          </w:tcPr>
          <w:p w14:paraId="2A09C948" w14:textId="77777777" w:rsidR="003D1B66" w:rsidRPr="00603DEC" w:rsidRDefault="003D1B66" w:rsidP="000B46B5">
            <w:pPr>
              <w:bidi/>
              <w:jc w:val="both"/>
              <w:rPr>
                <w:bCs/>
                <w:sz w:val="20"/>
                <w:szCs w:val="20"/>
              </w:rPr>
            </w:pPr>
            <w:r w:rsidRPr="00603DEC">
              <w:rPr>
                <w:rFonts w:eastAsia="Arial"/>
                <w:bCs/>
                <w:sz w:val="20"/>
                <w:szCs w:val="20"/>
              </w:rPr>
              <w:t>66</w:t>
            </w:r>
          </w:p>
        </w:tc>
      </w:tr>
      <w:tr w:rsidR="003D1B66" w:rsidRPr="00603DEC" w14:paraId="558B50C4" w14:textId="77777777" w:rsidTr="000B46B5">
        <w:tc>
          <w:tcPr>
            <w:tcW w:w="4464" w:type="dxa"/>
            <w:shd w:val="clear" w:color="auto" w:fill="F2F2F2" w:themeFill="background1" w:themeFillShade="F2"/>
            <w:vAlign w:val="center"/>
          </w:tcPr>
          <w:p w14:paraId="262EDA66" w14:textId="77777777" w:rsidR="003D1B66" w:rsidRPr="00603DEC" w:rsidRDefault="003D1B66" w:rsidP="000B46B5">
            <w:pPr>
              <w:bidi/>
              <w:jc w:val="both"/>
              <w:rPr>
                <w:bCs/>
                <w:sz w:val="20"/>
                <w:szCs w:val="20"/>
              </w:rPr>
            </w:pPr>
            <w:r w:rsidRPr="00603DEC">
              <w:rPr>
                <w:rFonts w:eastAsia="Arial"/>
                <w:bCs/>
                <w:sz w:val="20"/>
                <w:szCs w:val="20"/>
              </w:rPr>
              <w:t>4-7 ترتيب تحديات تطبيق الحوكمة</w:t>
            </w:r>
          </w:p>
        </w:tc>
        <w:tc>
          <w:tcPr>
            <w:tcW w:w="4463" w:type="dxa"/>
            <w:shd w:val="clear" w:color="auto" w:fill="F2F2F2" w:themeFill="background1" w:themeFillShade="F2"/>
            <w:vAlign w:val="center"/>
          </w:tcPr>
          <w:p w14:paraId="6E7D3C9D" w14:textId="77777777" w:rsidR="003D1B66" w:rsidRPr="00603DEC" w:rsidRDefault="003D1B66" w:rsidP="000B46B5">
            <w:pPr>
              <w:bidi/>
              <w:jc w:val="both"/>
              <w:rPr>
                <w:bCs/>
                <w:sz w:val="20"/>
                <w:szCs w:val="20"/>
              </w:rPr>
            </w:pPr>
            <w:r w:rsidRPr="00603DEC">
              <w:rPr>
                <w:rFonts w:eastAsia="Arial"/>
                <w:bCs/>
                <w:sz w:val="20"/>
                <w:szCs w:val="20"/>
              </w:rPr>
              <w:t>67</w:t>
            </w:r>
          </w:p>
        </w:tc>
      </w:tr>
      <w:tr w:rsidR="003D1B66" w:rsidRPr="00603DEC" w14:paraId="41EB00E2" w14:textId="77777777" w:rsidTr="000B46B5">
        <w:tc>
          <w:tcPr>
            <w:tcW w:w="4464" w:type="dxa"/>
            <w:shd w:val="clear" w:color="auto" w:fill="F2F2F2" w:themeFill="background1" w:themeFillShade="F2"/>
            <w:vAlign w:val="center"/>
          </w:tcPr>
          <w:p w14:paraId="5CA64140" w14:textId="77777777" w:rsidR="003D1B66" w:rsidRPr="00603DEC" w:rsidRDefault="003D1B66" w:rsidP="000B46B5">
            <w:pPr>
              <w:bidi/>
              <w:jc w:val="both"/>
              <w:rPr>
                <w:bCs/>
                <w:sz w:val="20"/>
                <w:szCs w:val="20"/>
              </w:rPr>
            </w:pPr>
            <w:r w:rsidRPr="00603DEC">
              <w:rPr>
                <w:rFonts w:eastAsia="Arial"/>
                <w:bCs/>
                <w:sz w:val="20"/>
                <w:szCs w:val="20"/>
              </w:rPr>
              <w:t>4-8 العلاقات الاستكشافية بين المتغيرات</w:t>
            </w:r>
          </w:p>
        </w:tc>
        <w:tc>
          <w:tcPr>
            <w:tcW w:w="4463" w:type="dxa"/>
            <w:shd w:val="clear" w:color="auto" w:fill="F2F2F2" w:themeFill="background1" w:themeFillShade="F2"/>
            <w:vAlign w:val="center"/>
          </w:tcPr>
          <w:p w14:paraId="71220A1D" w14:textId="77777777" w:rsidR="003D1B66" w:rsidRPr="00603DEC" w:rsidRDefault="003D1B66" w:rsidP="000B46B5">
            <w:pPr>
              <w:bidi/>
              <w:jc w:val="both"/>
              <w:rPr>
                <w:bCs/>
                <w:sz w:val="20"/>
                <w:szCs w:val="20"/>
              </w:rPr>
            </w:pPr>
            <w:r w:rsidRPr="00603DEC">
              <w:rPr>
                <w:bCs/>
                <w:sz w:val="20"/>
                <w:szCs w:val="20"/>
              </w:rPr>
              <w:t>68</w:t>
            </w:r>
          </w:p>
        </w:tc>
      </w:tr>
      <w:tr w:rsidR="003D1B66" w:rsidRPr="00603DEC" w14:paraId="3626E3CF" w14:textId="77777777" w:rsidTr="000B46B5">
        <w:tc>
          <w:tcPr>
            <w:tcW w:w="4464" w:type="dxa"/>
            <w:shd w:val="clear" w:color="auto" w:fill="F2F2F2" w:themeFill="background1" w:themeFillShade="F2"/>
            <w:vAlign w:val="center"/>
          </w:tcPr>
          <w:p w14:paraId="6F8DABCD" w14:textId="77777777" w:rsidR="003D1B66" w:rsidRPr="00603DEC" w:rsidRDefault="003D1B66" w:rsidP="000B46B5">
            <w:pPr>
              <w:bidi/>
              <w:jc w:val="both"/>
              <w:rPr>
                <w:bCs/>
                <w:sz w:val="20"/>
                <w:szCs w:val="20"/>
              </w:rPr>
            </w:pPr>
            <w:r w:rsidRPr="00603DEC">
              <w:rPr>
                <w:rFonts w:eastAsia="Arial"/>
                <w:bCs/>
                <w:sz w:val="20"/>
                <w:szCs w:val="20"/>
              </w:rPr>
              <w:t>4-9 تحليل الانحدار الاستكشافي</w:t>
            </w:r>
          </w:p>
        </w:tc>
        <w:tc>
          <w:tcPr>
            <w:tcW w:w="4463" w:type="dxa"/>
            <w:shd w:val="clear" w:color="auto" w:fill="F2F2F2" w:themeFill="background1" w:themeFillShade="F2"/>
            <w:vAlign w:val="center"/>
          </w:tcPr>
          <w:p w14:paraId="2904BF2D" w14:textId="77777777" w:rsidR="003D1B66" w:rsidRPr="00603DEC" w:rsidRDefault="003D1B66" w:rsidP="000B46B5">
            <w:pPr>
              <w:bidi/>
              <w:jc w:val="both"/>
              <w:rPr>
                <w:bCs/>
                <w:sz w:val="20"/>
                <w:szCs w:val="20"/>
              </w:rPr>
            </w:pPr>
            <w:r w:rsidRPr="00603DEC">
              <w:rPr>
                <w:rFonts w:eastAsia="Arial"/>
                <w:bCs/>
                <w:sz w:val="20"/>
                <w:szCs w:val="20"/>
              </w:rPr>
              <w:t>69</w:t>
            </w:r>
          </w:p>
        </w:tc>
      </w:tr>
      <w:tr w:rsidR="003D1B66" w:rsidRPr="00603DEC" w14:paraId="1CBBE447" w14:textId="77777777" w:rsidTr="000B46B5">
        <w:tc>
          <w:tcPr>
            <w:tcW w:w="4464" w:type="dxa"/>
            <w:shd w:val="clear" w:color="auto" w:fill="F2F2F2" w:themeFill="background1" w:themeFillShade="F2"/>
            <w:vAlign w:val="center"/>
          </w:tcPr>
          <w:p w14:paraId="0CFE5A76" w14:textId="77777777" w:rsidR="003D1B66" w:rsidRPr="00603DEC" w:rsidRDefault="003D1B66" w:rsidP="000B46B5">
            <w:pPr>
              <w:bidi/>
              <w:jc w:val="both"/>
              <w:rPr>
                <w:bCs/>
                <w:sz w:val="20"/>
                <w:szCs w:val="20"/>
              </w:rPr>
            </w:pPr>
            <w:r w:rsidRPr="00603DEC">
              <w:rPr>
                <w:rFonts w:eastAsia="Arial"/>
                <w:bCs/>
                <w:sz w:val="20"/>
                <w:szCs w:val="20"/>
              </w:rPr>
              <w:t>4-10 اختبار الفرضيات</w:t>
            </w:r>
          </w:p>
        </w:tc>
        <w:tc>
          <w:tcPr>
            <w:tcW w:w="4463" w:type="dxa"/>
            <w:shd w:val="clear" w:color="auto" w:fill="F2F2F2" w:themeFill="background1" w:themeFillShade="F2"/>
            <w:vAlign w:val="center"/>
          </w:tcPr>
          <w:p w14:paraId="14E127AD" w14:textId="77777777" w:rsidR="003D1B66" w:rsidRPr="00603DEC" w:rsidRDefault="003D1B66" w:rsidP="000B46B5">
            <w:pPr>
              <w:bidi/>
              <w:jc w:val="both"/>
              <w:rPr>
                <w:bCs/>
                <w:sz w:val="20"/>
                <w:szCs w:val="20"/>
              </w:rPr>
            </w:pPr>
            <w:r w:rsidRPr="00603DEC">
              <w:rPr>
                <w:rFonts w:eastAsia="Arial"/>
                <w:bCs/>
                <w:sz w:val="20"/>
                <w:szCs w:val="20"/>
              </w:rPr>
              <w:t>69</w:t>
            </w:r>
          </w:p>
        </w:tc>
      </w:tr>
      <w:tr w:rsidR="003D1B66" w:rsidRPr="00603DEC" w14:paraId="605E5FE4" w14:textId="77777777" w:rsidTr="000B46B5">
        <w:tc>
          <w:tcPr>
            <w:tcW w:w="4464" w:type="dxa"/>
            <w:shd w:val="clear" w:color="auto" w:fill="F2F2F2" w:themeFill="background1" w:themeFillShade="F2"/>
            <w:vAlign w:val="center"/>
          </w:tcPr>
          <w:p w14:paraId="6F3135C2" w14:textId="77777777" w:rsidR="003D1B66" w:rsidRPr="00603DEC" w:rsidRDefault="003D1B66" w:rsidP="000B46B5">
            <w:pPr>
              <w:bidi/>
              <w:jc w:val="both"/>
              <w:rPr>
                <w:bCs/>
                <w:sz w:val="20"/>
                <w:szCs w:val="20"/>
              </w:rPr>
            </w:pPr>
            <w:r w:rsidRPr="00603DEC">
              <w:rPr>
                <w:rFonts w:eastAsia="Arial"/>
                <w:bCs/>
                <w:sz w:val="20"/>
                <w:szCs w:val="20"/>
              </w:rPr>
              <w:t>4-11 خلاصة الفصل</w:t>
            </w:r>
          </w:p>
        </w:tc>
        <w:tc>
          <w:tcPr>
            <w:tcW w:w="4463" w:type="dxa"/>
            <w:shd w:val="clear" w:color="auto" w:fill="F2F2F2" w:themeFill="background1" w:themeFillShade="F2"/>
            <w:vAlign w:val="center"/>
          </w:tcPr>
          <w:p w14:paraId="4DE835A2" w14:textId="77777777" w:rsidR="003D1B66" w:rsidRPr="00603DEC" w:rsidRDefault="003D1B66" w:rsidP="000B46B5">
            <w:pPr>
              <w:bidi/>
              <w:jc w:val="both"/>
              <w:rPr>
                <w:bCs/>
                <w:sz w:val="20"/>
                <w:szCs w:val="20"/>
              </w:rPr>
            </w:pPr>
            <w:r w:rsidRPr="00603DEC">
              <w:rPr>
                <w:bCs/>
                <w:sz w:val="20"/>
                <w:szCs w:val="20"/>
              </w:rPr>
              <w:t>69</w:t>
            </w:r>
          </w:p>
        </w:tc>
      </w:tr>
      <w:tr w:rsidR="003D1B66" w:rsidRPr="00603DEC" w14:paraId="7612E730" w14:textId="77777777" w:rsidTr="000B46B5">
        <w:tc>
          <w:tcPr>
            <w:tcW w:w="4464" w:type="dxa"/>
            <w:shd w:val="clear" w:color="auto" w:fill="F2F2F2" w:themeFill="background1" w:themeFillShade="F2"/>
            <w:vAlign w:val="center"/>
          </w:tcPr>
          <w:p w14:paraId="1F919814" w14:textId="77777777" w:rsidR="003D1B66" w:rsidRPr="00603DEC" w:rsidRDefault="003D1B66" w:rsidP="000B46B5">
            <w:pPr>
              <w:bidi/>
              <w:jc w:val="both"/>
              <w:rPr>
                <w:bCs/>
                <w:sz w:val="20"/>
                <w:szCs w:val="20"/>
              </w:rPr>
            </w:pPr>
            <w:r w:rsidRPr="00603DEC">
              <w:rPr>
                <w:rFonts w:eastAsia="Arial"/>
                <w:bCs/>
                <w:sz w:val="20"/>
                <w:szCs w:val="20"/>
              </w:rPr>
              <w:t>الفصل الخامس: مناقشة النتائج والتوصيات</w:t>
            </w:r>
          </w:p>
        </w:tc>
        <w:tc>
          <w:tcPr>
            <w:tcW w:w="4463" w:type="dxa"/>
            <w:shd w:val="clear" w:color="auto" w:fill="F2F2F2" w:themeFill="background1" w:themeFillShade="F2"/>
            <w:vAlign w:val="center"/>
          </w:tcPr>
          <w:p w14:paraId="2F840079" w14:textId="77777777" w:rsidR="003D1B66" w:rsidRPr="00603DEC" w:rsidRDefault="003D1B66" w:rsidP="000B46B5">
            <w:pPr>
              <w:bidi/>
              <w:jc w:val="both"/>
              <w:rPr>
                <w:bCs/>
                <w:sz w:val="20"/>
                <w:szCs w:val="20"/>
              </w:rPr>
            </w:pPr>
            <w:r w:rsidRPr="00603DEC">
              <w:rPr>
                <w:rFonts w:eastAsia="Arial"/>
                <w:bCs/>
                <w:sz w:val="20"/>
                <w:szCs w:val="20"/>
              </w:rPr>
              <w:t>70</w:t>
            </w:r>
          </w:p>
        </w:tc>
      </w:tr>
      <w:tr w:rsidR="003D1B66" w:rsidRPr="00603DEC" w14:paraId="07703EB3" w14:textId="77777777" w:rsidTr="000B46B5">
        <w:tc>
          <w:tcPr>
            <w:tcW w:w="4464" w:type="dxa"/>
            <w:shd w:val="clear" w:color="auto" w:fill="F2F2F2" w:themeFill="background1" w:themeFillShade="F2"/>
            <w:vAlign w:val="center"/>
          </w:tcPr>
          <w:p w14:paraId="4E3C1658" w14:textId="77777777" w:rsidR="003D1B66" w:rsidRPr="00603DEC" w:rsidRDefault="003D1B66" w:rsidP="000B46B5">
            <w:pPr>
              <w:bidi/>
              <w:jc w:val="both"/>
              <w:rPr>
                <w:bCs/>
                <w:sz w:val="20"/>
                <w:szCs w:val="20"/>
              </w:rPr>
            </w:pPr>
            <w:r w:rsidRPr="00603DEC">
              <w:rPr>
                <w:rFonts w:eastAsia="Arial"/>
                <w:bCs/>
                <w:sz w:val="20"/>
                <w:szCs w:val="20"/>
              </w:rPr>
              <w:t>5-1 مقدمة</w:t>
            </w:r>
          </w:p>
        </w:tc>
        <w:tc>
          <w:tcPr>
            <w:tcW w:w="4463" w:type="dxa"/>
            <w:shd w:val="clear" w:color="auto" w:fill="F2F2F2" w:themeFill="background1" w:themeFillShade="F2"/>
            <w:vAlign w:val="center"/>
          </w:tcPr>
          <w:p w14:paraId="72321C2F" w14:textId="77777777" w:rsidR="003D1B66" w:rsidRPr="00603DEC" w:rsidRDefault="003D1B66" w:rsidP="000B46B5">
            <w:pPr>
              <w:bidi/>
              <w:jc w:val="both"/>
              <w:rPr>
                <w:bCs/>
                <w:sz w:val="20"/>
                <w:szCs w:val="20"/>
              </w:rPr>
            </w:pPr>
            <w:r w:rsidRPr="00603DEC">
              <w:rPr>
                <w:rFonts w:eastAsia="Arial"/>
                <w:bCs/>
                <w:sz w:val="20"/>
                <w:szCs w:val="20"/>
              </w:rPr>
              <w:t>70</w:t>
            </w:r>
          </w:p>
        </w:tc>
      </w:tr>
      <w:tr w:rsidR="003D1B66" w:rsidRPr="00603DEC" w14:paraId="2D229FFE" w14:textId="77777777" w:rsidTr="000B46B5">
        <w:tc>
          <w:tcPr>
            <w:tcW w:w="4464" w:type="dxa"/>
            <w:shd w:val="clear" w:color="auto" w:fill="F2F2F2" w:themeFill="background1" w:themeFillShade="F2"/>
            <w:vAlign w:val="center"/>
          </w:tcPr>
          <w:p w14:paraId="782203CF" w14:textId="77777777" w:rsidR="003D1B66" w:rsidRPr="00603DEC" w:rsidRDefault="003D1B66" w:rsidP="000B46B5">
            <w:pPr>
              <w:bidi/>
              <w:jc w:val="both"/>
              <w:rPr>
                <w:bCs/>
                <w:sz w:val="20"/>
                <w:szCs w:val="20"/>
              </w:rPr>
            </w:pPr>
            <w:r w:rsidRPr="00603DEC">
              <w:rPr>
                <w:rFonts w:eastAsia="Arial"/>
                <w:bCs/>
                <w:sz w:val="20"/>
                <w:szCs w:val="20"/>
              </w:rPr>
              <w:t>5-2 مناقشة مستوى الحوكمة الصحية</w:t>
            </w:r>
          </w:p>
        </w:tc>
        <w:tc>
          <w:tcPr>
            <w:tcW w:w="4463" w:type="dxa"/>
            <w:shd w:val="clear" w:color="auto" w:fill="F2F2F2" w:themeFill="background1" w:themeFillShade="F2"/>
            <w:vAlign w:val="center"/>
          </w:tcPr>
          <w:p w14:paraId="4BF91189" w14:textId="77777777" w:rsidR="003D1B66" w:rsidRPr="00603DEC" w:rsidRDefault="003D1B66" w:rsidP="000B46B5">
            <w:pPr>
              <w:bidi/>
              <w:jc w:val="both"/>
              <w:rPr>
                <w:bCs/>
                <w:sz w:val="20"/>
                <w:szCs w:val="20"/>
              </w:rPr>
            </w:pPr>
            <w:r w:rsidRPr="00603DEC">
              <w:rPr>
                <w:rFonts w:eastAsia="Arial"/>
                <w:bCs/>
                <w:sz w:val="20"/>
                <w:szCs w:val="20"/>
              </w:rPr>
              <w:t>70</w:t>
            </w:r>
          </w:p>
        </w:tc>
      </w:tr>
      <w:tr w:rsidR="003D1B66" w:rsidRPr="00603DEC" w14:paraId="0F0093B1" w14:textId="77777777" w:rsidTr="000B46B5">
        <w:tc>
          <w:tcPr>
            <w:tcW w:w="4464" w:type="dxa"/>
            <w:shd w:val="clear" w:color="auto" w:fill="F2F2F2" w:themeFill="background1" w:themeFillShade="F2"/>
            <w:vAlign w:val="center"/>
          </w:tcPr>
          <w:p w14:paraId="2460AA58" w14:textId="77777777" w:rsidR="003D1B66" w:rsidRPr="00603DEC" w:rsidRDefault="003D1B66" w:rsidP="000B46B5">
            <w:pPr>
              <w:bidi/>
              <w:jc w:val="both"/>
              <w:rPr>
                <w:bCs/>
                <w:sz w:val="20"/>
                <w:szCs w:val="20"/>
              </w:rPr>
            </w:pPr>
            <w:r w:rsidRPr="00603DEC">
              <w:rPr>
                <w:rFonts w:eastAsia="Arial"/>
                <w:bCs/>
                <w:sz w:val="20"/>
                <w:szCs w:val="20"/>
              </w:rPr>
              <w:t>5-3 مناقشة الشفافية المؤسسية</w:t>
            </w:r>
          </w:p>
        </w:tc>
        <w:tc>
          <w:tcPr>
            <w:tcW w:w="4463" w:type="dxa"/>
            <w:shd w:val="clear" w:color="auto" w:fill="F2F2F2" w:themeFill="background1" w:themeFillShade="F2"/>
            <w:vAlign w:val="center"/>
          </w:tcPr>
          <w:p w14:paraId="2B73A7FE" w14:textId="77777777" w:rsidR="003D1B66" w:rsidRPr="00603DEC" w:rsidRDefault="003D1B66" w:rsidP="000B46B5">
            <w:pPr>
              <w:bidi/>
              <w:jc w:val="both"/>
              <w:rPr>
                <w:bCs/>
                <w:sz w:val="20"/>
                <w:szCs w:val="20"/>
              </w:rPr>
            </w:pPr>
            <w:r w:rsidRPr="00603DEC">
              <w:rPr>
                <w:rFonts w:eastAsia="Arial"/>
                <w:bCs/>
                <w:sz w:val="20"/>
                <w:szCs w:val="20"/>
              </w:rPr>
              <w:t>70</w:t>
            </w:r>
          </w:p>
        </w:tc>
      </w:tr>
      <w:tr w:rsidR="003D1B66" w:rsidRPr="00603DEC" w14:paraId="19EBD951" w14:textId="77777777" w:rsidTr="000B46B5">
        <w:tc>
          <w:tcPr>
            <w:tcW w:w="4464" w:type="dxa"/>
            <w:shd w:val="clear" w:color="auto" w:fill="F2F2F2" w:themeFill="background1" w:themeFillShade="F2"/>
            <w:vAlign w:val="center"/>
          </w:tcPr>
          <w:p w14:paraId="242EADAB" w14:textId="77777777" w:rsidR="003D1B66" w:rsidRPr="00603DEC" w:rsidRDefault="003D1B66" w:rsidP="000B46B5">
            <w:pPr>
              <w:bidi/>
              <w:jc w:val="both"/>
              <w:rPr>
                <w:bCs/>
                <w:sz w:val="20"/>
                <w:szCs w:val="20"/>
              </w:rPr>
            </w:pPr>
            <w:r w:rsidRPr="00603DEC">
              <w:rPr>
                <w:rFonts w:eastAsia="Arial"/>
                <w:bCs/>
                <w:sz w:val="20"/>
                <w:szCs w:val="20"/>
              </w:rPr>
              <w:t>5-4 مناقشة الكفاءة الإدارية</w:t>
            </w:r>
          </w:p>
        </w:tc>
        <w:tc>
          <w:tcPr>
            <w:tcW w:w="4463" w:type="dxa"/>
            <w:shd w:val="clear" w:color="auto" w:fill="F2F2F2" w:themeFill="background1" w:themeFillShade="F2"/>
            <w:vAlign w:val="center"/>
          </w:tcPr>
          <w:p w14:paraId="2DC92DB9" w14:textId="77777777" w:rsidR="003D1B66" w:rsidRPr="00603DEC" w:rsidRDefault="003D1B66" w:rsidP="000B46B5">
            <w:pPr>
              <w:bidi/>
              <w:jc w:val="both"/>
              <w:rPr>
                <w:bCs/>
                <w:sz w:val="20"/>
                <w:szCs w:val="20"/>
              </w:rPr>
            </w:pPr>
            <w:r w:rsidRPr="00603DEC">
              <w:rPr>
                <w:rFonts w:eastAsia="Arial"/>
                <w:bCs/>
                <w:sz w:val="20"/>
                <w:szCs w:val="20"/>
              </w:rPr>
              <w:t>70</w:t>
            </w:r>
          </w:p>
        </w:tc>
      </w:tr>
    </w:tbl>
    <w:p w14:paraId="07FCBA5E" w14:textId="77777777" w:rsidR="003D1B66" w:rsidRDefault="003D1B66" w:rsidP="003D1B66">
      <w:pPr>
        <w:bidi/>
        <w:jc w:val="both"/>
      </w:pPr>
      <w:r>
        <w:br w:type="page"/>
      </w:r>
    </w:p>
    <w:p w14:paraId="058655A2" w14:textId="77777777" w:rsidR="003D1B66" w:rsidRDefault="003D1B66" w:rsidP="003D1B66">
      <w:pPr>
        <w:pStyle w:val="1"/>
        <w:bidi/>
        <w:spacing w:line="360" w:lineRule="auto"/>
        <w:jc w:val="both"/>
      </w:pPr>
      <w:r>
        <w:rPr>
          <w:rFonts w:ascii="Arial" w:eastAsia="Arial" w:hAnsi="Arial"/>
          <w:sz w:val="22"/>
        </w:rPr>
        <w:lastRenderedPageBreak/>
        <w:t>فهرس المحتويات - تابع</w:t>
      </w:r>
    </w:p>
    <w:tbl>
      <w:tblPr>
        <w:tblStyle w:val="afb"/>
        <w:tblW w:w="0" w:type="auto"/>
        <w:jc w:val="center"/>
        <w:shd w:val="clear" w:color="auto" w:fill="F2F2F2" w:themeFill="background1" w:themeFillShade="F2"/>
        <w:tblLook w:val="04A0" w:firstRow="1" w:lastRow="0" w:firstColumn="1" w:lastColumn="0" w:noHBand="0" w:noVBand="1"/>
      </w:tblPr>
      <w:tblGrid>
        <w:gridCol w:w="4459"/>
        <w:gridCol w:w="4460"/>
      </w:tblGrid>
      <w:tr w:rsidR="003D1B66" w:rsidRPr="00BF4CD3" w14:paraId="6668F580" w14:textId="77777777" w:rsidTr="000B46B5">
        <w:trPr>
          <w:jc w:val="center"/>
        </w:trPr>
        <w:tc>
          <w:tcPr>
            <w:tcW w:w="4459" w:type="dxa"/>
            <w:shd w:val="clear" w:color="auto" w:fill="F2F2F2" w:themeFill="background1" w:themeFillShade="F2"/>
          </w:tcPr>
          <w:p w14:paraId="0D8FE525" w14:textId="77777777" w:rsidR="003D1B66" w:rsidRPr="00BF4CD3" w:rsidRDefault="003D1B66" w:rsidP="000B46B5">
            <w:pPr>
              <w:bidi/>
              <w:jc w:val="both"/>
            </w:pPr>
            <w:r w:rsidRPr="00BF4CD3">
              <w:rPr>
                <w:rFonts w:eastAsia="Arial"/>
                <w:b/>
                <w:sz w:val="18"/>
              </w:rPr>
              <w:t>الموضوع</w:t>
            </w:r>
          </w:p>
        </w:tc>
        <w:tc>
          <w:tcPr>
            <w:tcW w:w="4460" w:type="dxa"/>
            <w:shd w:val="clear" w:color="auto" w:fill="F2F2F2" w:themeFill="background1" w:themeFillShade="F2"/>
          </w:tcPr>
          <w:p w14:paraId="6456863E" w14:textId="77777777" w:rsidR="003D1B66" w:rsidRPr="00BF4CD3" w:rsidRDefault="003D1B66" w:rsidP="000B46B5">
            <w:pPr>
              <w:bidi/>
              <w:jc w:val="both"/>
            </w:pPr>
            <w:r w:rsidRPr="00BF4CD3">
              <w:rPr>
                <w:rFonts w:eastAsia="Arial"/>
                <w:b/>
                <w:sz w:val="18"/>
              </w:rPr>
              <w:t>الصفحة</w:t>
            </w:r>
          </w:p>
        </w:tc>
      </w:tr>
      <w:tr w:rsidR="003D1B66" w14:paraId="0407EE85" w14:textId="77777777" w:rsidTr="000B46B5">
        <w:trPr>
          <w:jc w:val="center"/>
        </w:trPr>
        <w:tc>
          <w:tcPr>
            <w:tcW w:w="4459" w:type="dxa"/>
            <w:shd w:val="clear" w:color="auto" w:fill="F2F2F2" w:themeFill="background1" w:themeFillShade="F2"/>
          </w:tcPr>
          <w:p w14:paraId="639F2ECD" w14:textId="77777777" w:rsidR="003D1B66" w:rsidRPr="00BF4CD3" w:rsidRDefault="003D1B66" w:rsidP="000B46B5">
            <w:pPr>
              <w:bidi/>
              <w:jc w:val="both"/>
              <w:rPr>
                <w:sz w:val="18"/>
                <w:szCs w:val="14"/>
              </w:rPr>
            </w:pPr>
            <w:r>
              <w:rPr>
                <w:sz w:val="18"/>
                <w:szCs w:val="14"/>
              </w:rPr>
              <w:t>70</w:t>
            </w:r>
          </w:p>
        </w:tc>
        <w:tc>
          <w:tcPr>
            <w:tcW w:w="4460" w:type="dxa"/>
            <w:shd w:val="clear" w:color="auto" w:fill="F2F2F2" w:themeFill="background1" w:themeFillShade="F2"/>
          </w:tcPr>
          <w:p w14:paraId="6CD35F9D" w14:textId="77777777" w:rsidR="003D1B66" w:rsidRDefault="003D1B66" w:rsidP="000B46B5">
            <w:pPr>
              <w:bidi/>
              <w:jc w:val="both"/>
            </w:pPr>
            <w:r>
              <w:rPr>
                <w:rFonts w:eastAsia="Arial"/>
                <w:sz w:val="18"/>
              </w:rPr>
              <w:t>5-5 مناقشة تحديات التطبيق</w:t>
            </w:r>
          </w:p>
        </w:tc>
      </w:tr>
      <w:tr w:rsidR="003D1B66" w14:paraId="289695A9" w14:textId="77777777" w:rsidTr="000B46B5">
        <w:trPr>
          <w:jc w:val="center"/>
        </w:trPr>
        <w:tc>
          <w:tcPr>
            <w:tcW w:w="4459" w:type="dxa"/>
            <w:shd w:val="clear" w:color="auto" w:fill="F2F2F2" w:themeFill="background1" w:themeFillShade="F2"/>
          </w:tcPr>
          <w:p w14:paraId="3F5607C2" w14:textId="77777777" w:rsidR="003D1B66" w:rsidRPr="00BF4CD3" w:rsidRDefault="003D1B66" w:rsidP="000B46B5">
            <w:pPr>
              <w:bidi/>
              <w:jc w:val="both"/>
              <w:rPr>
                <w:sz w:val="18"/>
                <w:szCs w:val="14"/>
              </w:rPr>
            </w:pPr>
            <w:r w:rsidRPr="00BF4CD3">
              <w:rPr>
                <w:rFonts w:eastAsia="Arial"/>
                <w:sz w:val="18"/>
                <w:szCs w:val="14"/>
              </w:rPr>
              <w:t>7</w:t>
            </w:r>
            <w:r>
              <w:rPr>
                <w:rFonts w:eastAsia="Arial"/>
                <w:sz w:val="18"/>
                <w:szCs w:val="14"/>
              </w:rPr>
              <w:t>1</w:t>
            </w:r>
          </w:p>
        </w:tc>
        <w:tc>
          <w:tcPr>
            <w:tcW w:w="4460" w:type="dxa"/>
            <w:shd w:val="clear" w:color="auto" w:fill="F2F2F2" w:themeFill="background1" w:themeFillShade="F2"/>
          </w:tcPr>
          <w:p w14:paraId="62747418" w14:textId="77777777" w:rsidR="003D1B66" w:rsidRDefault="003D1B66" w:rsidP="000B46B5">
            <w:pPr>
              <w:bidi/>
              <w:jc w:val="both"/>
            </w:pPr>
            <w:r>
              <w:rPr>
                <w:rFonts w:eastAsia="Arial"/>
                <w:sz w:val="18"/>
              </w:rPr>
              <w:t>5-6 مناقشة العلاقات بين المتغيرات</w:t>
            </w:r>
          </w:p>
        </w:tc>
      </w:tr>
      <w:tr w:rsidR="003D1B66" w14:paraId="6B0721F5" w14:textId="77777777" w:rsidTr="000B46B5">
        <w:trPr>
          <w:jc w:val="center"/>
        </w:trPr>
        <w:tc>
          <w:tcPr>
            <w:tcW w:w="4459" w:type="dxa"/>
            <w:shd w:val="clear" w:color="auto" w:fill="F2F2F2" w:themeFill="background1" w:themeFillShade="F2"/>
          </w:tcPr>
          <w:p w14:paraId="33F83F2D" w14:textId="77777777" w:rsidR="003D1B66" w:rsidRPr="00BF4CD3" w:rsidRDefault="003D1B66" w:rsidP="000B46B5">
            <w:pPr>
              <w:bidi/>
              <w:jc w:val="both"/>
              <w:rPr>
                <w:sz w:val="18"/>
                <w:szCs w:val="14"/>
              </w:rPr>
            </w:pPr>
            <w:r w:rsidRPr="00BF4CD3">
              <w:rPr>
                <w:rFonts w:eastAsia="Arial"/>
                <w:sz w:val="18"/>
                <w:szCs w:val="14"/>
              </w:rPr>
              <w:t>7</w:t>
            </w:r>
            <w:r>
              <w:rPr>
                <w:rFonts w:eastAsia="Arial"/>
                <w:sz w:val="18"/>
                <w:szCs w:val="14"/>
              </w:rPr>
              <w:t>1</w:t>
            </w:r>
          </w:p>
        </w:tc>
        <w:tc>
          <w:tcPr>
            <w:tcW w:w="4460" w:type="dxa"/>
            <w:shd w:val="clear" w:color="auto" w:fill="F2F2F2" w:themeFill="background1" w:themeFillShade="F2"/>
          </w:tcPr>
          <w:p w14:paraId="559C5F76" w14:textId="77777777" w:rsidR="003D1B66" w:rsidRDefault="003D1B66" w:rsidP="000B46B5">
            <w:pPr>
              <w:bidi/>
              <w:jc w:val="both"/>
            </w:pPr>
            <w:r>
              <w:rPr>
                <w:rFonts w:eastAsia="Arial"/>
                <w:sz w:val="18"/>
              </w:rPr>
              <w:t>5-7 الاستنتاجات</w:t>
            </w:r>
          </w:p>
        </w:tc>
      </w:tr>
      <w:tr w:rsidR="003D1B66" w14:paraId="6430CA3A" w14:textId="77777777" w:rsidTr="000B46B5">
        <w:trPr>
          <w:jc w:val="center"/>
        </w:trPr>
        <w:tc>
          <w:tcPr>
            <w:tcW w:w="4459" w:type="dxa"/>
            <w:shd w:val="clear" w:color="auto" w:fill="F2F2F2" w:themeFill="background1" w:themeFillShade="F2"/>
          </w:tcPr>
          <w:p w14:paraId="0BAEAA05" w14:textId="77777777" w:rsidR="003D1B66" w:rsidRPr="00BF4CD3" w:rsidRDefault="003D1B66" w:rsidP="000B46B5">
            <w:pPr>
              <w:bidi/>
              <w:jc w:val="both"/>
              <w:rPr>
                <w:sz w:val="18"/>
                <w:szCs w:val="14"/>
              </w:rPr>
            </w:pPr>
            <w:r w:rsidRPr="00BF4CD3">
              <w:rPr>
                <w:rFonts w:eastAsia="Arial"/>
                <w:sz w:val="18"/>
                <w:szCs w:val="14"/>
              </w:rPr>
              <w:t>7</w:t>
            </w:r>
            <w:r>
              <w:rPr>
                <w:rFonts w:eastAsia="Arial"/>
                <w:sz w:val="18"/>
                <w:szCs w:val="14"/>
              </w:rPr>
              <w:t>1</w:t>
            </w:r>
          </w:p>
        </w:tc>
        <w:tc>
          <w:tcPr>
            <w:tcW w:w="4460" w:type="dxa"/>
            <w:shd w:val="clear" w:color="auto" w:fill="F2F2F2" w:themeFill="background1" w:themeFillShade="F2"/>
          </w:tcPr>
          <w:p w14:paraId="46BD3897" w14:textId="77777777" w:rsidR="003D1B66" w:rsidRDefault="003D1B66" w:rsidP="000B46B5">
            <w:pPr>
              <w:bidi/>
              <w:jc w:val="both"/>
            </w:pPr>
            <w:r>
              <w:rPr>
                <w:rFonts w:eastAsia="Arial"/>
                <w:sz w:val="18"/>
              </w:rPr>
              <w:t>5-8 التوصيات التنفيذية</w:t>
            </w:r>
          </w:p>
        </w:tc>
      </w:tr>
      <w:tr w:rsidR="003D1B66" w14:paraId="7BC30229" w14:textId="77777777" w:rsidTr="000B46B5">
        <w:trPr>
          <w:jc w:val="center"/>
        </w:trPr>
        <w:tc>
          <w:tcPr>
            <w:tcW w:w="4459" w:type="dxa"/>
            <w:shd w:val="clear" w:color="auto" w:fill="F2F2F2" w:themeFill="background1" w:themeFillShade="F2"/>
          </w:tcPr>
          <w:p w14:paraId="3ECAF6F3" w14:textId="77777777" w:rsidR="003D1B66" w:rsidRPr="00BF4CD3" w:rsidRDefault="003D1B66" w:rsidP="000B46B5">
            <w:pPr>
              <w:bidi/>
              <w:jc w:val="both"/>
              <w:rPr>
                <w:sz w:val="18"/>
                <w:szCs w:val="14"/>
              </w:rPr>
            </w:pPr>
            <w:r w:rsidRPr="00BF4CD3">
              <w:rPr>
                <w:rFonts w:eastAsia="Arial"/>
                <w:sz w:val="18"/>
                <w:szCs w:val="14"/>
              </w:rPr>
              <w:t>7</w:t>
            </w:r>
            <w:r>
              <w:rPr>
                <w:rFonts w:eastAsia="Arial"/>
                <w:sz w:val="18"/>
                <w:szCs w:val="14"/>
              </w:rPr>
              <w:t>2</w:t>
            </w:r>
          </w:p>
        </w:tc>
        <w:tc>
          <w:tcPr>
            <w:tcW w:w="4460" w:type="dxa"/>
            <w:shd w:val="clear" w:color="auto" w:fill="F2F2F2" w:themeFill="background1" w:themeFillShade="F2"/>
          </w:tcPr>
          <w:p w14:paraId="0B70A6FE" w14:textId="77777777" w:rsidR="003D1B66" w:rsidRDefault="003D1B66" w:rsidP="000B46B5">
            <w:pPr>
              <w:bidi/>
              <w:jc w:val="both"/>
            </w:pPr>
            <w:r>
              <w:rPr>
                <w:rFonts w:eastAsia="Arial"/>
                <w:sz w:val="18"/>
              </w:rPr>
              <w:t>5-9 حدود الدراسة</w:t>
            </w:r>
          </w:p>
        </w:tc>
      </w:tr>
      <w:tr w:rsidR="003D1B66" w14:paraId="1A1F29EC" w14:textId="77777777" w:rsidTr="000B46B5">
        <w:trPr>
          <w:jc w:val="center"/>
        </w:trPr>
        <w:tc>
          <w:tcPr>
            <w:tcW w:w="4459" w:type="dxa"/>
            <w:shd w:val="clear" w:color="auto" w:fill="F2F2F2" w:themeFill="background1" w:themeFillShade="F2"/>
          </w:tcPr>
          <w:p w14:paraId="0336DF53" w14:textId="77777777" w:rsidR="003D1B66" w:rsidRPr="00BF4CD3" w:rsidRDefault="003D1B66" w:rsidP="000B46B5">
            <w:pPr>
              <w:bidi/>
              <w:jc w:val="both"/>
              <w:rPr>
                <w:sz w:val="18"/>
                <w:szCs w:val="14"/>
              </w:rPr>
            </w:pPr>
            <w:r w:rsidRPr="00BF4CD3">
              <w:rPr>
                <w:rFonts w:eastAsia="Arial"/>
                <w:sz w:val="18"/>
                <w:szCs w:val="14"/>
              </w:rPr>
              <w:t>7</w:t>
            </w:r>
            <w:r>
              <w:rPr>
                <w:rFonts w:eastAsia="Arial"/>
                <w:sz w:val="18"/>
                <w:szCs w:val="14"/>
              </w:rPr>
              <w:t>2</w:t>
            </w:r>
          </w:p>
        </w:tc>
        <w:tc>
          <w:tcPr>
            <w:tcW w:w="4460" w:type="dxa"/>
            <w:shd w:val="clear" w:color="auto" w:fill="F2F2F2" w:themeFill="background1" w:themeFillShade="F2"/>
          </w:tcPr>
          <w:p w14:paraId="6B223383" w14:textId="77777777" w:rsidR="003D1B66" w:rsidRDefault="003D1B66" w:rsidP="000B46B5">
            <w:pPr>
              <w:bidi/>
              <w:jc w:val="both"/>
            </w:pPr>
            <w:r>
              <w:rPr>
                <w:rFonts w:eastAsia="Arial"/>
                <w:sz w:val="18"/>
              </w:rPr>
              <w:t>5-10 مقترحات الدراسات المستقبلية</w:t>
            </w:r>
          </w:p>
        </w:tc>
      </w:tr>
      <w:tr w:rsidR="003D1B66" w14:paraId="3228B8EF" w14:textId="77777777" w:rsidTr="000B46B5">
        <w:trPr>
          <w:jc w:val="center"/>
        </w:trPr>
        <w:tc>
          <w:tcPr>
            <w:tcW w:w="4459" w:type="dxa"/>
            <w:shd w:val="clear" w:color="auto" w:fill="F2F2F2" w:themeFill="background1" w:themeFillShade="F2"/>
          </w:tcPr>
          <w:p w14:paraId="3897FA8F" w14:textId="77777777" w:rsidR="003D1B66" w:rsidRPr="00BF4CD3" w:rsidRDefault="003D1B66" w:rsidP="000B46B5">
            <w:pPr>
              <w:bidi/>
              <w:jc w:val="both"/>
              <w:rPr>
                <w:sz w:val="18"/>
                <w:szCs w:val="14"/>
              </w:rPr>
            </w:pPr>
            <w:r w:rsidRPr="00BF4CD3">
              <w:rPr>
                <w:rFonts w:eastAsia="Arial"/>
                <w:sz w:val="18"/>
                <w:szCs w:val="14"/>
              </w:rPr>
              <w:t>7</w:t>
            </w:r>
            <w:r>
              <w:rPr>
                <w:rFonts w:eastAsia="Arial"/>
                <w:sz w:val="18"/>
                <w:szCs w:val="14"/>
              </w:rPr>
              <w:t>2</w:t>
            </w:r>
          </w:p>
        </w:tc>
        <w:tc>
          <w:tcPr>
            <w:tcW w:w="4460" w:type="dxa"/>
            <w:shd w:val="clear" w:color="auto" w:fill="F2F2F2" w:themeFill="background1" w:themeFillShade="F2"/>
          </w:tcPr>
          <w:p w14:paraId="3973FFCA" w14:textId="77777777" w:rsidR="003D1B66" w:rsidRDefault="003D1B66" w:rsidP="000B46B5">
            <w:pPr>
              <w:bidi/>
              <w:jc w:val="both"/>
            </w:pPr>
            <w:r>
              <w:rPr>
                <w:rFonts w:eastAsia="Arial"/>
                <w:sz w:val="18"/>
              </w:rPr>
              <w:t>5-11 خاتمة الدراسة</w:t>
            </w:r>
          </w:p>
        </w:tc>
      </w:tr>
      <w:tr w:rsidR="003D1B66" w14:paraId="50B9B592" w14:textId="77777777" w:rsidTr="000B46B5">
        <w:trPr>
          <w:jc w:val="center"/>
        </w:trPr>
        <w:tc>
          <w:tcPr>
            <w:tcW w:w="4459" w:type="dxa"/>
            <w:shd w:val="clear" w:color="auto" w:fill="F2F2F2" w:themeFill="background1" w:themeFillShade="F2"/>
          </w:tcPr>
          <w:p w14:paraId="5F4B666A" w14:textId="77777777" w:rsidR="003D1B66" w:rsidRPr="00BF4CD3" w:rsidRDefault="003D1B66" w:rsidP="000B46B5">
            <w:pPr>
              <w:bidi/>
              <w:jc w:val="both"/>
              <w:rPr>
                <w:sz w:val="18"/>
                <w:szCs w:val="14"/>
              </w:rPr>
            </w:pPr>
            <w:r>
              <w:rPr>
                <w:sz w:val="18"/>
                <w:szCs w:val="14"/>
              </w:rPr>
              <w:t>73</w:t>
            </w:r>
          </w:p>
        </w:tc>
        <w:tc>
          <w:tcPr>
            <w:tcW w:w="4460" w:type="dxa"/>
            <w:shd w:val="clear" w:color="auto" w:fill="F2F2F2" w:themeFill="background1" w:themeFillShade="F2"/>
          </w:tcPr>
          <w:p w14:paraId="6AA4D62F" w14:textId="77777777" w:rsidR="003D1B66" w:rsidRDefault="003D1B66" w:rsidP="000B46B5">
            <w:pPr>
              <w:bidi/>
              <w:jc w:val="both"/>
            </w:pPr>
            <w:r>
              <w:rPr>
                <w:rFonts w:eastAsia="Arial"/>
                <w:sz w:val="18"/>
              </w:rPr>
              <w:t>المراجع العربية والأجنبية</w:t>
            </w:r>
          </w:p>
        </w:tc>
      </w:tr>
      <w:tr w:rsidR="003D1B66" w14:paraId="652C3CCF" w14:textId="77777777" w:rsidTr="000B46B5">
        <w:trPr>
          <w:jc w:val="center"/>
        </w:trPr>
        <w:tc>
          <w:tcPr>
            <w:tcW w:w="4459" w:type="dxa"/>
            <w:shd w:val="clear" w:color="auto" w:fill="F2F2F2" w:themeFill="background1" w:themeFillShade="F2"/>
          </w:tcPr>
          <w:p w14:paraId="7F777C79" w14:textId="77777777" w:rsidR="003D1B66" w:rsidRPr="00BF4CD3" w:rsidRDefault="003D1B66" w:rsidP="000B46B5">
            <w:pPr>
              <w:bidi/>
              <w:jc w:val="both"/>
              <w:rPr>
                <w:sz w:val="18"/>
                <w:szCs w:val="14"/>
              </w:rPr>
            </w:pPr>
            <w:r>
              <w:rPr>
                <w:rFonts w:eastAsia="Arial"/>
                <w:sz w:val="18"/>
                <w:szCs w:val="14"/>
              </w:rPr>
              <w:t>76</w:t>
            </w:r>
          </w:p>
        </w:tc>
        <w:tc>
          <w:tcPr>
            <w:tcW w:w="4460" w:type="dxa"/>
            <w:shd w:val="clear" w:color="auto" w:fill="F2F2F2" w:themeFill="background1" w:themeFillShade="F2"/>
          </w:tcPr>
          <w:p w14:paraId="25EF3761" w14:textId="77777777" w:rsidR="003D1B66" w:rsidRDefault="003D1B66" w:rsidP="000B46B5">
            <w:pPr>
              <w:bidi/>
              <w:jc w:val="both"/>
            </w:pPr>
            <w:r>
              <w:rPr>
                <w:rFonts w:eastAsia="Arial"/>
                <w:sz w:val="18"/>
              </w:rPr>
              <w:t>الملاحق</w:t>
            </w:r>
          </w:p>
        </w:tc>
      </w:tr>
      <w:tr w:rsidR="003D1B66" w14:paraId="3BAB980A" w14:textId="77777777" w:rsidTr="000B46B5">
        <w:trPr>
          <w:jc w:val="center"/>
        </w:trPr>
        <w:tc>
          <w:tcPr>
            <w:tcW w:w="4459" w:type="dxa"/>
            <w:shd w:val="clear" w:color="auto" w:fill="F2F2F2" w:themeFill="background1" w:themeFillShade="F2"/>
          </w:tcPr>
          <w:p w14:paraId="6D25B05B" w14:textId="77777777" w:rsidR="003D1B66" w:rsidRPr="00BF4CD3" w:rsidRDefault="003D1B66" w:rsidP="000B46B5">
            <w:pPr>
              <w:bidi/>
              <w:jc w:val="both"/>
              <w:rPr>
                <w:sz w:val="18"/>
                <w:szCs w:val="14"/>
              </w:rPr>
            </w:pPr>
            <w:r>
              <w:rPr>
                <w:rFonts w:eastAsia="Arial"/>
                <w:sz w:val="18"/>
                <w:szCs w:val="14"/>
              </w:rPr>
              <w:t>77</w:t>
            </w:r>
          </w:p>
        </w:tc>
        <w:tc>
          <w:tcPr>
            <w:tcW w:w="4460" w:type="dxa"/>
            <w:shd w:val="clear" w:color="auto" w:fill="F2F2F2" w:themeFill="background1" w:themeFillShade="F2"/>
          </w:tcPr>
          <w:p w14:paraId="59EB871F" w14:textId="77777777" w:rsidR="003D1B66" w:rsidRDefault="003D1B66" w:rsidP="000B46B5">
            <w:pPr>
              <w:bidi/>
              <w:jc w:val="both"/>
            </w:pPr>
            <w:r>
              <w:rPr>
                <w:rFonts w:eastAsia="Arial"/>
                <w:sz w:val="18"/>
              </w:rPr>
              <w:t>ملحق أ): الاستبانة</w:t>
            </w:r>
            <w:r>
              <w:rPr>
                <w:rFonts w:eastAsia="Arial" w:hint="cs"/>
                <w:sz w:val="18"/>
                <w:rtl/>
              </w:rPr>
              <w:t>)</w:t>
            </w:r>
          </w:p>
        </w:tc>
      </w:tr>
    </w:tbl>
    <w:p w14:paraId="40F48110" w14:textId="77777777" w:rsidR="003D1B66" w:rsidRDefault="003D1B66" w:rsidP="003D1B66">
      <w:pPr>
        <w:pStyle w:val="1"/>
        <w:bidi/>
        <w:spacing w:before="0"/>
        <w:jc w:val="both"/>
      </w:pPr>
      <w:r>
        <w:rPr>
          <w:rFonts w:ascii="Arial" w:eastAsia="Arial" w:hAnsi="Arial" w:cs="Arial"/>
          <w:rtl/>
        </w:rPr>
        <w:t>قائمة الجداول</w:t>
      </w:r>
    </w:p>
    <w:tbl>
      <w:tblPr>
        <w:bidiVisual/>
        <w:tblW w:w="8928" w:type="dxa"/>
        <w:jc w:val="center"/>
        <w:tblLayout w:type="fixed"/>
        <w:tblCellMar>
          <w:top w:w="65" w:type="dxa"/>
          <w:left w:w="65" w:type="dxa"/>
          <w:bottom w:w="65" w:type="dxa"/>
          <w:right w:w="65" w:type="dxa"/>
        </w:tblCellMar>
        <w:tblLook w:val="04A0" w:firstRow="1" w:lastRow="0" w:firstColumn="1" w:lastColumn="0" w:noHBand="0" w:noVBand="1"/>
      </w:tblPr>
      <w:tblGrid>
        <w:gridCol w:w="4465"/>
        <w:gridCol w:w="4463"/>
      </w:tblGrid>
      <w:tr w:rsidR="003D1B66" w14:paraId="6D0CFEB4" w14:textId="77777777" w:rsidTr="000B46B5">
        <w:trPr>
          <w:tblHeader/>
          <w:jc w:val="center"/>
        </w:trPr>
        <w:tc>
          <w:tcPr>
            <w:tcW w:w="4464" w:type="dxa"/>
            <w:shd w:val="clear" w:color="auto" w:fill="F2F2F2" w:themeFill="background1" w:themeFillShade="F2"/>
            <w:vAlign w:val="center"/>
          </w:tcPr>
          <w:p w14:paraId="7F081CF3" w14:textId="77777777" w:rsidR="003D1B66" w:rsidRPr="00BF4CD3" w:rsidRDefault="003D1B66" w:rsidP="000B46B5">
            <w:pPr>
              <w:bidi/>
              <w:jc w:val="both"/>
            </w:pPr>
            <w:r w:rsidRPr="00BF4CD3">
              <w:rPr>
                <w:rFonts w:eastAsia="Arial"/>
                <w:b/>
                <w:sz w:val="18"/>
              </w:rPr>
              <w:t>اسم الجدول</w:t>
            </w:r>
          </w:p>
        </w:tc>
        <w:tc>
          <w:tcPr>
            <w:tcW w:w="4463" w:type="dxa"/>
            <w:shd w:val="clear" w:color="auto" w:fill="F2F2F2" w:themeFill="background1" w:themeFillShade="F2"/>
            <w:vAlign w:val="center"/>
          </w:tcPr>
          <w:p w14:paraId="754B83D2" w14:textId="77777777" w:rsidR="003D1B66" w:rsidRPr="00BF4CD3" w:rsidRDefault="003D1B66" w:rsidP="000B46B5">
            <w:pPr>
              <w:bidi/>
              <w:jc w:val="both"/>
            </w:pPr>
            <w:r w:rsidRPr="00BF4CD3">
              <w:rPr>
                <w:rFonts w:eastAsia="Arial"/>
                <w:b/>
                <w:sz w:val="18"/>
              </w:rPr>
              <w:t>رقم الصفحة</w:t>
            </w:r>
          </w:p>
        </w:tc>
      </w:tr>
      <w:tr w:rsidR="003D1B66" w14:paraId="63E61567" w14:textId="77777777" w:rsidTr="000B46B5">
        <w:trPr>
          <w:jc w:val="center"/>
        </w:trPr>
        <w:tc>
          <w:tcPr>
            <w:tcW w:w="4464" w:type="dxa"/>
            <w:shd w:val="clear" w:color="auto" w:fill="F2F2F2" w:themeFill="background1" w:themeFillShade="F2"/>
            <w:vAlign w:val="center"/>
          </w:tcPr>
          <w:p w14:paraId="2694437E" w14:textId="77777777" w:rsidR="003D1B66" w:rsidRPr="00603DEC" w:rsidRDefault="003D1B66" w:rsidP="000B46B5">
            <w:pPr>
              <w:bidi/>
              <w:jc w:val="both"/>
              <w:rPr>
                <w:sz w:val="20"/>
                <w:szCs w:val="20"/>
              </w:rPr>
            </w:pPr>
            <w:r w:rsidRPr="00603DEC">
              <w:rPr>
                <w:rFonts w:eastAsia="Arial"/>
                <w:sz w:val="20"/>
                <w:szCs w:val="20"/>
              </w:rPr>
              <w:t>جدول 1): النظريات المفسرة للحوكمة الصحية</w:t>
            </w:r>
            <w:r w:rsidRPr="00603DEC">
              <w:rPr>
                <w:rFonts w:eastAsia="Arial" w:hint="cs"/>
                <w:sz w:val="20"/>
                <w:szCs w:val="20"/>
                <w:rtl/>
              </w:rPr>
              <w:t xml:space="preserve"> )</w:t>
            </w:r>
          </w:p>
        </w:tc>
        <w:tc>
          <w:tcPr>
            <w:tcW w:w="4463" w:type="dxa"/>
            <w:shd w:val="clear" w:color="auto" w:fill="F2F2F2" w:themeFill="background1" w:themeFillShade="F2"/>
            <w:vAlign w:val="center"/>
          </w:tcPr>
          <w:p w14:paraId="20EDF53E" w14:textId="77777777" w:rsidR="003D1B66" w:rsidRPr="00603DEC" w:rsidRDefault="003D1B66" w:rsidP="000B46B5">
            <w:pPr>
              <w:bidi/>
              <w:jc w:val="both"/>
              <w:rPr>
                <w:sz w:val="20"/>
                <w:szCs w:val="20"/>
              </w:rPr>
            </w:pPr>
            <w:r w:rsidRPr="00603DEC">
              <w:rPr>
                <w:rFonts w:eastAsia="Arial"/>
                <w:sz w:val="20"/>
                <w:szCs w:val="20"/>
              </w:rPr>
              <w:t>9</w:t>
            </w:r>
          </w:p>
        </w:tc>
      </w:tr>
      <w:tr w:rsidR="003D1B66" w14:paraId="0004E33B" w14:textId="77777777" w:rsidTr="000B46B5">
        <w:trPr>
          <w:jc w:val="center"/>
        </w:trPr>
        <w:tc>
          <w:tcPr>
            <w:tcW w:w="4464" w:type="dxa"/>
            <w:shd w:val="clear" w:color="auto" w:fill="F2F2F2" w:themeFill="background1" w:themeFillShade="F2"/>
            <w:vAlign w:val="center"/>
          </w:tcPr>
          <w:p w14:paraId="0CCFEE02" w14:textId="77777777" w:rsidR="003D1B66" w:rsidRPr="00603DEC" w:rsidRDefault="003D1B66" w:rsidP="000B46B5">
            <w:pPr>
              <w:bidi/>
              <w:jc w:val="both"/>
              <w:rPr>
                <w:sz w:val="20"/>
                <w:szCs w:val="20"/>
              </w:rPr>
            </w:pPr>
            <w:r w:rsidRPr="00603DEC">
              <w:rPr>
                <w:rFonts w:eastAsia="Arial"/>
                <w:sz w:val="20"/>
                <w:szCs w:val="20"/>
              </w:rPr>
              <w:t>جدول 2): النموذج المفاهيمي للدراسة</w:t>
            </w:r>
            <w:r w:rsidRPr="00603DEC">
              <w:rPr>
                <w:rFonts w:eastAsia="Arial" w:hint="cs"/>
                <w:sz w:val="20"/>
                <w:szCs w:val="20"/>
                <w:rtl/>
              </w:rPr>
              <w:t>)</w:t>
            </w:r>
          </w:p>
        </w:tc>
        <w:tc>
          <w:tcPr>
            <w:tcW w:w="4463" w:type="dxa"/>
            <w:shd w:val="clear" w:color="auto" w:fill="F2F2F2" w:themeFill="background1" w:themeFillShade="F2"/>
            <w:vAlign w:val="center"/>
          </w:tcPr>
          <w:p w14:paraId="1FEA712F" w14:textId="77777777" w:rsidR="003D1B66" w:rsidRPr="00603DEC" w:rsidRDefault="003D1B66" w:rsidP="000B46B5">
            <w:pPr>
              <w:bidi/>
              <w:jc w:val="both"/>
              <w:rPr>
                <w:sz w:val="20"/>
                <w:szCs w:val="20"/>
              </w:rPr>
            </w:pPr>
            <w:r w:rsidRPr="00603DEC">
              <w:rPr>
                <w:rFonts w:eastAsia="Arial"/>
                <w:sz w:val="20"/>
                <w:szCs w:val="20"/>
              </w:rPr>
              <w:t>10</w:t>
            </w:r>
          </w:p>
        </w:tc>
      </w:tr>
      <w:tr w:rsidR="003D1B66" w14:paraId="08B56B4B" w14:textId="77777777" w:rsidTr="000B46B5">
        <w:trPr>
          <w:jc w:val="center"/>
        </w:trPr>
        <w:tc>
          <w:tcPr>
            <w:tcW w:w="4464" w:type="dxa"/>
            <w:shd w:val="clear" w:color="auto" w:fill="F2F2F2" w:themeFill="background1" w:themeFillShade="F2"/>
            <w:vAlign w:val="center"/>
          </w:tcPr>
          <w:p w14:paraId="568E0907" w14:textId="77777777" w:rsidR="003D1B66" w:rsidRPr="00603DEC" w:rsidRDefault="003D1B66" w:rsidP="000B46B5">
            <w:pPr>
              <w:bidi/>
              <w:jc w:val="both"/>
              <w:rPr>
                <w:sz w:val="20"/>
                <w:szCs w:val="20"/>
              </w:rPr>
            </w:pPr>
            <w:r w:rsidRPr="00603DEC">
              <w:rPr>
                <w:rFonts w:eastAsia="Arial"/>
                <w:sz w:val="20"/>
                <w:szCs w:val="20"/>
              </w:rPr>
              <w:t>جدول 3): متغيرات الدراسة وأبعادها</w:t>
            </w:r>
            <w:r w:rsidRPr="00603DEC">
              <w:rPr>
                <w:rFonts w:eastAsia="Arial" w:hint="cs"/>
                <w:sz w:val="20"/>
                <w:szCs w:val="20"/>
                <w:rtl/>
              </w:rPr>
              <w:t>)</w:t>
            </w:r>
          </w:p>
        </w:tc>
        <w:tc>
          <w:tcPr>
            <w:tcW w:w="4463" w:type="dxa"/>
            <w:shd w:val="clear" w:color="auto" w:fill="F2F2F2" w:themeFill="background1" w:themeFillShade="F2"/>
            <w:vAlign w:val="center"/>
          </w:tcPr>
          <w:p w14:paraId="21FD2D09" w14:textId="77777777" w:rsidR="003D1B66" w:rsidRPr="00603DEC" w:rsidRDefault="003D1B66" w:rsidP="000B46B5">
            <w:pPr>
              <w:bidi/>
              <w:jc w:val="both"/>
              <w:rPr>
                <w:sz w:val="20"/>
                <w:szCs w:val="20"/>
              </w:rPr>
            </w:pPr>
            <w:r w:rsidRPr="00603DEC">
              <w:rPr>
                <w:rFonts w:eastAsia="Arial"/>
                <w:sz w:val="20"/>
                <w:szCs w:val="20"/>
              </w:rPr>
              <w:t>10</w:t>
            </w:r>
          </w:p>
        </w:tc>
      </w:tr>
      <w:tr w:rsidR="003D1B66" w14:paraId="7DB19F55" w14:textId="77777777" w:rsidTr="000B46B5">
        <w:trPr>
          <w:jc w:val="center"/>
        </w:trPr>
        <w:tc>
          <w:tcPr>
            <w:tcW w:w="4464" w:type="dxa"/>
            <w:shd w:val="clear" w:color="auto" w:fill="F2F2F2" w:themeFill="background1" w:themeFillShade="F2"/>
            <w:vAlign w:val="center"/>
          </w:tcPr>
          <w:p w14:paraId="32E1D87D" w14:textId="77777777" w:rsidR="003D1B66" w:rsidRPr="00603DEC" w:rsidRDefault="003D1B66" w:rsidP="000B46B5">
            <w:pPr>
              <w:bidi/>
              <w:jc w:val="both"/>
              <w:rPr>
                <w:sz w:val="20"/>
                <w:szCs w:val="20"/>
              </w:rPr>
            </w:pPr>
            <w:r w:rsidRPr="00603DEC">
              <w:rPr>
                <w:rFonts w:eastAsia="Arial"/>
                <w:sz w:val="20"/>
                <w:szCs w:val="20"/>
              </w:rPr>
              <w:t>جدول 4): المنهجية الأولية المقترحة</w:t>
            </w:r>
            <w:r w:rsidRPr="00603DEC">
              <w:rPr>
                <w:rFonts w:eastAsia="Arial" w:hint="cs"/>
                <w:sz w:val="20"/>
                <w:szCs w:val="20"/>
                <w:rtl/>
              </w:rPr>
              <w:t>)</w:t>
            </w:r>
          </w:p>
        </w:tc>
        <w:tc>
          <w:tcPr>
            <w:tcW w:w="4463" w:type="dxa"/>
            <w:shd w:val="clear" w:color="auto" w:fill="F2F2F2" w:themeFill="background1" w:themeFillShade="F2"/>
            <w:vAlign w:val="center"/>
          </w:tcPr>
          <w:p w14:paraId="1D3B0EC0" w14:textId="77777777" w:rsidR="003D1B66" w:rsidRPr="00603DEC" w:rsidRDefault="003D1B66" w:rsidP="000B46B5">
            <w:pPr>
              <w:bidi/>
              <w:jc w:val="both"/>
              <w:rPr>
                <w:sz w:val="20"/>
                <w:szCs w:val="20"/>
              </w:rPr>
            </w:pPr>
            <w:r w:rsidRPr="00603DEC">
              <w:rPr>
                <w:rFonts w:eastAsia="Arial"/>
                <w:sz w:val="20"/>
                <w:szCs w:val="20"/>
              </w:rPr>
              <w:t>13</w:t>
            </w:r>
          </w:p>
        </w:tc>
      </w:tr>
      <w:tr w:rsidR="003D1B66" w14:paraId="0C729334" w14:textId="77777777" w:rsidTr="000B46B5">
        <w:trPr>
          <w:jc w:val="center"/>
        </w:trPr>
        <w:tc>
          <w:tcPr>
            <w:tcW w:w="4464" w:type="dxa"/>
            <w:shd w:val="clear" w:color="auto" w:fill="F2F2F2" w:themeFill="background1" w:themeFillShade="F2"/>
            <w:vAlign w:val="center"/>
          </w:tcPr>
          <w:p w14:paraId="223A79F0" w14:textId="77777777" w:rsidR="003D1B66" w:rsidRPr="00603DEC" w:rsidRDefault="003D1B66" w:rsidP="000B46B5">
            <w:pPr>
              <w:bidi/>
              <w:jc w:val="both"/>
              <w:rPr>
                <w:sz w:val="20"/>
                <w:szCs w:val="20"/>
              </w:rPr>
            </w:pPr>
            <w:r w:rsidRPr="00603DEC">
              <w:rPr>
                <w:rFonts w:eastAsia="Arial"/>
                <w:sz w:val="20"/>
                <w:szCs w:val="20"/>
              </w:rPr>
              <w:t>جدول 5): ملخص تحليلي للدراسات السابقة</w:t>
            </w:r>
            <w:r w:rsidRPr="00603DEC">
              <w:rPr>
                <w:rFonts w:eastAsia="Arial" w:hint="cs"/>
                <w:sz w:val="20"/>
                <w:szCs w:val="20"/>
                <w:rtl/>
              </w:rPr>
              <w:t>)</w:t>
            </w:r>
          </w:p>
        </w:tc>
        <w:tc>
          <w:tcPr>
            <w:tcW w:w="4463" w:type="dxa"/>
            <w:shd w:val="clear" w:color="auto" w:fill="F2F2F2" w:themeFill="background1" w:themeFillShade="F2"/>
            <w:vAlign w:val="center"/>
          </w:tcPr>
          <w:p w14:paraId="3864C1FB" w14:textId="77777777" w:rsidR="003D1B66" w:rsidRPr="00603DEC" w:rsidRDefault="003D1B66" w:rsidP="000B46B5">
            <w:pPr>
              <w:bidi/>
              <w:jc w:val="both"/>
              <w:rPr>
                <w:sz w:val="20"/>
                <w:szCs w:val="20"/>
              </w:rPr>
            </w:pPr>
            <w:r w:rsidRPr="00603DEC">
              <w:rPr>
                <w:rFonts w:eastAsia="Arial"/>
                <w:sz w:val="20"/>
                <w:szCs w:val="20"/>
              </w:rPr>
              <w:t>20</w:t>
            </w:r>
          </w:p>
        </w:tc>
      </w:tr>
      <w:tr w:rsidR="003D1B66" w14:paraId="3CB95D7D" w14:textId="77777777" w:rsidTr="000B46B5">
        <w:trPr>
          <w:jc w:val="center"/>
        </w:trPr>
        <w:tc>
          <w:tcPr>
            <w:tcW w:w="4464" w:type="dxa"/>
            <w:shd w:val="clear" w:color="auto" w:fill="F2F2F2" w:themeFill="background1" w:themeFillShade="F2"/>
            <w:vAlign w:val="center"/>
          </w:tcPr>
          <w:p w14:paraId="2285DD47" w14:textId="77777777" w:rsidR="003D1B66" w:rsidRPr="00603DEC" w:rsidRDefault="003D1B66" w:rsidP="000B46B5">
            <w:pPr>
              <w:bidi/>
              <w:jc w:val="both"/>
              <w:rPr>
                <w:sz w:val="20"/>
                <w:szCs w:val="20"/>
              </w:rPr>
            </w:pPr>
            <w:r w:rsidRPr="00603DEC">
              <w:rPr>
                <w:rFonts w:eastAsia="Arial"/>
                <w:sz w:val="20"/>
                <w:szCs w:val="20"/>
              </w:rPr>
              <w:t>جدول 6): التمييز بين الحوكمة والإدارة والقيادة</w:t>
            </w:r>
            <w:r w:rsidRPr="00603DEC">
              <w:rPr>
                <w:rFonts w:eastAsia="Arial" w:hint="cs"/>
                <w:sz w:val="20"/>
                <w:szCs w:val="20"/>
                <w:rtl/>
              </w:rPr>
              <w:t>)</w:t>
            </w:r>
          </w:p>
        </w:tc>
        <w:tc>
          <w:tcPr>
            <w:tcW w:w="4463" w:type="dxa"/>
            <w:shd w:val="clear" w:color="auto" w:fill="F2F2F2" w:themeFill="background1" w:themeFillShade="F2"/>
            <w:vAlign w:val="center"/>
          </w:tcPr>
          <w:p w14:paraId="0486A6CB" w14:textId="77777777" w:rsidR="003D1B66" w:rsidRPr="00603DEC" w:rsidRDefault="003D1B66" w:rsidP="000B46B5">
            <w:pPr>
              <w:bidi/>
              <w:jc w:val="both"/>
              <w:rPr>
                <w:sz w:val="20"/>
                <w:szCs w:val="20"/>
              </w:rPr>
            </w:pPr>
            <w:r w:rsidRPr="00603DEC">
              <w:rPr>
                <w:rFonts w:eastAsia="Arial"/>
                <w:sz w:val="20"/>
                <w:szCs w:val="20"/>
              </w:rPr>
              <w:t>24</w:t>
            </w:r>
          </w:p>
        </w:tc>
      </w:tr>
      <w:tr w:rsidR="003D1B66" w14:paraId="60821B21" w14:textId="77777777" w:rsidTr="000B46B5">
        <w:trPr>
          <w:jc w:val="center"/>
        </w:trPr>
        <w:tc>
          <w:tcPr>
            <w:tcW w:w="4464" w:type="dxa"/>
            <w:shd w:val="clear" w:color="auto" w:fill="F2F2F2" w:themeFill="background1" w:themeFillShade="F2"/>
            <w:vAlign w:val="center"/>
          </w:tcPr>
          <w:p w14:paraId="2E44508A" w14:textId="77777777" w:rsidR="003D1B66" w:rsidRPr="00603DEC" w:rsidRDefault="003D1B66" w:rsidP="000B46B5">
            <w:pPr>
              <w:bidi/>
              <w:jc w:val="both"/>
              <w:rPr>
                <w:sz w:val="20"/>
                <w:szCs w:val="20"/>
              </w:rPr>
            </w:pPr>
            <w:r w:rsidRPr="00603DEC">
              <w:rPr>
                <w:rFonts w:eastAsia="Arial"/>
                <w:sz w:val="20"/>
                <w:szCs w:val="20"/>
              </w:rPr>
              <w:t>جدول 7): مستويات الحوكمة الصحية</w:t>
            </w:r>
            <w:r w:rsidRPr="00603DEC">
              <w:rPr>
                <w:rFonts w:eastAsia="Arial" w:hint="cs"/>
                <w:sz w:val="20"/>
                <w:szCs w:val="20"/>
                <w:rtl/>
              </w:rPr>
              <w:t>)</w:t>
            </w:r>
          </w:p>
        </w:tc>
        <w:tc>
          <w:tcPr>
            <w:tcW w:w="4463" w:type="dxa"/>
            <w:shd w:val="clear" w:color="auto" w:fill="F2F2F2" w:themeFill="background1" w:themeFillShade="F2"/>
            <w:vAlign w:val="center"/>
          </w:tcPr>
          <w:p w14:paraId="0DD28698" w14:textId="77777777" w:rsidR="003D1B66" w:rsidRPr="00603DEC" w:rsidRDefault="003D1B66" w:rsidP="000B46B5">
            <w:pPr>
              <w:bidi/>
              <w:jc w:val="both"/>
              <w:rPr>
                <w:sz w:val="20"/>
                <w:szCs w:val="20"/>
              </w:rPr>
            </w:pPr>
            <w:r w:rsidRPr="00603DEC">
              <w:rPr>
                <w:rFonts w:eastAsia="Arial"/>
                <w:sz w:val="20"/>
                <w:szCs w:val="20"/>
              </w:rPr>
              <w:t>24</w:t>
            </w:r>
          </w:p>
        </w:tc>
      </w:tr>
      <w:tr w:rsidR="003D1B66" w14:paraId="7644625F" w14:textId="77777777" w:rsidTr="000B46B5">
        <w:trPr>
          <w:jc w:val="center"/>
        </w:trPr>
        <w:tc>
          <w:tcPr>
            <w:tcW w:w="4464" w:type="dxa"/>
            <w:shd w:val="clear" w:color="auto" w:fill="F2F2F2" w:themeFill="background1" w:themeFillShade="F2"/>
            <w:vAlign w:val="center"/>
          </w:tcPr>
          <w:p w14:paraId="7A57BDBE" w14:textId="77777777" w:rsidR="003D1B66" w:rsidRPr="00603DEC" w:rsidRDefault="003D1B66" w:rsidP="000B46B5">
            <w:pPr>
              <w:bidi/>
              <w:jc w:val="both"/>
              <w:rPr>
                <w:sz w:val="20"/>
                <w:szCs w:val="20"/>
              </w:rPr>
            </w:pPr>
            <w:r w:rsidRPr="00603DEC">
              <w:rPr>
                <w:rFonts w:eastAsia="Arial"/>
                <w:sz w:val="20"/>
                <w:szCs w:val="20"/>
              </w:rPr>
              <w:t>جدول 8): النظريات المفسرة للحوكمة الصحية</w:t>
            </w:r>
            <w:r w:rsidRPr="00603DEC">
              <w:rPr>
                <w:rFonts w:eastAsia="Arial" w:hint="cs"/>
                <w:sz w:val="20"/>
                <w:szCs w:val="20"/>
                <w:rtl/>
              </w:rPr>
              <w:t>)</w:t>
            </w:r>
          </w:p>
        </w:tc>
        <w:tc>
          <w:tcPr>
            <w:tcW w:w="4463" w:type="dxa"/>
            <w:shd w:val="clear" w:color="auto" w:fill="F2F2F2" w:themeFill="background1" w:themeFillShade="F2"/>
            <w:vAlign w:val="center"/>
          </w:tcPr>
          <w:p w14:paraId="13170C6D" w14:textId="77777777" w:rsidR="003D1B66" w:rsidRPr="00603DEC" w:rsidRDefault="003D1B66" w:rsidP="000B46B5">
            <w:pPr>
              <w:bidi/>
              <w:jc w:val="both"/>
              <w:rPr>
                <w:sz w:val="20"/>
                <w:szCs w:val="20"/>
              </w:rPr>
            </w:pPr>
            <w:r w:rsidRPr="00603DEC">
              <w:rPr>
                <w:rFonts w:eastAsia="Arial"/>
                <w:sz w:val="20"/>
                <w:szCs w:val="20"/>
              </w:rPr>
              <w:t>26</w:t>
            </w:r>
          </w:p>
        </w:tc>
      </w:tr>
      <w:tr w:rsidR="003D1B66" w14:paraId="506D856A" w14:textId="77777777" w:rsidTr="000B46B5">
        <w:trPr>
          <w:jc w:val="center"/>
        </w:trPr>
        <w:tc>
          <w:tcPr>
            <w:tcW w:w="4464" w:type="dxa"/>
            <w:shd w:val="clear" w:color="auto" w:fill="F2F2F2" w:themeFill="background1" w:themeFillShade="F2"/>
            <w:vAlign w:val="center"/>
          </w:tcPr>
          <w:p w14:paraId="387EE03B" w14:textId="77777777" w:rsidR="003D1B66" w:rsidRPr="00603DEC" w:rsidRDefault="003D1B66" w:rsidP="000B46B5">
            <w:pPr>
              <w:bidi/>
              <w:jc w:val="both"/>
              <w:rPr>
                <w:sz w:val="20"/>
                <w:szCs w:val="20"/>
              </w:rPr>
            </w:pPr>
            <w:r w:rsidRPr="00603DEC">
              <w:rPr>
                <w:rFonts w:eastAsia="Arial"/>
                <w:sz w:val="20"/>
                <w:szCs w:val="20"/>
              </w:rPr>
              <w:t>جدول 9): مبادئ وأبعاد الحوكمة الصحية</w:t>
            </w:r>
            <w:r w:rsidRPr="00603DEC">
              <w:rPr>
                <w:rFonts w:eastAsia="Arial" w:hint="cs"/>
                <w:sz w:val="20"/>
                <w:szCs w:val="20"/>
                <w:rtl/>
              </w:rPr>
              <w:t>)</w:t>
            </w:r>
          </w:p>
        </w:tc>
        <w:tc>
          <w:tcPr>
            <w:tcW w:w="4463" w:type="dxa"/>
            <w:shd w:val="clear" w:color="auto" w:fill="F2F2F2" w:themeFill="background1" w:themeFillShade="F2"/>
            <w:vAlign w:val="center"/>
          </w:tcPr>
          <w:p w14:paraId="766D0BE0" w14:textId="77777777" w:rsidR="003D1B66" w:rsidRPr="00603DEC" w:rsidRDefault="003D1B66" w:rsidP="000B46B5">
            <w:pPr>
              <w:bidi/>
              <w:jc w:val="both"/>
              <w:rPr>
                <w:sz w:val="20"/>
                <w:szCs w:val="20"/>
              </w:rPr>
            </w:pPr>
            <w:r w:rsidRPr="00603DEC">
              <w:rPr>
                <w:rFonts w:eastAsia="Arial"/>
                <w:sz w:val="20"/>
                <w:szCs w:val="20"/>
              </w:rPr>
              <w:t>27</w:t>
            </w:r>
          </w:p>
        </w:tc>
      </w:tr>
      <w:tr w:rsidR="003D1B66" w14:paraId="0C62D410" w14:textId="77777777" w:rsidTr="000B46B5">
        <w:trPr>
          <w:jc w:val="center"/>
        </w:trPr>
        <w:tc>
          <w:tcPr>
            <w:tcW w:w="4464" w:type="dxa"/>
            <w:shd w:val="clear" w:color="auto" w:fill="F2F2F2" w:themeFill="background1" w:themeFillShade="F2"/>
            <w:vAlign w:val="center"/>
          </w:tcPr>
          <w:p w14:paraId="14A402DC" w14:textId="77777777" w:rsidR="003D1B66" w:rsidRPr="00603DEC" w:rsidRDefault="003D1B66" w:rsidP="000B46B5">
            <w:pPr>
              <w:bidi/>
              <w:jc w:val="both"/>
              <w:rPr>
                <w:sz w:val="20"/>
                <w:szCs w:val="20"/>
              </w:rPr>
            </w:pPr>
            <w:r w:rsidRPr="00603DEC">
              <w:rPr>
                <w:rFonts w:eastAsia="Arial"/>
                <w:sz w:val="20"/>
                <w:szCs w:val="20"/>
              </w:rPr>
              <w:t>جدول 10): نماذج وأطر الحوكمة الصحية</w:t>
            </w:r>
            <w:r w:rsidRPr="00603DEC">
              <w:rPr>
                <w:rFonts w:eastAsia="Arial" w:hint="cs"/>
                <w:sz w:val="20"/>
                <w:szCs w:val="20"/>
                <w:rtl/>
              </w:rPr>
              <w:t>)</w:t>
            </w:r>
          </w:p>
        </w:tc>
        <w:tc>
          <w:tcPr>
            <w:tcW w:w="4463" w:type="dxa"/>
            <w:shd w:val="clear" w:color="auto" w:fill="F2F2F2" w:themeFill="background1" w:themeFillShade="F2"/>
            <w:vAlign w:val="center"/>
          </w:tcPr>
          <w:p w14:paraId="730E731B" w14:textId="77777777" w:rsidR="003D1B66" w:rsidRPr="00603DEC" w:rsidRDefault="003D1B66" w:rsidP="000B46B5">
            <w:pPr>
              <w:bidi/>
              <w:jc w:val="both"/>
              <w:rPr>
                <w:sz w:val="20"/>
                <w:szCs w:val="20"/>
              </w:rPr>
            </w:pPr>
            <w:r w:rsidRPr="00603DEC">
              <w:rPr>
                <w:sz w:val="20"/>
                <w:szCs w:val="20"/>
              </w:rPr>
              <w:t>29</w:t>
            </w:r>
          </w:p>
        </w:tc>
      </w:tr>
      <w:tr w:rsidR="003D1B66" w:rsidRPr="00603DEC" w14:paraId="74E17F63" w14:textId="77777777" w:rsidTr="000B46B5">
        <w:trPr>
          <w:jc w:val="center"/>
        </w:trPr>
        <w:tc>
          <w:tcPr>
            <w:tcW w:w="4464" w:type="dxa"/>
            <w:shd w:val="clear" w:color="auto" w:fill="F2F2F2" w:themeFill="background1" w:themeFillShade="F2"/>
            <w:vAlign w:val="center"/>
          </w:tcPr>
          <w:p w14:paraId="466E2A07" w14:textId="77777777" w:rsidR="003D1B66" w:rsidRPr="00603DEC" w:rsidRDefault="003D1B66" w:rsidP="000B46B5">
            <w:pPr>
              <w:bidi/>
              <w:jc w:val="both"/>
              <w:rPr>
                <w:sz w:val="20"/>
                <w:szCs w:val="20"/>
              </w:rPr>
            </w:pPr>
            <w:r w:rsidRPr="00603DEC">
              <w:rPr>
                <w:rFonts w:eastAsia="Arial"/>
                <w:sz w:val="20"/>
                <w:szCs w:val="20"/>
              </w:rPr>
              <w:t>جدول 11): أبعاد الشفافية الصحية</w:t>
            </w:r>
            <w:r w:rsidRPr="00603DEC">
              <w:rPr>
                <w:rFonts w:eastAsia="Arial" w:hint="cs"/>
                <w:sz w:val="20"/>
                <w:szCs w:val="20"/>
                <w:rtl/>
              </w:rPr>
              <w:t>)</w:t>
            </w:r>
          </w:p>
        </w:tc>
        <w:tc>
          <w:tcPr>
            <w:tcW w:w="4463" w:type="dxa"/>
            <w:shd w:val="clear" w:color="auto" w:fill="F2F2F2" w:themeFill="background1" w:themeFillShade="F2"/>
            <w:vAlign w:val="center"/>
          </w:tcPr>
          <w:p w14:paraId="0B4F1B93" w14:textId="77777777" w:rsidR="003D1B66" w:rsidRPr="00603DEC" w:rsidRDefault="003D1B66" w:rsidP="000B46B5">
            <w:pPr>
              <w:bidi/>
              <w:jc w:val="both"/>
              <w:rPr>
                <w:sz w:val="20"/>
                <w:szCs w:val="20"/>
              </w:rPr>
            </w:pPr>
            <w:r w:rsidRPr="00603DEC">
              <w:rPr>
                <w:rFonts w:eastAsia="Arial"/>
                <w:sz w:val="20"/>
                <w:szCs w:val="20"/>
              </w:rPr>
              <w:t>30</w:t>
            </w:r>
          </w:p>
        </w:tc>
      </w:tr>
      <w:tr w:rsidR="003D1B66" w14:paraId="3509985A" w14:textId="77777777" w:rsidTr="000B46B5">
        <w:trPr>
          <w:jc w:val="center"/>
        </w:trPr>
        <w:tc>
          <w:tcPr>
            <w:tcW w:w="4464" w:type="dxa"/>
            <w:shd w:val="clear" w:color="auto" w:fill="F2F2F2" w:themeFill="background1" w:themeFillShade="F2"/>
            <w:vAlign w:val="center"/>
          </w:tcPr>
          <w:p w14:paraId="09E0E085" w14:textId="77777777" w:rsidR="003D1B66" w:rsidRDefault="003D1B66" w:rsidP="000B46B5">
            <w:pPr>
              <w:shd w:val="clear" w:color="auto" w:fill="F2F2F2" w:themeFill="background1" w:themeFillShade="F2"/>
              <w:bidi/>
              <w:jc w:val="both"/>
            </w:pPr>
            <w:r>
              <w:rPr>
                <w:rFonts w:eastAsia="Arial"/>
                <w:sz w:val="18"/>
              </w:rPr>
              <w:t>جدول 12): أنواع الكفاءة في المؤسسات الصحية</w:t>
            </w:r>
            <w:r>
              <w:rPr>
                <w:rFonts w:eastAsia="Arial" w:hint="cs"/>
                <w:sz w:val="18"/>
                <w:rtl/>
              </w:rPr>
              <w:t>)</w:t>
            </w:r>
          </w:p>
        </w:tc>
        <w:tc>
          <w:tcPr>
            <w:tcW w:w="4463" w:type="dxa"/>
            <w:shd w:val="clear" w:color="auto" w:fill="F2F2F2" w:themeFill="background1" w:themeFillShade="F2"/>
            <w:vAlign w:val="center"/>
          </w:tcPr>
          <w:p w14:paraId="131202FE" w14:textId="77777777" w:rsidR="003D1B66" w:rsidRPr="00224698" w:rsidRDefault="003D1B66" w:rsidP="000B46B5">
            <w:pPr>
              <w:shd w:val="clear" w:color="auto" w:fill="F2F2F2" w:themeFill="background1" w:themeFillShade="F2"/>
              <w:bidi/>
              <w:jc w:val="both"/>
              <w:rPr>
                <w:sz w:val="20"/>
                <w:szCs w:val="20"/>
              </w:rPr>
            </w:pPr>
            <w:r w:rsidRPr="00224698">
              <w:rPr>
                <w:sz w:val="20"/>
                <w:szCs w:val="20"/>
              </w:rPr>
              <w:t>33</w:t>
            </w:r>
          </w:p>
        </w:tc>
      </w:tr>
      <w:tr w:rsidR="003D1B66" w14:paraId="01ADE856" w14:textId="77777777" w:rsidTr="000B46B5">
        <w:trPr>
          <w:jc w:val="center"/>
        </w:trPr>
        <w:tc>
          <w:tcPr>
            <w:tcW w:w="4464" w:type="dxa"/>
            <w:shd w:val="clear" w:color="auto" w:fill="F2F2F2" w:themeFill="background1" w:themeFillShade="F2"/>
            <w:vAlign w:val="center"/>
          </w:tcPr>
          <w:p w14:paraId="4C267283" w14:textId="77777777" w:rsidR="003D1B66" w:rsidRDefault="003D1B66" w:rsidP="000B46B5">
            <w:pPr>
              <w:shd w:val="clear" w:color="auto" w:fill="F2F2F2" w:themeFill="background1" w:themeFillShade="F2"/>
              <w:bidi/>
              <w:jc w:val="both"/>
            </w:pPr>
            <w:r>
              <w:rPr>
                <w:rFonts w:eastAsia="Arial"/>
                <w:sz w:val="18"/>
              </w:rPr>
              <w:lastRenderedPageBreak/>
              <w:t>جدول 13): الأطراف الرئيسة في منظومة الحوكمة الصحية السعودية</w:t>
            </w:r>
            <w:r>
              <w:rPr>
                <w:rFonts w:eastAsia="Arial" w:hint="cs"/>
                <w:sz w:val="18"/>
                <w:rtl/>
              </w:rPr>
              <w:t>)</w:t>
            </w:r>
          </w:p>
        </w:tc>
        <w:tc>
          <w:tcPr>
            <w:tcW w:w="4463" w:type="dxa"/>
            <w:shd w:val="clear" w:color="auto" w:fill="F2F2F2" w:themeFill="background1" w:themeFillShade="F2"/>
            <w:vAlign w:val="center"/>
          </w:tcPr>
          <w:p w14:paraId="7A03DFCE" w14:textId="77777777" w:rsidR="003D1B66" w:rsidRPr="00224698" w:rsidRDefault="003D1B66" w:rsidP="000B46B5">
            <w:pPr>
              <w:shd w:val="clear" w:color="auto" w:fill="F2F2F2" w:themeFill="background1" w:themeFillShade="F2"/>
              <w:bidi/>
              <w:jc w:val="both"/>
              <w:rPr>
                <w:sz w:val="20"/>
                <w:szCs w:val="20"/>
              </w:rPr>
            </w:pPr>
            <w:r w:rsidRPr="00224698">
              <w:rPr>
                <w:rFonts w:eastAsia="Arial"/>
                <w:sz w:val="20"/>
                <w:szCs w:val="20"/>
              </w:rPr>
              <w:t>36</w:t>
            </w:r>
          </w:p>
        </w:tc>
      </w:tr>
      <w:tr w:rsidR="003D1B66" w14:paraId="00B947B7" w14:textId="77777777" w:rsidTr="000B46B5">
        <w:trPr>
          <w:jc w:val="center"/>
        </w:trPr>
        <w:tc>
          <w:tcPr>
            <w:tcW w:w="4464" w:type="dxa"/>
            <w:shd w:val="clear" w:color="auto" w:fill="F2F2F2" w:themeFill="background1" w:themeFillShade="F2"/>
            <w:vAlign w:val="center"/>
          </w:tcPr>
          <w:p w14:paraId="07B6E085" w14:textId="77777777" w:rsidR="003D1B66" w:rsidRDefault="003D1B66" w:rsidP="000B46B5">
            <w:pPr>
              <w:shd w:val="clear" w:color="auto" w:fill="F2F2F2" w:themeFill="background1" w:themeFillShade="F2"/>
              <w:bidi/>
              <w:jc w:val="both"/>
              <w:rPr>
                <w:rtl/>
              </w:rPr>
            </w:pPr>
            <w:r>
              <w:rPr>
                <w:rFonts w:eastAsia="Arial"/>
                <w:sz w:val="18"/>
              </w:rPr>
              <w:t>جدول 14): النموذج النظري المستخلص</w:t>
            </w:r>
            <w:r>
              <w:rPr>
                <w:rFonts w:eastAsia="Arial" w:hint="cs"/>
                <w:sz w:val="18"/>
                <w:rtl/>
              </w:rPr>
              <w:t>)</w:t>
            </w:r>
          </w:p>
        </w:tc>
        <w:tc>
          <w:tcPr>
            <w:tcW w:w="4463" w:type="dxa"/>
            <w:shd w:val="clear" w:color="auto" w:fill="F2F2F2" w:themeFill="background1" w:themeFillShade="F2"/>
            <w:vAlign w:val="center"/>
          </w:tcPr>
          <w:p w14:paraId="0DD0076B" w14:textId="77777777" w:rsidR="003D1B66" w:rsidRPr="00224698" w:rsidRDefault="003D1B66" w:rsidP="000B46B5">
            <w:pPr>
              <w:shd w:val="clear" w:color="auto" w:fill="F2F2F2" w:themeFill="background1" w:themeFillShade="F2"/>
              <w:bidi/>
              <w:jc w:val="both"/>
              <w:rPr>
                <w:sz w:val="20"/>
                <w:szCs w:val="20"/>
              </w:rPr>
            </w:pPr>
            <w:r w:rsidRPr="00224698">
              <w:rPr>
                <w:sz w:val="20"/>
                <w:szCs w:val="20"/>
              </w:rPr>
              <w:t>39</w:t>
            </w:r>
          </w:p>
        </w:tc>
      </w:tr>
    </w:tbl>
    <w:p w14:paraId="5F00F662" w14:textId="77777777" w:rsidR="003D1B66" w:rsidRDefault="003D1B66" w:rsidP="003D1B66">
      <w:pPr>
        <w:shd w:val="clear" w:color="auto" w:fill="F2F2F2" w:themeFill="background1" w:themeFillShade="F2"/>
        <w:bidi/>
        <w:jc w:val="both"/>
      </w:pPr>
      <w:r>
        <w:br w:type="page"/>
      </w:r>
    </w:p>
    <w:p w14:paraId="42F8E6F4" w14:textId="77777777" w:rsidR="003D1B66" w:rsidRDefault="003D1B66" w:rsidP="003D1B66">
      <w:pPr>
        <w:pStyle w:val="1"/>
        <w:bidi/>
        <w:spacing w:before="0"/>
        <w:jc w:val="both"/>
      </w:pPr>
      <w:r>
        <w:rPr>
          <w:rFonts w:ascii="Arial" w:eastAsia="Arial" w:hAnsi="Arial" w:cs="Arial"/>
          <w:rtl/>
        </w:rPr>
        <w:lastRenderedPageBreak/>
        <w:t>قائمة الجداول - تابع</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4465"/>
        <w:gridCol w:w="4463"/>
      </w:tblGrid>
      <w:tr w:rsidR="003D1B66" w14:paraId="71C57DB4" w14:textId="77777777" w:rsidTr="000B46B5">
        <w:trPr>
          <w:tblHeader/>
          <w:jc w:val="center"/>
        </w:trPr>
        <w:tc>
          <w:tcPr>
            <w:tcW w:w="4464" w:type="dxa"/>
            <w:shd w:val="clear" w:color="auto" w:fill="F2F2F2" w:themeFill="background1" w:themeFillShade="F2"/>
            <w:vAlign w:val="center"/>
          </w:tcPr>
          <w:p w14:paraId="61C10810" w14:textId="77777777" w:rsidR="003D1B66" w:rsidRPr="00896CC0" w:rsidRDefault="003D1B66" w:rsidP="000B46B5">
            <w:pPr>
              <w:bidi/>
              <w:jc w:val="both"/>
              <w:rPr>
                <w:sz w:val="20"/>
                <w:szCs w:val="24"/>
              </w:rPr>
            </w:pPr>
            <w:r w:rsidRPr="00896CC0">
              <w:rPr>
                <w:rFonts w:eastAsia="Arial"/>
                <w:b/>
                <w:sz w:val="20"/>
                <w:szCs w:val="24"/>
              </w:rPr>
              <w:t>اسم الجدول</w:t>
            </w:r>
          </w:p>
        </w:tc>
        <w:tc>
          <w:tcPr>
            <w:tcW w:w="4463" w:type="dxa"/>
            <w:shd w:val="clear" w:color="auto" w:fill="F2F2F2" w:themeFill="background1" w:themeFillShade="F2"/>
            <w:vAlign w:val="center"/>
          </w:tcPr>
          <w:p w14:paraId="455F3D75" w14:textId="77777777" w:rsidR="003D1B66" w:rsidRPr="00896CC0" w:rsidRDefault="003D1B66" w:rsidP="000B46B5">
            <w:pPr>
              <w:bidi/>
              <w:jc w:val="both"/>
            </w:pPr>
            <w:r w:rsidRPr="00896CC0">
              <w:rPr>
                <w:rFonts w:eastAsia="Arial"/>
                <w:b/>
                <w:sz w:val="18"/>
              </w:rPr>
              <w:t>رقم الصفحة</w:t>
            </w:r>
          </w:p>
        </w:tc>
      </w:tr>
      <w:tr w:rsidR="003D1B66" w14:paraId="052CAF6B" w14:textId="77777777" w:rsidTr="000B46B5">
        <w:trPr>
          <w:jc w:val="center"/>
        </w:trPr>
        <w:tc>
          <w:tcPr>
            <w:tcW w:w="4464" w:type="dxa"/>
            <w:shd w:val="clear" w:color="auto" w:fill="F2F2F2" w:themeFill="background1" w:themeFillShade="F2"/>
            <w:vAlign w:val="center"/>
          </w:tcPr>
          <w:p w14:paraId="4074582E" w14:textId="77777777" w:rsidR="003D1B66" w:rsidRPr="00896CC0" w:rsidRDefault="003D1B66" w:rsidP="000B46B5">
            <w:pPr>
              <w:bidi/>
              <w:jc w:val="both"/>
              <w:rPr>
                <w:sz w:val="20"/>
                <w:szCs w:val="24"/>
              </w:rPr>
            </w:pPr>
            <w:r w:rsidRPr="00896CC0">
              <w:rPr>
                <w:rFonts w:eastAsia="Arial"/>
                <w:sz w:val="20"/>
                <w:szCs w:val="24"/>
              </w:rPr>
              <w:t>جدول 15): وحدة التحليل</w:t>
            </w:r>
          </w:p>
        </w:tc>
        <w:tc>
          <w:tcPr>
            <w:tcW w:w="4463" w:type="dxa"/>
            <w:shd w:val="clear" w:color="auto" w:fill="F2F2F2" w:themeFill="background1" w:themeFillShade="F2"/>
            <w:vAlign w:val="center"/>
          </w:tcPr>
          <w:p w14:paraId="4A67A4DE" w14:textId="77777777" w:rsidR="003D1B66" w:rsidRPr="00896CC0" w:rsidRDefault="003D1B66" w:rsidP="000B46B5">
            <w:pPr>
              <w:bidi/>
              <w:jc w:val="both"/>
              <w:rPr>
                <w:sz w:val="20"/>
                <w:szCs w:val="24"/>
              </w:rPr>
            </w:pPr>
            <w:r w:rsidRPr="00896CC0">
              <w:rPr>
                <w:rFonts w:eastAsia="Arial"/>
                <w:sz w:val="20"/>
                <w:szCs w:val="24"/>
              </w:rPr>
              <w:t>43</w:t>
            </w:r>
          </w:p>
        </w:tc>
      </w:tr>
      <w:tr w:rsidR="003D1B66" w14:paraId="4D4C87BA" w14:textId="77777777" w:rsidTr="000B46B5">
        <w:trPr>
          <w:jc w:val="center"/>
        </w:trPr>
        <w:tc>
          <w:tcPr>
            <w:tcW w:w="4464" w:type="dxa"/>
            <w:shd w:val="clear" w:color="auto" w:fill="F2F2F2" w:themeFill="background1" w:themeFillShade="F2"/>
            <w:vAlign w:val="center"/>
          </w:tcPr>
          <w:p w14:paraId="1E525C63" w14:textId="77777777" w:rsidR="003D1B66" w:rsidRPr="00896CC0" w:rsidRDefault="003D1B66" w:rsidP="000B46B5">
            <w:pPr>
              <w:bidi/>
              <w:jc w:val="both"/>
              <w:rPr>
                <w:sz w:val="20"/>
                <w:szCs w:val="24"/>
              </w:rPr>
            </w:pPr>
            <w:r w:rsidRPr="00896CC0">
              <w:rPr>
                <w:rFonts w:eastAsia="Arial"/>
                <w:sz w:val="20"/>
                <w:szCs w:val="24"/>
              </w:rPr>
              <w:t>جدول 16): معايير الاشتمال والاستبعاد</w:t>
            </w:r>
          </w:p>
        </w:tc>
        <w:tc>
          <w:tcPr>
            <w:tcW w:w="4463" w:type="dxa"/>
            <w:shd w:val="clear" w:color="auto" w:fill="F2F2F2" w:themeFill="background1" w:themeFillShade="F2"/>
            <w:vAlign w:val="center"/>
          </w:tcPr>
          <w:p w14:paraId="58AF0480" w14:textId="77777777" w:rsidR="003D1B66" w:rsidRPr="00896CC0" w:rsidRDefault="003D1B66" w:rsidP="000B46B5">
            <w:pPr>
              <w:bidi/>
              <w:jc w:val="both"/>
              <w:rPr>
                <w:sz w:val="20"/>
                <w:szCs w:val="24"/>
              </w:rPr>
            </w:pPr>
            <w:r w:rsidRPr="00896CC0">
              <w:rPr>
                <w:rFonts w:eastAsia="Arial"/>
                <w:sz w:val="20"/>
                <w:szCs w:val="24"/>
              </w:rPr>
              <w:t>44</w:t>
            </w:r>
          </w:p>
        </w:tc>
      </w:tr>
      <w:tr w:rsidR="003D1B66" w14:paraId="1ED4401F" w14:textId="77777777" w:rsidTr="000B46B5">
        <w:trPr>
          <w:jc w:val="center"/>
        </w:trPr>
        <w:tc>
          <w:tcPr>
            <w:tcW w:w="4464" w:type="dxa"/>
            <w:shd w:val="clear" w:color="auto" w:fill="F2F2F2" w:themeFill="background1" w:themeFillShade="F2"/>
            <w:vAlign w:val="center"/>
          </w:tcPr>
          <w:p w14:paraId="0BFFD3A0" w14:textId="77777777" w:rsidR="003D1B66" w:rsidRPr="00896CC0" w:rsidRDefault="003D1B66" w:rsidP="000B46B5">
            <w:pPr>
              <w:bidi/>
              <w:jc w:val="both"/>
              <w:rPr>
                <w:sz w:val="20"/>
                <w:szCs w:val="24"/>
              </w:rPr>
            </w:pPr>
            <w:r w:rsidRPr="00896CC0">
              <w:rPr>
                <w:rFonts w:eastAsia="Arial"/>
                <w:sz w:val="20"/>
                <w:szCs w:val="24"/>
              </w:rPr>
              <w:t>جدول 18): تقدير حجم العينة</w:t>
            </w:r>
          </w:p>
        </w:tc>
        <w:tc>
          <w:tcPr>
            <w:tcW w:w="4463" w:type="dxa"/>
            <w:shd w:val="clear" w:color="auto" w:fill="F2F2F2" w:themeFill="background1" w:themeFillShade="F2"/>
            <w:vAlign w:val="center"/>
          </w:tcPr>
          <w:p w14:paraId="70664790" w14:textId="77777777" w:rsidR="003D1B66" w:rsidRPr="00896CC0" w:rsidRDefault="003D1B66" w:rsidP="000B46B5">
            <w:pPr>
              <w:bidi/>
              <w:jc w:val="both"/>
              <w:rPr>
                <w:sz w:val="20"/>
                <w:szCs w:val="24"/>
              </w:rPr>
            </w:pPr>
            <w:r w:rsidRPr="00896CC0">
              <w:rPr>
                <w:rFonts w:eastAsia="Arial"/>
                <w:sz w:val="20"/>
                <w:szCs w:val="24"/>
              </w:rPr>
              <w:t>46</w:t>
            </w:r>
          </w:p>
        </w:tc>
      </w:tr>
      <w:tr w:rsidR="003D1B66" w14:paraId="5ED6F438" w14:textId="77777777" w:rsidTr="000B46B5">
        <w:trPr>
          <w:jc w:val="center"/>
        </w:trPr>
        <w:tc>
          <w:tcPr>
            <w:tcW w:w="4464" w:type="dxa"/>
            <w:shd w:val="clear" w:color="auto" w:fill="F2F2F2" w:themeFill="background1" w:themeFillShade="F2"/>
            <w:vAlign w:val="center"/>
          </w:tcPr>
          <w:p w14:paraId="4FACB2D0" w14:textId="77777777" w:rsidR="003D1B66" w:rsidRPr="00896CC0" w:rsidRDefault="003D1B66" w:rsidP="000B46B5">
            <w:pPr>
              <w:bidi/>
              <w:jc w:val="both"/>
              <w:rPr>
                <w:sz w:val="20"/>
                <w:szCs w:val="24"/>
              </w:rPr>
            </w:pPr>
            <w:r w:rsidRPr="00896CC0">
              <w:rPr>
                <w:rFonts w:eastAsia="Arial"/>
                <w:sz w:val="20"/>
                <w:szCs w:val="24"/>
              </w:rPr>
              <w:t>جدول 19): متغيرات الدراسة وتعريفاتها الإجرائية</w:t>
            </w:r>
          </w:p>
        </w:tc>
        <w:tc>
          <w:tcPr>
            <w:tcW w:w="4463" w:type="dxa"/>
            <w:shd w:val="clear" w:color="auto" w:fill="F2F2F2" w:themeFill="background1" w:themeFillShade="F2"/>
            <w:vAlign w:val="center"/>
          </w:tcPr>
          <w:p w14:paraId="2F54AF54" w14:textId="77777777" w:rsidR="003D1B66" w:rsidRPr="00896CC0" w:rsidRDefault="003D1B66" w:rsidP="000B46B5">
            <w:pPr>
              <w:bidi/>
              <w:jc w:val="both"/>
              <w:rPr>
                <w:sz w:val="20"/>
                <w:szCs w:val="24"/>
              </w:rPr>
            </w:pPr>
            <w:r w:rsidRPr="00896CC0">
              <w:rPr>
                <w:rFonts w:eastAsia="Arial"/>
                <w:sz w:val="20"/>
                <w:szCs w:val="24"/>
              </w:rPr>
              <w:t>47</w:t>
            </w:r>
          </w:p>
        </w:tc>
      </w:tr>
      <w:tr w:rsidR="003D1B66" w14:paraId="18C91B7F" w14:textId="77777777" w:rsidTr="000B46B5">
        <w:trPr>
          <w:jc w:val="center"/>
        </w:trPr>
        <w:tc>
          <w:tcPr>
            <w:tcW w:w="4464" w:type="dxa"/>
            <w:shd w:val="clear" w:color="auto" w:fill="F2F2F2" w:themeFill="background1" w:themeFillShade="F2"/>
            <w:vAlign w:val="center"/>
          </w:tcPr>
          <w:p w14:paraId="7763E5DA" w14:textId="77777777" w:rsidR="003D1B66" w:rsidRPr="00896CC0" w:rsidRDefault="003D1B66" w:rsidP="000B46B5">
            <w:pPr>
              <w:bidi/>
              <w:jc w:val="both"/>
              <w:rPr>
                <w:sz w:val="20"/>
                <w:szCs w:val="24"/>
              </w:rPr>
            </w:pPr>
            <w:r w:rsidRPr="00896CC0">
              <w:rPr>
                <w:rFonts w:eastAsia="Arial"/>
                <w:sz w:val="20"/>
                <w:szCs w:val="24"/>
              </w:rPr>
              <w:t>جدول 20): أقسام الاستبانة المقترحة</w:t>
            </w:r>
          </w:p>
        </w:tc>
        <w:tc>
          <w:tcPr>
            <w:tcW w:w="4463" w:type="dxa"/>
            <w:shd w:val="clear" w:color="auto" w:fill="F2F2F2" w:themeFill="background1" w:themeFillShade="F2"/>
            <w:vAlign w:val="center"/>
          </w:tcPr>
          <w:p w14:paraId="4E75D069" w14:textId="77777777" w:rsidR="003D1B66" w:rsidRPr="00896CC0" w:rsidRDefault="003D1B66" w:rsidP="000B46B5">
            <w:pPr>
              <w:bidi/>
              <w:jc w:val="both"/>
              <w:rPr>
                <w:sz w:val="20"/>
                <w:szCs w:val="24"/>
              </w:rPr>
            </w:pPr>
            <w:r w:rsidRPr="00896CC0">
              <w:rPr>
                <w:sz w:val="20"/>
                <w:szCs w:val="24"/>
              </w:rPr>
              <w:t>47</w:t>
            </w:r>
          </w:p>
        </w:tc>
      </w:tr>
      <w:tr w:rsidR="003D1B66" w14:paraId="48BFFD36" w14:textId="77777777" w:rsidTr="000B46B5">
        <w:trPr>
          <w:jc w:val="center"/>
        </w:trPr>
        <w:tc>
          <w:tcPr>
            <w:tcW w:w="4464" w:type="dxa"/>
            <w:shd w:val="clear" w:color="auto" w:fill="F2F2F2" w:themeFill="background1" w:themeFillShade="F2"/>
            <w:vAlign w:val="center"/>
          </w:tcPr>
          <w:p w14:paraId="76309852" w14:textId="77777777" w:rsidR="003D1B66" w:rsidRPr="00896CC0" w:rsidRDefault="003D1B66" w:rsidP="000B46B5">
            <w:pPr>
              <w:bidi/>
              <w:jc w:val="both"/>
              <w:rPr>
                <w:sz w:val="20"/>
                <w:szCs w:val="24"/>
              </w:rPr>
            </w:pPr>
            <w:r w:rsidRPr="00896CC0">
              <w:rPr>
                <w:rFonts w:eastAsia="Arial"/>
                <w:sz w:val="20"/>
                <w:szCs w:val="24"/>
              </w:rPr>
              <w:t>جدول 21): مقياس الاستجابة والترميز</w:t>
            </w:r>
          </w:p>
        </w:tc>
        <w:tc>
          <w:tcPr>
            <w:tcW w:w="4463" w:type="dxa"/>
            <w:shd w:val="clear" w:color="auto" w:fill="F2F2F2" w:themeFill="background1" w:themeFillShade="F2"/>
            <w:vAlign w:val="center"/>
          </w:tcPr>
          <w:p w14:paraId="4150830A" w14:textId="77777777" w:rsidR="003D1B66" w:rsidRPr="00896CC0" w:rsidRDefault="003D1B66" w:rsidP="000B46B5">
            <w:pPr>
              <w:bidi/>
              <w:jc w:val="both"/>
              <w:rPr>
                <w:sz w:val="20"/>
                <w:szCs w:val="24"/>
              </w:rPr>
            </w:pPr>
            <w:r w:rsidRPr="00896CC0">
              <w:rPr>
                <w:rFonts w:eastAsia="Arial"/>
                <w:sz w:val="20"/>
                <w:szCs w:val="24"/>
              </w:rPr>
              <w:t>48</w:t>
            </w:r>
          </w:p>
        </w:tc>
      </w:tr>
      <w:tr w:rsidR="003D1B66" w14:paraId="4633B86F" w14:textId="77777777" w:rsidTr="000B46B5">
        <w:trPr>
          <w:jc w:val="center"/>
        </w:trPr>
        <w:tc>
          <w:tcPr>
            <w:tcW w:w="4464" w:type="dxa"/>
            <w:shd w:val="clear" w:color="auto" w:fill="F2F2F2" w:themeFill="background1" w:themeFillShade="F2"/>
            <w:vAlign w:val="center"/>
          </w:tcPr>
          <w:p w14:paraId="0861CDA6" w14:textId="77777777" w:rsidR="003D1B66" w:rsidRPr="00896CC0" w:rsidRDefault="003D1B66" w:rsidP="000B46B5">
            <w:pPr>
              <w:bidi/>
              <w:jc w:val="both"/>
              <w:rPr>
                <w:sz w:val="20"/>
                <w:szCs w:val="24"/>
              </w:rPr>
            </w:pPr>
            <w:r w:rsidRPr="00896CC0">
              <w:rPr>
                <w:rFonts w:eastAsia="Arial"/>
                <w:sz w:val="20"/>
                <w:szCs w:val="24"/>
              </w:rPr>
              <w:t>جدول 22): مقياس الاستجابة والترميز</w:t>
            </w:r>
          </w:p>
        </w:tc>
        <w:tc>
          <w:tcPr>
            <w:tcW w:w="4463" w:type="dxa"/>
            <w:shd w:val="clear" w:color="auto" w:fill="F2F2F2" w:themeFill="background1" w:themeFillShade="F2"/>
            <w:vAlign w:val="center"/>
          </w:tcPr>
          <w:p w14:paraId="2B1B024B" w14:textId="77777777" w:rsidR="003D1B66" w:rsidRPr="00896CC0" w:rsidRDefault="003D1B66" w:rsidP="000B46B5">
            <w:pPr>
              <w:bidi/>
              <w:jc w:val="both"/>
              <w:rPr>
                <w:sz w:val="20"/>
                <w:szCs w:val="24"/>
              </w:rPr>
            </w:pPr>
            <w:r w:rsidRPr="00896CC0">
              <w:rPr>
                <w:rFonts w:eastAsia="Arial"/>
                <w:sz w:val="20"/>
                <w:szCs w:val="24"/>
              </w:rPr>
              <w:t>49</w:t>
            </w:r>
          </w:p>
        </w:tc>
      </w:tr>
      <w:tr w:rsidR="003D1B66" w14:paraId="50986E52" w14:textId="77777777" w:rsidTr="000B46B5">
        <w:trPr>
          <w:jc w:val="center"/>
        </w:trPr>
        <w:tc>
          <w:tcPr>
            <w:tcW w:w="4464" w:type="dxa"/>
            <w:shd w:val="clear" w:color="auto" w:fill="F2F2F2" w:themeFill="background1" w:themeFillShade="F2"/>
            <w:vAlign w:val="center"/>
          </w:tcPr>
          <w:p w14:paraId="49375536" w14:textId="77777777" w:rsidR="003D1B66" w:rsidRPr="00896CC0" w:rsidRDefault="003D1B66" w:rsidP="000B46B5">
            <w:pPr>
              <w:bidi/>
              <w:jc w:val="both"/>
              <w:rPr>
                <w:sz w:val="20"/>
                <w:szCs w:val="24"/>
              </w:rPr>
            </w:pPr>
            <w:r w:rsidRPr="00896CC0">
              <w:rPr>
                <w:rFonts w:eastAsia="Arial"/>
                <w:sz w:val="20"/>
                <w:szCs w:val="24"/>
              </w:rPr>
              <w:t>جدول 23): الصدق التمييزي والتقاربي</w:t>
            </w:r>
            <w:r>
              <w:rPr>
                <w:rFonts w:eastAsia="Arial" w:hint="cs"/>
                <w:sz w:val="20"/>
                <w:szCs w:val="24"/>
                <w:rtl/>
              </w:rPr>
              <w:t>)</w:t>
            </w:r>
          </w:p>
        </w:tc>
        <w:tc>
          <w:tcPr>
            <w:tcW w:w="4463" w:type="dxa"/>
            <w:shd w:val="clear" w:color="auto" w:fill="F2F2F2" w:themeFill="background1" w:themeFillShade="F2"/>
            <w:vAlign w:val="center"/>
          </w:tcPr>
          <w:p w14:paraId="6ACCDF1E" w14:textId="77777777" w:rsidR="003D1B66" w:rsidRPr="00896CC0" w:rsidRDefault="003D1B66" w:rsidP="000B46B5">
            <w:pPr>
              <w:bidi/>
              <w:jc w:val="both"/>
              <w:rPr>
                <w:sz w:val="20"/>
                <w:szCs w:val="24"/>
              </w:rPr>
            </w:pPr>
            <w:r w:rsidRPr="00896CC0">
              <w:rPr>
                <w:sz w:val="20"/>
                <w:szCs w:val="24"/>
              </w:rPr>
              <w:t>50</w:t>
            </w:r>
          </w:p>
        </w:tc>
      </w:tr>
      <w:tr w:rsidR="003D1B66" w14:paraId="09CDCA79" w14:textId="77777777" w:rsidTr="000B46B5">
        <w:trPr>
          <w:jc w:val="center"/>
        </w:trPr>
        <w:tc>
          <w:tcPr>
            <w:tcW w:w="4464" w:type="dxa"/>
            <w:shd w:val="clear" w:color="auto" w:fill="F2F2F2" w:themeFill="background1" w:themeFillShade="F2"/>
            <w:vAlign w:val="center"/>
          </w:tcPr>
          <w:p w14:paraId="02CD1357" w14:textId="77777777" w:rsidR="003D1B66" w:rsidRPr="00896CC0" w:rsidRDefault="003D1B66" w:rsidP="000B46B5">
            <w:pPr>
              <w:bidi/>
              <w:jc w:val="both"/>
              <w:rPr>
                <w:sz w:val="20"/>
                <w:szCs w:val="24"/>
              </w:rPr>
            </w:pPr>
            <w:r w:rsidRPr="00896CC0">
              <w:rPr>
                <w:rFonts w:eastAsia="Arial"/>
                <w:sz w:val="20"/>
                <w:szCs w:val="24"/>
              </w:rPr>
              <w:t>جدول24): ثبات أداة الدراسة</w:t>
            </w:r>
            <w:r>
              <w:rPr>
                <w:rFonts w:eastAsia="Arial" w:hint="cs"/>
                <w:sz w:val="20"/>
                <w:szCs w:val="24"/>
                <w:rtl/>
              </w:rPr>
              <w:t>)</w:t>
            </w:r>
          </w:p>
        </w:tc>
        <w:tc>
          <w:tcPr>
            <w:tcW w:w="4463" w:type="dxa"/>
            <w:shd w:val="clear" w:color="auto" w:fill="F2F2F2" w:themeFill="background1" w:themeFillShade="F2"/>
            <w:vAlign w:val="center"/>
          </w:tcPr>
          <w:p w14:paraId="106B9207" w14:textId="77777777" w:rsidR="003D1B66" w:rsidRPr="00896CC0" w:rsidRDefault="003D1B66" w:rsidP="000B46B5">
            <w:pPr>
              <w:bidi/>
              <w:jc w:val="both"/>
              <w:rPr>
                <w:sz w:val="20"/>
                <w:szCs w:val="24"/>
              </w:rPr>
            </w:pPr>
            <w:r w:rsidRPr="00896CC0">
              <w:rPr>
                <w:rFonts w:eastAsia="Arial"/>
                <w:sz w:val="20"/>
                <w:szCs w:val="24"/>
              </w:rPr>
              <w:t>51</w:t>
            </w:r>
          </w:p>
        </w:tc>
      </w:tr>
      <w:tr w:rsidR="003D1B66" w14:paraId="5D5FF359" w14:textId="77777777" w:rsidTr="000B46B5">
        <w:trPr>
          <w:jc w:val="center"/>
        </w:trPr>
        <w:tc>
          <w:tcPr>
            <w:tcW w:w="4464" w:type="dxa"/>
            <w:shd w:val="clear" w:color="auto" w:fill="F2F2F2" w:themeFill="background1" w:themeFillShade="F2"/>
            <w:vAlign w:val="center"/>
          </w:tcPr>
          <w:p w14:paraId="36DD49B7" w14:textId="77777777" w:rsidR="003D1B66" w:rsidRPr="00896CC0" w:rsidRDefault="003D1B66" w:rsidP="000B46B5">
            <w:pPr>
              <w:bidi/>
              <w:jc w:val="both"/>
              <w:rPr>
                <w:sz w:val="20"/>
                <w:szCs w:val="24"/>
              </w:rPr>
            </w:pPr>
            <w:r w:rsidRPr="00896CC0">
              <w:rPr>
                <w:rFonts w:eastAsia="Arial"/>
                <w:sz w:val="20"/>
                <w:szCs w:val="24"/>
              </w:rPr>
              <w:t>جدول 25): الدراسة الاستطلاعية</w:t>
            </w:r>
            <w:r>
              <w:rPr>
                <w:rFonts w:eastAsia="Arial" w:hint="cs"/>
                <w:sz w:val="20"/>
                <w:szCs w:val="24"/>
                <w:rtl/>
              </w:rPr>
              <w:t>)</w:t>
            </w:r>
          </w:p>
        </w:tc>
        <w:tc>
          <w:tcPr>
            <w:tcW w:w="4463" w:type="dxa"/>
            <w:shd w:val="clear" w:color="auto" w:fill="F2F2F2" w:themeFill="background1" w:themeFillShade="F2"/>
            <w:vAlign w:val="center"/>
          </w:tcPr>
          <w:p w14:paraId="6261CF70" w14:textId="77777777" w:rsidR="003D1B66" w:rsidRPr="00896CC0" w:rsidRDefault="003D1B66" w:rsidP="000B46B5">
            <w:pPr>
              <w:bidi/>
              <w:jc w:val="both"/>
              <w:rPr>
                <w:sz w:val="20"/>
                <w:szCs w:val="24"/>
              </w:rPr>
            </w:pPr>
            <w:r w:rsidRPr="00896CC0">
              <w:rPr>
                <w:sz w:val="20"/>
                <w:szCs w:val="24"/>
              </w:rPr>
              <w:t>51</w:t>
            </w:r>
          </w:p>
        </w:tc>
      </w:tr>
      <w:tr w:rsidR="003D1B66" w14:paraId="7AC78FEF" w14:textId="77777777" w:rsidTr="000B46B5">
        <w:trPr>
          <w:jc w:val="center"/>
        </w:trPr>
        <w:tc>
          <w:tcPr>
            <w:tcW w:w="4464" w:type="dxa"/>
            <w:shd w:val="clear" w:color="auto" w:fill="F2F2F2" w:themeFill="background1" w:themeFillShade="F2"/>
            <w:vAlign w:val="center"/>
          </w:tcPr>
          <w:p w14:paraId="45077A3E" w14:textId="77777777" w:rsidR="003D1B66" w:rsidRPr="00896CC0" w:rsidRDefault="003D1B66" w:rsidP="000B46B5">
            <w:pPr>
              <w:bidi/>
              <w:jc w:val="both"/>
              <w:rPr>
                <w:sz w:val="20"/>
                <w:szCs w:val="24"/>
              </w:rPr>
            </w:pPr>
            <w:r w:rsidRPr="00896CC0">
              <w:rPr>
                <w:rFonts w:eastAsia="Arial"/>
                <w:sz w:val="20"/>
                <w:szCs w:val="24"/>
              </w:rPr>
              <w:t>جدول 26): مستوى الدلالة والبرامج</w:t>
            </w:r>
            <w:r>
              <w:rPr>
                <w:rFonts w:eastAsia="Arial" w:hint="cs"/>
                <w:sz w:val="20"/>
                <w:szCs w:val="24"/>
                <w:rtl/>
              </w:rPr>
              <w:t>)</w:t>
            </w:r>
          </w:p>
        </w:tc>
        <w:tc>
          <w:tcPr>
            <w:tcW w:w="4463" w:type="dxa"/>
            <w:shd w:val="clear" w:color="auto" w:fill="F2F2F2" w:themeFill="background1" w:themeFillShade="F2"/>
            <w:vAlign w:val="center"/>
          </w:tcPr>
          <w:p w14:paraId="4AE97F5A" w14:textId="77777777" w:rsidR="003D1B66" w:rsidRPr="00896CC0" w:rsidRDefault="003D1B66" w:rsidP="000B46B5">
            <w:pPr>
              <w:bidi/>
              <w:jc w:val="both"/>
              <w:rPr>
                <w:sz w:val="20"/>
                <w:szCs w:val="24"/>
              </w:rPr>
            </w:pPr>
            <w:r w:rsidRPr="00896CC0">
              <w:rPr>
                <w:rFonts w:eastAsia="Arial"/>
                <w:sz w:val="20"/>
                <w:szCs w:val="24"/>
              </w:rPr>
              <w:t>53</w:t>
            </w:r>
          </w:p>
        </w:tc>
      </w:tr>
      <w:tr w:rsidR="003D1B66" w14:paraId="05152FC7" w14:textId="77777777" w:rsidTr="000B46B5">
        <w:trPr>
          <w:jc w:val="center"/>
        </w:trPr>
        <w:tc>
          <w:tcPr>
            <w:tcW w:w="4464" w:type="dxa"/>
            <w:shd w:val="clear" w:color="auto" w:fill="F2F2F2" w:themeFill="background1" w:themeFillShade="F2"/>
            <w:vAlign w:val="center"/>
          </w:tcPr>
          <w:p w14:paraId="54E9C7C6" w14:textId="77777777" w:rsidR="003D1B66" w:rsidRPr="00896CC0" w:rsidRDefault="003D1B66" w:rsidP="000B46B5">
            <w:pPr>
              <w:bidi/>
              <w:jc w:val="both"/>
              <w:rPr>
                <w:sz w:val="20"/>
                <w:szCs w:val="24"/>
              </w:rPr>
            </w:pPr>
            <w:r w:rsidRPr="00896CC0">
              <w:rPr>
                <w:rFonts w:eastAsia="Arial"/>
                <w:sz w:val="20"/>
                <w:szCs w:val="24"/>
              </w:rPr>
              <w:t>جدول 27): فرضيات الدراسة وخطة الاختبار</w:t>
            </w:r>
            <w:r>
              <w:rPr>
                <w:rFonts w:eastAsia="Arial" w:hint="cs"/>
                <w:sz w:val="20"/>
                <w:szCs w:val="24"/>
                <w:rtl/>
              </w:rPr>
              <w:t>)</w:t>
            </w:r>
          </w:p>
        </w:tc>
        <w:tc>
          <w:tcPr>
            <w:tcW w:w="4463" w:type="dxa"/>
            <w:shd w:val="clear" w:color="auto" w:fill="F2F2F2" w:themeFill="background1" w:themeFillShade="F2"/>
            <w:vAlign w:val="center"/>
          </w:tcPr>
          <w:p w14:paraId="27A1CBD3" w14:textId="77777777" w:rsidR="003D1B66" w:rsidRPr="00896CC0" w:rsidRDefault="003D1B66" w:rsidP="000B46B5">
            <w:pPr>
              <w:bidi/>
              <w:jc w:val="both"/>
              <w:rPr>
                <w:sz w:val="20"/>
                <w:szCs w:val="24"/>
              </w:rPr>
            </w:pPr>
            <w:r w:rsidRPr="00896CC0">
              <w:rPr>
                <w:rFonts w:eastAsia="Arial"/>
                <w:sz w:val="20"/>
                <w:szCs w:val="24"/>
              </w:rPr>
              <w:t>54</w:t>
            </w:r>
          </w:p>
        </w:tc>
      </w:tr>
      <w:tr w:rsidR="003D1B66" w14:paraId="54177C2D" w14:textId="77777777" w:rsidTr="000B46B5">
        <w:trPr>
          <w:jc w:val="center"/>
        </w:trPr>
        <w:tc>
          <w:tcPr>
            <w:tcW w:w="4464" w:type="dxa"/>
            <w:shd w:val="clear" w:color="auto" w:fill="F2F2F2" w:themeFill="background1" w:themeFillShade="F2"/>
            <w:vAlign w:val="center"/>
          </w:tcPr>
          <w:p w14:paraId="18D69BC5" w14:textId="77777777" w:rsidR="003D1B66" w:rsidRPr="00896CC0" w:rsidRDefault="003D1B66" w:rsidP="000B46B5">
            <w:pPr>
              <w:bidi/>
              <w:jc w:val="both"/>
              <w:rPr>
                <w:sz w:val="20"/>
                <w:szCs w:val="24"/>
              </w:rPr>
            </w:pPr>
            <w:r w:rsidRPr="00896CC0">
              <w:rPr>
                <w:rFonts w:eastAsia="Arial"/>
                <w:sz w:val="20"/>
                <w:szCs w:val="24"/>
              </w:rPr>
              <w:t>جدول 28): فحص افتراضات الانحدار</w:t>
            </w:r>
            <w:r>
              <w:rPr>
                <w:rFonts w:eastAsia="Arial" w:hint="cs"/>
                <w:sz w:val="20"/>
                <w:szCs w:val="24"/>
                <w:rtl/>
              </w:rPr>
              <w:t>)</w:t>
            </w:r>
          </w:p>
        </w:tc>
        <w:tc>
          <w:tcPr>
            <w:tcW w:w="4463" w:type="dxa"/>
            <w:shd w:val="clear" w:color="auto" w:fill="F2F2F2" w:themeFill="background1" w:themeFillShade="F2"/>
            <w:vAlign w:val="center"/>
          </w:tcPr>
          <w:p w14:paraId="7C228A10" w14:textId="77777777" w:rsidR="003D1B66" w:rsidRPr="00896CC0" w:rsidRDefault="003D1B66" w:rsidP="000B46B5">
            <w:pPr>
              <w:bidi/>
              <w:jc w:val="both"/>
              <w:rPr>
                <w:sz w:val="20"/>
                <w:szCs w:val="24"/>
              </w:rPr>
            </w:pPr>
            <w:r w:rsidRPr="00896CC0">
              <w:rPr>
                <w:sz w:val="20"/>
                <w:szCs w:val="24"/>
              </w:rPr>
              <w:t>54</w:t>
            </w:r>
          </w:p>
        </w:tc>
      </w:tr>
      <w:tr w:rsidR="003D1B66" w14:paraId="0D5EED89" w14:textId="77777777" w:rsidTr="000B46B5">
        <w:trPr>
          <w:jc w:val="center"/>
        </w:trPr>
        <w:tc>
          <w:tcPr>
            <w:tcW w:w="4464" w:type="dxa"/>
            <w:shd w:val="clear" w:color="auto" w:fill="F2F2F2" w:themeFill="background1" w:themeFillShade="F2"/>
            <w:vAlign w:val="center"/>
          </w:tcPr>
          <w:p w14:paraId="2403A7A3" w14:textId="77777777" w:rsidR="003D1B66" w:rsidRPr="00896CC0" w:rsidRDefault="003D1B66" w:rsidP="000B46B5">
            <w:pPr>
              <w:bidi/>
              <w:jc w:val="both"/>
              <w:rPr>
                <w:sz w:val="20"/>
                <w:szCs w:val="24"/>
              </w:rPr>
            </w:pPr>
            <w:r w:rsidRPr="00896CC0">
              <w:rPr>
                <w:rFonts w:eastAsia="Arial"/>
                <w:sz w:val="20"/>
                <w:szCs w:val="24"/>
              </w:rPr>
              <w:t>جدول 29): الاعتبارات الأخلاقية</w:t>
            </w:r>
            <w:r>
              <w:rPr>
                <w:rFonts w:eastAsia="Arial" w:hint="cs"/>
                <w:sz w:val="20"/>
                <w:szCs w:val="24"/>
                <w:rtl/>
              </w:rPr>
              <w:t>)</w:t>
            </w:r>
          </w:p>
        </w:tc>
        <w:tc>
          <w:tcPr>
            <w:tcW w:w="4463" w:type="dxa"/>
            <w:shd w:val="clear" w:color="auto" w:fill="F2F2F2" w:themeFill="background1" w:themeFillShade="F2"/>
            <w:vAlign w:val="center"/>
          </w:tcPr>
          <w:p w14:paraId="3B42D129" w14:textId="77777777" w:rsidR="003D1B66" w:rsidRPr="00896CC0" w:rsidRDefault="003D1B66" w:rsidP="000B46B5">
            <w:pPr>
              <w:bidi/>
              <w:jc w:val="both"/>
              <w:rPr>
                <w:sz w:val="20"/>
                <w:szCs w:val="24"/>
              </w:rPr>
            </w:pPr>
            <w:r w:rsidRPr="00896CC0">
              <w:rPr>
                <w:sz w:val="20"/>
                <w:szCs w:val="24"/>
              </w:rPr>
              <w:t>55</w:t>
            </w:r>
          </w:p>
        </w:tc>
      </w:tr>
    </w:tbl>
    <w:p w14:paraId="0DCB59DE" w14:textId="77777777" w:rsidR="003D1B66" w:rsidRDefault="003D1B66" w:rsidP="003D1B66">
      <w:pPr>
        <w:bidi/>
        <w:jc w:val="both"/>
      </w:pPr>
      <w:r>
        <w:br w:type="page"/>
      </w:r>
    </w:p>
    <w:p w14:paraId="4D435CDC" w14:textId="77777777" w:rsidR="003D1B66" w:rsidRDefault="003D1B66" w:rsidP="003D1B66">
      <w:pPr>
        <w:pStyle w:val="1"/>
        <w:bidi/>
        <w:spacing w:before="0"/>
        <w:jc w:val="both"/>
      </w:pPr>
      <w:r>
        <w:rPr>
          <w:rFonts w:ascii="Arial" w:eastAsia="Arial" w:hAnsi="Arial" w:cs="Arial"/>
          <w:rtl/>
        </w:rPr>
        <w:lastRenderedPageBreak/>
        <w:t>قائمة الجداول - تابع</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4465"/>
        <w:gridCol w:w="4463"/>
      </w:tblGrid>
      <w:tr w:rsidR="003D1B66" w:rsidRPr="00B225B8" w14:paraId="32B887CF" w14:textId="77777777" w:rsidTr="000B46B5">
        <w:trPr>
          <w:tblHeader/>
          <w:jc w:val="center"/>
        </w:trPr>
        <w:tc>
          <w:tcPr>
            <w:tcW w:w="4464" w:type="dxa"/>
            <w:shd w:val="clear" w:color="auto" w:fill="F2F2F2" w:themeFill="background1" w:themeFillShade="F2"/>
            <w:vAlign w:val="center"/>
          </w:tcPr>
          <w:p w14:paraId="2C4E3B24" w14:textId="77777777" w:rsidR="003D1B66" w:rsidRPr="00B225B8" w:rsidRDefault="003D1B66" w:rsidP="000B46B5">
            <w:pPr>
              <w:bidi/>
              <w:jc w:val="both"/>
            </w:pPr>
            <w:r w:rsidRPr="00B225B8">
              <w:rPr>
                <w:rFonts w:eastAsia="Arial"/>
                <w:b/>
                <w:sz w:val="18"/>
              </w:rPr>
              <w:t>اسم الجدول</w:t>
            </w:r>
          </w:p>
        </w:tc>
        <w:tc>
          <w:tcPr>
            <w:tcW w:w="4463" w:type="dxa"/>
            <w:shd w:val="clear" w:color="auto" w:fill="F2F2F2" w:themeFill="background1" w:themeFillShade="F2"/>
            <w:vAlign w:val="center"/>
          </w:tcPr>
          <w:p w14:paraId="503F980A" w14:textId="77777777" w:rsidR="003D1B66" w:rsidRPr="00B225B8" w:rsidRDefault="003D1B66" w:rsidP="000B46B5">
            <w:pPr>
              <w:bidi/>
              <w:jc w:val="both"/>
            </w:pPr>
            <w:r w:rsidRPr="00B225B8">
              <w:rPr>
                <w:rFonts w:eastAsia="Arial"/>
                <w:b/>
                <w:sz w:val="18"/>
              </w:rPr>
              <w:t>رقم الصفحة</w:t>
            </w:r>
          </w:p>
        </w:tc>
      </w:tr>
      <w:tr w:rsidR="003D1B66" w14:paraId="6EB530CE" w14:textId="77777777" w:rsidTr="000B46B5">
        <w:trPr>
          <w:jc w:val="center"/>
        </w:trPr>
        <w:tc>
          <w:tcPr>
            <w:tcW w:w="4464" w:type="dxa"/>
            <w:shd w:val="clear" w:color="auto" w:fill="F2F2F2" w:themeFill="background1" w:themeFillShade="F2"/>
            <w:vAlign w:val="center"/>
          </w:tcPr>
          <w:p w14:paraId="6C3ED14F" w14:textId="77777777" w:rsidR="003D1B66" w:rsidRDefault="003D1B66" w:rsidP="000B46B5">
            <w:pPr>
              <w:bidi/>
              <w:jc w:val="both"/>
            </w:pPr>
            <w:r>
              <w:rPr>
                <w:rFonts w:eastAsia="Arial"/>
                <w:sz w:val="18"/>
              </w:rPr>
              <w:t>جدول 30): الاستجابات غير الجادة</w:t>
            </w:r>
          </w:p>
        </w:tc>
        <w:tc>
          <w:tcPr>
            <w:tcW w:w="4463" w:type="dxa"/>
            <w:shd w:val="clear" w:color="auto" w:fill="F2F2F2" w:themeFill="background1" w:themeFillShade="F2"/>
            <w:vAlign w:val="center"/>
          </w:tcPr>
          <w:p w14:paraId="40F0BDFC" w14:textId="77777777" w:rsidR="003D1B66" w:rsidRPr="00B225B8" w:rsidRDefault="003D1B66" w:rsidP="000B46B5">
            <w:pPr>
              <w:bidi/>
              <w:jc w:val="both"/>
              <w:rPr>
                <w:sz w:val="20"/>
                <w:szCs w:val="24"/>
              </w:rPr>
            </w:pPr>
            <w:r w:rsidRPr="00B225B8">
              <w:rPr>
                <w:rFonts w:eastAsia="Arial"/>
                <w:sz w:val="20"/>
                <w:szCs w:val="24"/>
              </w:rPr>
              <w:t>56</w:t>
            </w:r>
          </w:p>
        </w:tc>
      </w:tr>
      <w:tr w:rsidR="003D1B66" w14:paraId="107978E2" w14:textId="77777777" w:rsidTr="000B46B5">
        <w:trPr>
          <w:jc w:val="center"/>
        </w:trPr>
        <w:tc>
          <w:tcPr>
            <w:tcW w:w="4464" w:type="dxa"/>
            <w:shd w:val="clear" w:color="auto" w:fill="F2F2F2" w:themeFill="background1" w:themeFillShade="F2"/>
            <w:vAlign w:val="center"/>
          </w:tcPr>
          <w:p w14:paraId="381E3AE2" w14:textId="77777777" w:rsidR="003D1B66" w:rsidRDefault="003D1B66" w:rsidP="000B46B5">
            <w:pPr>
              <w:bidi/>
              <w:jc w:val="both"/>
            </w:pPr>
            <w:r>
              <w:rPr>
                <w:rFonts w:eastAsia="Arial"/>
                <w:sz w:val="18"/>
              </w:rPr>
              <w:t>جدول 31): ملخص تنظيف البيانات</w:t>
            </w:r>
          </w:p>
        </w:tc>
        <w:tc>
          <w:tcPr>
            <w:tcW w:w="4463" w:type="dxa"/>
            <w:shd w:val="clear" w:color="auto" w:fill="F2F2F2" w:themeFill="background1" w:themeFillShade="F2"/>
            <w:vAlign w:val="center"/>
          </w:tcPr>
          <w:p w14:paraId="7AC5C73D" w14:textId="77777777" w:rsidR="003D1B66" w:rsidRPr="00B225B8" w:rsidRDefault="003D1B66" w:rsidP="000B46B5">
            <w:pPr>
              <w:bidi/>
              <w:jc w:val="both"/>
              <w:rPr>
                <w:sz w:val="20"/>
                <w:szCs w:val="24"/>
              </w:rPr>
            </w:pPr>
            <w:r w:rsidRPr="00B225B8">
              <w:rPr>
                <w:sz w:val="20"/>
                <w:szCs w:val="24"/>
              </w:rPr>
              <w:t>59</w:t>
            </w:r>
          </w:p>
        </w:tc>
      </w:tr>
      <w:tr w:rsidR="003D1B66" w14:paraId="2C9CADF3" w14:textId="77777777" w:rsidTr="000B46B5">
        <w:trPr>
          <w:jc w:val="center"/>
        </w:trPr>
        <w:tc>
          <w:tcPr>
            <w:tcW w:w="4464" w:type="dxa"/>
            <w:shd w:val="clear" w:color="auto" w:fill="F2F2F2" w:themeFill="background1" w:themeFillShade="F2"/>
            <w:vAlign w:val="center"/>
          </w:tcPr>
          <w:p w14:paraId="1F1F242F" w14:textId="77777777" w:rsidR="003D1B66" w:rsidRDefault="003D1B66" w:rsidP="000B46B5">
            <w:pPr>
              <w:bidi/>
              <w:jc w:val="both"/>
            </w:pPr>
            <w:r>
              <w:rPr>
                <w:rFonts w:eastAsia="Arial"/>
                <w:sz w:val="18"/>
              </w:rPr>
              <w:t>جدول 32): توزيع أفراد العينة حسب الخصائص الديموغرافية</w:t>
            </w:r>
          </w:p>
        </w:tc>
        <w:tc>
          <w:tcPr>
            <w:tcW w:w="4463" w:type="dxa"/>
            <w:shd w:val="clear" w:color="auto" w:fill="F2F2F2" w:themeFill="background1" w:themeFillShade="F2"/>
            <w:vAlign w:val="center"/>
          </w:tcPr>
          <w:p w14:paraId="08BBEDC1" w14:textId="77777777" w:rsidR="003D1B66" w:rsidRPr="00B225B8" w:rsidRDefault="003D1B66" w:rsidP="000B46B5">
            <w:pPr>
              <w:bidi/>
              <w:jc w:val="both"/>
              <w:rPr>
                <w:sz w:val="20"/>
                <w:szCs w:val="24"/>
              </w:rPr>
            </w:pPr>
            <w:r w:rsidRPr="00B225B8">
              <w:rPr>
                <w:sz w:val="20"/>
                <w:szCs w:val="24"/>
              </w:rPr>
              <w:t>60</w:t>
            </w:r>
          </w:p>
        </w:tc>
      </w:tr>
      <w:tr w:rsidR="003D1B66" w14:paraId="099351C3" w14:textId="77777777" w:rsidTr="000B46B5">
        <w:trPr>
          <w:jc w:val="center"/>
        </w:trPr>
        <w:tc>
          <w:tcPr>
            <w:tcW w:w="4464" w:type="dxa"/>
            <w:shd w:val="clear" w:color="auto" w:fill="F2F2F2" w:themeFill="background1" w:themeFillShade="F2"/>
            <w:vAlign w:val="center"/>
          </w:tcPr>
          <w:p w14:paraId="11CA1CE5" w14:textId="77777777" w:rsidR="003D1B66" w:rsidRDefault="003D1B66" w:rsidP="000B46B5">
            <w:pPr>
              <w:bidi/>
              <w:jc w:val="both"/>
            </w:pPr>
            <w:r>
              <w:rPr>
                <w:rFonts w:eastAsia="Arial"/>
                <w:sz w:val="18"/>
              </w:rPr>
              <w:t>جدول 33): معاملات الثبات لأداة الدراسة</w:t>
            </w:r>
          </w:p>
        </w:tc>
        <w:tc>
          <w:tcPr>
            <w:tcW w:w="4463" w:type="dxa"/>
            <w:shd w:val="clear" w:color="auto" w:fill="F2F2F2" w:themeFill="background1" w:themeFillShade="F2"/>
            <w:vAlign w:val="center"/>
          </w:tcPr>
          <w:p w14:paraId="11C339F6" w14:textId="77777777" w:rsidR="003D1B66" w:rsidRPr="00B225B8" w:rsidRDefault="003D1B66" w:rsidP="000B46B5">
            <w:pPr>
              <w:bidi/>
              <w:jc w:val="both"/>
              <w:rPr>
                <w:sz w:val="20"/>
                <w:szCs w:val="24"/>
              </w:rPr>
            </w:pPr>
            <w:r w:rsidRPr="00B225B8">
              <w:rPr>
                <w:sz w:val="20"/>
                <w:szCs w:val="24"/>
              </w:rPr>
              <w:t>61</w:t>
            </w:r>
          </w:p>
        </w:tc>
      </w:tr>
      <w:tr w:rsidR="003D1B66" w14:paraId="520C290F" w14:textId="77777777" w:rsidTr="000B46B5">
        <w:trPr>
          <w:jc w:val="center"/>
        </w:trPr>
        <w:tc>
          <w:tcPr>
            <w:tcW w:w="4464" w:type="dxa"/>
            <w:shd w:val="clear" w:color="auto" w:fill="F2F2F2" w:themeFill="background1" w:themeFillShade="F2"/>
            <w:vAlign w:val="center"/>
          </w:tcPr>
          <w:p w14:paraId="73B44C93" w14:textId="77777777" w:rsidR="003D1B66" w:rsidRDefault="003D1B66" w:rsidP="000B46B5">
            <w:pPr>
              <w:bidi/>
              <w:jc w:val="both"/>
            </w:pPr>
            <w:r>
              <w:rPr>
                <w:rFonts w:eastAsia="Arial"/>
                <w:sz w:val="18"/>
              </w:rPr>
              <w:t>جدول 34): المتوسطات الكلية لمحاور الدراسة</w:t>
            </w:r>
          </w:p>
        </w:tc>
        <w:tc>
          <w:tcPr>
            <w:tcW w:w="4463" w:type="dxa"/>
            <w:shd w:val="clear" w:color="auto" w:fill="F2F2F2" w:themeFill="background1" w:themeFillShade="F2"/>
            <w:vAlign w:val="center"/>
          </w:tcPr>
          <w:p w14:paraId="66EAA015" w14:textId="77777777" w:rsidR="003D1B66" w:rsidRPr="00B225B8" w:rsidRDefault="003D1B66" w:rsidP="000B46B5">
            <w:pPr>
              <w:bidi/>
              <w:jc w:val="both"/>
              <w:rPr>
                <w:sz w:val="20"/>
                <w:szCs w:val="24"/>
              </w:rPr>
            </w:pPr>
            <w:r w:rsidRPr="00B225B8">
              <w:rPr>
                <w:rFonts w:eastAsia="Arial"/>
                <w:sz w:val="20"/>
                <w:szCs w:val="24"/>
              </w:rPr>
              <w:t>62</w:t>
            </w:r>
          </w:p>
        </w:tc>
      </w:tr>
      <w:tr w:rsidR="003D1B66" w14:paraId="1F0FB2E6" w14:textId="77777777" w:rsidTr="000B46B5">
        <w:trPr>
          <w:jc w:val="center"/>
        </w:trPr>
        <w:tc>
          <w:tcPr>
            <w:tcW w:w="4464" w:type="dxa"/>
            <w:shd w:val="clear" w:color="auto" w:fill="F2F2F2" w:themeFill="background1" w:themeFillShade="F2"/>
            <w:vAlign w:val="center"/>
          </w:tcPr>
          <w:p w14:paraId="378FFFB6" w14:textId="77777777" w:rsidR="003D1B66" w:rsidRDefault="003D1B66" w:rsidP="000B46B5">
            <w:pPr>
              <w:bidi/>
              <w:jc w:val="both"/>
            </w:pPr>
            <w:r>
              <w:rPr>
                <w:rFonts w:eastAsia="Arial"/>
                <w:sz w:val="18"/>
              </w:rPr>
              <w:t>جدول 35): ترتيب أبعاد الحوكمة الصحية</w:t>
            </w:r>
          </w:p>
        </w:tc>
        <w:tc>
          <w:tcPr>
            <w:tcW w:w="4463" w:type="dxa"/>
            <w:shd w:val="clear" w:color="auto" w:fill="F2F2F2" w:themeFill="background1" w:themeFillShade="F2"/>
            <w:vAlign w:val="center"/>
          </w:tcPr>
          <w:p w14:paraId="2A51CC19" w14:textId="77777777" w:rsidR="003D1B66" w:rsidRPr="00B225B8" w:rsidRDefault="003D1B66" w:rsidP="000B46B5">
            <w:pPr>
              <w:bidi/>
              <w:jc w:val="both"/>
              <w:rPr>
                <w:sz w:val="20"/>
                <w:szCs w:val="24"/>
              </w:rPr>
            </w:pPr>
            <w:r w:rsidRPr="00B225B8">
              <w:rPr>
                <w:rFonts w:eastAsia="Arial"/>
                <w:sz w:val="20"/>
                <w:szCs w:val="24"/>
              </w:rPr>
              <w:t>62</w:t>
            </w:r>
          </w:p>
        </w:tc>
      </w:tr>
      <w:tr w:rsidR="003D1B66" w14:paraId="0C4BAEBD" w14:textId="77777777" w:rsidTr="000B46B5">
        <w:trPr>
          <w:jc w:val="center"/>
        </w:trPr>
        <w:tc>
          <w:tcPr>
            <w:tcW w:w="4464" w:type="dxa"/>
            <w:shd w:val="clear" w:color="auto" w:fill="F2F2F2" w:themeFill="background1" w:themeFillShade="F2"/>
            <w:vAlign w:val="center"/>
          </w:tcPr>
          <w:p w14:paraId="384EF6E6" w14:textId="77777777" w:rsidR="003D1B66" w:rsidRDefault="003D1B66" w:rsidP="000B46B5">
            <w:pPr>
              <w:bidi/>
              <w:jc w:val="both"/>
            </w:pPr>
            <w:r>
              <w:rPr>
                <w:rFonts w:eastAsia="Arial"/>
                <w:sz w:val="18"/>
              </w:rPr>
              <w:t>جدول36-أ): التحليل التفصيلي لعبارات الحوكمة الصحية</w:t>
            </w:r>
          </w:p>
        </w:tc>
        <w:tc>
          <w:tcPr>
            <w:tcW w:w="4463" w:type="dxa"/>
            <w:shd w:val="clear" w:color="auto" w:fill="F2F2F2" w:themeFill="background1" w:themeFillShade="F2"/>
            <w:vAlign w:val="center"/>
          </w:tcPr>
          <w:p w14:paraId="4862AB1F" w14:textId="77777777" w:rsidR="003D1B66" w:rsidRPr="00B225B8" w:rsidRDefault="003D1B66" w:rsidP="000B46B5">
            <w:pPr>
              <w:bidi/>
              <w:jc w:val="both"/>
              <w:rPr>
                <w:sz w:val="20"/>
                <w:szCs w:val="24"/>
              </w:rPr>
            </w:pPr>
            <w:r w:rsidRPr="00B225B8">
              <w:rPr>
                <w:rFonts w:eastAsia="Arial"/>
                <w:sz w:val="20"/>
                <w:szCs w:val="24"/>
              </w:rPr>
              <w:t>63</w:t>
            </w:r>
          </w:p>
        </w:tc>
      </w:tr>
      <w:tr w:rsidR="003D1B66" w14:paraId="0AC72F20" w14:textId="77777777" w:rsidTr="000B46B5">
        <w:trPr>
          <w:jc w:val="center"/>
        </w:trPr>
        <w:tc>
          <w:tcPr>
            <w:tcW w:w="4464" w:type="dxa"/>
            <w:shd w:val="clear" w:color="auto" w:fill="F2F2F2" w:themeFill="background1" w:themeFillShade="F2"/>
            <w:vAlign w:val="center"/>
          </w:tcPr>
          <w:p w14:paraId="4E7B4068" w14:textId="77777777" w:rsidR="003D1B66" w:rsidRDefault="003D1B66" w:rsidP="000B46B5">
            <w:pPr>
              <w:bidi/>
              <w:jc w:val="both"/>
            </w:pPr>
            <w:r>
              <w:rPr>
                <w:rFonts w:eastAsia="Arial"/>
                <w:sz w:val="18"/>
              </w:rPr>
              <w:t>جدول 36-ب): التحليل التفصيلي لعبارات الشفافية المؤسسية</w:t>
            </w:r>
          </w:p>
        </w:tc>
        <w:tc>
          <w:tcPr>
            <w:tcW w:w="4463" w:type="dxa"/>
            <w:shd w:val="clear" w:color="auto" w:fill="F2F2F2" w:themeFill="background1" w:themeFillShade="F2"/>
            <w:vAlign w:val="center"/>
          </w:tcPr>
          <w:p w14:paraId="6962B503" w14:textId="77777777" w:rsidR="003D1B66" w:rsidRPr="00B225B8" w:rsidRDefault="003D1B66" w:rsidP="000B46B5">
            <w:pPr>
              <w:bidi/>
              <w:jc w:val="both"/>
              <w:rPr>
                <w:sz w:val="20"/>
                <w:szCs w:val="24"/>
              </w:rPr>
            </w:pPr>
            <w:r w:rsidRPr="00B225B8">
              <w:rPr>
                <w:sz w:val="20"/>
                <w:szCs w:val="24"/>
              </w:rPr>
              <w:t>65</w:t>
            </w:r>
          </w:p>
        </w:tc>
      </w:tr>
      <w:tr w:rsidR="003D1B66" w14:paraId="672B3B12" w14:textId="77777777" w:rsidTr="000B46B5">
        <w:trPr>
          <w:jc w:val="center"/>
        </w:trPr>
        <w:tc>
          <w:tcPr>
            <w:tcW w:w="4464" w:type="dxa"/>
            <w:shd w:val="clear" w:color="auto" w:fill="F2F2F2" w:themeFill="background1" w:themeFillShade="F2"/>
            <w:vAlign w:val="center"/>
          </w:tcPr>
          <w:p w14:paraId="16679BD8" w14:textId="77777777" w:rsidR="003D1B66" w:rsidRDefault="003D1B66" w:rsidP="000B46B5">
            <w:pPr>
              <w:bidi/>
              <w:jc w:val="both"/>
            </w:pPr>
            <w:r>
              <w:rPr>
                <w:rFonts w:eastAsia="Arial"/>
                <w:sz w:val="18"/>
              </w:rPr>
              <w:t>جدول 36-ج): التحليل التفصيلي لعبارات الكفاءة الإدارية</w:t>
            </w:r>
          </w:p>
        </w:tc>
        <w:tc>
          <w:tcPr>
            <w:tcW w:w="4463" w:type="dxa"/>
            <w:shd w:val="clear" w:color="auto" w:fill="F2F2F2" w:themeFill="background1" w:themeFillShade="F2"/>
            <w:vAlign w:val="center"/>
          </w:tcPr>
          <w:p w14:paraId="1FD2704F" w14:textId="77777777" w:rsidR="003D1B66" w:rsidRPr="00B225B8" w:rsidRDefault="003D1B66" w:rsidP="000B46B5">
            <w:pPr>
              <w:bidi/>
              <w:jc w:val="both"/>
              <w:rPr>
                <w:sz w:val="20"/>
                <w:szCs w:val="24"/>
              </w:rPr>
            </w:pPr>
            <w:r w:rsidRPr="00B225B8">
              <w:rPr>
                <w:rFonts w:eastAsia="Arial"/>
                <w:sz w:val="20"/>
                <w:szCs w:val="24"/>
              </w:rPr>
              <w:t>67</w:t>
            </w:r>
          </w:p>
        </w:tc>
      </w:tr>
      <w:tr w:rsidR="003D1B66" w14:paraId="562348EA" w14:textId="77777777" w:rsidTr="000B46B5">
        <w:trPr>
          <w:jc w:val="center"/>
        </w:trPr>
        <w:tc>
          <w:tcPr>
            <w:tcW w:w="4464" w:type="dxa"/>
            <w:shd w:val="clear" w:color="auto" w:fill="F2F2F2" w:themeFill="background1" w:themeFillShade="F2"/>
            <w:vAlign w:val="center"/>
          </w:tcPr>
          <w:p w14:paraId="00862079" w14:textId="77777777" w:rsidR="003D1B66" w:rsidRDefault="003D1B66" w:rsidP="000B46B5">
            <w:pPr>
              <w:bidi/>
              <w:jc w:val="both"/>
            </w:pPr>
            <w:r>
              <w:rPr>
                <w:rFonts w:eastAsia="Arial"/>
                <w:sz w:val="18"/>
              </w:rPr>
              <w:t>جدول 36-د): التحليل التفصيلي لعبارات تحديات تطبيق الحوكمة الصحية</w:t>
            </w:r>
          </w:p>
        </w:tc>
        <w:tc>
          <w:tcPr>
            <w:tcW w:w="4463" w:type="dxa"/>
            <w:shd w:val="clear" w:color="auto" w:fill="F2F2F2" w:themeFill="background1" w:themeFillShade="F2"/>
            <w:vAlign w:val="center"/>
          </w:tcPr>
          <w:p w14:paraId="349869E5" w14:textId="77777777" w:rsidR="003D1B66" w:rsidRPr="00B225B8" w:rsidRDefault="003D1B66" w:rsidP="000B46B5">
            <w:pPr>
              <w:bidi/>
              <w:jc w:val="both"/>
              <w:rPr>
                <w:sz w:val="20"/>
                <w:szCs w:val="24"/>
              </w:rPr>
            </w:pPr>
            <w:r w:rsidRPr="00B225B8">
              <w:rPr>
                <w:rFonts w:eastAsia="Arial"/>
                <w:sz w:val="20"/>
                <w:szCs w:val="24"/>
              </w:rPr>
              <w:t>69</w:t>
            </w:r>
          </w:p>
        </w:tc>
      </w:tr>
      <w:tr w:rsidR="003D1B66" w14:paraId="57E436A5" w14:textId="77777777" w:rsidTr="000B46B5">
        <w:trPr>
          <w:jc w:val="center"/>
        </w:trPr>
        <w:tc>
          <w:tcPr>
            <w:tcW w:w="4464" w:type="dxa"/>
            <w:shd w:val="clear" w:color="auto" w:fill="F2F2F2" w:themeFill="background1" w:themeFillShade="F2"/>
            <w:vAlign w:val="center"/>
          </w:tcPr>
          <w:p w14:paraId="22B10C5E" w14:textId="77777777" w:rsidR="003D1B66" w:rsidRDefault="003D1B66" w:rsidP="000B46B5">
            <w:pPr>
              <w:bidi/>
              <w:jc w:val="both"/>
            </w:pPr>
            <w:r>
              <w:rPr>
                <w:rFonts w:eastAsia="Arial"/>
                <w:sz w:val="18"/>
              </w:rPr>
              <w:t>جدول 36): أعلى العبارات متوسطاً</w:t>
            </w:r>
          </w:p>
        </w:tc>
        <w:tc>
          <w:tcPr>
            <w:tcW w:w="4463" w:type="dxa"/>
            <w:shd w:val="clear" w:color="auto" w:fill="F2F2F2" w:themeFill="background1" w:themeFillShade="F2"/>
            <w:vAlign w:val="center"/>
          </w:tcPr>
          <w:p w14:paraId="7D343BBA" w14:textId="77777777" w:rsidR="003D1B66" w:rsidRPr="00B225B8" w:rsidRDefault="003D1B66" w:rsidP="000B46B5">
            <w:pPr>
              <w:bidi/>
              <w:jc w:val="both"/>
              <w:rPr>
                <w:sz w:val="20"/>
                <w:szCs w:val="24"/>
              </w:rPr>
            </w:pPr>
            <w:r w:rsidRPr="00B225B8">
              <w:rPr>
                <w:sz w:val="20"/>
                <w:szCs w:val="24"/>
              </w:rPr>
              <w:t>70</w:t>
            </w:r>
          </w:p>
        </w:tc>
      </w:tr>
      <w:tr w:rsidR="003D1B66" w14:paraId="68A8FE11" w14:textId="77777777" w:rsidTr="000B46B5">
        <w:trPr>
          <w:jc w:val="center"/>
        </w:trPr>
        <w:tc>
          <w:tcPr>
            <w:tcW w:w="4464" w:type="dxa"/>
            <w:shd w:val="clear" w:color="auto" w:fill="F2F2F2" w:themeFill="background1" w:themeFillShade="F2"/>
            <w:vAlign w:val="center"/>
          </w:tcPr>
          <w:p w14:paraId="69113D51" w14:textId="77777777" w:rsidR="003D1B66" w:rsidRDefault="003D1B66" w:rsidP="000B46B5">
            <w:pPr>
              <w:bidi/>
              <w:jc w:val="both"/>
            </w:pPr>
            <w:r>
              <w:rPr>
                <w:rFonts w:eastAsia="Arial"/>
                <w:sz w:val="18"/>
              </w:rPr>
              <w:t>جدول 37): أدنى العبارات متوسطاً</w:t>
            </w:r>
          </w:p>
        </w:tc>
        <w:tc>
          <w:tcPr>
            <w:tcW w:w="4463" w:type="dxa"/>
            <w:shd w:val="clear" w:color="auto" w:fill="F2F2F2" w:themeFill="background1" w:themeFillShade="F2"/>
            <w:vAlign w:val="center"/>
          </w:tcPr>
          <w:p w14:paraId="556A4369" w14:textId="77777777" w:rsidR="003D1B66" w:rsidRPr="00B225B8" w:rsidRDefault="003D1B66" w:rsidP="000B46B5">
            <w:pPr>
              <w:bidi/>
              <w:jc w:val="both"/>
              <w:rPr>
                <w:sz w:val="20"/>
                <w:szCs w:val="24"/>
              </w:rPr>
            </w:pPr>
            <w:r w:rsidRPr="00B225B8">
              <w:rPr>
                <w:sz w:val="20"/>
                <w:szCs w:val="24"/>
              </w:rPr>
              <w:t>71</w:t>
            </w:r>
          </w:p>
        </w:tc>
      </w:tr>
      <w:tr w:rsidR="003D1B66" w14:paraId="6E4A2AC0" w14:textId="77777777" w:rsidTr="000B46B5">
        <w:trPr>
          <w:jc w:val="center"/>
        </w:trPr>
        <w:tc>
          <w:tcPr>
            <w:tcW w:w="4464" w:type="dxa"/>
            <w:shd w:val="clear" w:color="auto" w:fill="F2F2F2" w:themeFill="background1" w:themeFillShade="F2"/>
            <w:vAlign w:val="center"/>
          </w:tcPr>
          <w:p w14:paraId="3627B3BC" w14:textId="77777777" w:rsidR="003D1B66" w:rsidRDefault="003D1B66" w:rsidP="000B46B5">
            <w:pPr>
              <w:bidi/>
              <w:jc w:val="both"/>
            </w:pPr>
            <w:r>
              <w:rPr>
                <w:rFonts w:eastAsia="Arial"/>
                <w:sz w:val="18"/>
              </w:rPr>
              <w:t>جدول38): ترتيب تحديات التطبيق</w:t>
            </w:r>
          </w:p>
        </w:tc>
        <w:tc>
          <w:tcPr>
            <w:tcW w:w="4463" w:type="dxa"/>
            <w:shd w:val="clear" w:color="auto" w:fill="F2F2F2" w:themeFill="background1" w:themeFillShade="F2"/>
            <w:vAlign w:val="center"/>
          </w:tcPr>
          <w:p w14:paraId="2C26F9CE" w14:textId="77777777" w:rsidR="003D1B66" w:rsidRPr="00B225B8" w:rsidRDefault="003D1B66" w:rsidP="000B46B5">
            <w:pPr>
              <w:bidi/>
              <w:jc w:val="both"/>
              <w:rPr>
                <w:sz w:val="20"/>
                <w:szCs w:val="24"/>
              </w:rPr>
            </w:pPr>
            <w:r w:rsidRPr="00B225B8">
              <w:rPr>
                <w:rFonts w:eastAsia="Arial"/>
                <w:sz w:val="20"/>
                <w:szCs w:val="24"/>
              </w:rPr>
              <w:t>71</w:t>
            </w:r>
          </w:p>
        </w:tc>
      </w:tr>
      <w:tr w:rsidR="003D1B66" w14:paraId="3248EFF1" w14:textId="77777777" w:rsidTr="000B46B5">
        <w:trPr>
          <w:jc w:val="center"/>
        </w:trPr>
        <w:tc>
          <w:tcPr>
            <w:tcW w:w="4464" w:type="dxa"/>
            <w:shd w:val="clear" w:color="auto" w:fill="F2F2F2" w:themeFill="background1" w:themeFillShade="F2"/>
            <w:vAlign w:val="center"/>
          </w:tcPr>
          <w:p w14:paraId="2E56FC91" w14:textId="77777777" w:rsidR="003D1B66" w:rsidRDefault="003D1B66" w:rsidP="000B46B5">
            <w:pPr>
              <w:bidi/>
              <w:jc w:val="both"/>
            </w:pPr>
            <w:r>
              <w:rPr>
                <w:rFonts w:eastAsia="Arial"/>
                <w:sz w:val="18"/>
              </w:rPr>
              <w:t>جدول 39): معاملات الارتباط الاستكشافية</w:t>
            </w:r>
          </w:p>
        </w:tc>
        <w:tc>
          <w:tcPr>
            <w:tcW w:w="4463" w:type="dxa"/>
            <w:shd w:val="clear" w:color="auto" w:fill="F2F2F2" w:themeFill="background1" w:themeFillShade="F2"/>
            <w:vAlign w:val="center"/>
          </w:tcPr>
          <w:p w14:paraId="5A24010B" w14:textId="77777777" w:rsidR="003D1B66" w:rsidRPr="00B225B8" w:rsidRDefault="003D1B66" w:rsidP="000B46B5">
            <w:pPr>
              <w:bidi/>
              <w:jc w:val="both"/>
              <w:rPr>
                <w:sz w:val="20"/>
                <w:szCs w:val="24"/>
              </w:rPr>
            </w:pPr>
            <w:r w:rsidRPr="00B225B8">
              <w:rPr>
                <w:sz w:val="20"/>
                <w:szCs w:val="24"/>
              </w:rPr>
              <w:t>73</w:t>
            </w:r>
          </w:p>
        </w:tc>
      </w:tr>
    </w:tbl>
    <w:p w14:paraId="3329CE70" w14:textId="77777777" w:rsidR="003D1B66" w:rsidRDefault="003D1B66" w:rsidP="003D1B66">
      <w:pPr>
        <w:bidi/>
        <w:jc w:val="both"/>
      </w:pPr>
      <w:r>
        <w:br w:type="page"/>
      </w:r>
    </w:p>
    <w:p w14:paraId="65E16904" w14:textId="77777777" w:rsidR="003D1B66" w:rsidRDefault="003D1B66" w:rsidP="003D1B66">
      <w:pPr>
        <w:pStyle w:val="1"/>
        <w:bidi/>
        <w:spacing w:before="0"/>
        <w:jc w:val="both"/>
      </w:pPr>
      <w:r>
        <w:rPr>
          <w:rFonts w:ascii="Arial" w:eastAsia="Arial" w:hAnsi="Arial" w:cs="Arial"/>
          <w:rtl/>
        </w:rPr>
        <w:lastRenderedPageBreak/>
        <w:t>قائمة الجداول - تابع</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4465"/>
        <w:gridCol w:w="4463"/>
      </w:tblGrid>
      <w:tr w:rsidR="003D1B66" w:rsidRPr="00B225B8" w14:paraId="7A4E3443" w14:textId="77777777" w:rsidTr="000B46B5">
        <w:trPr>
          <w:tblHeader/>
          <w:jc w:val="center"/>
        </w:trPr>
        <w:tc>
          <w:tcPr>
            <w:tcW w:w="4464" w:type="dxa"/>
            <w:shd w:val="clear" w:color="auto" w:fill="F2F2F2" w:themeFill="background1" w:themeFillShade="F2"/>
            <w:vAlign w:val="center"/>
          </w:tcPr>
          <w:p w14:paraId="13869F7D" w14:textId="77777777" w:rsidR="003D1B66" w:rsidRPr="00B225B8" w:rsidRDefault="003D1B66" w:rsidP="000B46B5">
            <w:pPr>
              <w:bidi/>
              <w:jc w:val="both"/>
            </w:pPr>
            <w:r w:rsidRPr="00B225B8">
              <w:rPr>
                <w:rFonts w:eastAsia="Arial"/>
                <w:b/>
                <w:sz w:val="18"/>
              </w:rPr>
              <w:t>اسم الجدول</w:t>
            </w:r>
          </w:p>
        </w:tc>
        <w:tc>
          <w:tcPr>
            <w:tcW w:w="4463" w:type="dxa"/>
            <w:shd w:val="clear" w:color="auto" w:fill="F2F2F2" w:themeFill="background1" w:themeFillShade="F2"/>
            <w:vAlign w:val="center"/>
          </w:tcPr>
          <w:p w14:paraId="2EA13A81" w14:textId="77777777" w:rsidR="003D1B66" w:rsidRPr="00B225B8" w:rsidRDefault="003D1B66" w:rsidP="000B46B5">
            <w:pPr>
              <w:bidi/>
              <w:jc w:val="both"/>
            </w:pPr>
            <w:r w:rsidRPr="00B225B8">
              <w:rPr>
                <w:rFonts w:eastAsia="Arial"/>
                <w:b/>
                <w:sz w:val="18"/>
              </w:rPr>
              <w:t>رقم الصفحة</w:t>
            </w:r>
          </w:p>
        </w:tc>
      </w:tr>
      <w:tr w:rsidR="003D1B66" w14:paraId="7D211D74" w14:textId="77777777" w:rsidTr="000B46B5">
        <w:trPr>
          <w:jc w:val="center"/>
        </w:trPr>
        <w:tc>
          <w:tcPr>
            <w:tcW w:w="4464" w:type="dxa"/>
            <w:shd w:val="clear" w:color="auto" w:fill="F2F2F2" w:themeFill="background1" w:themeFillShade="F2"/>
            <w:vAlign w:val="center"/>
          </w:tcPr>
          <w:p w14:paraId="2537E088" w14:textId="77777777" w:rsidR="003D1B66" w:rsidRDefault="003D1B66" w:rsidP="000B46B5">
            <w:pPr>
              <w:bidi/>
              <w:jc w:val="both"/>
            </w:pPr>
            <w:r>
              <w:rPr>
                <w:rFonts w:eastAsia="Arial"/>
                <w:sz w:val="18"/>
              </w:rPr>
              <w:t>جدول (40): نماذج الانحدار الاستكشافية</w:t>
            </w:r>
          </w:p>
        </w:tc>
        <w:tc>
          <w:tcPr>
            <w:tcW w:w="4463" w:type="dxa"/>
            <w:shd w:val="clear" w:color="auto" w:fill="F2F2F2" w:themeFill="background1" w:themeFillShade="F2"/>
            <w:vAlign w:val="center"/>
          </w:tcPr>
          <w:p w14:paraId="6BAD9459" w14:textId="77777777" w:rsidR="003D1B66" w:rsidRPr="00B225B8" w:rsidRDefault="003D1B66" w:rsidP="000B46B5">
            <w:pPr>
              <w:bidi/>
              <w:jc w:val="both"/>
              <w:rPr>
                <w:sz w:val="20"/>
                <w:szCs w:val="16"/>
              </w:rPr>
            </w:pPr>
            <w:r w:rsidRPr="00B225B8">
              <w:rPr>
                <w:sz w:val="20"/>
                <w:szCs w:val="16"/>
              </w:rPr>
              <w:t>73</w:t>
            </w:r>
          </w:p>
        </w:tc>
      </w:tr>
      <w:tr w:rsidR="003D1B66" w14:paraId="4CA8B3E9" w14:textId="77777777" w:rsidTr="000B46B5">
        <w:trPr>
          <w:jc w:val="center"/>
        </w:trPr>
        <w:tc>
          <w:tcPr>
            <w:tcW w:w="4464" w:type="dxa"/>
            <w:shd w:val="clear" w:color="auto" w:fill="F2F2F2" w:themeFill="background1" w:themeFillShade="F2"/>
            <w:vAlign w:val="center"/>
          </w:tcPr>
          <w:p w14:paraId="7A73E68B" w14:textId="77777777" w:rsidR="003D1B66" w:rsidRDefault="003D1B66" w:rsidP="000B46B5">
            <w:pPr>
              <w:bidi/>
              <w:jc w:val="both"/>
            </w:pPr>
            <w:r>
              <w:rPr>
                <w:rFonts w:eastAsia="Arial"/>
                <w:sz w:val="18"/>
              </w:rPr>
              <w:t>جدول (41): ملخص اختبار الفرضيات</w:t>
            </w:r>
          </w:p>
        </w:tc>
        <w:tc>
          <w:tcPr>
            <w:tcW w:w="4463" w:type="dxa"/>
            <w:shd w:val="clear" w:color="auto" w:fill="F2F2F2" w:themeFill="background1" w:themeFillShade="F2"/>
            <w:vAlign w:val="center"/>
          </w:tcPr>
          <w:p w14:paraId="4B6068FE" w14:textId="77777777" w:rsidR="003D1B66" w:rsidRPr="00B225B8" w:rsidRDefault="003D1B66" w:rsidP="000B46B5">
            <w:pPr>
              <w:bidi/>
              <w:jc w:val="both"/>
              <w:rPr>
                <w:sz w:val="20"/>
                <w:szCs w:val="16"/>
              </w:rPr>
            </w:pPr>
            <w:r w:rsidRPr="00B225B8">
              <w:rPr>
                <w:rFonts w:eastAsia="Arial"/>
                <w:sz w:val="20"/>
                <w:szCs w:val="16"/>
              </w:rPr>
              <w:t>73</w:t>
            </w:r>
          </w:p>
        </w:tc>
      </w:tr>
      <w:tr w:rsidR="003D1B66" w14:paraId="19ADE31C" w14:textId="77777777" w:rsidTr="000B46B5">
        <w:trPr>
          <w:jc w:val="center"/>
        </w:trPr>
        <w:tc>
          <w:tcPr>
            <w:tcW w:w="4464" w:type="dxa"/>
            <w:shd w:val="clear" w:color="auto" w:fill="F2F2F2" w:themeFill="background1" w:themeFillShade="F2"/>
            <w:vAlign w:val="center"/>
          </w:tcPr>
          <w:p w14:paraId="7F0AD11A" w14:textId="77777777" w:rsidR="003D1B66" w:rsidRDefault="003D1B66" w:rsidP="000B46B5">
            <w:pPr>
              <w:bidi/>
              <w:jc w:val="both"/>
            </w:pPr>
            <w:r>
              <w:rPr>
                <w:rFonts w:eastAsia="Arial"/>
                <w:sz w:val="18"/>
              </w:rPr>
              <w:t>جدول (42): خطة التوصيات التنفيذية</w:t>
            </w:r>
          </w:p>
        </w:tc>
        <w:tc>
          <w:tcPr>
            <w:tcW w:w="4463" w:type="dxa"/>
            <w:shd w:val="clear" w:color="auto" w:fill="F2F2F2" w:themeFill="background1" w:themeFillShade="F2"/>
            <w:vAlign w:val="center"/>
          </w:tcPr>
          <w:p w14:paraId="5D04BC05" w14:textId="77777777" w:rsidR="003D1B66" w:rsidRPr="00B225B8" w:rsidRDefault="003D1B66" w:rsidP="000B46B5">
            <w:pPr>
              <w:bidi/>
              <w:jc w:val="both"/>
              <w:rPr>
                <w:sz w:val="20"/>
                <w:szCs w:val="16"/>
              </w:rPr>
            </w:pPr>
            <w:r w:rsidRPr="00B225B8">
              <w:rPr>
                <w:rFonts w:eastAsia="Arial"/>
                <w:sz w:val="20"/>
                <w:szCs w:val="16"/>
              </w:rPr>
              <w:t>76</w:t>
            </w:r>
          </w:p>
        </w:tc>
      </w:tr>
      <w:tr w:rsidR="003D1B66" w14:paraId="6B5350FC" w14:textId="77777777" w:rsidTr="000B46B5">
        <w:trPr>
          <w:jc w:val="center"/>
        </w:trPr>
        <w:tc>
          <w:tcPr>
            <w:tcW w:w="4464" w:type="dxa"/>
            <w:shd w:val="clear" w:color="auto" w:fill="F2F2F2" w:themeFill="background1" w:themeFillShade="F2"/>
            <w:vAlign w:val="center"/>
          </w:tcPr>
          <w:p w14:paraId="3EEE741A" w14:textId="77777777" w:rsidR="003D1B66" w:rsidRDefault="003D1B66" w:rsidP="000B46B5">
            <w:pPr>
              <w:bidi/>
              <w:jc w:val="both"/>
            </w:pPr>
            <w:r>
              <w:rPr>
                <w:rFonts w:eastAsia="Arial"/>
                <w:sz w:val="18"/>
              </w:rPr>
              <w:t>جدول (42): البيانات الديموغرافية والتنظيمية للاستبانة</w:t>
            </w:r>
          </w:p>
        </w:tc>
        <w:tc>
          <w:tcPr>
            <w:tcW w:w="4463" w:type="dxa"/>
            <w:shd w:val="clear" w:color="auto" w:fill="F2F2F2" w:themeFill="background1" w:themeFillShade="F2"/>
            <w:vAlign w:val="center"/>
          </w:tcPr>
          <w:p w14:paraId="5CE8D57F" w14:textId="77777777" w:rsidR="003D1B66" w:rsidRPr="00B225B8" w:rsidRDefault="003D1B66" w:rsidP="000B46B5">
            <w:pPr>
              <w:bidi/>
              <w:jc w:val="both"/>
              <w:rPr>
                <w:sz w:val="20"/>
                <w:szCs w:val="16"/>
              </w:rPr>
            </w:pPr>
            <w:r w:rsidRPr="00B225B8">
              <w:rPr>
                <w:sz w:val="20"/>
                <w:szCs w:val="16"/>
              </w:rPr>
              <w:t>82</w:t>
            </w:r>
          </w:p>
        </w:tc>
      </w:tr>
      <w:tr w:rsidR="003D1B66" w14:paraId="4FF05058" w14:textId="77777777" w:rsidTr="000B46B5">
        <w:trPr>
          <w:jc w:val="center"/>
        </w:trPr>
        <w:tc>
          <w:tcPr>
            <w:tcW w:w="4464" w:type="dxa"/>
            <w:shd w:val="clear" w:color="auto" w:fill="F2F2F2" w:themeFill="background1" w:themeFillShade="F2"/>
            <w:vAlign w:val="center"/>
          </w:tcPr>
          <w:p w14:paraId="7656CA4E" w14:textId="77777777" w:rsidR="003D1B66" w:rsidRDefault="003D1B66" w:rsidP="000B46B5">
            <w:pPr>
              <w:bidi/>
              <w:jc w:val="both"/>
            </w:pPr>
            <w:r>
              <w:rPr>
                <w:rFonts w:eastAsia="Arial"/>
                <w:sz w:val="18"/>
              </w:rPr>
              <w:t>جدول (43): ثالثاً: محور الحوكمة الصحية</w:t>
            </w:r>
          </w:p>
        </w:tc>
        <w:tc>
          <w:tcPr>
            <w:tcW w:w="4463" w:type="dxa"/>
            <w:shd w:val="clear" w:color="auto" w:fill="F2F2F2" w:themeFill="background1" w:themeFillShade="F2"/>
            <w:vAlign w:val="center"/>
          </w:tcPr>
          <w:p w14:paraId="7A9C0ECA" w14:textId="77777777" w:rsidR="003D1B66" w:rsidRPr="00B225B8" w:rsidRDefault="003D1B66" w:rsidP="000B46B5">
            <w:pPr>
              <w:bidi/>
              <w:jc w:val="both"/>
              <w:rPr>
                <w:sz w:val="20"/>
                <w:szCs w:val="16"/>
              </w:rPr>
            </w:pPr>
            <w:r w:rsidRPr="00B225B8">
              <w:rPr>
                <w:sz w:val="20"/>
                <w:szCs w:val="16"/>
              </w:rPr>
              <w:t>83</w:t>
            </w:r>
          </w:p>
        </w:tc>
      </w:tr>
      <w:tr w:rsidR="003D1B66" w14:paraId="319DA102" w14:textId="77777777" w:rsidTr="000B46B5">
        <w:trPr>
          <w:jc w:val="center"/>
        </w:trPr>
        <w:tc>
          <w:tcPr>
            <w:tcW w:w="4464" w:type="dxa"/>
            <w:shd w:val="clear" w:color="auto" w:fill="F2F2F2" w:themeFill="background1" w:themeFillShade="F2"/>
            <w:vAlign w:val="center"/>
          </w:tcPr>
          <w:p w14:paraId="51472EA3" w14:textId="77777777" w:rsidR="003D1B66" w:rsidRDefault="003D1B66" w:rsidP="000B46B5">
            <w:pPr>
              <w:bidi/>
              <w:jc w:val="both"/>
            </w:pPr>
            <w:r>
              <w:rPr>
                <w:rFonts w:eastAsia="Arial"/>
                <w:sz w:val="18"/>
              </w:rPr>
              <w:t>جدول (44): رابعاً: محور الشفافية المؤسسية</w:t>
            </w:r>
          </w:p>
        </w:tc>
        <w:tc>
          <w:tcPr>
            <w:tcW w:w="4463" w:type="dxa"/>
            <w:shd w:val="clear" w:color="auto" w:fill="F2F2F2" w:themeFill="background1" w:themeFillShade="F2"/>
            <w:vAlign w:val="center"/>
          </w:tcPr>
          <w:p w14:paraId="32D507EB" w14:textId="77777777" w:rsidR="003D1B66" w:rsidRPr="00B225B8" w:rsidRDefault="003D1B66" w:rsidP="000B46B5">
            <w:pPr>
              <w:bidi/>
              <w:jc w:val="both"/>
              <w:rPr>
                <w:sz w:val="20"/>
                <w:szCs w:val="16"/>
              </w:rPr>
            </w:pPr>
            <w:r w:rsidRPr="00B225B8">
              <w:rPr>
                <w:sz w:val="20"/>
                <w:szCs w:val="16"/>
              </w:rPr>
              <w:t>85</w:t>
            </w:r>
          </w:p>
        </w:tc>
      </w:tr>
      <w:tr w:rsidR="003D1B66" w14:paraId="0BE185A3" w14:textId="77777777" w:rsidTr="000B46B5">
        <w:trPr>
          <w:jc w:val="center"/>
        </w:trPr>
        <w:tc>
          <w:tcPr>
            <w:tcW w:w="4464" w:type="dxa"/>
            <w:shd w:val="clear" w:color="auto" w:fill="F2F2F2" w:themeFill="background1" w:themeFillShade="F2"/>
            <w:vAlign w:val="center"/>
          </w:tcPr>
          <w:p w14:paraId="07368D04" w14:textId="77777777" w:rsidR="003D1B66" w:rsidRDefault="003D1B66" w:rsidP="000B46B5">
            <w:pPr>
              <w:bidi/>
              <w:jc w:val="both"/>
            </w:pPr>
            <w:r>
              <w:rPr>
                <w:rFonts w:eastAsia="Arial"/>
                <w:sz w:val="18"/>
              </w:rPr>
              <w:t>جدول (45): خامساً: محور الكفاءة الإدارية</w:t>
            </w:r>
          </w:p>
        </w:tc>
        <w:tc>
          <w:tcPr>
            <w:tcW w:w="4463" w:type="dxa"/>
            <w:shd w:val="clear" w:color="auto" w:fill="F2F2F2" w:themeFill="background1" w:themeFillShade="F2"/>
            <w:vAlign w:val="center"/>
          </w:tcPr>
          <w:p w14:paraId="52CC8A46" w14:textId="77777777" w:rsidR="003D1B66" w:rsidRPr="00B225B8" w:rsidRDefault="003D1B66" w:rsidP="000B46B5">
            <w:pPr>
              <w:bidi/>
              <w:jc w:val="both"/>
              <w:rPr>
                <w:sz w:val="20"/>
                <w:szCs w:val="16"/>
              </w:rPr>
            </w:pPr>
            <w:r w:rsidRPr="00B225B8">
              <w:rPr>
                <w:sz w:val="20"/>
                <w:szCs w:val="16"/>
              </w:rPr>
              <w:t>87</w:t>
            </w:r>
          </w:p>
        </w:tc>
      </w:tr>
      <w:tr w:rsidR="003D1B66" w14:paraId="08613368" w14:textId="77777777" w:rsidTr="000B46B5">
        <w:trPr>
          <w:jc w:val="center"/>
        </w:trPr>
        <w:tc>
          <w:tcPr>
            <w:tcW w:w="4464" w:type="dxa"/>
            <w:shd w:val="clear" w:color="auto" w:fill="F2F2F2" w:themeFill="background1" w:themeFillShade="F2"/>
            <w:vAlign w:val="center"/>
          </w:tcPr>
          <w:p w14:paraId="65D06866" w14:textId="77777777" w:rsidR="003D1B66" w:rsidRDefault="003D1B66" w:rsidP="000B46B5">
            <w:pPr>
              <w:bidi/>
              <w:jc w:val="both"/>
            </w:pPr>
            <w:r>
              <w:rPr>
                <w:rFonts w:eastAsia="Arial"/>
                <w:sz w:val="18"/>
              </w:rPr>
              <w:t>جدول (46): سادساً: محور تحديات تطبيق الحوكمة الصحية</w:t>
            </w:r>
          </w:p>
        </w:tc>
        <w:tc>
          <w:tcPr>
            <w:tcW w:w="4463" w:type="dxa"/>
            <w:shd w:val="clear" w:color="auto" w:fill="F2F2F2" w:themeFill="background1" w:themeFillShade="F2"/>
            <w:vAlign w:val="center"/>
          </w:tcPr>
          <w:p w14:paraId="0741F503" w14:textId="77777777" w:rsidR="003D1B66" w:rsidRPr="00B225B8" w:rsidRDefault="003D1B66" w:rsidP="000B46B5">
            <w:pPr>
              <w:bidi/>
              <w:jc w:val="both"/>
              <w:rPr>
                <w:sz w:val="20"/>
                <w:szCs w:val="16"/>
              </w:rPr>
            </w:pPr>
            <w:r w:rsidRPr="00B225B8">
              <w:rPr>
                <w:sz w:val="20"/>
                <w:szCs w:val="16"/>
              </w:rPr>
              <w:t>88</w:t>
            </w:r>
          </w:p>
        </w:tc>
      </w:tr>
      <w:tr w:rsidR="003D1B66" w14:paraId="5898C978" w14:textId="77777777" w:rsidTr="000B46B5">
        <w:trPr>
          <w:jc w:val="center"/>
        </w:trPr>
        <w:tc>
          <w:tcPr>
            <w:tcW w:w="4464" w:type="dxa"/>
            <w:shd w:val="clear" w:color="auto" w:fill="F2F2F2" w:themeFill="background1" w:themeFillShade="F2"/>
            <w:vAlign w:val="center"/>
          </w:tcPr>
          <w:p w14:paraId="13FDE2EB" w14:textId="77777777" w:rsidR="003D1B66" w:rsidRDefault="003D1B66" w:rsidP="000B46B5">
            <w:pPr>
              <w:bidi/>
              <w:jc w:val="both"/>
            </w:pPr>
            <w:r>
              <w:rPr>
                <w:rFonts w:eastAsia="Arial"/>
                <w:sz w:val="18"/>
              </w:rPr>
              <w:t>جدول (47): قاموس متغيرات الدراسة وقواعد احتساب الدرجات</w:t>
            </w:r>
          </w:p>
        </w:tc>
        <w:tc>
          <w:tcPr>
            <w:tcW w:w="4463" w:type="dxa"/>
            <w:shd w:val="clear" w:color="auto" w:fill="F2F2F2" w:themeFill="background1" w:themeFillShade="F2"/>
            <w:vAlign w:val="center"/>
          </w:tcPr>
          <w:p w14:paraId="0DF70573" w14:textId="77777777" w:rsidR="003D1B66" w:rsidRPr="00B225B8" w:rsidRDefault="003D1B66" w:rsidP="000B46B5">
            <w:pPr>
              <w:bidi/>
              <w:jc w:val="both"/>
              <w:rPr>
                <w:sz w:val="20"/>
                <w:szCs w:val="16"/>
              </w:rPr>
            </w:pPr>
            <w:r w:rsidRPr="00B225B8">
              <w:rPr>
                <w:sz w:val="20"/>
                <w:szCs w:val="16"/>
              </w:rPr>
              <w:t>89</w:t>
            </w:r>
          </w:p>
        </w:tc>
      </w:tr>
      <w:tr w:rsidR="003D1B66" w14:paraId="7E994DCE" w14:textId="77777777" w:rsidTr="000B46B5">
        <w:trPr>
          <w:jc w:val="center"/>
        </w:trPr>
        <w:tc>
          <w:tcPr>
            <w:tcW w:w="4464" w:type="dxa"/>
            <w:shd w:val="clear" w:color="auto" w:fill="F2F2F2" w:themeFill="background1" w:themeFillShade="F2"/>
            <w:vAlign w:val="center"/>
          </w:tcPr>
          <w:p w14:paraId="7875DF60" w14:textId="77777777" w:rsidR="003D1B66" w:rsidRDefault="003D1B66" w:rsidP="000B46B5">
            <w:pPr>
              <w:bidi/>
              <w:jc w:val="both"/>
            </w:pPr>
          </w:p>
        </w:tc>
        <w:tc>
          <w:tcPr>
            <w:tcW w:w="4463" w:type="dxa"/>
            <w:shd w:val="clear" w:color="auto" w:fill="F2F2F2" w:themeFill="background1" w:themeFillShade="F2"/>
            <w:vAlign w:val="center"/>
          </w:tcPr>
          <w:p w14:paraId="5D075D76" w14:textId="77777777" w:rsidR="003D1B66" w:rsidRDefault="003D1B66" w:rsidP="000B46B5">
            <w:pPr>
              <w:bidi/>
              <w:jc w:val="both"/>
            </w:pPr>
          </w:p>
        </w:tc>
      </w:tr>
      <w:tr w:rsidR="003D1B66" w14:paraId="3FB5B155" w14:textId="77777777" w:rsidTr="000B46B5">
        <w:trPr>
          <w:jc w:val="center"/>
        </w:trPr>
        <w:tc>
          <w:tcPr>
            <w:tcW w:w="4464" w:type="dxa"/>
            <w:shd w:val="clear" w:color="auto" w:fill="F2F2F2" w:themeFill="background1" w:themeFillShade="F2"/>
            <w:vAlign w:val="center"/>
          </w:tcPr>
          <w:p w14:paraId="5A4AE526" w14:textId="77777777" w:rsidR="003D1B66" w:rsidRDefault="003D1B66" w:rsidP="000B46B5">
            <w:pPr>
              <w:bidi/>
              <w:jc w:val="both"/>
            </w:pPr>
          </w:p>
        </w:tc>
        <w:tc>
          <w:tcPr>
            <w:tcW w:w="4463" w:type="dxa"/>
            <w:shd w:val="clear" w:color="auto" w:fill="F2F2F2" w:themeFill="background1" w:themeFillShade="F2"/>
            <w:vAlign w:val="center"/>
          </w:tcPr>
          <w:p w14:paraId="0645D2D4" w14:textId="77777777" w:rsidR="003D1B66" w:rsidRDefault="003D1B66" w:rsidP="000B46B5">
            <w:pPr>
              <w:bidi/>
              <w:jc w:val="both"/>
            </w:pPr>
          </w:p>
        </w:tc>
      </w:tr>
      <w:tr w:rsidR="003D1B66" w14:paraId="5742B9A0" w14:textId="77777777" w:rsidTr="000B46B5">
        <w:trPr>
          <w:jc w:val="center"/>
        </w:trPr>
        <w:tc>
          <w:tcPr>
            <w:tcW w:w="4464" w:type="dxa"/>
            <w:shd w:val="clear" w:color="auto" w:fill="F2F2F2" w:themeFill="background1" w:themeFillShade="F2"/>
            <w:vAlign w:val="center"/>
          </w:tcPr>
          <w:p w14:paraId="3860EB10" w14:textId="77777777" w:rsidR="003D1B66" w:rsidRDefault="003D1B66" w:rsidP="000B46B5">
            <w:pPr>
              <w:bidi/>
              <w:jc w:val="both"/>
            </w:pPr>
          </w:p>
        </w:tc>
        <w:tc>
          <w:tcPr>
            <w:tcW w:w="4463" w:type="dxa"/>
            <w:shd w:val="clear" w:color="auto" w:fill="F2F2F2" w:themeFill="background1" w:themeFillShade="F2"/>
            <w:vAlign w:val="center"/>
          </w:tcPr>
          <w:p w14:paraId="79268ED7" w14:textId="77777777" w:rsidR="003D1B66" w:rsidRDefault="003D1B66" w:rsidP="000B46B5">
            <w:pPr>
              <w:bidi/>
              <w:jc w:val="both"/>
            </w:pPr>
          </w:p>
        </w:tc>
      </w:tr>
      <w:tr w:rsidR="003D1B66" w14:paraId="5AC5ED12" w14:textId="77777777" w:rsidTr="000B46B5">
        <w:trPr>
          <w:jc w:val="center"/>
        </w:trPr>
        <w:tc>
          <w:tcPr>
            <w:tcW w:w="4464" w:type="dxa"/>
            <w:shd w:val="clear" w:color="auto" w:fill="F2F2F2" w:themeFill="background1" w:themeFillShade="F2"/>
            <w:vAlign w:val="center"/>
          </w:tcPr>
          <w:p w14:paraId="35D82224" w14:textId="77777777" w:rsidR="003D1B66" w:rsidRDefault="003D1B66" w:rsidP="000B46B5">
            <w:pPr>
              <w:bidi/>
              <w:jc w:val="both"/>
            </w:pPr>
          </w:p>
        </w:tc>
        <w:tc>
          <w:tcPr>
            <w:tcW w:w="4463" w:type="dxa"/>
            <w:shd w:val="clear" w:color="auto" w:fill="F2F2F2" w:themeFill="background1" w:themeFillShade="F2"/>
            <w:vAlign w:val="center"/>
          </w:tcPr>
          <w:p w14:paraId="3FA291F3" w14:textId="77777777" w:rsidR="003D1B66" w:rsidRDefault="003D1B66" w:rsidP="000B46B5">
            <w:pPr>
              <w:bidi/>
              <w:jc w:val="both"/>
            </w:pPr>
          </w:p>
        </w:tc>
      </w:tr>
      <w:tr w:rsidR="003D1B66" w14:paraId="320B7650" w14:textId="77777777" w:rsidTr="000B46B5">
        <w:trPr>
          <w:jc w:val="center"/>
        </w:trPr>
        <w:tc>
          <w:tcPr>
            <w:tcW w:w="4464" w:type="dxa"/>
            <w:shd w:val="clear" w:color="auto" w:fill="F2F2F2" w:themeFill="background1" w:themeFillShade="F2"/>
            <w:vAlign w:val="center"/>
          </w:tcPr>
          <w:p w14:paraId="7624A48D" w14:textId="77777777" w:rsidR="003D1B66" w:rsidRDefault="003D1B66" w:rsidP="000B46B5">
            <w:pPr>
              <w:bidi/>
              <w:jc w:val="both"/>
            </w:pPr>
          </w:p>
        </w:tc>
        <w:tc>
          <w:tcPr>
            <w:tcW w:w="4463" w:type="dxa"/>
            <w:shd w:val="clear" w:color="auto" w:fill="F2F2F2" w:themeFill="background1" w:themeFillShade="F2"/>
            <w:vAlign w:val="center"/>
          </w:tcPr>
          <w:p w14:paraId="76C9AD54" w14:textId="77777777" w:rsidR="003D1B66" w:rsidRDefault="003D1B66" w:rsidP="000B46B5">
            <w:pPr>
              <w:bidi/>
              <w:jc w:val="both"/>
            </w:pPr>
          </w:p>
        </w:tc>
      </w:tr>
    </w:tbl>
    <w:p w14:paraId="7CC6AC35" w14:textId="77777777" w:rsidR="003D1B66" w:rsidRDefault="003D1B66" w:rsidP="003D1B66">
      <w:pPr>
        <w:bidi/>
        <w:jc w:val="both"/>
      </w:pPr>
      <w:r>
        <w:br w:type="page"/>
      </w:r>
    </w:p>
    <w:p w14:paraId="6CC96297" w14:textId="77777777" w:rsidR="003D1B66" w:rsidRDefault="003D1B66" w:rsidP="003D1B66">
      <w:pPr>
        <w:pStyle w:val="1"/>
        <w:bidi/>
        <w:spacing w:before="0"/>
        <w:jc w:val="both"/>
      </w:pPr>
      <w:r>
        <w:rPr>
          <w:rFonts w:ascii="Arial" w:eastAsia="Arial" w:hAnsi="Arial" w:cs="Arial"/>
          <w:rtl/>
        </w:rPr>
        <w:lastRenderedPageBreak/>
        <w:t>فهرس الأشكال</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4465"/>
        <w:gridCol w:w="4463"/>
      </w:tblGrid>
      <w:tr w:rsidR="003D1B66" w:rsidRPr="001B77D9" w14:paraId="05650D24" w14:textId="77777777" w:rsidTr="000B46B5">
        <w:trPr>
          <w:tblHeader/>
          <w:jc w:val="center"/>
        </w:trPr>
        <w:tc>
          <w:tcPr>
            <w:tcW w:w="4464" w:type="dxa"/>
            <w:shd w:val="clear" w:color="auto" w:fill="F2F2F2" w:themeFill="background1" w:themeFillShade="F2"/>
            <w:vAlign w:val="center"/>
          </w:tcPr>
          <w:p w14:paraId="04D82615" w14:textId="77777777" w:rsidR="003D1B66" w:rsidRPr="001B77D9" w:rsidRDefault="003D1B66" w:rsidP="000B46B5">
            <w:pPr>
              <w:bidi/>
              <w:jc w:val="both"/>
              <w:rPr>
                <w:sz w:val="20"/>
                <w:szCs w:val="20"/>
              </w:rPr>
            </w:pPr>
            <w:r w:rsidRPr="001B77D9">
              <w:rPr>
                <w:rFonts w:eastAsia="Arial"/>
                <w:b/>
                <w:sz w:val="20"/>
                <w:szCs w:val="20"/>
              </w:rPr>
              <w:t>اسم الشكل</w:t>
            </w:r>
          </w:p>
        </w:tc>
        <w:tc>
          <w:tcPr>
            <w:tcW w:w="4463" w:type="dxa"/>
            <w:shd w:val="clear" w:color="auto" w:fill="F2F2F2" w:themeFill="background1" w:themeFillShade="F2"/>
            <w:vAlign w:val="center"/>
          </w:tcPr>
          <w:p w14:paraId="7339A468" w14:textId="77777777" w:rsidR="003D1B66" w:rsidRPr="001B77D9" w:rsidRDefault="003D1B66" w:rsidP="000B46B5">
            <w:pPr>
              <w:bidi/>
              <w:jc w:val="both"/>
              <w:rPr>
                <w:sz w:val="20"/>
                <w:szCs w:val="20"/>
              </w:rPr>
            </w:pPr>
            <w:r w:rsidRPr="001B77D9">
              <w:rPr>
                <w:rFonts w:eastAsia="Arial"/>
                <w:b/>
                <w:sz w:val="20"/>
                <w:szCs w:val="20"/>
              </w:rPr>
              <w:t>رقم الصفحة</w:t>
            </w:r>
          </w:p>
        </w:tc>
      </w:tr>
      <w:tr w:rsidR="003D1B66" w14:paraId="4B70233D" w14:textId="77777777" w:rsidTr="000B46B5">
        <w:trPr>
          <w:jc w:val="center"/>
        </w:trPr>
        <w:tc>
          <w:tcPr>
            <w:tcW w:w="4464" w:type="dxa"/>
            <w:shd w:val="clear" w:color="auto" w:fill="F2F2F2" w:themeFill="background1" w:themeFillShade="F2"/>
            <w:vAlign w:val="center"/>
          </w:tcPr>
          <w:p w14:paraId="10B5CC2A" w14:textId="77777777" w:rsidR="003D1B66" w:rsidRPr="001B77D9" w:rsidRDefault="003D1B66" w:rsidP="000B46B5">
            <w:pPr>
              <w:bidi/>
              <w:jc w:val="both"/>
              <w:rPr>
                <w:sz w:val="20"/>
                <w:szCs w:val="20"/>
              </w:rPr>
            </w:pPr>
            <w:r w:rsidRPr="001B77D9">
              <w:rPr>
                <w:rFonts w:eastAsia="Arial"/>
                <w:sz w:val="20"/>
                <w:szCs w:val="20"/>
              </w:rPr>
              <w:t xml:space="preserve">شكل </w:t>
            </w:r>
            <w:r w:rsidRPr="001B77D9">
              <w:rPr>
                <w:rFonts w:eastAsia="Arial"/>
                <w:i/>
                <w:iCs/>
                <w:sz w:val="20"/>
                <w:szCs w:val="20"/>
              </w:rPr>
              <w:t>2</w:t>
            </w:r>
            <w:r w:rsidRPr="001B77D9">
              <w:rPr>
                <w:rFonts w:eastAsia="Arial"/>
                <w:sz w:val="20"/>
                <w:szCs w:val="20"/>
              </w:rPr>
              <w:t>): متوسطات محاور الدراسة</w:t>
            </w:r>
            <w:r w:rsidRPr="001B77D9">
              <w:rPr>
                <w:rFonts w:eastAsia="Arial" w:hint="cs"/>
                <w:sz w:val="20"/>
                <w:szCs w:val="20"/>
                <w:rtl/>
              </w:rPr>
              <w:t>)</w:t>
            </w:r>
          </w:p>
        </w:tc>
        <w:tc>
          <w:tcPr>
            <w:tcW w:w="4463" w:type="dxa"/>
            <w:shd w:val="clear" w:color="auto" w:fill="F2F2F2" w:themeFill="background1" w:themeFillShade="F2"/>
            <w:vAlign w:val="center"/>
          </w:tcPr>
          <w:p w14:paraId="29660F92" w14:textId="77777777" w:rsidR="003D1B66" w:rsidRPr="001B77D9" w:rsidRDefault="003D1B66" w:rsidP="000B46B5">
            <w:pPr>
              <w:bidi/>
              <w:jc w:val="both"/>
              <w:rPr>
                <w:sz w:val="20"/>
                <w:szCs w:val="20"/>
              </w:rPr>
            </w:pPr>
            <w:r w:rsidRPr="001B77D9">
              <w:rPr>
                <w:rFonts w:eastAsia="Arial"/>
                <w:sz w:val="20"/>
                <w:szCs w:val="20"/>
              </w:rPr>
              <w:t>62</w:t>
            </w:r>
          </w:p>
        </w:tc>
      </w:tr>
      <w:tr w:rsidR="003D1B66" w14:paraId="7B546C33" w14:textId="77777777" w:rsidTr="000B46B5">
        <w:trPr>
          <w:jc w:val="center"/>
        </w:trPr>
        <w:tc>
          <w:tcPr>
            <w:tcW w:w="4464" w:type="dxa"/>
            <w:shd w:val="clear" w:color="auto" w:fill="F2F2F2" w:themeFill="background1" w:themeFillShade="F2"/>
          </w:tcPr>
          <w:p w14:paraId="2804B4C7" w14:textId="77777777" w:rsidR="003D1B66" w:rsidRPr="001B77D9" w:rsidRDefault="003D1B66" w:rsidP="000B46B5">
            <w:pPr>
              <w:bidi/>
              <w:jc w:val="both"/>
              <w:rPr>
                <w:sz w:val="20"/>
                <w:szCs w:val="20"/>
              </w:rPr>
            </w:pPr>
            <w:r w:rsidRPr="001B77D9">
              <w:rPr>
                <w:rFonts w:eastAsia="Arial"/>
                <w:sz w:val="20"/>
                <w:szCs w:val="20"/>
              </w:rPr>
              <w:t>شكل 3): متوسطات أبعاد الحوكمة الصحية</w:t>
            </w:r>
            <w:r w:rsidRPr="001B77D9">
              <w:rPr>
                <w:rFonts w:eastAsia="Arial" w:hint="cs"/>
                <w:sz w:val="20"/>
                <w:szCs w:val="20"/>
                <w:rtl/>
              </w:rPr>
              <w:t>)</w:t>
            </w:r>
          </w:p>
        </w:tc>
        <w:tc>
          <w:tcPr>
            <w:tcW w:w="4463" w:type="dxa"/>
            <w:shd w:val="clear" w:color="auto" w:fill="F2F2F2" w:themeFill="background1" w:themeFillShade="F2"/>
          </w:tcPr>
          <w:p w14:paraId="5797F30F" w14:textId="77777777" w:rsidR="003D1B66" w:rsidRPr="001B77D9" w:rsidRDefault="003D1B66" w:rsidP="000B46B5">
            <w:pPr>
              <w:bidi/>
              <w:jc w:val="both"/>
              <w:rPr>
                <w:sz w:val="20"/>
                <w:szCs w:val="20"/>
              </w:rPr>
            </w:pPr>
            <w:r w:rsidRPr="001B77D9">
              <w:rPr>
                <w:rFonts w:eastAsia="Arial"/>
                <w:sz w:val="20"/>
                <w:szCs w:val="20"/>
              </w:rPr>
              <w:t>63</w:t>
            </w:r>
          </w:p>
        </w:tc>
      </w:tr>
      <w:tr w:rsidR="003D1B66" w14:paraId="0B739D3C" w14:textId="77777777" w:rsidTr="000B46B5">
        <w:trPr>
          <w:jc w:val="center"/>
        </w:trPr>
        <w:tc>
          <w:tcPr>
            <w:tcW w:w="4464" w:type="dxa"/>
            <w:shd w:val="clear" w:color="auto" w:fill="F2F2F2" w:themeFill="background1" w:themeFillShade="F2"/>
          </w:tcPr>
          <w:p w14:paraId="70C7D3FD" w14:textId="77777777" w:rsidR="003D1B66" w:rsidRPr="001B77D9" w:rsidRDefault="003D1B66" w:rsidP="000B46B5">
            <w:pPr>
              <w:bidi/>
              <w:jc w:val="both"/>
              <w:rPr>
                <w:sz w:val="20"/>
                <w:szCs w:val="20"/>
              </w:rPr>
            </w:pPr>
            <w:r w:rsidRPr="001B77D9">
              <w:rPr>
                <w:rFonts w:eastAsia="Arial"/>
                <w:sz w:val="20"/>
                <w:szCs w:val="20"/>
              </w:rPr>
              <w:t>شكل 4): ترتيب تحديات تطبيق الحوكمة</w:t>
            </w:r>
            <w:r w:rsidRPr="001B77D9">
              <w:rPr>
                <w:rFonts w:eastAsia="Arial" w:hint="cs"/>
                <w:sz w:val="20"/>
                <w:szCs w:val="20"/>
                <w:rtl/>
              </w:rPr>
              <w:t>)</w:t>
            </w:r>
          </w:p>
        </w:tc>
        <w:tc>
          <w:tcPr>
            <w:tcW w:w="4463" w:type="dxa"/>
            <w:shd w:val="clear" w:color="auto" w:fill="F2F2F2" w:themeFill="background1" w:themeFillShade="F2"/>
          </w:tcPr>
          <w:p w14:paraId="3D1C8DAB" w14:textId="77777777" w:rsidR="003D1B66" w:rsidRPr="001B77D9" w:rsidRDefault="003D1B66" w:rsidP="000B46B5">
            <w:pPr>
              <w:bidi/>
              <w:jc w:val="both"/>
              <w:rPr>
                <w:sz w:val="20"/>
                <w:szCs w:val="20"/>
              </w:rPr>
            </w:pPr>
            <w:r w:rsidRPr="001B77D9">
              <w:rPr>
                <w:rFonts w:eastAsia="Arial"/>
                <w:sz w:val="20"/>
                <w:szCs w:val="20"/>
              </w:rPr>
              <w:t>72</w:t>
            </w:r>
          </w:p>
        </w:tc>
      </w:tr>
    </w:tbl>
    <w:p w14:paraId="6D63BE8B" w14:textId="77777777" w:rsidR="003D1B66" w:rsidRDefault="003D1B66" w:rsidP="003D1B66">
      <w:pPr>
        <w:bidi/>
        <w:jc w:val="both"/>
      </w:pPr>
      <w:r>
        <w:br w:type="page"/>
      </w:r>
    </w:p>
    <w:p w14:paraId="2691B9BB" w14:textId="77777777" w:rsidR="003D1B66" w:rsidRPr="001B77D9" w:rsidRDefault="003D1B66" w:rsidP="003D1B66">
      <w:pPr>
        <w:pStyle w:val="1"/>
        <w:bidi/>
        <w:spacing w:before="0"/>
        <w:jc w:val="center"/>
        <w:rPr>
          <w:rFonts w:ascii="Arial" w:eastAsia="Arial" w:hAnsi="Arial" w:cs="Arial"/>
          <w:sz w:val="56"/>
          <w:szCs w:val="52"/>
          <w:rtl/>
        </w:rPr>
      </w:pPr>
      <w:r w:rsidRPr="001B77D9">
        <w:rPr>
          <w:rFonts w:ascii="Arial" w:eastAsia="Arial" w:hAnsi="Arial" w:cs="Arial"/>
          <w:sz w:val="56"/>
          <w:szCs w:val="52"/>
          <w:rtl/>
        </w:rPr>
        <w:lastRenderedPageBreak/>
        <w:t>المس</w:t>
      </w:r>
      <w:r w:rsidRPr="001B77D9">
        <w:rPr>
          <w:rFonts w:ascii="Arial" w:eastAsia="Arial" w:hAnsi="Arial" w:cs="Arial" w:hint="cs"/>
          <w:sz w:val="56"/>
          <w:szCs w:val="52"/>
          <w:rtl/>
        </w:rPr>
        <w:t>تخلص</w:t>
      </w:r>
    </w:p>
    <w:p w14:paraId="3F8F0FAE" w14:textId="77777777" w:rsidR="003D1B66" w:rsidRDefault="003D1B66" w:rsidP="003D1B66">
      <w:pPr>
        <w:pStyle w:val="1"/>
        <w:bidi/>
        <w:spacing w:before="0"/>
        <w:jc w:val="center"/>
        <w:rPr>
          <w:rFonts w:ascii="Arial" w:eastAsia="Arial" w:hAnsi="Arial" w:cs="Arial"/>
          <w:rtl/>
        </w:rPr>
      </w:pPr>
    </w:p>
    <w:p w14:paraId="6E594A65" w14:textId="77777777" w:rsidR="003D1B66" w:rsidRDefault="003D1B66" w:rsidP="003D1B66">
      <w:pPr>
        <w:pStyle w:val="1"/>
        <w:bidi/>
        <w:spacing w:before="0"/>
        <w:jc w:val="center"/>
        <w:rPr>
          <w:rFonts w:ascii="Arial" w:eastAsia="Arial" w:hAnsi="Arial" w:cs="Arial"/>
          <w:rtl/>
        </w:rPr>
      </w:pPr>
    </w:p>
    <w:p w14:paraId="7287E9C4" w14:textId="77777777" w:rsidR="003D1B66" w:rsidRDefault="003D1B66" w:rsidP="003D1B66">
      <w:pPr>
        <w:pStyle w:val="1"/>
        <w:bidi/>
        <w:spacing w:before="0"/>
        <w:jc w:val="center"/>
        <w:rPr>
          <w:rFonts w:ascii="Arial" w:eastAsia="Arial" w:hAnsi="Arial" w:cs="Arial"/>
          <w:rtl/>
        </w:rPr>
      </w:pPr>
    </w:p>
    <w:p w14:paraId="632005C1" w14:textId="77777777" w:rsidR="003D1B66" w:rsidRDefault="003D1B66" w:rsidP="003D1B66">
      <w:pPr>
        <w:bidi/>
        <w:spacing w:after="120" w:line="360" w:lineRule="auto"/>
        <w:ind w:firstLine="397"/>
        <w:jc w:val="center"/>
        <w:rPr>
          <w:rFonts w:eastAsia="Arial"/>
          <w:sz w:val="22"/>
          <w:rtl/>
        </w:rPr>
      </w:pPr>
      <w:r>
        <w:rPr>
          <w:rFonts w:eastAsia="Arial"/>
          <w:sz w:val="22"/>
        </w:rPr>
        <w:t>هدفت الدراسة إلى تحليل دور الحوكمة الصحية في تعزيز الشفافية والكفاءة في إدارة المؤسسات الصحية في المملكة العربية السعودية. واعتمدت المنهج الوصفي التحليلي والتصميم المقطعي، واستخدمت استبانة إلكترونية وُجهت إلى فئات مهنية وإدارية متنوعة داخل المؤسسات الصحية، شملت القيادات التنفيذية والإشرافية، ومديري الإدارات ورؤساء الأقسام، والعاملين في الجودة والمخاطر والامتثال، والكوادر السريرية والمساندة مثل الأطباء والممرضين والصيادلة والفنيين والممارسين الصحيين والإداريين ممن تتيح لهم طبيعة أعمالهم معرفة بالإجراءات والقرارات والرقابة وتدفق المعلومات. بلغ عدد الاستجابات المستلمة 397 استجابة، وبعد حذف أربع استجابات مكررة وتنظيف بنية البيانات، اعتمد التحليل على 393 استجابة صالحة. استخدمت التكرارات والنسب المئوية، والمتوسطات والانحرافات المعيارية، ومعامل ألفا كرونباخ، ومعاملات الارتباط والانحدار الاستكشافي. أظهرت النتائج ارتفاع متوسط الحوكمة الصحية (3.84 من 5)، والشفافية المؤسسية (3.91)، والكفاءة الإدارية (3.89)، مع ارتفاع تحديات التطبيق (3.91). وتصدرت تحديات تداخل الصلاحيات، وضعف تكامل البيانات، وعدم اتساق تطبيق السياسات. كما ظهرت علاقات موجبة بين الحوكمة والشفافية والكفاءة، إلا أن انخفاض الاتساق الداخلي لبعض المحاور يقتضي تفسير النتائج الاستدلالية بحذر بوصفها نتائج استكشافية. وخلصت الدراسة إلى ضرورة تحديث مصفوفات الصلاحيات، وتوحيد السياسات، وتعزيز حوكمة البيانات، وتطوير آليات المساءلة والمتابعة، وبناء قدرات الكوادر في الحوكمة والمخاطر والامتثال</w:t>
      </w:r>
      <w:r>
        <w:rPr>
          <w:rFonts w:eastAsia="Arial" w:hint="cs"/>
          <w:sz w:val="22"/>
          <w:rtl/>
        </w:rPr>
        <w:t>.</w:t>
      </w:r>
    </w:p>
    <w:p w14:paraId="5E899933" w14:textId="77777777" w:rsidR="003D1B66" w:rsidRDefault="003D1B66" w:rsidP="003D1B66">
      <w:pPr>
        <w:bidi/>
        <w:spacing w:after="120" w:line="360" w:lineRule="auto"/>
        <w:ind w:firstLine="397"/>
        <w:jc w:val="center"/>
        <w:rPr>
          <w:rFonts w:eastAsia="Arial"/>
          <w:sz w:val="22"/>
          <w:rtl/>
        </w:rPr>
      </w:pPr>
    </w:p>
    <w:p w14:paraId="5FC71C6E" w14:textId="77777777" w:rsidR="003D1B66" w:rsidRDefault="003D1B66" w:rsidP="003D1B66">
      <w:pPr>
        <w:bidi/>
        <w:spacing w:after="120" w:line="360" w:lineRule="auto"/>
        <w:ind w:firstLine="397"/>
        <w:jc w:val="center"/>
        <w:rPr>
          <w:rFonts w:eastAsia="Arial"/>
          <w:sz w:val="22"/>
          <w:rtl/>
        </w:rPr>
      </w:pPr>
    </w:p>
    <w:p w14:paraId="749A9F2B" w14:textId="77777777" w:rsidR="003D1B66" w:rsidRDefault="003D1B66" w:rsidP="003D1B66">
      <w:pPr>
        <w:bidi/>
        <w:spacing w:after="120" w:line="360" w:lineRule="auto"/>
        <w:ind w:firstLine="397"/>
        <w:jc w:val="center"/>
        <w:rPr>
          <w:rFonts w:eastAsia="Arial"/>
          <w:sz w:val="22"/>
          <w:rtl/>
        </w:rPr>
      </w:pPr>
    </w:p>
    <w:p w14:paraId="6AD93472" w14:textId="77777777" w:rsidR="003D1B66" w:rsidRPr="001A2D8C" w:rsidRDefault="003D1B66" w:rsidP="003D1B66">
      <w:pPr>
        <w:bidi/>
        <w:spacing w:after="120" w:line="360" w:lineRule="auto"/>
        <w:ind w:firstLine="397"/>
        <w:rPr>
          <w:rFonts w:eastAsia="Arial"/>
          <w:sz w:val="22"/>
        </w:rPr>
      </w:pPr>
      <w:r w:rsidRPr="00365D93">
        <w:rPr>
          <w:rFonts w:eastAsia="Arial"/>
          <w:sz w:val="22"/>
          <w:rtl/>
        </w:rPr>
        <w:t>كلمات مفتاحية: حوكمة الصحة، الشفافية، الكفاءة الإدارية، المؤسسات الصحية، المملكة العربية السعودية.</w:t>
      </w:r>
      <w:r>
        <w:rPr>
          <w:rFonts w:eastAsia="Arial"/>
          <w:sz w:val="22"/>
        </w:rPr>
        <w:br/>
      </w:r>
      <w:r>
        <w:rPr>
          <w:rFonts w:eastAsia="Arial"/>
          <w:sz w:val="22"/>
        </w:rPr>
        <w:br/>
      </w:r>
    </w:p>
    <w:p w14:paraId="29BDF51F" w14:textId="77777777" w:rsidR="003D1B66" w:rsidRDefault="003D1B66" w:rsidP="003D1B66">
      <w:pPr>
        <w:bidi/>
        <w:jc w:val="both"/>
      </w:pPr>
      <w:r>
        <w:br w:type="page"/>
      </w:r>
    </w:p>
    <w:p w14:paraId="77717BE7" w14:textId="77777777" w:rsidR="003D1B66" w:rsidRDefault="003D1B66" w:rsidP="003D1B66">
      <w:pPr>
        <w:pStyle w:val="1"/>
        <w:bidi/>
        <w:spacing w:before="0"/>
        <w:jc w:val="right"/>
      </w:pPr>
      <w:r>
        <w:rPr>
          <w:rFonts w:ascii="Arial" w:eastAsia="Arial" w:hAnsi="Arial" w:cs="Arial"/>
        </w:rPr>
        <w:lastRenderedPageBreak/>
        <w:t>Abstract</w:t>
      </w:r>
    </w:p>
    <w:p w14:paraId="57AB3E5C" w14:textId="77777777" w:rsidR="003D1B66" w:rsidRDefault="003D1B66" w:rsidP="003D1B66">
      <w:pPr>
        <w:bidi/>
        <w:spacing w:line="360" w:lineRule="auto"/>
        <w:jc w:val="right"/>
        <w:sectPr w:rsidR="003D1B66">
          <w:footerReference w:type="even" r:id="rId6"/>
          <w:footerReference w:type="default" r:id="rId7"/>
          <w:footerReference w:type="first" r:id="rId8"/>
          <w:pgSz w:w="11906" w:h="16838"/>
          <w:pgMar w:top="1417" w:right="1276" w:bottom="1417" w:left="1701" w:header="0" w:footer="709" w:gutter="0"/>
          <w:pgBorders w:offsetFrom="page">
            <w:top w:val="thinThickSmallGap" w:sz="18" w:space="20" w:color="000000"/>
            <w:left w:val="thinThickSmallGap" w:sz="18" w:space="20" w:color="000000"/>
            <w:bottom w:val="thickThinSmallGap" w:sz="18" w:space="20" w:color="000000"/>
            <w:right w:val="thickThinSmallGap" w:sz="18" w:space="20" w:color="000000"/>
          </w:pgBorders>
          <w:pgNumType w:fmt="lowerRoman" w:start="1"/>
          <w:cols w:space="720"/>
          <w:formProt w:val="0"/>
          <w:bidi/>
          <w:rtlGutter/>
          <w:docGrid w:linePitch="360"/>
        </w:sectPr>
      </w:pPr>
      <w:r>
        <w:rPr>
          <w:rFonts w:eastAsia="Arial"/>
          <w:sz w:val="21"/>
        </w:rPr>
        <w:t>This study examined the role of health governance in enhancing transparency and administrative efficiency in healthcare institutions in the Kingdom of Saudi Arabia. A descriptive-analytical, cross-sectional design was adopted. An electronic questionnaire was distributed to diverse managerial, supervisory, clinical, and support groups, including executives, department heads, quality, risk and compliance personnel, physicians, nurses, pharmacists, technicians, allied health professionals, and administrative staff whose roles provided sufficient knowledge of institutional procedures, decision-making, accountability, and information flows. A total of 397 responses were received; after removing four exact duplicates and cleaning the dataset, 393 valid responses were analyzed. Frequencies, percentages, means, standard deviations, Cronbach’s alpha, correlations, and exploratory regression models were used. The findings indicated high perceived levels of health governance (M=3.84), institutional transparency (M=3.91), and administrative efficiency (M=3.89), alongside high implementation challenges (M=3.91). Overlapping authorities, weak data integration, and inconsistent policy implementation were the most prominent challenges. Positive associations were observed between governance, transparency, and efficiency; however, the low internal consistency of some scales requires cautious interpretation of inferential results as exploratory. The study recommends updating authority matrices, standardizing policies, strengthening data governance, improving accountability and follow-up mechanisms, and building governance, risk, and compliance capabilities.</w:t>
      </w:r>
      <w:r>
        <w:rPr>
          <w:rFonts w:eastAsia="Arial"/>
          <w:sz w:val="21"/>
        </w:rPr>
        <w:br/>
      </w:r>
      <w:r>
        <w:rPr>
          <w:rFonts w:eastAsia="Arial"/>
          <w:sz w:val="21"/>
        </w:rPr>
        <w:br/>
        <w:t>Keywords: Health governance, transparency, administrative efficiency, healthcare institutions, Saudi Arabia.</w:t>
      </w:r>
    </w:p>
    <w:p w14:paraId="5F84298F" w14:textId="77777777" w:rsidR="003D1B66" w:rsidRDefault="003D1B66" w:rsidP="003D1B66">
      <w:pPr>
        <w:bidi/>
        <w:jc w:val="both"/>
      </w:pPr>
    </w:p>
    <w:p w14:paraId="6C3B407E" w14:textId="77777777" w:rsidR="003D1B66" w:rsidRDefault="003D1B66" w:rsidP="003D1B66">
      <w:pPr>
        <w:bidi/>
        <w:jc w:val="both"/>
      </w:pPr>
    </w:p>
    <w:p w14:paraId="3826110B" w14:textId="77777777" w:rsidR="003D1B66" w:rsidRDefault="003D1B66" w:rsidP="003D1B66">
      <w:pPr>
        <w:bidi/>
        <w:jc w:val="both"/>
      </w:pPr>
    </w:p>
    <w:p w14:paraId="2768A2CC" w14:textId="77777777" w:rsidR="003D1B66" w:rsidRDefault="003D1B66" w:rsidP="003D1B66">
      <w:pPr>
        <w:bidi/>
        <w:jc w:val="both"/>
      </w:pPr>
    </w:p>
    <w:p w14:paraId="743A30BE" w14:textId="77777777" w:rsidR="003D1B66" w:rsidRDefault="003D1B66" w:rsidP="003D1B66">
      <w:pPr>
        <w:bidi/>
        <w:jc w:val="both"/>
      </w:pPr>
    </w:p>
    <w:p w14:paraId="776CD18C" w14:textId="77777777" w:rsidR="003D1B66" w:rsidRDefault="003D1B66" w:rsidP="003D1B66">
      <w:pPr>
        <w:bidi/>
        <w:jc w:val="both"/>
      </w:pPr>
    </w:p>
    <w:p w14:paraId="24AFD0B0" w14:textId="77777777" w:rsidR="003D1B66" w:rsidRDefault="003D1B66" w:rsidP="003D1B66">
      <w:pPr>
        <w:bidi/>
        <w:jc w:val="both"/>
      </w:pPr>
    </w:p>
    <w:p w14:paraId="07E5A7EA" w14:textId="77777777" w:rsidR="003D1B66" w:rsidRPr="001B77D9" w:rsidRDefault="003D1B66" w:rsidP="003D1B66">
      <w:pPr>
        <w:bidi/>
        <w:spacing w:after="360"/>
        <w:jc w:val="center"/>
        <w:rPr>
          <w:bCs/>
          <w:sz w:val="40"/>
          <w:szCs w:val="32"/>
        </w:rPr>
      </w:pPr>
      <w:r w:rsidRPr="001B77D9">
        <w:rPr>
          <w:rFonts w:eastAsia="Arial"/>
          <w:bCs/>
          <w:sz w:val="56"/>
          <w:szCs w:val="32"/>
          <w:rtl/>
        </w:rPr>
        <w:t>الفصل الأول</w:t>
      </w:r>
    </w:p>
    <w:p w14:paraId="1067636C" w14:textId="77777777" w:rsidR="003D1B66" w:rsidRPr="001B77D9" w:rsidRDefault="003D1B66" w:rsidP="003D1B66">
      <w:pPr>
        <w:bidi/>
        <w:spacing w:after="240"/>
        <w:jc w:val="center"/>
        <w:rPr>
          <w:bCs/>
          <w:sz w:val="40"/>
          <w:szCs w:val="32"/>
        </w:rPr>
      </w:pPr>
      <w:r w:rsidRPr="001B77D9">
        <w:rPr>
          <w:rFonts w:eastAsia="Arial"/>
          <w:bCs/>
          <w:sz w:val="48"/>
          <w:szCs w:val="32"/>
          <w:rtl/>
        </w:rPr>
        <w:t>الإطار العام للدراسة</w:t>
      </w:r>
    </w:p>
    <w:p w14:paraId="695DEE8A" w14:textId="77777777" w:rsidR="003D1B66" w:rsidRDefault="003D1B66" w:rsidP="003D1B66">
      <w:pPr>
        <w:bidi/>
        <w:jc w:val="both"/>
      </w:pPr>
    </w:p>
    <w:p w14:paraId="539508D6" w14:textId="77777777" w:rsidR="003D1B66" w:rsidRDefault="003D1B66" w:rsidP="003D1B66">
      <w:pPr>
        <w:bidi/>
        <w:jc w:val="both"/>
      </w:pPr>
    </w:p>
    <w:p w14:paraId="1780D861" w14:textId="77777777" w:rsidR="003D1B66" w:rsidRDefault="003D1B66" w:rsidP="003D1B66">
      <w:pPr>
        <w:bidi/>
        <w:jc w:val="both"/>
      </w:pPr>
      <w:r>
        <w:br w:type="page"/>
      </w:r>
    </w:p>
    <w:p w14:paraId="44F9C486" w14:textId="77777777" w:rsidR="003D1B66" w:rsidRDefault="003D1B66" w:rsidP="003D1B66">
      <w:pPr>
        <w:pStyle w:val="1"/>
        <w:bidi/>
        <w:spacing w:before="0"/>
        <w:jc w:val="both"/>
      </w:pPr>
      <w:r>
        <w:rPr>
          <w:rFonts w:ascii="Arial" w:eastAsia="Arial" w:hAnsi="Arial" w:cs="Arial"/>
        </w:rPr>
        <w:lastRenderedPageBreak/>
        <w:t>1-1</w:t>
      </w:r>
      <w:r>
        <w:rPr>
          <w:rFonts w:ascii="Arial" w:eastAsia="Arial" w:hAnsi="Arial" w:cs="Arial"/>
          <w:rtl/>
        </w:rPr>
        <w:t xml:space="preserve"> مقدمة الدراسة</w:t>
      </w:r>
    </w:p>
    <w:p w14:paraId="3CF526DD" w14:textId="77777777" w:rsidR="003D1B66" w:rsidRDefault="003D1B66" w:rsidP="003D1B66">
      <w:pPr>
        <w:bidi/>
        <w:spacing w:after="120" w:line="360" w:lineRule="auto"/>
        <w:ind w:firstLine="397"/>
        <w:jc w:val="both"/>
      </w:pPr>
      <w:r>
        <w:rPr>
          <w:rFonts w:eastAsia="Arial"/>
          <w:rtl/>
        </w:rPr>
        <w:t>تُعد الحوكمة من المفاهيم الإدارية والمؤسسية التي اكتسبت أهمية متزايدة خلال العقود الأخيرة، نظراً لارتباطها بتنظيم السلطة والمسؤولية، وترشيد عملية صنع القرار، وضمان المساءلة، وحماية مصالح أصحاب المصلحة. وتزداد أهمية الحوكمة في القطاع الصحي بسبب الطبيعة المعقدة للمؤسسات الصحية، وتعدد الأطراف المشاركة في تمويل الخدمات وتنظيمها وتقديمها والاستفادة منها، إضافة إلى حساسية القرارات الصحية وتأثيرها المباشر في حياة الأفراد وسلامتهم وجودة حياتهم.</w:t>
      </w:r>
    </w:p>
    <w:p w14:paraId="23E0D27D" w14:textId="77777777" w:rsidR="003D1B66" w:rsidRDefault="003D1B66" w:rsidP="003D1B66">
      <w:pPr>
        <w:bidi/>
        <w:spacing w:after="120" w:line="360" w:lineRule="auto"/>
        <w:ind w:firstLine="397"/>
        <w:jc w:val="both"/>
      </w:pPr>
      <w:r>
        <w:rPr>
          <w:rFonts w:eastAsia="Arial"/>
          <w:rtl/>
        </w:rPr>
        <w:t>ولا تقتصر الحوكمة الصحية على وجود لوائح أو هياكل تنظيمية مكتوبة، بل تشمل الطريقة التي تُوزع بها الأدوار والصلاحيات، وكيفية اتخاذ القرارات ومتابعة تنفيذها، ومدى إتاحة المعلومات، وآليات الرقابة والمساءلة، ومشاركة أصحاب المصلحة، والالتزام بالقيم المهنية والتنظيمية. وتوضح منظمة الصحة العالمية أن حوكمة النظم الصحية تتعلق بالعمليات والهياكل والمؤسسات المستخدمة للإشراف على النظام الصحي وإدارته، وبالعلاقات بين الجهات الحكومية ومقدمي الرعاية والمرضى والمجتمعات والقطاع الخاص، بما يضمن وجود أطر سياسات استراتيجية ورقابة فعالة وتنظيم مناسب وآليات واضحة للمساءلة (</w:t>
      </w:r>
      <w:r>
        <w:rPr>
          <w:rFonts w:eastAsia="Arial"/>
        </w:rPr>
        <w:t>World Health Organization [WHO], n.d</w:t>
      </w:r>
      <w:r>
        <w:rPr>
          <w:rFonts w:eastAsia="Arial"/>
          <w:rtl/>
        </w:rPr>
        <w:t>.).</w:t>
      </w:r>
    </w:p>
    <w:p w14:paraId="02F7D5F6" w14:textId="77777777" w:rsidR="003D1B66" w:rsidRDefault="003D1B66" w:rsidP="003D1B66">
      <w:pPr>
        <w:bidi/>
        <w:spacing w:after="120" w:line="360" w:lineRule="auto"/>
        <w:ind w:firstLine="397"/>
        <w:jc w:val="both"/>
      </w:pPr>
      <w:r>
        <w:rPr>
          <w:rFonts w:eastAsia="Arial"/>
          <w:rtl/>
        </w:rPr>
        <w:t xml:space="preserve">وفي السياق السعودي، يرتبط موضوع الحوكمة الصحية بعملية التحول الشاملة التي يشهدها القطاع الصحي ضمن رؤية المملكة </w:t>
      </w:r>
      <w:r>
        <w:rPr>
          <w:rFonts w:eastAsia="Arial"/>
        </w:rPr>
        <w:t>2030</w:t>
      </w:r>
      <w:r>
        <w:rPr>
          <w:rFonts w:eastAsia="Arial"/>
          <w:rtl/>
        </w:rPr>
        <w:t xml:space="preserve"> وبرنامج تحول القطاع الصحي، حيث تستهدف الإصلاحات بناء نظام صحي أكثر تكاملاً وفاعلية، وتحسين الوصول إلى الخدمات وجودتها وكفاءتها واستدامتها. وتشير وزارة الصحة إلى أن إصلاح حوكمة القطاع يشمل مراجعة ترتيبات الحوكمة الحالية، وإعادة تحديد الأدوار التنظيمية والرقابية، ودعم الانتقال نحو نموذج أكثر وضوحاً في السياسات والتنظيم والمتابعة (وزارة الصحة، </w:t>
      </w:r>
      <w:r>
        <w:rPr>
          <w:rFonts w:eastAsia="Arial"/>
        </w:rPr>
        <w:t>2026</w:t>
      </w:r>
      <w:r>
        <w:rPr>
          <w:rFonts w:eastAsia="Arial"/>
          <w:rtl/>
        </w:rPr>
        <w:t>أ).</w:t>
      </w:r>
    </w:p>
    <w:p w14:paraId="78D7FBF5" w14:textId="77777777" w:rsidR="003D1B66" w:rsidRDefault="003D1B66" w:rsidP="003D1B66">
      <w:pPr>
        <w:bidi/>
        <w:spacing w:after="120" w:line="360" w:lineRule="auto"/>
        <w:ind w:firstLine="397"/>
        <w:jc w:val="both"/>
      </w:pPr>
      <w:r>
        <w:rPr>
          <w:rFonts w:eastAsia="Arial"/>
          <w:rtl/>
        </w:rPr>
        <w:t>ومن ثم، فإن بحث دور الحوكمة الصحية في تعزيز الشفافية والكفاءة الإدارية يمثل موضوعاً ذا أهمية علمية وتطبيقية، لأنه يجمع بين جودة البناء المؤسسي من جهة، ووضوح القرارات والمعلومات من جهة ثانية، وحسن استخدام الموارد وتحقيق النتائج من جهة ثالثة. ويسعى هذا الفصل إلى تحديد الإطار العام للدراسة، وصياغة مشكلتها وأسئلتها وفرضياتها وأهدافها وأهميتها، وتحديد متغيراتها وحدودها ومصطلحاتها والمنهجية الأولية المقترحة لتنفيذها.</w:t>
      </w:r>
    </w:p>
    <w:p w14:paraId="10E9CBB0" w14:textId="77777777" w:rsidR="003D1B66" w:rsidRDefault="003D1B66" w:rsidP="003D1B66">
      <w:pPr>
        <w:pStyle w:val="21"/>
        <w:bidi/>
        <w:jc w:val="both"/>
      </w:pPr>
      <w:r>
        <w:rPr>
          <w:rFonts w:ascii="Arial" w:eastAsia="Arial" w:hAnsi="Arial" w:cs="Arial"/>
        </w:rPr>
        <w:t>1-1-1</w:t>
      </w:r>
      <w:r>
        <w:rPr>
          <w:rFonts w:ascii="Arial" w:eastAsia="Arial" w:hAnsi="Arial" w:cs="Arial"/>
          <w:rtl/>
        </w:rPr>
        <w:t xml:space="preserve"> الحوكمة الصحية بوصفها مدخلاً لإدارة النظم والمؤسسات الصحية</w:t>
      </w:r>
    </w:p>
    <w:p w14:paraId="7437D5B5" w14:textId="77777777" w:rsidR="003D1B66" w:rsidRDefault="003D1B66" w:rsidP="003D1B66">
      <w:pPr>
        <w:bidi/>
        <w:spacing w:after="120" w:line="360" w:lineRule="auto"/>
        <w:ind w:firstLine="397"/>
        <w:jc w:val="both"/>
      </w:pPr>
      <w:r>
        <w:rPr>
          <w:rFonts w:eastAsia="Arial"/>
          <w:rtl/>
        </w:rPr>
        <w:t>تتسم النظم الصحية بتعدد مستويات القرار وتداخل المسؤوليات بين الجهات المنظمة والممولة والمقدمة للخدمة، كما تتداخل فيها الاعتبارات المهنية والاقتصادية والاجتماعية والأخلاقية. ولهذا لا يمكن تقييم نجاح المؤسسة الصحية من خلال حجم الخدمات المقدمة فقط، بل يجب النظر أيضاً إلى جودة القرارات، وعدالة توزيع الموارد، ووضوح المسؤوليات، ودرجة الالتزام بالأنظمة، وقدرة الإدارة على مراقبة الأداء والاستجابة للمخاطر.</w:t>
      </w:r>
    </w:p>
    <w:p w14:paraId="1D0E787E" w14:textId="77777777" w:rsidR="003D1B66" w:rsidRDefault="003D1B66" w:rsidP="003D1B66">
      <w:pPr>
        <w:bidi/>
        <w:spacing w:after="120" w:line="360" w:lineRule="auto"/>
        <w:ind w:firstLine="397"/>
        <w:jc w:val="both"/>
      </w:pPr>
      <w:r>
        <w:rPr>
          <w:rFonts w:eastAsia="Arial"/>
          <w:rtl/>
        </w:rPr>
        <w:t>وتربط منظمة الصحة العالمية بين الحوكمة الفعالة وقدرة النظام الصحي على تقديم خدمات متاحة وعادلة وفعالة وميسورة وعالية الجودة، مؤكدة أن ذلك يتطلب تخصيصاً كفؤاً ومنصفاً للموارد، وسياسات ولوائح توجه تقديم الخدمة، وآليات لمراقبة أداء النظام وتقييمه ومراجعته (</w:t>
      </w:r>
      <w:r>
        <w:rPr>
          <w:rFonts w:eastAsia="Arial"/>
        </w:rPr>
        <w:t>WHO, n.d</w:t>
      </w:r>
      <w:r>
        <w:rPr>
          <w:rFonts w:eastAsia="Arial"/>
          <w:rtl/>
        </w:rPr>
        <w:t>.). كما تؤكد خطة منظمة الصحة العالمية للحوكمة من أجل التغطية الصحية الشاملة أن القيادة والحوكمة عنصران محوريان في تقوية النظم الصحية وتحقيق خدمات جيدة دون تعريض المستفيدين لمشقة مالية (</w:t>
      </w:r>
      <w:r>
        <w:rPr>
          <w:rFonts w:eastAsia="Arial"/>
        </w:rPr>
        <w:t>WHO, 2014</w:t>
      </w:r>
      <w:r>
        <w:rPr>
          <w:rFonts w:eastAsia="Arial"/>
          <w:rtl/>
        </w:rPr>
        <w:t>).</w:t>
      </w:r>
    </w:p>
    <w:p w14:paraId="4F313770" w14:textId="77777777" w:rsidR="003D1B66" w:rsidRDefault="003D1B66" w:rsidP="003D1B66">
      <w:pPr>
        <w:bidi/>
        <w:spacing w:after="120" w:line="360" w:lineRule="auto"/>
        <w:ind w:firstLine="397"/>
        <w:jc w:val="both"/>
      </w:pPr>
      <w:r>
        <w:rPr>
          <w:rFonts w:eastAsia="Arial"/>
          <w:rtl/>
        </w:rPr>
        <w:t xml:space="preserve">وقد قدم إطار </w:t>
      </w:r>
      <w:r>
        <w:rPr>
          <w:rFonts w:eastAsia="Arial"/>
        </w:rPr>
        <w:t>TAPIC</w:t>
      </w:r>
      <w:r>
        <w:rPr>
          <w:rFonts w:eastAsia="Arial"/>
          <w:rtl/>
        </w:rPr>
        <w:t xml:space="preserve"> تصوراً تحليلياً للحوكمة الصحية من خلال خمسة مجالات هي: الشفافية، والمساءلة، والمشاركة، والنزاهة، والقدرة المؤسسية. ويبين الإطار أن الحوكمة تؤثر في احتمال تبني سياسات قابلة للتنفيذ، وفي جودة تنفيذها، وفي قدرتها على تحقيق النتائج </w:t>
      </w:r>
      <w:r>
        <w:rPr>
          <w:rFonts w:eastAsia="Arial"/>
          <w:rtl/>
        </w:rPr>
        <w:lastRenderedPageBreak/>
        <w:t xml:space="preserve">المستهدفة، مع التأكيد على ضرورة مراعاة السياق المؤسسي عند تشخيص مشكلات الحوكمة واختيار أدوات الإصلاح المناسبة (غرير وآخرون، </w:t>
      </w:r>
      <w:r>
        <w:rPr>
          <w:rFonts w:eastAsia="Arial"/>
        </w:rPr>
        <w:t>2019</w:t>
      </w:r>
      <w:r>
        <w:rPr>
          <w:rFonts w:eastAsia="Arial"/>
          <w:rtl/>
        </w:rPr>
        <w:t>).</w:t>
      </w:r>
    </w:p>
    <w:p w14:paraId="2E28B056" w14:textId="77777777" w:rsidR="003D1B66" w:rsidRDefault="003D1B66" w:rsidP="003D1B66">
      <w:pPr>
        <w:bidi/>
        <w:spacing w:after="120" w:line="360" w:lineRule="auto"/>
        <w:ind w:firstLine="397"/>
        <w:jc w:val="both"/>
      </w:pPr>
      <w:r>
        <w:rPr>
          <w:rFonts w:eastAsia="Arial"/>
          <w:rtl/>
        </w:rPr>
        <w:t>وبناءً على ذلك، يمكن النظر إلى الحوكمة الصحية في المؤسسات الصحية باعتبارها منظومة مترابطة من الأدوار والقواعد والعمليات التي تضبط العمل الإداري والمهني. وتتجسد هذه المنظومة في وضوح الصلاحيات، واستقلالية الرقابة، ووجود قنوات للإفصاح، ومشاركة العاملين وأصحاب المصلحة، وتطبيق معايير النزاهة، وربط القرارات بالبيانات والأدلة، ومتابعة مؤشرات الأداء، وإدارة المخاطر والتعارضات المحتملة.</w:t>
      </w:r>
    </w:p>
    <w:p w14:paraId="6A019540" w14:textId="77777777" w:rsidR="003D1B66" w:rsidRDefault="003D1B66" w:rsidP="003D1B66">
      <w:pPr>
        <w:pStyle w:val="21"/>
        <w:bidi/>
        <w:jc w:val="both"/>
      </w:pPr>
      <w:r>
        <w:rPr>
          <w:rFonts w:ascii="Arial" w:eastAsia="Arial" w:hAnsi="Arial" w:cs="Arial"/>
        </w:rPr>
        <w:t>1-1-2</w:t>
      </w:r>
      <w:r>
        <w:rPr>
          <w:rFonts w:ascii="Arial" w:eastAsia="Arial" w:hAnsi="Arial" w:cs="Arial"/>
          <w:rtl/>
        </w:rPr>
        <w:t xml:space="preserve"> الشفافية في إدارة المؤسسات الصحية</w:t>
      </w:r>
    </w:p>
    <w:p w14:paraId="59C7B96D" w14:textId="77777777" w:rsidR="003D1B66" w:rsidRDefault="003D1B66" w:rsidP="003D1B66">
      <w:pPr>
        <w:bidi/>
        <w:spacing w:after="120" w:line="360" w:lineRule="auto"/>
        <w:ind w:firstLine="397"/>
        <w:jc w:val="both"/>
      </w:pPr>
      <w:r>
        <w:rPr>
          <w:rFonts w:eastAsia="Arial"/>
          <w:rtl/>
        </w:rPr>
        <w:t>تشير الشفافية المؤسسية إلى وضوح السياسات والإجراءات والمعايير والقرارات، وإتاحة المعلومات ذات الصلة للأطراف المعنية في الوقت المناسب وبالصورة التي تساعدهم على فهم أسس القرار ونتائجه. وفي المؤسسات الصحية، تشمل الشفافية وضوح معايير توزيع الموارد، وآليات التوظيف والترقية والتعاقد والشراء، وطرق تقييم الأداء، وإعلان الحقوق والمسؤوليات، والتعامل مع الشكاوى، والإفصاح عن مؤشرات الجودة والسلامة، مع المحافظة على خصوصية المرضى وسرية بياناتهم.</w:t>
      </w:r>
    </w:p>
    <w:p w14:paraId="5E216A21" w14:textId="77777777" w:rsidR="003D1B66" w:rsidRDefault="003D1B66" w:rsidP="003D1B66">
      <w:pPr>
        <w:bidi/>
        <w:spacing w:after="120" w:line="360" w:lineRule="auto"/>
        <w:ind w:firstLine="397"/>
        <w:jc w:val="both"/>
      </w:pPr>
      <w:r>
        <w:rPr>
          <w:rFonts w:eastAsia="Arial"/>
          <w:rtl/>
        </w:rPr>
        <w:t>ولا تعني الشفافية نشر جميع المعلومات دون ضوابط، بل تعني بناء توازن بين حق أصحاب المصلحة في المعرفة وبين المتطلبات النظامية المتعلقة بالخصوصية والأمن وحماية المعلومات الحساسة. كما أن الشفافية الفعالة لا تتحقق بمجرد نشر البيانات، وإنما تتطلب أن تكون المعلومات صحيحة وقابلة للفهم والمقارنة، وأن ترتبط بآليات تسمح بالاستفسار والتفسير والتظلم والمراجعة.</w:t>
      </w:r>
    </w:p>
    <w:p w14:paraId="42F16488" w14:textId="77777777" w:rsidR="003D1B66" w:rsidRDefault="003D1B66" w:rsidP="003D1B66">
      <w:pPr>
        <w:bidi/>
        <w:spacing w:after="120" w:line="360" w:lineRule="auto"/>
        <w:ind w:firstLine="397"/>
        <w:jc w:val="both"/>
      </w:pPr>
      <w:r>
        <w:rPr>
          <w:rFonts w:eastAsia="Arial"/>
          <w:rtl/>
        </w:rPr>
        <w:t xml:space="preserve">وتُعد الشفافية عنصراً أساسياً لبناء الثقة بين الإدارة والعاملين والمستفيدين، لأنها تقلل الغموض والشائعات، وتوضح منطق القرارات، وتحد من فرص التحيز وتعارض المصالح، وتساعد على اكتشاف الانحرافات في وقت مبكر. وقد جعلت مبادرة حوكمة القطاع الصحي في المملكة تعزيز مستوى الشفافية وآليات المساءلة في تقديم الرعاية الصحية من النتائج المستهدفة لتطوير نموذج الحوكمة (وزارة الصحة، </w:t>
      </w:r>
      <w:r>
        <w:rPr>
          <w:rFonts w:eastAsia="Arial"/>
        </w:rPr>
        <w:t>2026</w:t>
      </w:r>
      <w:r>
        <w:rPr>
          <w:rFonts w:eastAsia="Arial"/>
          <w:rtl/>
        </w:rPr>
        <w:t>ب).</w:t>
      </w:r>
    </w:p>
    <w:p w14:paraId="41AA8880" w14:textId="77777777" w:rsidR="003D1B66" w:rsidRDefault="003D1B66" w:rsidP="003D1B66">
      <w:pPr>
        <w:pStyle w:val="21"/>
        <w:bidi/>
        <w:jc w:val="both"/>
      </w:pPr>
      <w:r>
        <w:rPr>
          <w:rFonts w:ascii="Arial" w:eastAsia="Arial" w:hAnsi="Arial" w:cs="Arial"/>
        </w:rPr>
        <w:t>1-1-3</w:t>
      </w:r>
      <w:r>
        <w:rPr>
          <w:rFonts w:ascii="Arial" w:eastAsia="Arial" w:hAnsi="Arial" w:cs="Arial"/>
          <w:rtl/>
        </w:rPr>
        <w:t xml:space="preserve"> الكفاءة الإدارية في المؤسسات الصحية</w:t>
      </w:r>
    </w:p>
    <w:p w14:paraId="46438133" w14:textId="77777777" w:rsidR="003D1B66" w:rsidRDefault="003D1B66" w:rsidP="003D1B66">
      <w:pPr>
        <w:bidi/>
        <w:spacing w:after="120" w:line="360" w:lineRule="auto"/>
        <w:ind w:firstLine="397"/>
        <w:jc w:val="both"/>
      </w:pPr>
      <w:r>
        <w:rPr>
          <w:rFonts w:eastAsia="Arial"/>
          <w:rtl/>
        </w:rPr>
        <w:t>تُفهم الكفاءة الإدارية على أنها قدرة المؤسسة على استخدام مواردها البشرية والمالية والتقنية والمادية بصورة تحقق الأهداف بأفضل مستوى ممكن من الجودة والوقت والتكلفة، مع تقليل الهدر والازدواجية والتأخير والأخطاء. وفي القطاع الصحي، لا تُقاس الكفاءة بتخفيض التكلفة فقط، لأن القرارات التي تقلل الإنفاق على حساب السلامة أو الجودة لا تمثل كفاءة حقيقية، وإنما تتحقق الكفاءة عندما تستخدم الموارد بصورة رشيدة لإنتاج خدمات آمنة وعادلة وذات قيمة للمستفيد.</w:t>
      </w:r>
    </w:p>
    <w:p w14:paraId="26C04E2E" w14:textId="77777777" w:rsidR="003D1B66" w:rsidRDefault="003D1B66" w:rsidP="003D1B66">
      <w:pPr>
        <w:bidi/>
        <w:spacing w:after="120" w:line="360" w:lineRule="auto"/>
        <w:ind w:firstLine="397"/>
        <w:jc w:val="both"/>
      </w:pPr>
      <w:r>
        <w:rPr>
          <w:rFonts w:eastAsia="Arial"/>
          <w:rtl/>
        </w:rPr>
        <w:t>وتتأثر الكفاءة الإدارية بعدد من العوامل، منها وضوح الهيكل التنظيمي، وتحديد المسؤوليات، وجودة نظم المعلومات، وسرعة تدفق البيانات، وقدرة الإدارة على التخطيط والتنسيق، وفاعلية الرقابة الداخلية، وكفاءة المشتريات وسلاسل الإمداد، ومرونة الإجراءات، وقدرة العاملين على المشاركة في التحسين. ولذلك يفترض أن تؤدي الحوكمة الجيدة إلى تقليل تضارب الصلاحيات والازدواجية، وتحسين التنسيق، وتسريع القرار، ورفع جودة المتابعة، وربط الموارد بالأولويات والنتائج.</w:t>
      </w:r>
    </w:p>
    <w:p w14:paraId="3A840D95" w14:textId="77777777" w:rsidR="003D1B66" w:rsidRDefault="003D1B66" w:rsidP="003D1B66">
      <w:pPr>
        <w:bidi/>
        <w:spacing w:after="120" w:line="360" w:lineRule="auto"/>
        <w:ind w:firstLine="397"/>
        <w:jc w:val="both"/>
      </w:pPr>
      <w:r>
        <w:rPr>
          <w:rFonts w:eastAsia="Arial"/>
          <w:rtl/>
        </w:rPr>
        <w:t xml:space="preserve">وتنسجم هذه العلاقة مع توجهات التحول الصحي في المملكة، التي تركز على تحسين جودة وكفاءة واستدامة الرعاية الصحية. وقد أوضحت الأدبيات المتعلقة بتحول القطاع السعودي أن الإصلاحات تتجه نحو تطوير نماذج الرعاية، واللامركزية، والشراكات، والتحول </w:t>
      </w:r>
      <w:r>
        <w:rPr>
          <w:rFonts w:eastAsia="Arial"/>
          <w:rtl/>
        </w:rPr>
        <w:lastRenderedPageBreak/>
        <w:t xml:space="preserve">الرقمي، ورفع كفاءة تخصيص الموارد، مع بقاء الحاجة إلى معالجة تحديات التنفيذ والقدرات المؤسسية وتكامل البيانات (ألاسيري ومحمد، </w:t>
      </w:r>
      <w:r>
        <w:rPr>
          <w:rFonts w:eastAsia="Arial"/>
        </w:rPr>
        <w:t>2022</w:t>
      </w:r>
      <w:r>
        <w:rPr>
          <w:rFonts w:eastAsia="Arial"/>
          <w:rtl/>
        </w:rPr>
        <w:t xml:space="preserve">؛ النوخذة، </w:t>
      </w:r>
      <w:r>
        <w:rPr>
          <w:rFonts w:eastAsia="Arial"/>
        </w:rPr>
        <w:t>2024</w:t>
      </w:r>
      <w:r>
        <w:rPr>
          <w:rFonts w:eastAsia="Arial"/>
          <w:rtl/>
        </w:rPr>
        <w:t xml:space="preserve">؛ الجديع وآخرون، </w:t>
      </w:r>
      <w:r>
        <w:rPr>
          <w:rFonts w:eastAsia="Arial"/>
        </w:rPr>
        <w:t>2026</w:t>
      </w:r>
      <w:r>
        <w:rPr>
          <w:rFonts w:eastAsia="Arial"/>
          <w:rtl/>
        </w:rPr>
        <w:t>).</w:t>
      </w:r>
    </w:p>
    <w:p w14:paraId="7709E2EB" w14:textId="77777777" w:rsidR="003D1B66" w:rsidRDefault="003D1B66" w:rsidP="003D1B66">
      <w:pPr>
        <w:pStyle w:val="21"/>
        <w:bidi/>
        <w:jc w:val="both"/>
      </w:pPr>
      <w:r>
        <w:rPr>
          <w:rFonts w:ascii="Arial" w:eastAsia="Arial" w:hAnsi="Arial" w:cs="Arial"/>
        </w:rPr>
        <w:t>1-1-4</w:t>
      </w:r>
      <w:r>
        <w:rPr>
          <w:rFonts w:ascii="Arial" w:eastAsia="Arial" w:hAnsi="Arial" w:cs="Arial"/>
          <w:rtl/>
        </w:rPr>
        <w:t xml:space="preserve"> الحوكمة الصحية في سياق التحول الصحي السعودي</w:t>
      </w:r>
    </w:p>
    <w:p w14:paraId="515350C0" w14:textId="77777777" w:rsidR="003D1B66" w:rsidRDefault="003D1B66" w:rsidP="003D1B66">
      <w:pPr>
        <w:bidi/>
        <w:spacing w:after="120" w:line="360" w:lineRule="auto"/>
        <w:ind w:firstLine="397"/>
        <w:jc w:val="both"/>
      </w:pPr>
      <w:r>
        <w:rPr>
          <w:rFonts w:eastAsia="Arial"/>
          <w:rtl/>
        </w:rPr>
        <w:t xml:space="preserve">يشهد القطاع الصحي السعودي إعادة هيكلة واسعة ترتبط ببرنامج تحول القطاع الصحي، وتستهدف تطوير نظام صحي شامل وفعال ومتكامل، وتحسين الوصول إلى الخدمات وجودتها، وتعزيز الوقاية والتحول الرقمي والاستدامة. ويبين التقرير الرسمي لبرنامج تحول القطاع الصحي لعام </w:t>
      </w:r>
      <w:r>
        <w:rPr>
          <w:rFonts w:eastAsia="Arial"/>
        </w:rPr>
        <w:t>2024</w:t>
      </w:r>
      <w:r>
        <w:rPr>
          <w:rFonts w:eastAsia="Arial"/>
          <w:rtl/>
        </w:rPr>
        <w:t xml:space="preserve"> استمرار العمل على تمكين وإعادة هيكلة القطاع، وتطوير نموذج الرعاية، وتحسين تجربة المستفيد، وتوسيع الخدمات الرقمية، ورفع كفاءة التشغيل وجودة المخرجات (برنامج تحول القطاع الصحي، </w:t>
      </w:r>
      <w:r>
        <w:rPr>
          <w:rFonts w:eastAsia="Arial"/>
        </w:rPr>
        <w:t>2024</w:t>
      </w:r>
      <w:r>
        <w:rPr>
          <w:rFonts w:eastAsia="Arial"/>
          <w:rtl/>
        </w:rPr>
        <w:t>).</w:t>
      </w:r>
    </w:p>
    <w:p w14:paraId="044DA780" w14:textId="77777777" w:rsidR="003D1B66" w:rsidRDefault="003D1B66" w:rsidP="003D1B66">
      <w:pPr>
        <w:bidi/>
        <w:spacing w:after="120" w:line="360" w:lineRule="auto"/>
        <w:ind w:firstLine="397"/>
        <w:jc w:val="both"/>
      </w:pPr>
      <w:r>
        <w:rPr>
          <w:rFonts w:eastAsia="Arial"/>
          <w:rtl/>
        </w:rPr>
        <w:t xml:space="preserve">وتوضح وزارة الصحة أن الإصلاحات المرتبطة بحوكمة القطاع تستهدف تحسين الجودة والكفاءة والسلامة، وأن عملية التحول تتضمن إعادة تعريف دور الوزارة بوصفها جهة لصنع السياسات والتنظيم والإشراف، مع مراجعة ترتيبات الحوكمة بما يدعم هذا الدور (وزارة الصحة، </w:t>
      </w:r>
      <w:r>
        <w:rPr>
          <w:rFonts w:eastAsia="Arial"/>
        </w:rPr>
        <w:t>2026</w:t>
      </w:r>
      <w:r>
        <w:rPr>
          <w:rFonts w:eastAsia="Arial"/>
          <w:rtl/>
        </w:rPr>
        <w:t xml:space="preserve">أ). كما تهدف مبادرة الحوكمة إلى تطوير نموذج محدث يحدد الآليات والمسؤوليات والأدوات الممكنة للوزارة والجهات التابعة والمرتبطة، بما يسهم في تعزيز الشفافية والمسؤولية والاستدامة، وتحسين التنسيق بين قطاعات الرعاية الصحية (وزارة الصحة، </w:t>
      </w:r>
      <w:r>
        <w:rPr>
          <w:rFonts w:eastAsia="Arial"/>
        </w:rPr>
        <w:t>2026</w:t>
      </w:r>
      <w:r>
        <w:rPr>
          <w:rFonts w:eastAsia="Arial"/>
          <w:rtl/>
        </w:rPr>
        <w:t>ب).</w:t>
      </w:r>
    </w:p>
    <w:p w14:paraId="321F937F" w14:textId="77777777" w:rsidR="003D1B66" w:rsidRDefault="003D1B66" w:rsidP="003D1B66">
      <w:pPr>
        <w:bidi/>
        <w:spacing w:after="120" w:line="360" w:lineRule="auto"/>
        <w:ind w:firstLine="397"/>
        <w:jc w:val="both"/>
      </w:pPr>
      <w:r>
        <w:rPr>
          <w:rFonts w:eastAsia="Arial"/>
          <w:rtl/>
        </w:rPr>
        <w:t xml:space="preserve">وفي المقابل، تشير وزارة الصحة إلى تحديات مؤسسية شملت تداخل المسؤوليات التنظيمية والتشريعية مع المسؤوليات التشغيلية، وضعف هيكل الحوكمة الناتج عن التعارض مع تقديم الخدمة، وضعف التنسيق بين مكونات القطاع في مجالات الإشراف والتنظيم والمتابعة، بما قد ينعكس على اتساق معايير الجودة والسلامة (وزارة الصحة، </w:t>
      </w:r>
      <w:r>
        <w:rPr>
          <w:rFonts w:eastAsia="Arial"/>
        </w:rPr>
        <w:t>2026</w:t>
      </w:r>
      <w:r>
        <w:rPr>
          <w:rFonts w:eastAsia="Arial"/>
          <w:rtl/>
        </w:rPr>
        <w:t>ج). وتمنح هذه التحديات الدراسة الحالية مبرراً تطبيقياً، إذ تسعى إلى فحص مدى إسهام ممارسات الحوكمة على مستوى المؤسسات الصحية في تحسين الشفافية والكفاءة الإدارية.</w:t>
      </w:r>
    </w:p>
    <w:p w14:paraId="006A393F" w14:textId="77777777" w:rsidR="003D1B66" w:rsidRDefault="003D1B66" w:rsidP="003D1B66">
      <w:pPr>
        <w:bidi/>
        <w:spacing w:after="120" w:line="360" w:lineRule="auto"/>
        <w:ind w:firstLine="397"/>
        <w:jc w:val="both"/>
      </w:pPr>
      <w:r>
        <w:rPr>
          <w:rFonts w:eastAsia="Arial"/>
          <w:rtl/>
        </w:rPr>
        <w:t>وتشير الدراسات الحديثة إلى أن التحول السعودي حقق تقدماً في مجالات متعددة، إلا أن نجاح الإصلاح يتطلب وضوحاً مؤسسياً، وتكاملاً في السياسات والبيانات، وقدرات تنظيمية وتنفيذية، وثقة أصحاب المصلحة. فقد خلصت دراسة النوخذة (</w:t>
      </w:r>
      <w:r>
        <w:rPr>
          <w:rFonts w:eastAsia="Arial"/>
        </w:rPr>
        <w:t>2024</w:t>
      </w:r>
      <w:r>
        <w:rPr>
          <w:rFonts w:eastAsia="Arial"/>
          <w:rtl/>
        </w:rPr>
        <w:t>) إلى أن إصلاح النظام الصحي يترتب عليه تغيرات واسعة في أدوار الجهات وأصحاب المصلحة، ويحتاج إلى فهم تحديات التنفيذ وتأثيراته التنظيمية. كما لاحظ الجديع وزملاؤه (</w:t>
      </w:r>
      <w:r>
        <w:rPr>
          <w:rFonts w:eastAsia="Arial"/>
        </w:rPr>
        <w:t>2026</w:t>
      </w:r>
      <w:r>
        <w:rPr>
          <w:rFonts w:eastAsia="Arial"/>
          <w:rtl/>
        </w:rPr>
        <w:t>) أن التقدم في التحول نحو الرعاية القائمة على القيمة يترافق مع تحديات في تكامل الأنظمة الرقمية، والقدرات الفنية، وتجانس تنفيذ السياسات، والأعباء الإدارية، والعدالة والثقة. وهذه الجوانب ترتبط بصورة مباشرة بجودة الحوكمة المؤسسية.</w:t>
      </w:r>
    </w:p>
    <w:p w14:paraId="0622CBA8" w14:textId="77777777" w:rsidR="003D1B66" w:rsidRDefault="003D1B66" w:rsidP="003D1B66">
      <w:pPr>
        <w:pStyle w:val="1"/>
        <w:bidi/>
        <w:jc w:val="both"/>
      </w:pPr>
      <w:r>
        <w:rPr>
          <w:rFonts w:ascii="Arial" w:eastAsia="Arial" w:hAnsi="Arial" w:cs="Arial"/>
        </w:rPr>
        <w:t>1-2</w:t>
      </w:r>
      <w:r>
        <w:rPr>
          <w:rFonts w:ascii="Arial" w:eastAsia="Arial" w:hAnsi="Arial" w:cs="Arial"/>
          <w:rtl/>
        </w:rPr>
        <w:t xml:space="preserve"> مشكلة الدراسة</w:t>
      </w:r>
    </w:p>
    <w:p w14:paraId="7FEB8E1F" w14:textId="77777777" w:rsidR="003D1B66" w:rsidRDefault="003D1B66" w:rsidP="003D1B66">
      <w:pPr>
        <w:bidi/>
        <w:spacing w:after="120" w:line="360" w:lineRule="auto"/>
        <w:ind w:firstLine="397"/>
        <w:jc w:val="both"/>
      </w:pPr>
      <w:r>
        <w:rPr>
          <w:rFonts w:eastAsia="Arial"/>
          <w:rtl/>
        </w:rPr>
        <w:t>تعمل المؤسسات الصحية في بيئة تتطلب تحقيق توازن دقيق بين جودة الخدمة وسلامة المرضى وسرعة الاستجابة وكفاءة استخدام الموارد والالتزام بالأنظمة. ويؤدي غموض الصلاحيات أو تداخلها، وضعف الرقابة أو المساءلة، وعدم وضوح معايير القرار، ونقص مشاركة العاملين وأصحاب المصلحة إلى زيادة احتمالات التأخير والازدواجية والهدر وضعف الثقة، حتى في المؤسسات التي تمتلك موارد مالية وتقنية جيدة.</w:t>
      </w:r>
    </w:p>
    <w:p w14:paraId="0AB83967" w14:textId="77777777" w:rsidR="003D1B66" w:rsidRDefault="003D1B66" w:rsidP="003D1B66">
      <w:pPr>
        <w:bidi/>
        <w:spacing w:after="120" w:line="360" w:lineRule="auto"/>
        <w:ind w:firstLine="397"/>
        <w:jc w:val="both"/>
      </w:pPr>
      <w:r>
        <w:rPr>
          <w:rFonts w:eastAsia="Arial"/>
          <w:rtl/>
        </w:rPr>
        <w:lastRenderedPageBreak/>
        <w:t xml:space="preserve">وفي المملكة العربية السعودية، جعلت برامج التحول الصحي تطوير الحوكمة ورفع الجودة والكفاءة والاستدامة من المرتكزات المهمة للإصلاح. ومع ذلك، تكشف الوثائق الرسمية عن تحديات تتصل بتداخل الأدوار التنظيمية والتشغيلية، وضعف التنسيق بين مكونات القطاع، وعدم اتساق الإشراف والمعايير في بعض الجوانب (وزارة الصحة، </w:t>
      </w:r>
      <w:r>
        <w:rPr>
          <w:rFonts w:eastAsia="Arial"/>
        </w:rPr>
        <w:t>2026</w:t>
      </w:r>
      <w:r>
        <w:rPr>
          <w:rFonts w:eastAsia="Arial"/>
          <w:rtl/>
        </w:rPr>
        <w:t xml:space="preserve">ج). كما تشير الأدبيات الحديثة إلى أن جانباً كبيراً من الدراسات ركز على وصف التحول والسياسات العامة ونماذج الرعاية والخصخصة والرعاية القائمة على القيمة، بينما ما تزال الحاجة قائمة إلى دراسات ميدانية تختبر بصورة مباشرة كيف تنعكس ممارسات الحوكمة داخل المؤسسات الصحية على الشفافية الإدارية وكفاءة إدارة الموارد والعمليات (ألاسيري ومحمد، </w:t>
      </w:r>
      <w:r>
        <w:rPr>
          <w:rFonts w:eastAsia="Arial"/>
        </w:rPr>
        <w:t>2022</w:t>
      </w:r>
      <w:r>
        <w:rPr>
          <w:rFonts w:eastAsia="Arial"/>
          <w:rtl/>
        </w:rPr>
        <w:t xml:space="preserve">؛ النوخذة، </w:t>
      </w:r>
      <w:r>
        <w:rPr>
          <w:rFonts w:eastAsia="Arial"/>
        </w:rPr>
        <w:t>2024</w:t>
      </w:r>
      <w:r>
        <w:rPr>
          <w:rFonts w:eastAsia="Arial"/>
          <w:rtl/>
        </w:rPr>
        <w:t xml:space="preserve">؛ الجديع وآخرون، </w:t>
      </w:r>
      <w:r>
        <w:rPr>
          <w:rFonts w:eastAsia="Arial"/>
        </w:rPr>
        <w:t>2026</w:t>
      </w:r>
      <w:r>
        <w:rPr>
          <w:rFonts w:eastAsia="Arial"/>
          <w:rtl/>
        </w:rPr>
        <w:t>).</w:t>
      </w:r>
    </w:p>
    <w:p w14:paraId="587EDB7D" w14:textId="77777777" w:rsidR="003D1B66" w:rsidRDefault="003D1B66" w:rsidP="003D1B66">
      <w:pPr>
        <w:bidi/>
        <w:spacing w:after="120" w:line="360" w:lineRule="auto"/>
        <w:ind w:firstLine="397"/>
        <w:jc w:val="both"/>
      </w:pPr>
      <w:r>
        <w:rPr>
          <w:rFonts w:eastAsia="Arial"/>
          <w:rtl/>
        </w:rPr>
        <w:t>وتتحدد الفجوة البحثية في أن وجود سياسات أو هياكل حوكمة على المستوى الوطني لا يضمن بالضرورة تجسدها بالدرجة نفسها في الممارسات اليومية داخل المؤسسات الصحية. فقد تتفاوت المؤسسات في وضوح المسؤوليات، ومشاركة العاملين، واستقلالية الرقابة، ونظم الإفصاح، وتطبيق النزاهة والامتثال، والقدرة المؤسسية على اتخاذ القرار المبني على البيانات. ويستدعي ذلك قياس مستوى ممارسات الحوكمة كما يدركها العاملون والقيادات، وتحليل علاقتها بمستوى الشفافية والكفاءة الإدارية.</w:t>
      </w:r>
    </w:p>
    <w:p w14:paraId="15B737A9" w14:textId="77777777" w:rsidR="003D1B66" w:rsidRDefault="003D1B66" w:rsidP="003D1B66">
      <w:pPr>
        <w:bidi/>
        <w:spacing w:after="120" w:line="360" w:lineRule="auto"/>
        <w:ind w:firstLine="397"/>
        <w:jc w:val="both"/>
      </w:pPr>
      <w:r>
        <w:rPr>
          <w:rFonts w:eastAsia="Arial"/>
          <w:rtl/>
        </w:rPr>
        <w:t>وعليه، تتمثل مشكلة الدراسة في الحاجة إلى الكشف عن دور تطبيق ممارسات الحوكمة الصحية في تعزيز الشفافية والكفاءة في إدارة المؤسسات الصحية في المملكة العربية السعودية، وتحديد الأبعاد الأكثر تأثيراً، والتحديات التي قد تحد من فاعلية التطبيق، بما يدعم تقديم توصيات عملية قابلة للاستفادة في تطوير الإدارة الصحية.</w:t>
      </w:r>
    </w:p>
    <w:p w14:paraId="30DEFB6D" w14:textId="77777777" w:rsidR="003D1B66" w:rsidRDefault="003D1B66" w:rsidP="003D1B66">
      <w:pPr>
        <w:pStyle w:val="1"/>
        <w:bidi/>
        <w:jc w:val="both"/>
      </w:pPr>
      <w:r>
        <w:rPr>
          <w:rFonts w:ascii="Arial" w:eastAsia="Arial" w:hAnsi="Arial" w:cs="Arial"/>
        </w:rPr>
        <w:t>1-3</w:t>
      </w:r>
      <w:r>
        <w:rPr>
          <w:rFonts w:ascii="Arial" w:eastAsia="Arial" w:hAnsi="Arial" w:cs="Arial"/>
          <w:rtl/>
        </w:rPr>
        <w:t xml:space="preserve"> أهمية الدراسة</w:t>
      </w:r>
    </w:p>
    <w:p w14:paraId="756064CD" w14:textId="77777777" w:rsidR="003D1B66" w:rsidRDefault="003D1B66" w:rsidP="003D1B66">
      <w:pPr>
        <w:pStyle w:val="21"/>
        <w:bidi/>
        <w:jc w:val="both"/>
      </w:pPr>
      <w:r>
        <w:rPr>
          <w:rFonts w:ascii="Arial" w:eastAsia="Arial" w:hAnsi="Arial" w:cs="Arial"/>
        </w:rPr>
        <w:t>1-3-1</w:t>
      </w:r>
      <w:r>
        <w:rPr>
          <w:rFonts w:ascii="Arial" w:eastAsia="Arial" w:hAnsi="Arial" w:cs="Arial"/>
          <w:rtl/>
        </w:rPr>
        <w:t xml:space="preserve"> الأهمية العلمية</w:t>
      </w:r>
    </w:p>
    <w:p w14:paraId="0E08155F" w14:textId="77777777" w:rsidR="003D1B66" w:rsidRDefault="003D1B66" w:rsidP="003D1B66">
      <w:pPr>
        <w:pStyle w:val="a0"/>
        <w:numPr>
          <w:ilvl w:val="0"/>
          <w:numId w:val="1"/>
        </w:numPr>
        <w:bidi/>
        <w:spacing w:after="120" w:line="360" w:lineRule="auto"/>
        <w:ind w:firstLine="0"/>
        <w:jc w:val="both"/>
      </w:pPr>
      <w:r>
        <w:rPr>
          <w:rFonts w:eastAsia="Arial"/>
          <w:rtl/>
        </w:rPr>
        <w:t>تتناول الدراسة العلاقة بين ثلاثة مفاهيم مترابطة تمثل جوهر الأداء المؤسسي الصحي، وهي الحوكمة والشفافية والكفاءة الإدارية، بدلاً من دراسة كل مفهوم بصورة منفصلة.</w:t>
      </w:r>
    </w:p>
    <w:p w14:paraId="67288B97" w14:textId="77777777" w:rsidR="003D1B66" w:rsidRDefault="003D1B66" w:rsidP="003D1B66">
      <w:pPr>
        <w:pStyle w:val="a0"/>
        <w:numPr>
          <w:ilvl w:val="0"/>
          <w:numId w:val="1"/>
        </w:numPr>
        <w:bidi/>
        <w:spacing w:after="120" w:line="360" w:lineRule="auto"/>
        <w:ind w:firstLine="0"/>
        <w:jc w:val="both"/>
      </w:pPr>
      <w:r>
        <w:rPr>
          <w:rFonts w:eastAsia="Arial"/>
          <w:rtl/>
        </w:rPr>
        <w:t>تسهم في إثراء الأدبيات العربية والسعودية المتعلقة بالحوكمة الصحية على مستوى المؤسسة، في وقت تركز فيه نسبة مهمة من الأدبيات على الإصلاح الوطني أو التحول العام للقطاع.</w:t>
      </w:r>
    </w:p>
    <w:p w14:paraId="198014E5" w14:textId="77777777" w:rsidR="003D1B66" w:rsidRDefault="003D1B66" w:rsidP="003D1B66">
      <w:pPr>
        <w:pStyle w:val="a0"/>
        <w:numPr>
          <w:ilvl w:val="0"/>
          <w:numId w:val="1"/>
        </w:numPr>
        <w:bidi/>
        <w:spacing w:after="120" w:line="360" w:lineRule="auto"/>
        <w:ind w:firstLine="0"/>
        <w:jc w:val="both"/>
      </w:pPr>
      <w:r>
        <w:rPr>
          <w:rFonts w:eastAsia="Arial"/>
          <w:rtl/>
        </w:rPr>
        <w:t>تقدم نموذجاً مفاهيمياً يمكن اختباره ميدانياً، ويعالج التداخل المحتمل بين الحوكمة والشفافية من خلال اعتبار الشفافية نتيجة مؤسسية وعدم إدراجها مرة أخرى ضمن أبعاد المتغير المستقل.</w:t>
      </w:r>
    </w:p>
    <w:p w14:paraId="61AE6464" w14:textId="77777777" w:rsidR="003D1B66" w:rsidRDefault="003D1B66" w:rsidP="003D1B66">
      <w:pPr>
        <w:pStyle w:val="a0"/>
        <w:numPr>
          <w:ilvl w:val="0"/>
          <w:numId w:val="1"/>
        </w:numPr>
        <w:bidi/>
        <w:spacing w:after="120" w:line="360" w:lineRule="auto"/>
        <w:ind w:firstLine="0"/>
        <w:jc w:val="both"/>
      </w:pPr>
      <w:r>
        <w:rPr>
          <w:rFonts w:eastAsia="Arial"/>
          <w:rtl/>
        </w:rPr>
        <w:t>قد توفر أداة قياس قابلة للتطوير والاستفادة في دراسات لاحقة تقارن بين أنواع المؤسسات الصحية أو المناطق أو المستويات الإدارية.</w:t>
      </w:r>
    </w:p>
    <w:p w14:paraId="7A4E29F0" w14:textId="77777777" w:rsidR="003D1B66" w:rsidRDefault="003D1B66" w:rsidP="003D1B66">
      <w:pPr>
        <w:pStyle w:val="21"/>
        <w:bidi/>
        <w:jc w:val="both"/>
      </w:pPr>
      <w:r>
        <w:rPr>
          <w:rFonts w:ascii="Arial" w:eastAsia="Arial" w:hAnsi="Arial" w:cs="Arial"/>
        </w:rPr>
        <w:t>1-3-2</w:t>
      </w:r>
      <w:r>
        <w:rPr>
          <w:rFonts w:ascii="Arial" w:eastAsia="Arial" w:hAnsi="Arial" w:cs="Arial"/>
          <w:rtl/>
        </w:rPr>
        <w:t xml:space="preserve"> الأهمية التطبيقية</w:t>
      </w:r>
    </w:p>
    <w:p w14:paraId="23ABE5AF" w14:textId="77777777" w:rsidR="003D1B66" w:rsidRDefault="003D1B66" w:rsidP="003D1B66">
      <w:pPr>
        <w:pStyle w:val="a0"/>
        <w:numPr>
          <w:ilvl w:val="0"/>
          <w:numId w:val="1"/>
        </w:numPr>
        <w:bidi/>
        <w:spacing w:after="120" w:line="360" w:lineRule="auto"/>
        <w:ind w:firstLine="0"/>
        <w:jc w:val="both"/>
      </w:pPr>
      <w:r>
        <w:rPr>
          <w:rFonts w:eastAsia="Arial"/>
          <w:rtl/>
        </w:rPr>
        <w:t>تزويد القيادات الصحية بمؤشرات تساعدها على تقييم وضوح الأدوار والصلاحيات وفاعلية المساءلة والمشاركة والنزاهة والقدرة المؤسسية.</w:t>
      </w:r>
    </w:p>
    <w:p w14:paraId="14972A0B" w14:textId="77777777" w:rsidR="003D1B66" w:rsidRDefault="003D1B66" w:rsidP="003D1B66">
      <w:pPr>
        <w:pStyle w:val="a0"/>
        <w:numPr>
          <w:ilvl w:val="0"/>
          <w:numId w:val="1"/>
        </w:numPr>
        <w:bidi/>
        <w:spacing w:after="120" w:line="360" w:lineRule="auto"/>
        <w:ind w:firstLine="0"/>
        <w:jc w:val="both"/>
      </w:pPr>
      <w:r>
        <w:rPr>
          <w:rFonts w:eastAsia="Arial"/>
          <w:rtl/>
        </w:rPr>
        <w:t>مساعدة المؤسسات الصحية على تحديد جوانب الضعف التي تؤثر في شفافية القرارات والإجراءات وإتاحة المعلومات.</w:t>
      </w:r>
    </w:p>
    <w:p w14:paraId="063495B5" w14:textId="77777777" w:rsidR="003D1B66" w:rsidRDefault="003D1B66" w:rsidP="003D1B66">
      <w:pPr>
        <w:pStyle w:val="a0"/>
        <w:numPr>
          <w:ilvl w:val="0"/>
          <w:numId w:val="1"/>
        </w:numPr>
        <w:bidi/>
        <w:spacing w:after="120" w:line="360" w:lineRule="auto"/>
        <w:ind w:firstLine="0"/>
        <w:jc w:val="both"/>
      </w:pPr>
      <w:r>
        <w:rPr>
          <w:rFonts w:eastAsia="Arial"/>
          <w:rtl/>
        </w:rPr>
        <w:t>دعم جهود رفع الكفاءة من خلال ربط ممارسات الحوكمة بتقليل الازدواجية والهدر والتأخير وتحسين التنسيق واستخدام البيانات.</w:t>
      </w:r>
    </w:p>
    <w:p w14:paraId="2A5FEC97" w14:textId="77777777" w:rsidR="003D1B66" w:rsidRDefault="003D1B66" w:rsidP="003D1B66">
      <w:pPr>
        <w:pStyle w:val="a0"/>
        <w:numPr>
          <w:ilvl w:val="0"/>
          <w:numId w:val="1"/>
        </w:numPr>
        <w:bidi/>
        <w:spacing w:after="120" w:line="360" w:lineRule="auto"/>
        <w:ind w:firstLine="0"/>
        <w:jc w:val="both"/>
      </w:pPr>
      <w:r>
        <w:rPr>
          <w:rFonts w:eastAsia="Arial"/>
          <w:rtl/>
        </w:rPr>
        <w:lastRenderedPageBreak/>
        <w:t>تقديم توصيات يمكن الاستفادة منها في تطوير السياسات الداخلية، وأدلة الصلاحيات، ولجان الحوكمة، وإدارة المخاطر، والرقابة الداخلية، وقنوات التواصل والإفصاح.</w:t>
      </w:r>
    </w:p>
    <w:p w14:paraId="3D041A4C" w14:textId="77777777" w:rsidR="003D1B66" w:rsidRDefault="003D1B66" w:rsidP="003D1B66">
      <w:pPr>
        <w:pStyle w:val="a0"/>
        <w:numPr>
          <w:ilvl w:val="0"/>
          <w:numId w:val="1"/>
        </w:numPr>
        <w:bidi/>
        <w:spacing w:after="120" w:line="360" w:lineRule="auto"/>
        <w:ind w:firstLine="0"/>
        <w:jc w:val="both"/>
      </w:pPr>
      <w:r>
        <w:rPr>
          <w:rFonts w:eastAsia="Arial"/>
          <w:rtl/>
        </w:rPr>
        <w:t>دعم مستهدفات التحول الصحي السعودي المتعلقة بالجودة والكفاءة والاستدامة، من خلال نتائج ميدانية تعكس واقع التطبيق داخل المؤسسات.</w:t>
      </w:r>
    </w:p>
    <w:p w14:paraId="6171AD59" w14:textId="77777777" w:rsidR="003D1B66" w:rsidRDefault="003D1B66" w:rsidP="003D1B66">
      <w:pPr>
        <w:pStyle w:val="21"/>
        <w:bidi/>
        <w:jc w:val="both"/>
      </w:pPr>
      <w:r>
        <w:rPr>
          <w:rFonts w:ascii="Arial" w:eastAsia="Arial" w:hAnsi="Arial" w:cs="Arial"/>
        </w:rPr>
        <w:t>1-3-3</w:t>
      </w:r>
      <w:r>
        <w:rPr>
          <w:rFonts w:ascii="Arial" w:eastAsia="Arial" w:hAnsi="Arial" w:cs="Arial"/>
          <w:rtl/>
        </w:rPr>
        <w:t xml:space="preserve"> الأهمية الوطنية والمجتمعية</w:t>
      </w:r>
    </w:p>
    <w:p w14:paraId="61142412" w14:textId="77777777" w:rsidR="003D1B66" w:rsidRDefault="003D1B66" w:rsidP="003D1B66">
      <w:pPr>
        <w:pStyle w:val="a0"/>
        <w:numPr>
          <w:ilvl w:val="0"/>
          <w:numId w:val="1"/>
        </w:numPr>
        <w:bidi/>
        <w:spacing w:after="120" w:line="360" w:lineRule="auto"/>
        <w:ind w:firstLine="0"/>
        <w:jc w:val="both"/>
      </w:pPr>
      <w:r>
        <w:rPr>
          <w:rFonts w:eastAsia="Arial"/>
          <w:rtl/>
        </w:rPr>
        <w:t>يتوافق موضوع الدراسة مع توجهات المملكة نحو رفع كفاءة القطاع العام وتعزيز النزاهة والشفافية وتحسين جودة الخدمات.</w:t>
      </w:r>
    </w:p>
    <w:p w14:paraId="5CB8A03A" w14:textId="77777777" w:rsidR="003D1B66" w:rsidRDefault="003D1B66" w:rsidP="003D1B66">
      <w:pPr>
        <w:pStyle w:val="a0"/>
        <w:numPr>
          <w:ilvl w:val="0"/>
          <w:numId w:val="1"/>
        </w:numPr>
        <w:bidi/>
        <w:spacing w:after="120" w:line="360" w:lineRule="auto"/>
        <w:ind w:firstLine="0"/>
        <w:jc w:val="both"/>
      </w:pPr>
      <w:r>
        <w:rPr>
          <w:rFonts w:eastAsia="Arial"/>
          <w:rtl/>
        </w:rPr>
        <w:t>يمكن أن يسهم تحسين الحوكمة المؤسسية في تعزيز ثقة المرضى والعاملين وأصحاب المصلحة بالمؤسسات الصحية.</w:t>
      </w:r>
    </w:p>
    <w:p w14:paraId="31E7BB2C" w14:textId="77777777" w:rsidR="003D1B66" w:rsidRDefault="003D1B66" w:rsidP="003D1B66">
      <w:pPr>
        <w:pStyle w:val="a0"/>
        <w:numPr>
          <w:ilvl w:val="0"/>
          <w:numId w:val="1"/>
        </w:numPr>
        <w:bidi/>
        <w:spacing w:after="120" w:line="360" w:lineRule="auto"/>
        <w:ind w:firstLine="0"/>
        <w:jc w:val="both"/>
      </w:pPr>
      <w:r>
        <w:rPr>
          <w:rFonts w:eastAsia="Arial"/>
          <w:rtl/>
        </w:rPr>
        <w:t>يساعد الاستخدام الأكثر كفاءة للموارد الصحية في دعم استدامة الخدمات وتوسيع قدرة المؤسسات على الاستجابة للاحتياجات الصحية المتزايدة.</w:t>
      </w:r>
    </w:p>
    <w:p w14:paraId="22044241" w14:textId="77777777" w:rsidR="003D1B66" w:rsidRDefault="003D1B66" w:rsidP="003D1B66">
      <w:pPr>
        <w:pStyle w:val="1"/>
        <w:bidi/>
        <w:jc w:val="both"/>
      </w:pPr>
      <w:r>
        <w:rPr>
          <w:rFonts w:ascii="Arial" w:eastAsia="Arial" w:hAnsi="Arial" w:cs="Arial"/>
        </w:rPr>
        <w:t>1-4</w:t>
      </w:r>
      <w:r>
        <w:rPr>
          <w:rFonts w:ascii="Arial" w:eastAsia="Arial" w:hAnsi="Arial" w:cs="Arial"/>
          <w:rtl/>
        </w:rPr>
        <w:t xml:space="preserve"> أهداف الدراسة</w:t>
      </w:r>
    </w:p>
    <w:p w14:paraId="186E8518" w14:textId="77777777" w:rsidR="003D1B66" w:rsidRDefault="003D1B66" w:rsidP="003D1B66">
      <w:pPr>
        <w:bidi/>
        <w:spacing w:after="120" w:line="360" w:lineRule="auto"/>
        <w:ind w:firstLine="397"/>
        <w:jc w:val="both"/>
      </w:pPr>
      <w:r>
        <w:rPr>
          <w:rFonts w:eastAsia="Arial"/>
          <w:rtl/>
        </w:rPr>
        <w:t>يتمثل الهدف العام للدراسة في تحليل دور الحوكمة الصحية في تعزيز الشفافية والكفاءة في إدارة المؤسسات الصحية بالمملكة العربية السعودية. ويتفرع منه ما يأتي:</w:t>
      </w:r>
    </w:p>
    <w:p w14:paraId="62F49626" w14:textId="77777777" w:rsidR="003D1B66" w:rsidRDefault="003D1B66" w:rsidP="003D1B66">
      <w:pPr>
        <w:bidi/>
        <w:spacing w:after="120" w:line="360" w:lineRule="auto"/>
        <w:ind w:firstLine="397"/>
        <w:jc w:val="both"/>
      </w:pPr>
      <w:r>
        <w:rPr>
          <w:rFonts w:eastAsia="Arial"/>
        </w:rPr>
        <w:t>1</w:t>
      </w:r>
      <w:r>
        <w:rPr>
          <w:rFonts w:eastAsia="Arial"/>
          <w:rtl/>
        </w:rPr>
        <w:t>. تحديد الإطار المفاهيمي للحوكمة الصحية والشفافية المؤسسية والكفاءة الإدارية.</w:t>
      </w:r>
    </w:p>
    <w:p w14:paraId="5C3124FE" w14:textId="77777777" w:rsidR="003D1B66" w:rsidRDefault="003D1B66" w:rsidP="003D1B66">
      <w:pPr>
        <w:bidi/>
        <w:spacing w:after="120" w:line="360" w:lineRule="auto"/>
        <w:ind w:firstLine="397"/>
        <w:jc w:val="both"/>
      </w:pPr>
      <w:r>
        <w:rPr>
          <w:rFonts w:eastAsia="Arial"/>
        </w:rPr>
        <w:t>2</w:t>
      </w:r>
      <w:r>
        <w:rPr>
          <w:rFonts w:eastAsia="Arial"/>
          <w:rtl/>
        </w:rPr>
        <w:t>. قياس مستوى تطبيق ممارسات الحوكمة الصحية في المؤسسات الصحية محل الدراسة.</w:t>
      </w:r>
    </w:p>
    <w:p w14:paraId="64650168" w14:textId="77777777" w:rsidR="003D1B66" w:rsidRDefault="003D1B66" w:rsidP="003D1B66">
      <w:pPr>
        <w:bidi/>
        <w:spacing w:after="120" w:line="360" w:lineRule="auto"/>
        <w:ind w:firstLine="397"/>
        <w:jc w:val="both"/>
      </w:pPr>
      <w:r>
        <w:rPr>
          <w:rFonts w:eastAsia="Arial"/>
        </w:rPr>
        <w:t>3</w:t>
      </w:r>
      <w:r>
        <w:rPr>
          <w:rFonts w:eastAsia="Arial"/>
          <w:rtl/>
        </w:rPr>
        <w:t>. قياس مستوى الشفافية المؤسسية في الإدارة الصحية.</w:t>
      </w:r>
    </w:p>
    <w:p w14:paraId="11F3EA85" w14:textId="77777777" w:rsidR="003D1B66" w:rsidRDefault="003D1B66" w:rsidP="003D1B66">
      <w:pPr>
        <w:bidi/>
        <w:spacing w:after="120" w:line="360" w:lineRule="auto"/>
        <w:ind w:firstLine="397"/>
        <w:jc w:val="both"/>
      </w:pPr>
      <w:r>
        <w:rPr>
          <w:rFonts w:eastAsia="Arial"/>
        </w:rPr>
        <w:t>4</w:t>
      </w:r>
      <w:r>
        <w:rPr>
          <w:rFonts w:eastAsia="Arial"/>
          <w:rtl/>
        </w:rPr>
        <w:t>. قياس مستوى الكفاءة الإدارية في استخدام الموارد وإدارة الإجراءات والعمليات.</w:t>
      </w:r>
    </w:p>
    <w:p w14:paraId="5578ADD5" w14:textId="77777777" w:rsidR="003D1B66" w:rsidRDefault="003D1B66" w:rsidP="003D1B66">
      <w:pPr>
        <w:bidi/>
        <w:spacing w:after="120" w:line="360" w:lineRule="auto"/>
        <w:ind w:firstLine="397"/>
        <w:jc w:val="both"/>
      </w:pPr>
      <w:r>
        <w:rPr>
          <w:rFonts w:eastAsia="Arial"/>
        </w:rPr>
        <w:t>5</w:t>
      </w:r>
      <w:r>
        <w:rPr>
          <w:rFonts w:eastAsia="Arial"/>
          <w:rtl/>
        </w:rPr>
        <w:t>. اختبار أثر ممارسات الحوكمة الصحية في الشفافية المؤسسية.</w:t>
      </w:r>
    </w:p>
    <w:p w14:paraId="11B1A317" w14:textId="77777777" w:rsidR="003D1B66" w:rsidRDefault="003D1B66" w:rsidP="003D1B66">
      <w:pPr>
        <w:bidi/>
        <w:spacing w:after="120" w:line="360" w:lineRule="auto"/>
        <w:ind w:firstLine="397"/>
        <w:jc w:val="both"/>
      </w:pPr>
      <w:r>
        <w:rPr>
          <w:rFonts w:eastAsia="Arial"/>
        </w:rPr>
        <w:t>6</w:t>
      </w:r>
      <w:r>
        <w:rPr>
          <w:rFonts w:eastAsia="Arial"/>
          <w:rtl/>
        </w:rPr>
        <w:t>. اختبار أثر ممارسات الحوكمة الصحية في الكفاءة الإدارية.</w:t>
      </w:r>
    </w:p>
    <w:p w14:paraId="66CA739B" w14:textId="77777777" w:rsidR="003D1B66" w:rsidRDefault="003D1B66" w:rsidP="003D1B66">
      <w:pPr>
        <w:bidi/>
        <w:spacing w:after="120" w:line="360" w:lineRule="auto"/>
        <w:ind w:firstLine="397"/>
        <w:jc w:val="both"/>
      </w:pPr>
      <w:r>
        <w:rPr>
          <w:rFonts w:eastAsia="Arial"/>
        </w:rPr>
        <w:t>7</w:t>
      </w:r>
      <w:r>
        <w:rPr>
          <w:rFonts w:eastAsia="Arial"/>
          <w:rtl/>
        </w:rPr>
        <w:t>. تحديد الأبعاد الأكثر إسهاماً في تفسير الشفافية والكفاءة الإدارية.</w:t>
      </w:r>
    </w:p>
    <w:p w14:paraId="7FC201BB" w14:textId="77777777" w:rsidR="003D1B66" w:rsidRDefault="003D1B66" w:rsidP="003D1B66">
      <w:pPr>
        <w:bidi/>
        <w:spacing w:after="120" w:line="360" w:lineRule="auto"/>
        <w:ind w:firstLine="397"/>
        <w:jc w:val="both"/>
      </w:pPr>
      <w:r>
        <w:rPr>
          <w:rFonts w:eastAsia="Arial"/>
        </w:rPr>
        <w:t>8</w:t>
      </w:r>
      <w:r>
        <w:rPr>
          <w:rFonts w:eastAsia="Arial"/>
          <w:rtl/>
        </w:rPr>
        <w:t>. التعرف على التحديات التنظيمية والإدارية التي تحد من فاعلية تطبيق الحوكمة الصحية.</w:t>
      </w:r>
    </w:p>
    <w:p w14:paraId="50C96FDF" w14:textId="77777777" w:rsidR="003D1B66" w:rsidRDefault="003D1B66" w:rsidP="003D1B66">
      <w:pPr>
        <w:bidi/>
        <w:spacing w:after="120" w:line="360" w:lineRule="auto"/>
        <w:ind w:firstLine="397"/>
        <w:jc w:val="both"/>
      </w:pPr>
      <w:r>
        <w:rPr>
          <w:rFonts w:eastAsia="Arial"/>
        </w:rPr>
        <w:t>9</w:t>
      </w:r>
      <w:r>
        <w:rPr>
          <w:rFonts w:eastAsia="Arial"/>
          <w:rtl/>
        </w:rPr>
        <w:t>. الكشف عن الفروق في تقديرات أفراد الدراسة وفق خصائصهم الديموغرافية والوظيفية.</w:t>
      </w:r>
    </w:p>
    <w:p w14:paraId="5AD5B17A" w14:textId="77777777" w:rsidR="003D1B66" w:rsidRDefault="003D1B66" w:rsidP="003D1B66">
      <w:pPr>
        <w:bidi/>
        <w:spacing w:after="120" w:line="360" w:lineRule="auto"/>
        <w:ind w:firstLine="397"/>
        <w:jc w:val="both"/>
      </w:pPr>
      <w:r>
        <w:rPr>
          <w:rFonts w:eastAsia="Arial"/>
        </w:rPr>
        <w:t>10</w:t>
      </w:r>
      <w:r>
        <w:rPr>
          <w:rFonts w:eastAsia="Arial"/>
          <w:rtl/>
        </w:rPr>
        <w:t>. تقديم توصيات عملية تساعد المؤسسات الصحية وصناع القرار على تعزيز الحوكمة والشفافية والكفاءة.</w:t>
      </w:r>
    </w:p>
    <w:p w14:paraId="53066BA3" w14:textId="77777777" w:rsidR="003D1B66" w:rsidRDefault="003D1B66" w:rsidP="003D1B66">
      <w:pPr>
        <w:pStyle w:val="1"/>
        <w:bidi/>
        <w:jc w:val="both"/>
      </w:pPr>
      <w:r>
        <w:rPr>
          <w:rFonts w:ascii="Arial" w:eastAsia="Arial" w:hAnsi="Arial" w:cs="Arial"/>
        </w:rPr>
        <w:t>1-5</w:t>
      </w:r>
      <w:r>
        <w:rPr>
          <w:rFonts w:ascii="Arial" w:eastAsia="Arial" w:hAnsi="Arial" w:cs="Arial"/>
          <w:rtl/>
        </w:rPr>
        <w:t xml:space="preserve"> تساؤلات الدراسة</w:t>
      </w:r>
    </w:p>
    <w:p w14:paraId="385C2FA5" w14:textId="77777777" w:rsidR="003D1B66" w:rsidRDefault="003D1B66" w:rsidP="003D1B66">
      <w:pPr>
        <w:bidi/>
        <w:spacing w:after="120" w:line="360" w:lineRule="auto"/>
        <w:ind w:firstLine="397"/>
        <w:jc w:val="both"/>
      </w:pPr>
      <w:r>
        <w:rPr>
          <w:rFonts w:eastAsia="Arial"/>
          <w:rtl/>
        </w:rPr>
        <w:t>تسعى الدراسة إلى الإجابة عن السؤال الرئيس الآتي:</w:t>
      </w:r>
    </w:p>
    <w:p w14:paraId="439CA834" w14:textId="77777777" w:rsidR="003D1B66" w:rsidRDefault="003D1B66" w:rsidP="003D1B66">
      <w:pPr>
        <w:pStyle w:val="a0"/>
        <w:numPr>
          <w:ilvl w:val="0"/>
          <w:numId w:val="1"/>
        </w:numPr>
        <w:bidi/>
        <w:spacing w:after="120" w:line="360" w:lineRule="auto"/>
        <w:ind w:firstLine="0"/>
        <w:jc w:val="both"/>
      </w:pPr>
      <w:r>
        <w:rPr>
          <w:rFonts w:eastAsia="Arial"/>
          <w:rtl/>
        </w:rPr>
        <w:lastRenderedPageBreak/>
        <w:t>ما دور الحوكمة الصحية في تعزيز الشفافية والكفاءة في إدارة المؤسسات الصحية في المملكة العربية السعودية؟</w:t>
      </w:r>
    </w:p>
    <w:p w14:paraId="6BEDB5DE" w14:textId="77777777" w:rsidR="003D1B66" w:rsidRDefault="003D1B66" w:rsidP="003D1B66">
      <w:pPr>
        <w:bidi/>
        <w:spacing w:after="120" w:line="360" w:lineRule="auto"/>
        <w:ind w:firstLine="397"/>
        <w:jc w:val="both"/>
      </w:pPr>
      <w:r>
        <w:rPr>
          <w:rFonts w:eastAsia="Arial"/>
          <w:rtl/>
        </w:rPr>
        <w:t>ويتفرع من السؤال الرئيس الأسئلة الآتية:</w:t>
      </w:r>
    </w:p>
    <w:p w14:paraId="196703D5" w14:textId="77777777" w:rsidR="003D1B66" w:rsidRDefault="003D1B66" w:rsidP="003D1B66">
      <w:pPr>
        <w:pStyle w:val="a"/>
        <w:numPr>
          <w:ilvl w:val="0"/>
          <w:numId w:val="4"/>
        </w:numPr>
        <w:bidi/>
        <w:spacing w:after="120" w:line="360" w:lineRule="auto"/>
        <w:ind w:firstLine="0"/>
        <w:jc w:val="both"/>
      </w:pPr>
      <w:r>
        <w:rPr>
          <w:rFonts w:eastAsia="Arial"/>
          <w:rtl/>
        </w:rPr>
        <w:t>ما مستوى تطبيق ممارسات الحوكمة الصحية في المؤسسات الصحية محل الدراسة؟</w:t>
      </w:r>
    </w:p>
    <w:p w14:paraId="200AB15C" w14:textId="77777777" w:rsidR="003D1B66" w:rsidRDefault="003D1B66" w:rsidP="003D1B66">
      <w:pPr>
        <w:pStyle w:val="a"/>
        <w:numPr>
          <w:ilvl w:val="0"/>
          <w:numId w:val="4"/>
        </w:numPr>
        <w:bidi/>
        <w:spacing w:after="120" w:line="360" w:lineRule="auto"/>
        <w:ind w:firstLine="0"/>
        <w:jc w:val="both"/>
      </w:pPr>
      <w:r>
        <w:rPr>
          <w:rFonts w:eastAsia="Arial"/>
          <w:rtl/>
        </w:rPr>
        <w:t>ما مستوى الشفافية المؤسسية في إدارة المؤسسات الصحية محل الدراسة؟</w:t>
      </w:r>
    </w:p>
    <w:p w14:paraId="5542EBFD" w14:textId="77777777" w:rsidR="003D1B66" w:rsidRDefault="003D1B66" w:rsidP="003D1B66">
      <w:pPr>
        <w:pStyle w:val="a"/>
        <w:numPr>
          <w:ilvl w:val="0"/>
          <w:numId w:val="4"/>
        </w:numPr>
        <w:bidi/>
        <w:spacing w:after="120" w:line="360" w:lineRule="auto"/>
        <w:ind w:firstLine="0"/>
        <w:jc w:val="both"/>
      </w:pPr>
      <w:r>
        <w:rPr>
          <w:rFonts w:eastAsia="Arial"/>
          <w:rtl/>
        </w:rPr>
        <w:t>ما مستوى الكفاءة الإدارية في المؤسسات الصحية محل الدراسة؟</w:t>
      </w:r>
    </w:p>
    <w:p w14:paraId="03643363" w14:textId="77777777" w:rsidR="003D1B66" w:rsidRDefault="003D1B66" w:rsidP="003D1B66">
      <w:pPr>
        <w:pStyle w:val="a"/>
        <w:numPr>
          <w:ilvl w:val="0"/>
          <w:numId w:val="4"/>
        </w:numPr>
        <w:bidi/>
        <w:spacing w:after="120" w:line="360" w:lineRule="auto"/>
        <w:ind w:firstLine="0"/>
        <w:jc w:val="both"/>
      </w:pPr>
      <w:r>
        <w:rPr>
          <w:rFonts w:eastAsia="Arial"/>
          <w:rtl/>
        </w:rPr>
        <w:t>هل توجد علاقة ذات دلالة إحصائية بين ممارسات الحوكمة الصحية والشفافية المؤسسية؟</w:t>
      </w:r>
    </w:p>
    <w:p w14:paraId="361414B6" w14:textId="77777777" w:rsidR="003D1B66" w:rsidRDefault="003D1B66" w:rsidP="003D1B66">
      <w:pPr>
        <w:pStyle w:val="a"/>
        <w:numPr>
          <w:ilvl w:val="0"/>
          <w:numId w:val="4"/>
        </w:numPr>
        <w:bidi/>
        <w:spacing w:after="120" w:line="360" w:lineRule="auto"/>
        <w:ind w:firstLine="0"/>
        <w:jc w:val="both"/>
      </w:pPr>
      <w:r>
        <w:rPr>
          <w:rFonts w:eastAsia="Arial"/>
          <w:rtl/>
        </w:rPr>
        <w:t>هل توجد علاقة ذات دلالة إحصائية بين ممارسات الحوكمة الصحية والكفاءة الإدارية؟</w:t>
      </w:r>
    </w:p>
    <w:p w14:paraId="3B6B695A" w14:textId="77777777" w:rsidR="003D1B66" w:rsidRDefault="003D1B66" w:rsidP="003D1B66">
      <w:pPr>
        <w:pStyle w:val="a"/>
        <w:numPr>
          <w:ilvl w:val="0"/>
          <w:numId w:val="4"/>
        </w:numPr>
        <w:bidi/>
        <w:spacing w:after="120" w:line="360" w:lineRule="auto"/>
        <w:ind w:firstLine="0"/>
        <w:jc w:val="both"/>
      </w:pPr>
      <w:r>
        <w:rPr>
          <w:rFonts w:eastAsia="Arial"/>
          <w:rtl/>
        </w:rPr>
        <w:t>ما أبعاد الحوكمة الصحية الأكثر تأثيراً في الشفافية المؤسسية؟</w:t>
      </w:r>
    </w:p>
    <w:p w14:paraId="22B5765E" w14:textId="77777777" w:rsidR="003D1B66" w:rsidRDefault="003D1B66" w:rsidP="003D1B66">
      <w:pPr>
        <w:pStyle w:val="a"/>
        <w:numPr>
          <w:ilvl w:val="0"/>
          <w:numId w:val="4"/>
        </w:numPr>
        <w:bidi/>
        <w:spacing w:after="120" w:line="360" w:lineRule="auto"/>
        <w:ind w:firstLine="0"/>
        <w:jc w:val="both"/>
      </w:pPr>
      <w:r>
        <w:rPr>
          <w:rFonts w:eastAsia="Arial"/>
          <w:rtl/>
        </w:rPr>
        <w:t>ما أبعاد الحوكمة الصحية الأكثر تأثيراً في الكفاءة الإدارية؟</w:t>
      </w:r>
    </w:p>
    <w:p w14:paraId="268AB15E" w14:textId="77777777" w:rsidR="003D1B66" w:rsidRDefault="003D1B66" w:rsidP="003D1B66">
      <w:pPr>
        <w:pStyle w:val="a"/>
        <w:numPr>
          <w:ilvl w:val="0"/>
          <w:numId w:val="4"/>
        </w:numPr>
        <w:bidi/>
        <w:spacing w:after="120" w:line="360" w:lineRule="auto"/>
        <w:ind w:firstLine="0"/>
        <w:jc w:val="both"/>
      </w:pPr>
      <w:r>
        <w:rPr>
          <w:rFonts w:eastAsia="Arial"/>
          <w:rtl/>
        </w:rPr>
        <w:t>هل تختلف استجابات أفراد الدراسة باختلاف خصائصهم الديموغرافية والوظيفية، مثل نوع المؤسسة، والمسمى الوظيفي، والمؤهل العلمي، وسنوات الخبرة؟</w:t>
      </w:r>
    </w:p>
    <w:p w14:paraId="31C325FC" w14:textId="77777777" w:rsidR="003D1B66" w:rsidRDefault="003D1B66" w:rsidP="003D1B66">
      <w:pPr>
        <w:pStyle w:val="a"/>
        <w:numPr>
          <w:ilvl w:val="0"/>
          <w:numId w:val="4"/>
        </w:numPr>
        <w:bidi/>
        <w:spacing w:after="120" w:line="360" w:lineRule="auto"/>
        <w:ind w:firstLine="0"/>
        <w:jc w:val="both"/>
      </w:pPr>
      <w:r>
        <w:rPr>
          <w:rFonts w:eastAsia="Arial"/>
          <w:rtl/>
        </w:rPr>
        <w:t>ما أبرز التحديات التي تحد من التطبيق الفعال للحوكمة الصحية في المؤسسات الصحية؟</w:t>
      </w:r>
    </w:p>
    <w:p w14:paraId="26950F49" w14:textId="77777777" w:rsidR="003D1B66" w:rsidRDefault="003D1B66" w:rsidP="003D1B66">
      <w:pPr>
        <w:pStyle w:val="1"/>
        <w:bidi/>
        <w:jc w:val="both"/>
      </w:pPr>
      <w:r>
        <w:rPr>
          <w:rFonts w:ascii="Arial" w:eastAsia="Arial" w:hAnsi="Arial" w:cs="Arial"/>
        </w:rPr>
        <w:t>1-6</w:t>
      </w:r>
      <w:r>
        <w:rPr>
          <w:rFonts w:ascii="Arial" w:eastAsia="Arial" w:hAnsi="Arial" w:cs="Arial"/>
          <w:rtl/>
        </w:rPr>
        <w:t xml:space="preserve"> فروض الدراسة</w:t>
      </w:r>
    </w:p>
    <w:p w14:paraId="3F783C16" w14:textId="77777777" w:rsidR="003D1B66" w:rsidRDefault="003D1B66" w:rsidP="003D1B66">
      <w:pPr>
        <w:bidi/>
        <w:spacing w:after="120" w:line="360" w:lineRule="auto"/>
        <w:ind w:firstLine="397"/>
        <w:jc w:val="both"/>
      </w:pPr>
      <w:r>
        <w:rPr>
          <w:rFonts w:eastAsia="Arial"/>
          <w:rtl/>
        </w:rPr>
        <w:t>تُصاغ الفرضيات الآتية بما يتلاءم مع تصميم كمي وصفي تحليلي، ويمكن تعديلها بعد تحديد مجتمع الدراسة بصورة نهائية واعتماد أداة القياس:</w:t>
      </w:r>
    </w:p>
    <w:p w14:paraId="02A5E64C" w14:textId="77777777" w:rsidR="003D1B66" w:rsidRDefault="003D1B66" w:rsidP="003D1B66">
      <w:pPr>
        <w:pStyle w:val="a0"/>
        <w:numPr>
          <w:ilvl w:val="0"/>
          <w:numId w:val="1"/>
        </w:numPr>
        <w:bidi/>
        <w:spacing w:after="120" w:line="360" w:lineRule="auto"/>
        <w:ind w:firstLine="0"/>
        <w:jc w:val="both"/>
      </w:pPr>
      <w:r>
        <w:rPr>
          <w:rFonts w:eastAsia="Arial"/>
          <w:rtl/>
        </w:rPr>
        <w:t>الفرضية الرئيسة الأولى: يوجد أثر ذو دلالة إحصائية لممارسات الحوكمة الصحية بأبعادها مجتمعة في مستوى الشفافية المؤسسية في المؤسسات الصحية بالمملكة العربية السعودية.</w:t>
      </w:r>
    </w:p>
    <w:p w14:paraId="31809DF8" w14:textId="77777777" w:rsidR="003D1B66" w:rsidRDefault="003D1B66" w:rsidP="003D1B66">
      <w:pPr>
        <w:pStyle w:val="a0"/>
        <w:numPr>
          <w:ilvl w:val="0"/>
          <w:numId w:val="1"/>
        </w:numPr>
        <w:bidi/>
        <w:spacing w:after="120" w:line="360" w:lineRule="auto"/>
        <w:ind w:firstLine="0"/>
        <w:jc w:val="both"/>
      </w:pPr>
      <w:r>
        <w:rPr>
          <w:rFonts w:eastAsia="Arial"/>
          <w:rtl/>
        </w:rPr>
        <w:t>الفرضية الرئيسة الثانية: يوجد أثر ذو دلالة إحصائية لممارسات الحوكمة الصحية بأبعادها مجتمعة في مستوى الكفاءة الإدارية في المؤسسات الصحية بالمملكة العربية السعودية.</w:t>
      </w:r>
    </w:p>
    <w:p w14:paraId="2E38FAF4" w14:textId="77777777" w:rsidR="003D1B66" w:rsidRDefault="003D1B66" w:rsidP="003D1B66">
      <w:pPr>
        <w:pStyle w:val="a0"/>
        <w:numPr>
          <w:ilvl w:val="0"/>
          <w:numId w:val="1"/>
        </w:numPr>
        <w:bidi/>
        <w:spacing w:after="120" w:line="360" w:lineRule="auto"/>
        <w:ind w:firstLine="0"/>
        <w:jc w:val="both"/>
      </w:pPr>
      <w:r>
        <w:rPr>
          <w:rFonts w:eastAsia="Arial"/>
          <w:rtl/>
        </w:rPr>
        <w:t>الفرضية الرئيسة الثالثة: توجد علاقة ارتباط موجبة ذات دلالة إحصائية بين الشفافية المؤسسية والكفاءة الإدارية في المؤسسات الصحية.</w:t>
      </w:r>
    </w:p>
    <w:p w14:paraId="5B003489" w14:textId="77777777" w:rsidR="003D1B66" w:rsidRDefault="003D1B66" w:rsidP="003D1B66">
      <w:pPr>
        <w:pStyle w:val="a0"/>
        <w:numPr>
          <w:ilvl w:val="0"/>
          <w:numId w:val="1"/>
        </w:numPr>
        <w:bidi/>
        <w:spacing w:after="120" w:line="360" w:lineRule="auto"/>
        <w:ind w:firstLine="0"/>
        <w:jc w:val="both"/>
      </w:pPr>
      <w:r>
        <w:rPr>
          <w:rFonts w:eastAsia="Arial"/>
          <w:rtl/>
        </w:rPr>
        <w:t>الفرضية الرئيسة الرابعة: توجد فروق ذات دلالة إحصائية في تقديرات أفراد الدراسة لمتغيراتها تعزى إلى بعض المتغيرات الديموغرافية والوظيفية.</w:t>
      </w:r>
    </w:p>
    <w:p w14:paraId="31EC5A11" w14:textId="77777777" w:rsidR="003D1B66" w:rsidRDefault="003D1B66" w:rsidP="003D1B66">
      <w:pPr>
        <w:bidi/>
        <w:spacing w:after="120" w:line="360" w:lineRule="auto"/>
        <w:ind w:firstLine="397"/>
        <w:jc w:val="both"/>
      </w:pPr>
      <w:r>
        <w:rPr>
          <w:rFonts w:eastAsia="Arial"/>
          <w:rtl/>
        </w:rPr>
        <w:t>وتتفرع من الفرضيتين الأولى والثانية فرضيات تتعلق بأثر كل بعد من أبعاد الحوكمة الصحية المقترحة، وهي: وضوح الأدوار والمسؤوليات، والمساءلة والرقابة، والمشاركة في صنع القرار، والنزاهة والامتثال، والقدرة المؤسسية وإدارة المخاطر. ويُستبعد بُعد الشفافية من مقياس المتغير المستقل تجنباً للتداخل المفاهيمي، لأن الشفافية تمثل أحد المتغيرات التابعة الرئيسة في الدراسة.</w:t>
      </w:r>
    </w:p>
    <w:p w14:paraId="53480009" w14:textId="77777777" w:rsidR="003D1B66" w:rsidRDefault="003D1B66" w:rsidP="003D1B66">
      <w:pPr>
        <w:pStyle w:val="1"/>
        <w:bidi/>
        <w:jc w:val="both"/>
      </w:pPr>
      <w:r>
        <w:rPr>
          <w:rFonts w:ascii="Arial" w:eastAsia="Arial" w:hAnsi="Arial" w:cs="Arial"/>
        </w:rPr>
        <w:t>1-7</w:t>
      </w:r>
      <w:r>
        <w:rPr>
          <w:rFonts w:ascii="Arial" w:eastAsia="Arial" w:hAnsi="Arial" w:cs="Arial"/>
          <w:rtl/>
        </w:rPr>
        <w:t xml:space="preserve"> النظرية العلمية المتبعة لإعداد البحث</w:t>
      </w:r>
    </w:p>
    <w:p w14:paraId="0C364C83" w14:textId="77777777" w:rsidR="003D1B66" w:rsidRDefault="003D1B66" w:rsidP="003D1B66">
      <w:pPr>
        <w:bidi/>
        <w:spacing w:after="120" w:line="360" w:lineRule="auto"/>
        <w:ind w:firstLine="397"/>
        <w:jc w:val="both"/>
      </w:pPr>
      <w:r>
        <w:rPr>
          <w:rFonts w:eastAsia="Arial"/>
          <w:rtl/>
        </w:rPr>
        <w:t xml:space="preserve">تستند الدراسة إلى تكامل عدد من المنظورات النظرية التي تفسر الحاجة إلى الحوكمة وآليات تأثيرها في الشفافية والكفاءة. ويأتي في مقدمتها نظرية الوكالة التي تركز على ضبط علاقة التفويض وتقليل عدم تماثل المعلومات، ونظرية أصحاب المصلحة التي توسع نطاق </w:t>
      </w:r>
      <w:r>
        <w:rPr>
          <w:rFonts w:eastAsia="Arial"/>
          <w:rtl/>
        </w:rPr>
        <w:lastRenderedPageBreak/>
        <w:t xml:space="preserve">المسؤولية ليشمل العاملين والمرضى والمجتمع والجهات المنظمة، والنظرية المؤسسية التي تفسر أثر الأنظمة والثقافة والمعايير المهنية في السلوك التنظيمي. كما تستفيد الدراسة من إطار </w:t>
      </w:r>
      <w:r>
        <w:rPr>
          <w:rFonts w:eastAsia="Arial"/>
        </w:rPr>
        <w:t>TAPIC</w:t>
      </w:r>
      <w:r>
        <w:rPr>
          <w:rFonts w:eastAsia="Arial"/>
          <w:rtl/>
        </w:rPr>
        <w:t xml:space="preserve"> الذي يربط جودة الحوكمة بخمسة أبعاد: الشفافية، والمساءلة، والمشاركة، والنزاهة، والقدرة المؤسسية.</w:t>
      </w:r>
    </w:p>
    <w:p w14:paraId="1A21FF01" w14:textId="77777777" w:rsidR="003D1B66" w:rsidRDefault="003D1B66" w:rsidP="003D1B66">
      <w:pPr>
        <w:bidi/>
        <w:spacing w:after="120" w:line="360" w:lineRule="auto"/>
        <w:ind w:firstLine="397"/>
        <w:jc w:val="both"/>
      </w:pPr>
      <w:r>
        <w:rPr>
          <w:rFonts w:eastAsia="Arial"/>
          <w:rtl/>
        </w:rPr>
        <w:t>تسهم النظريات التنظيمية في تفسير سبب الحاجة إلى الحوكمة والآليات التي قد تؤدي بها إلى تحسين النتائج. ولا توجد نظرية واحدة تفسر جميع جوانب الحوكمة الصحية، لذلك يفيد الجمع بين عدد من المنظورات النظرية لفهم العلاقات بين أصحاب المصلحة والحوافز والقواعد والثقافة والموارد.</w:t>
      </w:r>
    </w:p>
    <w:p w14:paraId="254092CC" w14:textId="77777777" w:rsidR="003D1B66" w:rsidRDefault="003D1B66" w:rsidP="003D1B66">
      <w:pPr>
        <w:bidi/>
        <w:spacing w:after="120" w:line="360" w:lineRule="auto"/>
        <w:ind w:firstLine="397"/>
        <w:jc w:val="both"/>
      </w:pPr>
      <w:r>
        <w:rPr>
          <w:rFonts w:eastAsia="Arial"/>
          <w:rtl/>
        </w:rPr>
        <w:t>أولاً: نظرية الوكالة. تفترض هذه النظرية وجود علاقة تفويض بين الأصيل والوكيل، مثل علاقة الدولة أو المجتمع بإدارة المؤسسة الصحية، أو علاقة مجلس الإدارة بالإدارة التنفيذية. وتنشأ المشكلة عندما تختلف مصالح الطرفين أو يمتلك الوكيل معلومات أكثر من الأصيل. وتبرر النظرية استخدام التقارير والتدقيق والحوافز ومؤشرات الأداء والإفصاح للحد من عدم تماثل المعلومات والسلوك الانتهازي. وفي القطاع الصحي تتسع علاقات الوكالة لتشمل المريض ومقدم الخدمة والممول والجهة المنظمة، مما يجعل الشفافية والمساءلة ضروريتين لحماية المصلحة العامة.</w:t>
      </w:r>
    </w:p>
    <w:p w14:paraId="394C4FE3" w14:textId="77777777" w:rsidR="003D1B66" w:rsidRDefault="003D1B66" w:rsidP="003D1B66">
      <w:pPr>
        <w:bidi/>
        <w:spacing w:after="120" w:line="360" w:lineRule="auto"/>
        <w:ind w:firstLine="397"/>
        <w:jc w:val="both"/>
      </w:pPr>
      <w:r>
        <w:rPr>
          <w:rFonts w:eastAsia="Arial"/>
          <w:rtl/>
        </w:rPr>
        <w:t>ثانياً: نظرية أصحاب المصلحة. ترى هذه النظرية أن المؤسسة مسؤولة أمام مجموعة واسعة من الأطراف، وليس أمام المالك أو الممول فقط. وتشمل الأطراف في المؤسسات الصحية المرضى وأسرهم والعاملين والجهات التنظيمية والممولين والموردين والمجتمع. وبناءً على ذلك، ينبغي أن تراعي الحوكمة التوازن بين الجودة والاستدامة وحقوق العاملين وعدالة الوصول وسلامة المرضى، وأن توفر قنوات مناسبة للمشاركة والتواصل ومعالجة الشكاوى.</w:t>
      </w:r>
    </w:p>
    <w:p w14:paraId="3FA17EA6" w14:textId="77777777" w:rsidR="003D1B66" w:rsidRDefault="003D1B66" w:rsidP="003D1B66">
      <w:pPr>
        <w:bidi/>
        <w:spacing w:after="120" w:line="360" w:lineRule="auto"/>
        <w:ind w:firstLine="397"/>
        <w:jc w:val="both"/>
      </w:pPr>
      <w:r>
        <w:rPr>
          <w:rFonts w:eastAsia="Arial"/>
          <w:rtl/>
        </w:rPr>
        <w:t>ثالثاً: النظرية المؤسسية. تركز على أثر القواعد الرسمية والثقافة والتوقعات الاجتماعية والمهنية في سلوك المؤسسات. وقد تتبنى مؤسسة صحية سياسة أو لجنة استجابة لمتطلبات تنظيمية أو ضغوط مهنية، لكن الفاعلية تعتمد على تحولها من امتثال شكلي إلى ممارسة متجذرة في العمليات. وتساعد هذه النظرية على تفسير ظاهرة وجود سياسات مكتوبة لا تنعكس على القرارات اليومية بسبب ضعف الحوافز أو تضارب الأعراف الداخلية.</w:t>
      </w:r>
    </w:p>
    <w:p w14:paraId="31846F36" w14:textId="77777777" w:rsidR="003D1B66" w:rsidRDefault="003D1B66" w:rsidP="003D1B66">
      <w:pPr>
        <w:bidi/>
        <w:spacing w:after="120" w:line="360" w:lineRule="auto"/>
        <w:ind w:firstLine="397"/>
        <w:jc w:val="both"/>
      </w:pPr>
      <w:r>
        <w:rPr>
          <w:rFonts w:eastAsia="Arial"/>
          <w:rtl/>
        </w:rPr>
        <w:t>رابعاً: نظرية الإشراف أو القوامة. تنطلق من أن المديرين والمهنيين قد يتصرفون بوصفهم أمناء على رسالة المؤسسة، وليس فقط كأفراد يسعون إلى مصالح شخصية. ووفق هذا المنظور، تركز الحوكمة على الثقة والتمكين والالتزام المهني إلى جانب الرقابة. وتعد هذه الرؤية مهمة في القطاع الصحي الذي يعتمد على أخلاقيات المهن الصحية والدافع لخدمة المريض. إلا أن الثقة لا تلغي الحاجة إلى المساءلة، بل تتكامل معها في بيئة توضح التوقعات وتدعم التعلم ولا تتسامح مع الإهمال المتعمد.</w:t>
      </w:r>
    </w:p>
    <w:p w14:paraId="40AB3A57" w14:textId="77777777" w:rsidR="003D1B66" w:rsidRDefault="003D1B66" w:rsidP="003D1B66">
      <w:pPr>
        <w:bidi/>
        <w:spacing w:after="120" w:line="360" w:lineRule="auto"/>
        <w:ind w:firstLine="397"/>
        <w:jc w:val="both"/>
      </w:pPr>
      <w:r>
        <w:rPr>
          <w:rFonts w:eastAsia="Arial"/>
          <w:rtl/>
        </w:rPr>
        <w:t>خامساً: نظرية الاعتماد على الموارد. تفترض أن المؤسسة تحتاج إلى علاقات خارجية للحصول على التمويل والكوادر والمعرفة والتقنيات، وأن تكوين المجالس والشراكات والشبكات يساعدها على إدارة هذا الاعتماد. وفي المؤسسات الصحية، يمكن للحوكمة أن تعزز التنسيق مع الجامعات والقطاع الخاص والجهات التنظيمية والمجتمع، لكنها تحتاج أيضاً إلى ضوابط لتعارض المصالح وحماية استقلال القرار.</w:t>
      </w:r>
    </w:p>
    <w:p w14:paraId="03E9FFA4" w14:textId="77777777" w:rsidR="003D1B66" w:rsidRDefault="003D1B66" w:rsidP="003D1B66">
      <w:pPr>
        <w:bidi/>
        <w:spacing w:after="120" w:line="360" w:lineRule="auto"/>
        <w:ind w:firstLine="397"/>
        <w:jc w:val="both"/>
      </w:pPr>
      <w:r>
        <w:rPr>
          <w:rFonts w:eastAsia="Arial"/>
          <w:rtl/>
        </w:rPr>
        <w:t>سادساً: نظرية النظم والتغذية الراجعة. تنظر إلى المؤسسة الصحية كنظام مترابط لا يمكن تحسين جزء منه بمعزل عن بقية الأجزاء. وتؤكد أهمية المعلومات ومؤشرات الأداء ودورات المراجعة والتصحيح. ومن هذا المنظور، تعمل الحوكمة كآلية توجيه تضبط الأهداف، وتقيس الانحرافات، وتتعلم من النتائج، وتعيد تخصيص الموارد أو تعديل السياسات.</w:t>
      </w:r>
    </w:p>
    <w:p w14:paraId="4300D67F" w14:textId="77777777" w:rsidR="003D1B66" w:rsidRDefault="003D1B66" w:rsidP="003D1B66">
      <w:pPr>
        <w:keepNext/>
        <w:bidi/>
        <w:spacing w:before="120" w:after="80"/>
        <w:jc w:val="center"/>
      </w:pPr>
      <w:r>
        <w:rPr>
          <w:rFonts w:eastAsia="Arial"/>
          <w:b/>
          <w:sz w:val="24"/>
          <w:rtl/>
        </w:rPr>
        <w:lastRenderedPageBreak/>
        <w:t>جدول (</w:t>
      </w:r>
      <w:r>
        <w:rPr>
          <w:rFonts w:eastAsia="Arial"/>
          <w:b/>
          <w:sz w:val="24"/>
        </w:rPr>
        <w:t>1</w:t>
      </w:r>
      <w:r>
        <w:rPr>
          <w:rFonts w:eastAsia="Arial"/>
          <w:b/>
          <w:sz w:val="24"/>
          <w:rtl/>
        </w:rPr>
        <w:t>): النظريات المفسرة للحوكمة الصحية</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2976"/>
        <w:gridCol w:w="2976"/>
        <w:gridCol w:w="2976"/>
      </w:tblGrid>
      <w:tr w:rsidR="003D1B66" w14:paraId="090372D3" w14:textId="77777777" w:rsidTr="000B46B5">
        <w:trPr>
          <w:tblHeader/>
          <w:jc w:val="center"/>
        </w:trPr>
        <w:tc>
          <w:tcPr>
            <w:tcW w:w="2976" w:type="dxa"/>
            <w:shd w:val="clear" w:color="auto" w:fill="F2F2F2" w:themeFill="background1" w:themeFillShade="F2"/>
            <w:vAlign w:val="center"/>
          </w:tcPr>
          <w:p w14:paraId="1231AE84" w14:textId="77777777" w:rsidR="003D1B66" w:rsidRDefault="003D1B66" w:rsidP="000B46B5">
            <w:pPr>
              <w:bidi/>
              <w:spacing w:after="0" w:line="240" w:lineRule="auto"/>
              <w:jc w:val="both"/>
            </w:pPr>
            <w:r>
              <w:rPr>
                <w:rFonts w:eastAsia="Arial"/>
                <w:b/>
                <w:sz w:val="21"/>
                <w:rtl/>
              </w:rPr>
              <w:t>النظرية</w:t>
            </w:r>
          </w:p>
        </w:tc>
        <w:tc>
          <w:tcPr>
            <w:tcW w:w="2976" w:type="dxa"/>
            <w:shd w:val="clear" w:color="auto" w:fill="F2F2F2" w:themeFill="background1" w:themeFillShade="F2"/>
            <w:vAlign w:val="center"/>
          </w:tcPr>
          <w:p w14:paraId="1700B268" w14:textId="77777777" w:rsidR="003D1B66" w:rsidRDefault="003D1B66" w:rsidP="000B46B5">
            <w:pPr>
              <w:bidi/>
              <w:spacing w:after="0" w:line="240" w:lineRule="auto"/>
              <w:jc w:val="both"/>
            </w:pPr>
            <w:r>
              <w:rPr>
                <w:rFonts w:eastAsia="Arial"/>
                <w:b/>
                <w:sz w:val="21"/>
                <w:rtl/>
              </w:rPr>
              <w:t>المشكلة التي تفسرها</w:t>
            </w:r>
          </w:p>
        </w:tc>
        <w:tc>
          <w:tcPr>
            <w:tcW w:w="2976" w:type="dxa"/>
            <w:shd w:val="clear" w:color="auto" w:fill="F2F2F2" w:themeFill="background1" w:themeFillShade="F2"/>
            <w:vAlign w:val="center"/>
          </w:tcPr>
          <w:p w14:paraId="10C8F8F4" w14:textId="77777777" w:rsidR="003D1B66" w:rsidRDefault="003D1B66" w:rsidP="000B46B5">
            <w:pPr>
              <w:bidi/>
              <w:spacing w:after="0" w:line="240" w:lineRule="auto"/>
              <w:jc w:val="both"/>
            </w:pPr>
            <w:r>
              <w:rPr>
                <w:rFonts w:eastAsia="Arial"/>
                <w:b/>
                <w:sz w:val="21"/>
                <w:rtl/>
              </w:rPr>
              <w:t>أبرز آليات الحوكمة المستمدة منها</w:t>
            </w:r>
          </w:p>
        </w:tc>
      </w:tr>
      <w:tr w:rsidR="003D1B66" w14:paraId="11417E00" w14:textId="77777777" w:rsidTr="000B46B5">
        <w:trPr>
          <w:jc w:val="center"/>
        </w:trPr>
        <w:tc>
          <w:tcPr>
            <w:tcW w:w="2976" w:type="dxa"/>
            <w:shd w:val="clear" w:color="auto" w:fill="F2F2F2" w:themeFill="background1" w:themeFillShade="F2"/>
            <w:vAlign w:val="center"/>
          </w:tcPr>
          <w:p w14:paraId="6458B562" w14:textId="77777777" w:rsidR="003D1B66" w:rsidRDefault="003D1B66" w:rsidP="000B46B5">
            <w:pPr>
              <w:bidi/>
              <w:spacing w:after="0" w:line="240" w:lineRule="auto"/>
              <w:jc w:val="both"/>
            </w:pPr>
            <w:r>
              <w:rPr>
                <w:rFonts w:eastAsia="Arial"/>
                <w:sz w:val="21"/>
                <w:rtl/>
              </w:rPr>
              <w:t>نظرية الوكالة</w:t>
            </w:r>
          </w:p>
        </w:tc>
        <w:tc>
          <w:tcPr>
            <w:tcW w:w="2976" w:type="dxa"/>
            <w:shd w:val="clear" w:color="auto" w:fill="F2F2F2" w:themeFill="background1" w:themeFillShade="F2"/>
            <w:vAlign w:val="center"/>
          </w:tcPr>
          <w:p w14:paraId="3A335B4D" w14:textId="77777777" w:rsidR="003D1B66" w:rsidRDefault="003D1B66" w:rsidP="000B46B5">
            <w:pPr>
              <w:bidi/>
              <w:spacing w:after="0" w:line="240" w:lineRule="auto"/>
            </w:pPr>
            <w:r>
              <w:rPr>
                <w:rFonts w:eastAsia="Arial"/>
                <w:sz w:val="21"/>
                <w:rtl/>
              </w:rPr>
              <w:t>اختلاف المصالح وعدم تماثل المعلومات</w:t>
            </w:r>
          </w:p>
        </w:tc>
        <w:tc>
          <w:tcPr>
            <w:tcW w:w="2976" w:type="dxa"/>
            <w:shd w:val="clear" w:color="auto" w:fill="F2F2F2" w:themeFill="background1" w:themeFillShade="F2"/>
            <w:vAlign w:val="center"/>
          </w:tcPr>
          <w:p w14:paraId="5F42659F" w14:textId="77777777" w:rsidR="003D1B66" w:rsidRDefault="003D1B66" w:rsidP="000B46B5">
            <w:pPr>
              <w:bidi/>
              <w:spacing w:after="0" w:line="240" w:lineRule="auto"/>
            </w:pPr>
            <w:r>
              <w:rPr>
                <w:rFonts w:eastAsia="Arial"/>
                <w:sz w:val="21"/>
                <w:rtl/>
              </w:rPr>
              <w:t>الإفصاح، التدقيق، الحوافز، الرقابة، تحديد الصلاحيات</w:t>
            </w:r>
          </w:p>
        </w:tc>
      </w:tr>
      <w:tr w:rsidR="003D1B66" w14:paraId="6D430008" w14:textId="77777777" w:rsidTr="000B46B5">
        <w:trPr>
          <w:jc w:val="center"/>
        </w:trPr>
        <w:tc>
          <w:tcPr>
            <w:tcW w:w="2976" w:type="dxa"/>
            <w:shd w:val="clear" w:color="auto" w:fill="F2F2F2" w:themeFill="background1" w:themeFillShade="F2"/>
            <w:vAlign w:val="center"/>
          </w:tcPr>
          <w:p w14:paraId="188B756F" w14:textId="77777777" w:rsidR="003D1B66" w:rsidRDefault="003D1B66" w:rsidP="000B46B5">
            <w:pPr>
              <w:bidi/>
              <w:spacing w:after="0" w:line="240" w:lineRule="auto"/>
              <w:jc w:val="both"/>
            </w:pPr>
            <w:r>
              <w:rPr>
                <w:rFonts w:eastAsia="Arial"/>
                <w:sz w:val="21"/>
                <w:rtl/>
              </w:rPr>
              <w:t>أصحاب المصلحة</w:t>
            </w:r>
          </w:p>
        </w:tc>
        <w:tc>
          <w:tcPr>
            <w:tcW w:w="2976" w:type="dxa"/>
            <w:shd w:val="clear" w:color="auto" w:fill="F2F2F2" w:themeFill="background1" w:themeFillShade="F2"/>
            <w:vAlign w:val="center"/>
          </w:tcPr>
          <w:p w14:paraId="3924D5FA" w14:textId="77777777" w:rsidR="003D1B66" w:rsidRDefault="003D1B66" w:rsidP="000B46B5">
            <w:pPr>
              <w:bidi/>
              <w:spacing w:after="0" w:line="240" w:lineRule="auto"/>
            </w:pPr>
            <w:r>
              <w:rPr>
                <w:rFonts w:eastAsia="Arial"/>
                <w:sz w:val="21"/>
                <w:rtl/>
              </w:rPr>
              <w:t>تعدد المصالح والحقوق المتأثرة</w:t>
            </w:r>
          </w:p>
        </w:tc>
        <w:tc>
          <w:tcPr>
            <w:tcW w:w="2976" w:type="dxa"/>
            <w:shd w:val="clear" w:color="auto" w:fill="F2F2F2" w:themeFill="background1" w:themeFillShade="F2"/>
            <w:vAlign w:val="center"/>
          </w:tcPr>
          <w:p w14:paraId="5531A991" w14:textId="77777777" w:rsidR="003D1B66" w:rsidRDefault="003D1B66" w:rsidP="000B46B5">
            <w:pPr>
              <w:bidi/>
              <w:spacing w:after="0" w:line="240" w:lineRule="auto"/>
            </w:pPr>
            <w:r>
              <w:rPr>
                <w:rFonts w:eastAsia="Arial"/>
                <w:sz w:val="21"/>
                <w:rtl/>
              </w:rPr>
              <w:t>المشاركة، التشاور، قنوات الشكاوى، موازنة المصالح</w:t>
            </w:r>
          </w:p>
        </w:tc>
      </w:tr>
      <w:tr w:rsidR="003D1B66" w14:paraId="47D5BA75" w14:textId="77777777" w:rsidTr="000B46B5">
        <w:trPr>
          <w:jc w:val="center"/>
        </w:trPr>
        <w:tc>
          <w:tcPr>
            <w:tcW w:w="2976" w:type="dxa"/>
            <w:shd w:val="clear" w:color="auto" w:fill="F2F2F2" w:themeFill="background1" w:themeFillShade="F2"/>
            <w:vAlign w:val="center"/>
          </w:tcPr>
          <w:p w14:paraId="3E652360" w14:textId="77777777" w:rsidR="003D1B66" w:rsidRDefault="003D1B66" w:rsidP="000B46B5">
            <w:pPr>
              <w:bidi/>
              <w:spacing w:after="0" w:line="240" w:lineRule="auto"/>
              <w:jc w:val="both"/>
            </w:pPr>
            <w:r>
              <w:rPr>
                <w:rFonts w:eastAsia="Arial"/>
                <w:sz w:val="21"/>
                <w:rtl/>
              </w:rPr>
              <w:t>المؤسسية</w:t>
            </w:r>
          </w:p>
        </w:tc>
        <w:tc>
          <w:tcPr>
            <w:tcW w:w="2976" w:type="dxa"/>
            <w:shd w:val="clear" w:color="auto" w:fill="F2F2F2" w:themeFill="background1" w:themeFillShade="F2"/>
            <w:vAlign w:val="center"/>
          </w:tcPr>
          <w:p w14:paraId="490AE614" w14:textId="77777777" w:rsidR="003D1B66" w:rsidRDefault="003D1B66" w:rsidP="000B46B5">
            <w:pPr>
              <w:bidi/>
              <w:spacing w:after="0" w:line="240" w:lineRule="auto"/>
            </w:pPr>
            <w:r>
              <w:rPr>
                <w:rFonts w:eastAsia="Arial"/>
                <w:sz w:val="21"/>
                <w:rtl/>
              </w:rPr>
              <w:t>الفجوة بين القواعد الرسمية والممارسة</w:t>
            </w:r>
          </w:p>
        </w:tc>
        <w:tc>
          <w:tcPr>
            <w:tcW w:w="2976" w:type="dxa"/>
            <w:shd w:val="clear" w:color="auto" w:fill="F2F2F2" w:themeFill="background1" w:themeFillShade="F2"/>
            <w:vAlign w:val="center"/>
          </w:tcPr>
          <w:p w14:paraId="42295CB1" w14:textId="77777777" w:rsidR="003D1B66" w:rsidRDefault="003D1B66" w:rsidP="000B46B5">
            <w:pPr>
              <w:bidi/>
              <w:spacing w:after="0" w:line="240" w:lineRule="auto"/>
            </w:pPr>
            <w:r>
              <w:rPr>
                <w:rFonts w:eastAsia="Arial"/>
                <w:sz w:val="21"/>
                <w:rtl/>
              </w:rPr>
              <w:t>ترسيخ الثقافة، الامتثال الفعلي، توحيد الإجراءات، التقييم</w:t>
            </w:r>
          </w:p>
        </w:tc>
      </w:tr>
      <w:tr w:rsidR="003D1B66" w14:paraId="253EC8F4" w14:textId="77777777" w:rsidTr="000B46B5">
        <w:trPr>
          <w:jc w:val="center"/>
        </w:trPr>
        <w:tc>
          <w:tcPr>
            <w:tcW w:w="2976" w:type="dxa"/>
            <w:shd w:val="clear" w:color="auto" w:fill="F2F2F2" w:themeFill="background1" w:themeFillShade="F2"/>
            <w:vAlign w:val="center"/>
          </w:tcPr>
          <w:p w14:paraId="6D5EF145" w14:textId="77777777" w:rsidR="003D1B66" w:rsidRDefault="003D1B66" w:rsidP="000B46B5">
            <w:pPr>
              <w:bidi/>
              <w:spacing w:after="0" w:line="240" w:lineRule="auto"/>
              <w:jc w:val="both"/>
            </w:pPr>
            <w:r>
              <w:rPr>
                <w:rFonts w:eastAsia="Arial"/>
                <w:sz w:val="21"/>
                <w:rtl/>
              </w:rPr>
              <w:t>الإشراف/القوامة</w:t>
            </w:r>
          </w:p>
        </w:tc>
        <w:tc>
          <w:tcPr>
            <w:tcW w:w="2976" w:type="dxa"/>
            <w:shd w:val="clear" w:color="auto" w:fill="F2F2F2" w:themeFill="background1" w:themeFillShade="F2"/>
            <w:vAlign w:val="center"/>
          </w:tcPr>
          <w:p w14:paraId="6E5ACAF1" w14:textId="77777777" w:rsidR="003D1B66" w:rsidRDefault="003D1B66" w:rsidP="000B46B5">
            <w:pPr>
              <w:bidi/>
              <w:spacing w:after="0" w:line="240" w:lineRule="auto"/>
            </w:pPr>
            <w:r>
              <w:rPr>
                <w:rFonts w:eastAsia="Arial"/>
                <w:sz w:val="21"/>
                <w:rtl/>
              </w:rPr>
              <w:t>الحاجة إلى الثقة والالتزام بالرسالة</w:t>
            </w:r>
          </w:p>
        </w:tc>
        <w:tc>
          <w:tcPr>
            <w:tcW w:w="2976" w:type="dxa"/>
            <w:shd w:val="clear" w:color="auto" w:fill="F2F2F2" w:themeFill="background1" w:themeFillShade="F2"/>
            <w:vAlign w:val="center"/>
          </w:tcPr>
          <w:p w14:paraId="2C286887" w14:textId="77777777" w:rsidR="003D1B66" w:rsidRDefault="003D1B66" w:rsidP="000B46B5">
            <w:pPr>
              <w:bidi/>
              <w:spacing w:after="0" w:line="240" w:lineRule="auto"/>
            </w:pPr>
            <w:r>
              <w:rPr>
                <w:rFonts w:eastAsia="Arial"/>
                <w:sz w:val="21"/>
                <w:rtl/>
              </w:rPr>
              <w:t>التمكين، القيادة الأخلاقية، المساءلة التعليمية</w:t>
            </w:r>
          </w:p>
        </w:tc>
      </w:tr>
      <w:tr w:rsidR="003D1B66" w14:paraId="2DA8A8ED" w14:textId="77777777" w:rsidTr="000B46B5">
        <w:trPr>
          <w:jc w:val="center"/>
        </w:trPr>
        <w:tc>
          <w:tcPr>
            <w:tcW w:w="2976" w:type="dxa"/>
            <w:shd w:val="clear" w:color="auto" w:fill="F2F2F2" w:themeFill="background1" w:themeFillShade="F2"/>
            <w:vAlign w:val="center"/>
          </w:tcPr>
          <w:p w14:paraId="74AFFE2C" w14:textId="77777777" w:rsidR="003D1B66" w:rsidRDefault="003D1B66" w:rsidP="000B46B5">
            <w:pPr>
              <w:bidi/>
              <w:spacing w:after="0" w:line="240" w:lineRule="auto"/>
              <w:jc w:val="both"/>
            </w:pPr>
            <w:r>
              <w:rPr>
                <w:rFonts w:eastAsia="Arial"/>
                <w:sz w:val="21"/>
                <w:rtl/>
              </w:rPr>
              <w:t>الاعتماد على الموارد</w:t>
            </w:r>
          </w:p>
        </w:tc>
        <w:tc>
          <w:tcPr>
            <w:tcW w:w="2976" w:type="dxa"/>
            <w:shd w:val="clear" w:color="auto" w:fill="F2F2F2" w:themeFill="background1" w:themeFillShade="F2"/>
            <w:vAlign w:val="center"/>
          </w:tcPr>
          <w:p w14:paraId="1EB6CD68" w14:textId="77777777" w:rsidR="003D1B66" w:rsidRDefault="003D1B66" w:rsidP="000B46B5">
            <w:pPr>
              <w:bidi/>
              <w:spacing w:after="0" w:line="240" w:lineRule="auto"/>
            </w:pPr>
            <w:r>
              <w:rPr>
                <w:rFonts w:eastAsia="Arial"/>
                <w:sz w:val="21"/>
                <w:rtl/>
              </w:rPr>
              <w:t>اعتماد المؤسسة على أطراف وموارد خارجية</w:t>
            </w:r>
          </w:p>
        </w:tc>
        <w:tc>
          <w:tcPr>
            <w:tcW w:w="2976" w:type="dxa"/>
            <w:shd w:val="clear" w:color="auto" w:fill="F2F2F2" w:themeFill="background1" w:themeFillShade="F2"/>
            <w:vAlign w:val="center"/>
          </w:tcPr>
          <w:p w14:paraId="65F2C627" w14:textId="77777777" w:rsidR="003D1B66" w:rsidRDefault="003D1B66" w:rsidP="000B46B5">
            <w:pPr>
              <w:bidi/>
              <w:spacing w:after="0" w:line="240" w:lineRule="auto"/>
            </w:pPr>
            <w:r>
              <w:rPr>
                <w:rFonts w:eastAsia="Arial"/>
                <w:sz w:val="21"/>
                <w:rtl/>
              </w:rPr>
              <w:t>الشراكات، تنوع المجلس، إدارة تعارض المصالح</w:t>
            </w:r>
          </w:p>
        </w:tc>
      </w:tr>
      <w:tr w:rsidR="003D1B66" w14:paraId="0563DB3F" w14:textId="77777777" w:rsidTr="000B46B5">
        <w:trPr>
          <w:jc w:val="center"/>
        </w:trPr>
        <w:tc>
          <w:tcPr>
            <w:tcW w:w="2976" w:type="dxa"/>
            <w:shd w:val="clear" w:color="auto" w:fill="F2F2F2" w:themeFill="background1" w:themeFillShade="F2"/>
            <w:vAlign w:val="center"/>
          </w:tcPr>
          <w:p w14:paraId="3A654F02" w14:textId="77777777" w:rsidR="003D1B66" w:rsidRDefault="003D1B66" w:rsidP="000B46B5">
            <w:pPr>
              <w:bidi/>
              <w:spacing w:after="0" w:line="240" w:lineRule="auto"/>
              <w:jc w:val="both"/>
            </w:pPr>
            <w:r>
              <w:rPr>
                <w:rFonts w:eastAsia="Arial"/>
                <w:sz w:val="21"/>
                <w:rtl/>
              </w:rPr>
              <w:t>النظم والتغذية الراجعة</w:t>
            </w:r>
          </w:p>
        </w:tc>
        <w:tc>
          <w:tcPr>
            <w:tcW w:w="2976" w:type="dxa"/>
            <w:shd w:val="clear" w:color="auto" w:fill="F2F2F2" w:themeFill="background1" w:themeFillShade="F2"/>
            <w:vAlign w:val="center"/>
          </w:tcPr>
          <w:p w14:paraId="5B94E16F" w14:textId="77777777" w:rsidR="003D1B66" w:rsidRDefault="003D1B66" w:rsidP="000B46B5">
            <w:pPr>
              <w:bidi/>
              <w:spacing w:after="0" w:line="240" w:lineRule="auto"/>
            </w:pPr>
            <w:r>
              <w:rPr>
                <w:rFonts w:eastAsia="Arial"/>
                <w:sz w:val="21"/>
                <w:rtl/>
              </w:rPr>
              <w:t>ترابط العمليات والحاجة إلى التعلم</w:t>
            </w:r>
          </w:p>
        </w:tc>
        <w:tc>
          <w:tcPr>
            <w:tcW w:w="2976" w:type="dxa"/>
            <w:shd w:val="clear" w:color="auto" w:fill="F2F2F2" w:themeFill="background1" w:themeFillShade="F2"/>
            <w:vAlign w:val="center"/>
          </w:tcPr>
          <w:p w14:paraId="799933C4" w14:textId="77777777" w:rsidR="003D1B66" w:rsidRDefault="003D1B66" w:rsidP="000B46B5">
            <w:pPr>
              <w:bidi/>
              <w:spacing w:after="0" w:line="240" w:lineRule="auto"/>
            </w:pPr>
            <w:r>
              <w:rPr>
                <w:rFonts w:eastAsia="Arial"/>
                <w:sz w:val="21"/>
                <w:rtl/>
              </w:rPr>
              <w:t>مؤشرات الأداء، المراجعة الدورية، الإجراءات التصحيحية</w:t>
            </w:r>
          </w:p>
        </w:tc>
      </w:tr>
    </w:tbl>
    <w:p w14:paraId="62DEA8DF" w14:textId="77777777" w:rsidR="003D1B66" w:rsidRDefault="003D1B66" w:rsidP="003D1B66">
      <w:pPr>
        <w:pStyle w:val="1"/>
        <w:bidi/>
        <w:jc w:val="both"/>
      </w:pPr>
      <w:r>
        <w:rPr>
          <w:rFonts w:ascii="Arial" w:eastAsia="Arial" w:hAnsi="Arial" w:cs="Arial"/>
        </w:rPr>
        <w:t>1-8</w:t>
      </w:r>
      <w:r>
        <w:rPr>
          <w:rFonts w:ascii="Arial" w:eastAsia="Arial" w:hAnsi="Arial" w:cs="Arial"/>
          <w:rtl/>
        </w:rPr>
        <w:t xml:space="preserve"> نموذج الدراسة ومتغيراتها</w:t>
      </w:r>
    </w:p>
    <w:p w14:paraId="13015A91" w14:textId="77777777" w:rsidR="003D1B66" w:rsidRDefault="003D1B66" w:rsidP="003D1B66">
      <w:pPr>
        <w:bidi/>
        <w:spacing w:after="120" w:line="360" w:lineRule="auto"/>
        <w:ind w:firstLine="397"/>
        <w:jc w:val="both"/>
      </w:pPr>
      <w:r>
        <w:rPr>
          <w:rFonts w:eastAsia="Arial"/>
          <w:rtl/>
        </w:rPr>
        <w:t>يقوم النموذج المقترح على أن جودة ممارسات الحوكمة الصحية تؤثر في نتيجتين مؤسسيتين أساسيتين: الشفافية المؤسسية والكفاءة الإدارية. ويتكون المتغير المستقل من خمسة أبعاد مقترحة، بينما يتكون كل متغير تابع من مجموعة مؤشرات تشغيلية قابلة للقياس.</w:t>
      </w:r>
    </w:p>
    <w:p w14:paraId="35FC2134" w14:textId="77777777" w:rsidR="003D1B66" w:rsidRDefault="003D1B66" w:rsidP="003D1B66">
      <w:pPr>
        <w:keepNext/>
        <w:bidi/>
        <w:spacing w:before="120" w:after="80"/>
        <w:jc w:val="center"/>
      </w:pPr>
      <w:r>
        <w:rPr>
          <w:rFonts w:eastAsia="Arial"/>
          <w:b/>
          <w:sz w:val="24"/>
          <w:rtl/>
        </w:rPr>
        <w:t>جدول (</w:t>
      </w:r>
      <w:r>
        <w:rPr>
          <w:rFonts w:eastAsia="Arial"/>
          <w:b/>
          <w:sz w:val="24"/>
        </w:rPr>
        <w:t>2</w:t>
      </w:r>
      <w:r>
        <w:rPr>
          <w:rFonts w:eastAsia="Arial"/>
          <w:b/>
          <w:sz w:val="24"/>
          <w:rtl/>
        </w:rPr>
        <w:t>): النموذج المفاهيمي للدراسة</w:t>
      </w:r>
    </w:p>
    <w:tbl>
      <w:tblPr>
        <w:bidiVisual/>
        <w:tblW w:w="8930"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1786"/>
        <w:gridCol w:w="939"/>
        <w:gridCol w:w="1710"/>
        <w:gridCol w:w="810"/>
        <w:gridCol w:w="3685"/>
      </w:tblGrid>
      <w:tr w:rsidR="003D1B66" w14:paraId="4EF75E37" w14:textId="77777777" w:rsidTr="000B46B5">
        <w:trPr>
          <w:tblHeader/>
          <w:jc w:val="center"/>
        </w:trPr>
        <w:tc>
          <w:tcPr>
            <w:tcW w:w="1786" w:type="dxa"/>
            <w:shd w:val="clear" w:color="auto" w:fill="F2F2F2" w:themeFill="background1" w:themeFillShade="F2"/>
            <w:vAlign w:val="center"/>
          </w:tcPr>
          <w:p w14:paraId="24928808" w14:textId="77777777" w:rsidR="003D1B66" w:rsidRDefault="003D1B66" w:rsidP="000B46B5">
            <w:pPr>
              <w:bidi/>
              <w:spacing w:after="0" w:line="240" w:lineRule="auto"/>
              <w:jc w:val="center"/>
            </w:pPr>
            <w:r>
              <w:rPr>
                <w:rFonts w:eastAsia="Arial"/>
                <w:b/>
                <w:sz w:val="21"/>
                <w:rtl/>
              </w:rPr>
              <w:t>وضوح المعلومات والإجراءات والقرارات وإتاحة التفسير والمراجعة</w:t>
            </w:r>
          </w:p>
        </w:tc>
        <w:tc>
          <w:tcPr>
            <w:tcW w:w="939" w:type="dxa"/>
            <w:shd w:val="clear" w:color="auto" w:fill="F2F2F2" w:themeFill="background1" w:themeFillShade="F2"/>
            <w:vAlign w:val="center"/>
          </w:tcPr>
          <w:p w14:paraId="247960F7" w14:textId="77777777" w:rsidR="003D1B66" w:rsidRDefault="003D1B66" w:rsidP="000B46B5">
            <w:pPr>
              <w:bidi/>
              <w:spacing w:after="0" w:line="240" w:lineRule="auto"/>
              <w:jc w:val="center"/>
            </w:pPr>
            <w:r>
              <w:rPr>
                <w:rFonts w:eastAsia="Arial"/>
                <w:b/>
                <w:sz w:val="21"/>
                <w:rtl/>
              </w:rPr>
              <w:t>←</w:t>
            </w:r>
          </w:p>
        </w:tc>
        <w:tc>
          <w:tcPr>
            <w:tcW w:w="1710" w:type="dxa"/>
            <w:shd w:val="clear" w:color="auto" w:fill="F2F2F2" w:themeFill="background1" w:themeFillShade="F2"/>
            <w:vAlign w:val="center"/>
          </w:tcPr>
          <w:p w14:paraId="5F89B733" w14:textId="77777777" w:rsidR="003D1B66" w:rsidRDefault="003D1B66" w:rsidP="000B46B5">
            <w:pPr>
              <w:bidi/>
              <w:spacing w:after="0" w:line="240" w:lineRule="auto"/>
              <w:jc w:val="center"/>
            </w:pPr>
            <w:r>
              <w:rPr>
                <w:rFonts w:eastAsia="Arial"/>
                <w:b/>
                <w:sz w:val="21"/>
                <w:rtl/>
              </w:rPr>
              <w:t>الشفافية المؤسسية</w:t>
            </w:r>
          </w:p>
        </w:tc>
        <w:tc>
          <w:tcPr>
            <w:tcW w:w="810" w:type="dxa"/>
            <w:shd w:val="clear" w:color="auto" w:fill="F2F2F2" w:themeFill="background1" w:themeFillShade="F2"/>
            <w:vAlign w:val="center"/>
          </w:tcPr>
          <w:p w14:paraId="414606B4" w14:textId="77777777" w:rsidR="003D1B66" w:rsidRDefault="003D1B66" w:rsidP="000B46B5">
            <w:pPr>
              <w:bidi/>
              <w:spacing w:after="0" w:line="240" w:lineRule="auto"/>
              <w:jc w:val="center"/>
            </w:pPr>
            <w:r>
              <w:rPr>
                <w:rFonts w:eastAsia="Arial"/>
                <w:b/>
                <w:sz w:val="21"/>
                <w:rtl/>
              </w:rPr>
              <w:t>←</w:t>
            </w:r>
          </w:p>
        </w:tc>
        <w:tc>
          <w:tcPr>
            <w:tcW w:w="3685" w:type="dxa"/>
            <w:shd w:val="clear" w:color="auto" w:fill="F2F2F2" w:themeFill="background1" w:themeFillShade="F2"/>
            <w:vAlign w:val="center"/>
          </w:tcPr>
          <w:p w14:paraId="367C05CD" w14:textId="77777777" w:rsidR="003D1B66" w:rsidRDefault="003D1B66" w:rsidP="000B46B5">
            <w:pPr>
              <w:bidi/>
              <w:spacing w:after="0" w:line="240" w:lineRule="auto"/>
              <w:jc w:val="center"/>
            </w:pPr>
            <w:r>
              <w:rPr>
                <w:rFonts w:eastAsia="Arial"/>
                <w:b/>
                <w:sz w:val="21"/>
                <w:rtl/>
              </w:rPr>
              <w:t>ممارسات الحوكمة الصحية</w:t>
            </w:r>
            <w:r>
              <w:rPr>
                <w:rFonts w:eastAsia="Arial"/>
                <w:b/>
                <w:sz w:val="21"/>
                <w:rtl/>
              </w:rPr>
              <w:br/>
            </w:r>
            <w:r>
              <w:rPr>
                <w:rFonts w:eastAsia="Arial"/>
                <w:b/>
                <w:sz w:val="21"/>
                <w:rtl/>
              </w:rPr>
              <w:br/>
              <w:t>• وضوح الأدوار والمسؤوليات</w:t>
            </w:r>
            <w:r>
              <w:rPr>
                <w:rFonts w:eastAsia="Arial"/>
                <w:b/>
                <w:sz w:val="21"/>
                <w:rtl/>
              </w:rPr>
              <w:br/>
              <w:t>• المساءلة والرقابة</w:t>
            </w:r>
            <w:r>
              <w:rPr>
                <w:rFonts w:eastAsia="Arial"/>
                <w:b/>
                <w:sz w:val="21"/>
                <w:rtl/>
              </w:rPr>
              <w:br/>
              <w:t>• المشاركة في صنع القرار</w:t>
            </w:r>
            <w:r>
              <w:rPr>
                <w:rFonts w:eastAsia="Arial"/>
                <w:b/>
                <w:sz w:val="21"/>
                <w:rtl/>
              </w:rPr>
              <w:br/>
              <w:t>• النزاهة والامتثال</w:t>
            </w:r>
            <w:r>
              <w:rPr>
                <w:rFonts w:eastAsia="Arial"/>
                <w:b/>
                <w:sz w:val="21"/>
                <w:rtl/>
              </w:rPr>
              <w:br/>
              <w:t>• القدرة المؤسسية وإدارة المخاطر</w:t>
            </w:r>
          </w:p>
        </w:tc>
      </w:tr>
      <w:tr w:rsidR="003D1B66" w14:paraId="482AAD10" w14:textId="77777777" w:rsidTr="000B46B5">
        <w:trPr>
          <w:jc w:val="center"/>
        </w:trPr>
        <w:tc>
          <w:tcPr>
            <w:tcW w:w="1786" w:type="dxa"/>
            <w:shd w:val="clear" w:color="auto" w:fill="F2F2F2" w:themeFill="background1" w:themeFillShade="F2"/>
            <w:vAlign w:val="center"/>
          </w:tcPr>
          <w:p w14:paraId="02E64E88" w14:textId="77777777" w:rsidR="003D1B66" w:rsidRDefault="003D1B66" w:rsidP="000B46B5">
            <w:pPr>
              <w:bidi/>
              <w:spacing w:after="0" w:line="240" w:lineRule="auto"/>
              <w:jc w:val="center"/>
            </w:pPr>
            <w:r>
              <w:rPr>
                <w:rFonts w:eastAsia="Arial"/>
                <w:sz w:val="21"/>
                <w:rtl/>
              </w:rPr>
              <w:t>سرعة الإجراءات، ترشيد الموارد، تقليل الهدر، جودة التنسيق والقرار</w:t>
            </w:r>
          </w:p>
        </w:tc>
        <w:tc>
          <w:tcPr>
            <w:tcW w:w="939" w:type="dxa"/>
            <w:shd w:val="clear" w:color="auto" w:fill="F2F2F2" w:themeFill="background1" w:themeFillShade="F2"/>
            <w:vAlign w:val="center"/>
          </w:tcPr>
          <w:p w14:paraId="585F761F" w14:textId="77777777" w:rsidR="003D1B66" w:rsidRDefault="003D1B66" w:rsidP="000B46B5">
            <w:pPr>
              <w:bidi/>
              <w:spacing w:after="0" w:line="240" w:lineRule="auto"/>
              <w:jc w:val="center"/>
            </w:pPr>
            <w:r>
              <w:rPr>
                <w:rFonts w:eastAsia="Arial"/>
                <w:sz w:val="21"/>
                <w:rtl/>
              </w:rPr>
              <w:t>←</w:t>
            </w:r>
          </w:p>
        </w:tc>
        <w:tc>
          <w:tcPr>
            <w:tcW w:w="1710" w:type="dxa"/>
            <w:shd w:val="clear" w:color="auto" w:fill="F2F2F2" w:themeFill="background1" w:themeFillShade="F2"/>
            <w:vAlign w:val="center"/>
          </w:tcPr>
          <w:p w14:paraId="61435E60" w14:textId="77777777" w:rsidR="003D1B66" w:rsidRDefault="003D1B66" w:rsidP="000B46B5">
            <w:pPr>
              <w:bidi/>
              <w:spacing w:after="0" w:line="240" w:lineRule="auto"/>
              <w:jc w:val="center"/>
            </w:pPr>
            <w:r>
              <w:rPr>
                <w:rFonts w:eastAsia="Arial"/>
                <w:sz w:val="21"/>
                <w:rtl/>
              </w:rPr>
              <w:t>الكفاءة الإدارية</w:t>
            </w:r>
          </w:p>
        </w:tc>
        <w:tc>
          <w:tcPr>
            <w:tcW w:w="810" w:type="dxa"/>
            <w:shd w:val="clear" w:color="auto" w:fill="F2F2F2" w:themeFill="background1" w:themeFillShade="F2"/>
            <w:vAlign w:val="center"/>
          </w:tcPr>
          <w:p w14:paraId="708874EB" w14:textId="77777777" w:rsidR="003D1B66" w:rsidRDefault="003D1B66" w:rsidP="000B46B5">
            <w:pPr>
              <w:bidi/>
              <w:spacing w:after="0" w:line="240" w:lineRule="auto"/>
              <w:jc w:val="center"/>
            </w:pPr>
            <w:r>
              <w:rPr>
                <w:rFonts w:eastAsia="Arial"/>
                <w:sz w:val="21"/>
                <w:rtl/>
              </w:rPr>
              <w:t>←</w:t>
            </w:r>
          </w:p>
        </w:tc>
        <w:tc>
          <w:tcPr>
            <w:tcW w:w="3685" w:type="dxa"/>
            <w:shd w:val="clear" w:color="auto" w:fill="F2F2F2" w:themeFill="background1" w:themeFillShade="F2"/>
            <w:vAlign w:val="center"/>
          </w:tcPr>
          <w:p w14:paraId="3DFA58BA" w14:textId="77777777" w:rsidR="003D1B66" w:rsidRDefault="003D1B66" w:rsidP="000B46B5">
            <w:pPr>
              <w:bidi/>
              <w:spacing w:after="0" w:line="240" w:lineRule="auto"/>
              <w:jc w:val="center"/>
            </w:pPr>
            <w:r>
              <w:rPr>
                <w:rFonts w:eastAsia="Arial"/>
                <w:sz w:val="21"/>
                <w:rtl/>
              </w:rPr>
              <w:t>ممارسات الحوكمة الصحية</w:t>
            </w:r>
            <w:r>
              <w:rPr>
                <w:rFonts w:eastAsia="Arial"/>
                <w:sz w:val="21"/>
                <w:rtl/>
              </w:rPr>
              <w:br/>
            </w:r>
            <w:r>
              <w:rPr>
                <w:rFonts w:eastAsia="Arial"/>
                <w:sz w:val="21"/>
                <w:rtl/>
              </w:rPr>
              <w:br/>
              <w:t>• وضوح الأدوار والمسؤوليات</w:t>
            </w:r>
            <w:r>
              <w:rPr>
                <w:rFonts w:eastAsia="Arial"/>
                <w:sz w:val="21"/>
                <w:rtl/>
              </w:rPr>
              <w:br/>
              <w:t>• المساءلة والرقابة</w:t>
            </w:r>
            <w:r>
              <w:rPr>
                <w:rFonts w:eastAsia="Arial"/>
                <w:sz w:val="21"/>
                <w:rtl/>
              </w:rPr>
              <w:br/>
              <w:t>• المشاركة في صنع القرار</w:t>
            </w:r>
            <w:r>
              <w:rPr>
                <w:rFonts w:eastAsia="Arial"/>
                <w:sz w:val="21"/>
                <w:rtl/>
              </w:rPr>
              <w:br/>
              <w:t>• النزاهة والامتثال</w:t>
            </w:r>
            <w:r>
              <w:rPr>
                <w:rFonts w:eastAsia="Arial"/>
                <w:sz w:val="21"/>
                <w:rtl/>
              </w:rPr>
              <w:br/>
              <w:t>• القدرة المؤسسية وإدارة المخاطر</w:t>
            </w:r>
          </w:p>
        </w:tc>
      </w:tr>
      <w:tr w:rsidR="003D1B66" w14:paraId="398CD645" w14:textId="77777777" w:rsidTr="000B46B5">
        <w:trPr>
          <w:jc w:val="center"/>
        </w:trPr>
        <w:tc>
          <w:tcPr>
            <w:tcW w:w="1786" w:type="dxa"/>
            <w:shd w:val="clear" w:color="auto" w:fill="F2F2F2" w:themeFill="background1" w:themeFillShade="F2"/>
            <w:vAlign w:val="center"/>
          </w:tcPr>
          <w:p w14:paraId="283E2252" w14:textId="77777777" w:rsidR="003D1B66" w:rsidRDefault="003D1B66" w:rsidP="000B46B5">
            <w:pPr>
              <w:bidi/>
              <w:spacing w:after="0" w:line="240" w:lineRule="auto"/>
              <w:jc w:val="center"/>
            </w:pPr>
            <w:r>
              <w:rPr>
                <w:rFonts w:eastAsia="Arial"/>
                <w:sz w:val="21"/>
                <w:rtl/>
              </w:rPr>
              <w:t>جودة أعلى، ثقة أكبر، استدامة أفضل</w:t>
            </w:r>
          </w:p>
        </w:tc>
        <w:tc>
          <w:tcPr>
            <w:tcW w:w="939" w:type="dxa"/>
            <w:shd w:val="clear" w:color="auto" w:fill="F2F2F2" w:themeFill="background1" w:themeFillShade="F2"/>
            <w:vAlign w:val="center"/>
          </w:tcPr>
          <w:p w14:paraId="72B75FA7" w14:textId="77777777" w:rsidR="003D1B66" w:rsidRDefault="003D1B66" w:rsidP="000B46B5">
            <w:pPr>
              <w:bidi/>
              <w:spacing w:after="0" w:line="240" w:lineRule="auto"/>
              <w:jc w:val="center"/>
            </w:pPr>
          </w:p>
        </w:tc>
        <w:tc>
          <w:tcPr>
            <w:tcW w:w="1710" w:type="dxa"/>
            <w:shd w:val="clear" w:color="auto" w:fill="F2F2F2" w:themeFill="background1" w:themeFillShade="F2"/>
            <w:vAlign w:val="center"/>
          </w:tcPr>
          <w:p w14:paraId="7FDD8EE3" w14:textId="77777777" w:rsidR="003D1B66" w:rsidRDefault="003D1B66" w:rsidP="000B46B5">
            <w:pPr>
              <w:bidi/>
              <w:spacing w:after="0" w:line="240" w:lineRule="auto"/>
              <w:jc w:val="center"/>
            </w:pPr>
            <w:r>
              <w:rPr>
                <w:rFonts w:eastAsia="Arial"/>
                <w:sz w:val="21"/>
                <w:rtl/>
              </w:rPr>
              <w:t>تحسين الأداء المؤسسي (نتيجة تطبيقية متوقعة)</w:t>
            </w:r>
          </w:p>
        </w:tc>
        <w:tc>
          <w:tcPr>
            <w:tcW w:w="810" w:type="dxa"/>
            <w:shd w:val="clear" w:color="auto" w:fill="F2F2F2" w:themeFill="background1" w:themeFillShade="F2"/>
            <w:vAlign w:val="center"/>
          </w:tcPr>
          <w:p w14:paraId="71BF992A" w14:textId="77777777" w:rsidR="003D1B66" w:rsidRDefault="003D1B66" w:rsidP="000B46B5">
            <w:pPr>
              <w:bidi/>
              <w:spacing w:after="0" w:line="240" w:lineRule="auto"/>
              <w:jc w:val="center"/>
            </w:pPr>
            <w:r>
              <w:rPr>
                <w:rFonts w:eastAsia="Arial"/>
                <w:sz w:val="21"/>
                <w:rtl/>
              </w:rPr>
              <w:t>←</w:t>
            </w:r>
          </w:p>
        </w:tc>
        <w:tc>
          <w:tcPr>
            <w:tcW w:w="3685" w:type="dxa"/>
            <w:shd w:val="clear" w:color="auto" w:fill="F2F2F2" w:themeFill="background1" w:themeFillShade="F2"/>
            <w:vAlign w:val="center"/>
          </w:tcPr>
          <w:p w14:paraId="5E63E674" w14:textId="77777777" w:rsidR="003D1B66" w:rsidRDefault="003D1B66" w:rsidP="000B46B5">
            <w:pPr>
              <w:bidi/>
              <w:spacing w:after="0" w:line="240" w:lineRule="auto"/>
              <w:jc w:val="center"/>
            </w:pPr>
            <w:r>
              <w:rPr>
                <w:rFonts w:eastAsia="Arial"/>
                <w:sz w:val="21"/>
                <w:rtl/>
              </w:rPr>
              <w:t>ممارسات الحوكمة الصحية</w:t>
            </w:r>
            <w:r>
              <w:rPr>
                <w:rFonts w:eastAsia="Arial"/>
                <w:sz w:val="21"/>
                <w:rtl/>
              </w:rPr>
              <w:br/>
            </w:r>
            <w:r>
              <w:rPr>
                <w:rFonts w:eastAsia="Arial"/>
                <w:sz w:val="21"/>
                <w:rtl/>
              </w:rPr>
              <w:br/>
              <w:t>• وضوح الأدوار والمسؤوليات</w:t>
            </w:r>
            <w:r>
              <w:rPr>
                <w:rFonts w:eastAsia="Arial"/>
                <w:sz w:val="21"/>
                <w:rtl/>
              </w:rPr>
              <w:br/>
              <w:t>• المساءلة والرقابة</w:t>
            </w:r>
            <w:r>
              <w:rPr>
                <w:rFonts w:eastAsia="Arial"/>
                <w:sz w:val="21"/>
                <w:rtl/>
              </w:rPr>
              <w:br/>
              <w:t>• المشاركة في صنع القرار</w:t>
            </w:r>
            <w:r>
              <w:rPr>
                <w:rFonts w:eastAsia="Arial"/>
                <w:sz w:val="21"/>
                <w:rtl/>
              </w:rPr>
              <w:br/>
              <w:t>• النزاهة والامتثال</w:t>
            </w:r>
            <w:r>
              <w:rPr>
                <w:rFonts w:eastAsia="Arial"/>
                <w:sz w:val="21"/>
                <w:rtl/>
              </w:rPr>
              <w:br/>
              <w:t>• القدرة المؤسسية وإدارة المخاطر</w:t>
            </w:r>
          </w:p>
        </w:tc>
      </w:tr>
    </w:tbl>
    <w:p w14:paraId="6B04DEA5" w14:textId="77777777" w:rsidR="003D1B66" w:rsidRDefault="003D1B66" w:rsidP="003D1B66">
      <w:pPr>
        <w:bidi/>
        <w:spacing w:after="120" w:line="360" w:lineRule="auto"/>
        <w:ind w:firstLine="397"/>
        <w:jc w:val="both"/>
      </w:pPr>
      <w:r>
        <w:rPr>
          <w:rFonts w:eastAsia="Arial"/>
          <w:rtl/>
        </w:rPr>
        <w:lastRenderedPageBreak/>
        <w:t>ملاحظة منهجية: يركز الاختبار الإحصائي الرئيس على أثر أبعاد الحوكمة الصحية في الشفافية المؤسسية والكفاءة الإدارية. أما تحسين الأداء المؤسسي فيُعرض بوصفه نتيجة تطبيقية متوقعة، ولا يُعامل كمتغير تابع مستقل إلا إذا تقرر توسيع النموذج وأداة الدراسة.</w:t>
      </w:r>
    </w:p>
    <w:p w14:paraId="34DE4805" w14:textId="77777777" w:rsidR="003D1B66" w:rsidRDefault="003D1B66" w:rsidP="003D1B66">
      <w:pPr>
        <w:keepNext/>
        <w:bidi/>
        <w:spacing w:before="120" w:after="80"/>
        <w:jc w:val="center"/>
      </w:pPr>
      <w:r>
        <w:rPr>
          <w:rFonts w:eastAsia="Arial"/>
          <w:b/>
          <w:sz w:val="24"/>
          <w:rtl/>
        </w:rPr>
        <w:t>جدول (</w:t>
      </w:r>
      <w:r>
        <w:rPr>
          <w:rFonts w:eastAsia="Arial"/>
          <w:b/>
          <w:sz w:val="24"/>
        </w:rPr>
        <w:t>3</w:t>
      </w:r>
      <w:r>
        <w:rPr>
          <w:rFonts w:eastAsia="Arial"/>
          <w:b/>
          <w:sz w:val="24"/>
          <w:rtl/>
        </w:rPr>
        <w:t>): متغيرات الدراسة وأبعادها</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2233"/>
        <w:gridCol w:w="2232"/>
        <w:gridCol w:w="2232"/>
        <w:gridCol w:w="2231"/>
      </w:tblGrid>
      <w:tr w:rsidR="003D1B66" w14:paraId="51FCD2C1" w14:textId="77777777" w:rsidTr="000B46B5">
        <w:trPr>
          <w:tblHeader/>
          <w:jc w:val="center"/>
        </w:trPr>
        <w:tc>
          <w:tcPr>
            <w:tcW w:w="2232" w:type="dxa"/>
            <w:shd w:val="clear" w:color="auto" w:fill="F2F2F2" w:themeFill="background1" w:themeFillShade="F2"/>
            <w:vAlign w:val="center"/>
          </w:tcPr>
          <w:p w14:paraId="4E7DA6D5" w14:textId="77777777" w:rsidR="003D1B66" w:rsidRDefault="003D1B66" w:rsidP="000B46B5">
            <w:pPr>
              <w:bidi/>
              <w:spacing w:after="0" w:line="240" w:lineRule="auto"/>
            </w:pPr>
            <w:r>
              <w:rPr>
                <w:rFonts w:eastAsia="Arial"/>
                <w:b/>
                <w:sz w:val="21"/>
                <w:rtl/>
              </w:rPr>
              <w:t>المتغير</w:t>
            </w:r>
          </w:p>
        </w:tc>
        <w:tc>
          <w:tcPr>
            <w:tcW w:w="2232" w:type="dxa"/>
            <w:shd w:val="clear" w:color="auto" w:fill="F2F2F2" w:themeFill="background1" w:themeFillShade="F2"/>
            <w:vAlign w:val="center"/>
          </w:tcPr>
          <w:p w14:paraId="45760A00" w14:textId="77777777" w:rsidR="003D1B66" w:rsidRDefault="003D1B66" w:rsidP="000B46B5">
            <w:pPr>
              <w:bidi/>
              <w:spacing w:after="0" w:line="240" w:lineRule="auto"/>
            </w:pPr>
            <w:r>
              <w:rPr>
                <w:rFonts w:eastAsia="Arial"/>
                <w:b/>
                <w:sz w:val="21"/>
                <w:rtl/>
              </w:rPr>
              <w:t>النوع</w:t>
            </w:r>
          </w:p>
        </w:tc>
        <w:tc>
          <w:tcPr>
            <w:tcW w:w="2232" w:type="dxa"/>
            <w:shd w:val="clear" w:color="auto" w:fill="F2F2F2" w:themeFill="background1" w:themeFillShade="F2"/>
            <w:vAlign w:val="center"/>
          </w:tcPr>
          <w:p w14:paraId="5C6A8CEC" w14:textId="77777777" w:rsidR="003D1B66" w:rsidRDefault="003D1B66" w:rsidP="000B46B5">
            <w:pPr>
              <w:bidi/>
              <w:spacing w:after="0" w:line="240" w:lineRule="auto"/>
            </w:pPr>
            <w:r>
              <w:rPr>
                <w:rFonts w:eastAsia="Arial"/>
                <w:b/>
                <w:sz w:val="21"/>
                <w:rtl/>
              </w:rPr>
              <w:t>الأبعاد/المؤشرات المقترحة</w:t>
            </w:r>
          </w:p>
        </w:tc>
        <w:tc>
          <w:tcPr>
            <w:tcW w:w="2231" w:type="dxa"/>
            <w:shd w:val="clear" w:color="auto" w:fill="F2F2F2" w:themeFill="background1" w:themeFillShade="F2"/>
            <w:vAlign w:val="center"/>
          </w:tcPr>
          <w:p w14:paraId="7EAD1B4A" w14:textId="77777777" w:rsidR="003D1B66" w:rsidRDefault="003D1B66" w:rsidP="000B46B5">
            <w:pPr>
              <w:bidi/>
              <w:spacing w:after="0" w:line="240" w:lineRule="auto"/>
            </w:pPr>
            <w:r>
              <w:rPr>
                <w:rFonts w:eastAsia="Arial"/>
                <w:b/>
                <w:sz w:val="21"/>
                <w:rtl/>
              </w:rPr>
              <w:t>المضمون</w:t>
            </w:r>
          </w:p>
        </w:tc>
      </w:tr>
      <w:tr w:rsidR="003D1B66" w14:paraId="05FA88E2" w14:textId="77777777" w:rsidTr="000B46B5">
        <w:trPr>
          <w:jc w:val="center"/>
        </w:trPr>
        <w:tc>
          <w:tcPr>
            <w:tcW w:w="2232" w:type="dxa"/>
            <w:shd w:val="clear" w:color="auto" w:fill="F2F2F2" w:themeFill="background1" w:themeFillShade="F2"/>
            <w:vAlign w:val="center"/>
          </w:tcPr>
          <w:p w14:paraId="6B2E0D1A" w14:textId="77777777" w:rsidR="003D1B66" w:rsidRDefault="003D1B66" w:rsidP="000B46B5">
            <w:pPr>
              <w:bidi/>
              <w:spacing w:after="0" w:line="240" w:lineRule="auto"/>
            </w:pPr>
            <w:r>
              <w:rPr>
                <w:rFonts w:eastAsia="Arial"/>
                <w:sz w:val="21"/>
                <w:rtl/>
              </w:rPr>
              <w:t>الحوكمة الصحية</w:t>
            </w:r>
          </w:p>
        </w:tc>
        <w:tc>
          <w:tcPr>
            <w:tcW w:w="2232" w:type="dxa"/>
            <w:shd w:val="clear" w:color="auto" w:fill="F2F2F2" w:themeFill="background1" w:themeFillShade="F2"/>
            <w:vAlign w:val="center"/>
          </w:tcPr>
          <w:p w14:paraId="60B99A3A" w14:textId="77777777" w:rsidR="003D1B66" w:rsidRDefault="003D1B66" w:rsidP="000B46B5">
            <w:pPr>
              <w:bidi/>
              <w:spacing w:after="0" w:line="240" w:lineRule="auto"/>
            </w:pPr>
            <w:r>
              <w:rPr>
                <w:rFonts w:eastAsia="Arial"/>
                <w:sz w:val="21"/>
                <w:rtl/>
              </w:rPr>
              <w:t>مستقل</w:t>
            </w:r>
          </w:p>
        </w:tc>
        <w:tc>
          <w:tcPr>
            <w:tcW w:w="2232" w:type="dxa"/>
            <w:shd w:val="clear" w:color="auto" w:fill="F2F2F2" w:themeFill="background1" w:themeFillShade="F2"/>
            <w:vAlign w:val="center"/>
          </w:tcPr>
          <w:p w14:paraId="4B5E7F9B" w14:textId="77777777" w:rsidR="003D1B66" w:rsidRDefault="003D1B66" w:rsidP="000B46B5">
            <w:pPr>
              <w:bidi/>
              <w:spacing w:after="0" w:line="240" w:lineRule="auto"/>
            </w:pPr>
            <w:r>
              <w:rPr>
                <w:rFonts w:eastAsia="Arial"/>
                <w:sz w:val="21"/>
                <w:rtl/>
              </w:rPr>
              <w:t>وضوح الأدوار والمسؤوليات</w:t>
            </w:r>
          </w:p>
        </w:tc>
        <w:tc>
          <w:tcPr>
            <w:tcW w:w="2231" w:type="dxa"/>
            <w:shd w:val="clear" w:color="auto" w:fill="F2F2F2" w:themeFill="background1" w:themeFillShade="F2"/>
            <w:vAlign w:val="center"/>
          </w:tcPr>
          <w:p w14:paraId="035243AA" w14:textId="77777777" w:rsidR="003D1B66" w:rsidRDefault="003D1B66" w:rsidP="000B46B5">
            <w:pPr>
              <w:bidi/>
              <w:spacing w:after="0" w:line="240" w:lineRule="auto"/>
            </w:pPr>
            <w:r>
              <w:rPr>
                <w:rFonts w:eastAsia="Arial"/>
                <w:sz w:val="21"/>
                <w:rtl/>
              </w:rPr>
              <w:t>وجود هياكل وصلاحيات وسياسات واضحة تقلل التداخل والازدواجية.</w:t>
            </w:r>
          </w:p>
        </w:tc>
      </w:tr>
      <w:tr w:rsidR="003D1B66" w14:paraId="5C3DB50C" w14:textId="77777777" w:rsidTr="000B46B5">
        <w:trPr>
          <w:jc w:val="center"/>
        </w:trPr>
        <w:tc>
          <w:tcPr>
            <w:tcW w:w="2232" w:type="dxa"/>
            <w:shd w:val="clear" w:color="auto" w:fill="F2F2F2" w:themeFill="background1" w:themeFillShade="F2"/>
            <w:vAlign w:val="center"/>
          </w:tcPr>
          <w:p w14:paraId="7761FB73" w14:textId="77777777" w:rsidR="003D1B66" w:rsidRDefault="003D1B66" w:rsidP="000B46B5">
            <w:pPr>
              <w:bidi/>
              <w:spacing w:after="0" w:line="240" w:lineRule="auto"/>
            </w:pPr>
            <w:r>
              <w:rPr>
                <w:rFonts w:eastAsia="Arial"/>
                <w:sz w:val="21"/>
                <w:rtl/>
              </w:rPr>
              <w:t>الحوكمة الصحية</w:t>
            </w:r>
          </w:p>
        </w:tc>
        <w:tc>
          <w:tcPr>
            <w:tcW w:w="2232" w:type="dxa"/>
            <w:shd w:val="clear" w:color="auto" w:fill="F2F2F2" w:themeFill="background1" w:themeFillShade="F2"/>
            <w:vAlign w:val="center"/>
          </w:tcPr>
          <w:p w14:paraId="04F86834" w14:textId="77777777" w:rsidR="003D1B66" w:rsidRDefault="003D1B66" w:rsidP="000B46B5">
            <w:pPr>
              <w:bidi/>
              <w:spacing w:after="0" w:line="240" w:lineRule="auto"/>
            </w:pPr>
            <w:r>
              <w:rPr>
                <w:rFonts w:eastAsia="Arial"/>
                <w:sz w:val="21"/>
                <w:rtl/>
              </w:rPr>
              <w:t>مستقل</w:t>
            </w:r>
          </w:p>
        </w:tc>
        <w:tc>
          <w:tcPr>
            <w:tcW w:w="2232" w:type="dxa"/>
            <w:shd w:val="clear" w:color="auto" w:fill="F2F2F2" w:themeFill="background1" w:themeFillShade="F2"/>
            <w:vAlign w:val="center"/>
          </w:tcPr>
          <w:p w14:paraId="48C239C7" w14:textId="77777777" w:rsidR="003D1B66" w:rsidRDefault="003D1B66" w:rsidP="000B46B5">
            <w:pPr>
              <w:bidi/>
              <w:spacing w:after="0" w:line="240" w:lineRule="auto"/>
            </w:pPr>
            <w:r>
              <w:rPr>
                <w:rFonts w:eastAsia="Arial"/>
                <w:sz w:val="21"/>
                <w:rtl/>
              </w:rPr>
              <w:t>المساءلة والرقابة</w:t>
            </w:r>
          </w:p>
        </w:tc>
        <w:tc>
          <w:tcPr>
            <w:tcW w:w="2231" w:type="dxa"/>
            <w:shd w:val="clear" w:color="auto" w:fill="F2F2F2" w:themeFill="background1" w:themeFillShade="F2"/>
            <w:vAlign w:val="center"/>
          </w:tcPr>
          <w:p w14:paraId="5E2F6B8C" w14:textId="77777777" w:rsidR="003D1B66" w:rsidRDefault="003D1B66" w:rsidP="000B46B5">
            <w:pPr>
              <w:bidi/>
              <w:spacing w:after="0" w:line="240" w:lineRule="auto"/>
            </w:pPr>
            <w:r>
              <w:rPr>
                <w:rFonts w:eastAsia="Arial"/>
                <w:sz w:val="21"/>
                <w:rtl/>
              </w:rPr>
              <w:t>متابعة الأداء، تحديد المسؤولية، التدقيق، معالجة المخالفات، وإدارة التعارضات.</w:t>
            </w:r>
          </w:p>
        </w:tc>
      </w:tr>
      <w:tr w:rsidR="003D1B66" w14:paraId="404D7A09" w14:textId="77777777" w:rsidTr="000B46B5">
        <w:trPr>
          <w:jc w:val="center"/>
        </w:trPr>
        <w:tc>
          <w:tcPr>
            <w:tcW w:w="2232" w:type="dxa"/>
            <w:shd w:val="clear" w:color="auto" w:fill="F2F2F2" w:themeFill="background1" w:themeFillShade="F2"/>
            <w:vAlign w:val="center"/>
          </w:tcPr>
          <w:p w14:paraId="4657695F" w14:textId="77777777" w:rsidR="003D1B66" w:rsidRDefault="003D1B66" w:rsidP="000B46B5">
            <w:pPr>
              <w:bidi/>
              <w:spacing w:after="0" w:line="240" w:lineRule="auto"/>
            </w:pPr>
            <w:r>
              <w:rPr>
                <w:rFonts w:eastAsia="Arial"/>
                <w:sz w:val="21"/>
                <w:rtl/>
              </w:rPr>
              <w:t>الحوكمة الصحية</w:t>
            </w:r>
          </w:p>
        </w:tc>
        <w:tc>
          <w:tcPr>
            <w:tcW w:w="2232" w:type="dxa"/>
            <w:shd w:val="clear" w:color="auto" w:fill="F2F2F2" w:themeFill="background1" w:themeFillShade="F2"/>
            <w:vAlign w:val="center"/>
          </w:tcPr>
          <w:p w14:paraId="22723D73" w14:textId="77777777" w:rsidR="003D1B66" w:rsidRDefault="003D1B66" w:rsidP="000B46B5">
            <w:pPr>
              <w:bidi/>
              <w:spacing w:after="0" w:line="240" w:lineRule="auto"/>
            </w:pPr>
            <w:r>
              <w:rPr>
                <w:rFonts w:eastAsia="Arial"/>
                <w:sz w:val="21"/>
                <w:rtl/>
              </w:rPr>
              <w:t>مستقل</w:t>
            </w:r>
          </w:p>
        </w:tc>
        <w:tc>
          <w:tcPr>
            <w:tcW w:w="2232" w:type="dxa"/>
            <w:shd w:val="clear" w:color="auto" w:fill="F2F2F2" w:themeFill="background1" w:themeFillShade="F2"/>
            <w:vAlign w:val="center"/>
          </w:tcPr>
          <w:p w14:paraId="13AC39C0" w14:textId="77777777" w:rsidR="003D1B66" w:rsidRDefault="003D1B66" w:rsidP="000B46B5">
            <w:pPr>
              <w:bidi/>
              <w:spacing w:after="0" w:line="240" w:lineRule="auto"/>
            </w:pPr>
            <w:r>
              <w:rPr>
                <w:rFonts w:eastAsia="Arial"/>
                <w:sz w:val="21"/>
                <w:rtl/>
              </w:rPr>
              <w:t>المشاركة في صنع القرار</w:t>
            </w:r>
          </w:p>
        </w:tc>
        <w:tc>
          <w:tcPr>
            <w:tcW w:w="2231" w:type="dxa"/>
            <w:shd w:val="clear" w:color="auto" w:fill="F2F2F2" w:themeFill="background1" w:themeFillShade="F2"/>
            <w:vAlign w:val="center"/>
          </w:tcPr>
          <w:p w14:paraId="51302D7A" w14:textId="77777777" w:rsidR="003D1B66" w:rsidRDefault="003D1B66" w:rsidP="000B46B5">
            <w:pPr>
              <w:bidi/>
              <w:spacing w:after="0" w:line="240" w:lineRule="auto"/>
            </w:pPr>
            <w:r>
              <w:rPr>
                <w:rFonts w:eastAsia="Arial"/>
                <w:sz w:val="21"/>
                <w:rtl/>
              </w:rPr>
              <w:t>إشراك العاملين وأصحاب المصلحة وتوفير قنوات للتغذية الراجعة.</w:t>
            </w:r>
          </w:p>
        </w:tc>
      </w:tr>
      <w:tr w:rsidR="003D1B66" w14:paraId="08F5FE26" w14:textId="77777777" w:rsidTr="000B46B5">
        <w:trPr>
          <w:jc w:val="center"/>
        </w:trPr>
        <w:tc>
          <w:tcPr>
            <w:tcW w:w="2232" w:type="dxa"/>
            <w:shd w:val="clear" w:color="auto" w:fill="F2F2F2" w:themeFill="background1" w:themeFillShade="F2"/>
            <w:vAlign w:val="center"/>
          </w:tcPr>
          <w:p w14:paraId="774F8781" w14:textId="77777777" w:rsidR="003D1B66" w:rsidRDefault="003D1B66" w:rsidP="000B46B5">
            <w:pPr>
              <w:bidi/>
              <w:spacing w:after="0" w:line="240" w:lineRule="auto"/>
            </w:pPr>
            <w:r>
              <w:rPr>
                <w:rFonts w:eastAsia="Arial"/>
                <w:sz w:val="21"/>
                <w:rtl/>
              </w:rPr>
              <w:t>الحوكمة الصحية</w:t>
            </w:r>
          </w:p>
        </w:tc>
        <w:tc>
          <w:tcPr>
            <w:tcW w:w="2232" w:type="dxa"/>
            <w:shd w:val="clear" w:color="auto" w:fill="F2F2F2" w:themeFill="background1" w:themeFillShade="F2"/>
            <w:vAlign w:val="center"/>
          </w:tcPr>
          <w:p w14:paraId="410E50B5" w14:textId="77777777" w:rsidR="003D1B66" w:rsidRDefault="003D1B66" w:rsidP="000B46B5">
            <w:pPr>
              <w:bidi/>
              <w:spacing w:after="0" w:line="240" w:lineRule="auto"/>
            </w:pPr>
            <w:r>
              <w:rPr>
                <w:rFonts w:eastAsia="Arial"/>
                <w:sz w:val="21"/>
                <w:rtl/>
              </w:rPr>
              <w:t>مستقل</w:t>
            </w:r>
          </w:p>
        </w:tc>
        <w:tc>
          <w:tcPr>
            <w:tcW w:w="2232" w:type="dxa"/>
            <w:shd w:val="clear" w:color="auto" w:fill="F2F2F2" w:themeFill="background1" w:themeFillShade="F2"/>
            <w:vAlign w:val="center"/>
          </w:tcPr>
          <w:p w14:paraId="5D3AF882" w14:textId="77777777" w:rsidR="003D1B66" w:rsidRDefault="003D1B66" w:rsidP="000B46B5">
            <w:pPr>
              <w:bidi/>
              <w:spacing w:after="0" w:line="240" w:lineRule="auto"/>
            </w:pPr>
            <w:r>
              <w:rPr>
                <w:rFonts w:eastAsia="Arial"/>
                <w:sz w:val="21"/>
                <w:rtl/>
              </w:rPr>
              <w:t>النزاهة والامتثال</w:t>
            </w:r>
          </w:p>
        </w:tc>
        <w:tc>
          <w:tcPr>
            <w:tcW w:w="2231" w:type="dxa"/>
            <w:shd w:val="clear" w:color="auto" w:fill="F2F2F2" w:themeFill="background1" w:themeFillShade="F2"/>
            <w:vAlign w:val="center"/>
          </w:tcPr>
          <w:p w14:paraId="3A5C7B61" w14:textId="77777777" w:rsidR="003D1B66" w:rsidRDefault="003D1B66" w:rsidP="000B46B5">
            <w:pPr>
              <w:bidi/>
              <w:spacing w:after="0" w:line="240" w:lineRule="auto"/>
            </w:pPr>
            <w:r>
              <w:rPr>
                <w:rFonts w:eastAsia="Arial"/>
                <w:sz w:val="21"/>
                <w:rtl/>
              </w:rPr>
              <w:t>الالتزام بالأنظمة والأخلاقيات، إدارة تعارض المصالح، وعدالة تطبيق الإجراءات.</w:t>
            </w:r>
          </w:p>
        </w:tc>
      </w:tr>
      <w:tr w:rsidR="003D1B66" w14:paraId="01C7DC69" w14:textId="77777777" w:rsidTr="000B46B5">
        <w:trPr>
          <w:jc w:val="center"/>
        </w:trPr>
        <w:tc>
          <w:tcPr>
            <w:tcW w:w="2232" w:type="dxa"/>
            <w:shd w:val="clear" w:color="auto" w:fill="F2F2F2" w:themeFill="background1" w:themeFillShade="F2"/>
            <w:vAlign w:val="center"/>
          </w:tcPr>
          <w:p w14:paraId="6023BD56" w14:textId="77777777" w:rsidR="003D1B66" w:rsidRDefault="003D1B66" w:rsidP="000B46B5">
            <w:pPr>
              <w:bidi/>
              <w:spacing w:after="0" w:line="240" w:lineRule="auto"/>
            </w:pPr>
            <w:r>
              <w:rPr>
                <w:rFonts w:eastAsia="Arial"/>
                <w:sz w:val="21"/>
                <w:rtl/>
              </w:rPr>
              <w:t>الحوكمة الصحية</w:t>
            </w:r>
          </w:p>
        </w:tc>
        <w:tc>
          <w:tcPr>
            <w:tcW w:w="2232" w:type="dxa"/>
            <w:shd w:val="clear" w:color="auto" w:fill="F2F2F2" w:themeFill="background1" w:themeFillShade="F2"/>
            <w:vAlign w:val="center"/>
          </w:tcPr>
          <w:p w14:paraId="56237BA9" w14:textId="77777777" w:rsidR="003D1B66" w:rsidRDefault="003D1B66" w:rsidP="000B46B5">
            <w:pPr>
              <w:bidi/>
              <w:spacing w:after="0" w:line="240" w:lineRule="auto"/>
            </w:pPr>
            <w:r>
              <w:rPr>
                <w:rFonts w:eastAsia="Arial"/>
                <w:sz w:val="21"/>
                <w:rtl/>
              </w:rPr>
              <w:t>مستقل</w:t>
            </w:r>
          </w:p>
        </w:tc>
        <w:tc>
          <w:tcPr>
            <w:tcW w:w="2232" w:type="dxa"/>
            <w:shd w:val="clear" w:color="auto" w:fill="F2F2F2" w:themeFill="background1" w:themeFillShade="F2"/>
            <w:vAlign w:val="center"/>
          </w:tcPr>
          <w:p w14:paraId="2A4BE00E" w14:textId="77777777" w:rsidR="003D1B66" w:rsidRDefault="003D1B66" w:rsidP="000B46B5">
            <w:pPr>
              <w:bidi/>
              <w:spacing w:after="0" w:line="240" w:lineRule="auto"/>
            </w:pPr>
            <w:r>
              <w:rPr>
                <w:rFonts w:eastAsia="Arial"/>
                <w:sz w:val="21"/>
                <w:rtl/>
              </w:rPr>
              <w:t>القدرة المؤسسية وإدارة المخاطر</w:t>
            </w:r>
          </w:p>
        </w:tc>
        <w:tc>
          <w:tcPr>
            <w:tcW w:w="2231" w:type="dxa"/>
            <w:shd w:val="clear" w:color="auto" w:fill="F2F2F2" w:themeFill="background1" w:themeFillShade="F2"/>
            <w:vAlign w:val="center"/>
          </w:tcPr>
          <w:p w14:paraId="3BDF54E0" w14:textId="77777777" w:rsidR="003D1B66" w:rsidRDefault="003D1B66" w:rsidP="000B46B5">
            <w:pPr>
              <w:bidi/>
              <w:spacing w:after="0" w:line="240" w:lineRule="auto"/>
            </w:pPr>
            <w:r>
              <w:rPr>
                <w:rFonts w:eastAsia="Arial"/>
                <w:sz w:val="21"/>
                <w:rtl/>
              </w:rPr>
              <w:t>توفر الكفاءات والبيانات والتقنية والتخطيط والاستجابة للمخاطر.</w:t>
            </w:r>
          </w:p>
        </w:tc>
      </w:tr>
      <w:tr w:rsidR="003D1B66" w14:paraId="15F69BBC" w14:textId="77777777" w:rsidTr="000B46B5">
        <w:trPr>
          <w:jc w:val="center"/>
        </w:trPr>
        <w:tc>
          <w:tcPr>
            <w:tcW w:w="2232" w:type="dxa"/>
            <w:shd w:val="clear" w:color="auto" w:fill="F2F2F2" w:themeFill="background1" w:themeFillShade="F2"/>
            <w:vAlign w:val="center"/>
          </w:tcPr>
          <w:p w14:paraId="6B5F631C" w14:textId="77777777" w:rsidR="003D1B66" w:rsidRDefault="003D1B66" w:rsidP="000B46B5">
            <w:pPr>
              <w:bidi/>
              <w:spacing w:after="0" w:line="240" w:lineRule="auto"/>
            </w:pPr>
            <w:r>
              <w:rPr>
                <w:rFonts w:eastAsia="Arial"/>
                <w:sz w:val="21"/>
                <w:rtl/>
              </w:rPr>
              <w:t>الشفافية المؤسسية</w:t>
            </w:r>
          </w:p>
        </w:tc>
        <w:tc>
          <w:tcPr>
            <w:tcW w:w="2232" w:type="dxa"/>
            <w:shd w:val="clear" w:color="auto" w:fill="F2F2F2" w:themeFill="background1" w:themeFillShade="F2"/>
            <w:vAlign w:val="center"/>
          </w:tcPr>
          <w:p w14:paraId="456A2781" w14:textId="77777777" w:rsidR="003D1B66" w:rsidRDefault="003D1B66" w:rsidP="000B46B5">
            <w:pPr>
              <w:bidi/>
              <w:spacing w:after="0" w:line="240" w:lineRule="auto"/>
            </w:pPr>
            <w:r>
              <w:rPr>
                <w:rFonts w:eastAsia="Arial"/>
                <w:sz w:val="21"/>
                <w:rtl/>
              </w:rPr>
              <w:t>تابع</w:t>
            </w:r>
          </w:p>
        </w:tc>
        <w:tc>
          <w:tcPr>
            <w:tcW w:w="2232" w:type="dxa"/>
            <w:shd w:val="clear" w:color="auto" w:fill="F2F2F2" w:themeFill="background1" w:themeFillShade="F2"/>
            <w:vAlign w:val="center"/>
          </w:tcPr>
          <w:p w14:paraId="147A53DC" w14:textId="77777777" w:rsidR="003D1B66" w:rsidRDefault="003D1B66" w:rsidP="000B46B5">
            <w:pPr>
              <w:bidi/>
              <w:spacing w:after="0" w:line="240" w:lineRule="auto"/>
            </w:pPr>
            <w:r>
              <w:rPr>
                <w:rFonts w:eastAsia="Arial"/>
                <w:sz w:val="21"/>
                <w:rtl/>
              </w:rPr>
              <w:t>وضوح المعلومات والإجراءات والقرارات</w:t>
            </w:r>
          </w:p>
        </w:tc>
        <w:tc>
          <w:tcPr>
            <w:tcW w:w="2231" w:type="dxa"/>
            <w:shd w:val="clear" w:color="auto" w:fill="F2F2F2" w:themeFill="background1" w:themeFillShade="F2"/>
            <w:vAlign w:val="center"/>
          </w:tcPr>
          <w:p w14:paraId="33EFEA27" w14:textId="77777777" w:rsidR="003D1B66" w:rsidRDefault="003D1B66" w:rsidP="000B46B5">
            <w:pPr>
              <w:bidi/>
              <w:spacing w:after="0" w:line="240" w:lineRule="auto"/>
            </w:pPr>
            <w:r>
              <w:rPr>
                <w:rFonts w:eastAsia="Arial"/>
                <w:sz w:val="21"/>
                <w:rtl/>
              </w:rPr>
              <w:t>إتاحة المعلومات، وضوح معايير القرار، قابلية التفسير والمراجعة والتظلم.</w:t>
            </w:r>
          </w:p>
        </w:tc>
      </w:tr>
      <w:tr w:rsidR="003D1B66" w14:paraId="18E1652C" w14:textId="77777777" w:rsidTr="000B46B5">
        <w:trPr>
          <w:jc w:val="center"/>
        </w:trPr>
        <w:tc>
          <w:tcPr>
            <w:tcW w:w="2232" w:type="dxa"/>
            <w:shd w:val="clear" w:color="auto" w:fill="F2F2F2" w:themeFill="background1" w:themeFillShade="F2"/>
            <w:vAlign w:val="center"/>
          </w:tcPr>
          <w:p w14:paraId="30C12C4D" w14:textId="77777777" w:rsidR="003D1B66" w:rsidRDefault="003D1B66" w:rsidP="000B46B5">
            <w:pPr>
              <w:bidi/>
              <w:spacing w:after="0" w:line="240" w:lineRule="auto"/>
            </w:pPr>
            <w:r>
              <w:rPr>
                <w:rFonts w:eastAsia="Arial"/>
                <w:sz w:val="21"/>
                <w:rtl/>
              </w:rPr>
              <w:t>الكفاءة الإدارية</w:t>
            </w:r>
          </w:p>
        </w:tc>
        <w:tc>
          <w:tcPr>
            <w:tcW w:w="2232" w:type="dxa"/>
            <w:shd w:val="clear" w:color="auto" w:fill="F2F2F2" w:themeFill="background1" w:themeFillShade="F2"/>
            <w:vAlign w:val="center"/>
          </w:tcPr>
          <w:p w14:paraId="7DCD57DE" w14:textId="77777777" w:rsidR="003D1B66" w:rsidRDefault="003D1B66" w:rsidP="000B46B5">
            <w:pPr>
              <w:bidi/>
              <w:spacing w:after="0" w:line="240" w:lineRule="auto"/>
            </w:pPr>
            <w:r>
              <w:rPr>
                <w:rFonts w:eastAsia="Arial"/>
                <w:sz w:val="21"/>
                <w:rtl/>
              </w:rPr>
              <w:t>تابع</w:t>
            </w:r>
          </w:p>
        </w:tc>
        <w:tc>
          <w:tcPr>
            <w:tcW w:w="2232" w:type="dxa"/>
            <w:shd w:val="clear" w:color="auto" w:fill="F2F2F2" w:themeFill="background1" w:themeFillShade="F2"/>
            <w:vAlign w:val="center"/>
          </w:tcPr>
          <w:p w14:paraId="49B0CDF1" w14:textId="77777777" w:rsidR="003D1B66" w:rsidRDefault="003D1B66" w:rsidP="000B46B5">
            <w:pPr>
              <w:bidi/>
              <w:spacing w:after="0" w:line="240" w:lineRule="auto"/>
            </w:pPr>
            <w:r>
              <w:rPr>
                <w:rFonts w:eastAsia="Arial"/>
                <w:sz w:val="21"/>
                <w:rtl/>
              </w:rPr>
              <w:t>استخدام الموارد وسرعة العمليات وجودة التنسيق</w:t>
            </w:r>
          </w:p>
        </w:tc>
        <w:tc>
          <w:tcPr>
            <w:tcW w:w="2231" w:type="dxa"/>
            <w:shd w:val="clear" w:color="auto" w:fill="F2F2F2" w:themeFill="background1" w:themeFillShade="F2"/>
            <w:vAlign w:val="center"/>
          </w:tcPr>
          <w:p w14:paraId="1ED97EC7" w14:textId="77777777" w:rsidR="003D1B66" w:rsidRDefault="003D1B66" w:rsidP="000B46B5">
            <w:pPr>
              <w:bidi/>
              <w:spacing w:after="0" w:line="240" w:lineRule="auto"/>
            </w:pPr>
            <w:r>
              <w:rPr>
                <w:rFonts w:eastAsia="Arial"/>
                <w:sz w:val="21"/>
                <w:rtl/>
              </w:rPr>
              <w:t>تقليل الوقت والهدر والازدواجية، وتحسين الإنتاجية والتنسيق وجودة القرار.</w:t>
            </w:r>
          </w:p>
        </w:tc>
      </w:tr>
    </w:tbl>
    <w:p w14:paraId="19F30A66" w14:textId="77777777" w:rsidR="003D1B66" w:rsidRDefault="003D1B66" w:rsidP="003D1B66">
      <w:pPr>
        <w:keepNext/>
        <w:bidi/>
        <w:spacing w:before="120" w:after="80"/>
        <w:jc w:val="center"/>
      </w:pPr>
      <w:r>
        <w:rPr>
          <w:rFonts w:eastAsia="Arial"/>
          <w:b/>
          <w:sz w:val="24"/>
          <w:rtl/>
        </w:rPr>
        <w:t>الشكل (</w:t>
      </w:r>
      <w:r>
        <w:rPr>
          <w:rFonts w:eastAsia="Arial"/>
          <w:b/>
          <w:sz w:val="24"/>
        </w:rPr>
        <w:t>1</w:t>
      </w:r>
      <w:r>
        <w:rPr>
          <w:rFonts w:eastAsia="Arial"/>
          <w:b/>
          <w:sz w:val="24"/>
          <w:rtl/>
        </w:rPr>
        <w:t>): النموذج المفاهيمي للدراسة</w:t>
      </w:r>
    </w:p>
    <w:tbl>
      <w:tblPr>
        <w:bidiVisual/>
        <w:tblW w:w="8930" w:type="dxa"/>
        <w:jc w:val="center"/>
        <w:shd w:val="clear" w:color="auto" w:fill="F2F2F2" w:themeFill="background1" w:themeFillShade="F2"/>
        <w:tblLayout w:type="fixed"/>
        <w:tblLook w:val="04A0" w:firstRow="1" w:lastRow="0" w:firstColumn="1" w:lastColumn="0" w:noHBand="0" w:noVBand="1"/>
      </w:tblPr>
      <w:tblGrid>
        <w:gridCol w:w="1786"/>
        <w:gridCol w:w="1786"/>
        <w:gridCol w:w="1786"/>
        <w:gridCol w:w="1786"/>
        <w:gridCol w:w="1786"/>
      </w:tblGrid>
      <w:tr w:rsidR="003D1B66" w14:paraId="400F2C80" w14:textId="77777777" w:rsidTr="000B46B5">
        <w:trPr>
          <w:jc w:val="center"/>
        </w:trPr>
        <w:tc>
          <w:tcPr>
            <w:tcW w:w="1786" w:type="dxa"/>
            <w:shd w:val="clear" w:color="auto" w:fill="F2F2F2" w:themeFill="background1" w:themeFillShade="F2"/>
          </w:tcPr>
          <w:p w14:paraId="1BE2B47D" w14:textId="77777777" w:rsidR="003D1B66" w:rsidRDefault="003D1B66" w:rsidP="000B46B5">
            <w:pPr>
              <w:bidi/>
              <w:jc w:val="both"/>
            </w:pPr>
            <w:r>
              <w:rPr>
                <w:rFonts w:eastAsia="Arial"/>
                <w:b/>
                <w:sz w:val="22"/>
                <w:rtl/>
              </w:rPr>
              <w:t>أبعاد الحوكمة الصحية</w:t>
            </w:r>
          </w:p>
        </w:tc>
        <w:tc>
          <w:tcPr>
            <w:tcW w:w="1786" w:type="dxa"/>
            <w:shd w:val="clear" w:color="auto" w:fill="F2F2F2" w:themeFill="background1" w:themeFillShade="F2"/>
          </w:tcPr>
          <w:p w14:paraId="6332D32F" w14:textId="77777777" w:rsidR="003D1B66" w:rsidRDefault="003D1B66" w:rsidP="000B46B5">
            <w:pPr>
              <w:bidi/>
              <w:jc w:val="both"/>
            </w:pPr>
          </w:p>
        </w:tc>
        <w:tc>
          <w:tcPr>
            <w:tcW w:w="1786" w:type="dxa"/>
            <w:shd w:val="clear" w:color="auto" w:fill="F2F2F2" w:themeFill="background1" w:themeFillShade="F2"/>
          </w:tcPr>
          <w:p w14:paraId="2FDC9F9F" w14:textId="77777777" w:rsidR="003D1B66" w:rsidRDefault="003D1B66" w:rsidP="000B46B5">
            <w:pPr>
              <w:bidi/>
              <w:jc w:val="both"/>
            </w:pPr>
          </w:p>
        </w:tc>
        <w:tc>
          <w:tcPr>
            <w:tcW w:w="1786" w:type="dxa"/>
            <w:shd w:val="clear" w:color="auto" w:fill="F2F2F2" w:themeFill="background1" w:themeFillShade="F2"/>
          </w:tcPr>
          <w:p w14:paraId="3DE45FAB" w14:textId="77777777" w:rsidR="003D1B66" w:rsidRDefault="003D1B66" w:rsidP="000B46B5">
            <w:pPr>
              <w:bidi/>
              <w:jc w:val="both"/>
            </w:pPr>
          </w:p>
        </w:tc>
        <w:tc>
          <w:tcPr>
            <w:tcW w:w="1786" w:type="dxa"/>
            <w:shd w:val="clear" w:color="auto" w:fill="F2F2F2" w:themeFill="background1" w:themeFillShade="F2"/>
          </w:tcPr>
          <w:p w14:paraId="7D36F2D7" w14:textId="77777777" w:rsidR="003D1B66" w:rsidRDefault="003D1B66" w:rsidP="000B46B5">
            <w:pPr>
              <w:bidi/>
              <w:jc w:val="both"/>
            </w:pPr>
          </w:p>
        </w:tc>
      </w:tr>
      <w:tr w:rsidR="003D1B66" w14:paraId="2BA4E9E0" w14:textId="77777777" w:rsidTr="000B46B5">
        <w:trPr>
          <w:jc w:val="center"/>
        </w:trPr>
        <w:tc>
          <w:tcPr>
            <w:tcW w:w="1786" w:type="dxa"/>
            <w:shd w:val="clear" w:color="auto" w:fill="F2F2F2" w:themeFill="background1" w:themeFillShade="F2"/>
          </w:tcPr>
          <w:p w14:paraId="212AF0DC" w14:textId="77777777" w:rsidR="003D1B66" w:rsidRDefault="003D1B66" w:rsidP="000B46B5">
            <w:pPr>
              <w:bidi/>
              <w:jc w:val="both"/>
            </w:pPr>
            <w:r>
              <w:rPr>
                <w:rFonts w:eastAsia="Arial"/>
                <w:sz w:val="22"/>
                <w:rtl/>
              </w:rPr>
              <w:t>وضوح الأدوار | المساءلة | المشاركة | النزاهة | الرقابة والمخاطر</w:t>
            </w:r>
          </w:p>
        </w:tc>
        <w:tc>
          <w:tcPr>
            <w:tcW w:w="1786" w:type="dxa"/>
            <w:shd w:val="clear" w:color="auto" w:fill="F2F2F2" w:themeFill="background1" w:themeFillShade="F2"/>
          </w:tcPr>
          <w:p w14:paraId="0766F0E8" w14:textId="77777777" w:rsidR="003D1B66" w:rsidRDefault="003D1B66" w:rsidP="000B46B5">
            <w:pPr>
              <w:bidi/>
              <w:jc w:val="both"/>
            </w:pPr>
            <w:r>
              <w:rPr>
                <w:rFonts w:eastAsia="Arial"/>
                <w:sz w:val="22"/>
                <w:rtl/>
              </w:rPr>
              <w:t>←</w:t>
            </w:r>
          </w:p>
        </w:tc>
        <w:tc>
          <w:tcPr>
            <w:tcW w:w="1786" w:type="dxa"/>
            <w:shd w:val="clear" w:color="auto" w:fill="F2F2F2" w:themeFill="background1" w:themeFillShade="F2"/>
          </w:tcPr>
          <w:p w14:paraId="1334A49D" w14:textId="77777777" w:rsidR="003D1B66" w:rsidRDefault="003D1B66" w:rsidP="000B46B5">
            <w:pPr>
              <w:bidi/>
              <w:jc w:val="both"/>
            </w:pPr>
            <w:r>
              <w:rPr>
                <w:rFonts w:eastAsia="Arial"/>
                <w:sz w:val="22"/>
                <w:rtl/>
              </w:rPr>
              <w:t>الشفافية المؤسسية</w:t>
            </w:r>
          </w:p>
        </w:tc>
        <w:tc>
          <w:tcPr>
            <w:tcW w:w="1786" w:type="dxa"/>
            <w:shd w:val="clear" w:color="auto" w:fill="F2F2F2" w:themeFill="background1" w:themeFillShade="F2"/>
          </w:tcPr>
          <w:p w14:paraId="659BD494" w14:textId="77777777" w:rsidR="003D1B66" w:rsidRDefault="003D1B66" w:rsidP="000B46B5">
            <w:pPr>
              <w:bidi/>
              <w:jc w:val="both"/>
            </w:pPr>
            <w:r>
              <w:rPr>
                <w:rFonts w:eastAsia="Arial"/>
                <w:sz w:val="22"/>
                <w:rtl/>
              </w:rPr>
              <w:t>←</w:t>
            </w:r>
          </w:p>
        </w:tc>
        <w:tc>
          <w:tcPr>
            <w:tcW w:w="1786" w:type="dxa"/>
            <w:shd w:val="clear" w:color="auto" w:fill="F2F2F2" w:themeFill="background1" w:themeFillShade="F2"/>
          </w:tcPr>
          <w:p w14:paraId="26371ECA" w14:textId="77777777" w:rsidR="003D1B66" w:rsidRDefault="003D1B66" w:rsidP="000B46B5">
            <w:pPr>
              <w:bidi/>
              <w:jc w:val="both"/>
            </w:pPr>
            <w:r>
              <w:rPr>
                <w:rFonts w:eastAsia="Arial"/>
                <w:sz w:val="22"/>
                <w:rtl/>
              </w:rPr>
              <w:t>الكفاءة الإدارية</w:t>
            </w:r>
          </w:p>
        </w:tc>
      </w:tr>
      <w:tr w:rsidR="003D1B66" w14:paraId="2935E270" w14:textId="77777777" w:rsidTr="000B46B5">
        <w:trPr>
          <w:jc w:val="center"/>
        </w:trPr>
        <w:tc>
          <w:tcPr>
            <w:tcW w:w="1786" w:type="dxa"/>
            <w:shd w:val="clear" w:color="auto" w:fill="F2F2F2" w:themeFill="background1" w:themeFillShade="F2"/>
          </w:tcPr>
          <w:p w14:paraId="70ACFC95" w14:textId="77777777" w:rsidR="003D1B66" w:rsidRDefault="003D1B66" w:rsidP="000B46B5">
            <w:pPr>
              <w:bidi/>
              <w:jc w:val="both"/>
            </w:pPr>
            <w:r>
              <w:rPr>
                <w:rFonts w:eastAsia="Arial"/>
                <w:sz w:val="22"/>
                <w:rtl/>
              </w:rPr>
              <w:t>المتغير المستقل</w:t>
            </w:r>
          </w:p>
        </w:tc>
        <w:tc>
          <w:tcPr>
            <w:tcW w:w="1786" w:type="dxa"/>
            <w:shd w:val="clear" w:color="auto" w:fill="F2F2F2" w:themeFill="background1" w:themeFillShade="F2"/>
          </w:tcPr>
          <w:p w14:paraId="3762C189" w14:textId="77777777" w:rsidR="003D1B66" w:rsidRDefault="003D1B66" w:rsidP="000B46B5">
            <w:pPr>
              <w:bidi/>
              <w:jc w:val="both"/>
            </w:pPr>
          </w:p>
        </w:tc>
        <w:tc>
          <w:tcPr>
            <w:tcW w:w="1786" w:type="dxa"/>
            <w:shd w:val="clear" w:color="auto" w:fill="F2F2F2" w:themeFill="background1" w:themeFillShade="F2"/>
          </w:tcPr>
          <w:p w14:paraId="62A783B4" w14:textId="77777777" w:rsidR="003D1B66" w:rsidRDefault="003D1B66" w:rsidP="000B46B5">
            <w:pPr>
              <w:bidi/>
              <w:jc w:val="both"/>
            </w:pPr>
            <w:r>
              <w:rPr>
                <w:rFonts w:eastAsia="Arial"/>
                <w:sz w:val="22"/>
                <w:rtl/>
              </w:rPr>
              <w:t>المتغير التابع الأول</w:t>
            </w:r>
          </w:p>
        </w:tc>
        <w:tc>
          <w:tcPr>
            <w:tcW w:w="1786" w:type="dxa"/>
            <w:shd w:val="clear" w:color="auto" w:fill="F2F2F2" w:themeFill="background1" w:themeFillShade="F2"/>
          </w:tcPr>
          <w:p w14:paraId="4F746F8D" w14:textId="77777777" w:rsidR="003D1B66" w:rsidRDefault="003D1B66" w:rsidP="000B46B5">
            <w:pPr>
              <w:bidi/>
              <w:jc w:val="both"/>
            </w:pPr>
          </w:p>
        </w:tc>
        <w:tc>
          <w:tcPr>
            <w:tcW w:w="1786" w:type="dxa"/>
            <w:shd w:val="clear" w:color="auto" w:fill="F2F2F2" w:themeFill="background1" w:themeFillShade="F2"/>
          </w:tcPr>
          <w:p w14:paraId="40E841EC" w14:textId="77777777" w:rsidR="003D1B66" w:rsidRDefault="003D1B66" w:rsidP="000B46B5">
            <w:pPr>
              <w:bidi/>
              <w:jc w:val="both"/>
            </w:pPr>
            <w:r>
              <w:rPr>
                <w:rFonts w:eastAsia="Arial"/>
                <w:sz w:val="22"/>
                <w:rtl/>
              </w:rPr>
              <w:t>المتغير التابع الثاني</w:t>
            </w:r>
          </w:p>
        </w:tc>
      </w:tr>
    </w:tbl>
    <w:p w14:paraId="133CA527" w14:textId="77777777" w:rsidR="003D1B66" w:rsidRDefault="003D1B66" w:rsidP="003D1B66">
      <w:pPr>
        <w:pStyle w:val="1"/>
        <w:bidi/>
        <w:jc w:val="both"/>
      </w:pPr>
      <w:r>
        <w:rPr>
          <w:rFonts w:ascii="Arial" w:eastAsia="Arial" w:hAnsi="Arial" w:cs="Arial"/>
        </w:rPr>
        <w:t>1-9</w:t>
      </w:r>
      <w:r>
        <w:rPr>
          <w:rFonts w:ascii="Arial" w:eastAsia="Arial" w:hAnsi="Arial" w:cs="Arial"/>
          <w:rtl/>
        </w:rPr>
        <w:t xml:space="preserve"> حدود الدراسة</w:t>
      </w:r>
    </w:p>
    <w:p w14:paraId="18988111" w14:textId="77777777" w:rsidR="003D1B66" w:rsidRDefault="003D1B66" w:rsidP="003D1B66">
      <w:pPr>
        <w:bidi/>
        <w:spacing w:after="120" w:line="360" w:lineRule="auto"/>
        <w:ind w:firstLine="397"/>
        <w:jc w:val="both"/>
      </w:pPr>
      <w:r>
        <w:rPr>
          <w:rFonts w:eastAsia="Arial"/>
          <w:b/>
          <w:rtl/>
        </w:rPr>
        <w:t xml:space="preserve">الحدود الموضوعية: </w:t>
      </w:r>
      <w:r>
        <w:rPr>
          <w:rFonts w:eastAsia="Arial"/>
          <w:rtl/>
        </w:rPr>
        <w:t>تتناول الدراسة دور ممارسات الحوكمة الصحية، ممثلة في وضوح الأدوار والمسؤوليات، والمساءلة والرقابة، والمشاركة، والنزاهة والامتثال، والقدرة المؤسسية وإدارة المخاطر، في تعزيز الشفافية المؤسسية والكفاءة الإدارية.</w:t>
      </w:r>
    </w:p>
    <w:p w14:paraId="2D9C2FFC" w14:textId="77777777" w:rsidR="003D1B66" w:rsidRDefault="003D1B66" w:rsidP="003D1B66">
      <w:pPr>
        <w:bidi/>
        <w:spacing w:after="120" w:line="360" w:lineRule="auto"/>
        <w:ind w:firstLine="397"/>
        <w:jc w:val="both"/>
      </w:pPr>
      <w:r>
        <w:rPr>
          <w:rFonts w:eastAsia="Arial"/>
          <w:b/>
          <w:rtl/>
        </w:rPr>
        <w:lastRenderedPageBreak/>
        <w:t xml:space="preserve">الحدود المكانية: </w:t>
      </w:r>
      <w:r>
        <w:rPr>
          <w:rFonts w:eastAsia="Arial"/>
          <w:rtl/>
        </w:rPr>
        <w:t>المؤسسات الصحية في المملكة العربية السعودية التي ستشملها عملية التطبيق الميداني. ويجري تحديد النطاق النهائي، سواء على مستوى المملكة أو منطقة أو مجموعة مؤسسات، وفق إمكانات الوصول ومتطلبات الجامعة.</w:t>
      </w:r>
    </w:p>
    <w:p w14:paraId="5BE9A2F9" w14:textId="77777777" w:rsidR="003D1B66" w:rsidRDefault="003D1B66" w:rsidP="003D1B66">
      <w:pPr>
        <w:bidi/>
        <w:spacing w:after="120" w:line="360" w:lineRule="auto"/>
        <w:ind w:firstLine="397"/>
        <w:jc w:val="both"/>
      </w:pPr>
      <w:r>
        <w:rPr>
          <w:rFonts w:eastAsia="Arial"/>
          <w:b/>
          <w:rtl/>
        </w:rPr>
        <w:t xml:space="preserve">الحدود البشرية: </w:t>
      </w:r>
      <w:r>
        <w:rPr>
          <w:rFonts w:eastAsia="Arial"/>
          <w:rtl/>
        </w:rPr>
        <w:t>القيادات الإدارية والصحية، والموظفون الإداريون، والممارسون الصحيون الذين ترتبط وظائفهم بالإجراءات الإدارية أو صنع القرار أو تنفيذ السياسات داخل المؤسسات محل الدراسة.</w:t>
      </w:r>
    </w:p>
    <w:p w14:paraId="2D1E0ECA" w14:textId="77777777" w:rsidR="003D1B66" w:rsidRDefault="003D1B66" w:rsidP="003D1B66">
      <w:pPr>
        <w:bidi/>
        <w:spacing w:after="120" w:line="360" w:lineRule="auto"/>
        <w:ind w:firstLine="397"/>
        <w:jc w:val="both"/>
      </w:pPr>
      <w:r>
        <w:rPr>
          <w:rFonts w:eastAsia="Arial"/>
          <w:b/>
          <w:rtl/>
        </w:rPr>
        <w:t xml:space="preserve">الحدود الزمنية: </w:t>
      </w:r>
      <w:r>
        <w:rPr>
          <w:rFonts w:eastAsia="Arial"/>
          <w:rtl/>
        </w:rPr>
        <w:t>الفترة التي يتم خلالها جمع البيانات الميدانية للرسالة، وتُحدد بصورة نهائية في فصل المنهجية بعد اعتماد خطة التنفيذ.</w:t>
      </w:r>
    </w:p>
    <w:p w14:paraId="752A172C" w14:textId="77777777" w:rsidR="003D1B66" w:rsidRDefault="003D1B66" w:rsidP="003D1B66">
      <w:pPr>
        <w:bidi/>
        <w:spacing w:after="120" w:line="360" w:lineRule="auto"/>
        <w:ind w:firstLine="397"/>
        <w:jc w:val="both"/>
      </w:pPr>
      <w:r>
        <w:rPr>
          <w:rFonts w:eastAsia="Arial"/>
          <w:b/>
          <w:rtl/>
        </w:rPr>
        <w:t xml:space="preserve">الحدود المؤسسية: </w:t>
      </w:r>
      <w:r>
        <w:rPr>
          <w:rFonts w:eastAsia="Arial"/>
          <w:rtl/>
        </w:rPr>
        <w:t>تركز الدراسة على ممارسات الإدارة والحوكمة داخل المؤسسات الصحية، ولا تقيس النتائج السريرية المباشرة أو المؤشرات الوبائية إلا بقدر ارتباطها بالإدارة المؤسسية.</w:t>
      </w:r>
    </w:p>
    <w:p w14:paraId="6AC7F13C" w14:textId="77777777" w:rsidR="003D1B66" w:rsidRDefault="003D1B66" w:rsidP="003D1B66">
      <w:pPr>
        <w:pStyle w:val="1"/>
        <w:bidi/>
        <w:jc w:val="both"/>
      </w:pPr>
      <w:r>
        <w:rPr>
          <w:rFonts w:ascii="Arial" w:eastAsia="Arial" w:hAnsi="Arial" w:cs="Arial"/>
        </w:rPr>
        <w:t>1-10</w:t>
      </w:r>
      <w:r>
        <w:rPr>
          <w:rFonts w:ascii="Arial" w:eastAsia="Arial" w:hAnsi="Arial" w:cs="Arial"/>
          <w:rtl/>
        </w:rPr>
        <w:t xml:space="preserve"> مصطلحات الدراسة وتعريفاتها الإجرائية</w:t>
      </w:r>
    </w:p>
    <w:p w14:paraId="137E8D8D" w14:textId="77777777" w:rsidR="003D1B66" w:rsidRDefault="003D1B66" w:rsidP="003D1B66">
      <w:pPr>
        <w:pStyle w:val="21"/>
        <w:bidi/>
        <w:jc w:val="both"/>
      </w:pPr>
      <w:r>
        <w:rPr>
          <w:rFonts w:ascii="Arial" w:eastAsia="Arial" w:hAnsi="Arial" w:cs="Arial"/>
        </w:rPr>
        <w:t>1-10-1</w:t>
      </w:r>
      <w:r>
        <w:rPr>
          <w:rFonts w:ascii="Arial" w:eastAsia="Arial" w:hAnsi="Arial" w:cs="Arial"/>
          <w:rtl/>
        </w:rPr>
        <w:t xml:space="preserve"> الحوكمة</w:t>
      </w:r>
    </w:p>
    <w:p w14:paraId="79090C59" w14:textId="77777777" w:rsidR="003D1B66" w:rsidRDefault="003D1B66" w:rsidP="003D1B66">
      <w:pPr>
        <w:bidi/>
        <w:spacing w:after="120" w:line="360" w:lineRule="auto"/>
        <w:ind w:firstLine="397"/>
        <w:jc w:val="both"/>
      </w:pPr>
      <w:r>
        <w:rPr>
          <w:rFonts w:eastAsia="Arial"/>
          <w:b/>
          <w:rtl/>
        </w:rPr>
        <w:t xml:space="preserve">التعريف المفاهيمي: </w:t>
      </w:r>
      <w:r>
        <w:rPr>
          <w:rFonts w:eastAsia="Arial"/>
          <w:rtl/>
        </w:rPr>
        <w:t>منظومة القواعد والهياكل والعمليات التي تحدد كيفية توزيع السلطة واتخاذ القرار ومتابعة الأداء ومساءلة المسؤولين وإشراك أصحاب المصلحة.</w:t>
      </w:r>
    </w:p>
    <w:p w14:paraId="6B2BA006" w14:textId="77777777" w:rsidR="003D1B66" w:rsidRDefault="003D1B66" w:rsidP="003D1B66">
      <w:pPr>
        <w:bidi/>
        <w:spacing w:after="120" w:line="360" w:lineRule="auto"/>
        <w:ind w:firstLine="397"/>
        <w:jc w:val="both"/>
      </w:pPr>
      <w:r>
        <w:rPr>
          <w:rFonts w:eastAsia="Arial"/>
          <w:b/>
          <w:rtl/>
        </w:rPr>
        <w:t xml:space="preserve">التعريف الإجرائي: </w:t>
      </w:r>
      <w:r>
        <w:rPr>
          <w:rFonts w:eastAsia="Arial"/>
          <w:rtl/>
        </w:rPr>
        <w:t>الدرجة الكلية التي يحصل عليها المشارك في فقرات مقياس ممارسات الحوكمة الصحية بأبعاده الخمسة المعتمدة في الدراسة.</w:t>
      </w:r>
    </w:p>
    <w:p w14:paraId="03A70364" w14:textId="77777777" w:rsidR="003D1B66" w:rsidRDefault="003D1B66" w:rsidP="003D1B66">
      <w:pPr>
        <w:pStyle w:val="21"/>
        <w:bidi/>
        <w:jc w:val="both"/>
      </w:pPr>
      <w:r>
        <w:rPr>
          <w:rFonts w:ascii="Arial" w:eastAsia="Arial" w:hAnsi="Arial" w:cs="Arial"/>
        </w:rPr>
        <w:t>1-10-2</w:t>
      </w:r>
      <w:r>
        <w:rPr>
          <w:rFonts w:ascii="Arial" w:eastAsia="Arial" w:hAnsi="Arial" w:cs="Arial"/>
          <w:rtl/>
        </w:rPr>
        <w:t xml:space="preserve"> الحوكمة الصحية</w:t>
      </w:r>
    </w:p>
    <w:p w14:paraId="3939B486" w14:textId="77777777" w:rsidR="003D1B66" w:rsidRDefault="003D1B66" w:rsidP="003D1B66">
      <w:pPr>
        <w:bidi/>
        <w:spacing w:after="120" w:line="360" w:lineRule="auto"/>
        <w:ind w:firstLine="397"/>
        <w:jc w:val="both"/>
      </w:pPr>
      <w:r>
        <w:rPr>
          <w:rFonts w:eastAsia="Arial"/>
          <w:b/>
          <w:rtl/>
        </w:rPr>
        <w:t xml:space="preserve">التعريف المفاهيمي: </w:t>
      </w:r>
      <w:r>
        <w:rPr>
          <w:rFonts w:eastAsia="Arial"/>
          <w:rtl/>
        </w:rPr>
        <w:t>العمليات والهياكل والمؤسسات التي تشرف على النظام أو المؤسسة الصحية وتدير العلاقات بين الجهات والفاعلين وتضمن السياسات والتنظيم والرقابة والمساءلة (</w:t>
      </w:r>
      <w:r>
        <w:rPr>
          <w:rFonts w:eastAsia="Arial"/>
        </w:rPr>
        <w:t>WHO, n.d</w:t>
      </w:r>
      <w:r>
        <w:rPr>
          <w:rFonts w:eastAsia="Arial"/>
          <w:rtl/>
        </w:rPr>
        <w:t>.).</w:t>
      </w:r>
    </w:p>
    <w:p w14:paraId="75CF3E0F" w14:textId="77777777" w:rsidR="003D1B66" w:rsidRDefault="003D1B66" w:rsidP="003D1B66">
      <w:pPr>
        <w:bidi/>
        <w:spacing w:after="120" w:line="360" w:lineRule="auto"/>
        <w:ind w:firstLine="397"/>
        <w:jc w:val="both"/>
      </w:pPr>
      <w:r>
        <w:rPr>
          <w:rFonts w:eastAsia="Arial"/>
          <w:b/>
          <w:rtl/>
        </w:rPr>
        <w:t xml:space="preserve">التعريف الإجرائي: </w:t>
      </w:r>
      <w:r>
        <w:rPr>
          <w:rFonts w:eastAsia="Arial"/>
          <w:rtl/>
        </w:rPr>
        <w:t>مستوى تطبيق وضوح الأدوار، والمساءلة والرقابة، والمشاركة، والنزاهة والامتثال، والقدرة المؤسسية وإدارة المخاطر في المؤسسة الصحية.</w:t>
      </w:r>
    </w:p>
    <w:p w14:paraId="2A8CCD4C" w14:textId="77777777" w:rsidR="003D1B66" w:rsidRDefault="003D1B66" w:rsidP="003D1B66">
      <w:pPr>
        <w:pStyle w:val="21"/>
        <w:bidi/>
        <w:jc w:val="both"/>
      </w:pPr>
      <w:r>
        <w:rPr>
          <w:rFonts w:ascii="Arial" w:eastAsia="Arial" w:hAnsi="Arial" w:cs="Arial"/>
        </w:rPr>
        <w:t>1-10-3</w:t>
      </w:r>
      <w:r>
        <w:rPr>
          <w:rFonts w:ascii="Arial" w:eastAsia="Arial" w:hAnsi="Arial" w:cs="Arial"/>
          <w:rtl/>
        </w:rPr>
        <w:t xml:space="preserve"> الشفافية المؤسسية</w:t>
      </w:r>
    </w:p>
    <w:p w14:paraId="76AC9C38" w14:textId="77777777" w:rsidR="003D1B66" w:rsidRDefault="003D1B66" w:rsidP="003D1B66">
      <w:pPr>
        <w:bidi/>
        <w:spacing w:after="120" w:line="360" w:lineRule="auto"/>
        <w:ind w:firstLine="397"/>
        <w:jc w:val="both"/>
      </w:pPr>
      <w:r>
        <w:rPr>
          <w:rFonts w:eastAsia="Arial"/>
          <w:b/>
          <w:rtl/>
        </w:rPr>
        <w:t xml:space="preserve">التعريف المفاهيمي: </w:t>
      </w:r>
      <w:r>
        <w:rPr>
          <w:rFonts w:eastAsia="Arial"/>
          <w:rtl/>
        </w:rPr>
        <w:t>وضوح المعلومات والقرارات والإجراءات ومعاييرها، وإتاحتها للأطراف ذات العلاقة بصورة صحيحة ومفهومة وفي الوقت المناسب، ضمن حدود الخصوصية والسرية النظامية.</w:t>
      </w:r>
    </w:p>
    <w:p w14:paraId="56F218B6" w14:textId="77777777" w:rsidR="003D1B66" w:rsidRDefault="003D1B66" w:rsidP="003D1B66">
      <w:pPr>
        <w:bidi/>
        <w:spacing w:after="120" w:line="360" w:lineRule="auto"/>
        <w:ind w:firstLine="397"/>
        <w:jc w:val="both"/>
      </w:pPr>
      <w:r>
        <w:rPr>
          <w:rFonts w:eastAsia="Arial"/>
          <w:b/>
          <w:rtl/>
        </w:rPr>
        <w:t xml:space="preserve">التعريف الإجرائي: </w:t>
      </w:r>
      <w:r>
        <w:rPr>
          <w:rFonts w:eastAsia="Arial"/>
          <w:rtl/>
        </w:rPr>
        <w:t>الدرجة التي تعكس إدراك أفراد الدراسة لوضوح الإجراءات ومعايير القرار وإتاحة المعلومات وقابلية القرارات للتفسير والمراجعة.</w:t>
      </w:r>
    </w:p>
    <w:p w14:paraId="20AAEE70" w14:textId="77777777" w:rsidR="003D1B66" w:rsidRDefault="003D1B66" w:rsidP="003D1B66">
      <w:pPr>
        <w:pStyle w:val="21"/>
        <w:bidi/>
        <w:jc w:val="both"/>
      </w:pPr>
      <w:r>
        <w:rPr>
          <w:rFonts w:ascii="Arial" w:eastAsia="Arial" w:hAnsi="Arial" w:cs="Arial"/>
        </w:rPr>
        <w:t>1-10-4</w:t>
      </w:r>
      <w:r>
        <w:rPr>
          <w:rFonts w:ascii="Arial" w:eastAsia="Arial" w:hAnsi="Arial" w:cs="Arial"/>
          <w:rtl/>
        </w:rPr>
        <w:t xml:space="preserve"> الكفاءة الإدارية</w:t>
      </w:r>
    </w:p>
    <w:p w14:paraId="5889FCE0" w14:textId="77777777" w:rsidR="003D1B66" w:rsidRDefault="003D1B66" w:rsidP="003D1B66">
      <w:pPr>
        <w:bidi/>
        <w:spacing w:after="120" w:line="360" w:lineRule="auto"/>
        <w:ind w:firstLine="397"/>
        <w:jc w:val="both"/>
      </w:pPr>
      <w:r>
        <w:rPr>
          <w:rFonts w:eastAsia="Arial"/>
          <w:b/>
          <w:rtl/>
        </w:rPr>
        <w:t xml:space="preserve">التعريف المفاهيمي: </w:t>
      </w:r>
      <w:r>
        <w:rPr>
          <w:rFonts w:eastAsia="Arial"/>
          <w:rtl/>
        </w:rPr>
        <w:t>قدرة المؤسسة على تحقيق أهدافها باستخدام مواردها بطريقة تقلل الهدر والوقت والازدواجية مع الحفاظ على الجودة والسلامة.</w:t>
      </w:r>
    </w:p>
    <w:p w14:paraId="40B71470" w14:textId="77777777" w:rsidR="003D1B66" w:rsidRDefault="003D1B66" w:rsidP="003D1B66">
      <w:pPr>
        <w:bidi/>
        <w:spacing w:after="120" w:line="360" w:lineRule="auto"/>
        <w:ind w:firstLine="397"/>
        <w:jc w:val="both"/>
      </w:pPr>
      <w:r>
        <w:rPr>
          <w:rFonts w:eastAsia="Arial"/>
          <w:b/>
          <w:rtl/>
        </w:rPr>
        <w:lastRenderedPageBreak/>
        <w:t xml:space="preserve">التعريف الإجرائي: </w:t>
      </w:r>
      <w:r>
        <w:rPr>
          <w:rFonts w:eastAsia="Arial"/>
          <w:rtl/>
        </w:rPr>
        <w:t>الدرجة التي تعكس إدراك أفراد الدراسة لسرعة الإجراءات، وحسن استخدام الموارد، وجودة التنسيق، وتقليل الازدواجية، وفاعلية اتخاذ القرار.</w:t>
      </w:r>
    </w:p>
    <w:p w14:paraId="4A97D837" w14:textId="77777777" w:rsidR="003D1B66" w:rsidRDefault="003D1B66" w:rsidP="003D1B66">
      <w:pPr>
        <w:pStyle w:val="21"/>
        <w:bidi/>
        <w:jc w:val="both"/>
      </w:pPr>
      <w:r>
        <w:rPr>
          <w:rFonts w:ascii="Arial" w:eastAsia="Arial" w:hAnsi="Arial" w:cs="Arial"/>
        </w:rPr>
        <w:t>1-10-5</w:t>
      </w:r>
      <w:r>
        <w:rPr>
          <w:rFonts w:ascii="Arial" w:eastAsia="Arial" w:hAnsi="Arial" w:cs="Arial"/>
          <w:rtl/>
        </w:rPr>
        <w:t xml:space="preserve"> المساءلة</w:t>
      </w:r>
    </w:p>
    <w:p w14:paraId="3E4E936B" w14:textId="77777777" w:rsidR="003D1B66" w:rsidRDefault="003D1B66" w:rsidP="003D1B66">
      <w:pPr>
        <w:bidi/>
        <w:spacing w:after="120" w:line="360" w:lineRule="auto"/>
        <w:ind w:firstLine="397"/>
        <w:jc w:val="both"/>
      </w:pPr>
      <w:r>
        <w:rPr>
          <w:rFonts w:eastAsia="Arial"/>
          <w:b/>
          <w:rtl/>
        </w:rPr>
        <w:t xml:space="preserve">التعريف المفاهيمي: </w:t>
      </w:r>
      <w:r>
        <w:rPr>
          <w:rFonts w:eastAsia="Arial"/>
          <w:rtl/>
        </w:rPr>
        <w:t>التزام الأفراد والوحدات بتقديم تفسير لأفعالهم وقراراتهم، وتحمل النتائج المترتبة عند عدم كفاية الأداء أو مخالفة القواعد.</w:t>
      </w:r>
    </w:p>
    <w:p w14:paraId="677A36C0" w14:textId="77777777" w:rsidR="003D1B66" w:rsidRDefault="003D1B66" w:rsidP="003D1B66">
      <w:pPr>
        <w:bidi/>
        <w:spacing w:after="120" w:line="360" w:lineRule="auto"/>
        <w:ind w:firstLine="397"/>
        <w:jc w:val="both"/>
      </w:pPr>
      <w:r>
        <w:rPr>
          <w:rFonts w:eastAsia="Arial"/>
          <w:b/>
          <w:rtl/>
        </w:rPr>
        <w:t xml:space="preserve">التعريف الإجرائي: </w:t>
      </w:r>
      <w:r>
        <w:rPr>
          <w:rFonts w:eastAsia="Arial"/>
          <w:rtl/>
        </w:rPr>
        <w:t>مدى وضوح المسؤولية، ووجود متابعة وتقييم وتدقيق وإجراءات تصحيحية داخل المؤسسة.</w:t>
      </w:r>
    </w:p>
    <w:p w14:paraId="56935D82" w14:textId="77777777" w:rsidR="003D1B66" w:rsidRDefault="003D1B66" w:rsidP="003D1B66">
      <w:pPr>
        <w:pStyle w:val="21"/>
        <w:bidi/>
        <w:jc w:val="both"/>
      </w:pPr>
      <w:r>
        <w:rPr>
          <w:rFonts w:ascii="Arial" w:eastAsia="Arial" w:hAnsi="Arial" w:cs="Arial"/>
        </w:rPr>
        <w:t>1-10-6</w:t>
      </w:r>
      <w:r>
        <w:rPr>
          <w:rFonts w:ascii="Arial" w:eastAsia="Arial" w:hAnsi="Arial" w:cs="Arial"/>
          <w:rtl/>
        </w:rPr>
        <w:t xml:space="preserve"> المؤسسات الصحية</w:t>
      </w:r>
    </w:p>
    <w:p w14:paraId="6E77246F" w14:textId="77777777" w:rsidR="003D1B66" w:rsidRDefault="003D1B66" w:rsidP="003D1B66">
      <w:pPr>
        <w:bidi/>
        <w:spacing w:after="120" w:line="360" w:lineRule="auto"/>
        <w:ind w:firstLine="397"/>
        <w:jc w:val="both"/>
      </w:pPr>
      <w:r>
        <w:rPr>
          <w:rFonts w:eastAsia="Arial"/>
          <w:b/>
          <w:rtl/>
        </w:rPr>
        <w:t xml:space="preserve">التعريف المفاهيمي: </w:t>
      </w:r>
      <w:r>
        <w:rPr>
          <w:rFonts w:eastAsia="Arial"/>
          <w:rtl/>
        </w:rPr>
        <w:t>الجهات المنظمة أو المقدمة للخدمات الصحية، مثل المستشفيات والمجمعات والمراكز الصحية والجهات الإدارية الصحية.</w:t>
      </w:r>
    </w:p>
    <w:p w14:paraId="6BBD98DA" w14:textId="77777777" w:rsidR="003D1B66" w:rsidRDefault="003D1B66" w:rsidP="003D1B66">
      <w:pPr>
        <w:bidi/>
        <w:spacing w:after="120" w:line="360" w:lineRule="auto"/>
        <w:ind w:firstLine="397"/>
        <w:jc w:val="both"/>
      </w:pPr>
      <w:r>
        <w:rPr>
          <w:rFonts w:eastAsia="Arial"/>
          <w:b/>
          <w:rtl/>
        </w:rPr>
        <w:t xml:space="preserve">التعريف الإجرائي: </w:t>
      </w:r>
      <w:r>
        <w:rPr>
          <w:rFonts w:eastAsia="Arial"/>
          <w:rtl/>
        </w:rPr>
        <w:t>المؤسسات التي يُتاح للباحث جمع البيانات من العاملين فيها ضمن النطاق المعتمد للدراسة.</w:t>
      </w:r>
    </w:p>
    <w:p w14:paraId="639DDE00" w14:textId="77777777" w:rsidR="003D1B66" w:rsidRDefault="003D1B66" w:rsidP="003D1B66">
      <w:pPr>
        <w:pStyle w:val="1"/>
        <w:bidi/>
        <w:jc w:val="both"/>
      </w:pPr>
      <w:r>
        <w:rPr>
          <w:rFonts w:ascii="Arial" w:eastAsia="Arial" w:hAnsi="Arial" w:cs="Arial"/>
        </w:rPr>
        <w:t>1-11</w:t>
      </w:r>
      <w:r>
        <w:rPr>
          <w:rFonts w:ascii="Arial" w:eastAsia="Arial" w:hAnsi="Arial" w:cs="Arial"/>
          <w:rtl/>
        </w:rPr>
        <w:t xml:space="preserve"> المنهجية الأولية المقترحة</w:t>
      </w:r>
    </w:p>
    <w:p w14:paraId="3A5A9B1D" w14:textId="77777777" w:rsidR="003D1B66" w:rsidRDefault="003D1B66" w:rsidP="003D1B66">
      <w:pPr>
        <w:bidi/>
        <w:spacing w:after="120" w:line="360" w:lineRule="auto"/>
        <w:ind w:firstLine="397"/>
        <w:jc w:val="both"/>
      </w:pPr>
      <w:r>
        <w:rPr>
          <w:rFonts w:eastAsia="Arial"/>
          <w:rtl/>
        </w:rPr>
        <w:t>يعرض هذا القسم تصوراً أولياً للمنهجية، على أن تُفصل الإجراءات النهائية في الفصل الثالث بعد اعتماد مجتمع الدراسة والعينة والأداة من المشرف والجهة الأكاديمية.</w:t>
      </w:r>
    </w:p>
    <w:p w14:paraId="40FD7DB4" w14:textId="77777777" w:rsidR="003D1B66" w:rsidRDefault="003D1B66" w:rsidP="003D1B66">
      <w:pPr>
        <w:keepNext/>
        <w:bidi/>
        <w:spacing w:before="120" w:after="80"/>
        <w:jc w:val="center"/>
      </w:pPr>
      <w:r>
        <w:rPr>
          <w:rFonts w:eastAsia="Arial"/>
          <w:b/>
          <w:sz w:val="24"/>
          <w:rtl/>
        </w:rPr>
        <w:t>جدول (</w:t>
      </w:r>
      <w:r>
        <w:rPr>
          <w:rFonts w:eastAsia="Arial"/>
          <w:b/>
          <w:sz w:val="24"/>
        </w:rPr>
        <w:t>4</w:t>
      </w:r>
      <w:r>
        <w:rPr>
          <w:rFonts w:eastAsia="Arial"/>
          <w:b/>
          <w:sz w:val="24"/>
          <w:rtl/>
        </w:rPr>
        <w:t>): المنهجية الأولية المقترحة</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4465"/>
        <w:gridCol w:w="4463"/>
      </w:tblGrid>
      <w:tr w:rsidR="003D1B66" w14:paraId="28B8688B" w14:textId="77777777" w:rsidTr="000B46B5">
        <w:trPr>
          <w:tblHeader/>
          <w:jc w:val="center"/>
        </w:trPr>
        <w:tc>
          <w:tcPr>
            <w:tcW w:w="4464" w:type="dxa"/>
            <w:shd w:val="clear" w:color="auto" w:fill="F2F2F2" w:themeFill="background1" w:themeFillShade="F2"/>
            <w:vAlign w:val="center"/>
          </w:tcPr>
          <w:p w14:paraId="57CC37E2" w14:textId="77777777" w:rsidR="003D1B66" w:rsidRDefault="003D1B66" w:rsidP="000B46B5">
            <w:pPr>
              <w:bidi/>
              <w:spacing w:after="0" w:line="240" w:lineRule="auto"/>
              <w:jc w:val="both"/>
            </w:pPr>
            <w:r>
              <w:rPr>
                <w:rFonts w:eastAsia="Arial"/>
                <w:b/>
                <w:sz w:val="21"/>
                <w:rtl/>
              </w:rPr>
              <w:t>العنصر</w:t>
            </w:r>
          </w:p>
        </w:tc>
        <w:tc>
          <w:tcPr>
            <w:tcW w:w="4463" w:type="dxa"/>
            <w:shd w:val="clear" w:color="auto" w:fill="F2F2F2" w:themeFill="background1" w:themeFillShade="F2"/>
            <w:vAlign w:val="center"/>
          </w:tcPr>
          <w:p w14:paraId="5088BC9B" w14:textId="77777777" w:rsidR="003D1B66" w:rsidRDefault="003D1B66" w:rsidP="000B46B5">
            <w:pPr>
              <w:bidi/>
              <w:spacing w:after="0" w:line="240" w:lineRule="auto"/>
              <w:jc w:val="both"/>
            </w:pPr>
            <w:r>
              <w:rPr>
                <w:rFonts w:eastAsia="Arial"/>
                <w:b/>
                <w:sz w:val="21"/>
                <w:rtl/>
              </w:rPr>
              <w:t>التصور الأولي</w:t>
            </w:r>
          </w:p>
        </w:tc>
      </w:tr>
      <w:tr w:rsidR="003D1B66" w14:paraId="2599E30E" w14:textId="77777777" w:rsidTr="000B46B5">
        <w:trPr>
          <w:jc w:val="center"/>
        </w:trPr>
        <w:tc>
          <w:tcPr>
            <w:tcW w:w="4464" w:type="dxa"/>
            <w:shd w:val="clear" w:color="auto" w:fill="F2F2F2" w:themeFill="background1" w:themeFillShade="F2"/>
            <w:vAlign w:val="center"/>
          </w:tcPr>
          <w:p w14:paraId="458F54FE" w14:textId="77777777" w:rsidR="003D1B66" w:rsidRDefault="003D1B66" w:rsidP="000B46B5">
            <w:pPr>
              <w:bidi/>
              <w:spacing w:after="0" w:line="240" w:lineRule="auto"/>
              <w:jc w:val="both"/>
            </w:pPr>
            <w:r>
              <w:rPr>
                <w:rFonts w:eastAsia="Arial"/>
                <w:sz w:val="21"/>
                <w:rtl/>
              </w:rPr>
              <w:t>منهج الدراسة</w:t>
            </w:r>
          </w:p>
        </w:tc>
        <w:tc>
          <w:tcPr>
            <w:tcW w:w="4463" w:type="dxa"/>
            <w:shd w:val="clear" w:color="auto" w:fill="F2F2F2" w:themeFill="background1" w:themeFillShade="F2"/>
            <w:vAlign w:val="center"/>
          </w:tcPr>
          <w:p w14:paraId="26BC6C77" w14:textId="77777777" w:rsidR="003D1B66" w:rsidRDefault="003D1B66" w:rsidP="000B46B5">
            <w:pPr>
              <w:bidi/>
              <w:spacing w:after="0" w:line="240" w:lineRule="auto"/>
              <w:jc w:val="both"/>
            </w:pPr>
            <w:r>
              <w:rPr>
                <w:rFonts w:eastAsia="Arial"/>
                <w:sz w:val="21"/>
                <w:rtl/>
              </w:rPr>
              <w:t>المنهج الوصفي التحليلي؛ لملاءمته لقياس واقع ممارسات الحوكمة والشفافية والكفاءة وتحليل العلاقات والأثر بين المتغيرات دون تدخل تجريبي.</w:t>
            </w:r>
          </w:p>
        </w:tc>
      </w:tr>
      <w:tr w:rsidR="003D1B66" w14:paraId="08C55D42" w14:textId="77777777" w:rsidTr="000B46B5">
        <w:trPr>
          <w:jc w:val="center"/>
        </w:trPr>
        <w:tc>
          <w:tcPr>
            <w:tcW w:w="4464" w:type="dxa"/>
            <w:shd w:val="clear" w:color="auto" w:fill="F2F2F2" w:themeFill="background1" w:themeFillShade="F2"/>
            <w:vAlign w:val="center"/>
          </w:tcPr>
          <w:p w14:paraId="1BA8510D" w14:textId="77777777" w:rsidR="003D1B66" w:rsidRDefault="003D1B66" w:rsidP="000B46B5">
            <w:pPr>
              <w:bidi/>
              <w:spacing w:after="0" w:line="240" w:lineRule="auto"/>
              <w:jc w:val="both"/>
            </w:pPr>
            <w:r>
              <w:rPr>
                <w:rFonts w:eastAsia="Arial"/>
                <w:sz w:val="21"/>
                <w:rtl/>
              </w:rPr>
              <w:t>تصميم الدراسة</w:t>
            </w:r>
          </w:p>
        </w:tc>
        <w:tc>
          <w:tcPr>
            <w:tcW w:w="4463" w:type="dxa"/>
            <w:shd w:val="clear" w:color="auto" w:fill="F2F2F2" w:themeFill="background1" w:themeFillShade="F2"/>
            <w:vAlign w:val="center"/>
          </w:tcPr>
          <w:p w14:paraId="233A25B5" w14:textId="77777777" w:rsidR="003D1B66" w:rsidRDefault="003D1B66" w:rsidP="000B46B5">
            <w:pPr>
              <w:bidi/>
              <w:spacing w:after="0" w:line="240" w:lineRule="auto"/>
              <w:jc w:val="both"/>
            </w:pPr>
            <w:r>
              <w:rPr>
                <w:rFonts w:eastAsia="Arial"/>
                <w:sz w:val="21"/>
                <w:rtl/>
              </w:rPr>
              <w:t>دراسة مقطعية تجمع البيانات في فترة زمنية محددة باستخدام استبانة منظمة.</w:t>
            </w:r>
          </w:p>
        </w:tc>
      </w:tr>
      <w:tr w:rsidR="003D1B66" w14:paraId="6D874C79" w14:textId="77777777" w:rsidTr="000B46B5">
        <w:trPr>
          <w:jc w:val="center"/>
        </w:trPr>
        <w:tc>
          <w:tcPr>
            <w:tcW w:w="4464" w:type="dxa"/>
            <w:shd w:val="clear" w:color="auto" w:fill="F2F2F2" w:themeFill="background1" w:themeFillShade="F2"/>
            <w:vAlign w:val="center"/>
          </w:tcPr>
          <w:p w14:paraId="169771EA" w14:textId="77777777" w:rsidR="003D1B66" w:rsidRDefault="003D1B66" w:rsidP="000B46B5">
            <w:pPr>
              <w:bidi/>
              <w:spacing w:after="0" w:line="240" w:lineRule="auto"/>
              <w:jc w:val="both"/>
            </w:pPr>
            <w:r>
              <w:rPr>
                <w:rFonts w:eastAsia="Arial"/>
                <w:sz w:val="21"/>
                <w:rtl/>
              </w:rPr>
              <w:t>مجتمع الدراسة</w:t>
            </w:r>
          </w:p>
        </w:tc>
        <w:tc>
          <w:tcPr>
            <w:tcW w:w="4463" w:type="dxa"/>
            <w:shd w:val="clear" w:color="auto" w:fill="F2F2F2" w:themeFill="background1" w:themeFillShade="F2"/>
            <w:vAlign w:val="center"/>
          </w:tcPr>
          <w:p w14:paraId="4AF9D5AE" w14:textId="77777777" w:rsidR="003D1B66" w:rsidRDefault="003D1B66" w:rsidP="000B46B5">
            <w:pPr>
              <w:bidi/>
              <w:spacing w:after="0" w:line="240" w:lineRule="auto"/>
              <w:jc w:val="both"/>
            </w:pPr>
            <w:r>
              <w:rPr>
                <w:rFonts w:eastAsia="Arial"/>
                <w:sz w:val="21"/>
                <w:rtl/>
              </w:rPr>
              <w:t>العاملون في المؤسسات الصحية المشمولة بالتطبيق، من القيادات والموظفين الإداريين والممارسين الصحيين ذوي العلاقة بالإجراءات وصنع القرار.</w:t>
            </w:r>
          </w:p>
        </w:tc>
      </w:tr>
      <w:tr w:rsidR="003D1B66" w14:paraId="5A43358A" w14:textId="77777777" w:rsidTr="000B46B5">
        <w:trPr>
          <w:jc w:val="center"/>
        </w:trPr>
        <w:tc>
          <w:tcPr>
            <w:tcW w:w="4464" w:type="dxa"/>
            <w:shd w:val="clear" w:color="auto" w:fill="F2F2F2" w:themeFill="background1" w:themeFillShade="F2"/>
            <w:vAlign w:val="center"/>
          </w:tcPr>
          <w:p w14:paraId="7A8DBD1B" w14:textId="77777777" w:rsidR="003D1B66" w:rsidRDefault="003D1B66" w:rsidP="000B46B5">
            <w:pPr>
              <w:bidi/>
              <w:spacing w:after="0" w:line="240" w:lineRule="auto"/>
              <w:jc w:val="both"/>
            </w:pPr>
            <w:r>
              <w:rPr>
                <w:rFonts w:eastAsia="Arial"/>
                <w:sz w:val="21"/>
                <w:rtl/>
              </w:rPr>
              <w:t>أداة الدراسة</w:t>
            </w:r>
          </w:p>
        </w:tc>
        <w:tc>
          <w:tcPr>
            <w:tcW w:w="4463" w:type="dxa"/>
            <w:shd w:val="clear" w:color="auto" w:fill="F2F2F2" w:themeFill="background1" w:themeFillShade="F2"/>
            <w:vAlign w:val="center"/>
          </w:tcPr>
          <w:p w14:paraId="2A9CBE74" w14:textId="77777777" w:rsidR="003D1B66" w:rsidRDefault="003D1B66" w:rsidP="000B46B5">
            <w:pPr>
              <w:bidi/>
              <w:spacing w:after="0" w:line="240" w:lineRule="auto"/>
              <w:jc w:val="both"/>
            </w:pPr>
            <w:r>
              <w:rPr>
                <w:rFonts w:eastAsia="Arial"/>
                <w:sz w:val="21"/>
                <w:rtl/>
              </w:rPr>
              <w:t>استبانة وفق مقياس ليكرت الخماسي، تتضمن البيانات الأولية ومحاور الحوكمة الصحية والشفافية والكفاءة والتحديات.</w:t>
            </w:r>
          </w:p>
        </w:tc>
      </w:tr>
      <w:tr w:rsidR="003D1B66" w14:paraId="276E9BD8" w14:textId="77777777" w:rsidTr="000B46B5">
        <w:trPr>
          <w:jc w:val="center"/>
        </w:trPr>
        <w:tc>
          <w:tcPr>
            <w:tcW w:w="4464" w:type="dxa"/>
            <w:shd w:val="clear" w:color="auto" w:fill="F2F2F2" w:themeFill="background1" w:themeFillShade="F2"/>
            <w:vAlign w:val="center"/>
          </w:tcPr>
          <w:p w14:paraId="5F69E152" w14:textId="77777777" w:rsidR="003D1B66" w:rsidRDefault="003D1B66" w:rsidP="000B46B5">
            <w:pPr>
              <w:bidi/>
              <w:spacing w:after="0" w:line="240" w:lineRule="auto"/>
              <w:jc w:val="both"/>
            </w:pPr>
            <w:r>
              <w:rPr>
                <w:rFonts w:eastAsia="Arial"/>
                <w:sz w:val="21"/>
                <w:rtl/>
              </w:rPr>
              <w:t>صدق الأداة</w:t>
            </w:r>
          </w:p>
        </w:tc>
        <w:tc>
          <w:tcPr>
            <w:tcW w:w="4463" w:type="dxa"/>
            <w:shd w:val="clear" w:color="auto" w:fill="F2F2F2" w:themeFill="background1" w:themeFillShade="F2"/>
            <w:vAlign w:val="center"/>
          </w:tcPr>
          <w:p w14:paraId="7BF60018" w14:textId="77777777" w:rsidR="003D1B66" w:rsidRDefault="003D1B66" w:rsidP="000B46B5">
            <w:pPr>
              <w:bidi/>
              <w:spacing w:after="0" w:line="240" w:lineRule="auto"/>
              <w:jc w:val="both"/>
            </w:pPr>
            <w:r>
              <w:rPr>
                <w:rFonts w:eastAsia="Arial"/>
                <w:sz w:val="21"/>
                <w:rtl/>
              </w:rPr>
              <w:t>الصدق الظاهري وصدق المحتوى من خلال التحكيم العلمي</w:t>
            </w:r>
          </w:p>
        </w:tc>
      </w:tr>
      <w:tr w:rsidR="003D1B66" w14:paraId="7A7FA3E5" w14:textId="77777777" w:rsidTr="000B46B5">
        <w:trPr>
          <w:jc w:val="center"/>
        </w:trPr>
        <w:tc>
          <w:tcPr>
            <w:tcW w:w="4464" w:type="dxa"/>
            <w:shd w:val="clear" w:color="auto" w:fill="F2F2F2" w:themeFill="background1" w:themeFillShade="F2"/>
            <w:vAlign w:val="center"/>
          </w:tcPr>
          <w:p w14:paraId="595D8283" w14:textId="77777777" w:rsidR="003D1B66" w:rsidRDefault="003D1B66" w:rsidP="000B46B5">
            <w:pPr>
              <w:bidi/>
              <w:spacing w:after="0" w:line="240" w:lineRule="auto"/>
              <w:jc w:val="both"/>
            </w:pPr>
            <w:r>
              <w:rPr>
                <w:rFonts w:eastAsia="Arial"/>
                <w:sz w:val="21"/>
                <w:rtl/>
              </w:rPr>
              <w:t>ثبات الأداة</w:t>
            </w:r>
          </w:p>
        </w:tc>
        <w:tc>
          <w:tcPr>
            <w:tcW w:w="4463" w:type="dxa"/>
            <w:shd w:val="clear" w:color="auto" w:fill="F2F2F2" w:themeFill="background1" w:themeFillShade="F2"/>
            <w:vAlign w:val="center"/>
          </w:tcPr>
          <w:p w14:paraId="7364BBA5" w14:textId="77777777" w:rsidR="003D1B66" w:rsidRDefault="003D1B66" w:rsidP="000B46B5">
            <w:pPr>
              <w:bidi/>
              <w:spacing w:after="0" w:line="240" w:lineRule="auto"/>
              <w:jc w:val="both"/>
            </w:pPr>
            <w:r>
              <w:rPr>
                <w:rFonts w:eastAsia="Arial"/>
                <w:sz w:val="21"/>
                <w:rtl/>
              </w:rPr>
              <w:t>معامل ألفا كرونباخ والاتساق الداخلي للمحاور.</w:t>
            </w:r>
          </w:p>
        </w:tc>
      </w:tr>
      <w:tr w:rsidR="003D1B66" w14:paraId="23BACCE4" w14:textId="77777777" w:rsidTr="000B46B5">
        <w:trPr>
          <w:jc w:val="center"/>
        </w:trPr>
        <w:tc>
          <w:tcPr>
            <w:tcW w:w="4464" w:type="dxa"/>
            <w:shd w:val="clear" w:color="auto" w:fill="F2F2F2" w:themeFill="background1" w:themeFillShade="F2"/>
            <w:vAlign w:val="center"/>
          </w:tcPr>
          <w:p w14:paraId="0DBF8B3F" w14:textId="77777777" w:rsidR="003D1B66" w:rsidRDefault="003D1B66" w:rsidP="000B46B5">
            <w:pPr>
              <w:bidi/>
              <w:spacing w:after="0" w:line="240" w:lineRule="auto"/>
              <w:jc w:val="both"/>
            </w:pPr>
            <w:r>
              <w:rPr>
                <w:rFonts w:eastAsia="Arial"/>
                <w:sz w:val="21"/>
                <w:rtl/>
              </w:rPr>
              <w:t>التحليل المقترح</w:t>
            </w:r>
          </w:p>
        </w:tc>
        <w:tc>
          <w:tcPr>
            <w:tcW w:w="4463" w:type="dxa"/>
            <w:shd w:val="clear" w:color="auto" w:fill="F2F2F2" w:themeFill="background1" w:themeFillShade="F2"/>
            <w:vAlign w:val="center"/>
          </w:tcPr>
          <w:p w14:paraId="084D9787" w14:textId="77777777" w:rsidR="003D1B66" w:rsidRDefault="003D1B66" w:rsidP="000B46B5">
            <w:pPr>
              <w:bidi/>
              <w:spacing w:after="0" w:line="240" w:lineRule="auto"/>
              <w:jc w:val="both"/>
            </w:pPr>
            <w:r>
              <w:rPr>
                <w:rFonts w:eastAsia="Arial"/>
                <w:sz w:val="21"/>
                <w:rtl/>
              </w:rPr>
              <w:t>الإحصاء الوصفي، معاملات الارتباط، تحليل الانحدار المتعدد أو نمذجة المعادلات الهيكلية عند توافر الشروط، واختبارات الفروق الملائمة.</w:t>
            </w:r>
          </w:p>
        </w:tc>
      </w:tr>
      <w:tr w:rsidR="003D1B66" w14:paraId="5F4C2C52" w14:textId="77777777" w:rsidTr="000B46B5">
        <w:trPr>
          <w:jc w:val="center"/>
        </w:trPr>
        <w:tc>
          <w:tcPr>
            <w:tcW w:w="4464" w:type="dxa"/>
            <w:shd w:val="clear" w:color="auto" w:fill="F2F2F2" w:themeFill="background1" w:themeFillShade="F2"/>
            <w:vAlign w:val="center"/>
          </w:tcPr>
          <w:p w14:paraId="50531F2B" w14:textId="77777777" w:rsidR="003D1B66" w:rsidRDefault="003D1B66" w:rsidP="000B46B5">
            <w:pPr>
              <w:bidi/>
              <w:spacing w:after="0" w:line="240" w:lineRule="auto"/>
              <w:jc w:val="both"/>
            </w:pPr>
            <w:r>
              <w:rPr>
                <w:rFonts w:eastAsia="Arial"/>
                <w:sz w:val="21"/>
                <w:rtl/>
              </w:rPr>
              <w:t>الاعتبارات الأخلاقية</w:t>
            </w:r>
          </w:p>
        </w:tc>
        <w:tc>
          <w:tcPr>
            <w:tcW w:w="4463" w:type="dxa"/>
            <w:shd w:val="clear" w:color="auto" w:fill="F2F2F2" w:themeFill="background1" w:themeFillShade="F2"/>
            <w:vAlign w:val="center"/>
          </w:tcPr>
          <w:p w14:paraId="1FDF9462" w14:textId="77777777" w:rsidR="003D1B66" w:rsidRDefault="003D1B66" w:rsidP="000B46B5">
            <w:pPr>
              <w:bidi/>
              <w:spacing w:after="0" w:line="240" w:lineRule="auto"/>
              <w:jc w:val="both"/>
            </w:pPr>
            <w:r>
              <w:rPr>
                <w:rFonts w:eastAsia="Arial"/>
                <w:sz w:val="21"/>
                <w:rtl/>
              </w:rPr>
              <w:t>الحصول على الموافقات اللازمة، وتوضيح هدف الدراسة، والمشاركة الطوعية، وعدم جمع بيانات تعريفية غير لازمة، والمحافظة على سرية البيانات واستخدامها لأغراض البحث فقط.</w:t>
            </w:r>
          </w:p>
        </w:tc>
      </w:tr>
    </w:tbl>
    <w:p w14:paraId="084D32E3" w14:textId="77777777" w:rsidR="003D1B66" w:rsidRDefault="003D1B66" w:rsidP="003D1B66">
      <w:pPr>
        <w:pStyle w:val="21"/>
        <w:bidi/>
        <w:jc w:val="both"/>
      </w:pPr>
      <w:r>
        <w:rPr>
          <w:rFonts w:ascii="Arial" w:eastAsia="Arial" w:hAnsi="Arial" w:cs="Arial"/>
        </w:rPr>
        <w:lastRenderedPageBreak/>
        <w:t>1-11-1</w:t>
      </w:r>
      <w:r>
        <w:rPr>
          <w:rFonts w:ascii="Arial" w:eastAsia="Arial" w:hAnsi="Arial" w:cs="Arial"/>
          <w:rtl/>
        </w:rPr>
        <w:t xml:space="preserve"> التصور الأولي لمحاور الاستبانة</w:t>
      </w:r>
    </w:p>
    <w:p w14:paraId="14A5F3ED" w14:textId="77777777" w:rsidR="003D1B66" w:rsidRDefault="003D1B66" w:rsidP="003D1B66">
      <w:pPr>
        <w:bidi/>
        <w:spacing w:after="120" w:line="360" w:lineRule="auto"/>
        <w:ind w:firstLine="397"/>
        <w:jc w:val="both"/>
      </w:pPr>
      <w:r>
        <w:rPr>
          <w:rFonts w:eastAsia="Arial"/>
          <w:b/>
          <w:rtl/>
        </w:rPr>
        <w:t>المحور الأول:</w:t>
      </w:r>
      <w:r>
        <w:rPr>
          <w:rFonts w:eastAsia="Arial"/>
          <w:rtl/>
        </w:rPr>
        <w:t xml:space="preserve"> البيانات الديموغرافية والوظيفية: نوع المؤسسة، القطاع، المسمى الوظيفي، المؤهل، الخبرة، المستوى الإداري.</w:t>
      </w:r>
    </w:p>
    <w:p w14:paraId="3D8B8D2F" w14:textId="77777777" w:rsidR="003D1B66" w:rsidRDefault="003D1B66" w:rsidP="003D1B66">
      <w:pPr>
        <w:bidi/>
        <w:spacing w:after="120" w:line="360" w:lineRule="auto"/>
        <w:ind w:firstLine="397"/>
        <w:jc w:val="both"/>
      </w:pPr>
      <w:r>
        <w:rPr>
          <w:rFonts w:eastAsia="Arial"/>
          <w:b/>
          <w:rtl/>
        </w:rPr>
        <w:t>المحور الثاني:</w:t>
      </w:r>
      <w:r>
        <w:rPr>
          <w:rFonts w:eastAsia="Arial"/>
          <w:rtl/>
        </w:rPr>
        <w:t xml:space="preserve"> وضوح الأدوار والمسؤوليات.</w:t>
      </w:r>
    </w:p>
    <w:p w14:paraId="2DB425DB" w14:textId="77777777" w:rsidR="003D1B66" w:rsidRDefault="003D1B66" w:rsidP="003D1B66">
      <w:pPr>
        <w:bidi/>
        <w:spacing w:after="120" w:line="360" w:lineRule="auto"/>
        <w:ind w:firstLine="397"/>
        <w:jc w:val="both"/>
      </w:pPr>
      <w:r>
        <w:rPr>
          <w:rFonts w:eastAsia="Arial"/>
          <w:b/>
          <w:rtl/>
        </w:rPr>
        <w:t>المحور الثالث:</w:t>
      </w:r>
      <w:r>
        <w:rPr>
          <w:rFonts w:eastAsia="Arial"/>
          <w:rtl/>
        </w:rPr>
        <w:t xml:space="preserve"> المساءلة والرقابة.</w:t>
      </w:r>
    </w:p>
    <w:p w14:paraId="731D1DF8" w14:textId="77777777" w:rsidR="003D1B66" w:rsidRDefault="003D1B66" w:rsidP="003D1B66">
      <w:pPr>
        <w:bidi/>
        <w:spacing w:after="120" w:line="360" w:lineRule="auto"/>
        <w:ind w:firstLine="397"/>
        <w:jc w:val="both"/>
      </w:pPr>
      <w:r>
        <w:rPr>
          <w:rFonts w:eastAsia="Arial"/>
          <w:b/>
          <w:rtl/>
        </w:rPr>
        <w:t>المحور الرابع:</w:t>
      </w:r>
      <w:r>
        <w:rPr>
          <w:rFonts w:eastAsia="Arial"/>
          <w:rtl/>
        </w:rPr>
        <w:t xml:space="preserve"> المشاركة في صنع القرار.</w:t>
      </w:r>
    </w:p>
    <w:p w14:paraId="3F13A403" w14:textId="77777777" w:rsidR="003D1B66" w:rsidRDefault="003D1B66" w:rsidP="003D1B66">
      <w:pPr>
        <w:bidi/>
        <w:spacing w:after="120" w:line="360" w:lineRule="auto"/>
        <w:ind w:firstLine="397"/>
        <w:jc w:val="both"/>
      </w:pPr>
      <w:r>
        <w:rPr>
          <w:rFonts w:eastAsia="Arial"/>
          <w:b/>
          <w:rtl/>
        </w:rPr>
        <w:t>المحور الخامس:</w:t>
      </w:r>
      <w:r>
        <w:rPr>
          <w:rFonts w:eastAsia="Arial"/>
          <w:rtl/>
        </w:rPr>
        <w:t xml:space="preserve"> النزاهة والامتثال.</w:t>
      </w:r>
    </w:p>
    <w:p w14:paraId="6F87D6BC" w14:textId="77777777" w:rsidR="003D1B66" w:rsidRDefault="003D1B66" w:rsidP="003D1B66">
      <w:pPr>
        <w:bidi/>
        <w:spacing w:after="120" w:line="360" w:lineRule="auto"/>
        <w:ind w:firstLine="397"/>
        <w:jc w:val="both"/>
      </w:pPr>
      <w:r>
        <w:rPr>
          <w:rFonts w:eastAsia="Arial"/>
          <w:b/>
          <w:rtl/>
        </w:rPr>
        <w:t>المحور السادس:</w:t>
      </w:r>
      <w:r>
        <w:rPr>
          <w:rFonts w:eastAsia="Arial"/>
          <w:rtl/>
        </w:rPr>
        <w:t xml:space="preserve"> القدرة المؤسسية وإدارة المخاطر.</w:t>
      </w:r>
    </w:p>
    <w:p w14:paraId="4945EDB9" w14:textId="77777777" w:rsidR="003D1B66" w:rsidRDefault="003D1B66" w:rsidP="003D1B66">
      <w:pPr>
        <w:bidi/>
        <w:spacing w:after="120" w:line="360" w:lineRule="auto"/>
        <w:ind w:firstLine="397"/>
        <w:jc w:val="both"/>
      </w:pPr>
      <w:r>
        <w:rPr>
          <w:rFonts w:eastAsia="Arial"/>
          <w:b/>
          <w:rtl/>
        </w:rPr>
        <w:t>المحور السابع:</w:t>
      </w:r>
      <w:r>
        <w:rPr>
          <w:rFonts w:eastAsia="Arial"/>
          <w:rtl/>
        </w:rPr>
        <w:t xml:space="preserve"> الشفافية المؤسسية.</w:t>
      </w:r>
    </w:p>
    <w:p w14:paraId="1ABD9CC3" w14:textId="77777777" w:rsidR="003D1B66" w:rsidRDefault="003D1B66" w:rsidP="003D1B66">
      <w:pPr>
        <w:bidi/>
        <w:spacing w:after="120" w:line="360" w:lineRule="auto"/>
        <w:ind w:firstLine="397"/>
        <w:jc w:val="both"/>
      </w:pPr>
      <w:r>
        <w:rPr>
          <w:rFonts w:eastAsia="Arial"/>
          <w:b/>
          <w:rtl/>
        </w:rPr>
        <w:t>المحور الثامن:</w:t>
      </w:r>
      <w:r>
        <w:rPr>
          <w:rFonts w:eastAsia="Arial"/>
          <w:rtl/>
        </w:rPr>
        <w:t xml:space="preserve"> الكفاءة الإدارية.</w:t>
      </w:r>
    </w:p>
    <w:p w14:paraId="7733B469" w14:textId="77777777" w:rsidR="003D1B66" w:rsidRDefault="003D1B66" w:rsidP="003D1B66">
      <w:pPr>
        <w:bidi/>
        <w:spacing w:after="120" w:line="360" w:lineRule="auto"/>
        <w:ind w:firstLine="397"/>
        <w:jc w:val="both"/>
      </w:pPr>
      <w:r>
        <w:rPr>
          <w:rFonts w:eastAsia="Arial"/>
          <w:b/>
          <w:rtl/>
        </w:rPr>
        <w:t>المحور التاسع:</w:t>
      </w:r>
      <w:r>
        <w:rPr>
          <w:rFonts w:eastAsia="Arial"/>
          <w:rtl/>
        </w:rPr>
        <w:t xml:space="preserve"> تحديات التطبيق والمقترحات التحسينية.</w:t>
      </w:r>
    </w:p>
    <w:p w14:paraId="159D1C9A" w14:textId="77777777" w:rsidR="003D1B66" w:rsidRDefault="003D1B66" w:rsidP="003D1B66">
      <w:pPr>
        <w:pStyle w:val="1"/>
        <w:bidi/>
        <w:jc w:val="both"/>
      </w:pPr>
      <w:r>
        <w:rPr>
          <w:rFonts w:ascii="Arial" w:eastAsia="Arial" w:hAnsi="Arial" w:cs="Arial"/>
        </w:rPr>
        <w:t>1-12</w:t>
      </w:r>
      <w:r>
        <w:rPr>
          <w:rFonts w:ascii="Arial" w:eastAsia="Arial" w:hAnsi="Arial" w:cs="Arial"/>
          <w:rtl/>
        </w:rPr>
        <w:t xml:space="preserve"> هيكل الدراسة</w:t>
      </w:r>
    </w:p>
    <w:p w14:paraId="475F0E8C" w14:textId="77777777" w:rsidR="003D1B66" w:rsidRDefault="003D1B66" w:rsidP="003D1B66">
      <w:pPr>
        <w:bidi/>
        <w:spacing w:after="120" w:line="360" w:lineRule="auto"/>
        <w:ind w:firstLine="397"/>
        <w:jc w:val="both"/>
      </w:pPr>
      <w:r>
        <w:rPr>
          <w:rFonts w:eastAsia="Arial"/>
          <w:b/>
          <w:rtl/>
        </w:rPr>
        <w:t>الفصل الأول: الإطار العام للدراسة:</w:t>
      </w:r>
      <w:r>
        <w:rPr>
          <w:rFonts w:eastAsia="Arial"/>
          <w:rtl/>
        </w:rPr>
        <w:t xml:space="preserve"> يتضمن المقدمة والخلفية والمشكلة والأسئلة والفرضيات والأهداف والأهمية والنموذج والحدود والمصطلحات والمنهجية الأولية.</w:t>
      </w:r>
    </w:p>
    <w:p w14:paraId="24BDD918" w14:textId="77777777" w:rsidR="003D1B66" w:rsidRDefault="003D1B66" w:rsidP="003D1B66">
      <w:pPr>
        <w:bidi/>
        <w:spacing w:after="120" w:line="360" w:lineRule="auto"/>
        <w:ind w:firstLine="397"/>
        <w:jc w:val="both"/>
      </w:pPr>
      <w:r>
        <w:rPr>
          <w:rFonts w:eastAsia="Arial"/>
          <w:b/>
          <w:rtl/>
        </w:rPr>
        <w:t>الفصل الثاني: الإطار النظري والدراسات السابقة:</w:t>
      </w:r>
      <w:r>
        <w:rPr>
          <w:rFonts w:eastAsia="Arial"/>
          <w:rtl/>
        </w:rPr>
        <w:t xml:space="preserve"> يتناول الحوكمة والحوكمة الصحية، وأبعادها ونماذجها، والشفافية، والكفاءة الإدارية، والتحول الصحي السعودي، ثم يحلل الدراسات السابقة والفجوة البحثية.</w:t>
      </w:r>
    </w:p>
    <w:p w14:paraId="223E2518" w14:textId="77777777" w:rsidR="003D1B66" w:rsidRDefault="003D1B66" w:rsidP="003D1B66">
      <w:pPr>
        <w:bidi/>
        <w:spacing w:after="120" w:line="360" w:lineRule="auto"/>
        <w:ind w:firstLine="397"/>
        <w:jc w:val="both"/>
      </w:pPr>
      <w:r>
        <w:rPr>
          <w:rFonts w:eastAsia="Arial"/>
          <w:b/>
          <w:rtl/>
        </w:rPr>
        <w:t>الفصل الثالث: منهجية الدراسة وإجراءاتها:</w:t>
      </w:r>
      <w:r>
        <w:rPr>
          <w:rFonts w:eastAsia="Arial"/>
          <w:rtl/>
        </w:rPr>
        <w:t xml:space="preserve"> يتضمن المنهج والمجتمع والعينة والأداة والصدق والثبات وإجراءات جمع البيانات والأساليب الإحصائية والاعتبارات الأخلاقية.</w:t>
      </w:r>
    </w:p>
    <w:p w14:paraId="4521C61C" w14:textId="77777777" w:rsidR="003D1B66" w:rsidRDefault="003D1B66" w:rsidP="003D1B66">
      <w:pPr>
        <w:bidi/>
        <w:spacing w:after="120" w:line="360" w:lineRule="auto"/>
        <w:ind w:firstLine="397"/>
        <w:jc w:val="both"/>
      </w:pPr>
      <w:r>
        <w:rPr>
          <w:rFonts w:eastAsia="Arial"/>
          <w:b/>
          <w:rtl/>
        </w:rPr>
        <w:t>الفصل الرابع: عرض النتائج وتحليلها:</w:t>
      </w:r>
      <w:r>
        <w:rPr>
          <w:rFonts w:eastAsia="Arial"/>
          <w:rtl/>
        </w:rPr>
        <w:t xml:space="preserve"> يعرض خصائص العينة والنتائج الوصفية واختبار الفرضيات والعلاقات والفروق.</w:t>
      </w:r>
    </w:p>
    <w:p w14:paraId="3BBA0972" w14:textId="77777777" w:rsidR="003D1B66" w:rsidRDefault="003D1B66" w:rsidP="003D1B66">
      <w:pPr>
        <w:bidi/>
        <w:spacing w:after="120" w:line="360" w:lineRule="auto"/>
        <w:ind w:firstLine="397"/>
        <w:jc w:val="both"/>
      </w:pPr>
      <w:r>
        <w:rPr>
          <w:rFonts w:eastAsia="Arial"/>
          <w:b/>
          <w:rtl/>
        </w:rPr>
        <w:t>الفصل الخامس: مناقشة النتائج والتوصيات:</w:t>
      </w:r>
      <w:r>
        <w:rPr>
          <w:rFonts w:eastAsia="Arial"/>
          <w:rtl/>
        </w:rPr>
        <w:t xml:space="preserve"> يناقش النتائج في ضوء الإطار النظري والدراسات السابقة والسياق السعودي، ويقدم الاستنتاجات والتوصيات والمقترحات البحثية.</w:t>
      </w:r>
    </w:p>
    <w:p w14:paraId="6B093C1E" w14:textId="77777777" w:rsidR="003D1B66" w:rsidRDefault="003D1B66" w:rsidP="003D1B66">
      <w:pPr>
        <w:pStyle w:val="1"/>
        <w:bidi/>
        <w:jc w:val="both"/>
      </w:pPr>
      <w:r>
        <w:rPr>
          <w:rFonts w:ascii="Arial" w:eastAsia="Arial" w:hAnsi="Arial" w:cs="Arial"/>
        </w:rPr>
        <w:t>1-13</w:t>
      </w:r>
      <w:r>
        <w:rPr>
          <w:rFonts w:ascii="Arial" w:eastAsia="Arial" w:hAnsi="Arial" w:cs="Arial"/>
          <w:rtl/>
        </w:rPr>
        <w:t xml:space="preserve"> خلاصة الفصل</w:t>
      </w:r>
    </w:p>
    <w:p w14:paraId="5C5445B4" w14:textId="77777777" w:rsidR="003D1B66" w:rsidRDefault="003D1B66" w:rsidP="003D1B66">
      <w:pPr>
        <w:bidi/>
        <w:spacing w:after="120" w:line="360" w:lineRule="auto"/>
        <w:ind w:firstLine="397"/>
        <w:jc w:val="both"/>
      </w:pPr>
      <w:r>
        <w:rPr>
          <w:rFonts w:eastAsia="Arial"/>
          <w:rtl/>
        </w:rPr>
        <w:t>قدم هذا الفصل الإطار العام لدراسة دور الحوكمة الصحية في تعزيز الشفافية والكفاءة في إدارة المؤسسات الصحية بالمملكة العربية السعودية. وانطلق من أن الحوكمة الصحية لا تقتصر على القواعد الرسمية، بل تشمل وضوح الأدوار والمسؤوليات، وفاعلية المساءلة والرقابة، والمشاركة، والنزاهة والامتثال، والقدرة المؤسسية وإدارة المخاطر.</w:t>
      </w:r>
    </w:p>
    <w:p w14:paraId="2802FF81" w14:textId="77777777" w:rsidR="003D1B66" w:rsidRDefault="003D1B66" w:rsidP="003D1B66">
      <w:pPr>
        <w:bidi/>
        <w:spacing w:after="120" w:line="360" w:lineRule="auto"/>
        <w:ind w:firstLine="397"/>
        <w:jc w:val="both"/>
      </w:pPr>
      <w:r>
        <w:rPr>
          <w:rFonts w:eastAsia="Arial"/>
          <w:rtl/>
        </w:rPr>
        <w:t>وحدد الفصل مشكلة الدراسة في الحاجة إلى معرفة مدى تحول مبادئ الحوكمة إلى ممارسات مؤسسية ملموسة تسهم في وضوح القرارات والمعلومات وتحسين استخدام الموارد والعمليات. كما صاغ السؤال الرئيس والأسئلة الفرعية والفرضيات والأهداف، وبين الأهمية العلمية والتطبيقية والوطنية، وقدم نموذجاً مفاهيمياً يربط ممارسات الحوكمة بالشفافية المؤسسية والكفاءة الإدارية.</w:t>
      </w:r>
    </w:p>
    <w:p w14:paraId="1610CE09" w14:textId="77777777" w:rsidR="003D1B66" w:rsidRDefault="003D1B66" w:rsidP="003D1B66">
      <w:pPr>
        <w:bidi/>
        <w:spacing w:after="120" w:line="360" w:lineRule="auto"/>
        <w:ind w:firstLine="397"/>
        <w:jc w:val="both"/>
      </w:pPr>
      <w:r>
        <w:rPr>
          <w:rFonts w:eastAsia="Arial"/>
          <w:rtl/>
        </w:rPr>
        <w:lastRenderedPageBreak/>
        <w:t>كذلك حدد الفصل متغيرات الدراسة وحدودها وتعريفاتها الإجرائية، وعرض تصوراً أولياً للمنهجية ومحاور الاستبانة وهيكل الرسالة. ويؤسس ذلك للفصل الثاني الذي سيتناول الإطار النظري المتعمق، ويحلل مفاهيم الحوكمة الصحية والشفافية والكفاءة والنماذج النظرية والدراسات السابقة ذات الصلة.</w:t>
      </w:r>
    </w:p>
    <w:p w14:paraId="1DBCDE67" w14:textId="77777777" w:rsidR="003D1B66" w:rsidRDefault="003D1B66" w:rsidP="003D1B66">
      <w:pPr>
        <w:bidi/>
        <w:jc w:val="both"/>
      </w:pPr>
      <w:r>
        <w:br w:type="page"/>
      </w:r>
    </w:p>
    <w:p w14:paraId="71ACD28F" w14:textId="77777777" w:rsidR="003D1B66" w:rsidRDefault="003D1B66" w:rsidP="003D1B66">
      <w:pPr>
        <w:bidi/>
        <w:jc w:val="both"/>
      </w:pPr>
    </w:p>
    <w:p w14:paraId="0E169A2F" w14:textId="77777777" w:rsidR="003D1B66" w:rsidRDefault="003D1B66" w:rsidP="003D1B66">
      <w:pPr>
        <w:bidi/>
        <w:jc w:val="both"/>
      </w:pPr>
    </w:p>
    <w:p w14:paraId="1425B5A6" w14:textId="77777777" w:rsidR="003D1B66" w:rsidRDefault="003D1B66" w:rsidP="003D1B66">
      <w:pPr>
        <w:bidi/>
        <w:jc w:val="both"/>
      </w:pPr>
    </w:p>
    <w:p w14:paraId="05B65A1B" w14:textId="77777777" w:rsidR="003D1B66" w:rsidRDefault="003D1B66" w:rsidP="003D1B66">
      <w:pPr>
        <w:bidi/>
        <w:jc w:val="both"/>
      </w:pPr>
    </w:p>
    <w:p w14:paraId="3FAB6525" w14:textId="77777777" w:rsidR="003D1B66" w:rsidRDefault="003D1B66" w:rsidP="003D1B66">
      <w:pPr>
        <w:bidi/>
        <w:jc w:val="both"/>
      </w:pPr>
    </w:p>
    <w:p w14:paraId="2D542425" w14:textId="77777777" w:rsidR="003D1B66" w:rsidRDefault="003D1B66" w:rsidP="003D1B66">
      <w:pPr>
        <w:bidi/>
        <w:jc w:val="both"/>
      </w:pPr>
    </w:p>
    <w:p w14:paraId="0FFB61E8" w14:textId="77777777" w:rsidR="003D1B66" w:rsidRDefault="003D1B66" w:rsidP="003D1B66">
      <w:pPr>
        <w:bidi/>
        <w:jc w:val="both"/>
      </w:pPr>
    </w:p>
    <w:p w14:paraId="39E7B92E" w14:textId="77777777" w:rsidR="003D1B66" w:rsidRPr="001B77D9" w:rsidRDefault="003D1B66" w:rsidP="003D1B66">
      <w:pPr>
        <w:bidi/>
        <w:spacing w:after="360"/>
        <w:jc w:val="center"/>
        <w:rPr>
          <w:bCs/>
          <w:sz w:val="40"/>
          <w:szCs w:val="32"/>
        </w:rPr>
      </w:pPr>
      <w:r w:rsidRPr="001B77D9">
        <w:rPr>
          <w:rFonts w:eastAsia="Arial"/>
          <w:bCs/>
          <w:sz w:val="56"/>
          <w:szCs w:val="32"/>
          <w:rtl/>
        </w:rPr>
        <w:t>الفصل الثاني</w:t>
      </w:r>
    </w:p>
    <w:p w14:paraId="09B7E086" w14:textId="77777777" w:rsidR="003D1B66" w:rsidRPr="001B77D9" w:rsidRDefault="003D1B66" w:rsidP="003D1B66">
      <w:pPr>
        <w:bidi/>
        <w:spacing w:after="240"/>
        <w:jc w:val="center"/>
        <w:rPr>
          <w:bCs/>
          <w:sz w:val="40"/>
          <w:szCs w:val="32"/>
        </w:rPr>
      </w:pPr>
      <w:r w:rsidRPr="001B77D9">
        <w:rPr>
          <w:rFonts w:eastAsia="Arial"/>
          <w:bCs/>
          <w:sz w:val="48"/>
          <w:szCs w:val="32"/>
          <w:rtl/>
        </w:rPr>
        <w:t>الدراسات السابقة والإطار النظري</w:t>
      </w:r>
    </w:p>
    <w:p w14:paraId="6E2D1ABE" w14:textId="77777777" w:rsidR="003D1B66" w:rsidRDefault="003D1B66" w:rsidP="003D1B66">
      <w:pPr>
        <w:bidi/>
        <w:jc w:val="both"/>
      </w:pPr>
    </w:p>
    <w:p w14:paraId="5367CF5A" w14:textId="77777777" w:rsidR="003D1B66" w:rsidRDefault="003D1B66" w:rsidP="003D1B66">
      <w:pPr>
        <w:bidi/>
        <w:jc w:val="both"/>
      </w:pPr>
    </w:p>
    <w:p w14:paraId="508A91ED" w14:textId="77777777" w:rsidR="003D1B66" w:rsidRDefault="003D1B66" w:rsidP="003D1B66">
      <w:pPr>
        <w:bidi/>
        <w:jc w:val="both"/>
      </w:pPr>
      <w:r>
        <w:br w:type="page"/>
      </w:r>
    </w:p>
    <w:p w14:paraId="6F0D0FF4" w14:textId="77777777" w:rsidR="003D1B66" w:rsidRDefault="003D1B66" w:rsidP="003D1B66">
      <w:pPr>
        <w:pStyle w:val="1"/>
        <w:bidi/>
        <w:spacing w:before="0"/>
        <w:jc w:val="both"/>
      </w:pPr>
      <w:r>
        <w:rPr>
          <w:rFonts w:ascii="Arial" w:eastAsia="Arial" w:hAnsi="Arial" w:cs="Arial"/>
        </w:rPr>
        <w:lastRenderedPageBreak/>
        <w:t>2-1</w:t>
      </w:r>
      <w:r>
        <w:rPr>
          <w:rFonts w:ascii="Arial" w:eastAsia="Arial" w:hAnsi="Arial" w:cs="Arial"/>
          <w:rtl/>
        </w:rPr>
        <w:t xml:space="preserve"> مقدمة</w:t>
      </w:r>
    </w:p>
    <w:p w14:paraId="632A0231" w14:textId="77777777" w:rsidR="003D1B66" w:rsidRDefault="003D1B66" w:rsidP="003D1B66">
      <w:pPr>
        <w:bidi/>
        <w:spacing w:after="120" w:line="360" w:lineRule="auto"/>
        <w:ind w:firstLine="397"/>
        <w:jc w:val="both"/>
      </w:pPr>
      <w:r>
        <w:rPr>
          <w:rFonts w:eastAsia="Arial"/>
          <w:rtl/>
        </w:rPr>
        <w:t>تمثل الحوكمة الصحية أحد المكونات الحاكمة لأداء النظم والمؤسسات الصحية؛ لأنها تحدد القواعد التي تنظم توزيع السلطة والمسؤولية، وآليات اتخاذ القرار، وأنماط الرقابة والمساءلة، وكيفية إدارة العلاقات بين الجهات التنظيمية ومقدمي الخدمات والعاملين والمرضى والمجتمع. وتوضح منظمة الصحة العالمية أن حوكمة النظم الصحية تشمل العمليات والهياكل والمؤسسات التي تُستخدم للإشراف على النظام الصحي وإدارته، بما يتضمن بناء أطر السياسات الاستراتيجية، وتوفير الرقابة والتنظيم والحوافز المناسبة، وضمان المساءلة ومراجعة الأداء (</w:t>
      </w:r>
      <w:r>
        <w:rPr>
          <w:rFonts w:eastAsia="Arial"/>
        </w:rPr>
        <w:t>World Health Organization [WHO], n.d</w:t>
      </w:r>
      <w:r>
        <w:rPr>
          <w:rFonts w:eastAsia="Arial"/>
          <w:rtl/>
        </w:rPr>
        <w:t>.).</w:t>
      </w:r>
    </w:p>
    <w:p w14:paraId="5DA30A0F" w14:textId="77777777" w:rsidR="003D1B66" w:rsidRDefault="003D1B66" w:rsidP="003D1B66">
      <w:pPr>
        <w:bidi/>
        <w:spacing w:after="120" w:line="360" w:lineRule="auto"/>
        <w:ind w:firstLine="397"/>
        <w:jc w:val="both"/>
      </w:pPr>
      <w:r>
        <w:rPr>
          <w:rFonts w:eastAsia="Arial"/>
          <w:rtl/>
        </w:rPr>
        <w:t>وتتضاعف أهمية الحوكمة في المؤسسات الصحية بسبب تعقيد خدماتها، وتنوع مصادر تمويلها، وحساسية المعلومات التي تتعامل معها، والتداخل بين القرارات الإدارية والمالية والسريرية. فالقرار الإداري داخل المؤسسة الصحية لا ينعكس على الإنتاجية أو التكلفة فقط، بل قد يؤثر مباشرة في جودة الخدمة وسلامة المرضى وعدالة الوصول إلى الرعاية. ولهذا لا يمكن اختزال الحوكمة الصحية في الالتزام الشكلي باللوائح، وإنما ينبغي النظر إليها كنظام متكامل يربط الاستراتيجية بالمسؤوليات، ويحوّل المعلومات إلى أدوات للمراقبة والتحسين، ويتيح لأصحاب المصلحة فهم كيفية صنع القرارات وتقييم نتائجها.</w:t>
      </w:r>
    </w:p>
    <w:p w14:paraId="52C5CFBE" w14:textId="77777777" w:rsidR="003D1B66" w:rsidRDefault="003D1B66" w:rsidP="003D1B66">
      <w:pPr>
        <w:bidi/>
        <w:spacing w:after="120" w:line="360" w:lineRule="auto"/>
        <w:ind w:firstLine="397"/>
        <w:jc w:val="both"/>
      </w:pPr>
      <w:r>
        <w:rPr>
          <w:rFonts w:eastAsia="Arial"/>
          <w:rtl/>
        </w:rPr>
        <w:t>يركز هذا الفصل على بناء الأساس النظري للدراسة من خلال تناول مفهوم الحوكمة الصحية وتطورها وخصائصها ونظرياتها وأبرز نماذجها، ثم مناقشة الشفافية والكفاءة الإدارية باعتبارهما متغيرين رئيسين تتأثران بمستوى الحوكمة. كما يعرض الفصل السياق المؤسسي لتحول القطاع الصحي في المملكة العربية السعودية، ويحلل العلاقة النظرية بين الحوكمة والشفافية والكفاءة، ثم يستعرض الدراسات السابقة ذات الصلة وينتهي بتحديد الفجوة البحثية التي تنطلق منها الدراسة الحالية.</w:t>
      </w:r>
    </w:p>
    <w:p w14:paraId="09BF9441" w14:textId="77777777" w:rsidR="003D1B66" w:rsidRDefault="003D1B66" w:rsidP="003D1B66">
      <w:pPr>
        <w:pStyle w:val="1"/>
        <w:bidi/>
        <w:jc w:val="both"/>
      </w:pPr>
      <w:r>
        <w:rPr>
          <w:rFonts w:ascii="Arial" w:eastAsia="Arial" w:hAnsi="Arial" w:cs="Arial"/>
        </w:rPr>
        <w:t>2-2</w:t>
      </w:r>
      <w:r>
        <w:rPr>
          <w:rFonts w:ascii="Arial" w:eastAsia="Arial" w:hAnsi="Arial" w:cs="Arial"/>
          <w:rtl/>
        </w:rPr>
        <w:t xml:space="preserve"> الدراسات السابقة</w:t>
      </w:r>
    </w:p>
    <w:p w14:paraId="15A72821" w14:textId="77777777" w:rsidR="003D1B66" w:rsidRDefault="003D1B66" w:rsidP="003D1B66">
      <w:pPr>
        <w:pStyle w:val="21"/>
        <w:bidi/>
        <w:jc w:val="both"/>
      </w:pPr>
      <w:r>
        <w:rPr>
          <w:rFonts w:ascii="Arial" w:eastAsia="Arial" w:hAnsi="Arial" w:cs="Arial"/>
        </w:rPr>
        <w:t>2-2-1</w:t>
      </w:r>
      <w:r>
        <w:rPr>
          <w:rFonts w:ascii="Arial" w:eastAsia="Arial" w:hAnsi="Arial" w:cs="Arial"/>
          <w:rtl/>
        </w:rPr>
        <w:t xml:space="preserve"> دراسات تناولت أطر ومفاهيم الحوكمة الصحية</w:t>
      </w:r>
    </w:p>
    <w:p w14:paraId="48BB3B67" w14:textId="77777777" w:rsidR="003D1B66" w:rsidRDefault="003D1B66" w:rsidP="003D1B66">
      <w:pPr>
        <w:bidi/>
        <w:spacing w:after="120" w:line="360" w:lineRule="auto"/>
        <w:ind w:firstLine="397"/>
        <w:jc w:val="both"/>
      </w:pPr>
      <w:r>
        <w:rPr>
          <w:rFonts w:eastAsia="Arial"/>
          <w:sz w:val="22"/>
        </w:rPr>
        <w:t>أجرى Siddiqi وآخرون (2009) دراسة هدفت إلى تطوير إطار لتقييم حوكمة النظام الصحي في الدول النامية. اشتمل الإطار على عشرة مبادئ هي الرؤية الاستراتيجية، والمشاركة والتوافق، وسيادة القانون، والشفافية، والاستجابة، والعدالة والشمول، والفعالية والكفاءة، والمساءلة، والمعلومات، والأخلاقيات. وتكمن أهمية الدراسة في أنها قدمت أداة تحليلية على المستويين الوطني والتنفيذي وربطت المبادئ بأسئلة قابلة للتقييم. وتفيد الدراسة الحالية في اختيار أبعاد الحوكمة وتأكيد أن الشفافية والكفاءة ليستا موضوعين منفصلين عن بنية الحوكمة. وتميزت هذه الدراسة بأنها قدمت أداة تشخيصية واسعة صُممت خصيصاً للدول النامية وربطت بين مستوى صنع السياسة ومستوى التنفيذ، بخلاف الدراسات التي اكتفت بالتعريف النظري للحوكمة.</w:t>
      </w:r>
    </w:p>
    <w:p w14:paraId="51E2A7D9" w14:textId="77777777" w:rsidR="003D1B66" w:rsidRDefault="003D1B66" w:rsidP="003D1B66">
      <w:pPr>
        <w:bidi/>
        <w:spacing w:after="120" w:line="360" w:lineRule="auto"/>
        <w:ind w:firstLine="397"/>
        <w:jc w:val="both"/>
      </w:pPr>
      <w:r>
        <w:rPr>
          <w:rFonts w:eastAsia="Arial"/>
          <w:sz w:val="22"/>
        </w:rPr>
        <w:t>قدم Barbazza وTello (2014) مراجعة لأدبيات الحوكمة الصحية بهدف توحيد التعريفات والأبعاد والأدوات. وخلصت المراجعة إلى تنوع استخدام مفهوم الحوكمة بين منظور معياري يركز على الحوكمة الجيدة، ومنظور وصفي للأنماط، ومنظور يركز على الأدوات والعمليات المستخدمة للحكم. وتوضح الدراسة ضرورة تحديد المقصود بالحوكمة ومستوى التحليل قبل القياس، وهو ما تستفيد منه الدراسة الحالية في تعريف الحوكمة الصحية إجرائياً على مستوى المؤسسة. وتميزت المراجعة باتساع نطاقها ومحاولتها توحيد المصطلحات المتباينة، مما جعلها مرجعاً لتحديد الحدود المفاهيمية بين الحوكمة بوصفها قيمة معيارية والحوكمة بوصفها ممارسة قابلة للرصد.</w:t>
      </w:r>
    </w:p>
    <w:p w14:paraId="7F4E09F8" w14:textId="77777777" w:rsidR="003D1B66" w:rsidRDefault="003D1B66" w:rsidP="003D1B66">
      <w:pPr>
        <w:bidi/>
        <w:spacing w:after="120" w:line="360" w:lineRule="auto"/>
        <w:ind w:firstLine="397"/>
        <w:jc w:val="both"/>
      </w:pPr>
      <w:r>
        <w:rPr>
          <w:rFonts w:eastAsia="Arial"/>
          <w:sz w:val="22"/>
        </w:rPr>
        <w:lastRenderedPageBreak/>
        <w:t>راجع Pyone وSmith وvan den Broek (2017) الأطر المستخدمة لتقييم حوكمة النظم الصحية، ووجدوا اختلافاً في الأسس النظرية والأهداف والمستويات والمؤشرات، مع محدودية الأدلة على التطبيق العملي لبعض الأطر. وأكدت المراجعة أن اختيار إطار التقييم يجب أن يكون مرتبطاً بالسياق والمشكلة. وتدعم هذه النتيجة استخدام إطار مركب ومركز يناسب المؤسسات الصحية السعودية بدلاً من تطبيق إطار دولي كامل دون تكييف. وما يميز هذه الدراسة تركيزها النقدي على قابلية تطبيق الأطر وملاءمتها للسياق، لا مجرد تعداد مبادئ الحوكمة، وهو ما يدعم اختيار أبعاد محددة قابلة للقياس في الدراسة الحالية.</w:t>
      </w:r>
    </w:p>
    <w:p w14:paraId="6FE15CA3" w14:textId="77777777" w:rsidR="003D1B66" w:rsidRDefault="003D1B66" w:rsidP="003D1B66">
      <w:pPr>
        <w:bidi/>
        <w:spacing w:after="120" w:line="360" w:lineRule="auto"/>
        <w:ind w:firstLine="397"/>
        <w:jc w:val="both"/>
      </w:pPr>
      <w:r>
        <w:rPr>
          <w:rFonts w:eastAsia="Arial"/>
          <w:sz w:val="22"/>
        </w:rPr>
        <w:t>طور Greer وآخرون (2019) إطار TAPIC الذي يجمع الحوكمة في خمسة مجالات: الشفافية والمساءلة والمشاركة والنزاهة والقدرة. ويركز الإطار على تشخيص أسباب عدم اتساق صنع القرار مع التنفيذ، ويؤكد أهمية التحليل السياقي والتوازن بين الأدوات. وتستفيد الدراسة الحالية من TAPIC في صياغة الأبعاد التنظيمية التي يمكن أن تؤثر في الشفافية والكفاءة. ويتميز إطار TAPIC باختصاره النسبي وقدرته على تفسير الفجوة بين القرار والتنفيذ من خلال خمسة مجالات مترابطة، ولذلك كان أكثر ملاءمة لبناء النموذج المفاهيمي للدراسة الحالية.</w:t>
      </w:r>
    </w:p>
    <w:p w14:paraId="33ABC8A2" w14:textId="77777777" w:rsidR="003D1B66" w:rsidRDefault="003D1B66" w:rsidP="003D1B66">
      <w:pPr>
        <w:pStyle w:val="21"/>
        <w:bidi/>
        <w:jc w:val="both"/>
      </w:pPr>
      <w:r>
        <w:rPr>
          <w:rFonts w:ascii="Arial" w:eastAsia="Arial" w:hAnsi="Arial" w:cs="Arial"/>
        </w:rPr>
        <w:t>2-2-2</w:t>
      </w:r>
      <w:r>
        <w:rPr>
          <w:rFonts w:ascii="Arial" w:eastAsia="Arial" w:hAnsi="Arial" w:cs="Arial"/>
          <w:rtl/>
        </w:rPr>
        <w:t xml:space="preserve"> دراسات تناولت حوكمة المستشفيات والمساءلة</w:t>
      </w:r>
    </w:p>
    <w:p w14:paraId="603CCC96" w14:textId="77777777" w:rsidR="003D1B66" w:rsidRDefault="003D1B66" w:rsidP="003D1B66">
      <w:pPr>
        <w:bidi/>
        <w:spacing w:after="120" w:line="360" w:lineRule="auto"/>
        <w:ind w:firstLine="397"/>
        <w:jc w:val="both"/>
      </w:pPr>
      <w:r>
        <w:rPr>
          <w:rFonts w:eastAsia="Arial"/>
          <w:sz w:val="22"/>
        </w:rPr>
        <w:t>أجرى Jalilvand وRaeisi وShaarbafchizadeh (2024) مراجعة نطاقية لهياكل المساءلة في حوكمة المستشفيات. وحددت المراجعة أربعة موضوعات رئيسة هي الحوكمة الشاملة، والالتزام بالمساءلة، والتخطيط للمساءلة، والحوكمة المستقلة، مع عدد من الموضوعات الفرعية المتعلقة بالأدوار والرقابة والجودة والمسؤولية الاجتماعية. وأكدت أن مساءلة المستشفى تشمل الجودة والسلامة إلى جانب الأداء المالي. وتفيد هذه الدراسة في توسيع مفهوم الحوكمة المؤسسية وعدم اختزاله في الرقابة المالية. وتميزت هذه المراجعة بتخصيصها لمستوى المستشفى وبجمعها بين الاستقلالية والمساءلة والتخطيط المؤسسي، بخلاف الأطر التي تتناول النظام الصحي الوطني بصورة عامة.</w:t>
      </w:r>
    </w:p>
    <w:p w14:paraId="17817940" w14:textId="77777777" w:rsidR="003D1B66" w:rsidRDefault="003D1B66" w:rsidP="003D1B66">
      <w:pPr>
        <w:bidi/>
        <w:spacing w:after="120" w:line="360" w:lineRule="auto"/>
        <w:ind w:firstLine="397"/>
        <w:jc w:val="both"/>
      </w:pPr>
      <w:r>
        <w:rPr>
          <w:rFonts w:eastAsia="Arial"/>
          <w:sz w:val="22"/>
        </w:rPr>
        <w:t>تناولت دراسة Al Rahahleh وAlhothaly وAl-Hanawi وAl-Khyal (2024) الحوكمة والمساءلة من منظور المرضى في مؤسسة صحية عامة سعودية، باستخدام دراسة حالة لمدينة الملك عبدالله الطبية في مكة. انطلقت الدراسة من أن ارتفاع المساءلة يرتبط بتحسين كفاءة النظم الصحية، وركزت على إدراك المرضى لممارسات المساءلة. وتتميز بأخذ منظور المستفيد في سياق سعودي، وتدعم أهمية الشفافية والتواصل وحقوق المرضى كجزء من الحوكمة، لكنها تظل مرتبطة بمؤسسة واحدة وبمنظور فئة محددة. وتتميز هذه الدراسة بأنها تناولت الحوكمة من منظور المستفيدين في مؤسسة صحية سعودية، وهو منظور مختلف عن دراسات القيادات والموظفين، وأبرزت أثر المساءلة في تجربة المريض والثقة.</w:t>
      </w:r>
    </w:p>
    <w:p w14:paraId="5D154F29" w14:textId="77777777" w:rsidR="003D1B66" w:rsidRDefault="003D1B66" w:rsidP="003D1B66">
      <w:pPr>
        <w:bidi/>
        <w:spacing w:after="120" w:line="360" w:lineRule="auto"/>
        <w:ind w:firstLine="397"/>
        <w:jc w:val="both"/>
      </w:pPr>
      <w:r>
        <w:rPr>
          <w:rFonts w:eastAsia="Arial"/>
          <w:sz w:val="22"/>
        </w:rPr>
        <w:t>تناولت الأدبيات المرتبطة بالخصخصة والإصلاح الصحي في المملكة التوازن بين الاستقلالية والمساءلة. فقد ناقشت دراسة AlMubarak وآخرين (2021) التفاعل بين المفهومين في سياق خصخصة النظام الصحي السعودي، وأشارت إلى أن منح مقدمي الخدمة استقلالاً أكبر يجب أن يقترن بآليات مساءلة وتنظيم واضحة. وتفيد هذه النتيجة في فهم أن التحول المؤسسي لا يضمن الكفاءة تلقائياً من دون حوكمة للعقود والجودة والنتائج. وتميزت الدراسة بربط الإصلاح الهيكلي في المملكة بمشكلة التوازن بين الاستقلالية التشغيلية والمساءلة، وهي نقطة محورية في تحول التجمعات والمؤسسات الصحية.</w:t>
      </w:r>
    </w:p>
    <w:p w14:paraId="158AB99B" w14:textId="77777777" w:rsidR="003D1B66" w:rsidRDefault="003D1B66" w:rsidP="003D1B66">
      <w:pPr>
        <w:pStyle w:val="21"/>
        <w:bidi/>
      </w:pPr>
      <w:r>
        <w:rPr>
          <w:rFonts w:ascii="Arial" w:eastAsia="Arial" w:hAnsi="Arial" w:cs="Arial"/>
        </w:rPr>
        <w:t>2-2-3</w:t>
      </w:r>
      <w:r>
        <w:rPr>
          <w:rFonts w:ascii="Arial" w:eastAsia="Arial" w:hAnsi="Arial" w:cs="Arial"/>
          <w:rtl/>
        </w:rPr>
        <w:t xml:space="preserve"> دراسات تناولت التحول الصحي السعودي والنتائج المؤسسية</w:t>
      </w:r>
    </w:p>
    <w:p w14:paraId="05FF1D65" w14:textId="77777777" w:rsidR="003D1B66" w:rsidRPr="00C61471" w:rsidRDefault="003D1B66" w:rsidP="003D1B66">
      <w:pPr>
        <w:jc w:val="right"/>
        <w:rPr>
          <w:bCs/>
          <w:sz w:val="32"/>
          <w:szCs w:val="32"/>
        </w:rPr>
      </w:pPr>
      <w:r>
        <w:rPr>
          <w:rFonts w:eastAsia="Arial"/>
          <w:sz w:val="22"/>
        </w:rPr>
        <w:t>Alasiri وMohammed (2022)</w:t>
      </w:r>
      <w:r w:rsidRPr="00262567">
        <w:rPr>
          <w:rFonts w:eastAsia="Arial"/>
          <w:sz w:val="22"/>
        </w:rPr>
        <w:t xml:space="preserve"> </w:t>
      </w:r>
      <w:r>
        <w:rPr>
          <w:rFonts w:eastAsia="Arial"/>
          <w:sz w:val="22"/>
        </w:rPr>
        <w:t>قدمت دراسة</w:t>
      </w:r>
    </w:p>
    <w:p w14:paraId="27175401" w14:textId="77777777" w:rsidR="003D1B66" w:rsidRDefault="003D1B66" w:rsidP="003D1B66">
      <w:pPr>
        <w:bidi/>
        <w:spacing w:after="120" w:line="360" w:lineRule="auto"/>
        <w:rPr>
          <w:rFonts w:eastAsia="Arial"/>
          <w:sz w:val="22"/>
          <w:rtl/>
        </w:rPr>
      </w:pPr>
      <w:r>
        <w:rPr>
          <w:rFonts w:eastAsia="Arial"/>
          <w:sz w:val="22"/>
        </w:rPr>
        <w:lastRenderedPageBreak/>
        <w:t>عرضاً لتحول الرعاية الصحية في المملكة منذ إطلاق رؤية 2030، وتناولت التحديات المتعلقة بالطلب المتزايد والأمراض المزمنة والتمويل والقوى العاملة، ومسارات الإصلاح مثل نموذج الرعاية والتحول الرقمي والخصخصة. وأبرزت الدراسة أهمية الحوكمة والتنظيم في نجاح التحول، لكنها اتخذت طابعاً وصفياً عاماً ولم تختبر العلاقة بين ممارسات الحوكمة والشفافية والكفاءة داخل المؤسسات. وتميزت هذه الدراسة بشمولها لمسارات التحول السعودي المختلفة وربطها بالتحديات السكانية والتمويلية والتقنية، لكنها بقيت وصفية ولم تختبر ميدانياً العلاقة بين الحوكمة والشفافية والكفاءة</w:t>
      </w:r>
      <w:r>
        <w:rPr>
          <w:rFonts w:eastAsia="Arial" w:hint="cs"/>
          <w:sz w:val="22"/>
          <w:rtl/>
        </w:rPr>
        <w:t>.</w:t>
      </w:r>
    </w:p>
    <w:p w14:paraId="44FE7990" w14:textId="77777777" w:rsidR="003D1B66" w:rsidRDefault="003D1B66" w:rsidP="003D1B66">
      <w:pPr>
        <w:bidi/>
        <w:spacing w:after="120" w:line="360" w:lineRule="auto"/>
        <w:rPr>
          <w:rFonts w:eastAsia="Arial"/>
          <w:sz w:val="22"/>
          <w:rtl/>
        </w:rPr>
      </w:pPr>
    </w:p>
    <w:p w14:paraId="718A62ED" w14:textId="77777777" w:rsidR="003D1B66" w:rsidRDefault="003D1B66" w:rsidP="003D1B66">
      <w:pPr>
        <w:bidi/>
        <w:spacing w:after="120" w:line="360" w:lineRule="auto"/>
        <w:rPr>
          <w:rFonts w:eastAsia="Arial"/>
          <w:sz w:val="22"/>
          <w:rtl/>
        </w:rPr>
      </w:pPr>
    </w:p>
    <w:p w14:paraId="6502013A" w14:textId="77777777" w:rsidR="003D1B66" w:rsidRPr="00510C7E" w:rsidRDefault="003D1B66" w:rsidP="003D1B66">
      <w:pPr>
        <w:bidi/>
        <w:spacing w:after="120" w:line="360" w:lineRule="auto"/>
        <w:rPr>
          <w:rFonts w:eastAsia="Arial"/>
          <w:sz w:val="22"/>
        </w:rPr>
      </w:pPr>
      <w:r>
        <w:rPr>
          <w:rFonts w:eastAsia="Arial" w:hint="cs"/>
          <w:sz w:val="22"/>
          <w:rtl/>
        </w:rPr>
        <w:t xml:space="preserve"> </w:t>
      </w:r>
      <w:r>
        <w:rPr>
          <w:rFonts w:eastAsia="Arial"/>
          <w:sz w:val="22"/>
        </w:rPr>
        <w:t xml:space="preserve">استكشفت دراسة </w:t>
      </w:r>
      <w:r>
        <w:rPr>
          <w:rFonts w:eastAsia="Arial" w:hint="cs"/>
          <w:sz w:val="22"/>
          <w:rtl/>
        </w:rPr>
        <w:t xml:space="preserve"> </w:t>
      </w:r>
      <w:r>
        <w:rPr>
          <w:rFonts w:eastAsia="Arial"/>
          <w:sz w:val="22"/>
        </w:rPr>
        <w:t>Al-Nozha (2024)</w:t>
      </w:r>
    </w:p>
    <w:p w14:paraId="18F5F3E7" w14:textId="77777777" w:rsidR="003D1B66" w:rsidRDefault="003D1B66" w:rsidP="003D1B66">
      <w:pPr>
        <w:bidi/>
        <w:spacing w:after="120" w:line="360" w:lineRule="auto"/>
        <w:ind w:firstLine="397"/>
        <w:jc w:val="both"/>
        <w:rPr>
          <w:rFonts w:eastAsia="Arial"/>
          <w:sz w:val="22"/>
          <w:rtl/>
        </w:rPr>
      </w:pPr>
      <w:r>
        <w:rPr>
          <w:rFonts w:eastAsia="Arial"/>
          <w:sz w:val="22"/>
        </w:rPr>
        <w:t>الجوانب الرئيسة لإصلاح النظام الصحي السعودي وتأثيرها المحتمل على أصحاب المصلحة باستخدام منهج نوعي ورؤى قيادات صحية. أظهرت الدراسة أن التحول يتضمن تغيرات عميقة في الأدوار والعلاقة بين القطاعين العام والخاص، وأن نجاحه يحتاج إلى إدارة للتحديات وفهم آثار الإصلاح على مقدمي الخدمات والممولين والمستفيدين. وتفيد الدراسة الحالية في تأكيد أهمية وضوح الأدوار والتنسيق خلال التحول. وتميزت باستخدام منهج نوعي يستند إلى رؤى قيادات صحية، ما أتاح فهماً عميقاً لتغير الأدوار وأصحاب المصلحة، بينما تتميز الدراسة الحالية بإضافة قياس كمي من قاعدة أوسع من العاملين.</w:t>
      </w:r>
      <w:r>
        <w:rPr>
          <w:rFonts w:eastAsia="Arial" w:hint="cs"/>
          <w:sz w:val="22"/>
          <w:rtl/>
        </w:rPr>
        <w:t>.</w:t>
      </w:r>
    </w:p>
    <w:p w14:paraId="2E9A92A0" w14:textId="77777777" w:rsidR="003D1B66" w:rsidRDefault="003D1B66" w:rsidP="003D1B66">
      <w:pPr>
        <w:bidi/>
        <w:spacing w:after="120" w:line="360" w:lineRule="auto"/>
        <w:ind w:firstLine="397"/>
        <w:jc w:val="both"/>
        <w:rPr>
          <w:rFonts w:eastAsia="Arial"/>
          <w:sz w:val="22"/>
          <w:rtl/>
        </w:rPr>
      </w:pPr>
      <w:r>
        <w:rPr>
          <w:rFonts w:eastAsia="Arial" w:hint="cs"/>
          <w:sz w:val="22"/>
          <w:rtl/>
        </w:rPr>
        <w:t>وأجرى (</w:t>
      </w:r>
      <w:r>
        <w:rPr>
          <w:rFonts w:eastAsia="Arial"/>
          <w:sz w:val="22"/>
        </w:rPr>
        <w:t>(alfawaz</w:t>
      </w:r>
      <w:r>
        <w:rPr>
          <w:rFonts w:eastAsia="Arial" w:hint="cs"/>
          <w:sz w:val="22"/>
          <w:rtl/>
        </w:rPr>
        <w:t>وآخرون (2022)</w:t>
      </w:r>
    </w:p>
    <w:p w14:paraId="7AF7D651" w14:textId="77777777" w:rsidR="003D1B66" w:rsidRDefault="003D1B66" w:rsidP="003D1B66">
      <w:pPr>
        <w:bidi/>
        <w:spacing w:after="120" w:line="360" w:lineRule="auto"/>
        <w:ind w:firstLine="397"/>
        <w:jc w:val="both"/>
        <w:rPr>
          <w:rFonts w:eastAsia="Arial"/>
          <w:sz w:val="22"/>
          <w:rtl/>
        </w:rPr>
      </w:pPr>
      <w:r>
        <w:rPr>
          <w:rFonts w:eastAsia="Arial"/>
          <w:sz w:val="22"/>
        </w:rPr>
        <w:t>تقييماً أساسياً لنظم البحوث الصحية في المملكة شمل ثمانية تجمعات بحثية، بهدف تحديد نقاط القوة والفجوات في الحوكمة والقدرات. وأظهرت الدراسة أهمية وجود استراتيجية قوية لحوكمة البحث، وسياسات وهياكل واضحة، وقدرات للرصد والتقييم وإنتاج الأدلة. وعلى الرغم من تركيزها على البحث الصحي، فإنها تقدم دليلاً سعودياً على أن الحوكمة والقدرة المعلوماتية شرط لتنسيق الجهود ودعم القرار. وتميزت الدراسة بتطبيق التقييم على نظم البحوث الصحية وباستخدامها منظوراً مؤسسياً للسياسات والهياكل والقدرات، إلا أن مجالها تخصصي ولا يغطي الإدارة التشغيلية العامة للمؤسسات الصحية.</w:t>
      </w:r>
    </w:p>
    <w:p w14:paraId="10E5EB99" w14:textId="77777777" w:rsidR="003D1B66" w:rsidRPr="00510C7E" w:rsidRDefault="003D1B66" w:rsidP="003D1B66">
      <w:pPr>
        <w:bidi/>
        <w:spacing w:after="120" w:line="360" w:lineRule="auto"/>
        <w:ind w:firstLine="397"/>
        <w:jc w:val="both"/>
        <w:rPr>
          <w:rFonts w:eastAsia="Arial"/>
          <w:sz w:val="22"/>
          <w:rtl/>
        </w:rPr>
      </w:pPr>
      <w:r>
        <w:rPr>
          <w:rFonts w:eastAsia="Arial" w:hint="cs"/>
          <w:sz w:val="22"/>
          <w:rtl/>
        </w:rPr>
        <w:t xml:space="preserve">قيّم </w:t>
      </w:r>
      <w:r>
        <w:rPr>
          <w:rFonts w:eastAsia="Arial"/>
          <w:sz w:val="22"/>
        </w:rPr>
        <w:t xml:space="preserve">Alshehri </w:t>
      </w:r>
      <w:r>
        <w:rPr>
          <w:rFonts w:eastAsia="Arial" w:hint="cs"/>
          <w:sz w:val="22"/>
          <w:rtl/>
        </w:rPr>
        <w:t xml:space="preserve">و </w:t>
      </w:r>
      <w:r>
        <w:rPr>
          <w:rFonts w:eastAsia="Arial"/>
          <w:sz w:val="22"/>
        </w:rPr>
        <w:t>abdujawad</w:t>
      </w:r>
      <w:r>
        <w:rPr>
          <w:rFonts w:eastAsia="Arial" w:hint="cs"/>
          <w:sz w:val="22"/>
          <w:rtl/>
        </w:rPr>
        <w:t xml:space="preserve"> (2025)</w:t>
      </w:r>
    </w:p>
    <w:p w14:paraId="5F8BFDF5" w14:textId="77777777" w:rsidR="003D1B66" w:rsidRDefault="003D1B66" w:rsidP="003D1B66">
      <w:pPr>
        <w:bidi/>
        <w:spacing w:after="120" w:line="360" w:lineRule="auto"/>
        <w:ind w:firstLine="397"/>
        <w:jc w:val="both"/>
      </w:pPr>
      <w:r>
        <w:rPr>
          <w:rFonts w:eastAsia="Arial"/>
          <w:sz w:val="22"/>
        </w:rPr>
        <w:t>أثر برنامج تحول القطاع الصحي على الرعاية المرتكزة على المريض والتبني الرقمي باستخدام تصميم مختلط في أربعة مستشفيات بمنطقتي مكة والشرقية. وأظهرت النتائج ارتفاع رضا المرضى وتنسيق الرعاية والمشاركة الرقمية في المستشفيات المتجمعة، إلى جانب تحسن مؤشرات تشغيلية، مع تحديات في الثقافة الرقمية واستقرار القوى العاملة. وتوفر الدراسة دليلاً حديثاً على ارتباط التكامل التنظيمي والرقمي بالأداء، لكنها لا تعزل أثر الحوكمة كمفهوم مستقل ولا تغطي جميع أنواع المؤسسات والمناطق. وتميزت بتصميم مختلط ومقارنة مستشفيات متجمعة وغير متجمعة وربط التحول بنتائج المريض والتبني الرقمي، بينما تركز الدراسة الحالية مباشرة على ممارسات الحوكمة وعلاقتها بالشفافية والكفاءة الإدارية.</w:t>
      </w:r>
    </w:p>
    <w:p w14:paraId="189A94BF" w14:textId="77777777" w:rsidR="003D1B66" w:rsidRDefault="003D1B66" w:rsidP="003D1B66">
      <w:pPr>
        <w:pStyle w:val="21"/>
        <w:bidi/>
        <w:jc w:val="both"/>
      </w:pPr>
      <w:r>
        <w:rPr>
          <w:rFonts w:ascii="Arial" w:eastAsia="Arial" w:hAnsi="Arial" w:cs="Arial"/>
        </w:rPr>
        <w:lastRenderedPageBreak/>
        <w:t>2-2-4</w:t>
      </w:r>
      <w:r>
        <w:rPr>
          <w:rFonts w:ascii="Arial" w:eastAsia="Arial" w:hAnsi="Arial" w:cs="Arial"/>
          <w:rtl/>
        </w:rPr>
        <w:t xml:space="preserve"> ملخص تحليلي للدراسات السابقة</w:t>
      </w:r>
    </w:p>
    <w:p w14:paraId="7D4916B6" w14:textId="77777777" w:rsidR="003D1B66" w:rsidRPr="00AF59FC" w:rsidRDefault="003D1B66" w:rsidP="003D1B66">
      <w:pPr>
        <w:keepNext/>
        <w:bidi/>
        <w:spacing w:before="120" w:after="80"/>
        <w:jc w:val="both"/>
        <w:rPr>
          <w:bCs/>
        </w:rPr>
      </w:pPr>
      <w:r w:rsidRPr="00AF59FC">
        <w:rPr>
          <w:rFonts w:eastAsia="Arial"/>
          <w:bCs/>
          <w:sz w:val="24"/>
          <w:rtl/>
        </w:rPr>
        <w:t>جدول (</w:t>
      </w:r>
      <w:r w:rsidRPr="00AF59FC">
        <w:rPr>
          <w:rFonts w:eastAsia="Arial"/>
          <w:bCs/>
          <w:sz w:val="24"/>
        </w:rPr>
        <w:t>5</w:t>
      </w:r>
      <w:r w:rsidRPr="00AF59FC">
        <w:rPr>
          <w:rFonts w:eastAsia="Arial"/>
          <w:bCs/>
          <w:sz w:val="24"/>
          <w:rtl/>
        </w:rPr>
        <w:t>): ملخص تحليلي للدراسات السابقة</w:t>
      </w:r>
    </w:p>
    <w:tbl>
      <w:tblPr>
        <w:bidiVisual/>
        <w:tblW w:w="8930"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1786"/>
        <w:gridCol w:w="1786"/>
        <w:gridCol w:w="1786"/>
        <w:gridCol w:w="1786"/>
        <w:gridCol w:w="1786"/>
      </w:tblGrid>
      <w:tr w:rsidR="003D1B66" w:rsidRPr="00AF59FC" w14:paraId="547DA3B8" w14:textId="77777777" w:rsidTr="000B46B5">
        <w:trPr>
          <w:tblHeader/>
          <w:jc w:val="center"/>
        </w:trPr>
        <w:tc>
          <w:tcPr>
            <w:tcW w:w="1786" w:type="dxa"/>
            <w:shd w:val="clear" w:color="auto" w:fill="F2F2F2" w:themeFill="background1" w:themeFillShade="F2"/>
            <w:vAlign w:val="center"/>
          </w:tcPr>
          <w:p w14:paraId="77F92E36" w14:textId="77777777" w:rsidR="003D1B66" w:rsidRPr="00AF59FC" w:rsidRDefault="003D1B66" w:rsidP="000B46B5">
            <w:pPr>
              <w:bidi/>
              <w:spacing w:after="0" w:line="240" w:lineRule="auto"/>
              <w:jc w:val="both"/>
              <w:rPr>
                <w:bCs/>
              </w:rPr>
            </w:pPr>
            <w:r w:rsidRPr="00AF59FC">
              <w:rPr>
                <w:rFonts w:eastAsia="Arial"/>
                <w:bCs/>
                <w:sz w:val="21"/>
                <w:rtl/>
              </w:rPr>
              <w:t>الدراسة</w:t>
            </w:r>
          </w:p>
        </w:tc>
        <w:tc>
          <w:tcPr>
            <w:tcW w:w="1786" w:type="dxa"/>
            <w:shd w:val="clear" w:color="auto" w:fill="F2F2F2" w:themeFill="background1" w:themeFillShade="F2"/>
            <w:vAlign w:val="center"/>
          </w:tcPr>
          <w:p w14:paraId="2D6ED59D" w14:textId="77777777" w:rsidR="003D1B66" w:rsidRPr="00AF59FC" w:rsidRDefault="003D1B66" w:rsidP="000B46B5">
            <w:pPr>
              <w:bidi/>
              <w:spacing w:after="0" w:line="240" w:lineRule="auto"/>
              <w:jc w:val="both"/>
              <w:rPr>
                <w:bCs/>
              </w:rPr>
            </w:pPr>
            <w:r w:rsidRPr="00AF59FC">
              <w:rPr>
                <w:rFonts w:eastAsia="Arial"/>
                <w:bCs/>
                <w:sz w:val="21"/>
                <w:rtl/>
              </w:rPr>
              <w:t>الهدف</w:t>
            </w:r>
          </w:p>
        </w:tc>
        <w:tc>
          <w:tcPr>
            <w:tcW w:w="1786" w:type="dxa"/>
            <w:shd w:val="clear" w:color="auto" w:fill="F2F2F2" w:themeFill="background1" w:themeFillShade="F2"/>
            <w:vAlign w:val="center"/>
          </w:tcPr>
          <w:p w14:paraId="1005B597" w14:textId="77777777" w:rsidR="003D1B66" w:rsidRPr="00AF59FC" w:rsidRDefault="003D1B66" w:rsidP="000B46B5">
            <w:pPr>
              <w:bidi/>
              <w:spacing w:after="0" w:line="240" w:lineRule="auto"/>
              <w:jc w:val="both"/>
              <w:rPr>
                <w:bCs/>
              </w:rPr>
            </w:pPr>
            <w:r w:rsidRPr="00AF59FC">
              <w:rPr>
                <w:rFonts w:eastAsia="Arial"/>
                <w:bCs/>
                <w:sz w:val="21"/>
                <w:rtl/>
              </w:rPr>
              <w:t>المنهج/النطاق</w:t>
            </w:r>
          </w:p>
        </w:tc>
        <w:tc>
          <w:tcPr>
            <w:tcW w:w="1786" w:type="dxa"/>
            <w:shd w:val="clear" w:color="auto" w:fill="F2F2F2" w:themeFill="background1" w:themeFillShade="F2"/>
            <w:vAlign w:val="center"/>
          </w:tcPr>
          <w:p w14:paraId="46141542" w14:textId="77777777" w:rsidR="003D1B66" w:rsidRPr="00AF59FC" w:rsidRDefault="003D1B66" w:rsidP="000B46B5">
            <w:pPr>
              <w:bidi/>
              <w:spacing w:after="0" w:line="240" w:lineRule="auto"/>
              <w:jc w:val="both"/>
              <w:rPr>
                <w:bCs/>
              </w:rPr>
            </w:pPr>
            <w:r w:rsidRPr="00AF59FC">
              <w:rPr>
                <w:rFonts w:eastAsia="Arial"/>
                <w:bCs/>
                <w:sz w:val="21"/>
                <w:rtl/>
              </w:rPr>
              <w:t>أبرز النتائج</w:t>
            </w:r>
          </w:p>
        </w:tc>
        <w:tc>
          <w:tcPr>
            <w:tcW w:w="1786" w:type="dxa"/>
            <w:shd w:val="clear" w:color="auto" w:fill="F2F2F2" w:themeFill="background1" w:themeFillShade="F2"/>
            <w:vAlign w:val="center"/>
          </w:tcPr>
          <w:p w14:paraId="0B804FAF" w14:textId="77777777" w:rsidR="003D1B66" w:rsidRPr="00AF59FC" w:rsidRDefault="003D1B66" w:rsidP="000B46B5">
            <w:pPr>
              <w:bidi/>
              <w:spacing w:after="0" w:line="240" w:lineRule="auto"/>
              <w:jc w:val="both"/>
              <w:rPr>
                <w:bCs/>
              </w:rPr>
            </w:pPr>
            <w:r w:rsidRPr="00AF59FC">
              <w:rPr>
                <w:rFonts w:eastAsia="Arial"/>
                <w:bCs/>
                <w:sz w:val="21"/>
                <w:rtl/>
              </w:rPr>
              <w:t>صلة الدراسة الحالية</w:t>
            </w:r>
          </w:p>
        </w:tc>
      </w:tr>
      <w:tr w:rsidR="003D1B66" w:rsidRPr="00AF59FC" w14:paraId="1674A17E" w14:textId="77777777" w:rsidTr="000B46B5">
        <w:trPr>
          <w:jc w:val="center"/>
        </w:trPr>
        <w:tc>
          <w:tcPr>
            <w:tcW w:w="1786" w:type="dxa"/>
            <w:shd w:val="clear" w:color="auto" w:fill="F2F2F2" w:themeFill="background1" w:themeFillShade="F2"/>
            <w:vAlign w:val="center"/>
          </w:tcPr>
          <w:p w14:paraId="72FEBE0E" w14:textId="77777777" w:rsidR="003D1B66" w:rsidRPr="00AF59FC" w:rsidRDefault="003D1B66" w:rsidP="000B46B5">
            <w:pPr>
              <w:bidi/>
              <w:spacing w:after="0" w:line="240" w:lineRule="auto"/>
              <w:jc w:val="center"/>
              <w:rPr>
                <w:b/>
              </w:rPr>
            </w:pPr>
            <w:r w:rsidRPr="00AF59FC">
              <w:rPr>
                <w:rFonts w:eastAsia="Arial"/>
                <w:b/>
                <w:sz w:val="21"/>
              </w:rPr>
              <w:t>Siddiqi et al., 2009</w:t>
            </w:r>
          </w:p>
        </w:tc>
        <w:tc>
          <w:tcPr>
            <w:tcW w:w="1786" w:type="dxa"/>
            <w:shd w:val="clear" w:color="auto" w:fill="F2F2F2" w:themeFill="background1" w:themeFillShade="F2"/>
            <w:vAlign w:val="center"/>
          </w:tcPr>
          <w:p w14:paraId="31CE14B9" w14:textId="77777777" w:rsidR="003D1B66" w:rsidRPr="00AF59FC" w:rsidRDefault="003D1B66" w:rsidP="000B46B5">
            <w:pPr>
              <w:bidi/>
              <w:spacing w:after="0" w:line="240" w:lineRule="auto"/>
              <w:jc w:val="center"/>
              <w:rPr>
                <w:bCs/>
              </w:rPr>
            </w:pPr>
            <w:r w:rsidRPr="00AF59FC">
              <w:rPr>
                <w:rFonts w:eastAsia="Arial"/>
                <w:bCs/>
                <w:sz w:val="21"/>
                <w:rtl/>
              </w:rPr>
              <w:t>تطويرإطارتقييم حوكمة النظام الصحي</w:t>
            </w:r>
          </w:p>
        </w:tc>
        <w:tc>
          <w:tcPr>
            <w:tcW w:w="1786" w:type="dxa"/>
            <w:shd w:val="clear" w:color="auto" w:fill="F2F2F2" w:themeFill="background1" w:themeFillShade="F2"/>
            <w:vAlign w:val="center"/>
          </w:tcPr>
          <w:p w14:paraId="49FDDDF0" w14:textId="77777777" w:rsidR="003D1B66" w:rsidRPr="00AF59FC" w:rsidRDefault="003D1B66" w:rsidP="000B46B5">
            <w:pPr>
              <w:bidi/>
              <w:spacing w:after="0" w:line="240" w:lineRule="auto"/>
              <w:jc w:val="center"/>
              <w:rPr>
                <w:bCs/>
              </w:rPr>
            </w:pPr>
            <w:r w:rsidRPr="00AF59FC">
              <w:rPr>
                <w:rFonts w:eastAsia="Arial"/>
                <w:bCs/>
                <w:sz w:val="21"/>
                <w:rtl/>
              </w:rPr>
              <w:t>إطار تحليلي مطبق على مستويات متعددة</w:t>
            </w:r>
          </w:p>
        </w:tc>
        <w:tc>
          <w:tcPr>
            <w:tcW w:w="1786" w:type="dxa"/>
            <w:shd w:val="clear" w:color="auto" w:fill="F2F2F2" w:themeFill="background1" w:themeFillShade="F2"/>
            <w:vAlign w:val="center"/>
          </w:tcPr>
          <w:p w14:paraId="2B382D23" w14:textId="77777777" w:rsidR="003D1B66" w:rsidRPr="00AF59FC" w:rsidRDefault="003D1B66" w:rsidP="000B46B5">
            <w:pPr>
              <w:bidi/>
              <w:spacing w:after="0" w:line="240" w:lineRule="auto"/>
              <w:jc w:val="center"/>
              <w:rPr>
                <w:bCs/>
              </w:rPr>
            </w:pPr>
            <w:r w:rsidRPr="00AF59FC">
              <w:rPr>
                <w:rFonts w:eastAsia="Arial"/>
                <w:bCs/>
                <w:sz w:val="21"/>
              </w:rPr>
              <w:t>10</w:t>
            </w:r>
            <w:r w:rsidRPr="00AF59FC">
              <w:rPr>
                <w:rFonts w:eastAsia="Arial"/>
                <w:bCs/>
                <w:sz w:val="21"/>
                <w:rtl/>
              </w:rPr>
              <w:t xml:space="preserve"> مبادئ تشمل الشفافية والكفاءة والمساءلة</w:t>
            </w:r>
          </w:p>
        </w:tc>
        <w:tc>
          <w:tcPr>
            <w:tcW w:w="1786" w:type="dxa"/>
            <w:shd w:val="clear" w:color="auto" w:fill="F2F2F2" w:themeFill="background1" w:themeFillShade="F2"/>
            <w:vAlign w:val="center"/>
          </w:tcPr>
          <w:p w14:paraId="25284F3D" w14:textId="77777777" w:rsidR="003D1B66" w:rsidRPr="00AF59FC" w:rsidRDefault="003D1B66" w:rsidP="000B46B5">
            <w:pPr>
              <w:bidi/>
              <w:spacing w:after="0" w:line="240" w:lineRule="auto"/>
              <w:jc w:val="center"/>
              <w:rPr>
                <w:bCs/>
              </w:rPr>
            </w:pPr>
            <w:r w:rsidRPr="00AF59FC">
              <w:rPr>
                <w:rFonts w:eastAsia="Arial"/>
                <w:bCs/>
                <w:sz w:val="21"/>
                <w:rtl/>
              </w:rPr>
              <w:t>يوفر أساساً لبناء الأبعاد</w:t>
            </w:r>
          </w:p>
        </w:tc>
      </w:tr>
      <w:tr w:rsidR="003D1B66" w:rsidRPr="00AF59FC" w14:paraId="1FB36992" w14:textId="77777777" w:rsidTr="000B46B5">
        <w:trPr>
          <w:jc w:val="center"/>
        </w:trPr>
        <w:tc>
          <w:tcPr>
            <w:tcW w:w="1786" w:type="dxa"/>
            <w:shd w:val="clear" w:color="auto" w:fill="F2F2F2" w:themeFill="background1" w:themeFillShade="F2"/>
            <w:vAlign w:val="center"/>
          </w:tcPr>
          <w:p w14:paraId="13641972" w14:textId="77777777" w:rsidR="003D1B66" w:rsidRPr="00AF59FC" w:rsidRDefault="003D1B66" w:rsidP="000B46B5">
            <w:pPr>
              <w:bidi/>
              <w:spacing w:after="0" w:line="240" w:lineRule="auto"/>
              <w:jc w:val="center"/>
              <w:rPr>
                <w:b/>
              </w:rPr>
            </w:pPr>
            <w:r w:rsidRPr="00AF59FC">
              <w:rPr>
                <w:rFonts w:eastAsia="Arial"/>
                <w:b/>
                <w:sz w:val="21"/>
              </w:rPr>
              <w:t>Barbazza &amp; Tello, 2014</w:t>
            </w:r>
          </w:p>
        </w:tc>
        <w:tc>
          <w:tcPr>
            <w:tcW w:w="1786" w:type="dxa"/>
            <w:shd w:val="clear" w:color="auto" w:fill="F2F2F2" w:themeFill="background1" w:themeFillShade="F2"/>
            <w:vAlign w:val="center"/>
          </w:tcPr>
          <w:p w14:paraId="0230E683" w14:textId="77777777" w:rsidR="003D1B66" w:rsidRPr="00AF59FC" w:rsidRDefault="003D1B66" w:rsidP="000B46B5">
            <w:pPr>
              <w:bidi/>
              <w:spacing w:after="0" w:line="240" w:lineRule="auto"/>
              <w:jc w:val="center"/>
              <w:rPr>
                <w:bCs/>
              </w:rPr>
            </w:pPr>
            <w:r w:rsidRPr="00AF59FC">
              <w:rPr>
                <w:rFonts w:eastAsia="Arial"/>
                <w:bCs/>
                <w:sz w:val="21"/>
                <w:rtl/>
              </w:rPr>
              <w:t>مراجعة تعريفات وأبعاد وأدوات الحوكمة</w:t>
            </w:r>
          </w:p>
        </w:tc>
        <w:tc>
          <w:tcPr>
            <w:tcW w:w="1786" w:type="dxa"/>
            <w:shd w:val="clear" w:color="auto" w:fill="F2F2F2" w:themeFill="background1" w:themeFillShade="F2"/>
            <w:vAlign w:val="center"/>
          </w:tcPr>
          <w:p w14:paraId="2907D6A1" w14:textId="77777777" w:rsidR="003D1B66" w:rsidRPr="00AF59FC" w:rsidRDefault="003D1B66" w:rsidP="000B46B5">
            <w:pPr>
              <w:bidi/>
              <w:spacing w:after="0" w:line="240" w:lineRule="auto"/>
              <w:jc w:val="center"/>
              <w:rPr>
                <w:bCs/>
              </w:rPr>
            </w:pPr>
            <w:r w:rsidRPr="00AF59FC">
              <w:rPr>
                <w:rFonts w:eastAsia="Arial"/>
                <w:bCs/>
                <w:sz w:val="21"/>
                <w:rtl/>
              </w:rPr>
              <w:t>مراجعة مستهدفة للأدبيات</w:t>
            </w:r>
          </w:p>
        </w:tc>
        <w:tc>
          <w:tcPr>
            <w:tcW w:w="1786" w:type="dxa"/>
            <w:shd w:val="clear" w:color="auto" w:fill="F2F2F2" w:themeFill="background1" w:themeFillShade="F2"/>
            <w:vAlign w:val="center"/>
          </w:tcPr>
          <w:p w14:paraId="2CC1AA52" w14:textId="77777777" w:rsidR="003D1B66" w:rsidRPr="00AF59FC" w:rsidRDefault="003D1B66" w:rsidP="000B46B5">
            <w:pPr>
              <w:bidi/>
              <w:spacing w:after="0" w:line="240" w:lineRule="auto"/>
              <w:jc w:val="center"/>
              <w:rPr>
                <w:bCs/>
              </w:rPr>
            </w:pPr>
            <w:r w:rsidRPr="00AF59FC">
              <w:rPr>
                <w:rFonts w:eastAsia="Arial"/>
                <w:bCs/>
                <w:sz w:val="21"/>
                <w:rtl/>
              </w:rPr>
              <w:t>تعدد التعريفات والحاجة لتحديد المستوى والسياق</w:t>
            </w:r>
          </w:p>
        </w:tc>
        <w:tc>
          <w:tcPr>
            <w:tcW w:w="1786" w:type="dxa"/>
            <w:shd w:val="clear" w:color="auto" w:fill="F2F2F2" w:themeFill="background1" w:themeFillShade="F2"/>
            <w:vAlign w:val="center"/>
          </w:tcPr>
          <w:p w14:paraId="1CAFCF60" w14:textId="77777777" w:rsidR="003D1B66" w:rsidRPr="00AF59FC" w:rsidRDefault="003D1B66" w:rsidP="000B46B5">
            <w:pPr>
              <w:bidi/>
              <w:spacing w:after="0" w:line="240" w:lineRule="auto"/>
              <w:jc w:val="center"/>
              <w:rPr>
                <w:bCs/>
              </w:rPr>
            </w:pPr>
            <w:r w:rsidRPr="00AF59FC">
              <w:rPr>
                <w:rFonts w:eastAsia="Arial"/>
                <w:bCs/>
                <w:sz w:val="21"/>
                <w:rtl/>
              </w:rPr>
              <w:t>يدعم التعريف الإجرائي المحدد</w:t>
            </w:r>
          </w:p>
        </w:tc>
      </w:tr>
      <w:tr w:rsidR="003D1B66" w:rsidRPr="00AF59FC" w14:paraId="008B1475" w14:textId="77777777" w:rsidTr="000B46B5">
        <w:trPr>
          <w:jc w:val="center"/>
        </w:trPr>
        <w:tc>
          <w:tcPr>
            <w:tcW w:w="1786" w:type="dxa"/>
            <w:shd w:val="clear" w:color="auto" w:fill="F2F2F2" w:themeFill="background1" w:themeFillShade="F2"/>
            <w:vAlign w:val="center"/>
          </w:tcPr>
          <w:p w14:paraId="40E5DBC2" w14:textId="77777777" w:rsidR="003D1B66" w:rsidRPr="00AF59FC" w:rsidRDefault="003D1B66" w:rsidP="000B46B5">
            <w:pPr>
              <w:bidi/>
              <w:spacing w:after="0" w:line="240" w:lineRule="auto"/>
              <w:jc w:val="center"/>
              <w:rPr>
                <w:b/>
              </w:rPr>
            </w:pPr>
            <w:r w:rsidRPr="00AF59FC">
              <w:rPr>
                <w:rFonts w:eastAsia="Arial"/>
                <w:b/>
                <w:sz w:val="21"/>
              </w:rPr>
              <w:t>Pyone et al., 2017</w:t>
            </w:r>
          </w:p>
        </w:tc>
        <w:tc>
          <w:tcPr>
            <w:tcW w:w="1786" w:type="dxa"/>
            <w:shd w:val="clear" w:color="auto" w:fill="F2F2F2" w:themeFill="background1" w:themeFillShade="F2"/>
            <w:vAlign w:val="center"/>
          </w:tcPr>
          <w:p w14:paraId="4D2C7386" w14:textId="77777777" w:rsidR="003D1B66" w:rsidRPr="00AF59FC" w:rsidRDefault="003D1B66" w:rsidP="000B46B5">
            <w:pPr>
              <w:bidi/>
              <w:spacing w:after="0" w:line="240" w:lineRule="auto"/>
              <w:jc w:val="center"/>
              <w:rPr>
                <w:bCs/>
              </w:rPr>
            </w:pPr>
            <w:r w:rsidRPr="00AF59FC">
              <w:rPr>
                <w:rFonts w:eastAsia="Arial"/>
                <w:bCs/>
                <w:sz w:val="21"/>
                <w:rtl/>
              </w:rPr>
              <w:t>مراجعة أطر تقييم الحوكمة</w:t>
            </w:r>
          </w:p>
        </w:tc>
        <w:tc>
          <w:tcPr>
            <w:tcW w:w="1786" w:type="dxa"/>
            <w:shd w:val="clear" w:color="auto" w:fill="F2F2F2" w:themeFill="background1" w:themeFillShade="F2"/>
            <w:vAlign w:val="center"/>
          </w:tcPr>
          <w:p w14:paraId="3D58B18C" w14:textId="77777777" w:rsidR="003D1B66" w:rsidRPr="00AF59FC" w:rsidRDefault="003D1B66" w:rsidP="000B46B5">
            <w:pPr>
              <w:bidi/>
              <w:spacing w:after="0" w:line="240" w:lineRule="auto"/>
              <w:jc w:val="center"/>
              <w:rPr>
                <w:bCs/>
              </w:rPr>
            </w:pPr>
            <w:r w:rsidRPr="00AF59FC">
              <w:rPr>
                <w:rFonts w:eastAsia="Arial"/>
                <w:bCs/>
                <w:sz w:val="21"/>
                <w:rtl/>
              </w:rPr>
              <w:t>مراجعة منهجية</w:t>
            </w:r>
          </w:p>
        </w:tc>
        <w:tc>
          <w:tcPr>
            <w:tcW w:w="1786" w:type="dxa"/>
            <w:shd w:val="clear" w:color="auto" w:fill="F2F2F2" w:themeFill="background1" w:themeFillShade="F2"/>
            <w:vAlign w:val="center"/>
          </w:tcPr>
          <w:p w14:paraId="0EA027D9" w14:textId="77777777" w:rsidR="003D1B66" w:rsidRPr="00AF59FC" w:rsidRDefault="003D1B66" w:rsidP="000B46B5">
            <w:pPr>
              <w:bidi/>
              <w:spacing w:after="0" w:line="240" w:lineRule="auto"/>
              <w:jc w:val="center"/>
              <w:rPr>
                <w:bCs/>
              </w:rPr>
            </w:pPr>
            <w:r w:rsidRPr="00AF59FC">
              <w:rPr>
                <w:rFonts w:eastAsia="Arial"/>
                <w:bCs/>
                <w:sz w:val="21"/>
                <w:rtl/>
              </w:rPr>
              <w:t>تنوع الأطر ومحدودية التطبيق لبعضها</w:t>
            </w:r>
          </w:p>
        </w:tc>
        <w:tc>
          <w:tcPr>
            <w:tcW w:w="1786" w:type="dxa"/>
            <w:shd w:val="clear" w:color="auto" w:fill="F2F2F2" w:themeFill="background1" w:themeFillShade="F2"/>
            <w:vAlign w:val="center"/>
          </w:tcPr>
          <w:p w14:paraId="31255718" w14:textId="77777777" w:rsidR="003D1B66" w:rsidRPr="00AF59FC" w:rsidRDefault="003D1B66" w:rsidP="000B46B5">
            <w:pPr>
              <w:bidi/>
              <w:spacing w:after="0" w:line="240" w:lineRule="auto"/>
              <w:jc w:val="center"/>
              <w:rPr>
                <w:bCs/>
              </w:rPr>
            </w:pPr>
            <w:r w:rsidRPr="00AF59FC">
              <w:rPr>
                <w:rFonts w:eastAsia="Arial"/>
                <w:bCs/>
                <w:sz w:val="21"/>
                <w:rtl/>
              </w:rPr>
              <w:t>يدعم تكييف إطار يناسب السياق</w:t>
            </w:r>
          </w:p>
        </w:tc>
      </w:tr>
      <w:tr w:rsidR="003D1B66" w:rsidRPr="00AF59FC" w14:paraId="5CA692BD" w14:textId="77777777" w:rsidTr="000B46B5">
        <w:trPr>
          <w:jc w:val="center"/>
        </w:trPr>
        <w:tc>
          <w:tcPr>
            <w:tcW w:w="1786" w:type="dxa"/>
            <w:shd w:val="clear" w:color="auto" w:fill="F2F2F2" w:themeFill="background1" w:themeFillShade="F2"/>
            <w:vAlign w:val="center"/>
          </w:tcPr>
          <w:p w14:paraId="729C6CB8" w14:textId="77777777" w:rsidR="003D1B66" w:rsidRPr="00AF59FC" w:rsidRDefault="003D1B66" w:rsidP="000B46B5">
            <w:pPr>
              <w:bidi/>
              <w:spacing w:after="0" w:line="240" w:lineRule="auto"/>
              <w:jc w:val="center"/>
              <w:rPr>
                <w:b/>
              </w:rPr>
            </w:pPr>
            <w:r w:rsidRPr="00AF59FC">
              <w:rPr>
                <w:rFonts w:eastAsia="Arial"/>
                <w:b/>
                <w:sz w:val="21"/>
              </w:rPr>
              <w:t>Greer et al., 2019</w:t>
            </w:r>
          </w:p>
        </w:tc>
        <w:tc>
          <w:tcPr>
            <w:tcW w:w="1786" w:type="dxa"/>
            <w:shd w:val="clear" w:color="auto" w:fill="F2F2F2" w:themeFill="background1" w:themeFillShade="F2"/>
            <w:vAlign w:val="center"/>
          </w:tcPr>
          <w:p w14:paraId="7603D317" w14:textId="77777777" w:rsidR="003D1B66" w:rsidRPr="00AF59FC" w:rsidRDefault="003D1B66" w:rsidP="000B46B5">
            <w:pPr>
              <w:bidi/>
              <w:spacing w:after="0" w:line="240" w:lineRule="auto"/>
              <w:jc w:val="center"/>
              <w:rPr>
                <w:bCs/>
              </w:rPr>
            </w:pPr>
            <w:r w:rsidRPr="00AF59FC">
              <w:rPr>
                <w:rFonts w:eastAsia="Arial"/>
                <w:bCs/>
                <w:sz w:val="21"/>
                <w:rtl/>
              </w:rPr>
              <w:t xml:space="preserve">تطوير </w:t>
            </w:r>
            <w:r w:rsidRPr="00AF59FC">
              <w:rPr>
                <w:rFonts w:eastAsia="Arial"/>
                <w:bCs/>
                <w:sz w:val="21"/>
              </w:rPr>
              <w:t>TAPIC</w:t>
            </w:r>
          </w:p>
        </w:tc>
        <w:tc>
          <w:tcPr>
            <w:tcW w:w="1786" w:type="dxa"/>
            <w:shd w:val="clear" w:color="auto" w:fill="F2F2F2" w:themeFill="background1" w:themeFillShade="F2"/>
            <w:vAlign w:val="center"/>
          </w:tcPr>
          <w:p w14:paraId="0BC615AA" w14:textId="77777777" w:rsidR="003D1B66" w:rsidRPr="00AF59FC" w:rsidRDefault="003D1B66" w:rsidP="000B46B5">
            <w:pPr>
              <w:bidi/>
              <w:spacing w:after="0" w:line="240" w:lineRule="auto"/>
              <w:jc w:val="center"/>
              <w:rPr>
                <w:bCs/>
              </w:rPr>
            </w:pPr>
            <w:r w:rsidRPr="00AF59FC">
              <w:rPr>
                <w:rFonts w:eastAsia="Arial"/>
                <w:bCs/>
                <w:sz w:val="21"/>
                <w:rtl/>
              </w:rPr>
              <w:t>تحليل سياسات وأدبيات</w:t>
            </w:r>
          </w:p>
        </w:tc>
        <w:tc>
          <w:tcPr>
            <w:tcW w:w="1786" w:type="dxa"/>
            <w:shd w:val="clear" w:color="auto" w:fill="F2F2F2" w:themeFill="background1" w:themeFillShade="F2"/>
            <w:vAlign w:val="center"/>
          </w:tcPr>
          <w:p w14:paraId="4939DB6C" w14:textId="77777777" w:rsidR="003D1B66" w:rsidRPr="00AF59FC" w:rsidRDefault="003D1B66" w:rsidP="000B46B5">
            <w:pPr>
              <w:bidi/>
              <w:spacing w:after="0" w:line="240" w:lineRule="auto"/>
              <w:jc w:val="center"/>
              <w:rPr>
                <w:bCs/>
              </w:rPr>
            </w:pPr>
            <w:r w:rsidRPr="00AF59FC">
              <w:rPr>
                <w:rFonts w:eastAsia="Arial"/>
                <w:bCs/>
                <w:sz w:val="21"/>
                <w:rtl/>
              </w:rPr>
              <w:t>خمسة مجالات: شفافية، مساءلة، مشاركة، نزاهة، قدرة</w:t>
            </w:r>
          </w:p>
        </w:tc>
        <w:tc>
          <w:tcPr>
            <w:tcW w:w="1786" w:type="dxa"/>
            <w:shd w:val="clear" w:color="auto" w:fill="F2F2F2" w:themeFill="background1" w:themeFillShade="F2"/>
            <w:vAlign w:val="center"/>
          </w:tcPr>
          <w:p w14:paraId="4BA38EB5" w14:textId="77777777" w:rsidR="003D1B66" w:rsidRPr="00AF59FC" w:rsidRDefault="003D1B66" w:rsidP="000B46B5">
            <w:pPr>
              <w:bidi/>
              <w:spacing w:after="0" w:line="240" w:lineRule="auto"/>
              <w:jc w:val="center"/>
              <w:rPr>
                <w:bCs/>
              </w:rPr>
            </w:pPr>
            <w:r w:rsidRPr="00AF59FC">
              <w:rPr>
                <w:rFonts w:eastAsia="Arial"/>
                <w:bCs/>
                <w:sz w:val="21"/>
                <w:rtl/>
              </w:rPr>
              <w:t>إطار مركز لأبعاد الحوكمة</w:t>
            </w:r>
          </w:p>
        </w:tc>
      </w:tr>
      <w:tr w:rsidR="003D1B66" w:rsidRPr="00AF59FC" w14:paraId="7B6E64C7" w14:textId="77777777" w:rsidTr="000B46B5">
        <w:trPr>
          <w:jc w:val="center"/>
        </w:trPr>
        <w:tc>
          <w:tcPr>
            <w:tcW w:w="1786" w:type="dxa"/>
            <w:shd w:val="clear" w:color="auto" w:fill="F2F2F2" w:themeFill="background1" w:themeFillShade="F2"/>
            <w:vAlign w:val="center"/>
          </w:tcPr>
          <w:p w14:paraId="7D584675" w14:textId="77777777" w:rsidR="003D1B66" w:rsidRPr="00AF59FC" w:rsidRDefault="003D1B66" w:rsidP="000B46B5">
            <w:pPr>
              <w:bidi/>
              <w:spacing w:after="0" w:line="240" w:lineRule="auto"/>
              <w:jc w:val="center"/>
              <w:rPr>
                <w:b/>
              </w:rPr>
            </w:pPr>
            <w:r w:rsidRPr="00AF59FC">
              <w:rPr>
                <w:rFonts w:eastAsia="Arial"/>
                <w:b/>
                <w:sz w:val="21"/>
              </w:rPr>
              <w:t>Alfawaz et al., 2022</w:t>
            </w:r>
          </w:p>
        </w:tc>
        <w:tc>
          <w:tcPr>
            <w:tcW w:w="1786" w:type="dxa"/>
            <w:shd w:val="clear" w:color="auto" w:fill="F2F2F2" w:themeFill="background1" w:themeFillShade="F2"/>
            <w:vAlign w:val="center"/>
          </w:tcPr>
          <w:p w14:paraId="3E93E2A0" w14:textId="77777777" w:rsidR="003D1B66" w:rsidRPr="00AF59FC" w:rsidRDefault="003D1B66" w:rsidP="000B46B5">
            <w:pPr>
              <w:bidi/>
              <w:spacing w:after="0" w:line="240" w:lineRule="auto"/>
              <w:jc w:val="center"/>
              <w:rPr>
                <w:bCs/>
              </w:rPr>
            </w:pPr>
            <w:r w:rsidRPr="00AF59FC">
              <w:rPr>
                <w:rFonts w:eastAsia="Arial"/>
                <w:bCs/>
                <w:sz w:val="21"/>
                <w:rtl/>
              </w:rPr>
              <w:t>تقييم حوكمة وقدرات البحث</w:t>
            </w:r>
            <w:r>
              <w:rPr>
                <w:rFonts w:eastAsia="Arial" w:hint="cs"/>
                <w:bCs/>
                <w:sz w:val="21"/>
                <w:rtl/>
              </w:rPr>
              <w:t xml:space="preserve"> </w:t>
            </w:r>
            <w:r w:rsidRPr="00AF59FC">
              <w:rPr>
                <w:rFonts w:eastAsia="Arial"/>
                <w:bCs/>
                <w:sz w:val="21"/>
                <w:rtl/>
              </w:rPr>
              <w:t>الصحي في السعودية</w:t>
            </w:r>
          </w:p>
        </w:tc>
        <w:tc>
          <w:tcPr>
            <w:tcW w:w="1786" w:type="dxa"/>
            <w:shd w:val="clear" w:color="auto" w:fill="F2F2F2" w:themeFill="background1" w:themeFillShade="F2"/>
            <w:vAlign w:val="center"/>
          </w:tcPr>
          <w:p w14:paraId="4A69F229" w14:textId="77777777" w:rsidR="003D1B66" w:rsidRPr="00AF59FC" w:rsidRDefault="003D1B66" w:rsidP="000B46B5">
            <w:pPr>
              <w:bidi/>
              <w:spacing w:after="0" w:line="240" w:lineRule="auto"/>
              <w:jc w:val="center"/>
              <w:rPr>
                <w:bCs/>
              </w:rPr>
            </w:pPr>
            <w:r w:rsidRPr="00AF59FC">
              <w:rPr>
                <w:rFonts w:eastAsia="Arial"/>
                <w:bCs/>
                <w:sz w:val="21"/>
                <w:rtl/>
              </w:rPr>
              <w:t>مسح مقطعي لثمانية تجمعات</w:t>
            </w:r>
          </w:p>
        </w:tc>
        <w:tc>
          <w:tcPr>
            <w:tcW w:w="1786" w:type="dxa"/>
            <w:shd w:val="clear" w:color="auto" w:fill="F2F2F2" w:themeFill="background1" w:themeFillShade="F2"/>
            <w:vAlign w:val="center"/>
          </w:tcPr>
          <w:p w14:paraId="5D7BE729" w14:textId="77777777" w:rsidR="003D1B66" w:rsidRPr="00AF59FC" w:rsidRDefault="003D1B66" w:rsidP="000B46B5">
            <w:pPr>
              <w:bidi/>
              <w:spacing w:after="0" w:line="240" w:lineRule="auto"/>
              <w:jc w:val="center"/>
              <w:rPr>
                <w:bCs/>
              </w:rPr>
            </w:pPr>
            <w:r w:rsidRPr="00AF59FC">
              <w:rPr>
                <w:rFonts w:eastAsia="Arial"/>
                <w:bCs/>
                <w:sz w:val="21"/>
                <w:rtl/>
              </w:rPr>
              <w:t>حاجة لهياكل وسياسات وقدرات ومتابعة</w:t>
            </w:r>
          </w:p>
        </w:tc>
        <w:tc>
          <w:tcPr>
            <w:tcW w:w="1786" w:type="dxa"/>
            <w:shd w:val="clear" w:color="auto" w:fill="F2F2F2" w:themeFill="background1" w:themeFillShade="F2"/>
            <w:vAlign w:val="center"/>
          </w:tcPr>
          <w:p w14:paraId="755FE8AE" w14:textId="77777777" w:rsidR="003D1B66" w:rsidRPr="00AF59FC" w:rsidRDefault="003D1B66" w:rsidP="000B46B5">
            <w:pPr>
              <w:bidi/>
              <w:spacing w:after="0" w:line="240" w:lineRule="auto"/>
              <w:jc w:val="center"/>
              <w:rPr>
                <w:bCs/>
              </w:rPr>
            </w:pPr>
            <w:r w:rsidRPr="00AF59FC">
              <w:rPr>
                <w:rFonts w:eastAsia="Arial"/>
                <w:bCs/>
                <w:sz w:val="21"/>
                <w:rtl/>
              </w:rPr>
              <w:t>دليل سعودي على دور الحوكمة المعلوماتية</w:t>
            </w:r>
          </w:p>
        </w:tc>
      </w:tr>
      <w:tr w:rsidR="003D1B66" w:rsidRPr="00AF59FC" w14:paraId="79B4C045" w14:textId="77777777" w:rsidTr="000B46B5">
        <w:trPr>
          <w:jc w:val="center"/>
        </w:trPr>
        <w:tc>
          <w:tcPr>
            <w:tcW w:w="1786" w:type="dxa"/>
            <w:shd w:val="clear" w:color="auto" w:fill="F2F2F2" w:themeFill="background1" w:themeFillShade="F2"/>
            <w:vAlign w:val="center"/>
          </w:tcPr>
          <w:p w14:paraId="551D1303" w14:textId="77777777" w:rsidR="003D1B66" w:rsidRPr="00AF59FC" w:rsidRDefault="003D1B66" w:rsidP="000B46B5">
            <w:pPr>
              <w:bidi/>
              <w:spacing w:after="0" w:line="240" w:lineRule="auto"/>
              <w:jc w:val="center"/>
              <w:rPr>
                <w:b/>
              </w:rPr>
            </w:pPr>
            <w:r w:rsidRPr="00AF59FC">
              <w:rPr>
                <w:rFonts w:eastAsia="Arial"/>
                <w:b/>
                <w:sz w:val="21"/>
              </w:rPr>
              <w:t>Al Rahahleh et al., 2024</w:t>
            </w:r>
          </w:p>
        </w:tc>
        <w:tc>
          <w:tcPr>
            <w:tcW w:w="1786" w:type="dxa"/>
            <w:shd w:val="clear" w:color="auto" w:fill="F2F2F2" w:themeFill="background1" w:themeFillShade="F2"/>
            <w:vAlign w:val="center"/>
          </w:tcPr>
          <w:p w14:paraId="576F4982" w14:textId="77777777" w:rsidR="003D1B66" w:rsidRPr="00AF59FC" w:rsidRDefault="003D1B66" w:rsidP="000B46B5">
            <w:pPr>
              <w:bidi/>
              <w:spacing w:after="0" w:line="240" w:lineRule="auto"/>
              <w:jc w:val="center"/>
              <w:rPr>
                <w:bCs/>
              </w:rPr>
            </w:pPr>
            <w:r w:rsidRPr="00AF59FC">
              <w:rPr>
                <w:rFonts w:eastAsia="Arial"/>
                <w:bCs/>
                <w:sz w:val="21"/>
                <w:rtl/>
              </w:rPr>
              <w:t>المساءلة من منظور المرضى في مؤسسة سعودية</w:t>
            </w:r>
          </w:p>
        </w:tc>
        <w:tc>
          <w:tcPr>
            <w:tcW w:w="1786" w:type="dxa"/>
            <w:shd w:val="clear" w:color="auto" w:fill="F2F2F2" w:themeFill="background1" w:themeFillShade="F2"/>
            <w:vAlign w:val="center"/>
          </w:tcPr>
          <w:p w14:paraId="6363DDE3" w14:textId="77777777" w:rsidR="003D1B66" w:rsidRPr="00AF59FC" w:rsidRDefault="003D1B66" w:rsidP="000B46B5">
            <w:pPr>
              <w:bidi/>
              <w:spacing w:after="0" w:line="240" w:lineRule="auto"/>
              <w:jc w:val="center"/>
              <w:rPr>
                <w:bCs/>
              </w:rPr>
            </w:pPr>
            <w:r w:rsidRPr="00AF59FC">
              <w:rPr>
                <w:rFonts w:eastAsia="Arial"/>
                <w:bCs/>
                <w:sz w:val="21"/>
                <w:rtl/>
              </w:rPr>
              <w:t>دراسة حالة</w:t>
            </w:r>
          </w:p>
        </w:tc>
        <w:tc>
          <w:tcPr>
            <w:tcW w:w="1786" w:type="dxa"/>
            <w:shd w:val="clear" w:color="auto" w:fill="F2F2F2" w:themeFill="background1" w:themeFillShade="F2"/>
            <w:vAlign w:val="center"/>
          </w:tcPr>
          <w:p w14:paraId="09442941" w14:textId="77777777" w:rsidR="003D1B66" w:rsidRPr="00AF59FC" w:rsidRDefault="003D1B66" w:rsidP="000B46B5">
            <w:pPr>
              <w:bidi/>
              <w:spacing w:after="0" w:line="240" w:lineRule="auto"/>
              <w:jc w:val="center"/>
              <w:rPr>
                <w:bCs/>
              </w:rPr>
            </w:pPr>
            <w:r w:rsidRPr="00AF59FC">
              <w:rPr>
                <w:rFonts w:eastAsia="Arial"/>
                <w:bCs/>
                <w:sz w:val="21"/>
                <w:rtl/>
              </w:rPr>
              <w:t>أهمية المساءلة في الخدمة العامة والكفاءة</w:t>
            </w:r>
          </w:p>
        </w:tc>
        <w:tc>
          <w:tcPr>
            <w:tcW w:w="1786" w:type="dxa"/>
            <w:shd w:val="clear" w:color="auto" w:fill="F2F2F2" w:themeFill="background1" w:themeFillShade="F2"/>
            <w:vAlign w:val="center"/>
          </w:tcPr>
          <w:p w14:paraId="16EF69A6" w14:textId="77777777" w:rsidR="003D1B66" w:rsidRPr="00AF59FC" w:rsidRDefault="003D1B66" w:rsidP="000B46B5">
            <w:pPr>
              <w:bidi/>
              <w:spacing w:after="0" w:line="240" w:lineRule="auto"/>
              <w:jc w:val="center"/>
              <w:rPr>
                <w:bCs/>
              </w:rPr>
            </w:pPr>
            <w:r w:rsidRPr="00AF59FC">
              <w:rPr>
                <w:rFonts w:eastAsia="Arial"/>
                <w:bCs/>
                <w:sz w:val="21"/>
                <w:rtl/>
              </w:rPr>
              <w:t>يبرز منظور المستفيد؛ نطاق مؤسسي محدود</w:t>
            </w:r>
          </w:p>
        </w:tc>
      </w:tr>
      <w:tr w:rsidR="003D1B66" w:rsidRPr="00AF59FC" w14:paraId="65E051F5" w14:textId="77777777" w:rsidTr="000B46B5">
        <w:trPr>
          <w:jc w:val="center"/>
        </w:trPr>
        <w:tc>
          <w:tcPr>
            <w:tcW w:w="1786" w:type="dxa"/>
            <w:shd w:val="clear" w:color="auto" w:fill="F2F2F2" w:themeFill="background1" w:themeFillShade="F2"/>
            <w:vAlign w:val="center"/>
          </w:tcPr>
          <w:p w14:paraId="26411566" w14:textId="77777777" w:rsidR="003D1B66" w:rsidRPr="00AF59FC" w:rsidRDefault="003D1B66" w:rsidP="000B46B5">
            <w:pPr>
              <w:bidi/>
              <w:spacing w:after="0" w:line="240" w:lineRule="auto"/>
              <w:jc w:val="center"/>
              <w:rPr>
                <w:bCs/>
              </w:rPr>
            </w:pPr>
            <w:r w:rsidRPr="00AF59FC">
              <w:rPr>
                <w:rFonts w:eastAsia="Arial"/>
                <w:bCs/>
                <w:sz w:val="21"/>
              </w:rPr>
              <w:t>Al-Nozha, 2024</w:t>
            </w:r>
          </w:p>
        </w:tc>
        <w:tc>
          <w:tcPr>
            <w:tcW w:w="1786" w:type="dxa"/>
            <w:shd w:val="clear" w:color="auto" w:fill="F2F2F2" w:themeFill="background1" w:themeFillShade="F2"/>
            <w:vAlign w:val="center"/>
          </w:tcPr>
          <w:p w14:paraId="29DEA71F" w14:textId="77777777" w:rsidR="003D1B66" w:rsidRPr="00AF59FC" w:rsidRDefault="003D1B66" w:rsidP="000B46B5">
            <w:pPr>
              <w:bidi/>
              <w:spacing w:after="0" w:line="240" w:lineRule="auto"/>
              <w:jc w:val="center"/>
              <w:rPr>
                <w:bCs/>
              </w:rPr>
            </w:pPr>
            <w:r w:rsidRPr="00AF59FC">
              <w:rPr>
                <w:rFonts w:eastAsia="Arial"/>
                <w:bCs/>
                <w:sz w:val="21"/>
                <w:rtl/>
              </w:rPr>
              <w:t>فهم إصلاح النظام الصحي وأثره على الأطراف</w:t>
            </w:r>
          </w:p>
        </w:tc>
        <w:tc>
          <w:tcPr>
            <w:tcW w:w="1786" w:type="dxa"/>
            <w:shd w:val="clear" w:color="auto" w:fill="F2F2F2" w:themeFill="background1" w:themeFillShade="F2"/>
            <w:vAlign w:val="center"/>
          </w:tcPr>
          <w:p w14:paraId="5DBE2B86" w14:textId="77777777" w:rsidR="003D1B66" w:rsidRPr="00AF59FC" w:rsidRDefault="003D1B66" w:rsidP="000B46B5">
            <w:pPr>
              <w:bidi/>
              <w:spacing w:after="0" w:line="240" w:lineRule="auto"/>
              <w:jc w:val="center"/>
              <w:rPr>
                <w:bCs/>
              </w:rPr>
            </w:pPr>
            <w:r w:rsidRPr="00AF59FC">
              <w:rPr>
                <w:rFonts w:eastAsia="Arial"/>
                <w:bCs/>
                <w:sz w:val="21"/>
                <w:rtl/>
              </w:rPr>
              <w:t>دراسة نوعية</w:t>
            </w:r>
          </w:p>
        </w:tc>
        <w:tc>
          <w:tcPr>
            <w:tcW w:w="1786" w:type="dxa"/>
            <w:shd w:val="clear" w:color="auto" w:fill="F2F2F2" w:themeFill="background1" w:themeFillShade="F2"/>
            <w:vAlign w:val="center"/>
          </w:tcPr>
          <w:p w14:paraId="639896A8" w14:textId="77777777" w:rsidR="003D1B66" w:rsidRPr="00AF59FC" w:rsidRDefault="003D1B66" w:rsidP="000B46B5">
            <w:pPr>
              <w:bidi/>
              <w:spacing w:after="0" w:line="240" w:lineRule="auto"/>
              <w:jc w:val="center"/>
              <w:rPr>
                <w:bCs/>
              </w:rPr>
            </w:pPr>
            <w:r w:rsidRPr="00AF59FC">
              <w:rPr>
                <w:rFonts w:eastAsia="Arial"/>
                <w:bCs/>
                <w:sz w:val="21"/>
                <w:rtl/>
              </w:rPr>
              <w:t>تغير الأدوار والحاجة لإدارة التحديات والتنسيق</w:t>
            </w:r>
          </w:p>
        </w:tc>
        <w:tc>
          <w:tcPr>
            <w:tcW w:w="1786" w:type="dxa"/>
            <w:shd w:val="clear" w:color="auto" w:fill="F2F2F2" w:themeFill="background1" w:themeFillShade="F2"/>
            <w:vAlign w:val="center"/>
          </w:tcPr>
          <w:p w14:paraId="6FD8A935" w14:textId="77777777" w:rsidR="003D1B66" w:rsidRPr="00AF59FC" w:rsidRDefault="003D1B66" w:rsidP="000B46B5">
            <w:pPr>
              <w:bidi/>
              <w:spacing w:after="0" w:line="240" w:lineRule="auto"/>
              <w:jc w:val="center"/>
              <w:rPr>
                <w:bCs/>
              </w:rPr>
            </w:pPr>
            <w:r w:rsidRPr="00AF59FC">
              <w:rPr>
                <w:rFonts w:eastAsia="Arial"/>
                <w:bCs/>
                <w:sz w:val="21"/>
                <w:rtl/>
              </w:rPr>
              <w:t>يربط التحول بوضوح الأدوار</w:t>
            </w:r>
          </w:p>
        </w:tc>
      </w:tr>
      <w:tr w:rsidR="003D1B66" w:rsidRPr="00AF59FC" w14:paraId="7B4CC34F" w14:textId="77777777" w:rsidTr="000B46B5">
        <w:trPr>
          <w:jc w:val="center"/>
        </w:trPr>
        <w:tc>
          <w:tcPr>
            <w:tcW w:w="1786" w:type="dxa"/>
            <w:shd w:val="clear" w:color="auto" w:fill="F2F2F2" w:themeFill="background1" w:themeFillShade="F2"/>
            <w:vAlign w:val="center"/>
          </w:tcPr>
          <w:p w14:paraId="69B52002" w14:textId="77777777" w:rsidR="003D1B66" w:rsidRPr="00AF59FC" w:rsidRDefault="003D1B66" w:rsidP="000B46B5">
            <w:pPr>
              <w:bidi/>
              <w:spacing w:after="0" w:line="240" w:lineRule="auto"/>
              <w:jc w:val="center"/>
              <w:rPr>
                <w:bCs/>
              </w:rPr>
            </w:pPr>
            <w:r w:rsidRPr="00AF59FC">
              <w:rPr>
                <w:rFonts w:eastAsia="Arial"/>
                <w:bCs/>
                <w:sz w:val="21"/>
              </w:rPr>
              <w:t>Jalilvand et al., 2024</w:t>
            </w:r>
          </w:p>
        </w:tc>
        <w:tc>
          <w:tcPr>
            <w:tcW w:w="1786" w:type="dxa"/>
            <w:shd w:val="clear" w:color="auto" w:fill="F2F2F2" w:themeFill="background1" w:themeFillShade="F2"/>
            <w:vAlign w:val="center"/>
          </w:tcPr>
          <w:p w14:paraId="6499DE2B" w14:textId="77777777" w:rsidR="003D1B66" w:rsidRPr="00AF59FC" w:rsidRDefault="003D1B66" w:rsidP="000B46B5">
            <w:pPr>
              <w:bidi/>
              <w:spacing w:after="0" w:line="240" w:lineRule="auto"/>
              <w:jc w:val="center"/>
              <w:rPr>
                <w:bCs/>
              </w:rPr>
            </w:pPr>
            <w:r w:rsidRPr="00AF59FC">
              <w:rPr>
                <w:rFonts w:eastAsia="Arial"/>
                <w:bCs/>
                <w:sz w:val="21"/>
                <w:rtl/>
              </w:rPr>
              <w:t>تحديد هيكل مساءلة حوكمة المستشفيات</w:t>
            </w:r>
          </w:p>
        </w:tc>
        <w:tc>
          <w:tcPr>
            <w:tcW w:w="1786" w:type="dxa"/>
            <w:shd w:val="clear" w:color="auto" w:fill="F2F2F2" w:themeFill="background1" w:themeFillShade="F2"/>
            <w:vAlign w:val="center"/>
          </w:tcPr>
          <w:p w14:paraId="7DECF19B" w14:textId="77777777" w:rsidR="003D1B66" w:rsidRPr="00AF59FC" w:rsidRDefault="003D1B66" w:rsidP="000B46B5">
            <w:pPr>
              <w:bidi/>
              <w:spacing w:after="0" w:line="240" w:lineRule="auto"/>
              <w:jc w:val="center"/>
              <w:rPr>
                <w:bCs/>
              </w:rPr>
            </w:pPr>
            <w:r w:rsidRPr="00AF59FC">
              <w:rPr>
                <w:rFonts w:eastAsia="Arial"/>
                <w:bCs/>
                <w:sz w:val="21"/>
                <w:rtl/>
              </w:rPr>
              <w:t>مراجعة نطاقية</w:t>
            </w:r>
          </w:p>
        </w:tc>
        <w:tc>
          <w:tcPr>
            <w:tcW w:w="1786" w:type="dxa"/>
            <w:shd w:val="clear" w:color="auto" w:fill="F2F2F2" w:themeFill="background1" w:themeFillShade="F2"/>
            <w:vAlign w:val="center"/>
          </w:tcPr>
          <w:p w14:paraId="05FDCD49" w14:textId="77777777" w:rsidR="003D1B66" w:rsidRPr="00AF59FC" w:rsidRDefault="003D1B66" w:rsidP="000B46B5">
            <w:pPr>
              <w:bidi/>
              <w:spacing w:after="0" w:line="240" w:lineRule="auto"/>
              <w:jc w:val="center"/>
              <w:rPr>
                <w:bCs/>
              </w:rPr>
            </w:pPr>
            <w:r w:rsidRPr="00AF59FC">
              <w:rPr>
                <w:rFonts w:eastAsia="Arial"/>
                <w:bCs/>
                <w:sz w:val="21"/>
                <w:rtl/>
              </w:rPr>
              <w:t>حوكمة شاملة والتزام وتخطيط واستقلالية</w:t>
            </w:r>
          </w:p>
        </w:tc>
        <w:tc>
          <w:tcPr>
            <w:tcW w:w="1786" w:type="dxa"/>
            <w:shd w:val="clear" w:color="auto" w:fill="F2F2F2" w:themeFill="background1" w:themeFillShade="F2"/>
            <w:vAlign w:val="center"/>
          </w:tcPr>
          <w:p w14:paraId="74B9144D" w14:textId="77777777" w:rsidR="003D1B66" w:rsidRPr="00AF59FC" w:rsidRDefault="003D1B66" w:rsidP="000B46B5">
            <w:pPr>
              <w:bidi/>
              <w:spacing w:after="0" w:line="240" w:lineRule="auto"/>
              <w:jc w:val="center"/>
              <w:rPr>
                <w:bCs/>
              </w:rPr>
            </w:pPr>
            <w:r w:rsidRPr="00AF59FC">
              <w:rPr>
                <w:rFonts w:eastAsia="Arial"/>
                <w:bCs/>
                <w:sz w:val="21"/>
                <w:rtl/>
              </w:rPr>
              <w:t>يدعم الجمع بين المالي والسريري والاجتماعي</w:t>
            </w:r>
          </w:p>
        </w:tc>
      </w:tr>
      <w:tr w:rsidR="003D1B66" w:rsidRPr="00AF59FC" w14:paraId="77E5416C" w14:textId="77777777" w:rsidTr="000B46B5">
        <w:trPr>
          <w:jc w:val="center"/>
        </w:trPr>
        <w:tc>
          <w:tcPr>
            <w:tcW w:w="1786" w:type="dxa"/>
            <w:shd w:val="clear" w:color="auto" w:fill="F2F2F2" w:themeFill="background1" w:themeFillShade="F2"/>
            <w:vAlign w:val="center"/>
          </w:tcPr>
          <w:p w14:paraId="4AED98EC" w14:textId="77777777" w:rsidR="003D1B66" w:rsidRPr="00AF59FC" w:rsidRDefault="003D1B66" w:rsidP="000B46B5">
            <w:pPr>
              <w:bidi/>
              <w:spacing w:after="0" w:line="240" w:lineRule="auto"/>
              <w:jc w:val="center"/>
              <w:rPr>
                <w:bCs/>
              </w:rPr>
            </w:pPr>
            <w:r w:rsidRPr="00AF59FC">
              <w:rPr>
                <w:rFonts w:eastAsia="Arial"/>
                <w:bCs/>
                <w:sz w:val="21"/>
              </w:rPr>
              <w:t>Alshehri &amp; Abduljawad, 2025</w:t>
            </w:r>
          </w:p>
        </w:tc>
        <w:tc>
          <w:tcPr>
            <w:tcW w:w="1786" w:type="dxa"/>
            <w:shd w:val="clear" w:color="auto" w:fill="F2F2F2" w:themeFill="background1" w:themeFillShade="F2"/>
            <w:vAlign w:val="center"/>
          </w:tcPr>
          <w:p w14:paraId="18106CE1" w14:textId="77777777" w:rsidR="003D1B66" w:rsidRPr="00AF59FC" w:rsidRDefault="003D1B66" w:rsidP="000B46B5">
            <w:pPr>
              <w:bidi/>
              <w:spacing w:after="0" w:line="240" w:lineRule="auto"/>
              <w:jc w:val="center"/>
              <w:rPr>
                <w:bCs/>
              </w:rPr>
            </w:pPr>
            <w:r w:rsidRPr="00AF59FC">
              <w:rPr>
                <w:rFonts w:eastAsia="Arial"/>
                <w:bCs/>
                <w:sz w:val="21"/>
                <w:rtl/>
              </w:rPr>
              <w:t>تقييم التجمعات والرقمنة والرعاية المتمحورة حول المريض</w:t>
            </w:r>
          </w:p>
        </w:tc>
        <w:tc>
          <w:tcPr>
            <w:tcW w:w="1786" w:type="dxa"/>
            <w:shd w:val="clear" w:color="auto" w:fill="F2F2F2" w:themeFill="background1" w:themeFillShade="F2"/>
            <w:vAlign w:val="center"/>
          </w:tcPr>
          <w:p w14:paraId="492DB0BB" w14:textId="77777777" w:rsidR="003D1B66" w:rsidRPr="00AF59FC" w:rsidRDefault="003D1B66" w:rsidP="000B46B5">
            <w:pPr>
              <w:bidi/>
              <w:spacing w:after="0" w:line="240" w:lineRule="auto"/>
              <w:jc w:val="center"/>
              <w:rPr>
                <w:bCs/>
              </w:rPr>
            </w:pPr>
            <w:r w:rsidRPr="00AF59FC">
              <w:rPr>
                <w:rFonts w:eastAsia="Arial"/>
                <w:bCs/>
                <w:sz w:val="21"/>
                <w:rtl/>
              </w:rPr>
              <w:t>منهج مختلط في أربعة مستشفيات</w:t>
            </w:r>
          </w:p>
        </w:tc>
        <w:tc>
          <w:tcPr>
            <w:tcW w:w="1786" w:type="dxa"/>
            <w:shd w:val="clear" w:color="auto" w:fill="F2F2F2" w:themeFill="background1" w:themeFillShade="F2"/>
            <w:vAlign w:val="center"/>
          </w:tcPr>
          <w:p w14:paraId="78E1CA3A" w14:textId="77777777" w:rsidR="003D1B66" w:rsidRPr="00AF59FC" w:rsidRDefault="003D1B66" w:rsidP="000B46B5">
            <w:pPr>
              <w:bidi/>
              <w:spacing w:after="0" w:line="240" w:lineRule="auto"/>
              <w:jc w:val="center"/>
              <w:rPr>
                <w:bCs/>
              </w:rPr>
            </w:pPr>
            <w:r w:rsidRPr="00AF59FC">
              <w:rPr>
                <w:rFonts w:eastAsia="Arial"/>
                <w:bCs/>
                <w:sz w:val="21"/>
                <w:rtl/>
              </w:rPr>
              <w:t>تحسن الرضا والتنسيق والرقمنة والأداء التشغيلي</w:t>
            </w:r>
          </w:p>
        </w:tc>
        <w:tc>
          <w:tcPr>
            <w:tcW w:w="1786" w:type="dxa"/>
            <w:shd w:val="clear" w:color="auto" w:fill="F2F2F2" w:themeFill="background1" w:themeFillShade="F2"/>
            <w:vAlign w:val="center"/>
          </w:tcPr>
          <w:p w14:paraId="0917FA2D" w14:textId="77777777" w:rsidR="003D1B66" w:rsidRPr="00AF59FC" w:rsidRDefault="003D1B66" w:rsidP="000B46B5">
            <w:pPr>
              <w:bidi/>
              <w:spacing w:after="0" w:line="240" w:lineRule="auto"/>
              <w:jc w:val="center"/>
              <w:rPr>
                <w:bCs/>
              </w:rPr>
            </w:pPr>
            <w:r w:rsidRPr="00AF59FC">
              <w:rPr>
                <w:rFonts w:eastAsia="Arial"/>
                <w:bCs/>
                <w:sz w:val="21"/>
                <w:rtl/>
              </w:rPr>
              <w:t>دليل حديث مع حدود في التعميم وعزل أثر الحوكمة</w:t>
            </w:r>
          </w:p>
        </w:tc>
      </w:tr>
    </w:tbl>
    <w:p w14:paraId="310BCB77" w14:textId="77777777" w:rsidR="003D1B66" w:rsidRDefault="003D1B66" w:rsidP="003D1B66">
      <w:pPr>
        <w:bidi/>
        <w:spacing w:after="120" w:line="360" w:lineRule="auto"/>
        <w:ind w:firstLine="397"/>
        <w:jc w:val="both"/>
      </w:pPr>
      <w:r>
        <w:rPr>
          <w:rFonts w:eastAsia="Arial"/>
          <w:rtl/>
        </w:rPr>
        <w:t>يتضح من مراجعة الأدبيات وجود اتفاق واسع على أن الحوكمة عنصر حاسم في أداء النظام والمؤسسة الصحية، وأن الشفافية والمساءلة والمعلومات والقدرة المؤسسية من أكثر الأبعاد تكراراً. كما تظهر الأدبيات أن الحوكمة لا تعمل من خلال هيكل واحد، بل من خلال مزيج من القواعد والرقابة والمشاركة والثقافة والقدرات.</w:t>
      </w:r>
    </w:p>
    <w:p w14:paraId="2C895831" w14:textId="77777777" w:rsidR="003D1B66" w:rsidRDefault="003D1B66" w:rsidP="003D1B66">
      <w:pPr>
        <w:bidi/>
        <w:spacing w:after="120" w:line="360" w:lineRule="auto"/>
        <w:ind w:firstLine="397"/>
        <w:jc w:val="both"/>
      </w:pPr>
      <w:r>
        <w:rPr>
          <w:rFonts w:eastAsia="Arial"/>
          <w:rtl/>
        </w:rPr>
        <w:t>تتميز الدراسات الدولية بتطوير أطر شاملة ومراجعات منهجية، لكنها لا تقدم دائماً مؤشرات جاهزة للتطبيق في كل سياق. كما أن بعض الأطر تتعامل مع الكفاءة كبعد من أبعاد الحوكمة، بينما تهدف الدراسة الحالية إلى معاملتها كنتيجة إدارية محتملة لممارسات الحوكمة، وهو اختلاف مفاهيمي يسمح باختبار العلاقة بين المتغيرات.</w:t>
      </w:r>
    </w:p>
    <w:p w14:paraId="2C091FFA" w14:textId="77777777" w:rsidR="003D1B66" w:rsidRDefault="003D1B66" w:rsidP="003D1B66">
      <w:pPr>
        <w:bidi/>
        <w:spacing w:after="120" w:line="360" w:lineRule="auto"/>
        <w:ind w:firstLine="397"/>
        <w:jc w:val="both"/>
      </w:pPr>
      <w:r>
        <w:rPr>
          <w:rFonts w:eastAsia="Arial"/>
          <w:rtl/>
        </w:rPr>
        <w:t>أما الدراسات السعودية فتتناول التحول الصحي والخصخصة والتجمعات والرقمنة والمساءلة أو حوكمة مجالات محددة، إلا أن عدداً منها وصفي أو نوعي أو يركز على مؤسسة أو وظيفة معينة. كما أن الأدلة المباشرة التي تقيس دور الحوكمة الصحية في تعزيز الشفافية والكفاءة الإدارية معاً داخل المؤسسات الصحية السعودية لا تزال محدودة في حدود ما تم الاطلاع عليه.</w:t>
      </w:r>
    </w:p>
    <w:p w14:paraId="751C7AEE" w14:textId="77777777" w:rsidR="003D1B66" w:rsidRDefault="003D1B66" w:rsidP="003D1B66">
      <w:pPr>
        <w:bidi/>
        <w:spacing w:after="120" w:line="360" w:lineRule="auto"/>
        <w:ind w:firstLine="397"/>
        <w:jc w:val="both"/>
      </w:pPr>
      <w:r>
        <w:rPr>
          <w:rFonts w:eastAsia="Arial"/>
          <w:rtl/>
        </w:rPr>
        <w:lastRenderedPageBreak/>
        <w:t>تتمثل الفجوة الأولى في الحاجة إلى دراسة تجمع المتغيرات الثلاثة في نموذج واحد: الحوكمة الصحية كمتغير مستقل، والشفافية والكفاءة الإدارية كمتغيرين تابعين مترابطين. وتتمثل الفجوة الثانية في التركيز على مستوى المؤسسة والعاملين أو القيادات الذين يتعاملون مع إجراءات الحوكمة يومياً، بدلاً من الاقتصار على التحليل الكلي للنظام أو منظور المرضى وحدهم.</w:t>
      </w:r>
    </w:p>
    <w:p w14:paraId="60A4F6BE" w14:textId="77777777" w:rsidR="003D1B66" w:rsidRDefault="003D1B66" w:rsidP="003D1B66">
      <w:pPr>
        <w:bidi/>
        <w:spacing w:after="120" w:line="360" w:lineRule="auto"/>
        <w:ind w:firstLine="397"/>
        <w:jc w:val="both"/>
      </w:pPr>
      <w:r>
        <w:rPr>
          <w:rFonts w:eastAsia="Arial"/>
          <w:rtl/>
        </w:rPr>
        <w:t>وتتمثل الفجوة الثالثة في الحاجة إلى تكييف أبعاد الحوكمة الدولية مع التحول المؤسسي السعودي، بما يشمل وضوح الأدوار، والمساءلة، والمشاركة، والنزاهة، والرقابة، والقدرة المعلوماتية. أما الفجوة الرابعة فتتعلق بتحديد التحديات التطبيقية مثل جودة البيانات، وتداخل الصلاحيات، وكثرة الإجراءات، والقدرات البشرية، وهي عوامل قد تحد من انتقال الحوكمة من المستوى الشكلي إلى أثر فعلي على الشفافية والكفاءة.</w:t>
      </w:r>
    </w:p>
    <w:p w14:paraId="339AC1A6" w14:textId="77777777" w:rsidR="003D1B66" w:rsidRDefault="003D1B66" w:rsidP="003D1B66">
      <w:pPr>
        <w:bidi/>
        <w:spacing w:after="120" w:line="360" w:lineRule="auto"/>
        <w:ind w:firstLine="397"/>
        <w:jc w:val="both"/>
      </w:pPr>
      <w:r>
        <w:rPr>
          <w:rFonts w:eastAsia="Arial"/>
          <w:rtl/>
        </w:rPr>
        <w:t>وبناءً على ذلك، تسعى الدراسة الحالية إلى تقديم دليل ميداني من المؤسسات الصحية في المملكة العربية السعودية حول مستوى تطبيق الحوكمة الصحية، ومدى إسهامها في وضوح المعلومات والقرارات، وفي تحسين استخدام الموارد والعمليات الإدارية، مع تقديم توصيات قابلة للتطبيق في سياق التحول الصحي.</w:t>
      </w:r>
    </w:p>
    <w:p w14:paraId="5303C2FD" w14:textId="77777777" w:rsidR="003D1B66" w:rsidRDefault="003D1B66" w:rsidP="003D1B66">
      <w:pPr>
        <w:pStyle w:val="21"/>
        <w:bidi/>
        <w:jc w:val="both"/>
      </w:pPr>
      <w:r>
        <w:rPr>
          <w:rFonts w:ascii="Arial" w:eastAsia="Arial" w:hAnsi="Arial" w:cs="Arial"/>
        </w:rPr>
        <w:t>2-2-5</w:t>
      </w:r>
      <w:r>
        <w:rPr>
          <w:rFonts w:ascii="Arial" w:eastAsia="Arial" w:hAnsi="Arial" w:cs="Arial"/>
          <w:rtl/>
        </w:rPr>
        <w:t xml:space="preserve"> أوجه تميز الدراسة الحالية</w:t>
      </w:r>
    </w:p>
    <w:p w14:paraId="525C3AE7" w14:textId="77777777" w:rsidR="003D1B66" w:rsidRDefault="003D1B66" w:rsidP="003D1B66">
      <w:pPr>
        <w:pStyle w:val="a0"/>
        <w:numPr>
          <w:ilvl w:val="0"/>
          <w:numId w:val="1"/>
        </w:numPr>
        <w:bidi/>
        <w:spacing w:after="120" w:line="360" w:lineRule="auto"/>
        <w:ind w:firstLine="0"/>
        <w:jc w:val="both"/>
      </w:pPr>
      <w:r>
        <w:rPr>
          <w:rFonts w:eastAsia="Arial"/>
          <w:sz w:val="22"/>
        </w:rPr>
        <w:t>تجمع الدراسة بين الحوكمة الصحية والشفافية والكفاءة الإدارية في نموذج كمي واحد، في حين تناولت غالبية الدراسات السابقة أحد هذه المفاهيم منفرداً أو ضمن سياق إصلاحي عام.</w:t>
      </w:r>
    </w:p>
    <w:p w14:paraId="374C8556" w14:textId="77777777" w:rsidR="003D1B66" w:rsidRDefault="003D1B66" w:rsidP="003D1B66">
      <w:pPr>
        <w:pStyle w:val="a0"/>
        <w:numPr>
          <w:ilvl w:val="0"/>
          <w:numId w:val="1"/>
        </w:numPr>
        <w:bidi/>
        <w:spacing w:after="120" w:line="360" w:lineRule="auto"/>
        <w:ind w:firstLine="0"/>
        <w:jc w:val="both"/>
      </w:pPr>
      <w:r>
        <w:rPr>
          <w:rFonts w:eastAsia="Arial"/>
          <w:sz w:val="22"/>
        </w:rPr>
        <w:t>تُكيف أبعاد الحوكمة الدولية مع البيئة التنظيمية السعودية، وتربطها بالتجمعات الصحية والتحول المؤسسي وحوكمة البيانات وتداخل الأدوار.</w:t>
      </w:r>
    </w:p>
    <w:p w14:paraId="0DA410C8" w14:textId="77777777" w:rsidR="003D1B66" w:rsidRDefault="003D1B66" w:rsidP="003D1B66">
      <w:pPr>
        <w:pStyle w:val="a0"/>
        <w:numPr>
          <w:ilvl w:val="0"/>
          <w:numId w:val="1"/>
        </w:numPr>
        <w:bidi/>
        <w:spacing w:after="120" w:line="360" w:lineRule="auto"/>
        <w:ind w:firstLine="0"/>
        <w:jc w:val="both"/>
      </w:pPr>
      <w:r>
        <w:rPr>
          <w:rFonts w:eastAsia="Arial"/>
          <w:sz w:val="22"/>
        </w:rPr>
        <w:t>تعتمد على آراء فئات متنوعة تشمل القيادات والكوادر الإدارية والمهنية والسريرية والمساندة، بدلاً من الاقتصار على القيادات العليا أو المرضى أو مؤسسة واحدة.</w:t>
      </w:r>
    </w:p>
    <w:p w14:paraId="6A2488A5" w14:textId="77777777" w:rsidR="003D1B66" w:rsidRDefault="003D1B66" w:rsidP="003D1B66">
      <w:pPr>
        <w:pStyle w:val="a0"/>
        <w:numPr>
          <w:ilvl w:val="0"/>
          <w:numId w:val="1"/>
        </w:numPr>
        <w:bidi/>
        <w:spacing w:after="120" w:line="360" w:lineRule="auto"/>
        <w:ind w:firstLine="0"/>
        <w:jc w:val="both"/>
      </w:pPr>
      <w:r>
        <w:rPr>
          <w:rFonts w:eastAsia="Arial"/>
          <w:sz w:val="22"/>
        </w:rPr>
        <w:t>تقيس الممارسات الفعلية القابلة للإدراك، مثل وضوح الصلاحيات والمساءلة والمشاركة والنزاهة والرقابة والمعلومات، ولا تكتفي بوجود اللوائح والهياكل الرسمية.</w:t>
      </w:r>
    </w:p>
    <w:p w14:paraId="169B006E" w14:textId="77777777" w:rsidR="003D1B66" w:rsidRDefault="003D1B66" w:rsidP="003D1B66">
      <w:pPr>
        <w:pStyle w:val="a0"/>
        <w:numPr>
          <w:ilvl w:val="0"/>
          <w:numId w:val="1"/>
        </w:numPr>
        <w:bidi/>
        <w:spacing w:after="120" w:line="360" w:lineRule="auto"/>
        <w:ind w:firstLine="0"/>
        <w:jc w:val="both"/>
      </w:pPr>
      <w:r>
        <w:rPr>
          <w:rFonts w:eastAsia="Arial"/>
          <w:sz w:val="22"/>
        </w:rPr>
        <w:t>تقدم تحليلاً متكاملاً للبيانات يشمل وصف العينة والبنود والأبعاد والثبات والعلاقات والانحدار والتحديات، وتنتهي بخطة تنفيذية قابلة للمتابعة داخل المؤسسات الصحية.</w:t>
      </w:r>
    </w:p>
    <w:p w14:paraId="536C314F" w14:textId="77777777" w:rsidR="003D1B66" w:rsidRDefault="003D1B66" w:rsidP="003D1B66">
      <w:pPr>
        <w:pStyle w:val="1"/>
        <w:bidi/>
        <w:jc w:val="both"/>
      </w:pPr>
      <w:r>
        <w:rPr>
          <w:rFonts w:ascii="Arial" w:eastAsia="Arial" w:hAnsi="Arial" w:cs="Arial"/>
        </w:rPr>
        <w:t>2-3</w:t>
      </w:r>
      <w:r>
        <w:rPr>
          <w:rFonts w:ascii="Arial" w:eastAsia="Arial" w:hAnsi="Arial" w:cs="Arial"/>
          <w:rtl/>
        </w:rPr>
        <w:t xml:space="preserve"> الإطار النظري</w:t>
      </w:r>
    </w:p>
    <w:p w14:paraId="78AC8A20" w14:textId="77777777" w:rsidR="003D1B66" w:rsidRDefault="003D1B66" w:rsidP="003D1B66">
      <w:pPr>
        <w:pStyle w:val="21"/>
        <w:bidi/>
        <w:jc w:val="both"/>
      </w:pPr>
      <w:r>
        <w:rPr>
          <w:rFonts w:ascii="Arial" w:eastAsia="Arial" w:hAnsi="Arial" w:cs="Arial"/>
        </w:rPr>
        <w:t>2-3-1</w:t>
      </w:r>
      <w:r>
        <w:rPr>
          <w:rFonts w:ascii="Arial" w:eastAsia="Arial" w:hAnsi="Arial" w:cs="Arial"/>
          <w:rtl/>
        </w:rPr>
        <w:t xml:space="preserve"> الأسس النظرية للحوكمة الصحية</w:t>
      </w:r>
    </w:p>
    <w:p w14:paraId="0E3BD315" w14:textId="77777777" w:rsidR="003D1B66" w:rsidRDefault="003D1B66" w:rsidP="003D1B66">
      <w:pPr>
        <w:pStyle w:val="31"/>
        <w:bidi/>
        <w:jc w:val="both"/>
      </w:pPr>
      <w:r>
        <w:rPr>
          <w:rFonts w:ascii="Arial" w:eastAsia="Arial" w:hAnsi="Arial" w:cs="Arial"/>
        </w:rPr>
        <w:t>2-3-1-1</w:t>
      </w:r>
      <w:r>
        <w:rPr>
          <w:rFonts w:ascii="Arial" w:eastAsia="Arial" w:hAnsi="Arial" w:cs="Arial"/>
          <w:rtl/>
        </w:rPr>
        <w:t xml:space="preserve"> مفهوم الحوكمة وتطورها</w:t>
      </w:r>
    </w:p>
    <w:p w14:paraId="281D7E02" w14:textId="77777777" w:rsidR="003D1B66" w:rsidRDefault="003D1B66" w:rsidP="003D1B66">
      <w:pPr>
        <w:bidi/>
        <w:spacing w:after="120" w:line="360" w:lineRule="auto"/>
        <w:ind w:firstLine="397"/>
        <w:jc w:val="both"/>
      </w:pPr>
      <w:r>
        <w:rPr>
          <w:rFonts w:eastAsia="Arial"/>
          <w:rtl/>
        </w:rPr>
        <w:t>ظهر مفهوم الحوكمة في الأدبيات الاقتصادية والإدارية بوصفه استجابة للحاجة إلى ضبط العلاقة بين من يملكون الموارد أو يفوضون الصلاحيات، وبين من يتولون إدارة تلك الموارد واتخاذ القرارات بشأنها. ثم توسع استخدام المفهوم من نطاق الشركات إلى الإدارة العامة والمؤسسات غير الربحية والقطاعات الخدمية، وأصبح يعبر عن الطريقة التي تُمارس بها السلطة، وتُصنع بها القرارات، وتُحدد بها المسؤوليات، وتُراقب بها النتائج. ويعكس هذا التطور انتقال الاهتمام من سؤال: من يدير المؤسسة؟ إلى أسئلة أوسع، مثل: وفق أي قواعد تُدار؟ ومن يشارك في القرار؟ ولمن تُقدم التفسيرات؟ وما النتائج المترتبة على الأداء أو التقصير؟</w:t>
      </w:r>
    </w:p>
    <w:p w14:paraId="0E77E11B" w14:textId="77777777" w:rsidR="003D1B66" w:rsidRDefault="003D1B66" w:rsidP="003D1B66">
      <w:pPr>
        <w:bidi/>
        <w:spacing w:after="120" w:line="360" w:lineRule="auto"/>
        <w:ind w:firstLine="397"/>
        <w:jc w:val="both"/>
      </w:pPr>
      <w:r>
        <w:rPr>
          <w:rFonts w:eastAsia="Arial"/>
          <w:rtl/>
        </w:rPr>
        <w:lastRenderedPageBreak/>
        <w:t>تقوم الحوكمة على افتراض أساسي مؤداه أن الهياكل التنظيمية وحدها لا تكفي لضمان الأداء الجيد، وأن جودة المؤسسة تعتمد على وضوح القواعد الرسمية وغير الرسمية التي تضبط سلوك الفاعلين. ويؤكد التحليل المؤسسي أن الحوكمة تتجسد في القواعد والحوافز والتوقعات التي تشكل التفاعلات بين الأطراف، وليس في الوثائق التنظيمية فقط. ولذلك قد تتشابه مؤسستان في هيكلهما الرسمي، بينما تختلفان بدرجة كبيرة في الشفافية والمساءلة وكفاءة القرار نتيجة اختلاف الثقافة المؤسسية، واستقلال الرقابة، وتدفق المعلومات، ومدى تطبيق القواعد فعلياً.</w:t>
      </w:r>
    </w:p>
    <w:p w14:paraId="28037C23" w14:textId="77777777" w:rsidR="003D1B66" w:rsidRDefault="003D1B66" w:rsidP="003D1B66">
      <w:pPr>
        <w:bidi/>
        <w:spacing w:after="120" w:line="360" w:lineRule="auto"/>
        <w:ind w:firstLine="397"/>
        <w:jc w:val="both"/>
      </w:pPr>
      <w:r>
        <w:rPr>
          <w:rFonts w:eastAsia="Arial"/>
          <w:rtl/>
        </w:rPr>
        <w:t>أما الحوكمة الجيدة فتشير إلى مجموعة من الخصائص المعيارية التي يُتوقع أن تجعل ممارسة السلطة أكثر مشروعية وفعالية، مثل الشفافية، والمساءلة، والمشاركة، وسيادة الأنظمة، والنزاهة، والاستجابة، والعدالة، والفعالية والكفاءة. ولا يعني وصف الحوكمة بالجيدة وجود نموذج واحد يصلح لجميع المؤسسات، لأن ترتيب الأولويات والآليات يتأثر بالسياق القانوني والاقتصادي والاجتماعي وبطبيعة المخاطر والخدمات المقدمة. ولهذا ينبغي عند تقييم الحوكمة الجمع بين المبادئ العامة وبين فهم السياق الذي تُطبق فيه.</w:t>
      </w:r>
    </w:p>
    <w:p w14:paraId="28BE0E74" w14:textId="77777777" w:rsidR="003D1B66" w:rsidRDefault="003D1B66" w:rsidP="003D1B66">
      <w:pPr>
        <w:bidi/>
        <w:spacing w:after="120" w:line="360" w:lineRule="auto"/>
        <w:ind w:firstLine="397"/>
        <w:jc w:val="both"/>
      </w:pPr>
      <w:r>
        <w:rPr>
          <w:rFonts w:eastAsia="Arial"/>
          <w:rtl/>
        </w:rPr>
        <w:t>في القطاع العام، ترتبط الحوكمة كذلك بقيمة المال العام، وعدالة توزيع الخدمات، وقدرة المواطن على معرفة ما تُقرره الجهة العامة وكيف تُنفق مواردها وكيف تقيس نتائجها. وفي القطاعات عالية الحساسية كالصحة، تتسع دائرة المسؤولية لتشمل سلامة المرضى، وأخلاقيات الممارسة، وسرية المعلومات، والاستجابة للاحتياجات الصحية، وضمان عدم تحول الضغوط المالية إلى قرارات تضر بجودة الرعاية أو عدالتها.</w:t>
      </w:r>
    </w:p>
    <w:p w14:paraId="1E3D3369" w14:textId="77777777" w:rsidR="003D1B66" w:rsidRDefault="003D1B66" w:rsidP="003D1B66">
      <w:pPr>
        <w:pStyle w:val="31"/>
        <w:bidi/>
        <w:jc w:val="both"/>
      </w:pPr>
      <w:r>
        <w:rPr>
          <w:rFonts w:ascii="Arial" w:eastAsia="Arial" w:hAnsi="Arial" w:cs="Arial"/>
        </w:rPr>
        <w:t>2-3-1-2</w:t>
      </w:r>
      <w:r>
        <w:rPr>
          <w:rFonts w:ascii="Arial" w:eastAsia="Arial" w:hAnsi="Arial" w:cs="Arial"/>
          <w:rtl/>
        </w:rPr>
        <w:t xml:space="preserve"> مفهوم الحوكمة الصحية وخصائصها</w:t>
      </w:r>
    </w:p>
    <w:p w14:paraId="2CEA109F" w14:textId="77777777" w:rsidR="003D1B66" w:rsidRDefault="003D1B66" w:rsidP="003D1B66">
      <w:pPr>
        <w:bidi/>
        <w:spacing w:after="120" w:line="360" w:lineRule="auto"/>
        <w:ind w:firstLine="397"/>
        <w:jc w:val="both"/>
      </w:pPr>
      <w:r>
        <w:rPr>
          <w:rFonts w:eastAsia="Arial"/>
          <w:rtl/>
        </w:rPr>
        <w:t>تعرّف الحوكمة الصحية بأنها المنظومة التي تضم القواعد والهياكل والعمليات والعلاقات المستخدمة لتوجيه النظام الصحي أو المؤسسة الصحية، ومراقبة أدائها، وضمان مساءلة القائمين عليها عن القرارات والموارد والنتائج. ووفق منظمة الصحة العالمية، تشمل الحوكمة الصحية الإشراف الاستراتيجي، وبناء التحالفات، والتنظيم، وتصميم الحوافز، ومتابعة الأداء، وضمان المساءلة، بما يساعد على تقديم خدمات متاحة وعادلة وفعالة وميسورة التكلفة وعالية الجودة (</w:t>
      </w:r>
      <w:r>
        <w:rPr>
          <w:rFonts w:eastAsia="Arial"/>
        </w:rPr>
        <w:t>WHO, n.d</w:t>
      </w:r>
      <w:r>
        <w:rPr>
          <w:rFonts w:eastAsia="Arial"/>
          <w:rtl/>
        </w:rPr>
        <w:t>.).</w:t>
      </w:r>
    </w:p>
    <w:p w14:paraId="2A8C768F" w14:textId="77777777" w:rsidR="003D1B66" w:rsidRDefault="003D1B66" w:rsidP="003D1B66">
      <w:pPr>
        <w:bidi/>
        <w:spacing w:after="120" w:line="360" w:lineRule="auto"/>
        <w:ind w:firstLine="397"/>
        <w:jc w:val="both"/>
      </w:pPr>
      <w:r>
        <w:rPr>
          <w:rFonts w:eastAsia="Arial"/>
          <w:rtl/>
        </w:rPr>
        <w:t>وتُستخدم الحوكمة الصحية بمستويين مترابطين. يشير المستوى الأول إلى حوكمة النظام الصحي ككل، بما يشمل السياسات الوطنية والتشريعات والتمويل وتوزيع الأدوار بين الجهات العامة والخاصة وآليات التنسيق بينها. أما المستوى الثاني فيشير إلى الحوكمة المؤسسية داخل المستشفيات والمجمعات الصحية والمراكز والهيئات، بما يتضمن دور مجالس الإدارة والقيادات التنفيذية واللجان الرقابية والسريرية، وإدارة المخاطر والجودة والموارد والبيانات. ويؤثر كل مستوى في الآخر؛ فوضوح الحوكمة الوطنية يسهل حوكمة المؤسسات، بينما توفر المؤسسات ذات الحوكمة الناضجة معلومات ونتائج تعزز صنع السياسات على المستوى الوطني.</w:t>
      </w:r>
    </w:p>
    <w:p w14:paraId="69AD1AC6" w14:textId="77777777" w:rsidR="003D1B66" w:rsidRDefault="003D1B66" w:rsidP="003D1B66">
      <w:pPr>
        <w:bidi/>
        <w:spacing w:after="120" w:line="360" w:lineRule="auto"/>
        <w:ind w:firstLine="397"/>
        <w:jc w:val="both"/>
      </w:pPr>
      <w:r>
        <w:rPr>
          <w:rFonts w:eastAsia="Arial"/>
          <w:rtl/>
        </w:rPr>
        <w:t>تمتاز الحوكمة الصحية عن غيرها بأنها تجمع بين أبعاد إدارية ومالية وسريرية وأخلاقية. فإلى جانب الرقابة على الميزانية والموارد البشرية، يجب أن تتعامل مع جودة الرعاية، وسلامة المرضى، والاعتماد المهني، واستقلال القرار السريري، وحماية البيانات، وتعارض المصالح. كما أن تعدد التخصصات الصحية وارتفاع عدم تماثل المعلومات بين مقدم الخدمة والمستفيد يجعل المساءلة أكثر تعقيداً، إذ لا يستطيع المريض غالباً تقييم الجودة الفنية للخدمة من دون مؤشرات موثوقة أو جهات رقابية مستقلة.</w:t>
      </w:r>
    </w:p>
    <w:p w14:paraId="30E8FB11" w14:textId="77777777" w:rsidR="003D1B66" w:rsidRDefault="003D1B66" w:rsidP="003D1B66">
      <w:pPr>
        <w:bidi/>
        <w:spacing w:after="120" w:line="360" w:lineRule="auto"/>
        <w:ind w:firstLine="397"/>
        <w:jc w:val="both"/>
      </w:pPr>
      <w:r>
        <w:rPr>
          <w:rFonts w:eastAsia="Arial"/>
          <w:rtl/>
        </w:rPr>
        <w:t>ومن خصائص الحوكمة الصحية الفعالة: وضوح الرؤية والأهداف؛ تحديد الأدوار ومنع التداخل؛ توفر المعلومات الدقيقة في الوقت المناسب؛ وجود آليات مستقلة للمراجعة والتدقيق؛ ربط الصلاحية بالمسؤولية؛ إشراك المهنيين والمستفيدين في القضايا الملائمة؛ إدارة المخاطر السريرية والمالية والتقنية؛ والقدرة على التعلم من النتائج والشكاوى والحوادث. وتتحول هذه الخصائص إلى ممارسات قابلة للقياس من خلال مؤشرات مثل نشر السياسات والتقارير، انتظام مراجعة الأداء، وجود سجل للمخاطر، وضوح التفويض، سرعة معالجة الشكاوى، ونسبة تنفيذ القرارات التصحيحية.</w:t>
      </w:r>
    </w:p>
    <w:p w14:paraId="74F48C8C" w14:textId="77777777" w:rsidR="003D1B66" w:rsidRDefault="003D1B66" w:rsidP="003D1B66">
      <w:pPr>
        <w:pStyle w:val="31"/>
        <w:bidi/>
        <w:jc w:val="both"/>
      </w:pPr>
      <w:r>
        <w:rPr>
          <w:rFonts w:ascii="Arial" w:eastAsia="Arial" w:hAnsi="Arial" w:cs="Arial"/>
        </w:rPr>
        <w:lastRenderedPageBreak/>
        <w:t>2-3-1-3</w:t>
      </w:r>
      <w:r>
        <w:rPr>
          <w:rFonts w:ascii="Arial" w:eastAsia="Arial" w:hAnsi="Arial" w:cs="Arial"/>
          <w:rtl/>
        </w:rPr>
        <w:t xml:space="preserve"> التمييز بين الحوكمة والإدارة والقيادة</w:t>
      </w:r>
    </w:p>
    <w:p w14:paraId="64C0BABD" w14:textId="77777777" w:rsidR="003D1B66" w:rsidRDefault="003D1B66" w:rsidP="003D1B66">
      <w:pPr>
        <w:bidi/>
        <w:spacing w:after="120" w:line="360" w:lineRule="auto"/>
        <w:ind w:firstLine="397"/>
        <w:jc w:val="both"/>
      </w:pPr>
      <w:r>
        <w:rPr>
          <w:rFonts w:eastAsia="Arial"/>
          <w:rtl/>
        </w:rPr>
        <w:t>كثيراً ما تُستخدم مفاهيم الحوكمة والإدارة والقيادة بصورة متداخلة، مع أن لكل منها وظيفة متميزة. فالـحوكمة تحدد الاتجاه العام والقواعد وحدود الصلاحيات والمسؤوليات، وتجيب عن سؤال: من يملك حق اتخاذ القرار، وعلى أي أساس، وكيف تتم المساءلة؟ أما الإدارة فتهتم بتحويل الاتجاه والسياسات إلى خطط وعمليات وموارد وأنشطة يومية، بينما تركز القيادة على التأثير في الأفراد وبناء الالتزام وتحفيز التغيير وتحقيق التوافق حول الغايات.</w:t>
      </w:r>
    </w:p>
    <w:p w14:paraId="50C8C372" w14:textId="77777777" w:rsidR="003D1B66" w:rsidRDefault="003D1B66" w:rsidP="003D1B66">
      <w:pPr>
        <w:bidi/>
        <w:spacing w:after="120" w:line="360" w:lineRule="auto"/>
        <w:ind w:firstLine="397"/>
        <w:jc w:val="both"/>
      </w:pPr>
      <w:r>
        <w:rPr>
          <w:rFonts w:eastAsia="Arial"/>
          <w:rtl/>
        </w:rPr>
        <w:t>لا تعني قوة الحوكمة تقييد الإدارة أو إبطاء القرار، بل يفترض أن تمنح الإدارة مساحة عمل واضحة ضمن حدود معروفة، وأن تحدد القرارات التي تحتاج إلى تصعيد أو موافقة أو إفصاح. فالحوكمة الضعيفة قد تؤدي إلى تدخل مجالس الإدارة في التفاصيل التشغيلية، أو إلى منح الإدارة التنفيذية صلاحيات واسعة من دون رقابة أو مؤشرات أداء، بينما تحقق الحوكمة الناضجة توازناً بين الاستقلال التنفيذي والرقابة الاستراتيجية.</w:t>
      </w:r>
    </w:p>
    <w:p w14:paraId="40FEBDA3" w14:textId="77777777" w:rsidR="003D1B66" w:rsidRDefault="003D1B66" w:rsidP="003D1B66">
      <w:pPr>
        <w:bidi/>
        <w:spacing w:after="120" w:line="360" w:lineRule="auto"/>
        <w:ind w:firstLine="397"/>
        <w:jc w:val="both"/>
      </w:pPr>
      <w:r>
        <w:rPr>
          <w:rFonts w:eastAsia="Arial"/>
          <w:rtl/>
        </w:rPr>
        <w:t>في المؤسسة الصحية، يضطلع مجلس الإدارة أو الجهة الحاكمة بمسؤوليات مثل اعتماد الاستراتيجية، ومتابعة الجودة والسلامة، وإقرار الأطر المالية وإدارة المخاطر، ومساءلة الإدارة التنفيذية. وتقوم الإدارة التنفيذية بتشغيل الخدمات وتوزيع الموارد وتنفيذ السياسات، في حين تؤثر القيادة السريرية والإدارية في ثقافة العمل وسلوك الفرق. ومن ثم فإن تحسين الأداء يتطلب تكاملاً بين الحوكمة التي تضبط النظام، والإدارة التي تدير العمليات، والقيادة التي تحرك الأفراد.</w:t>
      </w:r>
    </w:p>
    <w:p w14:paraId="07BDEC29" w14:textId="77777777" w:rsidR="003D1B66" w:rsidRDefault="003D1B66" w:rsidP="003D1B66">
      <w:pPr>
        <w:keepNext/>
        <w:bidi/>
        <w:spacing w:before="120" w:after="80"/>
        <w:jc w:val="both"/>
        <w:rPr>
          <w:rFonts w:eastAsia="Arial"/>
          <w:b/>
          <w:sz w:val="24"/>
          <w:rtl/>
        </w:rPr>
      </w:pPr>
    </w:p>
    <w:p w14:paraId="1C19A17C" w14:textId="77777777" w:rsidR="003D1B66" w:rsidRDefault="003D1B66" w:rsidP="003D1B66">
      <w:pPr>
        <w:keepNext/>
        <w:bidi/>
        <w:spacing w:before="120" w:after="80"/>
        <w:jc w:val="both"/>
        <w:rPr>
          <w:rFonts w:eastAsia="Arial"/>
          <w:b/>
          <w:sz w:val="24"/>
          <w:rtl/>
        </w:rPr>
      </w:pPr>
    </w:p>
    <w:p w14:paraId="1E54DB8E" w14:textId="77777777" w:rsidR="003D1B66" w:rsidRDefault="003D1B66" w:rsidP="003D1B66">
      <w:pPr>
        <w:keepNext/>
        <w:bidi/>
        <w:spacing w:before="120" w:after="80"/>
        <w:jc w:val="both"/>
      </w:pPr>
      <w:r>
        <w:rPr>
          <w:rFonts w:eastAsia="Arial"/>
          <w:b/>
          <w:sz w:val="24"/>
          <w:rtl/>
        </w:rPr>
        <w:t>جدول (</w:t>
      </w:r>
      <w:r>
        <w:rPr>
          <w:rFonts w:eastAsia="Arial"/>
          <w:b/>
          <w:sz w:val="24"/>
        </w:rPr>
        <w:t>6</w:t>
      </w:r>
      <w:r>
        <w:rPr>
          <w:rFonts w:eastAsia="Arial"/>
          <w:b/>
          <w:sz w:val="24"/>
          <w:rtl/>
        </w:rPr>
        <w:t>): التمييز بين الحوكمة والإدارة والقيادة</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2233"/>
        <w:gridCol w:w="2232"/>
        <w:gridCol w:w="2232"/>
        <w:gridCol w:w="2231"/>
      </w:tblGrid>
      <w:tr w:rsidR="003D1B66" w14:paraId="1F6A108E" w14:textId="77777777" w:rsidTr="000B46B5">
        <w:trPr>
          <w:tblHeader/>
          <w:jc w:val="center"/>
        </w:trPr>
        <w:tc>
          <w:tcPr>
            <w:tcW w:w="2232" w:type="dxa"/>
            <w:shd w:val="clear" w:color="auto" w:fill="F2F2F2" w:themeFill="background1" w:themeFillShade="F2"/>
            <w:vAlign w:val="center"/>
          </w:tcPr>
          <w:p w14:paraId="38779155" w14:textId="77777777" w:rsidR="003D1B66" w:rsidRDefault="003D1B66" w:rsidP="000B46B5">
            <w:pPr>
              <w:bidi/>
              <w:spacing w:after="0" w:line="240" w:lineRule="auto"/>
              <w:jc w:val="both"/>
            </w:pPr>
            <w:r>
              <w:rPr>
                <w:rFonts w:eastAsia="Arial"/>
                <w:b/>
                <w:sz w:val="21"/>
                <w:rtl/>
              </w:rPr>
              <w:t>البعد</w:t>
            </w:r>
          </w:p>
        </w:tc>
        <w:tc>
          <w:tcPr>
            <w:tcW w:w="2232" w:type="dxa"/>
            <w:shd w:val="clear" w:color="auto" w:fill="F2F2F2" w:themeFill="background1" w:themeFillShade="F2"/>
            <w:vAlign w:val="center"/>
          </w:tcPr>
          <w:p w14:paraId="5E0F2CF0" w14:textId="77777777" w:rsidR="003D1B66" w:rsidRDefault="003D1B66" w:rsidP="000B46B5">
            <w:pPr>
              <w:bidi/>
              <w:spacing w:after="0" w:line="240" w:lineRule="auto"/>
              <w:jc w:val="both"/>
            </w:pPr>
            <w:r>
              <w:rPr>
                <w:rFonts w:eastAsia="Arial"/>
                <w:b/>
                <w:sz w:val="21"/>
                <w:rtl/>
              </w:rPr>
              <w:t>الحوكمة</w:t>
            </w:r>
          </w:p>
        </w:tc>
        <w:tc>
          <w:tcPr>
            <w:tcW w:w="2232" w:type="dxa"/>
            <w:shd w:val="clear" w:color="auto" w:fill="F2F2F2" w:themeFill="background1" w:themeFillShade="F2"/>
            <w:vAlign w:val="center"/>
          </w:tcPr>
          <w:p w14:paraId="073BE2D6" w14:textId="77777777" w:rsidR="003D1B66" w:rsidRDefault="003D1B66" w:rsidP="000B46B5">
            <w:pPr>
              <w:bidi/>
              <w:spacing w:after="0" w:line="240" w:lineRule="auto"/>
              <w:jc w:val="both"/>
            </w:pPr>
            <w:r>
              <w:rPr>
                <w:rFonts w:eastAsia="Arial"/>
                <w:b/>
                <w:sz w:val="21"/>
                <w:rtl/>
              </w:rPr>
              <w:t>الإدارة</w:t>
            </w:r>
          </w:p>
        </w:tc>
        <w:tc>
          <w:tcPr>
            <w:tcW w:w="2231" w:type="dxa"/>
            <w:shd w:val="clear" w:color="auto" w:fill="F2F2F2" w:themeFill="background1" w:themeFillShade="F2"/>
            <w:vAlign w:val="center"/>
          </w:tcPr>
          <w:p w14:paraId="1F79D195" w14:textId="77777777" w:rsidR="003D1B66" w:rsidRDefault="003D1B66" w:rsidP="000B46B5">
            <w:pPr>
              <w:bidi/>
              <w:spacing w:after="0" w:line="240" w:lineRule="auto"/>
              <w:jc w:val="both"/>
            </w:pPr>
            <w:r>
              <w:rPr>
                <w:rFonts w:eastAsia="Arial"/>
                <w:b/>
                <w:sz w:val="21"/>
                <w:rtl/>
              </w:rPr>
              <w:t>القيادة</w:t>
            </w:r>
          </w:p>
        </w:tc>
      </w:tr>
      <w:tr w:rsidR="003D1B66" w14:paraId="5B719879" w14:textId="77777777" w:rsidTr="000B46B5">
        <w:trPr>
          <w:jc w:val="center"/>
        </w:trPr>
        <w:tc>
          <w:tcPr>
            <w:tcW w:w="2232" w:type="dxa"/>
            <w:shd w:val="clear" w:color="auto" w:fill="F2F2F2" w:themeFill="background1" w:themeFillShade="F2"/>
            <w:vAlign w:val="center"/>
          </w:tcPr>
          <w:p w14:paraId="4309DFBE" w14:textId="77777777" w:rsidR="003D1B66" w:rsidRDefault="003D1B66" w:rsidP="000B46B5">
            <w:pPr>
              <w:bidi/>
              <w:spacing w:after="0" w:line="240" w:lineRule="auto"/>
              <w:jc w:val="both"/>
            </w:pPr>
            <w:r>
              <w:rPr>
                <w:rFonts w:eastAsia="Arial"/>
                <w:sz w:val="21"/>
                <w:rtl/>
              </w:rPr>
              <w:t>السؤال الرئيس</w:t>
            </w:r>
          </w:p>
        </w:tc>
        <w:tc>
          <w:tcPr>
            <w:tcW w:w="2232" w:type="dxa"/>
            <w:shd w:val="clear" w:color="auto" w:fill="F2F2F2" w:themeFill="background1" w:themeFillShade="F2"/>
            <w:vAlign w:val="center"/>
          </w:tcPr>
          <w:p w14:paraId="6CD952CA" w14:textId="77777777" w:rsidR="003D1B66" w:rsidRDefault="003D1B66" w:rsidP="000B46B5">
            <w:pPr>
              <w:bidi/>
              <w:spacing w:after="0" w:line="240" w:lineRule="auto"/>
              <w:jc w:val="center"/>
            </w:pPr>
            <w:r>
              <w:rPr>
                <w:rFonts w:eastAsia="Arial"/>
                <w:sz w:val="21"/>
                <w:rtl/>
              </w:rPr>
              <w:t>من يقرر؟ وما قواعد القرار والمساءلة؟</w:t>
            </w:r>
          </w:p>
        </w:tc>
        <w:tc>
          <w:tcPr>
            <w:tcW w:w="2232" w:type="dxa"/>
            <w:shd w:val="clear" w:color="auto" w:fill="F2F2F2" w:themeFill="background1" w:themeFillShade="F2"/>
            <w:vAlign w:val="center"/>
          </w:tcPr>
          <w:p w14:paraId="6849F642" w14:textId="77777777" w:rsidR="003D1B66" w:rsidRDefault="003D1B66" w:rsidP="000B46B5">
            <w:pPr>
              <w:bidi/>
              <w:spacing w:after="0" w:line="240" w:lineRule="auto"/>
              <w:jc w:val="center"/>
            </w:pPr>
            <w:r>
              <w:rPr>
                <w:rFonts w:eastAsia="Arial"/>
                <w:sz w:val="21"/>
                <w:rtl/>
              </w:rPr>
              <w:t>كيف تُنفذ القرارات وتُدار الموارد؟</w:t>
            </w:r>
          </w:p>
        </w:tc>
        <w:tc>
          <w:tcPr>
            <w:tcW w:w="2231" w:type="dxa"/>
            <w:shd w:val="clear" w:color="auto" w:fill="F2F2F2" w:themeFill="background1" w:themeFillShade="F2"/>
            <w:vAlign w:val="center"/>
          </w:tcPr>
          <w:p w14:paraId="78792AF3" w14:textId="77777777" w:rsidR="003D1B66" w:rsidRDefault="003D1B66" w:rsidP="000B46B5">
            <w:pPr>
              <w:bidi/>
              <w:spacing w:after="0" w:line="240" w:lineRule="auto"/>
              <w:jc w:val="center"/>
            </w:pPr>
            <w:r>
              <w:rPr>
                <w:rFonts w:eastAsia="Arial"/>
                <w:sz w:val="21"/>
                <w:rtl/>
              </w:rPr>
              <w:t>كيف يُحفَّز الأفراد ويُقاد التغيير؟</w:t>
            </w:r>
          </w:p>
        </w:tc>
      </w:tr>
      <w:tr w:rsidR="003D1B66" w14:paraId="74352EDA" w14:textId="77777777" w:rsidTr="000B46B5">
        <w:trPr>
          <w:jc w:val="center"/>
        </w:trPr>
        <w:tc>
          <w:tcPr>
            <w:tcW w:w="2232" w:type="dxa"/>
            <w:shd w:val="clear" w:color="auto" w:fill="F2F2F2" w:themeFill="background1" w:themeFillShade="F2"/>
            <w:vAlign w:val="center"/>
          </w:tcPr>
          <w:p w14:paraId="2FF33EE3" w14:textId="77777777" w:rsidR="003D1B66" w:rsidRDefault="003D1B66" w:rsidP="000B46B5">
            <w:pPr>
              <w:bidi/>
              <w:spacing w:after="0" w:line="240" w:lineRule="auto"/>
              <w:jc w:val="both"/>
            </w:pPr>
            <w:r>
              <w:rPr>
                <w:rFonts w:eastAsia="Arial"/>
                <w:sz w:val="21"/>
                <w:rtl/>
              </w:rPr>
              <w:t>النطاق</w:t>
            </w:r>
          </w:p>
        </w:tc>
        <w:tc>
          <w:tcPr>
            <w:tcW w:w="2232" w:type="dxa"/>
            <w:shd w:val="clear" w:color="auto" w:fill="F2F2F2" w:themeFill="background1" w:themeFillShade="F2"/>
            <w:vAlign w:val="center"/>
          </w:tcPr>
          <w:p w14:paraId="21C057A5" w14:textId="77777777" w:rsidR="003D1B66" w:rsidRDefault="003D1B66" w:rsidP="000B46B5">
            <w:pPr>
              <w:bidi/>
              <w:spacing w:after="0" w:line="240" w:lineRule="auto"/>
              <w:jc w:val="center"/>
            </w:pPr>
            <w:r>
              <w:rPr>
                <w:rFonts w:eastAsia="Arial"/>
                <w:sz w:val="21"/>
                <w:rtl/>
              </w:rPr>
              <w:t>استراتيجي ورقابي</w:t>
            </w:r>
          </w:p>
        </w:tc>
        <w:tc>
          <w:tcPr>
            <w:tcW w:w="2232" w:type="dxa"/>
            <w:shd w:val="clear" w:color="auto" w:fill="F2F2F2" w:themeFill="background1" w:themeFillShade="F2"/>
            <w:vAlign w:val="center"/>
          </w:tcPr>
          <w:p w14:paraId="6AEF0BDD" w14:textId="77777777" w:rsidR="003D1B66" w:rsidRDefault="003D1B66" w:rsidP="000B46B5">
            <w:pPr>
              <w:bidi/>
              <w:spacing w:after="0" w:line="240" w:lineRule="auto"/>
              <w:jc w:val="center"/>
            </w:pPr>
            <w:r>
              <w:rPr>
                <w:rFonts w:eastAsia="Arial"/>
                <w:sz w:val="21"/>
                <w:rtl/>
              </w:rPr>
              <w:t>تنفيذي وتشغيلي</w:t>
            </w:r>
          </w:p>
        </w:tc>
        <w:tc>
          <w:tcPr>
            <w:tcW w:w="2231" w:type="dxa"/>
            <w:shd w:val="clear" w:color="auto" w:fill="F2F2F2" w:themeFill="background1" w:themeFillShade="F2"/>
            <w:vAlign w:val="center"/>
          </w:tcPr>
          <w:p w14:paraId="6FA6FC97" w14:textId="77777777" w:rsidR="003D1B66" w:rsidRDefault="003D1B66" w:rsidP="000B46B5">
            <w:pPr>
              <w:bidi/>
              <w:spacing w:after="0" w:line="240" w:lineRule="auto"/>
              <w:jc w:val="center"/>
            </w:pPr>
            <w:r>
              <w:rPr>
                <w:rFonts w:eastAsia="Arial"/>
                <w:sz w:val="21"/>
                <w:rtl/>
              </w:rPr>
              <w:t>سلوكي وثقافي واستراتيجي</w:t>
            </w:r>
          </w:p>
        </w:tc>
      </w:tr>
      <w:tr w:rsidR="003D1B66" w14:paraId="42631D38" w14:textId="77777777" w:rsidTr="000B46B5">
        <w:trPr>
          <w:jc w:val="center"/>
        </w:trPr>
        <w:tc>
          <w:tcPr>
            <w:tcW w:w="2232" w:type="dxa"/>
            <w:shd w:val="clear" w:color="auto" w:fill="F2F2F2" w:themeFill="background1" w:themeFillShade="F2"/>
            <w:vAlign w:val="center"/>
          </w:tcPr>
          <w:p w14:paraId="37536718" w14:textId="77777777" w:rsidR="003D1B66" w:rsidRDefault="003D1B66" w:rsidP="000B46B5">
            <w:pPr>
              <w:bidi/>
              <w:spacing w:after="0" w:line="240" w:lineRule="auto"/>
              <w:jc w:val="both"/>
            </w:pPr>
            <w:r>
              <w:rPr>
                <w:rFonts w:eastAsia="Arial"/>
                <w:sz w:val="21"/>
                <w:rtl/>
              </w:rPr>
              <w:t>الأدوات</w:t>
            </w:r>
          </w:p>
        </w:tc>
        <w:tc>
          <w:tcPr>
            <w:tcW w:w="2232" w:type="dxa"/>
            <w:shd w:val="clear" w:color="auto" w:fill="F2F2F2" w:themeFill="background1" w:themeFillShade="F2"/>
            <w:vAlign w:val="center"/>
          </w:tcPr>
          <w:p w14:paraId="15A6CDFA" w14:textId="77777777" w:rsidR="003D1B66" w:rsidRDefault="003D1B66" w:rsidP="000B46B5">
            <w:pPr>
              <w:bidi/>
              <w:spacing w:after="0" w:line="240" w:lineRule="auto"/>
              <w:jc w:val="center"/>
            </w:pPr>
            <w:r>
              <w:rPr>
                <w:rFonts w:eastAsia="Arial"/>
                <w:sz w:val="21"/>
                <w:rtl/>
              </w:rPr>
              <w:t>السياسات، التفويض، اللجان، الرقابة، التقارير</w:t>
            </w:r>
          </w:p>
        </w:tc>
        <w:tc>
          <w:tcPr>
            <w:tcW w:w="2232" w:type="dxa"/>
            <w:shd w:val="clear" w:color="auto" w:fill="F2F2F2" w:themeFill="background1" w:themeFillShade="F2"/>
            <w:vAlign w:val="center"/>
          </w:tcPr>
          <w:p w14:paraId="3B38A385" w14:textId="77777777" w:rsidR="003D1B66" w:rsidRDefault="003D1B66" w:rsidP="000B46B5">
            <w:pPr>
              <w:bidi/>
              <w:spacing w:after="0" w:line="240" w:lineRule="auto"/>
              <w:jc w:val="center"/>
            </w:pPr>
            <w:r>
              <w:rPr>
                <w:rFonts w:eastAsia="Arial"/>
                <w:sz w:val="21"/>
                <w:rtl/>
              </w:rPr>
              <w:t>الخطط، الموازنات، الإجراءات، الجداول، مؤشرات التشغيل</w:t>
            </w:r>
          </w:p>
        </w:tc>
        <w:tc>
          <w:tcPr>
            <w:tcW w:w="2231" w:type="dxa"/>
            <w:shd w:val="clear" w:color="auto" w:fill="F2F2F2" w:themeFill="background1" w:themeFillShade="F2"/>
            <w:vAlign w:val="center"/>
          </w:tcPr>
          <w:p w14:paraId="06E60BE6" w14:textId="77777777" w:rsidR="003D1B66" w:rsidRDefault="003D1B66" w:rsidP="000B46B5">
            <w:pPr>
              <w:bidi/>
              <w:spacing w:after="0" w:line="240" w:lineRule="auto"/>
              <w:jc w:val="center"/>
            </w:pPr>
            <w:r>
              <w:rPr>
                <w:rFonts w:eastAsia="Arial"/>
                <w:sz w:val="21"/>
                <w:rtl/>
              </w:rPr>
              <w:t>الرؤية، التواصل، التأثير، بناء الثقة، إدارة التغيير</w:t>
            </w:r>
          </w:p>
        </w:tc>
      </w:tr>
      <w:tr w:rsidR="003D1B66" w14:paraId="3FB5E157" w14:textId="77777777" w:rsidTr="000B46B5">
        <w:trPr>
          <w:jc w:val="center"/>
        </w:trPr>
        <w:tc>
          <w:tcPr>
            <w:tcW w:w="2232" w:type="dxa"/>
            <w:shd w:val="clear" w:color="auto" w:fill="F2F2F2" w:themeFill="background1" w:themeFillShade="F2"/>
            <w:vAlign w:val="center"/>
          </w:tcPr>
          <w:p w14:paraId="6F64BCB1" w14:textId="77777777" w:rsidR="003D1B66" w:rsidRDefault="003D1B66" w:rsidP="000B46B5">
            <w:pPr>
              <w:bidi/>
              <w:spacing w:after="0" w:line="240" w:lineRule="auto"/>
              <w:jc w:val="both"/>
            </w:pPr>
            <w:r>
              <w:rPr>
                <w:rFonts w:eastAsia="Arial"/>
                <w:sz w:val="21"/>
                <w:rtl/>
              </w:rPr>
              <w:t>المخرجات</w:t>
            </w:r>
          </w:p>
        </w:tc>
        <w:tc>
          <w:tcPr>
            <w:tcW w:w="2232" w:type="dxa"/>
            <w:shd w:val="clear" w:color="auto" w:fill="F2F2F2" w:themeFill="background1" w:themeFillShade="F2"/>
            <w:vAlign w:val="center"/>
          </w:tcPr>
          <w:p w14:paraId="06A7B9DB" w14:textId="77777777" w:rsidR="003D1B66" w:rsidRDefault="003D1B66" w:rsidP="000B46B5">
            <w:pPr>
              <w:bidi/>
              <w:spacing w:after="0" w:line="240" w:lineRule="auto"/>
              <w:jc w:val="center"/>
            </w:pPr>
            <w:r>
              <w:rPr>
                <w:rFonts w:eastAsia="Arial"/>
                <w:sz w:val="21"/>
                <w:rtl/>
              </w:rPr>
              <w:t>وضوح السلطة والمسؤولية والمساءلة</w:t>
            </w:r>
          </w:p>
        </w:tc>
        <w:tc>
          <w:tcPr>
            <w:tcW w:w="2232" w:type="dxa"/>
            <w:shd w:val="clear" w:color="auto" w:fill="F2F2F2" w:themeFill="background1" w:themeFillShade="F2"/>
            <w:vAlign w:val="center"/>
          </w:tcPr>
          <w:p w14:paraId="6B91BB3B" w14:textId="77777777" w:rsidR="003D1B66" w:rsidRDefault="003D1B66" w:rsidP="000B46B5">
            <w:pPr>
              <w:bidi/>
              <w:spacing w:after="0" w:line="240" w:lineRule="auto"/>
              <w:jc w:val="center"/>
            </w:pPr>
            <w:r>
              <w:rPr>
                <w:rFonts w:eastAsia="Arial"/>
                <w:sz w:val="21"/>
                <w:rtl/>
              </w:rPr>
              <w:t>تنفيذ منظم وتحقيق أهداف تشغيلية</w:t>
            </w:r>
          </w:p>
        </w:tc>
        <w:tc>
          <w:tcPr>
            <w:tcW w:w="2231" w:type="dxa"/>
            <w:shd w:val="clear" w:color="auto" w:fill="F2F2F2" w:themeFill="background1" w:themeFillShade="F2"/>
            <w:vAlign w:val="center"/>
          </w:tcPr>
          <w:p w14:paraId="50C8BADF" w14:textId="77777777" w:rsidR="003D1B66" w:rsidRDefault="003D1B66" w:rsidP="000B46B5">
            <w:pPr>
              <w:bidi/>
              <w:spacing w:after="0" w:line="240" w:lineRule="auto"/>
              <w:jc w:val="center"/>
            </w:pPr>
            <w:r>
              <w:rPr>
                <w:rFonts w:eastAsia="Arial"/>
                <w:sz w:val="21"/>
                <w:rtl/>
              </w:rPr>
              <w:t>التزام وقدرة على التكيف والتعلم</w:t>
            </w:r>
          </w:p>
        </w:tc>
      </w:tr>
      <w:tr w:rsidR="003D1B66" w14:paraId="5C948BBA" w14:textId="77777777" w:rsidTr="000B46B5">
        <w:trPr>
          <w:jc w:val="center"/>
        </w:trPr>
        <w:tc>
          <w:tcPr>
            <w:tcW w:w="2232" w:type="dxa"/>
            <w:shd w:val="clear" w:color="auto" w:fill="F2F2F2" w:themeFill="background1" w:themeFillShade="F2"/>
            <w:vAlign w:val="center"/>
          </w:tcPr>
          <w:p w14:paraId="3F92A8C3" w14:textId="77777777" w:rsidR="003D1B66" w:rsidRDefault="003D1B66" w:rsidP="000B46B5">
            <w:pPr>
              <w:bidi/>
              <w:spacing w:after="0" w:line="240" w:lineRule="auto"/>
              <w:jc w:val="both"/>
            </w:pPr>
            <w:r>
              <w:rPr>
                <w:rFonts w:eastAsia="Arial"/>
                <w:sz w:val="21"/>
                <w:rtl/>
              </w:rPr>
              <w:t>الخطر عند الضعف</w:t>
            </w:r>
          </w:p>
        </w:tc>
        <w:tc>
          <w:tcPr>
            <w:tcW w:w="2232" w:type="dxa"/>
            <w:shd w:val="clear" w:color="auto" w:fill="F2F2F2" w:themeFill="background1" w:themeFillShade="F2"/>
            <w:vAlign w:val="center"/>
          </w:tcPr>
          <w:p w14:paraId="786118BA" w14:textId="77777777" w:rsidR="003D1B66" w:rsidRDefault="003D1B66" w:rsidP="000B46B5">
            <w:pPr>
              <w:bidi/>
              <w:spacing w:after="0" w:line="240" w:lineRule="auto"/>
              <w:jc w:val="center"/>
            </w:pPr>
            <w:r>
              <w:rPr>
                <w:rFonts w:eastAsia="Arial"/>
                <w:sz w:val="21"/>
                <w:rtl/>
              </w:rPr>
              <w:t>غموض الأدوار وضعف الرقابة وتعارض المصالح</w:t>
            </w:r>
          </w:p>
        </w:tc>
        <w:tc>
          <w:tcPr>
            <w:tcW w:w="2232" w:type="dxa"/>
            <w:shd w:val="clear" w:color="auto" w:fill="F2F2F2" w:themeFill="background1" w:themeFillShade="F2"/>
            <w:vAlign w:val="center"/>
          </w:tcPr>
          <w:p w14:paraId="3FFE9A3F" w14:textId="77777777" w:rsidR="003D1B66" w:rsidRDefault="003D1B66" w:rsidP="000B46B5">
            <w:pPr>
              <w:bidi/>
              <w:spacing w:after="0" w:line="240" w:lineRule="auto"/>
              <w:jc w:val="center"/>
            </w:pPr>
            <w:r>
              <w:rPr>
                <w:rFonts w:eastAsia="Arial"/>
                <w:sz w:val="21"/>
                <w:rtl/>
              </w:rPr>
              <w:t>هدر وتأخير وضعف جودة التنفيذ</w:t>
            </w:r>
          </w:p>
        </w:tc>
        <w:tc>
          <w:tcPr>
            <w:tcW w:w="2231" w:type="dxa"/>
            <w:shd w:val="clear" w:color="auto" w:fill="F2F2F2" w:themeFill="background1" w:themeFillShade="F2"/>
            <w:vAlign w:val="center"/>
          </w:tcPr>
          <w:p w14:paraId="25703456" w14:textId="77777777" w:rsidR="003D1B66" w:rsidRDefault="003D1B66" w:rsidP="000B46B5">
            <w:pPr>
              <w:bidi/>
              <w:spacing w:after="0" w:line="240" w:lineRule="auto"/>
              <w:jc w:val="center"/>
            </w:pPr>
            <w:r>
              <w:rPr>
                <w:rFonts w:eastAsia="Arial"/>
                <w:sz w:val="21"/>
                <w:rtl/>
              </w:rPr>
              <w:t>مقاومة التغيير وضعف الثقافة المؤسسية</w:t>
            </w:r>
          </w:p>
        </w:tc>
      </w:tr>
    </w:tbl>
    <w:p w14:paraId="49C13929" w14:textId="77777777" w:rsidR="003D1B66" w:rsidRDefault="003D1B66" w:rsidP="003D1B66">
      <w:pPr>
        <w:pStyle w:val="31"/>
        <w:bidi/>
        <w:jc w:val="both"/>
      </w:pPr>
      <w:r>
        <w:rPr>
          <w:rFonts w:ascii="Arial" w:eastAsia="Arial" w:hAnsi="Arial" w:cs="Arial"/>
        </w:rPr>
        <w:t>2-3-1-4</w:t>
      </w:r>
      <w:r>
        <w:rPr>
          <w:rFonts w:ascii="Arial" w:eastAsia="Arial" w:hAnsi="Arial" w:cs="Arial"/>
          <w:rtl/>
        </w:rPr>
        <w:t xml:space="preserve"> مستويات الحوكمة الصحية</w:t>
      </w:r>
    </w:p>
    <w:p w14:paraId="14BAA487" w14:textId="77777777" w:rsidR="003D1B66" w:rsidRDefault="003D1B66" w:rsidP="003D1B66">
      <w:pPr>
        <w:bidi/>
        <w:spacing w:after="120" w:line="360" w:lineRule="auto"/>
        <w:ind w:firstLine="397"/>
        <w:jc w:val="both"/>
      </w:pPr>
      <w:r>
        <w:rPr>
          <w:rFonts w:eastAsia="Arial"/>
          <w:rtl/>
        </w:rPr>
        <w:t>يمكن تحليل الحوكمة الصحية عبر مستويات متعددة، لأن القرارات المتعلقة بالصحة لا تُتخذ في موقع واحد. فعلى المستوى الوطني، تُحدد الرؤية الصحية العامة، والتشريعات، ونموذج التمويل، وعلاقة الدولة بالسوق والقطاع غير الربحي، وآليات توزيع الموارد. وعلى المستوى الوسيط أو الإقليمي، تُترجم السياسات إلى شبكات خدمات وخطط سكانية ومسارات إحالة وتنسيق بين مقدمي الرعاية. وعلى مستوى المؤسسة، تُدار المستشفيات والمراكز والبرامج، بينما يظهر المستوى السريري في القواعد التي تضبط الممارسة المهنية، وسلامة المرضى، والقرارات العلاجية، واستخدام الأدلة.</w:t>
      </w:r>
    </w:p>
    <w:p w14:paraId="57467F39" w14:textId="77777777" w:rsidR="003D1B66" w:rsidRDefault="003D1B66" w:rsidP="003D1B66">
      <w:pPr>
        <w:bidi/>
        <w:spacing w:after="120" w:line="360" w:lineRule="auto"/>
        <w:ind w:firstLine="397"/>
        <w:jc w:val="both"/>
      </w:pPr>
      <w:r>
        <w:rPr>
          <w:rFonts w:eastAsia="Arial"/>
          <w:rtl/>
        </w:rPr>
        <w:lastRenderedPageBreak/>
        <w:t>تزداد جودة الحوكمة عندما يكون الترابط بين هذه المستويات واضحاً. فإذا وضعت الجهة الوطنية أهدافاً دون مؤشرات قابلة للتطبيق أو دون توفير صلاحيات وموارد للمستويات التنفيذية، ظهرت فجوة بين السياسة والممارسة. وفي المقابل، إذا تمتعت المؤسسات باستقلال واسع دون إطار موحد للمساءلة والجودة، فقد تتفاوت الخدمات أو تتعارض الأولويات المحلية مع الأهداف الوطنية. لذلك تتطلب الحوكمة المتعددة المستويات آليات تنسيق وتبادل معلومات وتصعيد للمخاطر وتحديداً واضحاً لما يجب توحيده وما يمكن تفويضه.</w:t>
      </w:r>
    </w:p>
    <w:p w14:paraId="468B7FAE" w14:textId="77777777" w:rsidR="003D1B66" w:rsidRDefault="003D1B66" w:rsidP="003D1B66">
      <w:pPr>
        <w:bidi/>
        <w:spacing w:after="120" w:line="360" w:lineRule="auto"/>
        <w:ind w:firstLine="397"/>
        <w:jc w:val="both"/>
      </w:pPr>
      <w:r>
        <w:rPr>
          <w:rFonts w:eastAsia="Arial"/>
          <w:rtl/>
        </w:rPr>
        <w:t>كما يمكن التمييز بين الحوكمة المؤسسية والحوكمة السريرية وحوكمة المعلومات. تهتم الحوكمة المؤسسية بالأداء العام والاستراتيجية والمال والمخاطر، وتركز الحوكمة السريرية على الجودة والسلامة والممارسة المبنية على الدليل والتحسين المستمر، بينما تركز حوكمة المعلومات على جودة البيانات وخصوصيتها وأمنها وإتاحتها واستخدامها المسؤول. وتتقاطع هذه الأنواع لأن القرارات السريرية والإدارية الحديثة تعتمد على البيانات، ولأن المخاطر التقنية أو المعلوماتية قد تتحول إلى مخاطر على سلامة المريض وسمعة المؤسسة واستمرارية أعمالها.</w:t>
      </w:r>
    </w:p>
    <w:p w14:paraId="70AE051C" w14:textId="77777777" w:rsidR="003D1B66" w:rsidRDefault="003D1B66" w:rsidP="003D1B66">
      <w:pPr>
        <w:keepNext/>
        <w:bidi/>
        <w:spacing w:before="120" w:after="80"/>
        <w:rPr>
          <w:rFonts w:eastAsia="Arial"/>
          <w:b/>
          <w:sz w:val="24"/>
          <w:rtl/>
        </w:rPr>
      </w:pPr>
    </w:p>
    <w:p w14:paraId="5F06E746" w14:textId="77777777" w:rsidR="003D1B66" w:rsidRDefault="003D1B66" w:rsidP="003D1B66">
      <w:pPr>
        <w:keepNext/>
        <w:bidi/>
        <w:spacing w:before="120" w:after="80"/>
      </w:pPr>
      <w:r>
        <w:rPr>
          <w:rFonts w:eastAsia="Arial"/>
          <w:b/>
          <w:sz w:val="24"/>
          <w:rtl/>
        </w:rPr>
        <w:t>جدول (</w:t>
      </w:r>
      <w:r>
        <w:rPr>
          <w:rFonts w:eastAsia="Arial"/>
          <w:b/>
          <w:sz w:val="24"/>
        </w:rPr>
        <w:t>7</w:t>
      </w:r>
      <w:r>
        <w:rPr>
          <w:rFonts w:eastAsia="Arial"/>
          <w:b/>
          <w:sz w:val="24"/>
          <w:rtl/>
        </w:rPr>
        <w:t>): مستويات الحوكمة الصحية</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2233"/>
        <w:gridCol w:w="2232"/>
        <w:gridCol w:w="2232"/>
        <w:gridCol w:w="2231"/>
      </w:tblGrid>
      <w:tr w:rsidR="003D1B66" w14:paraId="1ACB72D6" w14:textId="77777777" w:rsidTr="000B46B5">
        <w:trPr>
          <w:tblHeader/>
          <w:jc w:val="center"/>
        </w:trPr>
        <w:tc>
          <w:tcPr>
            <w:tcW w:w="2232" w:type="dxa"/>
            <w:shd w:val="clear" w:color="auto" w:fill="F2F2F2" w:themeFill="background1" w:themeFillShade="F2"/>
            <w:vAlign w:val="center"/>
          </w:tcPr>
          <w:p w14:paraId="26E35C0C" w14:textId="77777777" w:rsidR="003D1B66" w:rsidRDefault="003D1B66" w:rsidP="000B46B5">
            <w:pPr>
              <w:bidi/>
              <w:spacing w:after="0" w:line="240" w:lineRule="auto"/>
            </w:pPr>
            <w:r>
              <w:rPr>
                <w:rFonts w:eastAsia="Arial"/>
                <w:b/>
                <w:sz w:val="21"/>
                <w:rtl/>
              </w:rPr>
              <w:t>المستوى</w:t>
            </w:r>
          </w:p>
        </w:tc>
        <w:tc>
          <w:tcPr>
            <w:tcW w:w="2232" w:type="dxa"/>
            <w:shd w:val="clear" w:color="auto" w:fill="F2F2F2" w:themeFill="background1" w:themeFillShade="F2"/>
            <w:vAlign w:val="center"/>
          </w:tcPr>
          <w:p w14:paraId="7B4EF63F" w14:textId="77777777" w:rsidR="003D1B66" w:rsidRDefault="003D1B66" w:rsidP="000B46B5">
            <w:pPr>
              <w:bidi/>
              <w:spacing w:after="0" w:line="240" w:lineRule="auto"/>
            </w:pPr>
            <w:r>
              <w:rPr>
                <w:rFonts w:eastAsia="Arial"/>
                <w:b/>
                <w:sz w:val="21"/>
                <w:rtl/>
              </w:rPr>
              <w:t>أمثلة للقرارات</w:t>
            </w:r>
          </w:p>
        </w:tc>
        <w:tc>
          <w:tcPr>
            <w:tcW w:w="2232" w:type="dxa"/>
            <w:shd w:val="clear" w:color="auto" w:fill="F2F2F2" w:themeFill="background1" w:themeFillShade="F2"/>
            <w:vAlign w:val="center"/>
          </w:tcPr>
          <w:p w14:paraId="1F49D071" w14:textId="77777777" w:rsidR="003D1B66" w:rsidRDefault="003D1B66" w:rsidP="000B46B5">
            <w:pPr>
              <w:bidi/>
              <w:spacing w:after="0" w:line="240" w:lineRule="auto"/>
            </w:pPr>
            <w:r>
              <w:rPr>
                <w:rFonts w:eastAsia="Arial"/>
                <w:b/>
                <w:sz w:val="21"/>
                <w:rtl/>
              </w:rPr>
              <w:t>أدوات الحوكمة</w:t>
            </w:r>
          </w:p>
        </w:tc>
        <w:tc>
          <w:tcPr>
            <w:tcW w:w="2231" w:type="dxa"/>
            <w:shd w:val="clear" w:color="auto" w:fill="F2F2F2" w:themeFill="background1" w:themeFillShade="F2"/>
            <w:vAlign w:val="center"/>
          </w:tcPr>
          <w:p w14:paraId="6DCE34C6" w14:textId="77777777" w:rsidR="003D1B66" w:rsidRDefault="003D1B66" w:rsidP="000B46B5">
            <w:pPr>
              <w:bidi/>
              <w:spacing w:after="0" w:line="240" w:lineRule="auto"/>
            </w:pPr>
            <w:r>
              <w:rPr>
                <w:rFonts w:eastAsia="Arial"/>
                <w:b/>
                <w:sz w:val="21"/>
                <w:rtl/>
              </w:rPr>
              <w:t>النتيجة المستهدفة</w:t>
            </w:r>
          </w:p>
        </w:tc>
      </w:tr>
      <w:tr w:rsidR="003D1B66" w14:paraId="2E980BEF" w14:textId="77777777" w:rsidTr="000B46B5">
        <w:trPr>
          <w:jc w:val="center"/>
        </w:trPr>
        <w:tc>
          <w:tcPr>
            <w:tcW w:w="2232" w:type="dxa"/>
            <w:shd w:val="clear" w:color="auto" w:fill="F2F2F2" w:themeFill="background1" w:themeFillShade="F2"/>
            <w:vAlign w:val="center"/>
          </w:tcPr>
          <w:p w14:paraId="0A014C98" w14:textId="77777777" w:rsidR="003D1B66" w:rsidRDefault="003D1B66" w:rsidP="000B46B5">
            <w:pPr>
              <w:bidi/>
              <w:spacing w:after="0" w:line="240" w:lineRule="auto"/>
            </w:pPr>
            <w:r>
              <w:rPr>
                <w:rFonts w:eastAsia="Arial"/>
                <w:sz w:val="21"/>
                <w:rtl/>
              </w:rPr>
              <w:t>وطني/نظامي</w:t>
            </w:r>
          </w:p>
        </w:tc>
        <w:tc>
          <w:tcPr>
            <w:tcW w:w="2232" w:type="dxa"/>
            <w:shd w:val="clear" w:color="auto" w:fill="F2F2F2" w:themeFill="background1" w:themeFillShade="F2"/>
            <w:vAlign w:val="center"/>
          </w:tcPr>
          <w:p w14:paraId="6EE41651" w14:textId="77777777" w:rsidR="003D1B66" w:rsidRDefault="003D1B66" w:rsidP="000B46B5">
            <w:pPr>
              <w:bidi/>
              <w:spacing w:after="0" w:line="240" w:lineRule="auto"/>
            </w:pPr>
            <w:r>
              <w:rPr>
                <w:rFonts w:eastAsia="Arial"/>
                <w:sz w:val="21"/>
                <w:rtl/>
              </w:rPr>
              <w:t>السياسات والتشريعات والتمويل وتوزيع الأدوار</w:t>
            </w:r>
          </w:p>
        </w:tc>
        <w:tc>
          <w:tcPr>
            <w:tcW w:w="2232" w:type="dxa"/>
            <w:shd w:val="clear" w:color="auto" w:fill="F2F2F2" w:themeFill="background1" w:themeFillShade="F2"/>
            <w:vAlign w:val="center"/>
          </w:tcPr>
          <w:p w14:paraId="3F391CFC" w14:textId="77777777" w:rsidR="003D1B66" w:rsidRDefault="003D1B66" w:rsidP="000B46B5">
            <w:pPr>
              <w:bidi/>
              <w:spacing w:after="0" w:line="240" w:lineRule="auto"/>
            </w:pPr>
            <w:r>
              <w:rPr>
                <w:rFonts w:eastAsia="Arial"/>
                <w:sz w:val="21"/>
                <w:rtl/>
              </w:rPr>
              <w:t>استراتيجيات وطنية، أنظمة، جهات تنظيمية، مؤشرات نظامية</w:t>
            </w:r>
          </w:p>
        </w:tc>
        <w:tc>
          <w:tcPr>
            <w:tcW w:w="2231" w:type="dxa"/>
            <w:shd w:val="clear" w:color="auto" w:fill="F2F2F2" w:themeFill="background1" w:themeFillShade="F2"/>
            <w:vAlign w:val="center"/>
          </w:tcPr>
          <w:p w14:paraId="0D19B742" w14:textId="77777777" w:rsidR="003D1B66" w:rsidRDefault="003D1B66" w:rsidP="000B46B5">
            <w:pPr>
              <w:bidi/>
              <w:spacing w:after="0" w:line="240" w:lineRule="auto"/>
            </w:pPr>
            <w:r>
              <w:rPr>
                <w:rFonts w:eastAsia="Arial"/>
                <w:sz w:val="21"/>
                <w:rtl/>
              </w:rPr>
              <w:t>اتجاه موحد وعدالة واستدامة</w:t>
            </w:r>
          </w:p>
        </w:tc>
      </w:tr>
      <w:tr w:rsidR="003D1B66" w14:paraId="11C97D8A" w14:textId="77777777" w:rsidTr="000B46B5">
        <w:trPr>
          <w:jc w:val="center"/>
        </w:trPr>
        <w:tc>
          <w:tcPr>
            <w:tcW w:w="2232" w:type="dxa"/>
            <w:shd w:val="clear" w:color="auto" w:fill="F2F2F2" w:themeFill="background1" w:themeFillShade="F2"/>
            <w:vAlign w:val="center"/>
          </w:tcPr>
          <w:p w14:paraId="1A0EA911" w14:textId="77777777" w:rsidR="003D1B66" w:rsidRDefault="003D1B66" w:rsidP="000B46B5">
            <w:pPr>
              <w:bidi/>
              <w:spacing w:after="0" w:line="240" w:lineRule="auto"/>
            </w:pPr>
            <w:r>
              <w:rPr>
                <w:rFonts w:eastAsia="Arial"/>
                <w:sz w:val="21"/>
                <w:rtl/>
              </w:rPr>
              <w:t>إقليمي/شبكي</w:t>
            </w:r>
          </w:p>
        </w:tc>
        <w:tc>
          <w:tcPr>
            <w:tcW w:w="2232" w:type="dxa"/>
            <w:shd w:val="clear" w:color="auto" w:fill="F2F2F2" w:themeFill="background1" w:themeFillShade="F2"/>
            <w:vAlign w:val="center"/>
          </w:tcPr>
          <w:p w14:paraId="3F78B177" w14:textId="77777777" w:rsidR="003D1B66" w:rsidRDefault="003D1B66" w:rsidP="000B46B5">
            <w:pPr>
              <w:bidi/>
              <w:spacing w:after="0" w:line="240" w:lineRule="auto"/>
            </w:pPr>
            <w:r>
              <w:rPr>
                <w:rFonts w:eastAsia="Arial"/>
                <w:sz w:val="21"/>
                <w:rtl/>
              </w:rPr>
              <w:t>توزيع الخدمات ومسارات الإحالة والتكامل</w:t>
            </w:r>
          </w:p>
        </w:tc>
        <w:tc>
          <w:tcPr>
            <w:tcW w:w="2232" w:type="dxa"/>
            <w:shd w:val="clear" w:color="auto" w:fill="F2F2F2" w:themeFill="background1" w:themeFillShade="F2"/>
            <w:vAlign w:val="center"/>
          </w:tcPr>
          <w:p w14:paraId="143CF63A" w14:textId="77777777" w:rsidR="003D1B66" w:rsidRDefault="003D1B66" w:rsidP="000B46B5">
            <w:pPr>
              <w:bidi/>
              <w:spacing w:after="0" w:line="240" w:lineRule="auto"/>
            </w:pPr>
            <w:r>
              <w:rPr>
                <w:rFonts w:eastAsia="Arial"/>
                <w:sz w:val="21"/>
                <w:rtl/>
              </w:rPr>
              <w:t>خطط سكانية، اتفاقيات مستوى خدمة، مجالس تنسيق</w:t>
            </w:r>
          </w:p>
        </w:tc>
        <w:tc>
          <w:tcPr>
            <w:tcW w:w="2231" w:type="dxa"/>
            <w:shd w:val="clear" w:color="auto" w:fill="F2F2F2" w:themeFill="background1" w:themeFillShade="F2"/>
            <w:vAlign w:val="center"/>
          </w:tcPr>
          <w:p w14:paraId="01BEDA4D" w14:textId="77777777" w:rsidR="003D1B66" w:rsidRDefault="003D1B66" w:rsidP="000B46B5">
            <w:pPr>
              <w:bidi/>
              <w:spacing w:after="0" w:line="240" w:lineRule="auto"/>
            </w:pPr>
            <w:r>
              <w:rPr>
                <w:rFonts w:eastAsia="Arial"/>
                <w:sz w:val="21"/>
                <w:rtl/>
              </w:rPr>
              <w:t>تكامل واستمرارية الرعاية</w:t>
            </w:r>
          </w:p>
        </w:tc>
      </w:tr>
      <w:tr w:rsidR="003D1B66" w14:paraId="5577E721" w14:textId="77777777" w:rsidTr="000B46B5">
        <w:trPr>
          <w:jc w:val="center"/>
        </w:trPr>
        <w:tc>
          <w:tcPr>
            <w:tcW w:w="2232" w:type="dxa"/>
            <w:shd w:val="clear" w:color="auto" w:fill="F2F2F2" w:themeFill="background1" w:themeFillShade="F2"/>
            <w:vAlign w:val="center"/>
          </w:tcPr>
          <w:p w14:paraId="79E1C823" w14:textId="77777777" w:rsidR="003D1B66" w:rsidRDefault="003D1B66" w:rsidP="000B46B5">
            <w:pPr>
              <w:bidi/>
              <w:spacing w:after="0" w:line="240" w:lineRule="auto"/>
            </w:pPr>
            <w:r>
              <w:rPr>
                <w:rFonts w:eastAsia="Arial"/>
                <w:sz w:val="21"/>
                <w:rtl/>
              </w:rPr>
              <w:t>مؤسسي</w:t>
            </w:r>
          </w:p>
        </w:tc>
        <w:tc>
          <w:tcPr>
            <w:tcW w:w="2232" w:type="dxa"/>
            <w:shd w:val="clear" w:color="auto" w:fill="F2F2F2" w:themeFill="background1" w:themeFillShade="F2"/>
            <w:vAlign w:val="center"/>
          </w:tcPr>
          <w:p w14:paraId="65C7CF9D" w14:textId="77777777" w:rsidR="003D1B66" w:rsidRDefault="003D1B66" w:rsidP="000B46B5">
            <w:pPr>
              <w:bidi/>
              <w:spacing w:after="0" w:line="240" w:lineRule="auto"/>
            </w:pPr>
            <w:r>
              <w:rPr>
                <w:rFonts w:eastAsia="Arial"/>
                <w:sz w:val="21"/>
                <w:rtl/>
              </w:rPr>
              <w:t>الاستراتيجية والميزانية والمخاطر والأداء</w:t>
            </w:r>
          </w:p>
        </w:tc>
        <w:tc>
          <w:tcPr>
            <w:tcW w:w="2232" w:type="dxa"/>
            <w:shd w:val="clear" w:color="auto" w:fill="F2F2F2" w:themeFill="background1" w:themeFillShade="F2"/>
            <w:vAlign w:val="center"/>
          </w:tcPr>
          <w:p w14:paraId="3D749F44" w14:textId="77777777" w:rsidR="003D1B66" w:rsidRDefault="003D1B66" w:rsidP="000B46B5">
            <w:pPr>
              <w:bidi/>
              <w:spacing w:after="0" w:line="240" w:lineRule="auto"/>
            </w:pPr>
            <w:r>
              <w:rPr>
                <w:rFonts w:eastAsia="Arial"/>
                <w:sz w:val="21"/>
                <w:rtl/>
              </w:rPr>
              <w:t>مجلس إدارة، لجان، تدقيق، تقارير أداء</w:t>
            </w:r>
          </w:p>
        </w:tc>
        <w:tc>
          <w:tcPr>
            <w:tcW w:w="2231" w:type="dxa"/>
            <w:shd w:val="clear" w:color="auto" w:fill="F2F2F2" w:themeFill="background1" w:themeFillShade="F2"/>
            <w:vAlign w:val="center"/>
          </w:tcPr>
          <w:p w14:paraId="3E0EB664" w14:textId="77777777" w:rsidR="003D1B66" w:rsidRDefault="003D1B66" w:rsidP="000B46B5">
            <w:pPr>
              <w:bidi/>
              <w:spacing w:after="0" w:line="240" w:lineRule="auto"/>
            </w:pPr>
            <w:r>
              <w:rPr>
                <w:rFonts w:eastAsia="Arial"/>
                <w:sz w:val="21"/>
                <w:rtl/>
              </w:rPr>
              <w:t>مساءلة وكفاءة واستدامة</w:t>
            </w:r>
          </w:p>
        </w:tc>
      </w:tr>
      <w:tr w:rsidR="003D1B66" w14:paraId="2DB784FC" w14:textId="77777777" w:rsidTr="000B46B5">
        <w:trPr>
          <w:jc w:val="center"/>
        </w:trPr>
        <w:tc>
          <w:tcPr>
            <w:tcW w:w="2232" w:type="dxa"/>
            <w:shd w:val="clear" w:color="auto" w:fill="F2F2F2" w:themeFill="background1" w:themeFillShade="F2"/>
            <w:vAlign w:val="center"/>
          </w:tcPr>
          <w:p w14:paraId="73EABDCB" w14:textId="77777777" w:rsidR="003D1B66" w:rsidRDefault="003D1B66" w:rsidP="000B46B5">
            <w:pPr>
              <w:bidi/>
              <w:spacing w:after="0" w:line="240" w:lineRule="auto"/>
            </w:pPr>
            <w:r>
              <w:rPr>
                <w:rFonts w:eastAsia="Arial"/>
                <w:sz w:val="21"/>
                <w:rtl/>
              </w:rPr>
              <w:t>سريري</w:t>
            </w:r>
          </w:p>
        </w:tc>
        <w:tc>
          <w:tcPr>
            <w:tcW w:w="2232" w:type="dxa"/>
            <w:shd w:val="clear" w:color="auto" w:fill="F2F2F2" w:themeFill="background1" w:themeFillShade="F2"/>
            <w:vAlign w:val="center"/>
          </w:tcPr>
          <w:p w14:paraId="0F8008AA" w14:textId="77777777" w:rsidR="003D1B66" w:rsidRDefault="003D1B66" w:rsidP="000B46B5">
            <w:pPr>
              <w:bidi/>
              <w:spacing w:after="0" w:line="240" w:lineRule="auto"/>
            </w:pPr>
            <w:r>
              <w:rPr>
                <w:rFonts w:eastAsia="Arial"/>
                <w:sz w:val="21"/>
                <w:rtl/>
              </w:rPr>
              <w:t>المعايير المهنية وسلامة المرضى والنتائج</w:t>
            </w:r>
          </w:p>
        </w:tc>
        <w:tc>
          <w:tcPr>
            <w:tcW w:w="2232" w:type="dxa"/>
            <w:shd w:val="clear" w:color="auto" w:fill="F2F2F2" w:themeFill="background1" w:themeFillShade="F2"/>
            <w:vAlign w:val="center"/>
          </w:tcPr>
          <w:p w14:paraId="3DD9153C" w14:textId="77777777" w:rsidR="003D1B66" w:rsidRDefault="003D1B66" w:rsidP="000B46B5">
            <w:pPr>
              <w:bidi/>
              <w:spacing w:after="0" w:line="240" w:lineRule="auto"/>
            </w:pPr>
            <w:r>
              <w:rPr>
                <w:rFonts w:eastAsia="Arial"/>
                <w:sz w:val="21"/>
                <w:rtl/>
              </w:rPr>
              <w:t>لجان سريرية، مراجعة الحالات، إرشادات، تدقيق سريري</w:t>
            </w:r>
          </w:p>
        </w:tc>
        <w:tc>
          <w:tcPr>
            <w:tcW w:w="2231" w:type="dxa"/>
            <w:shd w:val="clear" w:color="auto" w:fill="F2F2F2" w:themeFill="background1" w:themeFillShade="F2"/>
            <w:vAlign w:val="center"/>
          </w:tcPr>
          <w:p w14:paraId="4C107078" w14:textId="77777777" w:rsidR="003D1B66" w:rsidRDefault="003D1B66" w:rsidP="000B46B5">
            <w:pPr>
              <w:bidi/>
              <w:spacing w:after="0" w:line="240" w:lineRule="auto"/>
            </w:pPr>
            <w:r>
              <w:rPr>
                <w:rFonts w:eastAsia="Arial"/>
                <w:sz w:val="21"/>
                <w:rtl/>
              </w:rPr>
              <w:t>جودة وسلامة وفعالية</w:t>
            </w:r>
          </w:p>
        </w:tc>
      </w:tr>
      <w:tr w:rsidR="003D1B66" w14:paraId="1292D939" w14:textId="77777777" w:rsidTr="000B46B5">
        <w:trPr>
          <w:jc w:val="center"/>
        </w:trPr>
        <w:tc>
          <w:tcPr>
            <w:tcW w:w="2232" w:type="dxa"/>
            <w:shd w:val="clear" w:color="auto" w:fill="F2F2F2" w:themeFill="background1" w:themeFillShade="F2"/>
            <w:vAlign w:val="center"/>
          </w:tcPr>
          <w:p w14:paraId="747585C5" w14:textId="77777777" w:rsidR="003D1B66" w:rsidRDefault="003D1B66" w:rsidP="000B46B5">
            <w:pPr>
              <w:bidi/>
              <w:spacing w:after="0" w:line="240" w:lineRule="auto"/>
            </w:pPr>
            <w:r>
              <w:rPr>
                <w:rFonts w:eastAsia="Arial"/>
                <w:sz w:val="21"/>
                <w:rtl/>
              </w:rPr>
              <w:t>معلوماتي/رقمي</w:t>
            </w:r>
          </w:p>
        </w:tc>
        <w:tc>
          <w:tcPr>
            <w:tcW w:w="2232" w:type="dxa"/>
            <w:shd w:val="clear" w:color="auto" w:fill="F2F2F2" w:themeFill="background1" w:themeFillShade="F2"/>
            <w:vAlign w:val="center"/>
          </w:tcPr>
          <w:p w14:paraId="5B99C8AE" w14:textId="77777777" w:rsidR="003D1B66" w:rsidRDefault="003D1B66" w:rsidP="000B46B5">
            <w:pPr>
              <w:bidi/>
              <w:spacing w:after="0" w:line="240" w:lineRule="auto"/>
            </w:pPr>
            <w:r>
              <w:rPr>
                <w:rFonts w:eastAsia="Arial"/>
                <w:sz w:val="21"/>
                <w:rtl/>
              </w:rPr>
              <w:t>جمع البيانات ومشاركتها وخصوصيتها</w:t>
            </w:r>
          </w:p>
        </w:tc>
        <w:tc>
          <w:tcPr>
            <w:tcW w:w="2232" w:type="dxa"/>
            <w:shd w:val="clear" w:color="auto" w:fill="F2F2F2" w:themeFill="background1" w:themeFillShade="F2"/>
            <w:vAlign w:val="center"/>
          </w:tcPr>
          <w:p w14:paraId="35B4ADA1" w14:textId="77777777" w:rsidR="003D1B66" w:rsidRDefault="003D1B66" w:rsidP="000B46B5">
            <w:pPr>
              <w:bidi/>
              <w:spacing w:after="0" w:line="240" w:lineRule="auto"/>
            </w:pPr>
            <w:r>
              <w:rPr>
                <w:rFonts w:eastAsia="Arial"/>
                <w:sz w:val="21"/>
                <w:rtl/>
              </w:rPr>
              <w:t>سياسات بيانات، صلاحيات وصول، أمن سيبراني، تدقيق</w:t>
            </w:r>
          </w:p>
        </w:tc>
        <w:tc>
          <w:tcPr>
            <w:tcW w:w="2231" w:type="dxa"/>
            <w:shd w:val="clear" w:color="auto" w:fill="F2F2F2" w:themeFill="background1" w:themeFillShade="F2"/>
            <w:vAlign w:val="center"/>
          </w:tcPr>
          <w:p w14:paraId="6F75BAF9" w14:textId="77777777" w:rsidR="003D1B66" w:rsidRDefault="003D1B66" w:rsidP="000B46B5">
            <w:pPr>
              <w:bidi/>
              <w:spacing w:after="0" w:line="240" w:lineRule="auto"/>
            </w:pPr>
            <w:r>
              <w:rPr>
                <w:rFonts w:eastAsia="Arial"/>
                <w:sz w:val="21"/>
                <w:rtl/>
              </w:rPr>
              <w:t>موثوقية وشفافية وحماية للحقوق</w:t>
            </w:r>
          </w:p>
        </w:tc>
      </w:tr>
    </w:tbl>
    <w:p w14:paraId="26A40F70" w14:textId="77777777" w:rsidR="003D1B66" w:rsidRDefault="003D1B66" w:rsidP="003D1B66">
      <w:pPr>
        <w:pStyle w:val="31"/>
        <w:bidi/>
        <w:jc w:val="both"/>
      </w:pPr>
      <w:r>
        <w:rPr>
          <w:rFonts w:ascii="Arial" w:eastAsia="Arial" w:hAnsi="Arial" w:cs="Arial"/>
        </w:rPr>
        <w:t>2-3-1-5</w:t>
      </w:r>
      <w:r>
        <w:rPr>
          <w:rFonts w:ascii="Arial" w:eastAsia="Arial" w:hAnsi="Arial" w:cs="Arial"/>
          <w:rtl/>
        </w:rPr>
        <w:t xml:space="preserve"> النظريات المفسرة للحوكمة الصحية</w:t>
      </w:r>
    </w:p>
    <w:p w14:paraId="7EF10A35" w14:textId="77777777" w:rsidR="003D1B66" w:rsidRDefault="003D1B66" w:rsidP="003D1B66">
      <w:pPr>
        <w:bidi/>
        <w:spacing w:after="120" w:line="360" w:lineRule="auto"/>
        <w:ind w:firstLine="397"/>
        <w:jc w:val="both"/>
      </w:pPr>
      <w:r>
        <w:rPr>
          <w:rFonts w:eastAsia="Arial"/>
          <w:rtl/>
        </w:rPr>
        <w:t>تسهم النظريات التنظيمية في تفسير سبب الحاجة إلى الحوكمة والآليات التي قد تؤدي بها إلى تحسين النتائج. ولا توجد نظرية واحدة تفسر جميع جوانب الحوكمة الصحية، لذلك يفيد الجمع بين عدد من المنظورات النظرية لفهم العلاقات بين أصحاب المصلحة والحوافز والقواعد والثقافة والموارد.</w:t>
      </w:r>
    </w:p>
    <w:p w14:paraId="0021A13F" w14:textId="77777777" w:rsidR="003D1B66" w:rsidRDefault="003D1B66" w:rsidP="003D1B66">
      <w:pPr>
        <w:bidi/>
        <w:spacing w:after="120" w:line="360" w:lineRule="auto"/>
        <w:ind w:firstLine="397"/>
        <w:jc w:val="both"/>
      </w:pPr>
      <w:r>
        <w:rPr>
          <w:rFonts w:eastAsia="Arial"/>
          <w:rtl/>
        </w:rPr>
        <w:t>أولاً: نظرية الوكالة. تفترض هذه النظرية وجود علاقة تفويض بين الأصيل والوكيل، مثل علاقة الدولة أو المجتمع بإدارة المؤسسة الصحية، أو علاقة مجلس الإدارة بالإدارة التنفيذية. وتنشأ المشكلة عندما تختلف مصالح الطرفين أو يمتلك الوكيل معلومات أكثر من الأصيل. وتبرر النظرية استخدام التقارير والتدقيق والحوافز ومؤشرات الأداء والإفصاح للحد من عدم تماثل المعلومات والسلوك الانتهازي. وفي القطاع الصحي تتسع علاقات الوكالة لتشمل المريض ومقدم الخدمة والممول والجهة المنظمة، مما يجعل الشفافية والمساءلة ضروريتين لحماية المصلحة العامة.</w:t>
      </w:r>
    </w:p>
    <w:p w14:paraId="2533A975" w14:textId="77777777" w:rsidR="003D1B66" w:rsidRDefault="003D1B66" w:rsidP="003D1B66">
      <w:pPr>
        <w:bidi/>
        <w:spacing w:after="120" w:line="360" w:lineRule="auto"/>
        <w:ind w:firstLine="397"/>
        <w:jc w:val="both"/>
      </w:pPr>
      <w:r>
        <w:rPr>
          <w:rFonts w:eastAsia="Arial"/>
          <w:rtl/>
        </w:rPr>
        <w:lastRenderedPageBreak/>
        <w:t>ثانياً: نظرية أصحاب المصلحة. ترى هذه النظرية أن المؤسسة مسؤولة أمام مجموعة واسعة من الأطراف، وليس أمام المالك أو الممول فقط. وتشمل الأطراف في المؤسسات الصحية المرضى وأسرهم والعاملين والجهات التنظيمية والممولين والموردين والمجتمع. وبناءً على ذلك، ينبغي أن تراعي الحوكمة التوازن بين الجودة والاستدامة وحقوق العاملين وعدالة الوصول وسلامة المرضى، وأن توفر قنوات مناسبة للمشاركة والتواصل ومعالجة الشكاوى.</w:t>
      </w:r>
    </w:p>
    <w:p w14:paraId="49F8B07E" w14:textId="77777777" w:rsidR="003D1B66" w:rsidRDefault="003D1B66" w:rsidP="003D1B66">
      <w:pPr>
        <w:bidi/>
        <w:spacing w:after="120" w:line="360" w:lineRule="auto"/>
        <w:ind w:firstLine="397"/>
        <w:jc w:val="both"/>
      </w:pPr>
      <w:r>
        <w:rPr>
          <w:rFonts w:eastAsia="Arial"/>
          <w:rtl/>
        </w:rPr>
        <w:t>ثالثاً: النظرية المؤسسية. تركز على أثر القواعد الرسمية والثقافة والتوقعات الاجتماعية والمهنية في سلوك المؤسسات. وقد تتبنى مؤسسة صحية سياسة أو لجنة استجابة لمتطلبات تنظيمية أو ضغوط مهنية، لكن الفاعلية تعتمد على تحولها من امتثال شكلي إلى ممارسة متجذرة في العمليات. وتساعد هذه النظرية على تفسير ظاهرة وجود سياسات مكتوبة لا تنعكس على القرارات اليومية بسبب ضعف الحوافز أو تضارب الأعراف الداخلية.</w:t>
      </w:r>
    </w:p>
    <w:p w14:paraId="6497A278" w14:textId="77777777" w:rsidR="003D1B66" w:rsidRDefault="003D1B66" w:rsidP="003D1B66">
      <w:pPr>
        <w:bidi/>
        <w:spacing w:after="120" w:line="360" w:lineRule="auto"/>
        <w:ind w:firstLine="397"/>
        <w:jc w:val="both"/>
      </w:pPr>
      <w:r>
        <w:rPr>
          <w:rFonts w:eastAsia="Arial"/>
          <w:rtl/>
        </w:rPr>
        <w:t>رابعاً: نظرية الإشراف أو القوامة. تنطلق من أن المديرين والمهنيين قد يتصرفون بوصفهم أمناء على رسالة المؤسسة، وليس فقط كأفراد يسعون إلى مصالح شخصية. ووفق هذا المنظور، تركز الحوكمة على الثقة والتمكين والالتزام المهني إلى جانب الرقابة. وتعد هذه الرؤية مهمة في القطاع الصحي الذي يعتمد على أخلاقيات المهن الصحية والدافع لخدمة المريض. إلا أن الثقة لا تلغي الحاجة إلى المساءلة، بل تتكامل معها في بيئة توضح التوقعات وتدعم التعلم ولا تتسامح مع الإهمال المتعمد.</w:t>
      </w:r>
    </w:p>
    <w:p w14:paraId="2840C77D" w14:textId="77777777" w:rsidR="003D1B66" w:rsidRDefault="003D1B66" w:rsidP="003D1B66">
      <w:pPr>
        <w:bidi/>
        <w:spacing w:after="120" w:line="360" w:lineRule="auto"/>
        <w:ind w:firstLine="397"/>
        <w:jc w:val="both"/>
      </w:pPr>
      <w:r>
        <w:rPr>
          <w:rFonts w:eastAsia="Arial"/>
          <w:rtl/>
        </w:rPr>
        <w:t>خامساً: نظرية الاعتماد على الموارد. تفترض أن المؤسسة تحتاج إلى علاقات خارجية للحصول على التمويل والكوادر والمعرفة والتقنيات، وأن تكوين المجالس والشراكات والشبكات يساعدها على إدارة هذا الاعتماد. وفي المؤسسات الصحية، يمكن للحوكمة أن تعزز التنسيق مع الجامعات والقطاع الخاص والجهات التنظيمية والمجتمع، لكنها تحتاج أيضاً إلى ضوابط لتعارض المصالح وحماية استقلال القرار.</w:t>
      </w:r>
    </w:p>
    <w:p w14:paraId="5831BD7B" w14:textId="77777777" w:rsidR="003D1B66" w:rsidRDefault="003D1B66" w:rsidP="003D1B66">
      <w:pPr>
        <w:bidi/>
        <w:spacing w:after="120" w:line="360" w:lineRule="auto"/>
        <w:ind w:firstLine="397"/>
        <w:jc w:val="both"/>
      </w:pPr>
      <w:r>
        <w:rPr>
          <w:rFonts w:eastAsia="Arial"/>
          <w:rtl/>
        </w:rPr>
        <w:t>سادساً: نظرية النظم والتغذية الراجعة. تنظر إلى المؤسسة الصحية كنظام مترابط لا يمكن تحسين جزء منه بمعزل عن بقية الأجزاء. وتؤكد أهمية المعلومات ومؤشرات الأداء ودورات المراجعة والتصحيح. ومن هذا المنظور، تعمل الحوكمة كآلية توجيه تضبط الأهداف، وتقيس الانحرافات، وتتعلم من النتائج، وتعيد تخصيص الموارد أو تعديل السياسات.</w:t>
      </w:r>
    </w:p>
    <w:p w14:paraId="073F04EF" w14:textId="77777777" w:rsidR="003D1B66" w:rsidRDefault="003D1B66" w:rsidP="003D1B66">
      <w:pPr>
        <w:keepNext/>
        <w:bidi/>
        <w:spacing w:before="120" w:after="80"/>
      </w:pPr>
      <w:r>
        <w:rPr>
          <w:rFonts w:eastAsia="Arial"/>
          <w:b/>
          <w:sz w:val="24"/>
          <w:rtl/>
        </w:rPr>
        <w:t>جدول (</w:t>
      </w:r>
      <w:r>
        <w:rPr>
          <w:rFonts w:eastAsia="Arial"/>
          <w:b/>
          <w:sz w:val="24"/>
        </w:rPr>
        <w:t>8</w:t>
      </w:r>
      <w:r>
        <w:rPr>
          <w:rFonts w:eastAsia="Arial"/>
          <w:b/>
          <w:sz w:val="24"/>
          <w:rtl/>
        </w:rPr>
        <w:t>): النظريات المفسرة للحوكمة الصحية</w:t>
      </w:r>
    </w:p>
    <w:tbl>
      <w:tblPr>
        <w:bidiVisual/>
        <w:tblW w:w="8928" w:type="dxa"/>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2976"/>
        <w:gridCol w:w="2976"/>
        <w:gridCol w:w="2976"/>
      </w:tblGrid>
      <w:tr w:rsidR="003D1B66" w14:paraId="165E4BAB" w14:textId="77777777" w:rsidTr="000B46B5">
        <w:trPr>
          <w:tblHeader/>
        </w:trPr>
        <w:tc>
          <w:tcPr>
            <w:tcW w:w="2976" w:type="dxa"/>
            <w:shd w:val="clear" w:color="auto" w:fill="F2F2F2" w:themeFill="background1" w:themeFillShade="F2"/>
            <w:vAlign w:val="center"/>
          </w:tcPr>
          <w:p w14:paraId="17ACF1DC" w14:textId="77777777" w:rsidR="003D1B66" w:rsidRDefault="003D1B66" w:rsidP="000B46B5">
            <w:pPr>
              <w:bidi/>
              <w:spacing w:after="0" w:line="240" w:lineRule="auto"/>
            </w:pPr>
            <w:r>
              <w:rPr>
                <w:rFonts w:eastAsia="Arial"/>
                <w:b/>
                <w:sz w:val="21"/>
                <w:rtl/>
              </w:rPr>
              <w:t>النظرية</w:t>
            </w:r>
          </w:p>
        </w:tc>
        <w:tc>
          <w:tcPr>
            <w:tcW w:w="2976" w:type="dxa"/>
            <w:shd w:val="clear" w:color="auto" w:fill="F2F2F2" w:themeFill="background1" w:themeFillShade="F2"/>
            <w:vAlign w:val="center"/>
          </w:tcPr>
          <w:p w14:paraId="60C73EC4" w14:textId="77777777" w:rsidR="003D1B66" w:rsidRDefault="003D1B66" w:rsidP="000B46B5">
            <w:pPr>
              <w:bidi/>
              <w:spacing w:after="0" w:line="240" w:lineRule="auto"/>
            </w:pPr>
            <w:r>
              <w:rPr>
                <w:rFonts w:eastAsia="Arial"/>
                <w:b/>
                <w:sz w:val="21"/>
                <w:rtl/>
              </w:rPr>
              <w:t>المشكلة التي تفسرها</w:t>
            </w:r>
          </w:p>
        </w:tc>
        <w:tc>
          <w:tcPr>
            <w:tcW w:w="2976" w:type="dxa"/>
            <w:shd w:val="clear" w:color="auto" w:fill="F2F2F2" w:themeFill="background1" w:themeFillShade="F2"/>
            <w:vAlign w:val="center"/>
          </w:tcPr>
          <w:p w14:paraId="56BFC7BC" w14:textId="77777777" w:rsidR="003D1B66" w:rsidRDefault="003D1B66" w:rsidP="000B46B5">
            <w:pPr>
              <w:bidi/>
              <w:spacing w:after="0" w:line="240" w:lineRule="auto"/>
            </w:pPr>
            <w:r>
              <w:rPr>
                <w:rFonts w:eastAsia="Arial"/>
                <w:b/>
                <w:sz w:val="21"/>
                <w:rtl/>
              </w:rPr>
              <w:t>أبرز آليات الحوكمة المستمدة منها</w:t>
            </w:r>
          </w:p>
        </w:tc>
      </w:tr>
      <w:tr w:rsidR="003D1B66" w14:paraId="6FFC3755" w14:textId="77777777" w:rsidTr="000B46B5">
        <w:tc>
          <w:tcPr>
            <w:tcW w:w="2976" w:type="dxa"/>
            <w:shd w:val="clear" w:color="auto" w:fill="F2F2F2" w:themeFill="background1" w:themeFillShade="F2"/>
            <w:vAlign w:val="center"/>
          </w:tcPr>
          <w:p w14:paraId="3A89A6D4" w14:textId="77777777" w:rsidR="003D1B66" w:rsidRDefault="003D1B66" w:rsidP="000B46B5">
            <w:pPr>
              <w:bidi/>
              <w:spacing w:after="0" w:line="240" w:lineRule="auto"/>
            </w:pPr>
            <w:r>
              <w:rPr>
                <w:rFonts w:eastAsia="Arial"/>
                <w:sz w:val="21"/>
                <w:rtl/>
              </w:rPr>
              <w:t>نظرية الوكالة</w:t>
            </w:r>
          </w:p>
        </w:tc>
        <w:tc>
          <w:tcPr>
            <w:tcW w:w="2976" w:type="dxa"/>
            <w:shd w:val="clear" w:color="auto" w:fill="F2F2F2" w:themeFill="background1" w:themeFillShade="F2"/>
            <w:vAlign w:val="center"/>
          </w:tcPr>
          <w:p w14:paraId="4DD1E656" w14:textId="77777777" w:rsidR="003D1B66" w:rsidRDefault="003D1B66" w:rsidP="000B46B5">
            <w:pPr>
              <w:bidi/>
              <w:spacing w:after="0" w:line="240" w:lineRule="auto"/>
            </w:pPr>
            <w:r>
              <w:rPr>
                <w:rFonts w:eastAsia="Arial"/>
                <w:sz w:val="21"/>
                <w:rtl/>
              </w:rPr>
              <w:t>اختلاف المصالح وعدم تماثل المعلومات</w:t>
            </w:r>
          </w:p>
        </w:tc>
        <w:tc>
          <w:tcPr>
            <w:tcW w:w="2976" w:type="dxa"/>
            <w:shd w:val="clear" w:color="auto" w:fill="F2F2F2" w:themeFill="background1" w:themeFillShade="F2"/>
            <w:vAlign w:val="center"/>
          </w:tcPr>
          <w:p w14:paraId="087E4A7C" w14:textId="77777777" w:rsidR="003D1B66" w:rsidRDefault="003D1B66" w:rsidP="000B46B5">
            <w:pPr>
              <w:bidi/>
              <w:spacing w:after="0" w:line="240" w:lineRule="auto"/>
            </w:pPr>
            <w:r>
              <w:rPr>
                <w:rFonts w:eastAsia="Arial"/>
                <w:sz w:val="21"/>
                <w:rtl/>
              </w:rPr>
              <w:t>الإفصاح، التدقيق، الحوافز، الرقابة، تحديد الصلاحيات</w:t>
            </w:r>
          </w:p>
        </w:tc>
      </w:tr>
      <w:tr w:rsidR="003D1B66" w14:paraId="01C53617" w14:textId="77777777" w:rsidTr="000B46B5">
        <w:tc>
          <w:tcPr>
            <w:tcW w:w="2976" w:type="dxa"/>
            <w:shd w:val="clear" w:color="auto" w:fill="F2F2F2" w:themeFill="background1" w:themeFillShade="F2"/>
            <w:vAlign w:val="center"/>
          </w:tcPr>
          <w:p w14:paraId="39E3B23D" w14:textId="77777777" w:rsidR="003D1B66" w:rsidRDefault="003D1B66" w:rsidP="000B46B5">
            <w:pPr>
              <w:bidi/>
              <w:spacing w:after="0" w:line="240" w:lineRule="auto"/>
            </w:pPr>
            <w:r>
              <w:rPr>
                <w:rFonts w:eastAsia="Arial"/>
                <w:sz w:val="21"/>
                <w:rtl/>
              </w:rPr>
              <w:t>أصحاب المصلحة</w:t>
            </w:r>
          </w:p>
        </w:tc>
        <w:tc>
          <w:tcPr>
            <w:tcW w:w="2976" w:type="dxa"/>
            <w:shd w:val="clear" w:color="auto" w:fill="F2F2F2" w:themeFill="background1" w:themeFillShade="F2"/>
            <w:vAlign w:val="center"/>
          </w:tcPr>
          <w:p w14:paraId="6F399976" w14:textId="77777777" w:rsidR="003D1B66" w:rsidRDefault="003D1B66" w:rsidP="000B46B5">
            <w:pPr>
              <w:bidi/>
              <w:spacing w:after="0" w:line="240" w:lineRule="auto"/>
            </w:pPr>
            <w:r>
              <w:rPr>
                <w:rFonts w:eastAsia="Arial"/>
                <w:sz w:val="21"/>
                <w:rtl/>
              </w:rPr>
              <w:t>تعدد المصالح والحقوق المتأثرة</w:t>
            </w:r>
          </w:p>
        </w:tc>
        <w:tc>
          <w:tcPr>
            <w:tcW w:w="2976" w:type="dxa"/>
            <w:shd w:val="clear" w:color="auto" w:fill="F2F2F2" w:themeFill="background1" w:themeFillShade="F2"/>
            <w:vAlign w:val="center"/>
          </w:tcPr>
          <w:p w14:paraId="0FC132C4" w14:textId="77777777" w:rsidR="003D1B66" w:rsidRDefault="003D1B66" w:rsidP="000B46B5">
            <w:pPr>
              <w:bidi/>
              <w:spacing w:after="0" w:line="240" w:lineRule="auto"/>
            </w:pPr>
            <w:r>
              <w:rPr>
                <w:rFonts w:eastAsia="Arial"/>
                <w:sz w:val="21"/>
                <w:rtl/>
              </w:rPr>
              <w:t>المشاركة، التشاور، قنوات الشكاوى، موازنة المصالح</w:t>
            </w:r>
          </w:p>
        </w:tc>
      </w:tr>
      <w:tr w:rsidR="003D1B66" w14:paraId="66ACEE9A" w14:textId="77777777" w:rsidTr="000B46B5">
        <w:tc>
          <w:tcPr>
            <w:tcW w:w="2976" w:type="dxa"/>
            <w:shd w:val="clear" w:color="auto" w:fill="F2F2F2" w:themeFill="background1" w:themeFillShade="F2"/>
            <w:vAlign w:val="center"/>
          </w:tcPr>
          <w:p w14:paraId="05B8BC44" w14:textId="77777777" w:rsidR="003D1B66" w:rsidRDefault="003D1B66" w:rsidP="000B46B5">
            <w:pPr>
              <w:bidi/>
              <w:spacing w:after="0" w:line="240" w:lineRule="auto"/>
            </w:pPr>
            <w:r>
              <w:rPr>
                <w:rFonts w:eastAsia="Arial"/>
                <w:sz w:val="21"/>
                <w:rtl/>
              </w:rPr>
              <w:t>المؤسسية</w:t>
            </w:r>
          </w:p>
        </w:tc>
        <w:tc>
          <w:tcPr>
            <w:tcW w:w="2976" w:type="dxa"/>
            <w:shd w:val="clear" w:color="auto" w:fill="F2F2F2" w:themeFill="background1" w:themeFillShade="F2"/>
            <w:vAlign w:val="center"/>
          </w:tcPr>
          <w:p w14:paraId="1B1B411E" w14:textId="77777777" w:rsidR="003D1B66" w:rsidRDefault="003D1B66" w:rsidP="000B46B5">
            <w:pPr>
              <w:bidi/>
              <w:spacing w:after="0" w:line="240" w:lineRule="auto"/>
            </w:pPr>
            <w:r>
              <w:rPr>
                <w:rFonts w:eastAsia="Arial"/>
                <w:sz w:val="21"/>
                <w:rtl/>
              </w:rPr>
              <w:t>الفجوة بين القواعد الرسمية والممارسة</w:t>
            </w:r>
          </w:p>
        </w:tc>
        <w:tc>
          <w:tcPr>
            <w:tcW w:w="2976" w:type="dxa"/>
            <w:shd w:val="clear" w:color="auto" w:fill="F2F2F2" w:themeFill="background1" w:themeFillShade="F2"/>
            <w:vAlign w:val="center"/>
          </w:tcPr>
          <w:p w14:paraId="7F9DE025" w14:textId="77777777" w:rsidR="003D1B66" w:rsidRDefault="003D1B66" w:rsidP="000B46B5">
            <w:pPr>
              <w:bidi/>
              <w:spacing w:after="0" w:line="240" w:lineRule="auto"/>
            </w:pPr>
            <w:r>
              <w:rPr>
                <w:rFonts w:eastAsia="Arial"/>
                <w:sz w:val="21"/>
                <w:rtl/>
              </w:rPr>
              <w:t>ترسيخ الثقافة، الامتثال الفعلي، توحيد الإجراءات، التقييم</w:t>
            </w:r>
          </w:p>
        </w:tc>
      </w:tr>
      <w:tr w:rsidR="003D1B66" w14:paraId="1033C6CA" w14:textId="77777777" w:rsidTr="000B46B5">
        <w:tc>
          <w:tcPr>
            <w:tcW w:w="2976" w:type="dxa"/>
            <w:shd w:val="clear" w:color="auto" w:fill="F2F2F2" w:themeFill="background1" w:themeFillShade="F2"/>
            <w:vAlign w:val="center"/>
          </w:tcPr>
          <w:p w14:paraId="134A759F" w14:textId="77777777" w:rsidR="003D1B66" w:rsidRDefault="003D1B66" w:rsidP="000B46B5">
            <w:pPr>
              <w:bidi/>
              <w:spacing w:after="0" w:line="240" w:lineRule="auto"/>
            </w:pPr>
            <w:r>
              <w:rPr>
                <w:rFonts w:eastAsia="Arial"/>
                <w:sz w:val="21"/>
                <w:rtl/>
              </w:rPr>
              <w:t>الإشراف/القوامة</w:t>
            </w:r>
          </w:p>
        </w:tc>
        <w:tc>
          <w:tcPr>
            <w:tcW w:w="2976" w:type="dxa"/>
            <w:shd w:val="clear" w:color="auto" w:fill="F2F2F2" w:themeFill="background1" w:themeFillShade="F2"/>
            <w:vAlign w:val="center"/>
          </w:tcPr>
          <w:p w14:paraId="2A8F08EA" w14:textId="77777777" w:rsidR="003D1B66" w:rsidRDefault="003D1B66" w:rsidP="000B46B5">
            <w:pPr>
              <w:bidi/>
              <w:spacing w:after="0" w:line="240" w:lineRule="auto"/>
            </w:pPr>
            <w:r>
              <w:rPr>
                <w:rFonts w:eastAsia="Arial"/>
                <w:sz w:val="21"/>
                <w:rtl/>
              </w:rPr>
              <w:t>الحاجة إلى الثقة والالتزام بالرسالة</w:t>
            </w:r>
          </w:p>
        </w:tc>
        <w:tc>
          <w:tcPr>
            <w:tcW w:w="2976" w:type="dxa"/>
            <w:shd w:val="clear" w:color="auto" w:fill="F2F2F2" w:themeFill="background1" w:themeFillShade="F2"/>
            <w:vAlign w:val="center"/>
          </w:tcPr>
          <w:p w14:paraId="4C55BCAB" w14:textId="77777777" w:rsidR="003D1B66" w:rsidRDefault="003D1B66" w:rsidP="000B46B5">
            <w:pPr>
              <w:bidi/>
              <w:spacing w:after="0" w:line="240" w:lineRule="auto"/>
            </w:pPr>
            <w:r>
              <w:rPr>
                <w:rFonts w:eastAsia="Arial"/>
                <w:sz w:val="21"/>
                <w:rtl/>
              </w:rPr>
              <w:t>التمكين، القيادة الأخلاقية، المساءلة التعليمية</w:t>
            </w:r>
          </w:p>
        </w:tc>
      </w:tr>
      <w:tr w:rsidR="003D1B66" w14:paraId="41E82798" w14:textId="77777777" w:rsidTr="000B46B5">
        <w:tc>
          <w:tcPr>
            <w:tcW w:w="2976" w:type="dxa"/>
            <w:shd w:val="clear" w:color="auto" w:fill="F2F2F2" w:themeFill="background1" w:themeFillShade="F2"/>
            <w:vAlign w:val="center"/>
          </w:tcPr>
          <w:p w14:paraId="2D5DDE9E" w14:textId="77777777" w:rsidR="003D1B66" w:rsidRDefault="003D1B66" w:rsidP="000B46B5">
            <w:pPr>
              <w:bidi/>
              <w:spacing w:after="0" w:line="240" w:lineRule="auto"/>
            </w:pPr>
            <w:r>
              <w:rPr>
                <w:rFonts w:eastAsia="Arial"/>
                <w:sz w:val="21"/>
                <w:rtl/>
              </w:rPr>
              <w:t>الاعتماد على الموارد</w:t>
            </w:r>
          </w:p>
        </w:tc>
        <w:tc>
          <w:tcPr>
            <w:tcW w:w="2976" w:type="dxa"/>
            <w:shd w:val="clear" w:color="auto" w:fill="F2F2F2" w:themeFill="background1" w:themeFillShade="F2"/>
            <w:vAlign w:val="center"/>
          </w:tcPr>
          <w:p w14:paraId="053225D3" w14:textId="77777777" w:rsidR="003D1B66" w:rsidRDefault="003D1B66" w:rsidP="000B46B5">
            <w:pPr>
              <w:bidi/>
              <w:spacing w:after="0" w:line="240" w:lineRule="auto"/>
            </w:pPr>
            <w:r>
              <w:rPr>
                <w:rFonts w:eastAsia="Arial"/>
                <w:sz w:val="21"/>
                <w:rtl/>
              </w:rPr>
              <w:t>اعتماد المؤسسة على أطراف وموارد خارجية</w:t>
            </w:r>
          </w:p>
        </w:tc>
        <w:tc>
          <w:tcPr>
            <w:tcW w:w="2976" w:type="dxa"/>
            <w:shd w:val="clear" w:color="auto" w:fill="F2F2F2" w:themeFill="background1" w:themeFillShade="F2"/>
            <w:vAlign w:val="center"/>
          </w:tcPr>
          <w:p w14:paraId="6FE1BBA2" w14:textId="77777777" w:rsidR="003D1B66" w:rsidRDefault="003D1B66" w:rsidP="000B46B5">
            <w:pPr>
              <w:bidi/>
              <w:spacing w:after="0" w:line="240" w:lineRule="auto"/>
            </w:pPr>
            <w:r>
              <w:rPr>
                <w:rFonts w:eastAsia="Arial"/>
                <w:sz w:val="21"/>
                <w:rtl/>
              </w:rPr>
              <w:t>الشراكات، تنوع المجلس، إدارة تعارض المصالح</w:t>
            </w:r>
          </w:p>
        </w:tc>
      </w:tr>
      <w:tr w:rsidR="003D1B66" w14:paraId="7CBE6B51" w14:textId="77777777" w:rsidTr="000B46B5">
        <w:tc>
          <w:tcPr>
            <w:tcW w:w="2976" w:type="dxa"/>
            <w:shd w:val="clear" w:color="auto" w:fill="F2F2F2" w:themeFill="background1" w:themeFillShade="F2"/>
            <w:vAlign w:val="center"/>
          </w:tcPr>
          <w:p w14:paraId="0243C1DF" w14:textId="77777777" w:rsidR="003D1B66" w:rsidRDefault="003D1B66" w:rsidP="000B46B5">
            <w:pPr>
              <w:bidi/>
              <w:spacing w:after="0" w:line="240" w:lineRule="auto"/>
            </w:pPr>
            <w:r>
              <w:rPr>
                <w:rFonts w:eastAsia="Arial"/>
                <w:sz w:val="21"/>
                <w:rtl/>
              </w:rPr>
              <w:t>النظم والتغذية الراجعة</w:t>
            </w:r>
          </w:p>
        </w:tc>
        <w:tc>
          <w:tcPr>
            <w:tcW w:w="2976" w:type="dxa"/>
            <w:shd w:val="clear" w:color="auto" w:fill="F2F2F2" w:themeFill="background1" w:themeFillShade="F2"/>
            <w:vAlign w:val="center"/>
          </w:tcPr>
          <w:p w14:paraId="7C713EB5" w14:textId="77777777" w:rsidR="003D1B66" w:rsidRDefault="003D1B66" w:rsidP="000B46B5">
            <w:pPr>
              <w:bidi/>
              <w:spacing w:after="0" w:line="240" w:lineRule="auto"/>
            </w:pPr>
            <w:r>
              <w:rPr>
                <w:rFonts w:eastAsia="Arial"/>
                <w:sz w:val="21"/>
                <w:rtl/>
              </w:rPr>
              <w:t>ترابط العمليات والحاجة إلى التعلم</w:t>
            </w:r>
          </w:p>
        </w:tc>
        <w:tc>
          <w:tcPr>
            <w:tcW w:w="2976" w:type="dxa"/>
            <w:shd w:val="clear" w:color="auto" w:fill="F2F2F2" w:themeFill="background1" w:themeFillShade="F2"/>
            <w:vAlign w:val="center"/>
          </w:tcPr>
          <w:p w14:paraId="1F7F9687" w14:textId="77777777" w:rsidR="003D1B66" w:rsidRDefault="003D1B66" w:rsidP="000B46B5">
            <w:pPr>
              <w:bidi/>
              <w:spacing w:after="0" w:line="240" w:lineRule="auto"/>
            </w:pPr>
            <w:r>
              <w:rPr>
                <w:rFonts w:eastAsia="Arial"/>
                <w:sz w:val="21"/>
                <w:rtl/>
              </w:rPr>
              <w:t>مؤشرات الأداء، المراجعة الدورية، الإجراءات التصحيحية</w:t>
            </w:r>
          </w:p>
        </w:tc>
      </w:tr>
    </w:tbl>
    <w:p w14:paraId="3027FE0F" w14:textId="77777777" w:rsidR="003D1B66" w:rsidRDefault="003D1B66" w:rsidP="003D1B66">
      <w:pPr>
        <w:pStyle w:val="31"/>
        <w:bidi/>
        <w:jc w:val="both"/>
      </w:pPr>
      <w:r>
        <w:rPr>
          <w:rFonts w:ascii="Arial" w:eastAsia="Arial" w:hAnsi="Arial" w:cs="Arial"/>
        </w:rPr>
        <w:lastRenderedPageBreak/>
        <w:t>2-3-1-6</w:t>
      </w:r>
      <w:r>
        <w:rPr>
          <w:rFonts w:ascii="Arial" w:eastAsia="Arial" w:hAnsi="Arial" w:cs="Arial"/>
          <w:rtl/>
        </w:rPr>
        <w:t xml:space="preserve"> مبادئ وأبعاد الحوكمة الصحية</w:t>
      </w:r>
    </w:p>
    <w:p w14:paraId="094A5434" w14:textId="77777777" w:rsidR="003D1B66" w:rsidRDefault="003D1B66" w:rsidP="003D1B66">
      <w:pPr>
        <w:bidi/>
        <w:spacing w:after="120" w:line="360" w:lineRule="auto"/>
        <w:ind w:firstLine="397"/>
        <w:jc w:val="both"/>
      </w:pPr>
      <w:r>
        <w:rPr>
          <w:rFonts w:eastAsia="Arial"/>
          <w:rtl/>
        </w:rPr>
        <w:t xml:space="preserve">تتعدد أطر الحوكمة الصحية، إلا أن الأدبيات تتقاطع حول مجموعة من الأبعاد الأساسية. فقد اقترح </w:t>
      </w:r>
      <w:r>
        <w:rPr>
          <w:rFonts w:eastAsia="Arial"/>
        </w:rPr>
        <w:t>Siddiqi</w:t>
      </w:r>
      <w:r>
        <w:rPr>
          <w:rFonts w:eastAsia="Arial"/>
          <w:rtl/>
        </w:rPr>
        <w:t xml:space="preserve"> وآخرون (</w:t>
      </w:r>
      <w:r>
        <w:rPr>
          <w:rFonts w:eastAsia="Arial"/>
        </w:rPr>
        <w:t>2009</w:t>
      </w:r>
      <w:r>
        <w:rPr>
          <w:rFonts w:eastAsia="Arial"/>
          <w:rtl/>
        </w:rPr>
        <w:t xml:space="preserve">) إطاراً يضم عشرة مبادئ تشمل الرؤية الاستراتيجية، والمشاركة والتوافق، وسيادة القانون، والشفافية، والاستجابة، والعدالة والشمول، والفعالية والكفاءة، والمساءلة، والمعلومات، والأخلاقيات. كما خلص إطار </w:t>
      </w:r>
      <w:r>
        <w:rPr>
          <w:rFonts w:eastAsia="Arial"/>
        </w:rPr>
        <w:t>TAPIC</w:t>
      </w:r>
      <w:r>
        <w:rPr>
          <w:rFonts w:eastAsia="Arial"/>
          <w:rtl/>
        </w:rPr>
        <w:t xml:space="preserve"> إلى خمسة مجالات تحليلية هي الشفافية، والمساءلة، والمشاركة، والنزاهة، والقدرة، باعتبارها مجالات تساعد على تشخيص مشكلات صنع القرار والتنفيذ (</w:t>
      </w:r>
      <w:r>
        <w:rPr>
          <w:rFonts w:eastAsia="Arial"/>
        </w:rPr>
        <w:t>Greer et al., 2019</w:t>
      </w:r>
      <w:r>
        <w:rPr>
          <w:rFonts w:eastAsia="Arial"/>
          <w:rtl/>
        </w:rPr>
        <w:t>).</w:t>
      </w:r>
    </w:p>
    <w:p w14:paraId="038CFEB3" w14:textId="77777777" w:rsidR="003D1B66" w:rsidRDefault="003D1B66" w:rsidP="003D1B66">
      <w:pPr>
        <w:bidi/>
        <w:spacing w:after="120" w:line="360" w:lineRule="auto"/>
        <w:ind w:firstLine="397"/>
        <w:jc w:val="both"/>
      </w:pPr>
      <w:r>
        <w:rPr>
          <w:rFonts w:eastAsia="Arial"/>
          <w:rtl/>
        </w:rPr>
        <w:t>الشفافية تعني إتاحة المعلومات ذات الصلة بالقرارات والإجراءات والنتائج بطريقة مفهومة وفي الوقت المناسب، مع بيان أسس القرار والجهات المسؤولة عنه. ولا تتطلب الشفافية نشر جميع المعلومات دون قيود، خاصة في القطاع الصحي، بل تحقيق توازن بين حق المعرفة وخصوصية المرضى والسرية المهنية والأمن السيبراني.</w:t>
      </w:r>
    </w:p>
    <w:p w14:paraId="5313C828" w14:textId="77777777" w:rsidR="003D1B66" w:rsidRDefault="003D1B66" w:rsidP="003D1B66">
      <w:pPr>
        <w:bidi/>
        <w:spacing w:after="120" w:line="360" w:lineRule="auto"/>
        <w:ind w:firstLine="397"/>
        <w:jc w:val="both"/>
      </w:pPr>
      <w:r>
        <w:rPr>
          <w:rFonts w:eastAsia="Arial"/>
          <w:rtl/>
        </w:rPr>
        <w:t>المساءلة تعني التزام صاحب الصلاحية بتقديم تفسير عن أفعاله ونتائجه، وإمكانية تقييم هذا التفسير ووجود نتائج أو إجراءات عند التقصير. وتحتاج المساءلة إلى وضوح التوقعات والمؤشرات، وإلى جهة تستطيع طلب التفسير والتحقق واتخاذ الإجراء. لذلك فإن جمع البيانات وحده لا يحقق المساءلة ما لم يُربط بمراجعة منتظمة وقرارات تصحيحية.</w:t>
      </w:r>
    </w:p>
    <w:p w14:paraId="38F28A09" w14:textId="77777777" w:rsidR="003D1B66" w:rsidRDefault="003D1B66" w:rsidP="003D1B66">
      <w:pPr>
        <w:bidi/>
        <w:spacing w:after="120" w:line="360" w:lineRule="auto"/>
        <w:ind w:firstLine="397"/>
        <w:jc w:val="both"/>
      </w:pPr>
      <w:r>
        <w:rPr>
          <w:rFonts w:eastAsia="Arial"/>
          <w:rtl/>
        </w:rPr>
        <w:t>المشاركة تعني تمكين الأطراف المتأثرة من تقديم مدخلات مناسبة في القرارات، سواء كانوا مهنيين أو مرضى أو موظفين أو شركاء. وتختلف درجة المشاركة باختلاف نوع القرار؛ فقد تكون استشارية في بعض السياسات، أو تشاركية في تصميم الخدمات، أو تمثيلية في اللجان والمجالس. وتساعد المشاركة على تحسين ملاءمة القرارات وكشف آثارها المحتملة وتعزيز قبولها.</w:t>
      </w:r>
    </w:p>
    <w:p w14:paraId="4BA65D80" w14:textId="77777777" w:rsidR="003D1B66" w:rsidRDefault="003D1B66" w:rsidP="003D1B66">
      <w:pPr>
        <w:bidi/>
        <w:spacing w:after="120" w:line="360" w:lineRule="auto"/>
        <w:ind w:firstLine="397"/>
        <w:jc w:val="both"/>
      </w:pPr>
      <w:r>
        <w:rPr>
          <w:rFonts w:eastAsia="Arial"/>
          <w:rtl/>
        </w:rPr>
        <w:t>النزاهة وسيادة الأنظمة تعنيان اتساق القرارات مع القواعد والقيم المهنية، ومنع إساءة استخدام السلطة، وإدارة تعارض المصالح، وعدالة تطبيق الإجراءات. ويكتسب هذا البعد أهمية خاصة في المشتريات الصحية، والتوظيف، والتعاقدات، والإحالات، واعتماد الأدوية والتقنيات، حيث قد تؤدي المصالح المتعارضة إلى قرارات مكلفة أو غير عادلة.</w:t>
      </w:r>
    </w:p>
    <w:p w14:paraId="485DD65C" w14:textId="77777777" w:rsidR="003D1B66" w:rsidRDefault="003D1B66" w:rsidP="003D1B66">
      <w:pPr>
        <w:bidi/>
        <w:spacing w:after="120" w:line="360" w:lineRule="auto"/>
        <w:ind w:firstLine="397"/>
        <w:jc w:val="both"/>
      </w:pPr>
      <w:r>
        <w:rPr>
          <w:rFonts w:eastAsia="Arial"/>
          <w:rtl/>
        </w:rPr>
        <w:t>القدرة المؤسسية تشير إلى امتلاك الجهة للموارد والكفاءات والبيانات والأدوات اللازمة لصنع السياسات وتنفيذها ومراقبتها. فالحوكمة ليست مجرد قيود، بل تحتاج إلى قدرة تحليلية وقانونية وتقنية وقيادية. وقد تكون السياسات شفافة والمساءلة واضحة، لكن ضعف القدرات البشرية أو نظم المعلومات يمنع تحقيق النتائج.</w:t>
      </w:r>
    </w:p>
    <w:p w14:paraId="52F55F9D" w14:textId="77777777" w:rsidR="003D1B66" w:rsidRDefault="003D1B66" w:rsidP="003D1B66">
      <w:pPr>
        <w:bidi/>
        <w:spacing w:after="120" w:line="360" w:lineRule="auto"/>
        <w:ind w:firstLine="397"/>
        <w:jc w:val="both"/>
      </w:pPr>
      <w:r>
        <w:rPr>
          <w:rFonts w:eastAsia="Arial"/>
          <w:rtl/>
        </w:rPr>
        <w:t>الفعالية والكفاءة ترتبطان بقدرة المؤسسة على تحقيق النتائج المطلوبة وحسن استخدام الموارد. وتندرج الكفاءة في بعض الأطر ضمن مبادئ الحوكمة، بينما تُعامل في الدراسة الحالية كمتغير تابع؛ لأن الهدف هو تحليل مدى إسهام ممارسات الحوكمة في تحسين استخدام الموارد والعمليات والقرارات داخل المؤسسات الصحية.</w:t>
      </w:r>
    </w:p>
    <w:p w14:paraId="2A61DBDC" w14:textId="77777777" w:rsidR="003D1B66" w:rsidRDefault="003D1B66" w:rsidP="003D1B66">
      <w:pPr>
        <w:keepNext/>
        <w:bidi/>
        <w:spacing w:before="120" w:after="80"/>
      </w:pPr>
      <w:r>
        <w:rPr>
          <w:rFonts w:eastAsia="Arial"/>
          <w:b/>
          <w:sz w:val="24"/>
          <w:rtl/>
        </w:rPr>
        <w:t>جدول (</w:t>
      </w:r>
      <w:r>
        <w:rPr>
          <w:rFonts w:eastAsia="Arial"/>
          <w:b/>
          <w:sz w:val="24"/>
        </w:rPr>
        <w:t>9</w:t>
      </w:r>
      <w:r>
        <w:rPr>
          <w:rFonts w:eastAsia="Arial"/>
          <w:b/>
          <w:sz w:val="24"/>
          <w:rtl/>
        </w:rPr>
        <w:t>): مبادئ وأبعاد الحوكمة الصحية</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2976"/>
        <w:gridCol w:w="2976"/>
        <w:gridCol w:w="2976"/>
      </w:tblGrid>
      <w:tr w:rsidR="003D1B66" w14:paraId="43B47417" w14:textId="77777777" w:rsidTr="000B46B5">
        <w:trPr>
          <w:tblHeader/>
          <w:jc w:val="center"/>
        </w:trPr>
        <w:tc>
          <w:tcPr>
            <w:tcW w:w="2976" w:type="dxa"/>
            <w:shd w:val="clear" w:color="auto" w:fill="F2F2F2" w:themeFill="background1" w:themeFillShade="F2"/>
            <w:vAlign w:val="center"/>
          </w:tcPr>
          <w:p w14:paraId="073C47E3" w14:textId="77777777" w:rsidR="003D1B66" w:rsidRDefault="003D1B66" w:rsidP="000B46B5">
            <w:pPr>
              <w:bidi/>
              <w:spacing w:after="0" w:line="240" w:lineRule="auto"/>
            </w:pPr>
            <w:r>
              <w:rPr>
                <w:rFonts w:eastAsia="Arial"/>
                <w:b/>
                <w:sz w:val="21"/>
                <w:rtl/>
              </w:rPr>
              <w:t>البعد</w:t>
            </w:r>
          </w:p>
        </w:tc>
        <w:tc>
          <w:tcPr>
            <w:tcW w:w="2976" w:type="dxa"/>
            <w:shd w:val="clear" w:color="auto" w:fill="F2F2F2" w:themeFill="background1" w:themeFillShade="F2"/>
            <w:vAlign w:val="center"/>
          </w:tcPr>
          <w:p w14:paraId="2E9E9573" w14:textId="77777777" w:rsidR="003D1B66" w:rsidRDefault="003D1B66" w:rsidP="000B46B5">
            <w:pPr>
              <w:bidi/>
              <w:spacing w:after="0" w:line="240" w:lineRule="auto"/>
            </w:pPr>
            <w:r>
              <w:rPr>
                <w:rFonts w:eastAsia="Arial"/>
                <w:b/>
                <w:sz w:val="21"/>
                <w:rtl/>
              </w:rPr>
              <w:t>التعريف الإجرائي النظري</w:t>
            </w:r>
          </w:p>
        </w:tc>
        <w:tc>
          <w:tcPr>
            <w:tcW w:w="2976" w:type="dxa"/>
            <w:shd w:val="clear" w:color="auto" w:fill="F2F2F2" w:themeFill="background1" w:themeFillShade="F2"/>
            <w:vAlign w:val="center"/>
          </w:tcPr>
          <w:p w14:paraId="14D82948" w14:textId="77777777" w:rsidR="003D1B66" w:rsidRDefault="003D1B66" w:rsidP="000B46B5">
            <w:pPr>
              <w:bidi/>
              <w:spacing w:after="0" w:line="240" w:lineRule="auto"/>
            </w:pPr>
            <w:r>
              <w:rPr>
                <w:rFonts w:eastAsia="Arial"/>
                <w:b/>
                <w:sz w:val="21"/>
                <w:rtl/>
              </w:rPr>
              <w:t>أمثلة لممارسات قابلة للرصد</w:t>
            </w:r>
          </w:p>
        </w:tc>
      </w:tr>
      <w:tr w:rsidR="003D1B66" w14:paraId="57F1C7AC" w14:textId="77777777" w:rsidTr="000B46B5">
        <w:trPr>
          <w:jc w:val="center"/>
        </w:trPr>
        <w:tc>
          <w:tcPr>
            <w:tcW w:w="2976" w:type="dxa"/>
            <w:shd w:val="clear" w:color="auto" w:fill="F2F2F2" w:themeFill="background1" w:themeFillShade="F2"/>
            <w:vAlign w:val="center"/>
          </w:tcPr>
          <w:p w14:paraId="7CD67463" w14:textId="77777777" w:rsidR="003D1B66" w:rsidRDefault="003D1B66" w:rsidP="000B46B5">
            <w:pPr>
              <w:bidi/>
              <w:spacing w:after="0" w:line="240" w:lineRule="auto"/>
            </w:pPr>
            <w:r>
              <w:rPr>
                <w:rFonts w:eastAsia="Arial"/>
                <w:sz w:val="21"/>
                <w:rtl/>
              </w:rPr>
              <w:t>الشفافية</w:t>
            </w:r>
          </w:p>
        </w:tc>
        <w:tc>
          <w:tcPr>
            <w:tcW w:w="2976" w:type="dxa"/>
            <w:shd w:val="clear" w:color="auto" w:fill="F2F2F2" w:themeFill="background1" w:themeFillShade="F2"/>
            <w:vAlign w:val="center"/>
          </w:tcPr>
          <w:p w14:paraId="4A3BF898" w14:textId="77777777" w:rsidR="003D1B66" w:rsidRDefault="003D1B66" w:rsidP="000B46B5">
            <w:pPr>
              <w:bidi/>
              <w:spacing w:after="0" w:line="240" w:lineRule="auto"/>
            </w:pPr>
            <w:r>
              <w:rPr>
                <w:rFonts w:eastAsia="Arial"/>
                <w:sz w:val="21"/>
                <w:rtl/>
              </w:rPr>
              <w:t>وضوح وإتاحة المعلومات وأسس القرارات والنتائج</w:t>
            </w:r>
          </w:p>
        </w:tc>
        <w:tc>
          <w:tcPr>
            <w:tcW w:w="2976" w:type="dxa"/>
            <w:shd w:val="clear" w:color="auto" w:fill="F2F2F2" w:themeFill="background1" w:themeFillShade="F2"/>
            <w:vAlign w:val="center"/>
          </w:tcPr>
          <w:p w14:paraId="79BCB828" w14:textId="77777777" w:rsidR="003D1B66" w:rsidRDefault="003D1B66" w:rsidP="000B46B5">
            <w:pPr>
              <w:bidi/>
              <w:spacing w:after="0" w:line="240" w:lineRule="auto"/>
            </w:pPr>
            <w:r>
              <w:rPr>
                <w:rFonts w:eastAsia="Arial"/>
                <w:sz w:val="21"/>
                <w:rtl/>
              </w:rPr>
              <w:t>نشر السياسات، تقارير الأداء، الإفصاح عن المعايير، سهولة الوصول للمعلومة</w:t>
            </w:r>
          </w:p>
        </w:tc>
      </w:tr>
      <w:tr w:rsidR="003D1B66" w14:paraId="61FF8929" w14:textId="77777777" w:rsidTr="000B46B5">
        <w:trPr>
          <w:jc w:val="center"/>
        </w:trPr>
        <w:tc>
          <w:tcPr>
            <w:tcW w:w="2976" w:type="dxa"/>
            <w:shd w:val="clear" w:color="auto" w:fill="F2F2F2" w:themeFill="background1" w:themeFillShade="F2"/>
            <w:vAlign w:val="center"/>
          </w:tcPr>
          <w:p w14:paraId="7185F61C" w14:textId="77777777" w:rsidR="003D1B66" w:rsidRDefault="003D1B66" w:rsidP="000B46B5">
            <w:pPr>
              <w:bidi/>
              <w:spacing w:after="0" w:line="240" w:lineRule="auto"/>
            </w:pPr>
            <w:r>
              <w:rPr>
                <w:rFonts w:eastAsia="Arial"/>
                <w:sz w:val="21"/>
                <w:rtl/>
              </w:rPr>
              <w:t>المساءلة</w:t>
            </w:r>
          </w:p>
        </w:tc>
        <w:tc>
          <w:tcPr>
            <w:tcW w:w="2976" w:type="dxa"/>
            <w:shd w:val="clear" w:color="auto" w:fill="F2F2F2" w:themeFill="background1" w:themeFillShade="F2"/>
            <w:vAlign w:val="center"/>
          </w:tcPr>
          <w:p w14:paraId="3B3F8E34" w14:textId="77777777" w:rsidR="003D1B66" w:rsidRDefault="003D1B66" w:rsidP="000B46B5">
            <w:pPr>
              <w:bidi/>
              <w:spacing w:after="0" w:line="240" w:lineRule="auto"/>
            </w:pPr>
            <w:r>
              <w:rPr>
                <w:rFonts w:eastAsia="Arial"/>
                <w:sz w:val="21"/>
                <w:rtl/>
              </w:rPr>
              <w:t>تقديم التفسير عن الأداء ووجود مراجعة وعواقب أو تصحيح</w:t>
            </w:r>
          </w:p>
        </w:tc>
        <w:tc>
          <w:tcPr>
            <w:tcW w:w="2976" w:type="dxa"/>
            <w:shd w:val="clear" w:color="auto" w:fill="F2F2F2" w:themeFill="background1" w:themeFillShade="F2"/>
            <w:vAlign w:val="center"/>
          </w:tcPr>
          <w:p w14:paraId="103F2873" w14:textId="77777777" w:rsidR="003D1B66" w:rsidRDefault="003D1B66" w:rsidP="000B46B5">
            <w:pPr>
              <w:bidi/>
              <w:spacing w:after="0" w:line="240" w:lineRule="auto"/>
            </w:pPr>
            <w:r>
              <w:rPr>
                <w:rFonts w:eastAsia="Arial"/>
                <w:sz w:val="21"/>
                <w:rtl/>
              </w:rPr>
              <w:t>تقارير دورية، لجان مراجعة، متابعة التوصيات، ربط المسؤولية بالصلاحية</w:t>
            </w:r>
          </w:p>
        </w:tc>
      </w:tr>
      <w:tr w:rsidR="003D1B66" w14:paraId="3BA8E2F4" w14:textId="77777777" w:rsidTr="000B46B5">
        <w:trPr>
          <w:jc w:val="center"/>
        </w:trPr>
        <w:tc>
          <w:tcPr>
            <w:tcW w:w="2976" w:type="dxa"/>
            <w:shd w:val="clear" w:color="auto" w:fill="F2F2F2" w:themeFill="background1" w:themeFillShade="F2"/>
            <w:vAlign w:val="center"/>
          </w:tcPr>
          <w:p w14:paraId="233DCB61" w14:textId="77777777" w:rsidR="003D1B66" w:rsidRDefault="003D1B66" w:rsidP="000B46B5">
            <w:pPr>
              <w:bidi/>
              <w:spacing w:after="0" w:line="240" w:lineRule="auto"/>
            </w:pPr>
            <w:r>
              <w:rPr>
                <w:rFonts w:eastAsia="Arial"/>
                <w:sz w:val="21"/>
                <w:rtl/>
              </w:rPr>
              <w:t>المشاركة</w:t>
            </w:r>
          </w:p>
        </w:tc>
        <w:tc>
          <w:tcPr>
            <w:tcW w:w="2976" w:type="dxa"/>
            <w:shd w:val="clear" w:color="auto" w:fill="F2F2F2" w:themeFill="background1" w:themeFillShade="F2"/>
            <w:vAlign w:val="center"/>
          </w:tcPr>
          <w:p w14:paraId="14B007C8" w14:textId="77777777" w:rsidR="003D1B66" w:rsidRDefault="003D1B66" w:rsidP="000B46B5">
            <w:pPr>
              <w:bidi/>
              <w:spacing w:after="0" w:line="240" w:lineRule="auto"/>
            </w:pPr>
            <w:r>
              <w:rPr>
                <w:rFonts w:eastAsia="Arial"/>
                <w:sz w:val="21"/>
                <w:rtl/>
              </w:rPr>
              <w:t>إتاحة فرص مؤثرة لأصحاب المصلحة للمساهمة</w:t>
            </w:r>
          </w:p>
        </w:tc>
        <w:tc>
          <w:tcPr>
            <w:tcW w:w="2976" w:type="dxa"/>
            <w:shd w:val="clear" w:color="auto" w:fill="F2F2F2" w:themeFill="background1" w:themeFillShade="F2"/>
            <w:vAlign w:val="center"/>
          </w:tcPr>
          <w:p w14:paraId="40273855" w14:textId="77777777" w:rsidR="003D1B66" w:rsidRDefault="003D1B66" w:rsidP="000B46B5">
            <w:pPr>
              <w:bidi/>
              <w:spacing w:after="0" w:line="240" w:lineRule="auto"/>
            </w:pPr>
            <w:r>
              <w:rPr>
                <w:rFonts w:eastAsia="Arial"/>
                <w:sz w:val="21"/>
                <w:rtl/>
              </w:rPr>
              <w:t>استطلاعات، مجالس مرضى، مشاركة العاملين، استشارات</w:t>
            </w:r>
          </w:p>
        </w:tc>
      </w:tr>
      <w:tr w:rsidR="003D1B66" w14:paraId="2FA7260F" w14:textId="77777777" w:rsidTr="000B46B5">
        <w:trPr>
          <w:jc w:val="center"/>
        </w:trPr>
        <w:tc>
          <w:tcPr>
            <w:tcW w:w="2976" w:type="dxa"/>
            <w:shd w:val="clear" w:color="auto" w:fill="F2F2F2" w:themeFill="background1" w:themeFillShade="F2"/>
            <w:vAlign w:val="center"/>
          </w:tcPr>
          <w:p w14:paraId="59178ED2" w14:textId="77777777" w:rsidR="003D1B66" w:rsidRDefault="003D1B66" w:rsidP="000B46B5">
            <w:pPr>
              <w:bidi/>
              <w:spacing w:after="0" w:line="240" w:lineRule="auto"/>
            </w:pPr>
            <w:r>
              <w:rPr>
                <w:rFonts w:eastAsia="Arial"/>
                <w:sz w:val="21"/>
                <w:rtl/>
              </w:rPr>
              <w:lastRenderedPageBreak/>
              <w:t>النزاهة وسيادة الأنظمة</w:t>
            </w:r>
          </w:p>
        </w:tc>
        <w:tc>
          <w:tcPr>
            <w:tcW w:w="2976" w:type="dxa"/>
            <w:shd w:val="clear" w:color="auto" w:fill="F2F2F2" w:themeFill="background1" w:themeFillShade="F2"/>
            <w:vAlign w:val="center"/>
          </w:tcPr>
          <w:p w14:paraId="77CEE281" w14:textId="77777777" w:rsidR="003D1B66" w:rsidRDefault="003D1B66" w:rsidP="000B46B5">
            <w:pPr>
              <w:bidi/>
              <w:spacing w:after="0" w:line="240" w:lineRule="auto"/>
            </w:pPr>
            <w:r>
              <w:rPr>
                <w:rFonts w:eastAsia="Arial"/>
                <w:sz w:val="21"/>
                <w:rtl/>
              </w:rPr>
              <w:t>اتساق القرار مع القيم واللوائح وإدارة تعارض المصالح</w:t>
            </w:r>
          </w:p>
        </w:tc>
        <w:tc>
          <w:tcPr>
            <w:tcW w:w="2976" w:type="dxa"/>
            <w:shd w:val="clear" w:color="auto" w:fill="F2F2F2" w:themeFill="background1" w:themeFillShade="F2"/>
            <w:vAlign w:val="center"/>
          </w:tcPr>
          <w:p w14:paraId="56D4755C" w14:textId="77777777" w:rsidR="003D1B66" w:rsidRDefault="003D1B66" w:rsidP="000B46B5">
            <w:pPr>
              <w:bidi/>
              <w:spacing w:after="0" w:line="240" w:lineRule="auto"/>
            </w:pPr>
            <w:r>
              <w:rPr>
                <w:rFonts w:eastAsia="Arial"/>
                <w:sz w:val="21"/>
                <w:rtl/>
              </w:rPr>
              <w:t>إفصاحات مصالح، سياسات مشتريات، قنوات بلاغات، عدالة الإجراءات</w:t>
            </w:r>
          </w:p>
        </w:tc>
      </w:tr>
      <w:tr w:rsidR="003D1B66" w14:paraId="58540F40" w14:textId="77777777" w:rsidTr="000B46B5">
        <w:trPr>
          <w:jc w:val="center"/>
        </w:trPr>
        <w:tc>
          <w:tcPr>
            <w:tcW w:w="2976" w:type="dxa"/>
            <w:shd w:val="clear" w:color="auto" w:fill="F2F2F2" w:themeFill="background1" w:themeFillShade="F2"/>
            <w:vAlign w:val="center"/>
          </w:tcPr>
          <w:p w14:paraId="3A6BECE9" w14:textId="77777777" w:rsidR="003D1B66" w:rsidRDefault="003D1B66" w:rsidP="000B46B5">
            <w:pPr>
              <w:bidi/>
              <w:spacing w:after="0" w:line="240" w:lineRule="auto"/>
            </w:pPr>
            <w:r>
              <w:rPr>
                <w:rFonts w:eastAsia="Arial"/>
                <w:sz w:val="21"/>
                <w:rtl/>
              </w:rPr>
              <w:t>القدرة المؤسسية</w:t>
            </w:r>
          </w:p>
        </w:tc>
        <w:tc>
          <w:tcPr>
            <w:tcW w:w="2976" w:type="dxa"/>
            <w:shd w:val="clear" w:color="auto" w:fill="F2F2F2" w:themeFill="background1" w:themeFillShade="F2"/>
            <w:vAlign w:val="center"/>
          </w:tcPr>
          <w:p w14:paraId="596C69DB" w14:textId="77777777" w:rsidR="003D1B66" w:rsidRDefault="003D1B66" w:rsidP="000B46B5">
            <w:pPr>
              <w:bidi/>
              <w:spacing w:after="0" w:line="240" w:lineRule="auto"/>
            </w:pPr>
            <w:r>
              <w:rPr>
                <w:rFonts w:eastAsia="Arial"/>
                <w:sz w:val="21"/>
                <w:rtl/>
              </w:rPr>
              <w:t>توفر المهارات والموارد والبيانات لتنفيذ الحوكمة</w:t>
            </w:r>
          </w:p>
        </w:tc>
        <w:tc>
          <w:tcPr>
            <w:tcW w:w="2976" w:type="dxa"/>
            <w:shd w:val="clear" w:color="auto" w:fill="F2F2F2" w:themeFill="background1" w:themeFillShade="F2"/>
            <w:vAlign w:val="center"/>
          </w:tcPr>
          <w:p w14:paraId="2F25CDC7" w14:textId="77777777" w:rsidR="003D1B66" w:rsidRDefault="003D1B66" w:rsidP="000B46B5">
            <w:pPr>
              <w:bidi/>
              <w:spacing w:after="0" w:line="240" w:lineRule="auto"/>
            </w:pPr>
            <w:r>
              <w:rPr>
                <w:rFonts w:eastAsia="Arial"/>
                <w:sz w:val="21"/>
                <w:rtl/>
              </w:rPr>
              <w:t>تدريب، أنظمة معلومات، تحليل بيانات، موارد للتدقيق وإدارة المخاطر</w:t>
            </w:r>
          </w:p>
        </w:tc>
      </w:tr>
      <w:tr w:rsidR="003D1B66" w14:paraId="6DC1A5B5" w14:textId="77777777" w:rsidTr="000B46B5">
        <w:trPr>
          <w:jc w:val="center"/>
        </w:trPr>
        <w:tc>
          <w:tcPr>
            <w:tcW w:w="2976" w:type="dxa"/>
            <w:shd w:val="clear" w:color="auto" w:fill="F2F2F2" w:themeFill="background1" w:themeFillShade="F2"/>
            <w:vAlign w:val="center"/>
          </w:tcPr>
          <w:p w14:paraId="2BDA00CA" w14:textId="77777777" w:rsidR="003D1B66" w:rsidRDefault="003D1B66" w:rsidP="000B46B5">
            <w:pPr>
              <w:bidi/>
              <w:spacing w:after="0" w:line="240" w:lineRule="auto"/>
            </w:pPr>
            <w:r>
              <w:rPr>
                <w:rFonts w:eastAsia="Arial"/>
                <w:sz w:val="21"/>
                <w:rtl/>
              </w:rPr>
              <w:t>الاستجابة والعدالة</w:t>
            </w:r>
          </w:p>
        </w:tc>
        <w:tc>
          <w:tcPr>
            <w:tcW w:w="2976" w:type="dxa"/>
            <w:shd w:val="clear" w:color="auto" w:fill="F2F2F2" w:themeFill="background1" w:themeFillShade="F2"/>
            <w:vAlign w:val="center"/>
          </w:tcPr>
          <w:p w14:paraId="655D067E" w14:textId="77777777" w:rsidR="003D1B66" w:rsidRDefault="003D1B66" w:rsidP="000B46B5">
            <w:pPr>
              <w:bidi/>
              <w:spacing w:after="0" w:line="240" w:lineRule="auto"/>
            </w:pPr>
            <w:r>
              <w:rPr>
                <w:rFonts w:eastAsia="Arial"/>
                <w:sz w:val="21"/>
                <w:rtl/>
              </w:rPr>
              <w:t>سرعة وملاءمة الاستجابة وتكافؤ الوصول والمعاملة</w:t>
            </w:r>
          </w:p>
        </w:tc>
        <w:tc>
          <w:tcPr>
            <w:tcW w:w="2976" w:type="dxa"/>
            <w:shd w:val="clear" w:color="auto" w:fill="F2F2F2" w:themeFill="background1" w:themeFillShade="F2"/>
            <w:vAlign w:val="center"/>
          </w:tcPr>
          <w:p w14:paraId="3CCF0A0F" w14:textId="77777777" w:rsidR="003D1B66" w:rsidRDefault="003D1B66" w:rsidP="000B46B5">
            <w:pPr>
              <w:bidi/>
              <w:spacing w:after="0" w:line="240" w:lineRule="auto"/>
            </w:pPr>
            <w:r>
              <w:rPr>
                <w:rFonts w:eastAsia="Arial"/>
                <w:sz w:val="21"/>
                <w:rtl/>
              </w:rPr>
              <w:t>زمن معالجة الشكاوى، عدالة التوزيع، خدمات للفئات المختلفة</w:t>
            </w:r>
          </w:p>
        </w:tc>
      </w:tr>
    </w:tbl>
    <w:p w14:paraId="38FEFCCD" w14:textId="77777777" w:rsidR="003D1B66" w:rsidRDefault="003D1B66" w:rsidP="003D1B66">
      <w:pPr>
        <w:pStyle w:val="31"/>
        <w:bidi/>
        <w:jc w:val="both"/>
      </w:pPr>
      <w:r>
        <w:rPr>
          <w:rFonts w:ascii="Arial" w:eastAsia="Arial" w:hAnsi="Arial" w:cs="Arial"/>
        </w:rPr>
        <w:t>2-3-1-7</w:t>
      </w:r>
      <w:r>
        <w:rPr>
          <w:rFonts w:ascii="Arial" w:eastAsia="Arial" w:hAnsi="Arial" w:cs="Arial"/>
          <w:rtl/>
        </w:rPr>
        <w:t xml:space="preserve"> نماذج وأطر الحوكمة الصحية</w:t>
      </w:r>
    </w:p>
    <w:p w14:paraId="29351B9E" w14:textId="77777777" w:rsidR="003D1B66" w:rsidRDefault="003D1B66" w:rsidP="003D1B66">
      <w:pPr>
        <w:bidi/>
        <w:spacing w:after="120" w:line="360" w:lineRule="auto"/>
        <w:ind w:firstLine="397"/>
        <w:jc w:val="both"/>
      </w:pPr>
      <w:r>
        <w:rPr>
          <w:rFonts w:eastAsia="Arial"/>
          <w:rtl/>
        </w:rPr>
        <w:t xml:space="preserve">تساعد أطر الحوكمة على تحويل المفهوم الواسع إلى أبعاد ومؤشرات قابلة للتحليل. وقد أظهرت مراجعة </w:t>
      </w:r>
      <w:r>
        <w:rPr>
          <w:rFonts w:eastAsia="Arial"/>
        </w:rPr>
        <w:t>Barbazza</w:t>
      </w:r>
      <w:r>
        <w:rPr>
          <w:rFonts w:eastAsia="Arial"/>
          <w:rtl/>
        </w:rPr>
        <w:t xml:space="preserve"> و</w:t>
      </w:r>
      <w:r>
        <w:rPr>
          <w:rFonts w:eastAsia="Arial"/>
        </w:rPr>
        <w:t>Tello (2014)</w:t>
      </w:r>
      <w:r>
        <w:rPr>
          <w:rFonts w:eastAsia="Arial"/>
          <w:rtl/>
        </w:rPr>
        <w:t xml:space="preserve"> تنوع تعريفات الحوكمة وأدواتها، كما بينت مراجعة </w:t>
      </w:r>
      <w:r>
        <w:rPr>
          <w:rFonts w:eastAsia="Arial"/>
        </w:rPr>
        <w:t>Pyone</w:t>
      </w:r>
      <w:r>
        <w:rPr>
          <w:rFonts w:eastAsia="Arial"/>
          <w:rtl/>
        </w:rPr>
        <w:t xml:space="preserve"> وآخرين (</w:t>
      </w:r>
      <w:r>
        <w:rPr>
          <w:rFonts w:eastAsia="Arial"/>
        </w:rPr>
        <w:t>2017</w:t>
      </w:r>
      <w:r>
        <w:rPr>
          <w:rFonts w:eastAsia="Arial"/>
          <w:rtl/>
        </w:rPr>
        <w:t>) أن الأطر تختلف في أهدافها ومستوى تطبيقها والأسس النظرية التي تستند إليها. وهذا يعني أن اختيار الإطار ينبغي أن يرتبط بسؤال الدراسة ومستوى التحليل، لا بمجرد شيوع النموذج.</w:t>
      </w:r>
    </w:p>
    <w:p w14:paraId="75713963" w14:textId="77777777" w:rsidR="003D1B66" w:rsidRDefault="003D1B66" w:rsidP="003D1B66">
      <w:pPr>
        <w:bidi/>
        <w:spacing w:after="120" w:line="360" w:lineRule="auto"/>
        <w:ind w:firstLine="397"/>
        <w:jc w:val="both"/>
      </w:pPr>
      <w:r>
        <w:rPr>
          <w:rFonts w:eastAsia="Arial"/>
          <w:rtl/>
        </w:rPr>
        <w:t>إطار منظمة الصحة العالمية للقيادة والإشراف ينظر إلى الحوكمة بوصفها إحدى لبنات النظام الصحي، ويركز على وجود سياسات استراتيجية ورقابة وتنظيم ومساءلة. ويتميز بربط الحوكمة ببقية مكونات النظام مثل التمويل والقوى العاملة والمعلومات وتقديم الخدمات، لكنه واسع وقد يحتاج إلى تفصيل مؤسسي عند استخدامه داخل المستشفى.</w:t>
      </w:r>
    </w:p>
    <w:p w14:paraId="13B385A0" w14:textId="77777777" w:rsidR="003D1B66" w:rsidRDefault="003D1B66" w:rsidP="003D1B66">
      <w:pPr>
        <w:bidi/>
        <w:spacing w:after="120" w:line="360" w:lineRule="auto"/>
        <w:ind w:firstLine="397"/>
        <w:jc w:val="both"/>
      </w:pPr>
      <w:r>
        <w:rPr>
          <w:rFonts w:eastAsia="Arial"/>
          <w:rtl/>
        </w:rPr>
        <w:t xml:space="preserve">إطار </w:t>
      </w:r>
      <w:r>
        <w:rPr>
          <w:rFonts w:eastAsia="Arial"/>
        </w:rPr>
        <w:t>Siddiqi</w:t>
      </w:r>
      <w:r>
        <w:rPr>
          <w:rFonts w:eastAsia="Arial"/>
          <w:rtl/>
        </w:rPr>
        <w:t xml:space="preserve"> وآخرين (</w:t>
      </w:r>
      <w:r>
        <w:rPr>
          <w:rFonts w:eastAsia="Arial"/>
        </w:rPr>
        <w:t>2009</w:t>
      </w:r>
      <w:r>
        <w:rPr>
          <w:rFonts w:eastAsia="Arial"/>
          <w:rtl/>
        </w:rPr>
        <w:t>) من أكثر الأطر شمولاً، إذ يضم عشرة مبادئ ويفرق بين مستوى صياغة السياسة ومستوى التنفيذ. وتكمن قوته في ملاءمته للنظم الصحية وفي شموله للمعلومات والأخلاقيات والعدالة، إلا أن كثرة أبعاده وأسئلته قد تجعل تطبيقه الكامل يحتاج إلى بيانات واسعة ومصادر متعددة.</w:t>
      </w:r>
    </w:p>
    <w:p w14:paraId="691A0BF0" w14:textId="77777777" w:rsidR="003D1B66" w:rsidRDefault="003D1B66" w:rsidP="003D1B66">
      <w:pPr>
        <w:bidi/>
        <w:spacing w:after="120" w:line="360" w:lineRule="auto"/>
        <w:ind w:firstLine="397"/>
        <w:jc w:val="both"/>
      </w:pPr>
      <w:r>
        <w:rPr>
          <w:rFonts w:eastAsia="Arial"/>
          <w:rtl/>
        </w:rPr>
        <w:t xml:space="preserve">إطار </w:t>
      </w:r>
      <w:r>
        <w:rPr>
          <w:rFonts w:eastAsia="Arial"/>
        </w:rPr>
        <w:t>TAPIC</w:t>
      </w:r>
      <w:r>
        <w:rPr>
          <w:rFonts w:eastAsia="Arial"/>
          <w:rtl/>
        </w:rPr>
        <w:t xml:space="preserve"> الذي طوّره </w:t>
      </w:r>
      <w:r>
        <w:rPr>
          <w:rFonts w:eastAsia="Arial"/>
        </w:rPr>
        <w:t>Greer</w:t>
      </w:r>
      <w:r>
        <w:rPr>
          <w:rFonts w:eastAsia="Arial"/>
          <w:rtl/>
        </w:rPr>
        <w:t xml:space="preserve"> وآخرون يجمع الحوكمة في خمسة مجالات: الشفافية والمساءلة والمشاركة والنزاهة والقدرة. ويتميز ببساطته النسبية وتركيزه على تشخيص المشكلات التي تعوق صنع القرار والتنفيذ. كما يؤكد أن زيادة كل بُعد ليست دائماً هدفاً مطلقاً؛ فالإفراط في الإجراءات أو المشاركة غير المصممة جيداً قد يبطئ القرار، ولذلك يجب تقييم التوازن والملاءمة للسياق.</w:t>
      </w:r>
    </w:p>
    <w:p w14:paraId="2748D499" w14:textId="77777777" w:rsidR="003D1B66" w:rsidRDefault="003D1B66" w:rsidP="003D1B66">
      <w:pPr>
        <w:bidi/>
        <w:spacing w:after="120" w:line="360" w:lineRule="auto"/>
        <w:ind w:firstLine="397"/>
        <w:jc w:val="both"/>
      </w:pPr>
      <w:r>
        <w:rPr>
          <w:rFonts w:eastAsia="Arial"/>
          <w:rtl/>
        </w:rPr>
        <w:t>أما الحوكمة السريرية فتركز على مسؤولية المؤسسة عن التحسين المستمر لجودة الخدمات والمحافظة على معايير الرعاية وسلامة المرضى، من خلال التدقيق السريري، وإدارة المخاطر، والتعليم المستمر، والممارسة المبنية على الدليل، وإشراك المرضى. وهي مهمة للدراسة لأن الكفاءة في المؤسسة الصحية لا يمكن تقييمها بمعزل عن الجودة والسلامة؛ فالخفض المالي الذي يزيد الأخطاء أو إعادة التنويم لا يمثل كفاءة حقيقية.</w:t>
      </w:r>
    </w:p>
    <w:p w14:paraId="3010C654" w14:textId="77777777" w:rsidR="003D1B66" w:rsidRDefault="003D1B66" w:rsidP="003D1B66">
      <w:pPr>
        <w:bidi/>
        <w:spacing w:after="120" w:line="360" w:lineRule="auto"/>
        <w:ind w:firstLine="397"/>
        <w:jc w:val="both"/>
      </w:pPr>
      <w:r>
        <w:rPr>
          <w:rFonts w:eastAsia="Arial"/>
          <w:rtl/>
        </w:rPr>
        <w:t xml:space="preserve">ويبرز نموذج الحوكمة المسؤولة للمستشفيات الذي تناولته المراجعات الحديثة، حيث حددت مراجعة </w:t>
      </w:r>
      <w:r>
        <w:rPr>
          <w:rFonts w:eastAsia="Arial"/>
        </w:rPr>
        <w:t>Jalilvand</w:t>
      </w:r>
      <w:r>
        <w:rPr>
          <w:rFonts w:eastAsia="Arial"/>
          <w:rtl/>
        </w:rPr>
        <w:t xml:space="preserve"> وآخرين (</w:t>
      </w:r>
      <w:r>
        <w:rPr>
          <w:rFonts w:eastAsia="Arial"/>
        </w:rPr>
        <w:t>2024</w:t>
      </w:r>
      <w:r>
        <w:rPr>
          <w:rFonts w:eastAsia="Arial"/>
          <w:rtl/>
        </w:rPr>
        <w:t>) موضوعات رئيسة تشمل الحوكمة الشاملة، والالتزام بالمساءلة، والتخطيط للمساءلة، والاستقلالية المنضبطة. ويبين هذا الاتجاه أن مساءلة المستشفى لا تقتصر على الأداء المالي، بل تشمل الجودة والسلامة والمسؤولية الاجتماعية والسياسية تجاه المجتمع.</w:t>
      </w:r>
    </w:p>
    <w:p w14:paraId="0E9548B4" w14:textId="77777777" w:rsidR="003D1B66" w:rsidRDefault="003D1B66" w:rsidP="003D1B66">
      <w:pPr>
        <w:bidi/>
        <w:spacing w:after="120" w:line="360" w:lineRule="auto"/>
        <w:ind w:firstLine="397"/>
        <w:jc w:val="both"/>
      </w:pPr>
      <w:r>
        <w:rPr>
          <w:rFonts w:eastAsia="Arial"/>
          <w:rtl/>
        </w:rPr>
        <w:t xml:space="preserve">استناداً إلى هدف الدراسة الحالية، يمكن الاستفادة من عناصر إطار </w:t>
      </w:r>
      <w:r>
        <w:rPr>
          <w:rFonts w:eastAsia="Arial"/>
        </w:rPr>
        <w:t>TAPIC</w:t>
      </w:r>
      <w:r>
        <w:rPr>
          <w:rFonts w:eastAsia="Arial"/>
          <w:rtl/>
        </w:rPr>
        <w:t xml:space="preserve"> وإطار </w:t>
      </w:r>
      <w:r>
        <w:rPr>
          <w:rFonts w:eastAsia="Arial"/>
        </w:rPr>
        <w:t>Siddiqi</w:t>
      </w:r>
      <w:r>
        <w:rPr>
          <w:rFonts w:eastAsia="Arial"/>
          <w:rtl/>
        </w:rPr>
        <w:t xml:space="preserve"> مع التركيز على ممارسات الحوكمة المؤسسية التي يُتوقع أن تؤثر في الشفافية والكفاءة. ويُعامل مفهوم الحوكمة الصحية كمتغير شامل يتجسد في وضوح الأدوار والمساءلة والمشاركة والنزاهة والرقابة والقدرة على استخدام المعلومات، بينما تقاس الشفافية والكفاءة كنتاجين تنظيميَين رئيسين.</w:t>
      </w:r>
    </w:p>
    <w:p w14:paraId="1012E01C" w14:textId="77777777" w:rsidR="003D1B66" w:rsidRDefault="003D1B66" w:rsidP="003D1B66">
      <w:pPr>
        <w:keepNext/>
        <w:bidi/>
        <w:spacing w:before="120" w:after="80"/>
      </w:pPr>
      <w:r>
        <w:rPr>
          <w:rFonts w:eastAsia="Arial"/>
          <w:b/>
          <w:sz w:val="24"/>
          <w:rtl/>
        </w:rPr>
        <w:lastRenderedPageBreak/>
        <w:t>جدول (</w:t>
      </w:r>
      <w:r>
        <w:rPr>
          <w:rFonts w:eastAsia="Arial"/>
          <w:b/>
          <w:sz w:val="24"/>
        </w:rPr>
        <w:t>10</w:t>
      </w:r>
      <w:r>
        <w:rPr>
          <w:rFonts w:eastAsia="Arial"/>
          <w:b/>
          <w:sz w:val="24"/>
          <w:rtl/>
        </w:rPr>
        <w:t>): نماذج وأطر الحوكمة الصحية</w:t>
      </w:r>
    </w:p>
    <w:tbl>
      <w:tblPr>
        <w:bidiVisual/>
        <w:tblW w:w="8930"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1786"/>
        <w:gridCol w:w="1786"/>
        <w:gridCol w:w="1786"/>
        <w:gridCol w:w="1786"/>
        <w:gridCol w:w="1786"/>
      </w:tblGrid>
      <w:tr w:rsidR="003D1B66" w14:paraId="281CC918" w14:textId="77777777" w:rsidTr="000B46B5">
        <w:trPr>
          <w:tblHeader/>
          <w:jc w:val="center"/>
        </w:trPr>
        <w:tc>
          <w:tcPr>
            <w:tcW w:w="1786" w:type="dxa"/>
            <w:shd w:val="clear" w:color="auto" w:fill="F2F2F2" w:themeFill="background1" w:themeFillShade="F2"/>
            <w:vAlign w:val="center"/>
          </w:tcPr>
          <w:p w14:paraId="3F2C46EC" w14:textId="77777777" w:rsidR="003D1B66" w:rsidRDefault="003D1B66" w:rsidP="000B46B5">
            <w:pPr>
              <w:shd w:val="clear" w:color="auto" w:fill="F2F2F2" w:themeFill="background1" w:themeFillShade="F2"/>
              <w:bidi/>
              <w:spacing w:after="0" w:line="240" w:lineRule="auto"/>
            </w:pPr>
            <w:r>
              <w:rPr>
                <w:rFonts w:eastAsia="Arial"/>
                <w:b/>
                <w:sz w:val="21"/>
                <w:rtl/>
              </w:rPr>
              <w:t>الإطار</w:t>
            </w:r>
          </w:p>
        </w:tc>
        <w:tc>
          <w:tcPr>
            <w:tcW w:w="1786" w:type="dxa"/>
            <w:shd w:val="clear" w:color="auto" w:fill="F2F2F2" w:themeFill="background1" w:themeFillShade="F2"/>
            <w:vAlign w:val="center"/>
          </w:tcPr>
          <w:p w14:paraId="20A9A0C8" w14:textId="77777777" w:rsidR="003D1B66" w:rsidRDefault="003D1B66" w:rsidP="000B46B5">
            <w:pPr>
              <w:shd w:val="clear" w:color="auto" w:fill="F2F2F2" w:themeFill="background1" w:themeFillShade="F2"/>
              <w:bidi/>
              <w:spacing w:after="0" w:line="240" w:lineRule="auto"/>
            </w:pPr>
            <w:r>
              <w:rPr>
                <w:rFonts w:eastAsia="Arial"/>
                <w:b/>
                <w:sz w:val="21"/>
                <w:rtl/>
              </w:rPr>
              <w:t>الأبعاد الرئيسة</w:t>
            </w:r>
          </w:p>
        </w:tc>
        <w:tc>
          <w:tcPr>
            <w:tcW w:w="1786" w:type="dxa"/>
            <w:shd w:val="clear" w:color="auto" w:fill="F2F2F2" w:themeFill="background1" w:themeFillShade="F2"/>
            <w:vAlign w:val="center"/>
          </w:tcPr>
          <w:p w14:paraId="2689D25A" w14:textId="77777777" w:rsidR="003D1B66" w:rsidRDefault="003D1B66" w:rsidP="000B46B5">
            <w:pPr>
              <w:shd w:val="clear" w:color="auto" w:fill="F2F2F2" w:themeFill="background1" w:themeFillShade="F2"/>
              <w:bidi/>
              <w:spacing w:after="0" w:line="240" w:lineRule="auto"/>
            </w:pPr>
            <w:r>
              <w:rPr>
                <w:rFonts w:eastAsia="Arial"/>
                <w:b/>
                <w:sz w:val="21"/>
                <w:rtl/>
              </w:rPr>
              <w:t>المستوى الأنسب</w:t>
            </w:r>
          </w:p>
        </w:tc>
        <w:tc>
          <w:tcPr>
            <w:tcW w:w="1786" w:type="dxa"/>
            <w:shd w:val="clear" w:color="auto" w:fill="F2F2F2" w:themeFill="background1" w:themeFillShade="F2"/>
            <w:vAlign w:val="center"/>
          </w:tcPr>
          <w:p w14:paraId="10579B4B" w14:textId="77777777" w:rsidR="003D1B66" w:rsidRDefault="003D1B66" w:rsidP="000B46B5">
            <w:pPr>
              <w:shd w:val="clear" w:color="auto" w:fill="F2F2F2" w:themeFill="background1" w:themeFillShade="F2"/>
              <w:bidi/>
              <w:spacing w:after="0" w:line="240" w:lineRule="auto"/>
            </w:pPr>
            <w:r>
              <w:rPr>
                <w:rFonts w:eastAsia="Arial"/>
                <w:b/>
                <w:sz w:val="21"/>
                <w:rtl/>
              </w:rPr>
              <w:t>نقاط القوة</w:t>
            </w:r>
          </w:p>
        </w:tc>
        <w:tc>
          <w:tcPr>
            <w:tcW w:w="1786" w:type="dxa"/>
            <w:shd w:val="clear" w:color="auto" w:fill="F2F2F2" w:themeFill="background1" w:themeFillShade="F2"/>
            <w:vAlign w:val="center"/>
          </w:tcPr>
          <w:p w14:paraId="0BED427F" w14:textId="77777777" w:rsidR="003D1B66" w:rsidRDefault="003D1B66" w:rsidP="000B46B5">
            <w:pPr>
              <w:shd w:val="clear" w:color="auto" w:fill="F2F2F2" w:themeFill="background1" w:themeFillShade="F2"/>
              <w:bidi/>
              <w:spacing w:after="0" w:line="240" w:lineRule="auto"/>
            </w:pPr>
            <w:r>
              <w:rPr>
                <w:rFonts w:eastAsia="Arial"/>
                <w:b/>
                <w:sz w:val="21"/>
                <w:rtl/>
              </w:rPr>
              <w:t>ملاحظات تطبيقية</w:t>
            </w:r>
          </w:p>
        </w:tc>
      </w:tr>
      <w:tr w:rsidR="003D1B66" w14:paraId="6520CCF0" w14:textId="77777777" w:rsidTr="000B46B5">
        <w:trPr>
          <w:jc w:val="center"/>
        </w:trPr>
        <w:tc>
          <w:tcPr>
            <w:tcW w:w="1786" w:type="dxa"/>
            <w:shd w:val="clear" w:color="auto" w:fill="F2F2F2" w:themeFill="background1" w:themeFillShade="F2"/>
            <w:vAlign w:val="center"/>
          </w:tcPr>
          <w:p w14:paraId="735B7814" w14:textId="77777777" w:rsidR="003D1B66" w:rsidRDefault="003D1B66" w:rsidP="000B46B5">
            <w:pPr>
              <w:shd w:val="clear" w:color="auto" w:fill="F2F2F2" w:themeFill="background1" w:themeFillShade="F2"/>
              <w:bidi/>
              <w:spacing w:after="0" w:line="240" w:lineRule="auto"/>
            </w:pPr>
            <w:r>
              <w:rPr>
                <w:rFonts w:eastAsia="Arial"/>
                <w:sz w:val="21"/>
                <w:rtl/>
              </w:rPr>
              <w:t>منظمة الصحة العالمية</w:t>
            </w:r>
          </w:p>
        </w:tc>
        <w:tc>
          <w:tcPr>
            <w:tcW w:w="1786" w:type="dxa"/>
            <w:shd w:val="clear" w:color="auto" w:fill="F2F2F2" w:themeFill="background1" w:themeFillShade="F2"/>
            <w:vAlign w:val="center"/>
          </w:tcPr>
          <w:p w14:paraId="171A99B8" w14:textId="77777777" w:rsidR="003D1B66" w:rsidRDefault="003D1B66" w:rsidP="000B46B5">
            <w:pPr>
              <w:shd w:val="clear" w:color="auto" w:fill="F2F2F2" w:themeFill="background1" w:themeFillShade="F2"/>
              <w:bidi/>
              <w:spacing w:after="0" w:line="240" w:lineRule="auto"/>
            </w:pPr>
            <w:r>
              <w:rPr>
                <w:rFonts w:eastAsia="Arial"/>
                <w:sz w:val="21"/>
                <w:rtl/>
              </w:rPr>
              <w:t>السياسة الاستراتيجية، الرقابة، التنظيم، المساءلة</w:t>
            </w:r>
          </w:p>
        </w:tc>
        <w:tc>
          <w:tcPr>
            <w:tcW w:w="1786" w:type="dxa"/>
            <w:shd w:val="clear" w:color="auto" w:fill="F2F2F2" w:themeFill="background1" w:themeFillShade="F2"/>
            <w:vAlign w:val="center"/>
          </w:tcPr>
          <w:p w14:paraId="7287E475" w14:textId="77777777" w:rsidR="003D1B66" w:rsidRDefault="003D1B66" w:rsidP="000B46B5">
            <w:pPr>
              <w:shd w:val="clear" w:color="auto" w:fill="F2F2F2" w:themeFill="background1" w:themeFillShade="F2"/>
              <w:bidi/>
              <w:spacing w:after="0" w:line="240" w:lineRule="auto"/>
            </w:pPr>
            <w:r>
              <w:rPr>
                <w:rFonts w:eastAsia="Arial"/>
                <w:sz w:val="21"/>
                <w:rtl/>
              </w:rPr>
              <w:t>النظام الصحي والمؤسسات</w:t>
            </w:r>
          </w:p>
        </w:tc>
        <w:tc>
          <w:tcPr>
            <w:tcW w:w="1786" w:type="dxa"/>
            <w:shd w:val="clear" w:color="auto" w:fill="F2F2F2" w:themeFill="background1" w:themeFillShade="F2"/>
            <w:vAlign w:val="center"/>
          </w:tcPr>
          <w:p w14:paraId="62545AAE" w14:textId="77777777" w:rsidR="003D1B66" w:rsidRDefault="003D1B66" w:rsidP="000B46B5">
            <w:pPr>
              <w:shd w:val="clear" w:color="auto" w:fill="F2F2F2" w:themeFill="background1" w:themeFillShade="F2"/>
              <w:bidi/>
              <w:spacing w:after="0" w:line="240" w:lineRule="auto"/>
            </w:pPr>
            <w:r>
              <w:rPr>
                <w:rFonts w:eastAsia="Arial"/>
                <w:sz w:val="21"/>
                <w:rtl/>
              </w:rPr>
              <w:t>يربط الحوكمة بأداء النظام كله</w:t>
            </w:r>
          </w:p>
        </w:tc>
        <w:tc>
          <w:tcPr>
            <w:tcW w:w="1786" w:type="dxa"/>
            <w:shd w:val="clear" w:color="auto" w:fill="F2F2F2" w:themeFill="background1" w:themeFillShade="F2"/>
            <w:vAlign w:val="center"/>
          </w:tcPr>
          <w:p w14:paraId="5927C0EB" w14:textId="77777777" w:rsidR="003D1B66" w:rsidRDefault="003D1B66" w:rsidP="000B46B5">
            <w:pPr>
              <w:shd w:val="clear" w:color="auto" w:fill="F2F2F2" w:themeFill="background1" w:themeFillShade="F2"/>
              <w:bidi/>
              <w:spacing w:after="0" w:line="240" w:lineRule="auto"/>
            </w:pPr>
            <w:r>
              <w:rPr>
                <w:rFonts w:eastAsia="Arial"/>
                <w:sz w:val="21"/>
                <w:rtl/>
              </w:rPr>
              <w:t>واسع ويحتاج إلى مؤشرات تفصيلية</w:t>
            </w:r>
          </w:p>
        </w:tc>
      </w:tr>
      <w:tr w:rsidR="003D1B66" w14:paraId="07728DB8" w14:textId="77777777" w:rsidTr="000B46B5">
        <w:trPr>
          <w:jc w:val="center"/>
        </w:trPr>
        <w:tc>
          <w:tcPr>
            <w:tcW w:w="1786" w:type="dxa"/>
            <w:shd w:val="clear" w:color="auto" w:fill="F2F2F2" w:themeFill="background1" w:themeFillShade="F2"/>
            <w:vAlign w:val="center"/>
          </w:tcPr>
          <w:p w14:paraId="3662FDA9" w14:textId="77777777" w:rsidR="003D1B66" w:rsidRDefault="003D1B66" w:rsidP="000B46B5">
            <w:pPr>
              <w:shd w:val="clear" w:color="auto" w:fill="F2F2F2" w:themeFill="background1" w:themeFillShade="F2"/>
              <w:bidi/>
              <w:spacing w:after="0" w:line="240" w:lineRule="auto"/>
            </w:pPr>
            <w:r>
              <w:rPr>
                <w:rFonts w:eastAsia="Arial"/>
                <w:sz w:val="21"/>
              </w:rPr>
              <w:t>Siddiqi et al. (2009)</w:t>
            </w:r>
          </w:p>
        </w:tc>
        <w:tc>
          <w:tcPr>
            <w:tcW w:w="1786" w:type="dxa"/>
            <w:shd w:val="clear" w:color="auto" w:fill="F2F2F2" w:themeFill="background1" w:themeFillShade="F2"/>
            <w:vAlign w:val="center"/>
          </w:tcPr>
          <w:p w14:paraId="0EAA1A82" w14:textId="77777777" w:rsidR="003D1B66" w:rsidRDefault="003D1B66" w:rsidP="000B46B5">
            <w:pPr>
              <w:shd w:val="clear" w:color="auto" w:fill="F2F2F2" w:themeFill="background1" w:themeFillShade="F2"/>
              <w:bidi/>
              <w:spacing w:after="0" w:line="240" w:lineRule="auto"/>
            </w:pPr>
            <w:r>
              <w:rPr>
                <w:rFonts w:eastAsia="Arial"/>
                <w:sz w:val="21"/>
              </w:rPr>
              <w:t>10</w:t>
            </w:r>
            <w:r>
              <w:rPr>
                <w:rFonts w:eastAsia="Arial"/>
                <w:sz w:val="21"/>
                <w:rtl/>
              </w:rPr>
              <w:t xml:space="preserve"> مبادئ تشمل الشفافية والمساءلة والكفاءة والمعلومات والأخلاق</w:t>
            </w:r>
          </w:p>
        </w:tc>
        <w:tc>
          <w:tcPr>
            <w:tcW w:w="1786" w:type="dxa"/>
            <w:shd w:val="clear" w:color="auto" w:fill="F2F2F2" w:themeFill="background1" w:themeFillShade="F2"/>
            <w:vAlign w:val="center"/>
          </w:tcPr>
          <w:p w14:paraId="2EC7A619" w14:textId="77777777" w:rsidR="003D1B66" w:rsidRDefault="003D1B66" w:rsidP="000B46B5">
            <w:pPr>
              <w:shd w:val="clear" w:color="auto" w:fill="F2F2F2" w:themeFill="background1" w:themeFillShade="F2"/>
              <w:bidi/>
              <w:spacing w:after="0" w:line="240" w:lineRule="auto"/>
            </w:pPr>
            <w:r>
              <w:rPr>
                <w:rFonts w:eastAsia="Arial"/>
                <w:sz w:val="21"/>
                <w:rtl/>
              </w:rPr>
              <w:t>وطني وإقليمي ومؤسسي</w:t>
            </w:r>
          </w:p>
        </w:tc>
        <w:tc>
          <w:tcPr>
            <w:tcW w:w="1786" w:type="dxa"/>
            <w:shd w:val="clear" w:color="auto" w:fill="F2F2F2" w:themeFill="background1" w:themeFillShade="F2"/>
            <w:vAlign w:val="center"/>
          </w:tcPr>
          <w:p w14:paraId="3C3BE1C0" w14:textId="77777777" w:rsidR="003D1B66" w:rsidRDefault="003D1B66" w:rsidP="000B46B5">
            <w:pPr>
              <w:shd w:val="clear" w:color="auto" w:fill="F2F2F2" w:themeFill="background1" w:themeFillShade="F2"/>
              <w:bidi/>
              <w:spacing w:after="0" w:line="240" w:lineRule="auto"/>
            </w:pPr>
            <w:r>
              <w:rPr>
                <w:rFonts w:eastAsia="Arial"/>
                <w:sz w:val="21"/>
                <w:rtl/>
              </w:rPr>
              <w:t>شامل ومصمم للصحة</w:t>
            </w:r>
          </w:p>
        </w:tc>
        <w:tc>
          <w:tcPr>
            <w:tcW w:w="1786" w:type="dxa"/>
            <w:shd w:val="clear" w:color="auto" w:fill="F2F2F2" w:themeFill="background1" w:themeFillShade="F2"/>
            <w:vAlign w:val="center"/>
          </w:tcPr>
          <w:p w14:paraId="60506654" w14:textId="77777777" w:rsidR="003D1B66" w:rsidRDefault="003D1B66" w:rsidP="000B46B5">
            <w:pPr>
              <w:shd w:val="clear" w:color="auto" w:fill="F2F2F2" w:themeFill="background1" w:themeFillShade="F2"/>
              <w:bidi/>
              <w:spacing w:after="0" w:line="240" w:lineRule="auto"/>
            </w:pPr>
            <w:r>
              <w:rPr>
                <w:rFonts w:eastAsia="Arial"/>
                <w:sz w:val="21"/>
                <w:rtl/>
              </w:rPr>
              <w:t>يتطلب بيانات واسعة عند تطبيقه كاملاً</w:t>
            </w:r>
          </w:p>
        </w:tc>
      </w:tr>
      <w:tr w:rsidR="003D1B66" w14:paraId="25902ECC" w14:textId="77777777" w:rsidTr="000B46B5">
        <w:trPr>
          <w:jc w:val="center"/>
        </w:trPr>
        <w:tc>
          <w:tcPr>
            <w:tcW w:w="1786" w:type="dxa"/>
            <w:shd w:val="clear" w:color="auto" w:fill="F2F2F2" w:themeFill="background1" w:themeFillShade="F2"/>
            <w:vAlign w:val="center"/>
          </w:tcPr>
          <w:p w14:paraId="50B38038" w14:textId="77777777" w:rsidR="003D1B66" w:rsidRDefault="003D1B66" w:rsidP="000B46B5">
            <w:pPr>
              <w:shd w:val="clear" w:color="auto" w:fill="F2F2F2" w:themeFill="background1" w:themeFillShade="F2"/>
              <w:bidi/>
              <w:spacing w:after="0" w:line="240" w:lineRule="auto"/>
            </w:pPr>
            <w:r>
              <w:rPr>
                <w:rFonts w:eastAsia="Arial"/>
                <w:sz w:val="21"/>
              </w:rPr>
              <w:t>TAPIC</w:t>
            </w:r>
          </w:p>
        </w:tc>
        <w:tc>
          <w:tcPr>
            <w:tcW w:w="1786" w:type="dxa"/>
            <w:shd w:val="clear" w:color="auto" w:fill="F2F2F2" w:themeFill="background1" w:themeFillShade="F2"/>
            <w:vAlign w:val="center"/>
          </w:tcPr>
          <w:p w14:paraId="114ABCEA" w14:textId="77777777" w:rsidR="003D1B66" w:rsidRDefault="003D1B66" w:rsidP="000B46B5">
            <w:pPr>
              <w:shd w:val="clear" w:color="auto" w:fill="F2F2F2" w:themeFill="background1" w:themeFillShade="F2"/>
              <w:bidi/>
              <w:spacing w:after="0" w:line="240" w:lineRule="auto"/>
            </w:pPr>
            <w:r>
              <w:rPr>
                <w:rFonts w:eastAsia="Arial"/>
                <w:sz w:val="21"/>
                <w:rtl/>
              </w:rPr>
              <w:t>الشفافية، المساءلة، المشاركة، النزاهة، القدرة</w:t>
            </w:r>
          </w:p>
        </w:tc>
        <w:tc>
          <w:tcPr>
            <w:tcW w:w="1786" w:type="dxa"/>
            <w:shd w:val="clear" w:color="auto" w:fill="F2F2F2" w:themeFill="background1" w:themeFillShade="F2"/>
            <w:vAlign w:val="center"/>
          </w:tcPr>
          <w:p w14:paraId="7B3E04F1" w14:textId="77777777" w:rsidR="003D1B66" w:rsidRDefault="003D1B66" w:rsidP="000B46B5">
            <w:pPr>
              <w:shd w:val="clear" w:color="auto" w:fill="F2F2F2" w:themeFill="background1" w:themeFillShade="F2"/>
              <w:bidi/>
              <w:spacing w:after="0" w:line="240" w:lineRule="auto"/>
            </w:pPr>
            <w:r>
              <w:rPr>
                <w:rFonts w:eastAsia="Arial"/>
                <w:sz w:val="21"/>
                <w:rtl/>
              </w:rPr>
              <w:t>تحليل السياسات والتنفيذ والمؤسسات</w:t>
            </w:r>
          </w:p>
        </w:tc>
        <w:tc>
          <w:tcPr>
            <w:tcW w:w="1786" w:type="dxa"/>
            <w:shd w:val="clear" w:color="auto" w:fill="F2F2F2" w:themeFill="background1" w:themeFillShade="F2"/>
            <w:vAlign w:val="center"/>
          </w:tcPr>
          <w:p w14:paraId="15508AA3" w14:textId="77777777" w:rsidR="003D1B66" w:rsidRDefault="003D1B66" w:rsidP="000B46B5">
            <w:pPr>
              <w:shd w:val="clear" w:color="auto" w:fill="F2F2F2" w:themeFill="background1" w:themeFillShade="F2"/>
              <w:bidi/>
              <w:spacing w:after="0" w:line="240" w:lineRule="auto"/>
            </w:pPr>
            <w:r>
              <w:rPr>
                <w:rFonts w:eastAsia="Arial"/>
                <w:sz w:val="21"/>
                <w:rtl/>
              </w:rPr>
              <w:t>مركز وسهل الاستخدام التشخيصي</w:t>
            </w:r>
          </w:p>
        </w:tc>
        <w:tc>
          <w:tcPr>
            <w:tcW w:w="1786" w:type="dxa"/>
            <w:shd w:val="clear" w:color="auto" w:fill="F2F2F2" w:themeFill="background1" w:themeFillShade="F2"/>
            <w:vAlign w:val="center"/>
          </w:tcPr>
          <w:p w14:paraId="4DE35712" w14:textId="77777777" w:rsidR="003D1B66" w:rsidRDefault="003D1B66" w:rsidP="000B46B5">
            <w:pPr>
              <w:shd w:val="clear" w:color="auto" w:fill="F2F2F2" w:themeFill="background1" w:themeFillShade="F2"/>
              <w:bidi/>
              <w:spacing w:after="0" w:line="240" w:lineRule="auto"/>
            </w:pPr>
            <w:r>
              <w:rPr>
                <w:rFonts w:eastAsia="Arial"/>
                <w:sz w:val="21"/>
                <w:rtl/>
              </w:rPr>
              <w:t>يؤكد التوازن والسياق لا الزيادة المطلقة</w:t>
            </w:r>
          </w:p>
        </w:tc>
      </w:tr>
      <w:tr w:rsidR="003D1B66" w14:paraId="5156BFC0" w14:textId="77777777" w:rsidTr="000B46B5">
        <w:trPr>
          <w:jc w:val="center"/>
        </w:trPr>
        <w:tc>
          <w:tcPr>
            <w:tcW w:w="1786" w:type="dxa"/>
            <w:shd w:val="clear" w:color="auto" w:fill="F2F2F2" w:themeFill="background1" w:themeFillShade="F2"/>
            <w:vAlign w:val="center"/>
          </w:tcPr>
          <w:p w14:paraId="2760191C" w14:textId="77777777" w:rsidR="003D1B66" w:rsidRDefault="003D1B66" w:rsidP="000B46B5">
            <w:pPr>
              <w:shd w:val="clear" w:color="auto" w:fill="F2F2F2" w:themeFill="background1" w:themeFillShade="F2"/>
              <w:bidi/>
              <w:spacing w:after="0" w:line="240" w:lineRule="auto"/>
            </w:pPr>
            <w:r>
              <w:rPr>
                <w:rFonts w:eastAsia="Arial"/>
                <w:sz w:val="21"/>
                <w:rtl/>
              </w:rPr>
              <w:t>الحوكمة السريرية</w:t>
            </w:r>
          </w:p>
        </w:tc>
        <w:tc>
          <w:tcPr>
            <w:tcW w:w="1786" w:type="dxa"/>
            <w:shd w:val="clear" w:color="auto" w:fill="F2F2F2" w:themeFill="background1" w:themeFillShade="F2"/>
            <w:vAlign w:val="center"/>
          </w:tcPr>
          <w:p w14:paraId="2CB00836" w14:textId="77777777" w:rsidR="003D1B66" w:rsidRDefault="003D1B66" w:rsidP="000B46B5">
            <w:pPr>
              <w:shd w:val="clear" w:color="auto" w:fill="F2F2F2" w:themeFill="background1" w:themeFillShade="F2"/>
              <w:bidi/>
              <w:spacing w:after="0" w:line="240" w:lineRule="auto"/>
            </w:pPr>
            <w:r>
              <w:rPr>
                <w:rFonts w:eastAsia="Arial"/>
                <w:sz w:val="21"/>
                <w:rtl/>
              </w:rPr>
              <w:t>الجودة، السلامة، التدقيق، المخاطر، التعلم</w:t>
            </w:r>
          </w:p>
        </w:tc>
        <w:tc>
          <w:tcPr>
            <w:tcW w:w="1786" w:type="dxa"/>
            <w:shd w:val="clear" w:color="auto" w:fill="F2F2F2" w:themeFill="background1" w:themeFillShade="F2"/>
            <w:vAlign w:val="center"/>
          </w:tcPr>
          <w:p w14:paraId="7837CC91" w14:textId="77777777" w:rsidR="003D1B66" w:rsidRDefault="003D1B66" w:rsidP="000B46B5">
            <w:pPr>
              <w:shd w:val="clear" w:color="auto" w:fill="F2F2F2" w:themeFill="background1" w:themeFillShade="F2"/>
              <w:bidi/>
              <w:spacing w:after="0" w:line="240" w:lineRule="auto"/>
            </w:pPr>
            <w:r>
              <w:rPr>
                <w:rFonts w:eastAsia="Arial"/>
                <w:sz w:val="21"/>
                <w:rtl/>
              </w:rPr>
              <w:t>المؤسسات والفرق السريرية</w:t>
            </w:r>
          </w:p>
        </w:tc>
        <w:tc>
          <w:tcPr>
            <w:tcW w:w="1786" w:type="dxa"/>
            <w:shd w:val="clear" w:color="auto" w:fill="F2F2F2" w:themeFill="background1" w:themeFillShade="F2"/>
            <w:vAlign w:val="center"/>
          </w:tcPr>
          <w:p w14:paraId="0FAFC56C" w14:textId="77777777" w:rsidR="003D1B66" w:rsidRDefault="003D1B66" w:rsidP="000B46B5">
            <w:pPr>
              <w:shd w:val="clear" w:color="auto" w:fill="F2F2F2" w:themeFill="background1" w:themeFillShade="F2"/>
              <w:bidi/>
              <w:spacing w:after="0" w:line="240" w:lineRule="auto"/>
            </w:pPr>
            <w:r>
              <w:rPr>
                <w:rFonts w:eastAsia="Arial"/>
                <w:sz w:val="21"/>
                <w:rtl/>
              </w:rPr>
              <w:t>يربط الحوكمة بنتائج الرعاية</w:t>
            </w:r>
          </w:p>
        </w:tc>
        <w:tc>
          <w:tcPr>
            <w:tcW w:w="1786" w:type="dxa"/>
            <w:shd w:val="clear" w:color="auto" w:fill="F2F2F2" w:themeFill="background1" w:themeFillShade="F2"/>
            <w:vAlign w:val="center"/>
          </w:tcPr>
          <w:p w14:paraId="653585B1" w14:textId="77777777" w:rsidR="003D1B66" w:rsidRDefault="003D1B66" w:rsidP="000B46B5">
            <w:pPr>
              <w:shd w:val="clear" w:color="auto" w:fill="F2F2F2" w:themeFill="background1" w:themeFillShade="F2"/>
              <w:bidi/>
              <w:spacing w:after="0" w:line="240" w:lineRule="auto"/>
            </w:pPr>
            <w:r>
              <w:rPr>
                <w:rFonts w:eastAsia="Arial"/>
                <w:sz w:val="21"/>
                <w:rtl/>
              </w:rPr>
              <w:t>يحتاج إلى التكامل مع الحوكمة المالية والإدارية</w:t>
            </w:r>
          </w:p>
        </w:tc>
      </w:tr>
      <w:tr w:rsidR="003D1B66" w14:paraId="05B9F2E2" w14:textId="77777777" w:rsidTr="000B46B5">
        <w:trPr>
          <w:jc w:val="center"/>
        </w:trPr>
        <w:tc>
          <w:tcPr>
            <w:tcW w:w="1786" w:type="dxa"/>
            <w:shd w:val="clear" w:color="auto" w:fill="F2F2F2" w:themeFill="background1" w:themeFillShade="F2"/>
            <w:vAlign w:val="center"/>
          </w:tcPr>
          <w:p w14:paraId="08070A89" w14:textId="77777777" w:rsidR="003D1B66" w:rsidRDefault="003D1B66" w:rsidP="000B46B5">
            <w:pPr>
              <w:shd w:val="clear" w:color="auto" w:fill="F2F2F2" w:themeFill="background1" w:themeFillShade="F2"/>
              <w:bidi/>
              <w:spacing w:after="0" w:line="240" w:lineRule="auto"/>
            </w:pPr>
            <w:r>
              <w:rPr>
                <w:rFonts w:eastAsia="Arial"/>
                <w:sz w:val="21"/>
                <w:rtl/>
              </w:rPr>
              <w:t>حوكمة المستشفى المسؤولة</w:t>
            </w:r>
          </w:p>
        </w:tc>
        <w:tc>
          <w:tcPr>
            <w:tcW w:w="1786" w:type="dxa"/>
            <w:shd w:val="clear" w:color="auto" w:fill="F2F2F2" w:themeFill="background1" w:themeFillShade="F2"/>
            <w:vAlign w:val="center"/>
          </w:tcPr>
          <w:p w14:paraId="112BDED2" w14:textId="77777777" w:rsidR="003D1B66" w:rsidRDefault="003D1B66" w:rsidP="000B46B5">
            <w:pPr>
              <w:shd w:val="clear" w:color="auto" w:fill="F2F2F2" w:themeFill="background1" w:themeFillShade="F2"/>
              <w:bidi/>
              <w:spacing w:after="0" w:line="240" w:lineRule="auto"/>
            </w:pPr>
            <w:r>
              <w:rPr>
                <w:rFonts w:eastAsia="Arial"/>
                <w:sz w:val="21"/>
                <w:rtl/>
              </w:rPr>
              <w:t>الشمول، الالتزام والتخطيط للمساءلة، الاستقلالية</w:t>
            </w:r>
          </w:p>
        </w:tc>
        <w:tc>
          <w:tcPr>
            <w:tcW w:w="1786" w:type="dxa"/>
            <w:shd w:val="clear" w:color="auto" w:fill="F2F2F2" w:themeFill="background1" w:themeFillShade="F2"/>
            <w:vAlign w:val="center"/>
          </w:tcPr>
          <w:p w14:paraId="5B0FE8D7" w14:textId="77777777" w:rsidR="003D1B66" w:rsidRDefault="003D1B66" w:rsidP="000B46B5">
            <w:pPr>
              <w:shd w:val="clear" w:color="auto" w:fill="F2F2F2" w:themeFill="background1" w:themeFillShade="F2"/>
              <w:bidi/>
              <w:spacing w:after="0" w:line="240" w:lineRule="auto"/>
            </w:pPr>
            <w:r>
              <w:rPr>
                <w:rFonts w:eastAsia="Arial"/>
                <w:sz w:val="21"/>
                <w:rtl/>
              </w:rPr>
              <w:t>المستشفيات ومجالس الإدارة</w:t>
            </w:r>
          </w:p>
        </w:tc>
        <w:tc>
          <w:tcPr>
            <w:tcW w:w="1786" w:type="dxa"/>
            <w:shd w:val="clear" w:color="auto" w:fill="F2F2F2" w:themeFill="background1" w:themeFillShade="F2"/>
            <w:vAlign w:val="center"/>
          </w:tcPr>
          <w:p w14:paraId="0C64760C" w14:textId="77777777" w:rsidR="003D1B66" w:rsidRDefault="003D1B66" w:rsidP="000B46B5">
            <w:pPr>
              <w:shd w:val="clear" w:color="auto" w:fill="F2F2F2" w:themeFill="background1" w:themeFillShade="F2"/>
              <w:bidi/>
              <w:spacing w:after="0" w:line="240" w:lineRule="auto"/>
            </w:pPr>
            <w:r>
              <w:rPr>
                <w:rFonts w:eastAsia="Arial"/>
                <w:sz w:val="21"/>
                <w:rtl/>
              </w:rPr>
              <w:t>يجمع المالي والسريري والاجتماعي</w:t>
            </w:r>
          </w:p>
        </w:tc>
        <w:tc>
          <w:tcPr>
            <w:tcW w:w="1786" w:type="dxa"/>
            <w:shd w:val="clear" w:color="auto" w:fill="F2F2F2" w:themeFill="background1" w:themeFillShade="F2"/>
            <w:vAlign w:val="center"/>
          </w:tcPr>
          <w:p w14:paraId="05115A18" w14:textId="77777777" w:rsidR="003D1B66" w:rsidRDefault="003D1B66" w:rsidP="000B46B5">
            <w:pPr>
              <w:shd w:val="clear" w:color="auto" w:fill="F2F2F2" w:themeFill="background1" w:themeFillShade="F2"/>
              <w:bidi/>
              <w:spacing w:after="0" w:line="240" w:lineRule="auto"/>
            </w:pPr>
            <w:r>
              <w:rPr>
                <w:rFonts w:eastAsia="Arial"/>
                <w:sz w:val="21"/>
                <w:rtl/>
              </w:rPr>
              <w:t>يتأثر بالنظام القانوني ونموذج ملكية المستشفى</w:t>
            </w:r>
          </w:p>
        </w:tc>
      </w:tr>
    </w:tbl>
    <w:p w14:paraId="49A7895D" w14:textId="77777777" w:rsidR="003D1B66" w:rsidRDefault="003D1B66" w:rsidP="003D1B66">
      <w:pPr>
        <w:pStyle w:val="21"/>
        <w:bidi/>
        <w:jc w:val="both"/>
      </w:pPr>
      <w:r>
        <w:rPr>
          <w:rFonts w:ascii="Arial" w:eastAsia="Arial" w:hAnsi="Arial" w:cs="Arial"/>
        </w:rPr>
        <w:t>2-3-2</w:t>
      </w:r>
      <w:r>
        <w:rPr>
          <w:rFonts w:ascii="Arial" w:eastAsia="Arial" w:hAnsi="Arial" w:cs="Arial"/>
          <w:rtl/>
        </w:rPr>
        <w:t xml:space="preserve"> الشفافية في المؤسسات الصحية</w:t>
      </w:r>
    </w:p>
    <w:p w14:paraId="3B4D96A4" w14:textId="77777777" w:rsidR="003D1B66" w:rsidRDefault="003D1B66" w:rsidP="003D1B66">
      <w:pPr>
        <w:pStyle w:val="31"/>
        <w:bidi/>
        <w:jc w:val="both"/>
      </w:pPr>
      <w:r>
        <w:rPr>
          <w:rFonts w:ascii="Arial" w:eastAsia="Arial" w:hAnsi="Arial" w:cs="Arial"/>
        </w:rPr>
        <w:t>2-3-2-1</w:t>
      </w:r>
      <w:r>
        <w:rPr>
          <w:rFonts w:ascii="Arial" w:eastAsia="Arial" w:hAnsi="Arial" w:cs="Arial"/>
          <w:rtl/>
        </w:rPr>
        <w:t xml:space="preserve"> مفهوم الشفافية وأهميتها</w:t>
      </w:r>
    </w:p>
    <w:p w14:paraId="2A98F3F6" w14:textId="77777777" w:rsidR="003D1B66" w:rsidRDefault="003D1B66" w:rsidP="003D1B66">
      <w:pPr>
        <w:bidi/>
        <w:spacing w:after="120" w:line="360" w:lineRule="auto"/>
        <w:ind w:firstLine="397"/>
        <w:jc w:val="both"/>
      </w:pPr>
      <w:r>
        <w:rPr>
          <w:rFonts w:eastAsia="Arial"/>
          <w:rtl/>
        </w:rPr>
        <w:t xml:space="preserve">الشفافية هي إتاحة المعلومات المتعلقة بالقواعد والقرارات والإجراءات والموارد والنتائج بطريقة صحيحة ومفهومة وفي الوقت الملائم للأطراف التي تحتاج إليها. ولا تقتصر على نشر البيانات، بل تشمل قابلية المعلومات للتفسير والمقارنة، ووضوح مصدرها ومسؤولية الجهة عنها، وإمكانية استخدامها في التقييم وصنع القرار. ويعرّف إطار </w:t>
      </w:r>
      <w:r>
        <w:rPr>
          <w:rFonts w:eastAsia="Arial"/>
        </w:rPr>
        <w:t>TAPIC</w:t>
      </w:r>
      <w:r>
        <w:rPr>
          <w:rFonts w:eastAsia="Arial"/>
          <w:rtl/>
        </w:rPr>
        <w:t xml:space="preserve"> الشفافية بأنها قيام المؤسسات بإبلاغ الجمهور والفاعلين بالقرارات المرتقبة والمتخذة، وبالعملية والأسس التي بُنيت عليها القرارات (</w:t>
      </w:r>
      <w:r>
        <w:rPr>
          <w:rFonts w:eastAsia="Arial"/>
        </w:rPr>
        <w:t>Greer et al., 2019</w:t>
      </w:r>
      <w:r>
        <w:rPr>
          <w:rFonts w:eastAsia="Arial"/>
          <w:rtl/>
        </w:rPr>
        <w:t>).</w:t>
      </w:r>
    </w:p>
    <w:p w14:paraId="48D3EACD" w14:textId="77777777" w:rsidR="003D1B66" w:rsidRDefault="003D1B66" w:rsidP="003D1B66">
      <w:pPr>
        <w:bidi/>
        <w:spacing w:after="120" w:line="360" w:lineRule="auto"/>
        <w:ind w:firstLine="397"/>
        <w:jc w:val="both"/>
      </w:pPr>
      <w:r>
        <w:rPr>
          <w:rFonts w:eastAsia="Arial"/>
          <w:rtl/>
        </w:rPr>
        <w:t>في المؤسسة الصحية، تؤدي الشفافية وظائف متعددة. فهي تمكن مجلس الإدارة والقيادات من متابعة الأداء والمخاطر، وتساعد العاملين على فهم المعايير والتوقعات، وتمنح المرضى معلومات عن حقوقهم وخياراتهم ومسارات الخدمة، وتتيح للجهات التنظيمية والممولين تقييم الامتثال والنتائج. كما تقلل من مساحة القرارات غير المبررة، وتدعم اكتشاف الانحرافات في المشتريات أو التوظيف أو توزيع الموارد.</w:t>
      </w:r>
    </w:p>
    <w:p w14:paraId="04E38A6D" w14:textId="77777777" w:rsidR="003D1B66" w:rsidRDefault="003D1B66" w:rsidP="003D1B66">
      <w:pPr>
        <w:bidi/>
        <w:spacing w:after="120" w:line="360" w:lineRule="auto"/>
        <w:ind w:firstLine="397"/>
        <w:jc w:val="both"/>
      </w:pPr>
      <w:r>
        <w:rPr>
          <w:rFonts w:eastAsia="Arial"/>
          <w:rtl/>
        </w:rPr>
        <w:t>وتزداد أهمية الشفافية في ظل عدم تماثل المعلومات الذي يميز الخدمات الصحية. فمقدم الخدمة يمتلك معرفة فنية أكبر من المريض، والإدارة التنفيذية تمتلك معلومات تشغيلية أكثر من مجلس الإدارة أو المجتمع. وقد تؤدي هذه الفجوة إلى صعوبة تقييم الجودة أو التكلفة أو العدالة. وتعمل الحوكمة على تقليل الفجوة من خلال مؤشرات موثوقة وتقارير منتظمة وآليات إفصاح ومراجعة مستقلة.</w:t>
      </w:r>
    </w:p>
    <w:p w14:paraId="284223CF" w14:textId="77777777" w:rsidR="003D1B66" w:rsidRDefault="003D1B66" w:rsidP="003D1B66">
      <w:pPr>
        <w:bidi/>
        <w:spacing w:after="120" w:line="360" w:lineRule="auto"/>
        <w:ind w:firstLine="397"/>
        <w:jc w:val="both"/>
      </w:pPr>
      <w:r>
        <w:rPr>
          <w:rFonts w:eastAsia="Arial"/>
          <w:rtl/>
        </w:rPr>
        <w:t>مع ذلك، ليست الشفافية قيمة مطلقة منفصلة عن بقية القيم. فالقطاع الصحي يتعامل مع بيانات شخصية وسريرية حساسة، ويجب أن تخضع الإتاحة لمبادئ الخصوصية والحد الأدنى اللازم والغرض المشروع وأمن المعلومات. ولذلك تتمثل الشفافية الرشيدة في نشر ما يلزم للمساءلة والثقة وتحسين القرار، مع حماية ما يجب حمايته من بيانات الأفراد والمعلومات الأمنية أو التعاقدية المشروعة.</w:t>
      </w:r>
    </w:p>
    <w:p w14:paraId="0C64761F" w14:textId="77777777" w:rsidR="003D1B66" w:rsidRDefault="003D1B66" w:rsidP="003D1B66">
      <w:pPr>
        <w:pStyle w:val="31"/>
        <w:bidi/>
        <w:jc w:val="both"/>
      </w:pPr>
      <w:r>
        <w:rPr>
          <w:rFonts w:ascii="Arial" w:eastAsia="Arial" w:hAnsi="Arial" w:cs="Arial"/>
        </w:rPr>
        <w:lastRenderedPageBreak/>
        <w:t>2-3-2-2</w:t>
      </w:r>
      <w:r>
        <w:rPr>
          <w:rFonts w:ascii="Arial" w:eastAsia="Arial" w:hAnsi="Arial" w:cs="Arial"/>
          <w:rtl/>
        </w:rPr>
        <w:t xml:space="preserve"> أبعاد الشفافية الصحية</w:t>
      </w:r>
    </w:p>
    <w:p w14:paraId="05144667" w14:textId="77777777" w:rsidR="003D1B66" w:rsidRDefault="003D1B66" w:rsidP="003D1B66">
      <w:pPr>
        <w:bidi/>
        <w:spacing w:after="120" w:line="360" w:lineRule="auto"/>
        <w:ind w:firstLine="397"/>
        <w:jc w:val="both"/>
      </w:pPr>
      <w:r>
        <w:rPr>
          <w:rFonts w:eastAsia="Arial"/>
          <w:rtl/>
        </w:rPr>
        <w:t>يمكن تحليل الشفافية في المؤسسات الصحية عبر عدة أبعاد مترابطة. أولها شفافية السياسات والأنظمة، أي سهولة الوصول إلى اللوائح والإجراءات والمعايير ومعرفة التحديثات التي تطرأ عليها. وثانيها شفافية القرار، التي تتطلب توضيح الجهة صاحبة الصلاحية والمعايير المستخدمة والبدائل التي نوقشت وأسباب الاختيار، خصوصاً في القرارات ذات الأثر الواسع.</w:t>
      </w:r>
    </w:p>
    <w:p w14:paraId="75DD874D" w14:textId="77777777" w:rsidR="003D1B66" w:rsidRDefault="003D1B66" w:rsidP="003D1B66">
      <w:pPr>
        <w:bidi/>
        <w:spacing w:after="120" w:line="360" w:lineRule="auto"/>
        <w:ind w:firstLine="397"/>
        <w:jc w:val="both"/>
      </w:pPr>
      <w:r>
        <w:rPr>
          <w:rFonts w:eastAsia="Arial"/>
          <w:rtl/>
        </w:rPr>
        <w:t>البعد الثالث هو شفافية الأداء، وتشمل نشر أو مشاركة مؤشرات الجودة والسلامة والوصول والكلفة والإنتاجية وتجربة المريض. وينبغي أن تكون المؤشرات معرفة بوضوح، وأن تتضمن سياقاً يساعد على تفسيرها، لأن عرض الأرقام دون شرح قد يؤدي إلى استنتاجات مضللة. أما البعد الرابع فهو الشفافية المالية، ويشمل وضوح الموازنات والمصروفات والتعاقدات والمشتريات ومبررات الانحراف عن الخطة.</w:t>
      </w:r>
    </w:p>
    <w:p w14:paraId="4E9C836B" w14:textId="77777777" w:rsidR="003D1B66" w:rsidRDefault="003D1B66" w:rsidP="003D1B66">
      <w:pPr>
        <w:bidi/>
        <w:spacing w:after="120" w:line="360" w:lineRule="auto"/>
        <w:ind w:firstLine="397"/>
        <w:jc w:val="both"/>
      </w:pPr>
      <w:r>
        <w:rPr>
          <w:rFonts w:eastAsia="Arial"/>
          <w:rtl/>
        </w:rPr>
        <w:t>البعد الخامس هو شفافية الخدمة وحقوق المستفيد، مثل وضوح شروط الاستحقاق، ومسار الحصول على الخدمة، وأوقات الانتظار، والتكاليف أو المنافع، وقنوات الاعتراض والشكاوى. ويسهم هذا البعد في العدالة وتقليل الاعتماد على العلاقات الشخصية أو المعلومات غير الرسمية. والبعد السادس هو الشفافية الداخلية، أي وصول الموظفين والفرق إلى المعلومات اللازمة لأداء العمل وفهم الأولويات والتغييرات، وهو شرط لتقليل الازدواجية والمقاومة والشائعات.</w:t>
      </w:r>
    </w:p>
    <w:p w14:paraId="656A6FD1" w14:textId="77777777" w:rsidR="003D1B66" w:rsidRDefault="003D1B66" w:rsidP="003D1B66">
      <w:pPr>
        <w:bidi/>
        <w:spacing w:after="120" w:line="360" w:lineRule="auto"/>
        <w:ind w:firstLine="397"/>
        <w:jc w:val="both"/>
      </w:pPr>
      <w:r>
        <w:rPr>
          <w:rFonts w:eastAsia="Arial"/>
          <w:rtl/>
        </w:rPr>
        <w:t>يتعلق البعد السابع بالشفافية السريرية، ويشمل التواصل الواضح مع المريض بشأن التشخيص والخيارات والمخاطر والمنافع، والإفصاح المهني عن الأخطاء وفق السياسات المعتمدة، وإتاحة المعلومات التي تدعم الموافقة المستنيرة. وتختلف الشفافية السريرية عن نشر البيانات العامة، لكنها تشترك معها في احترام حق المستفيد في المعرفة واتخاذ القرار.</w:t>
      </w:r>
    </w:p>
    <w:p w14:paraId="3F509DDC" w14:textId="77777777" w:rsidR="003D1B66" w:rsidRDefault="003D1B66" w:rsidP="003D1B66">
      <w:pPr>
        <w:keepNext/>
        <w:bidi/>
        <w:spacing w:before="120" w:after="80"/>
        <w:jc w:val="both"/>
      </w:pPr>
      <w:r>
        <w:rPr>
          <w:rFonts w:eastAsia="Arial"/>
          <w:b/>
          <w:sz w:val="24"/>
          <w:rtl/>
        </w:rPr>
        <w:t>جدول (</w:t>
      </w:r>
      <w:r>
        <w:rPr>
          <w:rFonts w:eastAsia="Arial"/>
          <w:b/>
          <w:sz w:val="24"/>
        </w:rPr>
        <w:t>11</w:t>
      </w:r>
      <w:r>
        <w:rPr>
          <w:rFonts w:eastAsia="Arial"/>
          <w:b/>
          <w:sz w:val="24"/>
          <w:rtl/>
        </w:rPr>
        <w:t>): أبعاد الشفافية الصحية</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2976"/>
        <w:gridCol w:w="2976"/>
        <w:gridCol w:w="2976"/>
      </w:tblGrid>
      <w:tr w:rsidR="003D1B66" w14:paraId="0D49CADA" w14:textId="77777777" w:rsidTr="000B46B5">
        <w:trPr>
          <w:tblHeader/>
          <w:jc w:val="center"/>
        </w:trPr>
        <w:tc>
          <w:tcPr>
            <w:tcW w:w="2976" w:type="dxa"/>
            <w:shd w:val="clear" w:color="auto" w:fill="F2F2F2" w:themeFill="background1" w:themeFillShade="F2"/>
            <w:vAlign w:val="center"/>
          </w:tcPr>
          <w:p w14:paraId="12C4E135" w14:textId="77777777" w:rsidR="003D1B66" w:rsidRDefault="003D1B66" w:rsidP="000B46B5">
            <w:pPr>
              <w:bidi/>
              <w:spacing w:after="0" w:line="240" w:lineRule="auto"/>
              <w:jc w:val="both"/>
            </w:pPr>
            <w:r>
              <w:rPr>
                <w:rFonts w:eastAsia="Arial"/>
                <w:b/>
                <w:sz w:val="21"/>
                <w:rtl/>
              </w:rPr>
              <w:t>البعد</w:t>
            </w:r>
          </w:p>
        </w:tc>
        <w:tc>
          <w:tcPr>
            <w:tcW w:w="2976" w:type="dxa"/>
            <w:shd w:val="clear" w:color="auto" w:fill="F2F2F2" w:themeFill="background1" w:themeFillShade="F2"/>
            <w:vAlign w:val="center"/>
          </w:tcPr>
          <w:p w14:paraId="26007164" w14:textId="77777777" w:rsidR="003D1B66" w:rsidRDefault="003D1B66" w:rsidP="000B46B5">
            <w:pPr>
              <w:bidi/>
              <w:spacing w:after="0" w:line="240" w:lineRule="auto"/>
              <w:jc w:val="both"/>
            </w:pPr>
            <w:r>
              <w:rPr>
                <w:rFonts w:eastAsia="Arial"/>
                <w:b/>
                <w:sz w:val="21"/>
                <w:rtl/>
              </w:rPr>
              <w:t>المحتوى</w:t>
            </w:r>
          </w:p>
        </w:tc>
        <w:tc>
          <w:tcPr>
            <w:tcW w:w="2976" w:type="dxa"/>
            <w:shd w:val="clear" w:color="auto" w:fill="F2F2F2" w:themeFill="background1" w:themeFillShade="F2"/>
            <w:vAlign w:val="center"/>
          </w:tcPr>
          <w:p w14:paraId="7A0AD993" w14:textId="77777777" w:rsidR="003D1B66" w:rsidRDefault="003D1B66" w:rsidP="000B46B5">
            <w:pPr>
              <w:bidi/>
              <w:spacing w:after="0" w:line="240" w:lineRule="auto"/>
              <w:jc w:val="both"/>
            </w:pPr>
            <w:r>
              <w:rPr>
                <w:rFonts w:eastAsia="Arial"/>
                <w:b/>
                <w:sz w:val="21"/>
                <w:rtl/>
              </w:rPr>
              <w:t>مؤشرات محتملة</w:t>
            </w:r>
          </w:p>
        </w:tc>
      </w:tr>
      <w:tr w:rsidR="003D1B66" w14:paraId="7DF50431" w14:textId="77777777" w:rsidTr="000B46B5">
        <w:trPr>
          <w:jc w:val="center"/>
        </w:trPr>
        <w:tc>
          <w:tcPr>
            <w:tcW w:w="2976" w:type="dxa"/>
            <w:shd w:val="clear" w:color="auto" w:fill="F2F2F2" w:themeFill="background1" w:themeFillShade="F2"/>
            <w:vAlign w:val="center"/>
          </w:tcPr>
          <w:p w14:paraId="62F7B6C7" w14:textId="77777777" w:rsidR="003D1B66" w:rsidRDefault="003D1B66" w:rsidP="000B46B5">
            <w:pPr>
              <w:bidi/>
              <w:spacing w:after="0" w:line="240" w:lineRule="auto"/>
              <w:jc w:val="both"/>
            </w:pPr>
            <w:r>
              <w:rPr>
                <w:rFonts w:eastAsia="Arial"/>
                <w:sz w:val="21"/>
                <w:rtl/>
              </w:rPr>
              <w:t>السياسات والإجراءات</w:t>
            </w:r>
          </w:p>
        </w:tc>
        <w:tc>
          <w:tcPr>
            <w:tcW w:w="2976" w:type="dxa"/>
            <w:shd w:val="clear" w:color="auto" w:fill="F2F2F2" w:themeFill="background1" w:themeFillShade="F2"/>
            <w:vAlign w:val="center"/>
          </w:tcPr>
          <w:p w14:paraId="542BE93A" w14:textId="77777777" w:rsidR="003D1B66" w:rsidRDefault="003D1B66" w:rsidP="000B46B5">
            <w:pPr>
              <w:bidi/>
              <w:spacing w:after="0" w:line="240" w:lineRule="auto"/>
              <w:jc w:val="both"/>
            </w:pPr>
            <w:r>
              <w:rPr>
                <w:rFonts w:eastAsia="Arial"/>
                <w:sz w:val="21"/>
                <w:rtl/>
              </w:rPr>
              <w:t>إتاحة الأنظمة والمعايير والتحديثات</w:t>
            </w:r>
          </w:p>
        </w:tc>
        <w:tc>
          <w:tcPr>
            <w:tcW w:w="2976" w:type="dxa"/>
            <w:shd w:val="clear" w:color="auto" w:fill="F2F2F2" w:themeFill="background1" w:themeFillShade="F2"/>
            <w:vAlign w:val="center"/>
          </w:tcPr>
          <w:p w14:paraId="339F365B" w14:textId="77777777" w:rsidR="003D1B66" w:rsidRDefault="003D1B66" w:rsidP="000B46B5">
            <w:pPr>
              <w:bidi/>
              <w:spacing w:after="0" w:line="240" w:lineRule="auto"/>
              <w:jc w:val="both"/>
            </w:pPr>
            <w:r>
              <w:rPr>
                <w:rFonts w:eastAsia="Arial"/>
                <w:sz w:val="21"/>
                <w:rtl/>
              </w:rPr>
              <w:t>سهولة الوصول، وضوح اللغة، انتظام التحديث</w:t>
            </w:r>
          </w:p>
        </w:tc>
      </w:tr>
      <w:tr w:rsidR="003D1B66" w14:paraId="08E94F8F" w14:textId="77777777" w:rsidTr="000B46B5">
        <w:trPr>
          <w:jc w:val="center"/>
        </w:trPr>
        <w:tc>
          <w:tcPr>
            <w:tcW w:w="2976" w:type="dxa"/>
            <w:shd w:val="clear" w:color="auto" w:fill="F2F2F2" w:themeFill="background1" w:themeFillShade="F2"/>
            <w:vAlign w:val="center"/>
          </w:tcPr>
          <w:p w14:paraId="3BAEC26A" w14:textId="77777777" w:rsidR="003D1B66" w:rsidRDefault="003D1B66" w:rsidP="000B46B5">
            <w:pPr>
              <w:bidi/>
              <w:spacing w:after="0" w:line="240" w:lineRule="auto"/>
              <w:jc w:val="both"/>
            </w:pPr>
            <w:r>
              <w:rPr>
                <w:rFonts w:eastAsia="Arial"/>
                <w:sz w:val="21"/>
                <w:rtl/>
              </w:rPr>
              <w:t>القرارات</w:t>
            </w:r>
          </w:p>
        </w:tc>
        <w:tc>
          <w:tcPr>
            <w:tcW w:w="2976" w:type="dxa"/>
            <w:shd w:val="clear" w:color="auto" w:fill="F2F2F2" w:themeFill="background1" w:themeFillShade="F2"/>
            <w:vAlign w:val="center"/>
          </w:tcPr>
          <w:p w14:paraId="3A6524AA" w14:textId="77777777" w:rsidR="003D1B66" w:rsidRDefault="003D1B66" w:rsidP="000B46B5">
            <w:pPr>
              <w:bidi/>
              <w:spacing w:after="0" w:line="240" w:lineRule="auto"/>
              <w:jc w:val="both"/>
            </w:pPr>
            <w:r>
              <w:rPr>
                <w:rFonts w:eastAsia="Arial"/>
                <w:sz w:val="21"/>
                <w:rtl/>
              </w:rPr>
              <w:t>بيان الصلاحية والمعايير والأسباب</w:t>
            </w:r>
          </w:p>
        </w:tc>
        <w:tc>
          <w:tcPr>
            <w:tcW w:w="2976" w:type="dxa"/>
            <w:shd w:val="clear" w:color="auto" w:fill="F2F2F2" w:themeFill="background1" w:themeFillShade="F2"/>
            <w:vAlign w:val="center"/>
          </w:tcPr>
          <w:p w14:paraId="553C6486" w14:textId="77777777" w:rsidR="003D1B66" w:rsidRDefault="003D1B66" w:rsidP="000B46B5">
            <w:pPr>
              <w:bidi/>
              <w:spacing w:after="0" w:line="240" w:lineRule="auto"/>
              <w:jc w:val="both"/>
            </w:pPr>
            <w:r>
              <w:rPr>
                <w:rFonts w:eastAsia="Arial"/>
                <w:sz w:val="21"/>
                <w:rtl/>
              </w:rPr>
              <w:t>توثيق محاضر القرارات، إعلان المعايير، الإفصاح عن التعارض</w:t>
            </w:r>
          </w:p>
        </w:tc>
      </w:tr>
      <w:tr w:rsidR="003D1B66" w14:paraId="4CFC625B" w14:textId="77777777" w:rsidTr="000B46B5">
        <w:trPr>
          <w:jc w:val="center"/>
        </w:trPr>
        <w:tc>
          <w:tcPr>
            <w:tcW w:w="2976" w:type="dxa"/>
            <w:shd w:val="clear" w:color="auto" w:fill="F2F2F2" w:themeFill="background1" w:themeFillShade="F2"/>
            <w:vAlign w:val="center"/>
          </w:tcPr>
          <w:p w14:paraId="799DE37B" w14:textId="77777777" w:rsidR="003D1B66" w:rsidRDefault="003D1B66" w:rsidP="000B46B5">
            <w:pPr>
              <w:bidi/>
              <w:spacing w:after="0" w:line="240" w:lineRule="auto"/>
              <w:jc w:val="both"/>
            </w:pPr>
            <w:r>
              <w:rPr>
                <w:rFonts w:eastAsia="Arial"/>
                <w:sz w:val="21"/>
                <w:rtl/>
              </w:rPr>
              <w:t>الأداء</w:t>
            </w:r>
          </w:p>
        </w:tc>
        <w:tc>
          <w:tcPr>
            <w:tcW w:w="2976" w:type="dxa"/>
            <w:shd w:val="clear" w:color="auto" w:fill="F2F2F2" w:themeFill="background1" w:themeFillShade="F2"/>
            <w:vAlign w:val="center"/>
          </w:tcPr>
          <w:p w14:paraId="392CF147" w14:textId="77777777" w:rsidR="003D1B66" w:rsidRDefault="003D1B66" w:rsidP="000B46B5">
            <w:pPr>
              <w:bidi/>
              <w:spacing w:after="0" w:line="240" w:lineRule="auto"/>
              <w:jc w:val="both"/>
            </w:pPr>
            <w:r>
              <w:rPr>
                <w:rFonts w:eastAsia="Arial"/>
                <w:sz w:val="21"/>
                <w:rtl/>
              </w:rPr>
              <w:t>مؤشرات الجودة والسلامة والوصول والإنتاجية</w:t>
            </w:r>
          </w:p>
        </w:tc>
        <w:tc>
          <w:tcPr>
            <w:tcW w:w="2976" w:type="dxa"/>
            <w:shd w:val="clear" w:color="auto" w:fill="F2F2F2" w:themeFill="background1" w:themeFillShade="F2"/>
            <w:vAlign w:val="center"/>
          </w:tcPr>
          <w:p w14:paraId="0C30F38F" w14:textId="77777777" w:rsidR="003D1B66" w:rsidRDefault="003D1B66" w:rsidP="000B46B5">
            <w:pPr>
              <w:bidi/>
              <w:spacing w:after="0" w:line="240" w:lineRule="auto"/>
              <w:jc w:val="both"/>
            </w:pPr>
            <w:r>
              <w:rPr>
                <w:rFonts w:eastAsia="Arial"/>
                <w:sz w:val="21"/>
                <w:rtl/>
              </w:rPr>
              <w:t>انتظام التقارير، دقة المؤشرات، المقارنة بالمستهدف</w:t>
            </w:r>
          </w:p>
        </w:tc>
      </w:tr>
      <w:tr w:rsidR="003D1B66" w14:paraId="6BA545CC" w14:textId="77777777" w:rsidTr="000B46B5">
        <w:trPr>
          <w:jc w:val="center"/>
        </w:trPr>
        <w:tc>
          <w:tcPr>
            <w:tcW w:w="2976" w:type="dxa"/>
            <w:shd w:val="clear" w:color="auto" w:fill="F2F2F2" w:themeFill="background1" w:themeFillShade="F2"/>
            <w:vAlign w:val="center"/>
          </w:tcPr>
          <w:p w14:paraId="095619C0" w14:textId="77777777" w:rsidR="003D1B66" w:rsidRDefault="003D1B66" w:rsidP="000B46B5">
            <w:pPr>
              <w:bidi/>
              <w:spacing w:after="0" w:line="240" w:lineRule="auto"/>
              <w:jc w:val="both"/>
            </w:pPr>
            <w:r>
              <w:rPr>
                <w:rFonts w:eastAsia="Arial"/>
                <w:sz w:val="21"/>
                <w:rtl/>
              </w:rPr>
              <w:t>المالية والمشتريات</w:t>
            </w:r>
          </w:p>
        </w:tc>
        <w:tc>
          <w:tcPr>
            <w:tcW w:w="2976" w:type="dxa"/>
            <w:shd w:val="clear" w:color="auto" w:fill="F2F2F2" w:themeFill="background1" w:themeFillShade="F2"/>
            <w:vAlign w:val="center"/>
          </w:tcPr>
          <w:p w14:paraId="47268250" w14:textId="77777777" w:rsidR="003D1B66" w:rsidRDefault="003D1B66" w:rsidP="000B46B5">
            <w:pPr>
              <w:bidi/>
              <w:spacing w:after="0" w:line="240" w:lineRule="auto"/>
              <w:jc w:val="both"/>
            </w:pPr>
            <w:r>
              <w:rPr>
                <w:rFonts w:eastAsia="Arial"/>
                <w:sz w:val="21"/>
                <w:rtl/>
              </w:rPr>
              <w:t>الموازنة والإنفاق والعقود ومعايير الاختيار</w:t>
            </w:r>
          </w:p>
        </w:tc>
        <w:tc>
          <w:tcPr>
            <w:tcW w:w="2976" w:type="dxa"/>
            <w:shd w:val="clear" w:color="auto" w:fill="F2F2F2" w:themeFill="background1" w:themeFillShade="F2"/>
            <w:vAlign w:val="center"/>
          </w:tcPr>
          <w:p w14:paraId="2B620D4E" w14:textId="77777777" w:rsidR="003D1B66" w:rsidRDefault="003D1B66" w:rsidP="000B46B5">
            <w:pPr>
              <w:bidi/>
              <w:spacing w:after="0" w:line="240" w:lineRule="auto"/>
              <w:jc w:val="both"/>
            </w:pPr>
            <w:r>
              <w:rPr>
                <w:rFonts w:eastAsia="Arial"/>
                <w:sz w:val="21"/>
                <w:rtl/>
              </w:rPr>
              <w:t>مراجعة مستقلة، منافسة عادلة، تفسير الانحرافات</w:t>
            </w:r>
          </w:p>
        </w:tc>
      </w:tr>
      <w:tr w:rsidR="003D1B66" w14:paraId="0AAB1D3F" w14:textId="77777777" w:rsidTr="000B46B5">
        <w:trPr>
          <w:jc w:val="center"/>
        </w:trPr>
        <w:tc>
          <w:tcPr>
            <w:tcW w:w="2976" w:type="dxa"/>
            <w:shd w:val="clear" w:color="auto" w:fill="F2F2F2" w:themeFill="background1" w:themeFillShade="F2"/>
            <w:vAlign w:val="center"/>
          </w:tcPr>
          <w:p w14:paraId="3E73827E" w14:textId="77777777" w:rsidR="003D1B66" w:rsidRDefault="003D1B66" w:rsidP="000B46B5">
            <w:pPr>
              <w:bidi/>
              <w:spacing w:after="0" w:line="240" w:lineRule="auto"/>
              <w:jc w:val="both"/>
            </w:pPr>
            <w:r>
              <w:rPr>
                <w:rFonts w:eastAsia="Arial"/>
                <w:sz w:val="21"/>
                <w:rtl/>
              </w:rPr>
              <w:t>حقوق المستفيد والخدمة</w:t>
            </w:r>
          </w:p>
        </w:tc>
        <w:tc>
          <w:tcPr>
            <w:tcW w:w="2976" w:type="dxa"/>
            <w:shd w:val="clear" w:color="auto" w:fill="F2F2F2" w:themeFill="background1" w:themeFillShade="F2"/>
            <w:vAlign w:val="center"/>
          </w:tcPr>
          <w:p w14:paraId="7061FE74" w14:textId="77777777" w:rsidR="003D1B66" w:rsidRDefault="003D1B66" w:rsidP="000B46B5">
            <w:pPr>
              <w:bidi/>
              <w:spacing w:after="0" w:line="240" w:lineRule="auto"/>
              <w:jc w:val="both"/>
            </w:pPr>
            <w:r>
              <w:rPr>
                <w:rFonts w:eastAsia="Arial"/>
                <w:sz w:val="21"/>
                <w:rtl/>
              </w:rPr>
              <w:t>الاستحقاق والمسار والانتظار والشكاوى</w:t>
            </w:r>
          </w:p>
        </w:tc>
        <w:tc>
          <w:tcPr>
            <w:tcW w:w="2976" w:type="dxa"/>
            <w:shd w:val="clear" w:color="auto" w:fill="F2F2F2" w:themeFill="background1" w:themeFillShade="F2"/>
            <w:vAlign w:val="center"/>
          </w:tcPr>
          <w:p w14:paraId="7A6B8A71" w14:textId="77777777" w:rsidR="003D1B66" w:rsidRDefault="003D1B66" w:rsidP="000B46B5">
            <w:pPr>
              <w:bidi/>
              <w:spacing w:after="0" w:line="240" w:lineRule="auto"/>
              <w:jc w:val="both"/>
            </w:pPr>
            <w:r>
              <w:rPr>
                <w:rFonts w:eastAsia="Arial"/>
                <w:sz w:val="21"/>
                <w:rtl/>
              </w:rPr>
              <w:t>وضوح الخدمة، سهولة الاعتراض، زمن الاستجابة</w:t>
            </w:r>
          </w:p>
        </w:tc>
      </w:tr>
      <w:tr w:rsidR="003D1B66" w14:paraId="32617702" w14:textId="77777777" w:rsidTr="000B46B5">
        <w:trPr>
          <w:jc w:val="center"/>
        </w:trPr>
        <w:tc>
          <w:tcPr>
            <w:tcW w:w="2976" w:type="dxa"/>
            <w:shd w:val="clear" w:color="auto" w:fill="F2F2F2" w:themeFill="background1" w:themeFillShade="F2"/>
            <w:vAlign w:val="center"/>
          </w:tcPr>
          <w:p w14:paraId="618DA7AB" w14:textId="77777777" w:rsidR="003D1B66" w:rsidRDefault="003D1B66" w:rsidP="000B46B5">
            <w:pPr>
              <w:bidi/>
              <w:spacing w:after="0" w:line="240" w:lineRule="auto"/>
              <w:jc w:val="both"/>
            </w:pPr>
            <w:r>
              <w:rPr>
                <w:rFonts w:eastAsia="Arial"/>
                <w:sz w:val="21"/>
                <w:rtl/>
              </w:rPr>
              <w:t>الداخلية</w:t>
            </w:r>
          </w:p>
        </w:tc>
        <w:tc>
          <w:tcPr>
            <w:tcW w:w="2976" w:type="dxa"/>
            <w:shd w:val="clear" w:color="auto" w:fill="F2F2F2" w:themeFill="background1" w:themeFillShade="F2"/>
            <w:vAlign w:val="center"/>
          </w:tcPr>
          <w:p w14:paraId="1266244A" w14:textId="77777777" w:rsidR="003D1B66" w:rsidRDefault="003D1B66" w:rsidP="000B46B5">
            <w:pPr>
              <w:bidi/>
              <w:spacing w:after="0" w:line="240" w:lineRule="auto"/>
              <w:jc w:val="both"/>
            </w:pPr>
            <w:r>
              <w:rPr>
                <w:rFonts w:eastAsia="Arial"/>
                <w:sz w:val="21"/>
                <w:rtl/>
              </w:rPr>
              <w:t>تدفق المعلومات بين الإدارات والمستويات</w:t>
            </w:r>
          </w:p>
        </w:tc>
        <w:tc>
          <w:tcPr>
            <w:tcW w:w="2976" w:type="dxa"/>
            <w:shd w:val="clear" w:color="auto" w:fill="F2F2F2" w:themeFill="background1" w:themeFillShade="F2"/>
            <w:vAlign w:val="center"/>
          </w:tcPr>
          <w:p w14:paraId="738AE433" w14:textId="77777777" w:rsidR="003D1B66" w:rsidRDefault="003D1B66" w:rsidP="000B46B5">
            <w:pPr>
              <w:bidi/>
              <w:spacing w:after="0" w:line="240" w:lineRule="auto"/>
              <w:jc w:val="both"/>
            </w:pPr>
            <w:r>
              <w:rPr>
                <w:rFonts w:eastAsia="Arial"/>
                <w:sz w:val="21"/>
                <w:rtl/>
              </w:rPr>
              <w:t>سرعة وصول المعلومة، اتساق الرسائل، تقليل الازدواجية</w:t>
            </w:r>
          </w:p>
        </w:tc>
      </w:tr>
      <w:tr w:rsidR="003D1B66" w14:paraId="5DE7C2E1" w14:textId="77777777" w:rsidTr="000B46B5">
        <w:trPr>
          <w:jc w:val="center"/>
        </w:trPr>
        <w:tc>
          <w:tcPr>
            <w:tcW w:w="2976" w:type="dxa"/>
            <w:shd w:val="clear" w:color="auto" w:fill="F2F2F2" w:themeFill="background1" w:themeFillShade="F2"/>
            <w:vAlign w:val="center"/>
          </w:tcPr>
          <w:p w14:paraId="601F5294" w14:textId="77777777" w:rsidR="003D1B66" w:rsidRDefault="003D1B66" w:rsidP="000B46B5">
            <w:pPr>
              <w:bidi/>
              <w:spacing w:after="0" w:line="240" w:lineRule="auto"/>
              <w:jc w:val="both"/>
            </w:pPr>
            <w:r>
              <w:rPr>
                <w:rFonts w:eastAsia="Arial"/>
                <w:sz w:val="21"/>
                <w:rtl/>
              </w:rPr>
              <w:t>السريرية</w:t>
            </w:r>
          </w:p>
        </w:tc>
        <w:tc>
          <w:tcPr>
            <w:tcW w:w="2976" w:type="dxa"/>
            <w:shd w:val="clear" w:color="auto" w:fill="F2F2F2" w:themeFill="background1" w:themeFillShade="F2"/>
            <w:vAlign w:val="center"/>
          </w:tcPr>
          <w:p w14:paraId="2CAFE337" w14:textId="77777777" w:rsidR="003D1B66" w:rsidRDefault="003D1B66" w:rsidP="000B46B5">
            <w:pPr>
              <w:bidi/>
              <w:spacing w:after="0" w:line="240" w:lineRule="auto"/>
              <w:jc w:val="both"/>
            </w:pPr>
            <w:r>
              <w:rPr>
                <w:rFonts w:eastAsia="Arial"/>
                <w:sz w:val="21"/>
                <w:rtl/>
              </w:rPr>
              <w:t>المعلومات اللازمة للموافقة والقرار العلاجي</w:t>
            </w:r>
          </w:p>
        </w:tc>
        <w:tc>
          <w:tcPr>
            <w:tcW w:w="2976" w:type="dxa"/>
            <w:shd w:val="clear" w:color="auto" w:fill="F2F2F2" w:themeFill="background1" w:themeFillShade="F2"/>
            <w:vAlign w:val="center"/>
          </w:tcPr>
          <w:p w14:paraId="72AC7A96" w14:textId="77777777" w:rsidR="003D1B66" w:rsidRDefault="003D1B66" w:rsidP="000B46B5">
            <w:pPr>
              <w:bidi/>
              <w:spacing w:after="0" w:line="240" w:lineRule="auto"/>
              <w:jc w:val="both"/>
            </w:pPr>
            <w:r>
              <w:rPr>
                <w:rFonts w:eastAsia="Arial"/>
                <w:sz w:val="21"/>
                <w:rtl/>
              </w:rPr>
              <w:t>فهم المريض، توثيق الموافقة، التواصل عن المخاطر</w:t>
            </w:r>
          </w:p>
        </w:tc>
      </w:tr>
    </w:tbl>
    <w:p w14:paraId="1F2C0B48" w14:textId="77777777" w:rsidR="003D1B66" w:rsidRDefault="003D1B66" w:rsidP="003D1B66">
      <w:pPr>
        <w:pStyle w:val="31"/>
        <w:bidi/>
        <w:jc w:val="both"/>
      </w:pPr>
      <w:r>
        <w:rPr>
          <w:rFonts w:ascii="Arial" w:eastAsia="Arial" w:hAnsi="Arial" w:cs="Arial"/>
        </w:rPr>
        <w:lastRenderedPageBreak/>
        <w:t>2-3-2-3</w:t>
      </w:r>
      <w:r>
        <w:rPr>
          <w:rFonts w:ascii="Arial" w:eastAsia="Arial" w:hAnsi="Arial" w:cs="Arial"/>
          <w:rtl/>
        </w:rPr>
        <w:t xml:space="preserve"> آليات تعزيز الشفافية</w:t>
      </w:r>
    </w:p>
    <w:p w14:paraId="77B97EF4" w14:textId="77777777" w:rsidR="003D1B66" w:rsidRDefault="003D1B66" w:rsidP="003D1B66">
      <w:pPr>
        <w:bidi/>
        <w:spacing w:after="120" w:line="360" w:lineRule="auto"/>
        <w:ind w:firstLine="397"/>
        <w:jc w:val="both"/>
      </w:pPr>
      <w:r>
        <w:rPr>
          <w:rFonts w:eastAsia="Arial"/>
          <w:rtl/>
        </w:rPr>
        <w:t>تتحقق الشفافية من خلال مجموعة من الآليات المؤسسية، تبدأ بسياسة إفصاح تحدد أنواع المعلومات، والجمهور المستهدف، وتوقيت النشر، والمسؤول عن المراجعة والتحديث، والاستثناءات المتعلقة بالخصوصية والأمن. ويجب أن تتكامل السياسة مع إدارة السجلات والبيانات لضمان أن المعلومات المنشورة صحيحة وقابلة للتتبع.</w:t>
      </w:r>
    </w:p>
    <w:p w14:paraId="22484084" w14:textId="77777777" w:rsidR="003D1B66" w:rsidRDefault="003D1B66" w:rsidP="003D1B66">
      <w:pPr>
        <w:bidi/>
        <w:spacing w:after="120" w:line="360" w:lineRule="auto"/>
        <w:ind w:firstLine="397"/>
        <w:jc w:val="both"/>
      </w:pPr>
      <w:r>
        <w:rPr>
          <w:rFonts w:eastAsia="Arial"/>
          <w:rtl/>
        </w:rPr>
        <w:t>تعد لوحات الأداء من أهم الأدوات، لأنها تجمع مؤشرات مختارة وتعرض اتجاهاتها مقارنة بالمستهدفات. ولكي تدعم الشفافية، ينبغي ألا تقتصر على المؤشرات الإيجابية، وأن توضح تعريف المؤشر ومصدر البيانات والفترة الزمنية. كما يجب أن ترتبط اجتماعات مراجعة الأداء بقرارات ومسؤوليات ومواعيد متابعة، وإلا تحولت اللوحات إلى عرض شكلي.</w:t>
      </w:r>
    </w:p>
    <w:p w14:paraId="48DFD4C1" w14:textId="77777777" w:rsidR="003D1B66" w:rsidRDefault="003D1B66" w:rsidP="003D1B66">
      <w:pPr>
        <w:bidi/>
        <w:spacing w:after="120" w:line="360" w:lineRule="auto"/>
        <w:ind w:firstLine="397"/>
        <w:jc w:val="both"/>
      </w:pPr>
      <w:r>
        <w:rPr>
          <w:rFonts w:eastAsia="Arial"/>
          <w:rtl/>
        </w:rPr>
        <w:t>تدعم تقارير الجودة والسلامة وتجربة المريض والمراجعة الداخلية الشفافية المؤسسية، خصوصاً عندما تُرفع إلى جهة مستقلة نسبياً عن الإدارة المسؤولة عن التنفيذ. وتساعد قنوات البلاغات والشكاوى وحماية المبلغين على كشف معلومات قد لا تظهر في التقارير الرسمية. كما أن نشر نتائج معالجة الشكاوى بصورة مجمعة يوضح أن المؤسسة تتعلم وتصحح.</w:t>
      </w:r>
    </w:p>
    <w:p w14:paraId="4DF1D0EC" w14:textId="77777777" w:rsidR="003D1B66" w:rsidRDefault="003D1B66" w:rsidP="003D1B66">
      <w:pPr>
        <w:bidi/>
        <w:spacing w:after="120" w:line="360" w:lineRule="auto"/>
        <w:ind w:firstLine="397"/>
        <w:jc w:val="both"/>
      </w:pPr>
      <w:r>
        <w:rPr>
          <w:rFonts w:eastAsia="Arial"/>
          <w:rtl/>
        </w:rPr>
        <w:t>تسهم الرقمنة في تحسين الشفافية من خلال توحيد السجلات، وتوفير أثر تدقيقي للعمليات، وتقليل الاعتماد على المعاملات الورقية أو القرارات الشفهية. لكنها قد تخلق مخاطر جديدة إذا كانت الصلاحيات غير منضبطة أو البيانات غير دقيقة أو الخوارزميات غير قابلة للتفسير. لذا يجب أن تكون الحوكمة الرقمية جزءاً من حوكمة المؤسسة لا مشروعاً تقنياً منفصلاً.</w:t>
      </w:r>
    </w:p>
    <w:p w14:paraId="50E8BB49" w14:textId="77777777" w:rsidR="003D1B66" w:rsidRDefault="003D1B66" w:rsidP="003D1B66">
      <w:pPr>
        <w:bidi/>
        <w:spacing w:after="120" w:line="360" w:lineRule="auto"/>
        <w:ind w:firstLine="397"/>
        <w:jc w:val="both"/>
      </w:pPr>
      <w:r>
        <w:rPr>
          <w:rFonts w:eastAsia="Arial"/>
          <w:rtl/>
        </w:rPr>
        <w:t>وأخيراً، تحتاج الشفافية إلى ثقافة تسمح بطرح الأسئلة والإبلاغ عن المشكلات دون خوف غير مبرر. فالمؤسسة قد تنشر سياسات كثيرة، لكن العاملين قد يحجمون عن مشاركة المعلومات السلبية إذا ارتبط الإفصاح بالعقاب التلقائي. ومن ثم ينبغي التمييز بين الخطأ البشري الذي يتطلب التعلم وتحسين النظام، وبين الإهمال أو المخالفة المتعمدة التي تتطلب المساءلة.</w:t>
      </w:r>
    </w:p>
    <w:p w14:paraId="0B65B94A" w14:textId="77777777" w:rsidR="003D1B66" w:rsidRDefault="003D1B66" w:rsidP="003D1B66">
      <w:pPr>
        <w:pStyle w:val="31"/>
        <w:bidi/>
        <w:jc w:val="both"/>
      </w:pPr>
      <w:r>
        <w:rPr>
          <w:rFonts w:ascii="Arial" w:eastAsia="Arial" w:hAnsi="Arial" w:cs="Arial"/>
        </w:rPr>
        <w:t>2-3-2-4</w:t>
      </w:r>
      <w:r>
        <w:rPr>
          <w:rFonts w:ascii="Arial" w:eastAsia="Arial" w:hAnsi="Arial" w:cs="Arial"/>
          <w:rtl/>
        </w:rPr>
        <w:t xml:space="preserve"> معوقات الشفافية في المؤسسات الصحية</w:t>
      </w:r>
    </w:p>
    <w:p w14:paraId="5881F039" w14:textId="77777777" w:rsidR="003D1B66" w:rsidRDefault="003D1B66" w:rsidP="003D1B66">
      <w:pPr>
        <w:bidi/>
        <w:spacing w:after="120" w:line="360" w:lineRule="auto"/>
        <w:ind w:firstLine="397"/>
        <w:jc w:val="both"/>
      </w:pPr>
      <w:r>
        <w:rPr>
          <w:rFonts w:eastAsia="Arial"/>
          <w:rtl/>
        </w:rPr>
        <w:t>من أبرز معوقات الشفافية تشتت البيانات بين أنظمة وإدارات متعددة، واختلاف تعريفات المؤشرات، وضعف جودة الإدخال، مما يجعل المعلومات متأخرة أو متعارضة. كما قد تؤدي المركزية المفرطة إلى احتفاظ مستويات محددة بالمعلومات أو بطء اعتمادها، بينما يؤدي التفويض غير المنضبط إلى نشر معلومات غير موحدة أو غير دقيقة.</w:t>
      </w:r>
    </w:p>
    <w:p w14:paraId="0BE99839" w14:textId="77777777" w:rsidR="003D1B66" w:rsidRDefault="003D1B66" w:rsidP="003D1B66">
      <w:pPr>
        <w:bidi/>
        <w:spacing w:after="120" w:line="360" w:lineRule="auto"/>
        <w:ind w:firstLine="397"/>
        <w:jc w:val="both"/>
      </w:pPr>
      <w:r>
        <w:rPr>
          <w:rFonts w:eastAsia="Arial"/>
          <w:rtl/>
        </w:rPr>
        <w:t>يشكل الخوف من المساءلة أو الإضرار بالسمعة عائقاً آخر، إذ قد تميل بعض الإدارات إلى التركيز على النجاحات وتقليل ظهور الإخفاقات. ويؤدي غياب ثقافة التعلم إلى اعتبار كل مؤشر سلبي دليلاً على فشل شخصي بدلاً من كونه فرصة لتحسين النظام. كما أن تضارب المصالح أو ضعف استقلال المراجعة قد يمنع الإفصاح الكامل عن المخاطر أو الانحرافات.</w:t>
      </w:r>
    </w:p>
    <w:p w14:paraId="1B816A32" w14:textId="77777777" w:rsidR="003D1B66" w:rsidRDefault="003D1B66" w:rsidP="003D1B66">
      <w:pPr>
        <w:bidi/>
        <w:spacing w:after="120" w:line="360" w:lineRule="auto"/>
        <w:ind w:firstLine="397"/>
        <w:jc w:val="both"/>
      </w:pPr>
      <w:r>
        <w:rPr>
          <w:rFonts w:eastAsia="Arial"/>
          <w:rtl/>
        </w:rPr>
        <w:t>توجد أيضاً معوقات تتعلق بقدرة المستفيد على فهم المعلومات. فالشفافية لا تتحقق بنشر تقارير فنية معقدة لا يستطيع غير المتخصص تفسيرها. لذلك ينبغي استخدام لغة واضحة، وشرح المقاييس، وتقديم ملخصات مناسبة للفئات المختلفة، مع تجنب التبسيط المخل أو المقارنات غير العادلة بين مؤسسات تخدم مجموعات مختلفة من المرضى.</w:t>
      </w:r>
    </w:p>
    <w:p w14:paraId="4ED3CF70" w14:textId="77777777" w:rsidR="003D1B66" w:rsidRDefault="003D1B66" w:rsidP="003D1B66">
      <w:pPr>
        <w:bidi/>
        <w:spacing w:after="120" w:line="360" w:lineRule="auto"/>
        <w:ind w:firstLine="397"/>
        <w:jc w:val="both"/>
      </w:pPr>
      <w:r>
        <w:rPr>
          <w:rFonts w:eastAsia="Arial"/>
          <w:rtl/>
        </w:rPr>
        <w:t>أما الحماية الزائدة للمعلومات بحجة الخصوصية فقد تتحول إلى مبرر لعدم الإفصاح عن بيانات مجمعة أو إدارية لا تمس الأفراد. وفي المقابل، قد يؤدي الإفصاح غير المنضبط إلى كشف معلومات شخصية أو تجارية أو أمنية. ويتطلب الحل تصنيفاً واضحاً للمعلومات وآليات لإخفاء الهوية والمراجعة القانونية والأمنية قبل النشر.</w:t>
      </w:r>
    </w:p>
    <w:p w14:paraId="2EC9DC45" w14:textId="77777777" w:rsidR="003D1B66" w:rsidRDefault="003D1B66" w:rsidP="003D1B66">
      <w:pPr>
        <w:pStyle w:val="21"/>
        <w:bidi/>
        <w:jc w:val="both"/>
      </w:pPr>
      <w:r>
        <w:rPr>
          <w:rFonts w:ascii="Arial" w:eastAsia="Arial" w:hAnsi="Arial" w:cs="Arial"/>
        </w:rPr>
        <w:lastRenderedPageBreak/>
        <w:t>2-3-3</w:t>
      </w:r>
      <w:r>
        <w:rPr>
          <w:rFonts w:ascii="Arial" w:eastAsia="Arial" w:hAnsi="Arial" w:cs="Arial"/>
          <w:rtl/>
        </w:rPr>
        <w:t xml:space="preserve"> الكفاءة في إدارة المؤسسات الصحية</w:t>
      </w:r>
    </w:p>
    <w:p w14:paraId="11142214" w14:textId="77777777" w:rsidR="003D1B66" w:rsidRDefault="003D1B66" w:rsidP="003D1B66">
      <w:pPr>
        <w:pStyle w:val="31"/>
        <w:bidi/>
        <w:jc w:val="both"/>
      </w:pPr>
      <w:r>
        <w:rPr>
          <w:rFonts w:ascii="Arial" w:eastAsia="Arial" w:hAnsi="Arial" w:cs="Arial"/>
        </w:rPr>
        <w:t>2-3-3-1</w:t>
      </w:r>
      <w:r>
        <w:rPr>
          <w:rFonts w:ascii="Arial" w:eastAsia="Arial" w:hAnsi="Arial" w:cs="Arial"/>
          <w:rtl/>
        </w:rPr>
        <w:t xml:space="preserve"> مفهوم الكفاءة والتمييز بينها وبين الفعالية والجودة</w:t>
      </w:r>
    </w:p>
    <w:p w14:paraId="4C6C1907" w14:textId="77777777" w:rsidR="003D1B66" w:rsidRDefault="003D1B66" w:rsidP="003D1B66">
      <w:pPr>
        <w:bidi/>
        <w:spacing w:after="120" w:line="360" w:lineRule="auto"/>
        <w:ind w:firstLine="397"/>
        <w:jc w:val="both"/>
      </w:pPr>
      <w:r>
        <w:rPr>
          <w:rFonts w:eastAsia="Arial"/>
          <w:rtl/>
        </w:rPr>
        <w:t>الكفاءة هي القدرة على تحقيق أكبر قدر ممكن من المخرجات أو النتائج باستخدام الموارد المتاحة، أو تحقيق مستوى محدد من النتائج بأقل موارد ممكنة، مع المحافظة على المعايير المطلوبة. ويشمل مفهوم الموارد الوقت والمال والقوى العاملة والتجهيزات والأسرة والدواء والمعلومات. ولا تعني الكفاءة مجرد خفض التكلفة، لأن تقليل الموارد بطريقة تؤدي إلى تدهور الجودة أو زيادة المضاعفات وإعادة التنويم قد يرفع التكلفة الكلية ويضر بالنتائج.</w:t>
      </w:r>
    </w:p>
    <w:p w14:paraId="6A09117C" w14:textId="77777777" w:rsidR="003D1B66" w:rsidRDefault="003D1B66" w:rsidP="003D1B66">
      <w:pPr>
        <w:bidi/>
        <w:spacing w:after="120" w:line="360" w:lineRule="auto"/>
        <w:ind w:firstLine="397"/>
        <w:jc w:val="both"/>
      </w:pPr>
      <w:r>
        <w:rPr>
          <w:rFonts w:eastAsia="Arial"/>
          <w:rtl/>
        </w:rPr>
        <w:t>تختلف الكفاءة عن الفعالية؛ فالفعالية تتعلق بمدى تحقيق الأهداف والنتائج المطلوبة، أما الكفاءة فتتعلق بالعلاقة بين النتائج والموارد. وقد تكون المؤسسة فعالة في تحقيق هدفها لكنها تستخدم موارد أكثر من اللازم، أو تكون كفؤة في تنفيذ عملية لا تحقق نتيجة صحية مهمة. ولذلك تحتاج الإدارة الصحية إلى الجمع بين الفعالية والكفاءة والقيمة، حيث تعبر القيمة عن النتائج المهمة للمريض مقارنة بالتكلفة الكلية لتحقيقها.</w:t>
      </w:r>
    </w:p>
    <w:p w14:paraId="78F0AA1E" w14:textId="77777777" w:rsidR="003D1B66" w:rsidRDefault="003D1B66" w:rsidP="003D1B66">
      <w:pPr>
        <w:bidi/>
        <w:spacing w:after="120" w:line="360" w:lineRule="auto"/>
        <w:ind w:firstLine="397"/>
        <w:jc w:val="both"/>
      </w:pPr>
      <w:r>
        <w:rPr>
          <w:rFonts w:eastAsia="Arial"/>
          <w:rtl/>
        </w:rPr>
        <w:t>كما ترتبط الكفاءة بالجودة ولا تتعارض معها بالضرورة. فخفض الأخطاء والازدواجية والانتظار غير الضروري وتحسين التنسيق يمكن أن يحسن الجودة ويقلل التكلفة في الوقت نفسه. لكن بعض التحسينات تتطلب استثماراً أولياً في التقنية أو التدريب أو القوى العاملة، ولذلك ينبغي تقييم الكفاءة على مدى زمني مناسب وعدم الاقتصار على الأثر المالي الفوري.</w:t>
      </w:r>
    </w:p>
    <w:p w14:paraId="43BB4C91" w14:textId="77777777" w:rsidR="003D1B66" w:rsidRDefault="003D1B66" w:rsidP="003D1B66">
      <w:pPr>
        <w:bidi/>
        <w:spacing w:after="120" w:line="360" w:lineRule="auto"/>
        <w:ind w:firstLine="397"/>
        <w:jc w:val="both"/>
      </w:pPr>
      <w:r>
        <w:rPr>
          <w:rFonts w:eastAsia="Arial"/>
          <w:rtl/>
        </w:rPr>
        <w:t>تتميز الكفاءة الصحية بصعوبة القياس لأن مخرجات المؤسسة متعددة، ولأن شدة الحالات تختلف، ولأن بعض النتائج تظهر بعد وقت طويل. لذلك تستخدم المؤسسات مزيجاً من المؤشرات التشغيلية والمالية والسريرية، مثل زمن الانتظار، واستغلال الأسرة، ومتوسط مدة الإقامة، وتكلفة الحالة، وإعادة التنويم، وإنتاجية العيادات، ونسبة الهدر، مع تعديل المقارنات بحسب خصائص المرضى والخدمات.</w:t>
      </w:r>
    </w:p>
    <w:p w14:paraId="03752056" w14:textId="77777777" w:rsidR="003D1B66" w:rsidRDefault="003D1B66" w:rsidP="003D1B66">
      <w:pPr>
        <w:pStyle w:val="31"/>
        <w:bidi/>
        <w:jc w:val="both"/>
      </w:pPr>
      <w:r>
        <w:rPr>
          <w:rFonts w:ascii="Arial" w:eastAsia="Arial" w:hAnsi="Arial" w:cs="Arial"/>
        </w:rPr>
        <w:t>2-3-3-2</w:t>
      </w:r>
      <w:r>
        <w:rPr>
          <w:rFonts w:ascii="Arial" w:eastAsia="Arial" w:hAnsi="Arial" w:cs="Arial"/>
          <w:rtl/>
        </w:rPr>
        <w:t xml:space="preserve"> أنواع الكفاءة في المؤسسات الصحية</w:t>
      </w:r>
    </w:p>
    <w:p w14:paraId="3F66258F" w14:textId="77777777" w:rsidR="003D1B66" w:rsidRDefault="003D1B66" w:rsidP="003D1B66">
      <w:pPr>
        <w:bidi/>
        <w:spacing w:after="120" w:line="360" w:lineRule="auto"/>
        <w:ind w:firstLine="397"/>
        <w:jc w:val="both"/>
      </w:pPr>
      <w:r>
        <w:rPr>
          <w:rFonts w:eastAsia="Arial"/>
          <w:rtl/>
        </w:rPr>
        <w:t>الكفاءة الفنية تعني إنتاج أكبر قدر من الخدمات أو النتائج باستخدام مجموعة محددة من الموارد، مثل زيادة عدد المستفيدين الذين يحصلون على خدمة آمنة من دون زيادة مماثلة في ساعات العمل أو الأسرة. أما الكفاءة التخصيصية فتعني توزيع الموارد بين الخدمات والمناطق والفئات بطريقة تحقق أعلى منفعة صحية ممكنة، مثل توجيه الاستثمار نحو الوقاية أو الرعاية الأولية عندما يحقق ذلك نتائج أفضل من التوسع غير المدروس في خدمات مرتفعة التكلفة.</w:t>
      </w:r>
    </w:p>
    <w:p w14:paraId="4CBBC021" w14:textId="77777777" w:rsidR="003D1B66" w:rsidRDefault="003D1B66" w:rsidP="003D1B66">
      <w:pPr>
        <w:bidi/>
        <w:spacing w:after="120" w:line="360" w:lineRule="auto"/>
        <w:ind w:firstLine="397"/>
        <w:jc w:val="both"/>
      </w:pPr>
      <w:r>
        <w:rPr>
          <w:rFonts w:eastAsia="Arial"/>
          <w:rtl/>
        </w:rPr>
        <w:t>الكفاءة التشغيلية تركز على سلاسة العمليات اليومية، وتقليل الوقت الضائع والانتظار والتكرار، وتحسين الجدولة وسلاسل الإمداد ومسارات المرضى. والكفاءة الإدارية تتعلق بجودة تصميم الهياكل والإجراءات والقرارات واستخدام الموارد الإدارية، بما يشمل تقليل الازدواجية، وتسريع الاعتمادات، ووضوح التفويض، وربط الأداء بالأهداف.</w:t>
      </w:r>
    </w:p>
    <w:p w14:paraId="59C6A261" w14:textId="77777777" w:rsidR="003D1B66" w:rsidRDefault="003D1B66" w:rsidP="003D1B66">
      <w:pPr>
        <w:bidi/>
        <w:spacing w:after="120" w:line="360" w:lineRule="auto"/>
        <w:ind w:firstLine="397"/>
        <w:jc w:val="both"/>
      </w:pPr>
      <w:r>
        <w:rPr>
          <w:rFonts w:eastAsia="Arial"/>
          <w:rtl/>
        </w:rPr>
        <w:t>الكفاءة المالية تعني إدارة الميزانية والتكاليف والتعاقدات والمشتريات بما يحقق الاستدامة والقيمة، مع الالتزام بالرقابة ومنع الهدر. أما الكفاءة السريرية فتتعلق باختيار التدخل المناسب للمريض المناسب في الوقت المناسب، وتجنب الفحوصات أو الإجراءات غير الضرورية، وتحسين الالتزام بالأدلة والمسارات السريرية.</w:t>
      </w:r>
    </w:p>
    <w:p w14:paraId="34504EC3" w14:textId="77777777" w:rsidR="003D1B66" w:rsidRDefault="003D1B66" w:rsidP="003D1B66">
      <w:pPr>
        <w:bidi/>
        <w:spacing w:after="120" w:line="360" w:lineRule="auto"/>
        <w:ind w:firstLine="397"/>
        <w:jc w:val="both"/>
      </w:pPr>
      <w:r>
        <w:rPr>
          <w:rFonts w:eastAsia="Arial"/>
          <w:rtl/>
        </w:rPr>
        <w:t>توجد كذلك كفاءة ديناميكية تتمثل في قدرة المؤسسة على الابتكار والتعلم والتكيف مع التغيرات. فقد تكون العملية الحالية منخفضة التكلفة، لكنها تعتمد على تقنية قديمة أو مهارات لا تتوافق مع المستقبل. وتدعم الحوكمة الجيدة هذا النوع من الكفاءة من خلال إدارة محفظة المشاريع، وتقييم الابتكارات، ووقف المبادرات غير المجدية، وتوسيع الممارسات التي تثبت نتائجها.</w:t>
      </w:r>
    </w:p>
    <w:p w14:paraId="07EA5B6C" w14:textId="77777777" w:rsidR="003D1B66" w:rsidRDefault="003D1B66" w:rsidP="003D1B66">
      <w:pPr>
        <w:keepNext/>
        <w:bidi/>
        <w:spacing w:before="120" w:after="80"/>
        <w:jc w:val="both"/>
      </w:pPr>
      <w:r>
        <w:rPr>
          <w:rFonts w:eastAsia="Arial"/>
          <w:b/>
          <w:sz w:val="24"/>
          <w:rtl/>
        </w:rPr>
        <w:lastRenderedPageBreak/>
        <w:t>جدول (</w:t>
      </w:r>
      <w:r>
        <w:rPr>
          <w:rFonts w:eastAsia="Arial"/>
          <w:b/>
          <w:sz w:val="24"/>
        </w:rPr>
        <w:t>12</w:t>
      </w:r>
      <w:r>
        <w:rPr>
          <w:rFonts w:eastAsia="Arial"/>
          <w:b/>
          <w:sz w:val="24"/>
          <w:rtl/>
        </w:rPr>
        <w:t>): أنواع الكفاءة في المؤسسات الصحية</w:t>
      </w:r>
    </w:p>
    <w:tbl>
      <w:tblPr>
        <w:bidiVisual/>
        <w:tblW w:w="8928" w:type="dxa"/>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2976"/>
        <w:gridCol w:w="2976"/>
        <w:gridCol w:w="2976"/>
      </w:tblGrid>
      <w:tr w:rsidR="003D1B66" w14:paraId="0E5CDE72" w14:textId="77777777" w:rsidTr="000B46B5">
        <w:trPr>
          <w:tblHeader/>
        </w:trPr>
        <w:tc>
          <w:tcPr>
            <w:tcW w:w="2976" w:type="dxa"/>
            <w:shd w:val="clear" w:color="auto" w:fill="F2F2F2" w:themeFill="background1" w:themeFillShade="F2"/>
            <w:vAlign w:val="center"/>
          </w:tcPr>
          <w:p w14:paraId="44C1E3C6" w14:textId="77777777" w:rsidR="003D1B66" w:rsidRDefault="003D1B66" w:rsidP="000B46B5">
            <w:pPr>
              <w:bidi/>
              <w:spacing w:after="0" w:line="240" w:lineRule="auto"/>
              <w:jc w:val="both"/>
            </w:pPr>
            <w:r>
              <w:rPr>
                <w:rFonts w:eastAsia="Arial"/>
                <w:b/>
                <w:sz w:val="21"/>
                <w:rtl/>
              </w:rPr>
              <w:t>نوع الكفاءة</w:t>
            </w:r>
          </w:p>
        </w:tc>
        <w:tc>
          <w:tcPr>
            <w:tcW w:w="2976" w:type="dxa"/>
            <w:shd w:val="clear" w:color="auto" w:fill="F2F2F2" w:themeFill="background1" w:themeFillShade="F2"/>
            <w:vAlign w:val="center"/>
          </w:tcPr>
          <w:p w14:paraId="5D4BFCD8" w14:textId="77777777" w:rsidR="003D1B66" w:rsidRDefault="003D1B66" w:rsidP="000B46B5">
            <w:pPr>
              <w:bidi/>
              <w:spacing w:after="0" w:line="240" w:lineRule="auto"/>
              <w:jc w:val="both"/>
            </w:pPr>
            <w:r>
              <w:rPr>
                <w:rFonts w:eastAsia="Arial"/>
                <w:b/>
                <w:sz w:val="21"/>
                <w:rtl/>
              </w:rPr>
              <w:t>السؤال الذي تجيب عنه</w:t>
            </w:r>
          </w:p>
        </w:tc>
        <w:tc>
          <w:tcPr>
            <w:tcW w:w="2976" w:type="dxa"/>
            <w:shd w:val="clear" w:color="auto" w:fill="F2F2F2" w:themeFill="background1" w:themeFillShade="F2"/>
            <w:vAlign w:val="center"/>
          </w:tcPr>
          <w:p w14:paraId="472FC31C" w14:textId="77777777" w:rsidR="003D1B66" w:rsidRDefault="003D1B66" w:rsidP="000B46B5">
            <w:pPr>
              <w:bidi/>
              <w:spacing w:after="0" w:line="240" w:lineRule="auto"/>
              <w:jc w:val="both"/>
            </w:pPr>
            <w:r>
              <w:rPr>
                <w:rFonts w:eastAsia="Arial"/>
                <w:b/>
                <w:sz w:val="21"/>
                <w:rtl/>
              </w:rPr>
              <w:t>أمثلة للمؤشرات</w:t>
            </w:r>
          </w:p>
        </w:tc>
      </w:tr>
      <w:tr w:rsidR="003D1B66" w14:paraId="4F0C87A3" w14:textId="77777777" w:rsidTr="000B46B5">
        <w:tc>
          <w:tcPr>
            <w:tcW w:w="2976" w:type="dxa"/>
            <w:shd w:val="clear" w:color="auto" w:fill="F2F2F2" w:themeFill="background1" w:themeFillShade="F2"/>
            <w:vAlign w:val="center"/>
          </w:tcPr>
          <w:p w14:paraId="1BCE63A7" w14:textId="77777777" w:rsidR="003D1B66" w:rsidRDefault="003D1B66" w:rsidP="000B46B5">
            <w:pPr>
              <w:bidi/>
              <w:spacing w:after="0" w:line="240" w:lineRule="auto"/>
              <w:jc w:val="both"/>
            </w:pPr>
            <w:r>
              <w:rPr>
                <w:rFonts w:eastAsia="Arial"/>
                <w:sz w:val="21"/>
                <w:rtl/>
              </w:rPr>
              <w:t>الفنية</w:t>
            </w:r>
          </w:p>
        </w:tc>
        <w:tc>
          <w:tcPr>
            <w:tcW w:w="2976" w:type="dxa"/>
            <w:shd w:val="clear" w:color="auto" w:fill="F2F2F2" w:themeFill="background1" w:themeFillShade="F2"/>
            <w:vAlign w:val="center"/>
          </w:tcPr>
          <w:p w14:paraId="57D1C5E6" w14:textId="77777777" w:rsidR="003D1B66" w:rsidRDefault="003D1B66" w:rsidP="000B46B5">
            <w:pPr>
              <w:bidi/>
              <w:spacing w:after="0" w:line="240" w:lineRule="auto"/>
            </w:pPr>
            <w:r>
              <w:rPr>
                <w:rFonts w:eastAsia="Arial"/>
                <w:sz w:val="21"/>
                <w:rtl/>
              </w:rPr>
              <w:t>هل ننتج أقصى مخرجات بالموارد الحالية؟</w:t>
            </w:r>
          </w:p>
        </w:tc>
        <w:tc>
          <w:tcPr>
            <w:tcW w:w="2976" w:type="dxa"/>
            <w:shd w:val="clear" w:color="auto" w:fill="F2F2F2" w:themeFill="background1" w:themeFillShade="F2"/>
            <w:vAlign w:val="center"/>
          </w:tcPr>
          <w:p w14:paraId="25A1E64B" w14:textId="77777777" w:rsidR="003D1B66" w:rsidRDefault="003D1B66" w:rsidP="000B46B5">
            <w:pPr>
              <w:bidi/>
              <w:spacing w:after="0" w:line="240" w:lineRule="auto"/>
            </w:pPr>
            <w:r>
              <w:rPr>
                <w:rFonts w:eastAsia="Arial"/>
                <w:sz w:val="21"/>
                <w:rtl/>
              </w:rPr>
              <w:t>إنتاجية العيادات، استغلال الأسرة، عدد الحالات لكل مورد</w:t>
            </w:r>
          </w:p>
        </w:tc>
      </w:tr>
      <w:tr w:rsidR="003D1B66" w14:paraId="50E84FA5" w14:textId="77777777" w:rsidTr="000B46B5">
        <w:tc>
          <w:tcPr>
            <w:tcW w:w="2976" w:type="dxa"/>
            <w:shd w:val="clear" w:color="auto" w:fill="F2F2F2" w:themeFill="background1" w:themeFillShade="F2"/>
            <w:vAlign w:val="center"/>
          </w:tcPr>
          <w:p w14:paraId="2EBC617E" w14:textId="77777777" w:rsidR="003D1B66" w:rsidRDefault="003D1B66" w:rsidP="000B46B5">
            <w:pPr>
              <w:bidi/>
              <w:spacing w:after="0" w:line="240" w:lineRule="auto"/>
              <w:jc w:val="both"/>
            </w:pPr>
            <w:r>
              <w:rPr>
                <w:rFonts w:eastAsia="Arial"/>
                <w:sz w:val="21"/>
                <w:rtl/>
              </w:rPr>
              <w:t>التخصيصية</w:t>
            </w:r>
          </w:p>
        </w:tc>
        <w:tc>
          <w:tcPr>
            <w:tcW w:w="2976" w:type="dxa"/>
            <w:shd w:val="clear" w:color="auto" w:fill="F2F2F2" w:themeFill="background1" w:themeFillShade="F2"/>
            <w:vAlign w:val="center"/>
          </w:tcPr>
          <w:p w14:paraId="0BF4DA1F" w14:textId="77777777" w:rsidR="003D1B66" w:rsidRDefault="003D1B66" w:rsidP="000B46B5">
            <w:pPr>
              <w:bidi/>
              <w:spacing w:after="0" w:line="240" w:lineRule="auto"/>
            </w:pPr>
            <w:r>
              <w:rPr>
                <w:rFonts w:eastAsia="Arial"/>
                <w:sz w:val="21"/>
                <w:rtl/>
              </w:rPr>
              <w:t>هل نضع الموارد في الخدمات الأعلى قيمة؟</w:t>
            </w:r>
          </w:p>
        </w:tc>
        <w:tc>
          <w:tcPr>
            <w:tcW w:w="2976" w:type="dxa"/>
            <w:shd w:val="clear" w:color="auto" w:fill="F2F2F2" w:themeFill="background1" w:themeFillShade="F2"/>
            <w:vAlign w:val="center"/>
          </w:tcPr>
          <w:p w14:paraId="4B608558" w14:textId="77777777" w:rsidR="003D1B66" w:rsidRDefault="003D1B66" w:rsidP="000B46B5">
            <w:pPr>
              <w:bidi/>
              <w:spacing w:after="0" w:line="240" w:lineRule="auto"/>
            </w:pPr>
            <w:r>
              <w:rPr>
                <w:rFonts w:eastAsia="Arial"/>
                <w:sz w:val="21"/>
                <w:rtl/>
              </w:rPr>
              <w:t>توزيع الإنفاق، التغطية السكانية، عبء المرض مقابل الموارد</w:t>
            </w:r>
          </w:p>
        </w:tc>
      </w:tr>
      <w:tr w:rsidR="003D1B66" w14:paraId="785260B6" w14:textId="77777777" w:rsidTr="000B46B5">
        <w:tc>
          <w:tcPr>
            <w:tcW w:w="2976" w:type="dxa"/>
            <w:shd w:val="clear" w:color="auto" w:fill="F2F2F2" w:themeFill="background1" w:themeFillShade="F2"/>
            <w:vAlign w:val="center"/>
          </w:tcPr>
          <w:p w14:paraId="7B443C23" w14:textId="77777777" w:rsidR="003D1B66" w:rsidRDefault="003D1B66" w:rsidP="000B46B5">
            <w:pPr>
              <w:bidi/>
              <w:spacing w:after="0" w:line="240" w:lineRule="auto"/>
              <w:jc w:val="both"/>
            </w:pPr>
            <w:r>
              <w:rPr>
                <w:rFonts w:eastAsia="Arial"/>
                <w:sz w:val="21"/>
                <w:rtl/>
              </w:rPr>
              <w:t>التشغيلية</w:t>
            </w:r>
          </w:p>
        </w:tc>
        <w:tc>
          <w:tcPr>
            <w:tcW w:w="2976" w:type="dxa"/>
            <w:shd w:val="clear" w:color="auto" w:fill="F2F2F2" w:themeFill="background1" w:themeFillShade="F2"/>
            <w:vAlign w:val="center"/>
          </w:tcPr>
          <w:p w14:paraId="03C40AB2" w14:textId="77777777" w:rsidR="003D1B66" w:rsidRDefault="003D1B66" w:rsidP="000B46B5">
            <w:pPr>
              <w:bidi/>
              <w:spacing w:after="0" w:line="240" w:lineRule="auto"/>
            </w:pPr>
            <w:r>
              <w:rPr>
                <w:rFonts w:eastAsia="Arial"/>
                <w:sz w:val="21"/>
                <w:rtl/>
              </w:rPr>
              <w:t>هل تسير العمليات بأقل تأخير وهدر؟</w:t>
            </w:r>
          </w:p>
        </w:tc>
        <w:tc>
          <w:tcPr>
            <w:tcW w:w="2976" w:type="dxa"/>
            <w:shd w:val="clear" w:color="auto" w:fill="F2F2F2" w:themeFill="background1" w:themeFillShade="F2"/>
            <w:vAlign w:val="center"/>
          </w:tcPr>
          <w:p w14:paraId="12DB0B6F" w14:textId="77777777" w:rsidR="003D1B66" w:rsidRDefault="003D1B66" w:rsidP="000B46B5">
            <w:pPr>
              <w:bidi/>
              <w:spacing w:after="0" w:line="240" w:lineRule="auto"/>
            </w:pPr>
            <w:r>
              <w:rPr>
                <w:rFonts w:eastAsia="Arial"/>
                <w:sz w:val="21"/>
                <w:rtl/>
              </w:rPr>
              <w:t>زمن الانتظار، مدة الدورة، إلغاء المواعيد، المخزون</w:t>
            </w:r>
          </w:p>
        </w:tc>
      </w:tr>
      <w:tr w:rsidR="003D1B66" w14:paraId="3FF6329F" w14:textId="77777777" w:rsidTr="000B46B5">
        <w:tc>
          <w:tcPr>
            <w:tcW w:w="2976" w:type="dxa"/>
            <w:shd w:val="clear" w:color="auto" w:fill="F2F2F2" w:themeFill="background1" w:themeFillShade="F2"/>
            <w:vAlign w:val="center"/>
          </w:tcPr>
          <w:p w14:paraId="0B551996" w14:textId="77777777" w:rsidR="003D1B66" w:rsidRDefault="003D1B66" w:rsidP="000B46B5">
            <w:pPr>
              <w:bidi/>
              <w:spacing w:after="0" w:line="240" w:lineRule="auto"/>
              <w:jc w:val="both"/>
            </w:pPr>
            <w:r>
              <w:rPr>
                <w:rFonts w:eastAsia="Arial"/>
                <w:sz w:val="21"/>
                <w:rtl/>
              </w:rPr>
              <w:t>الإدارية</w:t>
            </w:r>
          </w:p>
        </w:tc>
        <w:tc>
          <w:tcPr>
            <w:tcW w:w="2976" w:type="dxa"/>
            <w:shd w:val="clear" w:color="auto" w:fill="F2F2F2" w:themeFill="background1" w:themeFillShade="F2"/>
            <w:vAlign w:val="center"/>
          </w:tcPr>
          <w:p w14:paraId="5AC33F85" w14:textId="77777777" w:rsidR="003D1B66" w:rsidRDefault="003D1B66" w:rsidP="000B46B5">
            <w:pPr>
              <w:bidi/>
              <w:spacing w:after="0" w:line="240" w:lineRule="auto"/>
            </w:pPr>
            <w:r>
              <w:rPr>
                <w:rFonts w:eastAsia="Arial"/>
                <w:sz w:val="21"/>
                <w:rtl/>
              </w:rPr>
              <w:t>هل القرارات والهياكل والإجراءات رشيدة؟</w:t>
            </w:r>
          </w:p>
        </w:tc>
        <w:tc>
          <w:tcPr>
            <w:tcW w:w="2976" w:type="dxa"/>
            <w:shd w:val="clear" w:color="auto" w:fill="F2F2F2" w:themeFill="background1" w:themeFillShade="F2"/>
            <w:vAlign w:val="center"/>
          </w:tcPr>
          <w:p w14:paraId="0F68BBB8" w14:textId="77777777" w:rsidR="003D1B66" w:rsidRDefault="003D1B66" w:rsidP="000B46B5">
            <w:pPr>
              <w:bidi/>
              <w:spacing w:after="0" w:line="240" w:lineRule="auto"/>
            </w:pPr>
            <w:r>
              <w:rPr>
                <w:rFonts w:eastAsia="Arial"/>
                <w:sz w:val="21"/>
                <w:rtl/>
              </w:rPr>
              <w:t>زمن الاعتماد، ازدواجية المهام، نسبة تنفيذ القرارات</w:t>
            </w:r>
          </w:p>
        </w:tc>
      </w:tr>
      <w:tr w:rsidR="003D1B66" w14:paraId="7C6B8B5B" w14:textId="77777777" w:rsidTr="000B46B5">
        <w:tc>
          <w:tcPr>
            <w:tcW w:w="2976" w:type="dxa"/>
            <w:shd w:val="clear" w:color="auto" w:fill="F2F2F2" w:themeFill="background1" w:themeFillShade="F2"/>
            <w:vAlign w:val="center"/>
          </w:tcPr>
          <w:p w14:paraId="6300E11D" w14:textId="77777777" w:rsidR="003D1B66" w:rsidRDefault="003D1B66" w:rsidP="000B46B5">
            <w:pPr>
              <w:bidi/>
              <w:spacing w:after="0" w:line="240" w:lineRule="auto"/>
              <w:jc w:val="both"/>
            </w:pPr>
            <w:r>
              <w:rPr>
                <w:rFonts w:eastAsia="Arial"/>
                <w:sz w:val="21"/>
                <w:rtl/>
              </w:rPr>
              <w:t>المالية</w:t>
            </w:r>
          </w:p>
        </w:tc>
        <w:tc>
          <w:tcPr>
            <w:tcW w:w="2976" w:type="dxa"/>
            <w:shd w:val="clear" w:color="auto" w:fill="F2F2F2" w:themeFill="background1" w:themeFillShade="F2"/>
            <w:vAlign w:val="center"/>
          </w:tcPr>
          <w:p w14:paraId="33C91032" w14:textId="77777777" w:rsidR="003D1B66" w:rsidRDefault="003D1B66" w:rsidP="000B46B5">
            <w:pPr>
              <w:bidi/>
              <w:spacing w:after="0" w:line="240" w:lineRule="auto"/>
            </w:pPr>
            <w:r>
              <w:rPr>
                <w:rFonts w:eastAsia="Arial"/>
                <w:sz w:val="21"/>
                <w:rtl/>
              </w:rPr>
              <w:t>هل تُدار التكلفة والعقود باستدامة؟</w:t>
            </w:r>
          </w:p>
        </w:tc>
        <w:tc>
          <w:tcPr>
            <w:tcW w:w="2976" w:type="dxa"/>
            <w:shd w:val="clear" w:color="auto" w:fill="F2F2F2" w:themeFill="background1" w:themeFillShade="F2"/>
            <w:vAlign w:val="center"/>
          </w:tcPr>
          <w:p w14:paraId="437F0EE7" w14:textId="77777777" w:rsidR="003D1B66" w:rsidRDefault="003D1B66" w:rsidP="000B46B5">
            <w:pPr>
              <w:bidi/>
              <w:spacing w:after="0" w:line="240" w:lineRule="auto"/>
            </w:pPr>
            <w:r>
              <w:rPr>
                <w:rFonts w:eastAsia="Arial"/>
                <w:sz w:val="21"/>
                <w:rtl/>
              </w:rPr>
              <w:t>تكلفة الحالة، انحراف الميزانية، وفورات المشتريات</w:t>
            </w:r>
          </w:p>
        </w:tc>
      </w:tr>
      <w:tr w:rsidR="003D1B66" w14:paraId="4BDE000E" w14:textId="77777777" w:rsidTr="000B46B5">
        <w:tc>
          <w:tcPr>
            <w:tcW w:w="2976" w:type="dxa"/>
            <w:shd w:val="clear" w:color="auto" w:fill="F2F2F2" w:themeFill="background1" w:themeFillShade="F2"/>
            <w:vAlign w:val="center"/>
          </w:tcPr>
          <w:p w14:paraId="44CE2149" w14:textId="77777777" w:rsidR="003D1B66" w:rsidRDefault="003D1B66" w:rsidP="000B46B5">
            <w:pPr>
              <w:bidi/>
              <w:spacing w:after="0" w:line="240" w:lineRule="auto"/>
              <w:jc w:val="both"/>
            </w:pPr>
            <w:r>
              <w:rPr>
                <w:rFonts w:eastAsia="Arial"/>
                <w:sz w:val="21"/>
                <w:rtl/>
              </w:rPr>
              <w:t>السريرية</w:t>
            </w:r>
          </w:p>
        </w:tc>
        <w:tc>
          <w:tcPr>
            <w:tcW w:w="2976" w:type="dxa"/>
            <w:shd w:val="clear" w:color="auto" w:fill="F2F2F2" w:themeFill="background1" w:themeFillShade="F2"/>
            <w:vAlign w:val="center"/>
          </w:tcPr>
          <w:p w14:paraId="32DFD7D8" w14:textId="77777777" w:rsidR="003D1B66" w:rsidRDefault="003D1B66" w:rsidP="000B46B5">
            <w:pPr>
              <w:bidi/>
              <w:spacing w:after="0" w:line="240" w:lineRule="auto"/>
            </w:pPr>
            <w:r>
              <w:rPr>
                <w:rFonts w:eastAsia="Arial"/>
                <w:sz w:val="21"/>
                <w:rtl/>
              </w:rPr>
              <w:t>هل تُستخدم التدخلات المناسبة وفق الدليل؟</w:t>
            </w:r>
          </w:p>
        </w:tc>
        <w:tc>
          <w:tcPr>
            <w:tcW w:w="2976" w:type="dxa"/>
            <w:shd w:val="clear" w:color="auto" w:fill="F2F2F2" w:themeFill="background1" w:themeFillShade="F2"/>
            <w:vAlign w:val="center"/>
          </w:tcPr>
          <w:p w14:paraId="506849A4" w14:textId="77777777" w:rsidR="003D1B66" w:rsidRDefault="003D1B66" w:rsidP="000B46B5">
            <w:pPr>
              <w:bidi/>
              <w:spacing w:after="0" w:line="240" w:lineRule="auto"/>
            </w:pPr>
            <w:r>
              <w:rPr>
                <w:rFonts w:eastAsia="Arial"/>
                <w:sz w:val="21"/>
                <w:rtl/>
              </w:rPr>
              <w:t>إعادة التنويم، الفحوص غير الضرورية، الالتزام بالمسارات</w:t>
            </w:r>
          </w:p>
        </w:tc>
      </w:tr>
      <w:tr w:rsidR="003D1B66" w14:paraId="1E496236" w14:textId="77777777" w:rsidTr="000B46B5">
        <w:tc>
          <w:tcPr>
            <w:tcW w:w="2976" w:type="dxa"/>
            <w:shd w:val="clear" w:color="auto" w:fill="F2F2F2" w:themeFill="background1" w:themeFillShade="F2"/>
            <w:vAlign w:val="center"/>
          </w:tcPr>
          <w:p w14:paraId="1EB4ED02" w14:textId="77777777" w:rsidR="003D1B66" w:rsidRDefault="003D1B66" w:rsidP="000B46B5">
            <w:pPr>
              <w:bidi/>
              <w:spacing w:after="0" w:line="240" w:lineRule="auto"/>
              <w:jc w:val="both"/>
            </w:pPr>
            <w:r>
              <w:rPr>
                <w:rFonts w:eastAsia="Arial"/>
                <w:sz w:val="21"/>
                <w:rtl/>
              </w:rPr>
              <w:t>الديناميكية</w:t>
            </w:r>
          </w:p>
        </w:tc>
        <w:tc>
          <w:tcPr>
            <w:tcW w:w="2976" w:type="dxa"/>
            <w:shd w:val="clear" w:color="auto" w:fill="F2F2F2" w:themeFill="background1" w:themeFillShade="F2"/>
            <w:vAlign w:val="center"/>
          </w:tcPr>
          <w:p w14:paraId="1DF529FD" w14:textId="77777777" w:rsidR="003D1B66" w:rsidRDefault="003D1B66" w:rsidP="000B46B5">
            <w:pPr>
              <w:bidi/>
              <w:spacing w:after="0" w:line="240" w:lineRule="auto"/>
            </w:pPr>
            <w:r>
              <w:rPr>
                <w:rFonts w:eastAsia="Arial"/>
                <w:sz w:val="21"/>
                <w:rtl/>
              </w:rPr>
              <w:t>هل تتعلم المؤسسة وتتطور بمرور الوقت؟</w:t>
            </w:r>
          </w:p>
        </w:tc>
        <w:tc>
          <w:tcPr>
            <w:tcW w:w="2976" w:type="dxa"/>
            <w:shd w:val="clear" w:color="auto" w:fill="F2F2F2" w:themeFill="background1" w:themeFillShade="F2"/>
            <w:vAlign w:val="center"/>
          </w:tcPr>
          <w:p w14:paraId="61589497" w14:textId="77777777" w:rsidR="003D1B66" w:rsidRDefault="003D1B66" w:rsidP="000B46B5">
            <w:pPr>
              <w:bidi/>
              <w:spacing w:after="0" w:line="240" w:lineRule="auto"/>
            </w:pPr>
            <w:r>
              <w:rPr>
                <w:rFonts w:eastAsia="Arial"/>
                <w:sz w:val="21"/>
                <w:rtl/>
              </w:rPr>
              <w:t>توسيع الابتكارات الناجحة، إيقاف المبادرات غير المجدية</w:t>
            </w:r>
          </w:p>
        </w:tc>
      </w:tr>
    </w:tbl>
    <w:p w14:paraId="0049870A" w14:textId="77777777" w:rsidR="003D1B66" w:rsidRDefault="003D1B66" w:rsidP="003D1B66">
      <w:pPr>
        <w:pStyle w:val="31"/>
        <w:bidi/>
        <w:jc w:val="both"/>
      </w:pPr>
      <w:r>
        <w:rPr>
          <w:rFonts w:ascii="Arial" w:eastAsia="Arial" w:hAnsi="Arial" w:cs="Arial"/>
        </w:rPr>
        <w:t>2-3-3-3</w:t>
      </w:r>
      <w:r>
        <w:rPr>
          <w:rFonts w:ascii="Arial" w:eastAsia="Arial" w:hAnsi="Arial" w:cs="Arial"/>
          <w:rtl/>
        </w:rPr>
        <w:t xml:space="preserve"> محددات الكفاءة الإدارية في المؤسسة الصحية</w:t>
      </w:r>
    </w:p>
    <w:p w14:paraId="1FCE40CF" w14:textId="77777777" w:rsidR="003D1B66" w:rsidRDefault="003D1B66" w:rsidP="003D1B66">
      <w:pPr>
        <w:bidi/>
        <w:spacing w:after="120" w:line="360" w:lineRule="auto"/>
        <w:ind w:firstLine="397"/>
        <w:jc w:val="both"/>
      </w:pPr>
      <w:r>
        <w:rPr>
          <w:rFonts w:eastAsia="Arial"/>
          <w:rtl/>
        </w:rPr>
        <w:t>تتأثر الكفاءة بوضوح الأهداف والأدوار؛ فغموض المسؤوليات يؤدي إلى تكرار العمل أو ترك فجوات بين الإدارات، بينما يتيح التفويض الواضح اتخاذ القرار في المستوى الأقرب إلى العملية. كما تتأثر بجودة المعلومات، لأن القرارات المتعلقة بالكوادر والميزانيات والطاقة الاستيعابية تحتاج إلى بيانات آنية ودقيقة، وليس إلى انطباعات أو متوسطات لا تعكس الاختلافات.</w:t>
      </w:r>
    </w:p>
    <w:p w14:paraId="46990530" w14:textId="77777777" w:rsidR="003D1B66" w:rsidRDefault="003D1B66" w:rsidP="003D1B66">
      <w:pPr>
        <w:bidi/>
        <w:spacing w:after="120" w:line="360" w:lineRule="auto"/>
        <w:ind w:firstLine="397"/>
        <w:jc w:val="both"/>
      </w:pPr>
      <w:r>
        <w:rPr>
          <w:rFonts w:eastAsia="Arial"/>
          <w:rtl/>
        </w:rPr>
        <w:t>تعد كفاءة القوى العاملة محدداً رئيساً، ليس فقط من حيث العدد، بل من حيث مزيج المهارات وتوزيع المهام والجدولة والتدريب والتحفيز. وقد يؤدي نقص تخصص معين إلى اختناقات تعطل موارد أخرى، كما قد يؤدي استخدام مهني عالي التكلفة في مهام يمكن تفويضها إلى هدر. وتحتاج الحوكمة إلى سياسات تحدد نطاقات الممارسة وتراقب العدالة والعبء والإنتاجية دون إغفال جودة العمل ورفاه الموظفين.</w:t>
      </w:r>
    </w:p>
    <w:p w14:paraId="7768EF4E" w14:textId="77777777" w:rsidR="003D1B66" w:rsidRDefault="003D1B66" w:rsidP="003D1B66">
      <w:pPr>
        <w:bidi/>
        <w:spacing w:after="120" w:line="360" w:lineRule="auto"/>
        <w:ind w:firstLine="397"/>
        <w:jc w:val="both"/>
      </w:pPr>
      <w:r>
        <w:rPr>
          <w:rFonts w:eastAsia="Arial"/>
          <w:rtl/>
        </w:rPr>
        <w:t>تؤثر المشتريات وسلاسل الإمداد في الكفاءة من خلال توفر المستلزمات وتكلفتها ومستوى المخزون والهدر والانقطاع. وتساعد الحوكمة عبر توحيد المواصفات، والمنافسة العادلة، وتحليل التكلفة الكلية، وإدارة العقود، ومراقبة الموردين. كما أن إدارة الأصول والصيانة الوقائية تقلل الأعطال وتزيد الاستفادة من المعدات مرتفعة التكلفة.</w:t>
      </w:r>
    </w:p>
    <w:p w14:paraId="0FB1809F" w14:textId="77777777" w:rsidR="003D1B66" w:rsidRDefault="003D1B66" w:rsidP="003D1B66">
      <w:pPr>
        <w:bidi/>
        <w:spacing w:after="120" w:line="360" w:lineRule="auto"/>
        <w:ind w:firstLine="397"/>
        <w:jc w:val="both"/>
      </w:pPr>
      <w:r>
        <w:rPr>
          <w:rFonts w:eastAsia="Arial"/>
          <w:rtl/>
        </w:rPr>
        <w:t>تسهم التقنية والتحول الرقمي في الكفاءة عندما تبسط العمليات وتوحد البيانات وتدعم القرار، لكنها قد تزيد العبء إذا أُدخلت أنظمة متعددة غير مترابطة أو صُممت دون مشاركة المستخدمين. ومن ثم فإن حوكمة المشاريع الرقمية يجب أن تربط الاستثمار بمشكلة واضحة ومؤشرات منفعة واعتماد مستخدمين وخطة للتكامل وإدارة التغيير.</w:t>
      </w:r>
    </w:p>
    <w:p w14:paraId="279FFBDA" w14:textId="77777777" w:rsidR="003D1B66" w:rsidRDefault="003D1B66" w:rsidP="003D1B66">
      <w:pPr>
        <w:bidi/>
        <w:spacing w:after="120" w:line="360" w:lineRule="auto"/>
        <w:ind w:firstLine="397"/>
        <w:jc w:val="both"/>
      </w:pPr>
      <w:r>
        <w:rPr>
          <w:rFonts w:eastAsia="Arial"/>
          <w:rtl/>
        </w:rPr>
        <w:t>وأخيراً، تؤثر ثقافة التحسين المستمر في قدرة المؤسسة على اكتشاف الهدر ومعالجة أسبابه. فإذا كانت المؤشرات تستخدم للعقاب فقط، قد تتجه الإدارات إلى تحسين الأرقام أو إخفاء المشكلات بدلاً من تحسين العملية. أما عندما تقترن المساءلة بالتعلم وتكون البيانات موثوقة، تصبح مراجعة الأداء أداة لتجريب الحلول وقياس أثرها وتعميم الناجح منها.</w:t>
      </w:r>
    </w:p>
    <w:p w14:paraId="3F8D947D" w14:textId="77777777" w:rsidR="003D1B66" w:rsidRDefault="003D1B66" w:rsidP="003D1B66">
      <w:pPr>
        <w:pStyle w:val="31"/>
        <w:bidi/>
        <w:jc w:val="both"/>
      </w:pPr>
      <w:r>
        <w:rPr>
          <w:rFonts w:ascii="Arial" w:eastAsia="Arial" w:hAnsi="Arial" w:cs="Arial"/>
        </w:rPr>
        <w:lastRenderedPageBreak/>
        <w:t>2-3-3-4</w:t>
      </w:r>
      <w:r>
        <w:rPr>
          <w:rFonts w:ascii="Arial" w:eastAsia="Arial" w:hAnsi="Arial" w:cs="Arial"/>
          <w:rtl/>
        </w:rPr>
        <w:t xml:space="preserve"> مؤشرات قياس الكفاءة</w:t>
      </w:r>
    </w:p>
    <w:p w14:paraId="35866563" w14:textId="77777777" w:rsidR="003D1B66" w:rsidRDefault="003D1B66" w:rsidP="003D1B66">
      <w:pPr>
        <w:bidi/>
        <w:spacing w:after="120" w:line="360" w:lineRule="auto"/>
        <w:ind w:firstLine="397"/>
        <w:jc w:val="both"/>
      </w:pPr>
      <w:r>
        <w:rPr>
          <w:rFonts w:eastAsia="Arial"/>
          <w:rtl/>
        </w:rPr>
        <w:t>يجب اختيار مؤشرات الكفاءة بما يتوافق مع أهداف المؤسسة وطبيعة خدماتها. فالمؤشر الجيد ينبغي أن يكون معرفاً بوضوح، وقابلاً للقياس والمقارنة، ومتأثراً إلى حد معقول بقرارات المؤسسة، وألا يشجع سلوكاً عكسياً. فعلى سبيل المثال، تقليل مدة الإقامة قد يكون إيجابياً إذا لم يرفع إعادة التنويم أو المضاعفات، ولذلك يفضل استخدام حزمة مترابطة من المؤشرات بدلاً من مؤشر منفرد.</w:t>
      </w:r>
    </w:p>
    <w:p w14:paraId="7FEC68F8" w14:textId="77777777" w:rsidR="003D1B66" w:rsidRDefault="003D1B66" w:rsidP="003D1B66">
      <w:pPr>
        <w:bidi/>
        <w:spacing w:after="120" w:line="360" w:lineRule="auto"/>
        <w:ind w:firstLine="397"/>
        <w:jc w:val="both"/>
      </w:pPr>
      <w:r>
        <w:rPr>
          <w:rFonts w:eastAsia="Arial"/>
          <w:rtl/>
        </w:rPr>
        <w:t>تشمل المؤشرات التشغيلية أوقات الانتظار، ونسب عدم الحضور، واستخدام غرف العمليات، ومعدل دوران السرير، ومدة الإقامة، وزمن إنجاز الفحص أو صرف الدواء. وتشمل المؤشرات المالية تكلفة الحالة أو الزيارة، والانحراف عن الميزانية، وقيمة المخزون الراكد، ونسبة المشتريات الطارئة، والعائد على الاستثمار في المشاريع.</w:t>
      </w:r>
    </w:p>
    <w:p w14:paraId="2B83E26A" w14:textId="77777777" w:rsidR="003D1B66" w:rsidRDefault="003D1B66" w:rsidP="003D1B66">
      <w:pPr>
        <w:bidi/>
        <w:spacing w:after="120" w:line="360" w:lineRule="auto"/>
        <w:ind w:firstLine="397"/>
        <w:jc w:val="both"/>
      </w:pPr>
      <w:r>
        <w:rPr>
          <w:rFonts w:eastAsia="Arial"/>
          <w:rtl/>
        </w:rPr>
        <w:t>أما المؤشرات الإدارية فتشمل زمن دورة القرار، ونسبة المعاملات المنجزة ضمن مستوى الخدمة، وعدد مستويات الموافقة، ونسبة تنفيذ توصيات التدقيق، ونسبة المشاريع المنجزة في الوقت والميزانية. وتساعد هذه المؤشرات على كشف الهدر الذي لا يظهر في المؤشرات السريرية، مثل التأخير الناتج عن غموض التفويض أو تكرار المراجعة.</w:t>
      </w:r>
    </w:p>
    <w:p w14:paraId="7D91BAC5" w14:textId="77777777" w:rsidR="003D1B66" w:rsidRDefault="003D1B66" w:rsidP="003D1B66">
      <w:pPr>
        <w:bidi/>
        <w:spacing w:after="120" w:line="360" w:lineRule="auto"/>
        <w:ind w:firstLine="397"/>
        <w:jc w:val="both"/>
      </w:pPr>
      <w:r>
        <w:rPr>
          <w:rFonts w:eastAsia="Arial"/>
          <w:rtl/>
        </w:rPr>
        <w:t>ينبغي ربط مؤشرات الكفاءة بمؤشرات الجودة والإنصاف وتجربة المريض، لأن التحسين الحقيقي يحقق توازناً بين الأبعاد. كما يجب تحليل المؤشرات على مستوى الوحدات والفئات الزمنية والسكانية للكشف عن التفاوت، وعدم الاكتفاء بالمتوسط العام الذي قد يخفي أداءً ضعيفاً في مواقع محددة.</w:t>
      </w:r>
    </w:p>
    <w:p w14:paraId="5AB71598" w14:textId="77777777" w:rsidR="003D1B66" w:rsidRDefault="003D1B66" w:rsidP="003D1B66">
      <w:pPr>
        <w:pStyle w:val="21"/>
        <w:bidi/>
        <w:jc w:val="both"/>
      </w:pPr>
      <w:r>
        <w:rPr>
          <w:rFonts w:ascii="Arial" w:eastAsia="Arial" w:hAnsi="Arial" w:cs="Arial"/>
        </w:rPr>
        <w:t>2-3-4</w:t>
      </w:r>
      <w:r>
        <w:rPr>
          <w:rFonts w:ascii="Arial" w:eastAsia="Arial" w:hAnsi="Arial" w:cs="Arial"/>
          <w:rtl/>
        </w:rPr>
        <w:t xml:space="preserve"> الحوكمة الصحية في المملكة العربية السعودية</w:t>
      </w:r>
    </w:p>
    <w:p w14:paraId="3CC45624" w14:textId="77777777" w:rsidR="003D1B66" w:rsidRDefault="003D1B66" w:rsidP="003D1B66">
      <w:pPr>
        <w:pStyle w:val="31"/>
        <w:bidi/>
        <w:jc w:val="both"/>
      </w:pPr>
      <w:r>
        <w:rPr>
          <w:rFonts w:ascii="Arial" w:eastAsia="Arial" w:hAnsi="Arial" w:cs="Arial"/>
        </w:rPr>
        <w:t>2-3-4-1</w:t>
      </w:r>
      <w:r>
        <w:rPr>
          <w:rFonts w:ascii="Arial" w:eastAsia="Arial" w:hAnsi="Arial" w:cs="Arial"/>
          <w:rtl/>
        </w:rPr>
        <w:t xml:space="preserve"> التحول الصحي والسياق المؤسسي</w:t>
      </w:r>
    </w:p>
    <w:p w14:paraId="53296876" w14:textId="77777777" w:rsidR="003D1B66" w:rsidRDefault="003D1B66" w:rsidP="003D1B66">
      <w:pPr>
        <w:bidi/>
        <w:spacing w:after="120" w:line="360" w:lineRule="auto"/>
        <w:ind w:firstLine="397"/>
        <w:jc w:val="both"/>
      </w:pPr>
      <w:r>
        <w:rPr>
          <w:rFonts w:eastAsia="Arial"/>
          <w:rtl/>
        </w:rPr>
        <w:t xml:space="preserve">يشهد القطاع الصحي في المملكة العربية السعودية تحولاً هيكلياً ضمن رؤية المملكة </w:t>
      </w:r>
      <w:r>
        <w:rPr>
          <w:rFonts w:eastAsia="Arial"/>
        </w:rPr>
        <w:t>2030</w:t>
      </w:r>
      <w:r>
        <w:rPr>
          <w:rFonts w:eastAsia="Arial"/>
          <w:rtl/>
        </w:rPr>
        <w:t xml:space="preserve"> وبرنامج تحول القطاع الصحي، يستهدف تحسين الوصول وجودة وكفاءة الخدمات، وتعزيز الوقاية والصحة العامة، وتطوير التكامل والرقمنة والاستدامة. وتوضح وزارة الصحة أن إصلاحات حوكمة القطاع بُنيت عبر موضوعات وأهداف ومبادرات استراتيجية، وتشمل التمويل، وإعادة تعريف نموذج الرعاية، والتحول المؤسسي، ومراجعة ترتيبات الحوكمة بما يدعم دور الوزارة في السياسات والتنظيم والرقابة (وزارة الصحة، </w:t>
      </w:r>
      <w:r>
        <w:rPr>
          <w:rFonts w:eastAsia="Arial"/>
        </w:rPr>
        <w:t>2026</w:t>
      </w:r>
      <w:r>
        <w:rPr>
          <w:rFonts w:eastAsia="Arial"/>
          <w:rtl/>
        </w:rPr>
        <w:t>).</w:t>
      </w:r>
    </w:p>
    <w:p w14:paraId="76995859" w14:textId="77777777" w:rsidR="003D1B66" w:rsidRDefault="003D1B66" w:rsidP="003D1B66">
      <w:pPr>
        <w:bidi/>
        <w:spacing w:after="120" w:line="360" w:lineRule="auto"/>
        <w:ind w:firstLine="397"/>
        <w:jc w:val="both"/>
      </w:pPr>
      <w:r>
        <w:rPr>
          <w:rFonts w:eastAsia="Arial"/>
          <w:rtl/>
        </w:rPr>
        <w:t>يمثل الفصل بين أدوار وضع السياسات والتنظيم والتمويل وتقديم الخدمة اتجاهاً محورياً في التحول؛ لأن الجمع بين الأدوار قد يخلق تضارباً أو يضعف وضوح المساءلة. ويهدف الانتقال إلى نموذج أكثر تمايزاً إلى تمكين الجهة المنظمة من وضع المعايير ومراقبة الأداء، وتمكين مقدمي الخدمة من إدارة العمليات ضمن عقود ومسؤوليات واضحة، وربط التمويل بصورة أكبر بالنتائج والقيمة.</w:t>
      </w:r>
    </w:p>
    <w:p w14:paraId="73DF343B" w14:textId="77777777" w:rsidR="003D1B66" w:rsidRDefault="003D1B66" w:rsidP="003D1B66">
      <w:pPr>
        <w:bidi/>
        <w:spacing w:after="120" w:line="360" w:lineRule="auto"/>
        <w:ind w:firstLine="397"/>
        <w:jc w:val="both"/>
      </w:pPr>
      <w:r>
        <w:rPr>
          <w:rFonts w:eastAsia="Arial"/>
          <w:rtl/>
        </w:rPr>
        <w:t>وتصف شركة الصحة القابضة التجمع الصحي بأنه منظومة متكاملة ذات طابع مؤسسي تضم المنشآت الصحية ضمن نطاق جغرافي، وتتحمل مسؤولية صحة السكان في نطاقها بما يتجاوز العلاج إلى الوقاية والتوعية. كما تشير إلى وجود عشرين تجمعاً صحياً تعمل ضمن شبكة وطنية لتقديم الرعاية المتكاملة (</w:t>
      </w:r>
      <w:r>
        <w:rPr>
          <w:rFonts w:eastAsia="Arial"/>
        </w:rPr>
        <w:t>Health Holding Company, n.d</w:t>
      </w:r>
      <w:r>
        <w:rPr>
          <w:rFonts w:eastAsia="Arial"/>
          <w:rtl/>
        </w:rPr>
        <w:t>.). ويتيح هذا النموذج فرصاً لتحسين التنسيق ومسارات الإحالة واستخدام الموارد، لكنه يزيد الحاجة إلى حوكمة واضحة للمساءلة عن النتائج السكانية والمالية والسريرية.</w:t>
      </w:r>
    </w:p>
    <w:p w14:paraId="54E3BCD5" w14:textId="77777777" w:rsidR="003D1B66" w:rsidRDefault="003D1B66" w:rsidP="003D1B66">
      <w:pPr>
        <w:bidi/>
        <w:spacing w:after="120" w:line="360" w:lineRule="auto"/>
        <w:ind w:firstLine="397"/>
        <w:jc w:val="both"/>
      </w:pPr>
      <w:r>
        <w:rPr>
          <w:rFonts w:eastAsia="Arial"/>
          <w:rtl/>
        </w:rPr>
        <w:t>في هذا السياق، تصبح الحوكمة أداة لضمان ألا يؤدي منح المؤسسات والتجمعات مرونة أكبر إلى تفاوت غير مبرر أو ضعف في الرقابة، وفي الوقت نفسه ألا تؤدي المركزية إلى تعطيل الابتكار والاستجابة المحلية. ويتطلب التوازن تحديد نتائج وطنية ومعايير موحدة، ومنح صلاحيات تشغيلية محسوبة، واستخدام عقود أداء ولوحات مؤشرات وتدقيق مستقل وآليات لتبادل البيانات والتعلم بين التجمعات.</w:t>
      </w:r>
    </w:p>
    <w:p w14:paraId="3FD02BE5" w14:textId="77777777" w:rsidR="003D1B66" w:rsidRDefault="003D1B66" w:rsidP="003D1B66">
      <w:pPr>
        <w:pStyle w:val="31"/>
        <w:bidi/>
        <w:jc w:val="both"/>
      </w:pPr>
      <w:r>
        <w:rPr>
          <w:rFonts w:ascii="Arial" w:eastAsia="Arial" w:hAnsi="Arial" w:cs="Arial"/>
        </w:rPr>
        <w:lastRenderedPageBreak/>
        <w:t>2-3-4-2</w:t>
      </w:r>
      <w:r>
        <w:rPr>
          <w:rFonts w:ascii="Arial" w:eastAsia="Arial" w:hAnsi="Arial" w:cs="Arial"/>
          <w:rtl/>
        </w:rPr>
        <w:t xml:space="preserve"> الأطراف الرئيسة في منظومة الحوكمة الصحية السعودية</w:t>
      </w:r>
    </w:p>
    <w:p w14:paraId="3030B4FA" w14:textId="77777777" w:rsidR="003D1B66" w:rsidRDefault="003D1B66" w:rsidP="003D1B66">
      <w:pPr>
        <w:bidi/>
        <w:spacing w:after="120" w:line="360" w:lineRule="auto"/>
        <w:ind w:firstLine="397"/>
        <w:jc w:val="both"/>
      </w:pPr>
      <w:r>
        <w:rPr>
          <w:rFonts w:eastAsia="Arial"/>
          <w:rtl/>
        </w:rPr>
        <w:t>تتسم منظومة الحوكمة الصحية السعودية بتعدد الجهات والأدوار، وهو أمر طبيعي في نظام صحي حديث، لكنه يتطلب تنسيقاً مؤسسياً. تضطلع وزارة الصحة بدور محوري في السياسات والتنظيم والإشراف على التحول، بينما يعمل المجلس الصحي السعودي كمنصة للتنسيق بين القطاعات الصحية وتطوير السياسات والاستراتيجيات ومراجعتها. وتشير مهام المجلس إلى التنسيق بين الجهات المقدمة للخدمات ومراجعة الأنظمة واقتراح التعديلات ودعم التخطيط الوطني (المجلس الصحي السعودي، د.ت.).</w:t>
      </w:r>
    </w:p>
    <w:p w14:paraId="579BAAEB" w14:textId="77777777" w:rsidR="003D1B66" w:rsidRDefault="003D1B66" w:rsidP="003D1B66">
      <w:pPr>
        <w:bidi/>
        <w:spacing w:after="120" w:line="360" w:lineRule="auto"/>
        <w:ind w:firstLine="397"/>
        <w:jc w:val="both"/>
      </w:pPr>
      <w:r>
        <w:rPr>
          <w:rFonts w:eastAsia="Arial"/>
          <w:rtl/>
        </w:rPr>
        <w:t>تتولى شركة الصحة القابضة وتجمعاتها تقديم الخدمات الصحية المتكاملة ضمن نطاقات سكانية، مع توجه نحو منظمات رعاية مسؤولة عن التكلفة والجودة والنتائج. وتضم المنظومة جهات تنظيمية ومهنية متخصصة في مجالات مثل الغذاء والدواء، والتخصصات الصحية، والتأمين، والبيانات والأمن السيبراني، إضافة إلى مقدمي الخدمات في القطاعات الحكومية الأخرى والقطاع الخاص والقطاع غير الربحي.</w:t>
      </w:r>
    </w:p>
    <w:p w14:paraId="09F8D9E2" w14:textId="77777777" w:rsidR="003D1B66" w:rsidRDefault="003D1B66" w:rsidP="003D1B66">
      <w:pPr>
        <w:bidi/>
        <w:spacing w:after="120" w:line="360" w:lineRule="auto"/>
        <w:ind w:firstLine="397"/>
        <w:jc w:val="both"/>
      </w:pPr>
      <w:r>
        <w:rPr>
          <w:rFonts w:eastAsia="Arial"/>
          <w:rtl/>
        </w:rPr>
        <w:t>تعدد الجهات لا يمثل ضعفاً في ذاته، بل قد يوفر تخصصاً واستقلالاً رقابياً. إلا أن الخطر يظهر عندما تتداخل الصلاحيات، أو تتكرر طلبات البيانات، أو تختلف المعايير، أو لا توجد آليات لحل التعارضات. ومن هنا تبرز أهمية خرائط الصلاحيات والمسؤوليات، واللجان المشتركة ذات التفويض الواضح، واتفاقيات تبادل البيانات، ومسارات التصعيد، ومؤشرات مشتركة تعكس النتائج بدلاً من نشاط كل جهة على حدة.</w:t>
      </w:r>
    </w:p>
    <w:p w14:paraId="2ACB64C8" w14:textId="77777777" w:rsidR="003D1B66" w:rsidRDefault="003D1B66" w:rsidP="003D1B66">
      <w:pPr>
        <w:bidi/>
        <w:spacing w:after="120" w:line="360" w:lineRule="auto"/>
        <w:ind w:firstLine="397"/>
        <w:jc w:val="both"/>
      </w:pPr>
      <w:r>
        <w:rPr>
          <w:rFonts w:eastAsia="Arial"/>
          <w:rtl/>
        </w:rPr>
        <w:t>كما يعد المريض والمجتمع من أصحاب المصلحة الرئيسين، وليس مجرد متلقين للخدمة. ويظهر دورهم من خلال قياس التجربة والنتائج المبلغ عنها من المرضى، وقنوات الشكاوى، والمشاركة في تصميم الخدمات، ونشر حقوق المستفيد. ويساعد إدراج منظور المستفيد في الحوكمة على تحويل الاهتمام من حجم الخدمات إلى قيمتها وملاءمتها واستمراريتها.</w:t>
      </w:r>
    </w:p>
    <w:p w14:paraId="57E6108A" w14:textId="77777777" w:rsidR="003D1B66" w:rsidRDefault="003D1B66" w:rsidP="003D1B66">
      <w:pPr>
        <w:keepNext/>
        <w:bidi/>
        <w:spacing w:before="120" w:after="80"/>
        <w:jc w:val="both"/>
      </w:pPr>
      <w:r>
        <w:rPr>
          <w:rFonts w:eastAsia="Arial"/>
          <w:b/>
          <w:sz w:val="24"/>
          <w:rtl/>
        </w:rPr>
        <w:t>جدول (</w:t>
      </w:r>
      <w:r>
        <w:rPr>
          <w:rFonts w:eastAsia="Arial"/>
          <w:b/>
          <w:sz w:val="24"/>
        </w:rPr>
        <w:t>13</w:t>
      </w:r>
      <w:r>
        <w:rPr>
          <w:rFonts w:eastAsia="Arial"/>
          <w:b/>
          <w:sz w:val="24"/>
          <w:rtl/>
        </w:rPr>
        <w:t>): الأطراف الرئيسة في منظومة الحوكمة الصحية السعودية</w:t>
      </w:r>
    </w:p>
    <w:tbl>
      <w:tblPr>
        <w:bidiVisual/>
        <w:tblW w:w="8928"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2976"/>
        <w:gridCol w:w="2976"/>
        <w:gridCol w:w="2976"/>
      </w:tblGrid>
      <w:tr w:rsidR="003D1B66" w14:paraId="5E005644" w14:textId="77777777" w:rsidTr="000B46B5">
        <w:trPr>
          <w:tblHeader/>
          <w:jc w:val="center"/>
        </w:trPr>
        <w:tc>
          <w:tcPr>
            <w:tcW w:w="2976" w:type="dxa"/>
            <w:shd w:val="clear" w:color="auto" w:fill="F2F2F2" w:themeFill="background1" w:themeFillShade="F2"/>
            <w:vAlign w:val="center"/>
          </w:tcPr>
          <w:p w14:paraId="30156DB4" w14:textId="77777777" w:rsidR="003D1B66" w:rsidRDefault="003D1B66" w:rsidP="000B46B5">
            <w:pPr>
              <w:bidi/>
              <w:spacing w:after="0" w:line="240" w:lineRule="auto"/>
              <w:jc w:val="both"/>
            </w:pPr>
            <w:r>
              <w:rPr>
                <w:rFonts w:eastAsia="Arial"/>
                <w:b/>
                <w:sz w:val="21"/>
                <w:rtl/>
              </w:rPr>
              <w:t>الطرف/المستوى</w:t>
            </w:r>
          </w:p>
        </w:tc>
        <w:tc>
          <w:tcPr>
            <w:tcW w:w="2976" w:type="dxa"/>
            <w:shd w:val="clear" w:color="auto" w:fill="F2F2F2" w:themeFill="background1" w:themeFillShade="F2"/>
            <w:vAlign w:val="center"/>
          </w:tcPr>
          <w:p w14:paraId="411E57A0" w14:textId="77777777" w:rsidR="003D1B66" w:rsidRDefault="003D1B66" w:rsidP="000B46B5">
            <w:pPr>
              <w:bidi/>
              <w:spacing w:after="0" w:line="240" w:lineRule="auto"/>
              <w:jc w:val="both"/>
            </w:pPr>
            <w:r>
              <w:rPr>
                <w:rFonts w:eastAsia="Arial"/>
                <w:b/>
                <w:sz w:val="21"/>
                <w:rtl/>
              </w:rPr>
              <w:t>الدور الحوكمي العام</w:t>
            </w:r>
          </w:p>
        </w:tc>
        <w:tc>
          <w:tcPr>
            <w:tcW w:w="2976" w:type="dxa"/>
            <w:shd w:val="clear" w:color="auto" w:fill="F2F2F2" w:themeFill="background1" w:themeFillShade="F2"/>
            <w:vAlign w:val="center"/>
          </w:tcPr>
          <w:p w14:paraId="441468AC" w14:textId="77777777" w:rsidR="003D1B66" w:rsidRDefault="003D1B66" w:rsidP="000B46B5">
            <w:pPr>
              <w:bidi/>
              <w:spacing w:after="0" w:line="240" w:lineRule="auto"/>
              <w:jc w:val="both"/>
            </w:pPr>
            <w:r>
              <w:rPr>
                <w:rFonts w:eastAsia="Arial"/>
                <w:b/>
                <w:sz w:val="21"/>
                <w:rtl/>
              </w:rPr>
              <w:t>أدوات التنسيق والمساءلة</w:t>
            </w:r>
          </w:p>
        </w:tc>
      </w:tr>
      <w:tr w:rsidR="003D1B66" w14:paraId="47181F88" w14:textId="77777777" w:rsidTr="000B46B5">
        <w:trPr>
          <w:jc w:val="center"/>
        </w:trPr>
        <w:tc>
          <w:tcPr>
            <w:tcW w:w="2976" w:type="dxa"/>
            <w:shd w:val="clear" w:color="auto" w:fill="F2F2F2" w:themeFill="background1" w:themeFillShade="F2"/>
            <w:vAlign w:val="center"/>
          </w:tcPr>
          <w:p w14:paraId="4DFA48FE" w14:textId="77777777" w:rsidR="003D1B66" w:rsidRDefault="003D1B66" w:rsidP="000B46B5">
            <w:pPr>
              <w:bidi/>
              <w:spacing w:after="0" w:line="240" w:lineRule="auto"/>
              <w:jc w:val="both"/>
            </w:pPr>
            <w:r>
              <w:rPr>
                <w:rFonts w:eastAsia="Arial"/>
                <w:sz w:val="21"/>
                <w:rtl/>
              </w:rPr>
              <w:t>وزارة الصحة والجهات الوطنية</w:t>
            </w:r>
          </w:p>
        </w:tc>
        <w:tc>
          <w:tcPr>
            <w:tcW w:w="2976" w:type="dxa"/>
            <w:shd w:val="clear" w:color="auto" w:fill="F2F2F2" w:themeFill="background1" w:themeFillShade="F2"/>
            <w:vAlign w:val="center"/>
          </w:tcPr>
          <w:p w14:paraId="15CF0D65" w14:textId="77777777" w:rsidR="003D1B66" w:rsidRDefault="003D1B66" w:rsidP="000B46B5">
            <w:pPr>
              <w:bidi/>
              <w:spacing w:after="0" w:line="240" w:lineRule="auto"/>
            </w:pPr>
            <w:r>
              <w:rPr>
                <w:rFonts w:eastAsia="Arial"/>
                <w:sz w:val="21"/>
                <w:rtl/>
              </w:rPr>
              <w:t>السياسة والتنظيم والمعايير والمتابعة</w:t>
            </w:r>
          </w:p>
        </w:tc>
        <w:tc>
          <w:tcPr>
            <w:tcW w:w="2976" w:type="dxa"/>
            <w:shd w:val="clear" w:color="auto" w:fill="F2F2F2" w:themeFill="background1" w:themeFillShade="F2"/>
            <w:vAlign w:val="center"/>
          </w:tcPr>
          <w:p w14:paraId="43419C5B" w14:textId="77777777" w:rsidR="003D1B66" w:rsidRDefault="003D1B66" w:rsidP="000B46B5">
            <w:pPr>
              <w:bidi/>
              <w:spacing w:after="0" w:line="240" w:lineRule="auto"/>
            </w:pPr>
            <w:r>
              <w:rPr>
                <w:rFonts w:eastAsia="Arial"/>
                <w:sz w:val="21"/>
                <w:rtl/>
              </w:rPr>
              <w:t>أنظمة، سياسات، مؤشرات وطنية، رقابة وتقييم</w:t>
            </w:r>
          </w:p>
        </w:tc>
      </w:tr>
      <w:tr w:rsidR="003D1B66" w14:paraId="46B91359" w14:textId="77777777" w:rsidTr="000B46B5">
        <w:trPr>
          <w:jc w:val="center"/>
        </w:trPr>
        <w:tc>
          <w:tcPr>
            <w:tcW w:w="2976" w:type="dxa"/>
            <w:shd w:val="clear" w:color="auto" w:fill="F2F2F2" w:themeFill="background1" w:themeFillShade="F2"/>
            <w:vAlign w:val="center"/>
          </w:tcPr>
          <w:p w14:paraId="037E8165" w14:textId="77777777" w:rsidR="003D1B66" w:rsidRDefault="003D1B66" w:rsidP="000B46B5">
            <w:pPr>
              <w:bidi/>
              <w:spacing w:after="0" w:line="240" w:lineRule="auto"/>
              <w:jc w:val="both"/>
            </w:pPr>
            <w:r>
              <w:rPr>
                <w:rFonts w:eastAsia="Arial"/>
                <w:sz w:val="21"/>
                <w:rtl/>
              </w:rPr>
              <w:t>المجلس الصحي السعودي</w:t>
            </w:r>
          </w:p>
        </w:tc>
        <w:tc>
          <w:tcPr>
            <w:tcW w:w="2976" w:type="dxa"/>
            <w:shd w:val="clear" w:color="auto" w:fill="F2F2F2" w:themeFill="background1" w:themeFillShade="F2"/>
            <w:vAlign w:val="center"/>
          </w:tcPr>
          <w:p w14:paraId="2736C321" w14:textId="77777777" w:rsidR="003D1B66" w:rsidRDefault="003D1B66" w:rsidP="000B46B5">
            <w:pPr>
              <w:bidi/>
              <w:spacing w:after="0" w:line="240" w:lineRule="auto"/>
            </w:pPr>
            <w:r>
              <w:rPr>
                <w:rFonts w:eastAsia="Arial"/>
                <w:sz w:val="21"/>
                <w:rtl/>
              </w:rPr>
              <w:t>التنسيق والتكامل ومراجعة السياسات والخطط</w:t>
            </w:r>
          </w:p>
        </w:tc>
        <w:tc>
          <w:tcPr>
            <w:tcW w:w="2976" w:type="dxa"/>
            <w:shd w:val="clear" w:color="auto" w:fill="F2F2F2" w:themeFill="background1" w:themeFillShade="F2"/>
            <w:vAlign w:val="center"/>
          </w:tcPr>
          <w:p w14:paraId="7AE88EBE" w14:textId="77777777" w:rsidR="003D1B66" w:rsidRDefault="003D1B66" w:rsidP="000B46B5">
            <w:pPr>
              <w:bidi/>
              <w:spacing w:after="0" w:line="240" w:lineRule="auto"/>
            </w:pPr>
            <w:r>
              <w:rPr>
                <w:rFonts w:eastAsia="Arial"/>
                <w:sz w:val="21"/>
                <w:rtl/>
              </w:rPr>
              <w:t>لجان مشتركة، توصيات، استراتيجية وطنية</w:t>
            </w:r>
          </w:p>
        </w:tc>
      </w:tr>
      <w:tr w:rsidR="003D1B66" w14:paraId="39F0F8C0" w14:textId="77777777" w:rsidTr="000B46B5">
        <w:trPr>
          <w:jc w:val="center"/>
        </w:trPr>
        <w:tc>
          <w:tcPr>
            <w:tcW w:w="2976" w:type="dxa"/>
            <w:shd w:val="clear" w:color="auto" w:fill="F2F2F2" w:themeFill="background1" w:themeFillShade="F2"/>
            <w:vAlign w:val="center"/>
          </w:tcPr>
          <w:p w14:paraId="45280EC7" w14:textId="77777777" w:rsidR="003D1B66" w:rsidRDefault="003D1B66" w:rsidP="000B46B5">
            <w:pPr>
              <w:bidi/>
              <w:spacing w:after="0" w:line="240" w:lineRule="auto"/>
              <w:jc w:val="both"/>
            </w:pPr>
            <w:r>
              <w:rPr>
                <w:rFonts w:eastAsia="Arial"/>
                <w:sz w:val="21"/>
                <w:rtl/>
              </w:rPr>
              <w:t>شركة الصحة القابضة والتجمعات</w:t>
            </w:r>
          </w:p>
        </w:tc>
        <w:tc>
          <w:tcPr>
            <w:tcW w:w="2976" w:type="dxa"/>
            <w:shd w:val="clear" w:color="auto" w:fill="F2F2F2" w:themeFill="background1" w:themeFillShade="F2"/>
            <w:vAlign w:val="center"/>
          </w:tcPr>
          <w:p w14:paraId="2CCBD324" w14:textId="77777777" w:rsidR="003D1B66" w:rsidRDefault="003D1B66" w:rsidP="000B46B5">
            <w:pPr>
              <w:bidi/>
              <w:spacing w:after="0" w:line="240" w:lineRule="auto"/>
            </w:pPr>
            <w:r>
              <w:rPr>
                <w:rFonts w:eastAsia="Arial"/>
                <w:sz w:val="21"/>
                <w:rtl/>
              </w:rPr>
              <w:t>تقديم الرعاية المتكاملة وتحقيق النتائج السكانية</w:t>
            </w:r>
          </w:p>
        </w:tc>
        <w:tc>
          <w:tcPr>
            <w:tcW w:w="2976" w:type="dxa"/>
            <w:shd w:val="clear" w:color="auto" w:fill="F2F2F2" w:themeFill="background1" w:themeFillShade="F2"/>
            <w:vAlign w:val="center"/>
          </w:tcPr>
          <w:p w14:paraId="226FE6AB" w14:textId="77777777" w:rsidR="003D1B66" w:rsidRDefault="003D1B66" w:rsidP="000B46B5">
            <w:pPr>
              <w:bidi/>
              <w:spacing w:after="0" w:line="240" w:lineRule="auto"/>
            </w:pPr>
            <w:r>
              <w:rPr>
                <w:rFonts w:eastAsia="Arial"/>
                <w:sz w:val="21"/>
                <w:rtl/>
              </w:rPr>
              <w:t>مجالس إدارة، عقود أداء، مؤشرات جودة وكلفة ونتائج</w:t>
            </w:r>
          </w:p>
        </w:tc>
      </w:tr>
      <w:tr w:rsidR="003D1B66" w14:paraId="308AC05F" w14:textId="77777777" w:rsidTr="000B46B5">
        <w:trPr>
          <w:jc w:val="center"/>
        </w:trPr>
        <w:tc>
          <w:tcPr>
            <w:tcW w:w="2976" w:type="dxa"/>
            <w:shd w:val="clear" w:color="auto" w:fill="F2F2F2" w:themeFill="background1" w:themeFillShade="F2"/>
            <w:vAlign w:val="center"/>
          </w:tcPr>
          <w:p w14:paraId="6C83B44A" w14:textId="77777777" w:rsidR="003D1B66" w:rsidRDefault="003D1B66" w:rsidP="000B46B5">
            <w:pPr>
              <w:bidi/>
              <w:spacing w:after="0" w:line="240" w:lineRule="auto"/>
              <w:jc w:val="both"/>
            </w:pPr>
            <w:r>
              <w:rPr>
                <w:rFonts w:eastAsia="Arial"/>
                <w:sz w:val="21"/>
                <w:rtl/>
              </w:rPr>
              <w:t>الجهات التنظيمية المتخصصة</w:t>
            </w:r>
          </w:p>
        </w:tc>
        <w:tc>
          <w:tcPr>
            <w:tcW w:w="2976" w:type="dxa"/>
            <w:shd w:val="clear" w:color="auto" w:fill="F2F2F2" w:themeFill="background1" w:themeFillShade="F2"/>
            <w:vAlign w:val="center"/>
          </w:tcPr>
          <w:p w14:paraId="13A87338" w14:textId="77777777" w:rsidR="003D1B66" w:rsidRDefault="003D1B66" w:rsidP="000B46B5">
            <w:pPr>
              <w:bidi/>
              <w:spacing w:after="0" w:line="240" w:lineRule="auto"/>
            </w:pPr>
            <w:r>
              <w:rPr>
                <w:rFonts w:eastAsia="Arial"/>
                <w:sz w:val="21"/>
                <w:rtl/>
              </w:rPr>
              <w:t>تنظيم مجالات مهنية أو دوائية أو تأمينية أو معلوماتية</w:t>
            </w:r>
          </w:p>
        </w:tc>
        <w:tc>
          <w:tcPr>
            <w:tcW w:w="2976" w:type="dxa"/>
            <w:shd w:val="clear" w:color="auto" w:fill="F2F2F2" w:themeFill="background1" w:themeFillShade="F2"/>
            <w:vAlign w:val="center"/>
          </w:tcPr>
          <w:p w14:paraId="4058FA65" w14:textId="77777777" w:rsidR="003D1B66" w:rsidRDefault="003D1B66" w:rsidP="000B46B5">
            <w:pPr>
              <w:bidi/>
              <w:spacing w:after="0" w:line="240" w:lineRule="auto"/>
            </w:pPr>
            <w:r>
              <w:rPr>
                <w:rFonts w:eastAsia="Arial"/>
                <w:sz w:val="21"/>
                <w:rtl/>
              </w:rPr>
              <w:t>تراخيص، اعتماد، تفتيش، معايير وقرارات</w:t>
            </w:r>
          </w:p>
        </w:tc>
      </w:tr>
      <w:tr w:rsidR="003D1B66" w14:paraId="0B00A2FE" w14:textId="77777777" w:rsidTr="000B46B5">
        <w:trPr>
          <w:jc w:val="center"/>
        </w:trPr>
        <w:tc>
          <w:tcPr>
            <w:tcW w:w="2976" w:type="dxa"/>
            <w:shd w:val="clear" w:color="auto" w:fill="F2F2F2" w:themeFill="background1" w:themeFillShade="F2"/>
            <w:vAlign w:val="center"/>
          </w:tcPr>
          <w:p w14:paraId="5602C185" w14:textId="77777777" w:rsidR="003D1B66" w:rsidRDefault="003D1B66" w:rsidP="000B46B5">
            <w:pPr>
              <w:bidi/>
              <w:spacing w:after="0" w:line="240" w:lineRule="auto"/>
              <w:jc w:val="both"/>
            </w:pPr>
            <w:r>
              <w:rPr>
                <w:rFonts w:eastAsia="Arial"/>
                <w:sz w:val="21"/>
                <w:rtl/>
              </w:rPr>
              <w:t>المؤسسات الصحية</w:t>
            </w:r>
          </w:p>
        </w:tc>
        <w:tc>
          <w:tcPr>
            <w:tcW w:w="2976" w:type="dxa"/>
            <w:shd w:val="clear" w:color="auto" w:fill="F2F2F2" w:themeFill="background1" w:themeFillShade="F2"/>
            <w:vAlign w:val="center"/>
          </w:tcPr>
          <w:p w14:paraId="42C6F052" w14:textId="77777777" w:rsidR="003D1B66" w:rsidRDefault="003D1B66" w:rsidP="000B46B5">
            <w:pPr>
              <w:bidi/>
              <w:spacing w:after="0" w:line="240" w:lineRule="auto"/>
            </w:pPr>
            <w:r>
              <w:rPr>
                <w:rFonts w:eastAsia="Arial"/>
                <w:sz w:val="21"/>
                <w:rtl/>
              </w:rPr>
              <w:t>تشغيل الخدمات وإدارة الجودة والمخاطر والموارد</w:t>
            </w:r>
          </w:p>
        </w:tc>
        <w:tc>
          <w:tcPr>
            <w:tcW w:w="2976" w:type="dxa"/>
            <w:shd w:val="clear" w:color="auto" w:fill="F2F2F2" w:themeFill="background1" w:themeFillShade="F2"/>
            <w:vAlign w:val="center"/>
          </w:tcPr>
          <w:p w14:paraId="64FE4DEE" w14:textId="77777777" w:rsidR="003D1B66" w:rsidRDefault="003D1B66" w:rsidP="000B46B5">
            <w:pPr>
              <w:bidi/>
              <w:spacing w:after="0" w:line="240" w:lineRule="auto"/>
            </w:pPr>
            <w:r>
              <w:rPr>
                <w:rFonts w:eastAsia="Arial"/>
                <w:sz w:val="21"/>
                <w:rtl/>
              </w:rPr>
              <w:t>لجان مؤسسية وسريرية، تدقيق، لوحات أداء</w:t>
            </w:r>
          </w:p>
        </w:tc>
      </w:tr>
      <w:tr w:rsidR="003D1B66" w14:paraId="5C4BC03D" w14:textId="77777777" w:rsidTr="000B46B5">
        <w:trPr>
          <w:jc w:val="center"/>
        </w:trPr>
        <w:tc>
          <w:tcPr>
            <w:tcW w:w="2976" w:type="dxa"/>
            <w:shd w:val="clear" w:color="auto" w:fill="F2F2F2" w:themeFill="background1" w:themeFillShade="F2"/>
            <w:vAlign w:val="center"/>
          </w:tcPr>
          <w:p w14:paraId="3279A398" w14:textId="77777777" w:rsidR="003D1B66" w:rsidRDefault="003D1B66" w:rsidP="000B46B5">
            <w:pPr>
              <w:bidi/>
              <w:spacing w:after="0" w:line="240" w:lineRule="auto"/>
              <w:jc w:val="both"/>
            </w:pPr>
            <w:r>
              <w:rPr>
                <w:rFonts w:eastAsia="Arial"/>
                <w:sz w:val="21"/>
                <w:rtl/>
              </w:rPr>
              <w:t>المرضى والمجتمع</w:t>
            </w:r>
          </w:p>
        </w:tc>
        <w:tc>
          <w:tcPr>
            <w:tcW w:w="2976" w:type="dxa"/>
            <w:shd w:val="clear" w:color="auto" w:fill="F2F2F2" w:themeFill="background1" w:themeFillShade="F2"/>
            <w:vAlign w:val="center"/>
          </w:tcPr>
          <w:p w14:paraId="7F85D655" w14:textId="77777777" w:rsidR="003D1B66" w:rsidRDefault="003D1B66" w:rsidP="000B46B5">
            <w:pPr>
              <w:bidi/>
              <w:spacing w:after="0" w:line="240" w:lineRule="auto"/>
            </w:pPr>
            <w:r>
              <w:rPr>
                <w:rFonts w:eastAsia="Arial"/>
                <w:sz w:val="21"/>
                <w:rtl/>
              </w:rPr>
              <w:t>التعبير عن الاحتياجات وتقييم التجربة والمساءلة المجتمعية</w:t>
            </w:r>
          </w:p>
        </w:tc>
        <w:tc>
          <w:tcPr>
            <w:tcW w:w="2976" w:type="dxa"/>
            <w:shd w:val="clear" w:color="auto" w:fill="F2F2F2" w:themeFill="background1" w:themeFillShade="F2"/>
            <w:vAlign w:val="center"/>
          </w:tcPr>
          <w:p w14:paraId="4C7C6C18" w14:textId="77777777" w:rsidR="003D1B66" w:rsidRDefault="003D1B66" w:rsidP="000B46B5">
            <w:pPr>
              <w:bidi/>
              <w:spacing w:after="0" w:line="240" w:lineRule="auto"/>
            </w:pPr>
            <w:r>
              <w:rPr>
                <w:rFonts w:eastAsia="Arial"/>
                <w:sz w:val="21"/>
                <w:rtl/>
              </w:rPr>
              <w:t>شكاوى، استطلاعات، مجالس استشارية، نشر الحقوق</w:t>
            </w:r>
          </w:p>
        </w:tc>
      </w:tr>
    </w:tbl>
    <w:p w14:paraId="611AD719" w14:textId="77777777" w:rsidR="003D1B66" w:rsidRDefault="003D1B66" w:rsidP="003D1B66">
      <w:pPr>
        <w:pStyle w:val="31"/>
        <w:bidi/>
        <w:jc w:val="both"/>
      </w:pPr>
      <w:r>
        <w:rPr>
          <w:rFonts w:ascii="Arial" w:eastAsia="Arial" w:hAnsi="Arial" w:cs="Arial"/>
        </w:rPr>
        <w:t>2-3-4-3</w:t>
      </w:r>
      <w:r>
        <w:rPr>
          <w:rFonts w:ascii="Arial" w:eastAsia="Arial" w:hAnsi="Arial" w:cs="Arial"/>
          <w:rtl/>
        </w:rPr>
        <w:t xml:space="preserve"> الحوكمة والتحول إلى التجمعات الصحية</w:t>
      </w:r>
    </w:p>
    <w:p w14:paraId="5DBACC59" w14:textId="77777777" w:rsidR="003D1B66" w:rsidRDefault="003D1B66" w:rsidP="003D1B66">
      <w:pPr>
        <w:bidi/>
        <w:spacing w:after="120" w:line="360" w:lineRule="auto"/>
        <w:ind w:firstLine="397"/>
        <w:jc w:val="both"/>
      </w:pPr>
      <w:r>
        <w:rPr>
          <w:rFonts w:eastAsia="Arial"/>
          <w:rtl/>
        </w:rPr>
        <w:t>يهدف نموذج التجمعات الصحية إلى الانتقال من إدارة منشآت منفصلة إلى إدارة شبكة تخدم سكان نطاق جغرافي عبر مستويات الرعاية. ومن منظور الحوكمة، يغير هذا النموذج وحدة المساءلة؛ إذ لا يصبح المستشفى مسؤولاً عن نشاطه فقط، بل تتسع المسؤولية لتشمل تنسيق رحلة المريض والوقاية وصحة السكان والنتائج والتكلفة عبر الشبكة.</w:t>
      </w:r>
    </w:p>
    <w:p w14:paraId="623E4C3F" w14:textId="77777777" w:rsidR="003D1B66" w:rsidRDefault="003D1B66" w:rsidP="003D1B66">
      <w:pPr>
        <w:bidi/>
        <w:spacing w:after="120" w:line="360" w:lineRule="auto"/>
        <w:ind w:firstLine="397"/>
        <w:jc w:val="both"/>
      </w:pPr>
      <w:r>
        <w:rPr>
          <w:rFonts w:eastAsia="Arial"/>
          <w:rtl/>
        </w:rPr>
        <w:lastRenderedPageBreak/>
        <w:t>يتطلب ذلك مجالس وهياكل قادرة على الجمع بين المنظور السريري والمالي والمجتمعي، ونظم معلومات تربط الرعاية الأولية والثانوية والتخصصية، وآليات لتخصيص الموارد بحسب الاحتياج والنتائج. كما يحتاج إلى تحديد العلاقة بين التجمع والمنشآت التابعة، وما يُتخذ مركزياً وما يفوض محلياً، وكيف تُقاس مساهمة كل منشأة في النتائج المشتركة.</w:t>
      </w:r>
    </w:p>
    <w:p w14:paraId="0AFFE588" w14:textId="77777777" w:rsidR="003D1B66" w:rsidRDefault="003D1B66" w:rsidP="003D1B66">
      <w:pPr>
        <w:bidi/>
        <w:spacing w:after="120" w:line="360" w:lineRule="auto"/>
        <w:ind w:firstLine="397"/>
        <w:jc w:val="both"/>
      </w:pPr>
      <w:r>
        <w:rPr>
          <w:rFonts w:eastAsia="Arial"/>
          <w:rtl/>
        </w:rPr>
        <w:t>توفر التجمعات فرصة لتقليل الازدواجية في الخدمات والمشتريات والدعم الإداري، وتحسين استخدام الطاقة الاستيعابية، وتوحيد المسارات السريرية. لكنها قد تواجه مخاطر انتقالية مثل مقاومة التغيير، واختلاف الأنظمة والبيانات، وتباين النضج الإداري، وغموض الأدوار أثناء انتقال المسؤوليات. وتعمل الحوكمة الانتقالية على إدارة هذه المخاطر من خلال خطط مرحلية، وسجل مخاطر، ومسؤوليات واضحة، ومؤشرات جاهزية، وتواصل منتظم مع العاملين والمستفيدين.</w:t>
      </w:r>
    </w:p>
    <w:p w14:paraId="16154150" w14:textId="77777777" w:rsidR="003D1B66" w:rsidRDefault="003D1B66" w:rsidP="003D1B66">
      <w:pPr>
        <w:bidi/>
        <w:spacing w:after="120" w:line="360" w:lineRule="auto"/>
        <w:ind w:firstLine="397"/>
        <w:jc w:val="both"/>
      </w:pPr>
      <w:r>
        <w:rPr>
          <w:rFonts w:eastAsia="Arial"/>
          <w:rtl/>
        </w:rPr>
        <w:t xml:space="preserve">وتشير نتائج دراسة </w:t>
      </w:r>
      <w:r>
        <w:rPr>
          <w:rFonts w:eastAsia="Arial"/>
        </w:rPr>
        <w:t>Alshehri</w:t>
      </w:r>
      <w:r>
        <w:rPr>
          <w:rFonts w:eastAsia="Arial"/>
          <w:rtl/>
        </w:rPr>
        <w:t xml:space="preserve"> و</w:t>
      </w:r>
      <w:r>
        <w:rPr>
          <w:rFonts w:eastAsia="Arial"/>
        </w:rPr>
        <w:t>Abduljawad (2025)</w:t>
      </w:r>
      <w:r>
        <w:rPr>
          <w:rFonts w:eastAsia="Arial"/>
          <w:rtl/>
        </w:rPr>
        <w:t xml:space="preserve"> إلى أن المستشفيات المتجمعة في عينة الدراسة أظهرت أداء أفضل في رضا المرضى وتنسيق الرعاية والمشاركة الرقمية وبعض النتائج التشغيلية مقارنة بالمستشفيات غير المتجمعة، مع استمرار تحديات محو الأمية الرقمية واستقرار القوى العاملة. وعلى الرغم من ضرورة الحذر في تعميم النتائج بسبب نطاق الدراسة، فإنها تدعم الفرضية القائلة إن التكامل الهيكلي والرقمي عندما تحكمه مسؤوليات ومؤشرات واضحة يمكن أن يعزز الكفاءة وتجربة المريض.</w:t>
      </w:r>
    </w:p>
    <w:p w14:paraId="487768A9" w14:textId="77777777" w:rsidR="003D1B66" w:rsidRDefault="003D1B66" w:rsidP="003D1B66">
      <w:pPr>
        <w:pStyle w:val="31"/>
        <w:bidi/>
        <w:jc w:val="both"/>
      </w:pPr>
      <w:r>
        <w:rPr>
          <w:rFonts w:ascii="Arial" w:eastAsia="Arial" w:hAnsi="Arial" w:cs="Arial"/>
        </w:rPr>
        <w:t>2-3-4-4</w:t>
      </w:r>
      <w:r>
        <w:rPr>
          <w:rFonts w:ascii="Arial" w:eastAsia="Arial" w:hAnsi="Arial" w:cs="Arial"/>
          <w:rtl/>
        </w:rPr>
        <w:t xml:space="preserve"> الحوكمة الرقمية وحوكمة البيانات الصحية</w:t>
      </w:r>
    </w:p>
    <w:p w14:paraId="27F709FE" w14:textId="77777777" w:rsidR="003D1B66" w:rsidRDefault="003D1B66" w:rsidP="003D1B66">
      <w:pPr>
        <w:bidi/>
        <w:spacing w:after="120" w:line="360" w:lineRule="auto"/>
        <w:ind w:firstLine="397"/>
        <w:jc w:val="both"/>
      </w:pPr>
      <w:r>
        <w:rPr>
          <w:rFonts w:eastAsia="Arial"/>
          <w:rtl/>
        </w:rPr>
        <w:t>أصبح التحول الرقمي مكوناً أساسياً في النظام الصحي السعودي، ويشمل السجلات الإلكترونية والمنصات والتطبيب عن بعد وتبادل المعلومات والتحليلات. وتدعم هذه الأدوات الشفافية والكفاءة من خلال توفير بيانات آنية، وتقليل التكرار، وتمكين المتابعة عبر رحلة المريض. إلا أن القيمة لا تتحقق تلقائياً بمجرد شراء التقنية، بل تعتمد على حوكمة البيانات والأنظمة والقرارات الرقمية.</w:t>
      </w:r>
    </w:p>
    <w:p w14:paraId="4B470CA5" w14:textId="77777777" w:rsidR="003D1B66" w:rsidRDefault="003D1B66" w:rsidP="003D1B66">
      <w:pPr>
        <w:bidi/>
        <w:spacing w:after="120" w:line="360" w:lineRule="auto"/>
        <w:ind w:firstLine="397"/>
        <w:jc w:val="both"/>
      </w:pPr>
      <w:r>
        <w:rPr>
          <w:rFonts w:eastAsia="Arial"/>
          <w:rtl/>
        </w:rPr>
        <w:t>تشمل حوكمة البيانات تحديد الملكية والمسؤولية عن الجودة، وتصنيف البيانات، وصلاحيات الوصول، ومعايير المشاركة، والاحتفاظ والإتلاف، والخصوصية، والأمن، وإدارة الحوادث. ويجب أن توضح السياسات من يحق له استخدام البيانات ولأي غرض، وكيف يتم التحقق من الدقة، وكيف تُصحح الأخطاء، ومن يوافق على المشاركة الداخلية والخارجية.</w:t>
      </w:r>
    </w:p>
    <w:p w14:paraId="7FBCF8B1" w14:textId="77777777" w:rsidR="003D1B66" w:rsidRDefault="003D1B66" w:rsidP="003D1B66">
      <w:pPr>
        <w:bidi/>
        <w:spacing w:after="120" w:line="360" w:lineRule="auto"/>
        <w:ind w:firstLine="397"/>
        <w:jc w:val="both"/>
      </w:pPr>
      <w:r>
        <w:rPr>
          <w:rFonts w:eastAsia="Arial"/>
          <w:rtl/>
        </w:rPr>
        <w:t>تؤثر جودة البيانات مباشرة في الحوكمة؛ لأن المؤشرات والتمويل والقرارات قد تُبنى على سجلات غير مكتملة أو تعريفات متباينة. لذلك يجب إنشاء قاموس موحد للمؤشرات، ومسؤولين عن البيانات في الإدارات، وفحوص جودة آلية ويدوية، وأثر تدقيقي للتعديلات. كما ينبغي ألا تقاس جودة النظام الرقمي بعدد المستخدمين فقط، بل بمدى تقليله للوقت وتحسينه للقرار والسلامة وتجربة المستخدم.</w:t>
      </w:r>
    </w:p>
    <w:p w14:paraId="0F9DADF1" w14:textId="77777777" w:rsidR="003D1B66" w:rsidRDefault="003D1B66" w:rsidP="003D1B66">
      <w:pPr>
        <w:bidi/>
        <w:spacing w:after="120" w:line="360" w:lineRule="auto"/>
        <w:ind w:firstLine="397"/>
        <w:jc w:val="both"/>
      </w:pPr>
      <w:r>
        <w:rPr>
          <w:rFonts w:eastAsia="Arial"/>
          <w:rtl/>
        </w:rPr>
        <w:t>مع توسع الذكاء الاصطناعي والتحليلات، تظهر احتياجات إضافية للشفافية الخوارزمية، والتحقق السريري، ومراقبة الانحياز والأداء، وتحديد المسؤولية عن القرار المدعوم تقنياً. ويجب أن تبقى القرارات عالية الخطورة ضمن إطار رقابي يوضح حدود الاستخدام وآلية التصعيد والتوقف والمراجعة البشرية.</w:t>
      </w:r>
    </w:p>
    <w:p w14:paraId="2F26B1F8" w14:textId="77777777" w:rsidR="003D1B66" w:rsidRDefault="003D1B66" w:rsidP="003D1B66">
      <w:pPr>
        <w:pStyle w:val="31"/>
        <w:bidi/>
        <w:jc w:val="both"/>
      </w:pPr>
      <w:r>
        <w:rPr>
          <w:rFonts w:ascii="Arial" w:eastAsia="Arial" w:hAnsi="Arial" w:cs="Arial"/>
        </w:rPr>
        <w:t>2-3-4-5</w:t>
      </w:r>
      <w:r>
        <w:rPr>
          <w:rFonts w:ascii="Arial" w:eastAsia="Arial" w:hAnsi="Arial" w:cs="Arial"/>
          <w:rtl/>
        </w:rPr>
        <w:t xml:space="preserve"> تحديات تطبيق الحوكمة الصحية في السياق السعودي</w:t>
      </w:r>
    </w:p>
    <w:p w14:paraId="7A865281" w14:textId="77777777" w:rsidR="003D1B66" w:rsidRDefault="003D1B66" w:rsidP="003D1B66">
      <w:pPr>
        <w:bidi/>
        <w:spacing w:after="120" w:line="360" w:lineRule="auto"/>
        <w:ind w:firstLine="397"/>
        <w:jc w:val="both"/>
      </w:pPr>
      <w:r>
        <w:rPr>
          <w:rFonts w:eastAsia="Arial"/>
          <w:rtl/>
        </w:rPr>
        <w:t>تتضمن تحديات التطبيق اتساع حجم التحول وتعدد الجهات والمراحل، مما قد ينتج عنه تداخل مؤقت في المسؤوليات أو اختلاف في سرعة النضج بين المناطق والمؤسسات. وتحتاج الحوكمة إلى تحديث مستمر لخرائط الصلاحيات ومسارات القرار، وإلى تجنب الاعتماد على ترتيبات غير رسمية تستمر بعد تغير الهياكل.</w:t>
      </w:r>
    </w:p>
    <w:p w14:paraId="0E180FC9" w14:textId="77777777" w:rsidR="003D1B66" w:rsidRDefault="003D1B66" w:rsidP="003D1B66">
      <w:pPr>
        <w:bidi/>
        <w:spacing w:after="120" w:line="360" w:lineRule="auto"/>
        <w:ind w:firstLine="397"/>
        <w:jc w:val="both"/>
      </w:pPr>
      <w:r>
        <w:rPr>
          <w:rFonts w:eastAsia="Arial"/>
          <w:rtl/>
        </w:rPr>
        <w:t>يمثل توفر الكفاءات الحوكمية تحدياً آخر، فعضوية المجالس واللجان تتطلب مهارات في الاستراتيجية والمال والجودة والمخاطر والبيانات، إضافة إلى فهم القطاع الصحي. ولا يكفي تعيين اللجان من دون برامج تعريف وتدريب وتقييم ذاتي واستقلال نسبي للمراجعة الداخلية وإدارة المخاطر.</w:t>
      </w:r>
    </w:p>
    <w:p w14:paraId="4C223B4E" w14:textId="77777777" w:rsidR="003D1B66" w:rsidRDefault="003D1B66" w:rsidP="003D1B66">
      <w:pPr>
        <w:bidi/>
        <w:spacing w:after="120" w:line="360" w:lineRule="auto"/>
        <w:ind w:firstLine="397"/>
        <w:jc w:val="both"/>
      </w:pPr>
      <w:r>
        <w:rPr>
          <w:rFonts w:eastAsia="Arial"/>
          <w:rtl/>
        </w:rPr>
        <w:lastRenderedPageBreak/>
        <w:t>كما تشكل موثوقية البيانات وتكامل الأنظمة تحدياً أمام الشفافية والمساءلة. فإذا اختلفت التعريفات أو تأخرت البيانات، ضعفت قدرة الجهات على المقارنة واتخاذ القرار. ويحتاج ذلك إلى حوكمة بيانات وطنية ومؤسسية، وإلى تقليل عبء التقارير المتكررة والتركيز على مجموعة مؤشرات متوازنة ذات قيمة.</w:t>
      </w:r>
    </w:p>
    <w:p w14:paraId="5849FC65" w14:textId="77777777" w:rsidR="003D1B66" w:rsidRDefault="003D1B66" w:rsidP="003D1B66">
      <w:pPr>
        <w:bidi/>
        <w:spacing w:after="120" w:line="360" w:lineRule="auto"/>
        <w:ind w:firstLine="397"/>
        <w:jc w:val="both"/>
      </w:pPr>
      <w:r>
        <w:rPr>
          <w:rFonts w:eastAsia="Arial"/>
          <w:rtl/>
        </w:rPr>
        <w:t>قد تظهر أيضاً مقاومة للتغيير نتيجة القلق من فقدان الصلاحيات أو الوظائف أو تغير معايير الأداء. ولا تعالج هذه المقاومة بالتواصل الإعلامي فقط، بل بإشراك المتأثرين، وتوضيح الأدوار والمسارات المهنية، وتوفير التدريب والدعم، وإظهار نتائج مبكرة موثوقة. وتحتاج القيادة إلى إدارة عادلة للانتقال حتى لا يُفهم تطبيق الحوكمة باعتباره رقابة عقابية أو عبئاً بيروقراطياً.</w:t>
      </w:r>
    </w:p>
    <w:p w14:paraId="29649F76" w14:textId="77777777" w:rsidR="003D1B66" w:rsidRDefault="003D1B66" w:rsidP="003D1B66">
      <w:pPr>
        <w:bidi/>
        <w:spacing w:after="120" w:line="360" w:lineRule="auto"/>
        <w:ind w:firstLine="397"/>
        <w:jc w:val="both"/>
      </w:pPr>
      <w:r>
        <w:rPr>
          <w:rFonts w:eastAsia="Arial"/>
          <w:rtl/>
        </w:rPr>
        <w:t>وأخيراً، يظل التوازن بين الاستقلالية والتوحيد من القضايا الأساسية. فالاستقلالية تساعد التجمعات والمؤسسات على الاستجابة لاحتياجاتها، بينما يضمن التوحيد العدالة وقابلية المقارنة. ويتطلب الحل تحديد حد أدنى وطني من المعايير والمؤشرات والحقوق، مع السماح بالمرونة في طرق التنفيذ وتحميل المؤسسة مسؤولية النتائج.</w:t>
      </w:r>
    </w:p>
    <w:p w14:paraId="14463382" w14:textId="77777777" w:rsidR="003D1B66" w:rsidRDefault="003D1B66" w:rsidP="003D1B66">
      <w:pPr>
        <w:pStyle w:val="21"/>
        <w:bidi/>
        <w:jc w:val="both"/>
      </w:pPr>
      <w:r>
        <w:rPr>
          <w:rFonts w:ascii="Arial" w:eastAsia="Arial" w:hAnsi="Arial" w:cs="Arial"/>
        </w:rPr>
        <w:t>2-3-5</w:t>
      </w:r>
      <w:r>
        <w:rPr>
          <w:rFonts w:ascii="Arial" w:eastAsia="Arial" w:hAnsi="Arial" w:cs="Arial"/>
          <w:rtl/>
        </w:rPr>
        <w:t xml:space="preserve"> العلاقة بين الحوكمة والشفافية والكفاءة</w:t>
      </w:r>
    </w:p>
    <w:p w14:paraId="6432BA32" w14:textId="77777777" w:rsidR="003D1B66" w:rsidRDefault="003D1B66" w:rsidP="003D1B66">
      <w:pPr>
        <w:pStyle w:val="31"/>
        <w:bidi/>
        <w:jc w:val="both"/>
      </w:pPr>
      <w:r>
        <w:rPr>
          <w:rFonts w:ascii="Arial" w:eastAsia="Arial" w:hAnsi="Arial" w:cs="Arial"/>
        </w:rPr>
        <w:t>2-3-5-1</w:t>
      </w:r>
      <w:r>
        <w:rPr>
          <w:rFonts w:ascii="Arial" w:eastAsia="Arial" w:hAnsi="Arial" w:cs="Arial"/>
          <w:rtl/>
        </w:rPr>
        <w:t xml:space="preserve"> أثر الحوكمة الصحية في الشفافية</w:t>
      </w:r>
    </w:p>
    <w:p w14:paraId="091E044E" w14:textId="77777777" w:rsidR="003D1B66" w:rsidRDefault="003D1B66" w:rsidP="003D1B66">
      <w:pPr>
        <w:bidi/>
        <w:spacing w:after="120" w:line="360" w:lineRule="auto"/>
        <w:ind w:firstLine="397"/>
        <w:jc w:val="both"/>
      </w:pPr>
      <w:r>
        <w:rPr>
          <w:rFonts w:eastAsia="Arial"/>
          <w:rtl/>
        </w:rPr>
        <w:t>تؤثر الحوكمة في الشفافية عبر عدة مسارات. أولاً، يؤدي وضوح الأدوار والصلاحيات إلى معرفة الجهة المسؤولة عن القرار والمعلومة، ويقلل من انتقال المسؤولية بين الإدارات. ثانياً، تفرض المساءلة حاجة منتظمة إلى التقارير والتفسير، مما يحفز جمع المعلومات وتحسين جودتها. ثالثاً، تدعم المشاركة الكشف عن معلومات وآثار لا تظهر من منظور الإدارة وحدها.</w:t>
      </w:r>
    </w:p>
    <w:p w14:paraId="5F97ECA4" w14:textId="77777777" w:rsidR="003D1B66" w:rsidRDefault="003D1B66" w:rsidP="003D1B66">
      <w:pPr>
        <w:bidi/>
        <w:spacing w:after="120" w:line="360" w:lineRule="auto"/>
        <w:ind w:firstLine="397"/>
        <w:jc w:val="both"/>
      </w:pPr>
      <w:r>
        <w:rPr>
          <w:rFonts w:eastAsia="Arial"/>
          <w:rtl/>
        </w:rPr>
        <w:t>كما تعزز الحوكمة الشفافية من خلال استقلال وظائف التدقيق والمخاطر والجودة، وإتاحة قنوات للتصعيد والبلاغات، وتحديد متطلبات الإفصاح وتعارض المصالح. وعندما تكون التقارير مرتبطة بجداول مراجعة ومجالس أو لجان مسؤولة، تصبح المعلومات جزءاً من القرار وليس أرشيفاً إدارياً.</w:t>
      </w:r>
    </w:p>
    <w:p w14:paraId="625E3448" w14:textId="77777777" w:rsidR="003D1B66" w:rsidRDefault="003D1B66" w:rsidP="003D1B66">
      <w:pPr>
        <w:bidi/>
        <w:spacing w:after="120" w:line="360" w:lineRule="auto"/>
        <w:ind w:firstLine="397"/>
        <w:jc w:val="both"/>
      </w:pPr>
      <w:r>
        <w:rPr>
          <w:rFonts w:eastAsia="Arial"/>
          <w:rtl/>
        </w:rPr>
        <w:t>ومن ناحية أخرى، قد تفشل الحوكمة في تعزيز الشفافية إذا أصبحت الإجراءات غاية في ذاتها أو اقتصرت على تقارير صورية. فالشفافية الفعلية تتطلب جودة المعلومات، وإتاحتها للطرف المناسب، وقدرته على استخدامها، ووجود استعداد لمناقشة النتائج السلبية. لذلك يتوقع أن تكون العلاقة أقوى عندما تتوافر ثقافة نزاهة وقدرة تحليلية وتقنية.</w:t>
      </w:r>
    </w:p>
    <w:p w14:paraId="53088CCA" w14:textId="77777777" w:rsidR="003D1B66" w:rsidRDefault="003D1B66" w:rsidP="003D1B66">
      <w:pPr>
        <w:pStyle w:val="31"/>
        <w:bidi/>
        <w:jc w:val="both"/>
      </w:pPr>
      <w:r>
        <w:rPr>
          <w:rFonts w:ascii="Arial" w:eastAsia="Arial" w:hAnsi="Arial" w:cs="Arial"/>
        </w:rPr>
        <w:t>2-3-5-2</w:t>
      </w:r>
      <w:r>
        <w:rPr>
          <w:rFonts w:ascii="Arial" w:eastAsia="Arial" w:hAnsi="Arial" w:cs="Arial"/>
          <w:rtl/>
        </w:rPr>
        <w:t xml:space="preserve"> أثر الحوكمة الصحية في الكفاءة الإدارية</w:t>
      </w:r>
    </w:p>
    <w:p w14:paraId="0A0E0B09" w14:textId="77777777" w:rsidR="003D1B66" w:rsidRDefault="003D1B66" w:rsidP="003D1B66">
      <w:pPr>
        <w:bidi/>
        <w:spacing w:after="120" w:line="360" w:lineRule="auto"/>
        <w:ind w:firstLine="397"/>
        <w:jc w:val="both"/>
      </w:pPr>
      <w:r>
        <w:rPr>
          <w:rFonts w:eastAsia="Arial"/>
          <w:rtl/>
        </w:rPr>
        <w:t>تسهم الحوكمة في الكفاءة من خلال تقليل تكاليف الغموض والتنسيق. فوضوح التفويض يقلل عدد الموافقات غير الضرورية وزمن اتخاذ القرار، وتحديد المسؤوليات يقلل الازدواجية والفجوات. كما تساعد الاستراتيجية والأولويات على توجيه الموارد إلى المبادرات الأعلى قيمة بدلاً من توزيعها وفق ضغوط آنية أو مصالح محلية.</w:t>
      </w:r>
    </w:p>
    <w:p w14:paraId="57CA1017" w14:textId="77777777" w:rsidR="003D1B66" w:rsidRDefault="003D1B66" w:rsidP="003D1B66">
      <w:pPr>
        <w:bidi/>
        <w:spacing w:after="120" w:line="360" w:lineRule="auto"/>
        <w:ind w:firstLine="397"/>
        <w:jc w:val="both"/>
      </w:pPr>
      <w:r>
        <w:rPr>
          <w:rFonts w:eastAsia="Arial"/>
          <w:rtl/>
        </w:rPr>
        <w:t>تؤدي الرقابة المالية وإدارة المخاطر والتدقيق إلى اكتشاف الهدر والانحرافات وتحسين المشتريات والعقود، بينما تتيح مؤشرات الأداء مقارنة الوحدات وتحديد الاختناقات. وتساعد المشاركة المهنية في تصميم الإجراءات على تجنب سياسات غير قابلة للتطبيق، كما يسهم إشراك المرضى في اكتشاف نقاط الانتظار أو التكرار التي لا تراها الإدارة.</w:t>
      </w:r>
    </w:p>
    <w:p w14:paraId="7DD8288E" w14:textId="77777777" w:rsidR="003D1B66" w:rsidRDefault="003D1B66" w:rsidP="003D1B66">
      <w:pPr>
        <w:bidi/>
        <w:spacing w:after="120" w:line="360" w:lineRule="auto"/>
        <w:ind w:firstLine="397"/>
        <w:jc w:val="both"/>
      </w:pPr>
      <w:r>
        <w:rPr>
          <w:rFonts w:eastAsia="Arial"/>
          <w:rtl/>
        </w:rPr>
        <w:t>ترتبط الحوكمة بالكفاءة كذلك عبر التعلم المؤسسي؛ إذ توفر مراجعات الأداء والحوادث والشكاوى معلومات عن أسباب الإخفاق، وتحدد مسؤوليات الإجراءات التصحيحية. وعندما تُتابع التوصيات حتى الإغلاق، تقل احتمالات تكرار المشكلة. أما إذا غابت المتابعة فقد تتكرر المراجعات دون أثر، فتتحول الحوكمة نفسها إلى تكلفة بيروقراطية.</w:t>
      </w:r>
    </w:p>
    <w:p w14:paraId="6898C67F" w14:textId="77777777" w:rsidR="003D1B66" w:rsidRDefault="003D1B66" w:rsidP="003D1B66">
      <w:pPr>
        <w:bidi/>
        <w:spacing w:after="120" w:line="360" w:lineRule="auto"/>
        <w:ind w:firstLine="397"/>
        <w:jc w:val="both"/>
      </w:pPr>
      <w:r>
        <w:rPr>
          <w:rFonts w:eastAsia="Arial"/>
          <w:rtl/>
        </w:rPr>
        <w:lastRenderedPageBreak/>
        <w:t>ينبغي التنبيه إلى أن الحوكمة قد تؤدي إلى بطء أو زيادة تكلفة إذا صُممت بآليات مفرطة، مثل تعدد اللجان والموافقات والتقارير المتكررة. ولذلك تتطلب الحوكمة الفعالة مبدأ التناسب، أي أن مستوى الرقابة والإفصاح يتناسب مع حجم القرار ومخاطره، مع مراجعة الإجراءات وإلغاء ما لا يضيف قيمة.</w:t>
      </w:r>
    </w:p>
    <w:p w14:paraId="4803DA2A" w14:textId="77777777" w:rsidR="003D1B66" w:rsidRDefault="003D1B66" w:rsidP="003D1B66">
      <w:pPr>
        <w:pStyle w:val="31"/>
        <w:bidi/>
        <w:jc w:val="both"/>
      </w:pPr>
      <w:r>
        <w:rPr>
          <w:rFonts w:ascii="Arial" w:eastAsia="Arial" w:hAnsi="Arial" w:cs="Arial"/>
        </w:rPr>
        <w:t>2-3-5-3</w:t>
      </w:r>
      <w:r>
        <w:rPr>
          <w:rFonts w:ascii="Arial" w:eastAsia="Arial" w:hAnsi="Arial" w:cs="Arial"/>
          <w:rtl/>
        </w:rPr>
        <w:t xml:space="preserve"> الشفافية كآلية وسيطة بين الحوكمة والكفاءة</w:t>
      </w:r>
    </w:p>
    <w:p w14:paraId="56D569E7" w14:textId="77777777" w:rsidR="003D1B66" w:rsidRDefault="003D1B66" w:rsidP="003D1B66">
      <w:pPr>
        <w:bidi/>
        <w:spacing w:after="120" w:line="360" w:lineRule="auto"/>
        <w:ind w:firstLine="397"/>
        <w:jc w:val="both"/>
      </w:pPr>
      <w:r>
        <w:rPr>
          <w:rFonts w:eastAsia="Arial"/>
          <w:rtl/>
        </w:rPr>
        <w:t>يمكن النظر إلى الشفافية بوصفها آلية تفسر جزءاً من أثر الحوكمة في الكفاءة. فالحوكمة تفرض وضوح البيانات والقرارات، والشفافية الناتجة تسمح بكشف التأخير والهدر والتفاوت، ومن ثم تمكّن الإدارة والجهات الرقابية من التدخل. كما أن إتاحة المعلومات تقلل وقت البحث والاستفسار والتفاوض، وتحسن التنسيق بين الوحدات.</w:t>
      </w:r>
    </w:p>
    <w:p w14:paraId="544CAB4B" w14:textId="77777777" w:rsidR="003D1B66" w:rsidRDefault="003D1B66" w:rsidP="003D1B66">
      <w:pPr>
        <w:bidi/>
        <w:spacing w:after="120" w:line="360" w:lineRule="auto"/>
        <w:ind w:firstLine="397"/>
        <w:jc w:val="both"/>
      </w:pPr>
      <w:r>
        <w:rPr>
          <w:rFonts w:eastAsia="Arial"/>
          <w:rtl/>
        </w:rPr>
        <w:t>تزيد الشفافية من قدرة المؤسسة على المقارنة والتعلم، لأن الوحدات تستطيع رؤية أدائها واتجاهاته ومعرفة الممارسات الأفضل. كما تعزز الثقة، وقد تقلل الحاجة إلى طبقات رقابية كثيفة إذا كانت المعلومات موثوقة ويمكن تتبعها. إلا أن الأثر يعتمد على جودة البيانات وقدرة القيادات على تفسيرها وتحويلها إلى قرارات.</w:t>
      </w:r>
    </w:p>
    <w:p w14:paraId="1C543710" w14:textId="77777777" w:rsidR="003D1B66" w:rsidRDefault="003D1B66" w:rsidP="003D1B66">
      <w:pPr>
        <w:bidi/>
        <w:spacing w:after="120" w:line="360" w:lineRule="auto"/>
        <w:ind w:firstLine="397"/>
        <w:jc w:val="both"/>
      </w:pPr>
      <w:r>
        <w:rPr>
          <w:rFonts w:eastAsia="Arial"/>
          <w:rtl/>
        </w:rPr>
        <w:t>وبناءً على ذلك، يفترض النموذج النظري للدراسة أن تطبيق الحوكمة الصحية يرتبط إيجابياً بالشفافية وبالكفاءة الإدارية، وأن ارتفاع الشفافية يدعم الكفاءة من خلال تحسين تدفق المعلومات والمساءلة وجودة القرار. ويمكن اختبار هذه العلاقات إحصائياً في المرحلة الميدانية، مع مراعاة عوامل مثل نوع المؤسسة وحجمها ودرجة نضجها الرقمي.</w:t>
      </w:r>
    </w:p>
    <w:p w14:paraId="65D119FB" w14:textId="77777777" w:rsidR="003D1B66" w:rsidRDefault="003D1B66" w:rsidP="003D1B66">
      <w:pPr>
        <w:pStyle w:val="31"/>
        <w:bidi/>
        <w:jc w:val="both"/>
      </w:pPr>
      <w:r>
        <w:rPr>
          <w:rFonts w:ascii="Arial" w:eastAsia="Arial" w:hAnsi="Arial" w:cs="Arial"/>
        </w:rPr>
        <w:t>2-3-5-4</w:t>
      </w:r>
      <w:r>
        <w:rPr>
          <w:rFonts w:ascii="Arial" w:eastAsia="Arial" w:hAnsi="Arial" w:cs="Arial"/>
          <w:rtl/>
        </w:rPr>
        <w:t xml:space="preserve"> النموذج النظري المستخلص</w:t>
      </w:r>
    </w:p>
    <w:p w14:paraId="21DEA2BA" w14:textId="77777777" w:rsidR="003D1B66" w:rsidRDefault="003D1B66" w:rsidP="003D1B66">
      <w:pPr>
        <w:bidi/>
        <w:spacing w:after="120" w:line="360" w:lineRule="auto"/>
        <w:ind w:firstLine="397"/>
        <w:jc w:val="both"/>
      </w:pPr>
      <w:r>
        <w:rPr>
          <w:rFonts w:eastAsia="Arial"/>
          <w:rtl/>
        </w:rPr>
        <w:t>يلخص النموذج التالي العلاقات النظرية التي يستند إليها البحث:</w:t>
      </w:r>
    </w:p>
    <w:p w14:paraId="75158CAA" w14:textId="77777777" w:rsidR="003D1B66" w:rsidRDefault="003D1B66" w:rsidP="003D1B66">
      <w:pPr>
        <w:keepNext/>
        <w:bidi/>
        <w:spacing w:before="120" w:after="80"/>
        <w:jc w:val="both"/>
      </w:pPr>
      <w:r>
        <w:rPr>
          <w:rFonts w:eastAsia="Arial"/>
          <w:b/>
          <w:sz w:val="24"/>
          <w:rtl/>
        </w:rPr>
        <w:t>جدول (</w:t>
      </w:r>
      <w:r>
        <w:rPr>
          <w:rFonts w:eastAsia="Arial"/>
          <w:b/>
          <w:sz w:val="24"/>
        </w:rPr>
        <w:t>14</w:t>
      </w:r>
      <w:r>
        <w:rPr>
          <w:rFonts w:eastAsia="Arial"/>
          <w:b/>
          <w:sz w:val="24"/>
          <w:rtl/>
        </w:rPr>
        <w:t>): النموذج النظري المستخلص</w:t>
      </w:r>
    </w:p>
    <w:tbl>
      <w:tblPr>
        <w:bidiVisual/>
        <w:tblW w:w="8930" w:type="dxa"/>
        <w:jc w:val="center"/>
        <w:shd w:val="clear" w:color="auto" w:fill="F2F2F2" w:themeFill="background1" w:themeFillShade="F2"/>
        <w:tblLayout w:type="fixed"/>
        <w:tblCellMar>
          <w:top w:w="65" w:type="dxa"/>
          <w:left w:w="65" w:type="dxa"/>
          <w:bottom w:w="65" w:type="dxa"/>
          <w:right w:w="65" w:type="dxa"/>
        </w:tblCellMar>
        <w:tblLook w:val="04A0" w:firstRow="1" w:lastRow="0" w:firstColumn="1" w:lastColumn="0" w:noHBand="0" w:noVBand="1"/>
      </w:tblPr>
      <w:tblGrid>
        <w:gridCol w:w="1786"/>
        <w:gridCol w:w="1786"/>
        <w:gridCol w:w="1786"/>
        <w:gridCol w:w="1786"/>
        <w:gridCol w:w="1786"/>
      </w:tblGrid>
      <w:tr w:rsidR="003D1B66" w14:paraId="7B820360" w14:textId="77777777" w:rsidTr="000B46B5">
        <w:trPr>
          <w:tblHeader/>
          <w:jc w:val="center"/>
        </w:trPr>
        <w:tc>
          <w:tcPr>
            <w:tcW w:w="1786" w:type="dxa"/>
            <w:shd w:val="clear" w:color="auto" w:fill="F2F2F2" w:themeFill="background1" w:themeFillShade="F2"/>
            <w:vAlign w:val="center"/>
          </w:tcPr>
          <w:p w14:paraId="56C24074" w14:textId="77777777" w:rsidR="003D1B66" w:rsidRDefault="003D1B66" w:rsidP="000B46B5">
            <w:pPr>
              <w:bidi/>
              <w:spacing w:after="0" w:line="240" w:lineRule="auto"/>
              <w:jc w:val="both"/>
            </w:pPr>
            <w:r>
              <w:rPr>
                <w:rFonts w:eastAsia="Arial"/>
                <w:b/>
                <w:sz w:val="21"/>
                <w:rtl/>
              </w:rPr>
              <w:t>أبعاد الحوكمة الصحية</w:t>
            </w:r>
          </w:p>
        </w:tc>
        <w:tc>
          <w:tcPr>
            <w:tcW w:w="1786" w:type="dxa"/>
            <w:shd w:val="clear" w:color="auto" w:fill="F2F2F2" w:themeFill="background1" w:themeFillShade="F2"/>
            <w:vAlign w:val="center"/>
          </w:tcPr>
          <w:p w14:paraId="752F9527" w14:textId="77777777" w:rsidR="003D1B66" w:rsidRDefault="003D1B66" w:rsidP="000B46B5">
            <w:pPr>
              <w:bidi/>
              <w:spacing w:after="0" w:line="240" w:lineRule="auto"/>
              <w:jc w:val="both"/>
            </w:pPr>
          </w:p>
        </w:tc>
        <w:tc>
          <w:tcPr>
            <w:tcW w:w="1786" w:type="dxa"/>
            <w:shd w:val="clear" w:color="auto" w:fill="F2F2F2" w:themeFill="background1" w:themeFillShade="F2"/>
            <w:vAlign w:val="center"/>
          </w:tcPr>
          <w:p w14:paraId="3D79F267" w14:textId="77777777" w:rsidR="003D1B66" w:rsidRDefault="003D1B66" w:rsidP="000B46B5">
            <w:pPr>
              <w:bidi/>
              <w:spacing w:after="0" w:line="240" w:lineRule="auto"/>
              <w:jc w:val="both"/>
            </w:pPr>
            <w:r>
              <w:rPr>
                <w:rFonts w:eastAsia="Arial"/>
                <w:b/>
                <w:sz w:val="21"/>
                <w:rtl/>
              </w:rPr>
              <w:t>الشفافية</w:t>
            </w:r>
          </w:p>
        </w:tc>
        <w:tc>
          <w:tcPr>
            <w:tcW w:w="1786" w:type="dxa"/>
            <w:shd w:val="clear" w:color="auto" w:fill="F2F2F2" w:themeFill="background1" w:themeFillShade="F2"/>
            <w:vAlign w:val="center"/>
          </w:tcPr>
          <w:p w14:paraId="0A552F5D" w14:textId="77777777" w:rsidR="003D1B66" w:rsidRDefault="003D1B66" w:rsidP="000B46B5">
            <w:pPr>
              <w:bidi/>
              <w:spacing w:after="0" w:line="240" w:lineRule="auto"/>
              <w:jc w:val="both"/>
            </w:pPr>
          </w:p>
        </w:tc>
        <w:tc>
          <w:tcPr>
            <w:tcW w:w="1786" w:type="dxa"/>
            <w:shd w:val="clear" w:color="auto" w:fill="F2F2F2" w:themeFill="background1" w:themeFillShade="F2"/>
            <w:vAlign w:val="center"/>
          </w:tcPr>
          <w:p w14:paraId="0106C361" w14:textId="77777777" w:rsidR="003D1B66" w:rsidRDefault="003D1B66" w:rsidP="000B46B5">
            <w:pPr>
              <w:bidi/>
              <w:spacing w:after="0" w:line="240" w:lineRule="auto"/>
              <w:jc w:val="both"/>
            </w:pPr>
            <w:r>
              <w:rPr>
                <w:rFonts w:eastAsia="Arial"/>
                <w:b/>
                <w:sz w:val="21"/>
                <w:rtl/>
              </w:rPr>
              <w:t>الكفاءة الإدارية</w:t>
            </w:r>
          </w:p>
        </w:tc>
      </w:tr>
      <w:tr w:rsidR="003D1B66" w14:paraId="2AB4926C" w14:textId="77777777" w:rsidTr="000B46B5">
        <w:trPr>
          <w:jc w:val="center"/>
        </w:trPr>
        <w:tc>
          <w:tcPr>
            <w:tcW w:w="1786" w:type="dxa"/>
            <w:shd w:val="clear" w:color="auto" w:fill="F2F2F2" w:themeFill="background1" w:themeFillShade="F2"/>
            <w:vAlign w:val="center"/>
          </w:tcPr>
          <w:p w14:paraId="45C88159" w14:textId="77777777" w:rsidR="003D1B66" w:rsidRDefault="003D1B66" w:rsidP="000B46B5">
            <w:pPr>
              <w:bidi/>
              <w:spacing w:after="0" w:line="240" w:lineRule="auto"/>
            </w:pPr>
            <w:r>
              <w:rPr>
                <w:rFonts w:eastAsia="Arial"/>
                <w:sz w:val="21"/>
                <w:rtl/>
              </w:rPr>
              <w:t>وضوح الأدوار والمساءلة</w:t>
            </w:r>
            <w:r>
              <w:rPr>
                <w:rFonts w:eastAsia="Arial"/>
                <w:sz w:val="21"/>
                <w:rtl/>
              </w:rPr>
              <w:br/>
              <w:t>المشاركة والنزاهة</w:t>
            </w:r>
            <w:r>
              <w:rPr>
                <w:rFonts w:eastAsia="Arial"/>
                <w:sz w:val="21"/>
                <w:rtl/>
              </w:rPr>
              <w:br/>
              <w:t>الرقابة والقدرة المعلوماتية</w:t>
            </w:r>
          </w:p>
        </w:tc>
        <w:tc>
          <w:tcPr>
            <w:tcW w:w="1786" w:type="dxa"/>
            <w:shd w:val="clear" w:color="auto" w:fill="F2F2F2" w:themeFill="background1" w:themeFillShade="F2"/>
            <w:vAlign w:val="center"/>
          </w:tcPr>
          <w:p w14:paraId="381701EF" w14:textId="77777777" w:rsidR="003D1B66" w:rsidRDefault="003D1B66" w:rsidP="000B46B5">
            <w:pPr>
              <w:bidi/>
              <w:spacing w:after="0" w:line="240" w:lineRule="auto"/>
            </w:pPr>
            <w:r>
              <w:rPr>
                <w:rFonts w:eastAsia="Arial"/>
                <w:sz w:val="21"/>
                <w:rtl/>
              </w:rPr>
              <w:t>←</w:t>
            </w:r>
          </w:p>
        </w:tc>
        <w:tc>
          <w:tcPr>
            <w:tcW w:w="1786" w:type="dxa"/>
            <w:shd w:val="clear" w:color="auto" w:fill="F2F2F2" w:themeFill="background1" w:themeFillShade="F2"/>
            <w:vAlign w:val="center"/>
          </w:tcPr>
          <w:p w14:paraId="65B1F60E" w14:textId="77777777" w:rsidR="003D1B66" w:rsidRDefault="003D1B66" w:rsidP="000B46B5">
            <w:pPr>
              <w:bidi/>
              <w:spacing w:after="0" w:line="240" w:lineRule="auto"/>
            </w:pPr>
            <w:r>
              <w:rPr>
                <w:rFonts w:eastAsia="Arial"/>
                <w:sz w:val="21"/>
                <w:rtl/>
              </w:rPr>
              <w:t>وضوح المعلومات والقرارات</w:t>
            </w:r>
            <w:r>
              <w:rPr>
                <w:rFonts w:eastAsia="Arial"/>
                <w:sz w:val="21"/>
                <w:rtl/>
              </w:rPr>
              <w:br/>
              <w:t>إتاحة مؤشرات الأداء</w:t>
            </w:r>
            <w:r>
              <w:rPr>
                <w:rFonts w:eastAsia="Arial"/>
                <w:sz w:val="21"/>
                <w:rtl/>
              </w:rPr>
              <w:br/>
              <w:t>شفافية الإجراءات</w:t>
            </w:r>
          </w:p>
        </w:tc>
        <w:tc>
          <w:tcPr>
            <w:tcW w:w="1786" w:type="dxa"/>
            <w:shd w:val="clear" w:color="auto" w:fill="F2F2F2" w:themeFill="background1" w:themeFillShade="F2"/>
            <w:vAlign w:val="center"/>
          </w:tcPr>
          <w:p w14:paraId="773954D1" w14:textId="77777777" w:rsidR="003D1B66" w:rsidRDefault="003D1B66" w:rsidP="000B46B5">
            <w:pPr>
              <w:bidi/>
              <w:spacing w:after="0" w:line="240" w:lineRule="auto"/>
            </w:pPr>
            <w:r>
              <w:rPr>
                <w:rFonts w:eastAsia="Arial"/>
                <w:sz w:val="21"/>
                <w:rtl/>
              </w:rPr>
              <w:t>←</w:t>
            </w:r>
          </w:p>
        </w:tc>
        <w:tc>
          <w:tcPr>
            <w:tcW w:w="1786" w:type="dxa"/>
            <w:shd w:val="clear" w:color="auto" w:fill="F2F2F2" w:themeFill="background1" w:themeFillShade="F2"/>
            <w:vAlign w:val="center"/>
          </w:tcPr>
          <w:p w14:paraId="6D77DF0B" w14:textId="77777777" w:rsidR="003D1B66" w:rsidRDefault="003D1B66" w:rsidP="000B46B5">
            <w:pPr>
              <w:bidi/>
              <w:spacing w:after="0" w:line="240" w:lineRule="auto"/>
            </w:pPr>
            <w:r>
              <w:rPr>
                <w:rFonts w:eastAsia="Arial"/>
                <w:sz w:val="21"/>
                <w:rtl/>
              </w:rPr>
              <w:t>سرعة القرار</w:t>
            </w:r>
            <w:r>
              <w:rPr>
                <w:rFonts w:eastAsia="Arial"/>
                <w:sz w:val="21"/>
                <w:rtl/>
              </w:rPr>
              <w:br/>
              <w:t>حسن استخدام الموارد</w:t>
            </w:r>
            <w:r>
              <w:rPr>
                <w:rFonts w:eastAsia="Arial"/>
                <w:sz w:val="21"/>
                <w:rtl/>
              </w:rPr>
              <w:br/>
              <w:t>تقليل الهدر وتحسين العمليات</w:t>
            </w:r>
          </w:p>
        </w:tc>
      </w:tr>
      <w:tr w:rsidR="003D1B66" w14:paraId="52CAB295" w14:textId="77777777" w:rsidTr="000B46B5">
        <w:trPr>
          <w:jc w:val="center"/>
        </w:trPr>
        <w:tc>
          <w:tcPr>
            <w:tcW w:w="1786" w:type="dxa"/>
            <w:shd w:val="clear" w:color="auto" w:fill="F2F2F2" w:themeFill="background1" w:themeFillShade="F2"/>
            <w:vAlign w:val="center"/>
          </w:tcPr>
          <w:p w14:paraId="6C620296" w14:textId="77777777" w:rsidR="003D1B66" w:rsidRDefault="003D1B66" w:rsidP="000B46B5">
            <w:pPr>
              <w:bidi/>
              <w:spacing w:after="0" w:line="240" w:lineRule="auto"/>
            </w:pPr>
            <w:r>
              <w:rPr>
                <w:rFonts w:eastAsia="Arial"/>
                <w:sz w:val="21"/>
                <w:rtl/>
              </w:rPr>
              <w:t>متغير مستقل</w:t>
            </w:r>
          </w:p>
        </w:tc>
        <w:tc>
          <w:tcPr>
            <w:tcW w:w="1786" w:type="dxa"/>
            <w:shd w:val="clear" w:color="auto" w:fill="F2F2F2" w:themeFill="background1" w:themeFillShade="F2"/>
            <w:vAlign w:val="center"/>
          </w:tcPr>
          <w:p w14:paraId="070A2E08" w14:textId="77777777" w:rsidR="003D1B66" w:rsidRDefault="003D1B66" w:rsidP="000B46B5">
            <w:pPr>
              <w:bidi/>
              <w:spacing w:after="0" w:line="240" w:lineRule="auto"/>
            </w:pPr>
          </w:p>
        </w:tc>
        <w:tc>
          <w:tcPr>
            <w:tcW w:w="1786" w:type="dxa"/>
            <w:shd w:val="clear" w:color="auto" w:fill="F2F2F2" w:themeFill="background1" w:themeFillShade="F2"/>
            <w:vAlign w:val="center"/>
          </w:tcPr>
          <w:p w14:paraId="2C948DFF" w14:textId="77777777" w:rsidR="003D1B66" w:rsidRDefault="003D1B66" w:rsidP="000B46B5">
            <w:pPr>
              <w:bidi/>
              <w:spacing w:after="0" w:line="240" w:lineRule="auto"/>
            </w:pPr>
            <w:r>
              <w:rPr>
                <w:rFonts w:eastAsia="Arial"/>
                <w:sz w:val="21"/>
                <w:rtl/>
              </w:rPr>
              <w:t>متغير تابع/وسيط محتمل</w:t>
            </w:r>
          </w:p>
        </w:tc>
        <w:tc>
          <w:tcPr>
            <w:tcW w:w="1786" w:type="dxa"/>
            <w:shd w:val="clear" w:color="auto" w:fill="F2F2F2" w:themeFill="background1" w:themeFillShade="F2"/>
            <w:vAlign w:val="center"/>
          </w:tcPr>
          <w:p w14:paraId="5A18461A" w14:textId="77777777" w:rsidR="003D1B66" w:rsidRDefault="003D1B66" w:rsidP="000B46B5">
            <w:pPr>
              <w:bidi/>
              <w:spacing w:after="0" w:line="240" w:lineRule="auto"/>
            </w:pPr>
          </w:p>
        </w:tc>
        <w:tc>
          <w:tcPr>
            <w:tcW w:w="1786" w:type="dxa"/>
            <w:shd w:val="clear" w:color="auto" w:fill="F2F2F2" w:themeFill="background1" w:themeFillShade="F2"/>
            <w:vAlign w:val="center"/>
          </w:tcPr>
          <w:p w14:paraId="704644CF" w14:textId="77777777" w:rsidR="003D1B66" w:rsidRDefault="003D1B66" w:rsidP="000B46B5">
            <w:pPr>
              <w:bidi/>
              <w:spacing w:after="0" w:line="240" w:lineRule="auto"/>
            </w:pPr>
            <w:r>
              <w:rPr>
                <w:rFonts w:eastAsia="Arial"/>
                <w:sz w:val="21"/>
                <w:rtl/>
              </w:rPr>
              <w:t>متغير تابع</w:t>
            </w:r>
          </w:p>
        </w:tc>
      </w:tr>
    </w:tbl>
    <w:p w14:paraId="4531E1DC" w14:textId="77777777" w:rsidR="003D1B66" w:rsidRDefault="003D1B66" w:rsidP="003D1B66">
      <w:pPr>
        <w:pStyle w:val="1"/>
        <w:bidi/>
        <w:jc w:val="both"/>
      </w:pPr>
      <w:r>
        <w:rPr>
          <w:rFonts w:ascii="Arial" w:eastAsia="Arial" w:hAnsi="Arial" w:cs="Arial"/>
        </w:rPr>
        <w:t>2-4</w:t>
      </w:r>
      <w:r>
        <w:rPr>
          <w:rFonts w:ascii="Arial" w:eastAsia="Arial" w:hAnsi="Arial" w:cs="Arial"/>
          <w:rtl/>
        </w:rPr>
        <w:t xml:space="preserve"> خلاصة الفصل</w:t>
      </w:r>
    </w:p>
    <w:p w14:paraId="25B285B2" w14:textId="77777777" w:rsidR="003D1B66" w:rsidRDefault="003D1B66" w:rsidP="003D1B66">
      <w:pPr>
        <w:bidi/>
        <w:spacing w:after="120" w:line="360" w:lineRule="auto"/>
        <w:ind w:firstLine="397"/>
        <w:jc w:val="both"/>
      </w:pPr>
      <w:r>
        <w:rPr>
          <w:rFonts w:eastAsia="Arial"/>
          <w:rtl/>
        </w:rPr>
        <w:t>عرض الفصل الأسس النظرية للحوكمة الصحية، وبيّن أنها منظومة من القواعد والهياكل والعمليات التي توجه المؤسسة وتحدد توزيع السلطة والمسؤولية وتضمن الرقابة والمساءلة. كما أوضح الفرق بين الحوكمة والإدارة والقيادة، واستعرض مستويات الحوكمة وأنواعها والنظريات التي تفسرها.</w:t>
      </w:r>
    </w:p>
    <w:p w14:paraId="4CBFD029" w14:textId="77777777" w:rsidR="003D1B66" w:rsidRDefault="003D1B66" w:rsidP="003D1B66">
      <w:pPr>
        <w:bidi/>
        <w:spacing w:after="120" w:line="360" w:lineRule="auto"/>
        <w:ind w:firstLine="397"/>
        <w:jc w:val="both"/>
      </w:pPr>
      <w:r>
        <w:rPr>
          <w:rFonts w:eastAsia="Arial"/>
          <w:rtl/>
        </w:rPr>
        <w:t xml:space="preserve">تناول الفصل أبرز الأبعاد والنماذج، وفي مقدمتها إطار منظمة الصحة العالمية، وإطار </w:t>
      </w:r>
      <w:r>
        <w:rPr>
          <w:rFonts w:eastAsia="Arial"/>
        </w:rPr>
        <w:t>Siddiqi</w:t>
      </w:r>
      <w:r>
        <w:rPr>
          <w:rFonts w:eastAsia="Arial"/>
          <w:rtl/>
        </w:rPr>
        <w:t xml:space="preserve">، وإطار </w:t>
      </w:r>
      <w:r>
        <w:rPr>
          <w:rFonts w:eastAsia="Arial"/>
        </w:rPr>
        <w:t>TAPIC</w:t>
      </w:r>
      <w:r>
        <w:rPr>
          <w:rFonts w:eastAsia="Arial"/>
          <w:rtl/>
        </w:rPr>
        <w:t>، والحوكمة السريرية وحوكمة المستشفيات المسؤولة. وأظهر أن الشفافية تتجاوز نشر المعلومات إلى وضوح القرار وقابلية المعلومات للفهم والاستخدام، وأن الكفاءة تعني تحقيق النتائج بأفضل استخدام للموارد مع المحافظة على الجودة والعدالة.</w:t>
      </w:r>
    </w:p>
    <w:p w14:paraId="75A18E35" w14:textId="77777777" w:rsidR="003D1B66" w:rsidRDefault="003D1B66" w:rsidP="003D1B66">
      <w:pPr>
        <w:bidi/>
        <w:spacing w:after="120" w:line="360" w:lineRule="auto"/>
        <w:ind w:firstLine="397"/>
        <w:jc w:val="both"/>
      </w:pPr>
      <w:r>
        <w:rPr>
          <w:rFonts w:eastAsia="Arial"/>
          <w:rtl/>
        </w:rPr>
        <w:lastRenderedPageBreak/>
        <w:t>كما ناقش السياق السعودي والتحول نحو الفصل بين الأدوار التنظيمية والتشغيلية والتجمعات الصحية والرعاية المتكاملة والرقمنة. وخلص التحليل إلى وجود مسارات نظرية واضحة يمكن أن تؤثر من خلالها الحوكمة في الشفافية والكفاءة، مثل وضوح الأدوار، وجودة البيانات، والمساءلة، والتدقيق، والمشاركة، وإدارة المخاطر.</w:t>
      </w:r>
    </w:p>
    <w:p w14:paraId="14C39E61" w14:textId="21498C61" w:rsidR="008A6866" w:rsidRDefault="003D1B66" w:rsidP="003D1B66">
      <w:pPr>
        <w:bidi/>
        <w:spacing w:after="120" w:line="360" w:lineRule="auto"/>
        <w:ind w:firstLine="397"/>
        <w:jc w:val="both"/>
        <w:rPr>
          <w:rFonts w:hint="cs"/>
        </w:rPr>
      </w:pPr>
      <w:r>
        <w:rPr>
          <w:rFonts w:eastAsia="Arial"/>
          <w:rtl/>
        </w:rPr>
        <w:t>وأظهرت مراجعة الدراسات السابقة وجود اهتمام متزايد بالحوكمة والتحول الصحي في المملكة، مع بقاء حاجة إلى دراسة ميدانية تجمع أثر الحوكمة في الشفافية والكفاءة الإدارية على مستوى المؤسسات الصحية. ومن ثم يشكل هذا الفصل أساساً لبناء منهجية الدراسة وأداة القياس واختبار الفرضيات في الفصول اللاحقة</w:t>
      </w:r>
    </w:p>
    <w:sectPr w:rsidR="008A68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6C90F" w14:textId="77777777" w:rsidR="00863050" w:rsidRDefault="003D1B66">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6DD19" w14:textId="77777777" w:rsidR="00863050" w:rsidRDefault="003D1B66">
    <w:pPr>
      <w:pStyle w:val="a6"/>
      <w:jc w:val="center"/>
    </w:pPr>
    <w:r>
      <w:fldChar w:fldCharType="begin"/>
    </w:r>
    <w:r>
      <w:instrText xml:space="preserve"> PAGE </w:instrText>
    </w:r>
    <w:r>
      <w:fldChar w:fldCharType="separate"/>
    </w:r>
    <w:r>
      <w:t>xiv</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FEE6C" w14:textId="77777777" w:rsidR="00863050" w:rsidRDefault="003D1B66">
    <w:pPr>
      <w:pStyle w:val="a6"/>
      <w:jc w:val="center"/>
    </w:pPr>
    <w:r>
      <w:fldChar w:fldCharType="begin"/>
    </w:r>
    <w:r>
      <w:instrText xml:space="preserve"> PAGE </w:instrText>
    </w:r>
    <w:r>
      <w:fldChar w:fldCharType="separate"/>
    </w:r>
    <w:r>
      <w:t>xiv</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DE68254"/>
    <w:lvl w:ilvl="0">
      <w:start w:val="1"/>
      <w:numFmt w:val="decimal"/>
      <w:pStyle w:val="a"/>
      <w:lvlText w:val="%1."/>
      <w:lvlJc w:val="left"/>
      <w:pPr>
        <w:tabs>
          <w:tab w:val="num" w:pos="360"/>
        </w:tabs>
        <w:ind w:left="360" w:hanging="360"/>
      </w:pPr>
    </w:lvl>
  </w:abstractNum>
  <w:abstractNum w:abstractNumId="1" w15:restartNumberingAfterBreak="0">
    <w:nsid w:val="FFFFFF89"/>
    <w:multiLevelType w:val="singleLevel"/>
    <w:tmpl w:val="5828742E"/>
    <w:lvl w:ilvl="0">
      <w:start w:val="1"/>
      <w:numFmt w:val="bullet"/>
      <w:pStyle w:val="a0"/>
      <w:lvlText w:val=""/>
      <w:lvlJc w:val="left"/>
      <w:pPr>
        <w:tabs>
          <w:tab w:val="num" w:pos="360"/>
        </w:tabs>
        <w:ind w:left="360" w:hanging="360"/>
      </w:pPr>
      <w:rPr>
        <w:rFonts w:ascii="Symbol" w:hAnsi="Symbol" w:hint="default"/>
      </w:rPr>
    </w:lvl>
  </w:abstractNum>
  <w:abstractNum w:abstractNumId="2" w15:restartNumberingAfterBreak="0">
    <w:nsid w:val="02D14132"/>
    <w:multiLevelType w:val="hybridMultilevel"/>
    <w:tmpl w:val="A34E9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B54ED9"/>
    <w:multiLevelType w:val="multilevel"/>
    <w:tmpl w:val="2ADED7E2"/>
    <w:lvl w:ilvl="0">
      <w:start w:val="1"/>
      <w:numFmt w:val="decimal"/>
      <w:pStyle w:val="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3D879BC"/>
    <w:multiLevelType w:val="multilevel"/>
    <w:tmpl w:val="CB12E7B0"/>
    <w:lvl w:ilvl="0">
      <w:start w:val="1"/>
      <w:numFmt w:val="decimal"/>
      <w:pStyle w:val="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69037A0"/>
    <w:multiLevelType w:val="multilevel"/>
    <w:tmpl w:val="4262FEF6"/>
    <w:lvl w:ilvl="0">
      <w:start w:val="1"/>
      <w:numFmt w:val="bullet"/>
      <w:pStyle w:val="a0"/>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480E0E0B"/>
    <w:multiLevelType w:val="multilevel"/>
    <w:tmpl w:val="FA8A2F36"/>
    <w:lvl w:ilvl="0">
      <w:start w:val="1"/>
      <w:numFmt w:val="decimal"/>
      <w:pStyle w:val="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496030F6"/>
    <w:multiLevelType w:val="multilevel"/>
    <w:tmpl w:val="F88A81B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C1F0C86"/>
    <w:multiLevelType w:val="hybridMultilevel"/>
    <w:tmpl w:val="3E849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786332"/>
    <w:multiLevelType w:val="hybridMultilevel"/>
    <w:tmpl w:val="9F9815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24302B"/>
    <w:multiLevelType w:val="hybridMultilevel"/>
    <w:tmpl w:val="43742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A83DAC"/>
    <w:multiLevelType w:val="multilevel"/>
    <w:tmpl w:val="85F0D4D0"/>
    <w:lvl w:ilvl="0">
      <w:start w:val="1"/>
      <w:numFmt w:val="bullet"/>
      <w:pStyle w:val="20"/>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748022AF"/>
    <w:multiLevelType w:val="multilevel"/>
    <w:tmpl w:val="97F062C2"/>
    <w:lvl w:ilvl="0">
      <w:start w:val="1"/>
      <w:numFmt w:val="bullet"/>
      <w:pStyle w:val="30"/>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5"/>
  </w:num>
  <w:num w:numId="2">
    <w:abstractNumId w:val="11"/>
  </w:num>
  <w:num w:numId="3">
    <w:abstractNumId w:val="12"/>
  </w:num>
  <w:num w:numId="4">
    <w:abstractNumId w:val="4"/>
  </w:num>
  <w:num w:numId="5">
    <w:abstractNumId w:val="3"/>
  </w:num>
  <w:num w:numId="6">
    <w:abstractNumId w:val="6"/>
  </w:num>
  <w:num w:numId="7">
    <w:abstractNumId w:val="7"/>
  </w:num>
  <w:num w:numId="8">
    <w:abstractNumId w:val="9"/>
  </w:num>
  <w:num w:numId="9">
    <w:abstractNumId w:val="2"/>
  </w:num>
  <w:num w:numId="10">
    <w:abstractNumId w:val="8"/>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B66"/>
    <w:rsid w:val="003D1B66"/>
    <w:rsid w:val="008A68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7E24C"/>
  <w15:chartTrackingRefBased/>
  <w15:docId w15:val="{EB043D75-D968-4A0A-9FEE-F85413163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qFormat="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3D1B66"/>
    <w:pPr>
      <w:suppressAutoHyphens/>
      <w:spacing w:after="200" w:line="276" w:lineRule="auto"/>
    </w:pPr>
    <w:rPr>
      <w:rFonts w:ascii="Arial" w:eastAsiaTheme="minorEastAsia" w:hAnsi="Arial" w:cs="Arial"/>
      <w:sz w:val="28"/>
    </w:rPr>
  </w:style>
  <w:style w:type="paragraph" w:styleId="1">
    <w:name w:val="heading 1"/>
    <w:basedOn w:val="a1"/>
    <w:next w:val="a1"/>
    <w:link w:val="1Char"/>
    <w:uiPriority w:val="9"/>
    <w:qFormat/>
    <w:rsid w:val="003D1B66"/>
    <w:pPr>
      <w:keepNext/>
      <w:keepLines/>
      <w:spacing w:before="480" w:after="0"/>
      <w:outlineLvl w:val="0"/>
    </w:pPr>
    <w:rPr>
      <w:rFonts w:asciiTheme="majorHAnsi" w:eastAsiaTheme="majorEastAsia" w:hAnsiTheme="majorHAnsi" w:cstheme="majorBidi"/>
      <w:b/>
      <w:bCs/>
      <w:color w:val="1F1F1F"/>
      <w:sz w:val="34"/>
      <w:szCs w:val="28"/>
    </w:rPr>
  </w:style>
  <w:style w:type="paragraph" w:styleId="21">
    <w:name w:val="heading 2"/>
    <w:basedOn w:val="a1"/>
    <w:next w:val="a1"/>
    <w:link w:val="2Char"/>
    <w:uiPriority w:val="9"/>
    <w:unhideWhenUsed/>
    <w:qFormat/>
    <w:rsid w:val="003D1B66"/>
    <w:pPr>
      <w:keepNext/>
      <w:keepLines/>
      <w:spacing w:before="200" w:after="0"/>
      <w:outlineLvl w:val="1"/>
    </w:pPr>
    <w:rPr>
      <w:rFonts w:asciiTheme="majorHAnsi" w:eastAsiaTheme="majorEastAsia" w:hAnsiTheme="majorHAnsi" w:cstheme="majorBidi"/>
      <w:b/>
      <w:bCs/>
      <w:color w:val="1F1F1F"/>
      <w:sz w:val="32"/>
      <w:szCs w:val="26"/>
    </w:rPr>
  </w:style>
  <w:style w:type="paragraph" w:styleId="31">
    <w:name w:val="heading 3"/>
    <w:basedOn w:val="a1"/>
    <w:next w:val="a1"/>
    <w:link w:val="3Char"/>
    <w:uiPriority w:val="9"/>
    <w:unhideWhenUsed/>
    <w:qFormat/>
    <w:rsid w:val="003D1B66"/>
    <w:pPr>
      <w:keepNext/>
      <w:keepLines/>
      <w:spacing w:before="200" w:after="0"/>
      <w:outlineLvl w:val="2"/>
    </w:pPr>
    <w:rPr>
      <w:rFonts w:asciiTheme="majorHAnsi" w:eastAsiaTheme="majorEastAsia" w:hAnsiTheme="majorHAnsi" w:cstheme="majorBidi"/>
      <w:b/>
      <w:bCs/>
      <w:color w:val="1F1F1F"/>
      <w:sz w:val="30"/>
    </w:rPr>
  </w:style>
  <w:style w:type="paragraph" w:styleId="4">
    <w:name w:val="heading 4"/>
    <w:basedOn w:val="a1"/>
    <w:next w:val="a1"/>
    <w:link w:val="4Char"/>
    <w:uiPriority w:val="9"/>
    <w:semiHidden/>
    <w:unhideWhenUsed/>
    <w:qFormat/>
    <w:rsid w:val="003D1B66"/>
    <w:pPr>
      <w:keepNext/>
      <w:keepLines/>
      <w:spacing w:before="200" w:after="0"/>
      <w:outlineLvl w:val="3"/>
    </w:pPr>
    <w:rPr>
      <w:rFonts w:asciiTheme="majorHAnsi" w:eastAsiaTheme="majorEastAsia" w:hAnsiTheme="majorHAnsi" w:cstheme="majorBidi"/>
      <w:b/>
      <w:bCs/>
      <w:i/>
      <w:iCs/>
      <w:color w:val="1F1F1F"/>
    </w:rPr>
  </w:style>
  <w:style w:type="paragraph" w:styleId="5">
    <w:name w:val="heading 5"/>
    <w:basedOn w:val="a1"/>
    <w:next w:val="a1"/>
    <w:link w:val="5Char"/>
    <w:uiPriority w:val="9"/>
    <w:semiHidden/>
    <w:unhideWhenUsed/>
    <w:qFormat/>
    <w:rsid w:val="003D1B66"/>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1"/>
    <w:next w:val="a1"/>
    <w:link w:val="6Char"/>
    <w:uiPriority w:val="9"/>
    <w:semiHidden/>
    <w:unhideWhenUsed/>
    <w:qFormat/>
    <w:rsid w:val="003D1B66"/>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7">
    <w:name w:val="heading 7"/>
    <w:basedOn w:val="a1"/>
    <w:next w:val="a1"/>
    <w:link w:val="7Char"/>
    <w:uiPriority w:val="9"/>
    <w:semiHidden/>
    <w:unhideWhenUsed/>
    <w:qFormat/>
    <w:rsid w:val="003D1B6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3D1B66"/>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9">
    <w:name w:val="heading 9"/>
    <w:basedOn w:val="a1"/>
    <w:next w:val="a1"/>
    <w:link w:val="9Char"/>
    <w:uiPriority w:val="9"/>
    <w:semiHidden/>
    <w:unhideWhenUsed/>
    <w:qFormat/>
    <w:rsid w:val="003D1B6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العنوان 1 Char"/>
    <w:basedOn w:val="a2"/>
    <w:link w:val="1"/>
    <w:uiPriority w:val="9"/>
    <w:qFormat/>
    <w:rsid w:val="003D1B66"/>
    <w:rPr>
      <w:rFonts w:asciiTheme="majorHAnsi" w:eastAsiaTheme="majorEastAsia" w:hAnsiTheme="majorHAnsi" w:cstheme="majorBidi"/>
      <w:b/>
      <w:bCs/>
      <w:color w:val="1F1F1F"/>
      <w:sz w:val="34"/>
      <w:szCs w:val="28"/>
    </w:rPr>
  </w:style>
  <w:style w:type="character" w:customStyle="1" w:styleId="2Char">
    <w:name w:val="عنوان 2 Char"/>
    <w:basedOn w:val="a2"/>
    <w:link w:val="21"/>
    <w:uiPriority w:val="9"/>
    <w:qFormat/>
    <w:rsid w:val="003D1B66"/>
    <w:rPr>
      <w:rFonts w:asciiTheme="majorHAnsi" w:eastAsiaTheme="majorEastAsia" w:hAnsiTheme="majorHAnsi" w:cstheme="majorBidi"/>
      <w:b/>
      <w:bCs/>
      <w:color w:val="1F1F1F"/>
      <w:sz w:val="32"/>
      <w:szCs w:val="26"/>
    </w:rPr>
  </w:style>
  <w:style w:type="character" w:customStyle="1" w:styleId="3Char">
    <w:name w:val="عنوان 3 Char"/>
    <w:basedOn w:val="a2"/>
    <w:link w:val="31"/>
    <w:uiPriority w:val="9"/>
    <w:qFormat/>
    <w:rsid w:val="003D1B66"/>
    <w:rPr>
      <w:rFonts w:asciiTheme="majorHAnsi" w:eastAsiaTheme="majorEastAsia" w:hAnsiTheme="majorHAnsi" w:cstheme="majorBidi"/>
      <w:b/>
      <w:bCs/>
      <w:color w:val="1F1F1F"/>
      <w:sz w:val="30"/>
    </w:rPr>
  </w:style>
  <w:style w:type="character" w:customStyle="1" w:styleId="4Char">
    <w:name w:val="عنوان 4 Char"/>
    <w:basedOn w:val="a2"/>
    <w:link w:val="4"/>
    <w:uiPriority w:val="9"/>
    <w:semiHidden/>
    <w:qFormat/>
    <w:rsid w:val="003D1B66"/>
    <w:rPr>
      <w:rFonts w:asciiTheme="majorHAnsi" w:eastAsiaTheme="majorEastAsia" w:hAnsiTheme="majorHAnsi" w:cstheme="majorBidi"/>
      <w:b/>
      <w:bCs/>
      <w:i/>
      <w:iCs/>
      <w:color w:val="1F1F1F"/>
      <w:sz w:val="28"/>
    </w:rPr>
  </w:style>
  <w:style w:type="character" w:customStyle="1" w:styleId="5Char">
    <w:name w:val="عنوان 5 Char"/>
    <w:basedOn w:val="a2"/>
    <w:link w:val="5"/>
    <w:uiPriority w:val="9"/>
    <w:semiHidden/>
    <w:qFormat/>
    <w:rsid w:val="003D1B66"/>
    <w:rPr>
      <w:rFonts w:asciiTheme="majorHAnsi" w:eastAsiaTheme="majorEastAsia" w:hAnsiTheme="majorHAnsi" w:cstheme="majorBidi"/>
      <w:color w:val="1F3763" w:themeColor="accent1" w:themeShade="7F"/>
      <w:sz w:val="28"/>
    </w:rPr>
  </w:style>
  <w:style w:type="character" w:customStyle="1" w:styleId="6Char">
    <w:name w:val="عنوان 6 Char"/>
    <w:basedOn w:val="a2"/>
    <w:link w:val="6"/>
    <w:uiPriority w:val="9"/>
    <w:semiHidden/>
    <w:qFormat/>
    <w:rsid w:val="003D1B66"/>
    <w:rPr>
      <w:rFonts w:asciiTheme="majorHAnsi" w:eastAsiaTheme="majorEastAsia" w:hAnsiTheme="majorHAnsi" w:cstheme="majorBidi"/>
      <w:i/>
      <w:iCs/>
      <w:color w:val="1F3763" w:themeColor="accent1" w:themeShade="7F"/>
      <w:sz w:val="28"/>
    </w:rPr>
  </w:style>
  <w:style w:type="character" w:customStyle="1" w:styleId="7Char">
    <w:name w:val="عنوان 7 Char"/>
    <w:basedOn w:val="a2"/>
    <w:link w:val="7"/>
    <w:uiPriority w:val="9"/>
    <w:semiHidden/>
    <w:qFormat/>
    <w:rsid w:val="003D1B66"/>
    <w:rPr>
      <w:rFonts w:asciiTheme="majorHAnsi" w:eastAsiaTheme="majorEastAsia" w:hAnsiTheme="majorHAnsi" w:cstheme="majorBidi"/>
      <w:i/>
      <w:iCs/>
      <w:color w:val="404040" w:themeColor="text1" w:themeTint="BF"/>
      <w:sz w:val="28"/>
    </w:rPr>
  </w:style>
  <w:style w:type="character" w:customStyle="1" w:styleId="8Char">
    <w:name w:val="عنوان 8 Char"/>
    <w:basedOn w:val="a2"/>
    <w:link w:val="8"/>
    <w:uiPriority w:val="9"/>
    <w:semiHidden/>
    <w:qFormat/>
    <w:rsid w:val="003D1B66"/>
    <w:rPr>
      <w:rFonts w:asciiTheme="majorHAnsi" w:eastAsiaTheme="majorEastAsia" w:hAnsiTheme="majorHAnsi" w:cstheme="majorBidi"/>
      <w:color w:val="4472C4" w:themeColor="accent1"/>
      <w:sz w:val="20"/>
      <w:szCs w:val="20"/>
    </w:rPr>
  </w:style>
  <w:style w:type="character" w:customStyle="1" w:styleId="9Char">
    <w:name w:val="عنوان 9 Char"/>
    <w:basedOn w:val="a2"/>
    <w:link w:val="9"/>
    <w:uiPriority w:val="9"/>
    <w:semiHidden/>
    <w:qFormat/>
    <w:rsid w:val="003D1B66"/>
    <w:rPr>
      <w:rFonts w:asciiTheme="majorHAnsi" w:eastAsiaTheme="majorEastAsia" w:hAnsiTheme="majorHAnsi" w:cstheme="majorBidi"/>
      <w:i/>
      <w:iCs/>
      <w:color w:val="404040" w:themeColor="text1" w:themeTint="BF"/>
      <w:sz w:val="20"/>
      <w:szCs w:val="20"/>
    </w:rPr>
  </w:style>
  <w:style w:type="character" w:customStyle="1" w:styleId="Char">
    <w:name w:val="رأس الصفحة Char"/>
    <w:basedOn w:val="a2"/>
    <w:link w:val="a5"/>
    <w:uiPriority w:val="99"/>
    <w:qFormat/>
    <w:rsid w:val="003D1B66"/>
  </w:style>
  <w:style w:type="character" w:customStyle="1" w:styleId="Char0">
    <w:name w:val="تذييل الصفحة Char"/>
    <w:basedOn w:val="a2"/>
    <w:link w:val="a6"/>
    <w:uiPriority w:val="99"/>
    <w:qFormat/>
    <w:rsid w:val="003D1B66"/>
  </w:style>
  <w:style w:type="character" w:customStyle="1" w:styleId="Char1">
    <w:name w:val="العنوان Char"/>
    <w:basedOn w:val="a2"/>
    <w:link w:val="a7"/>
    <w:uiPriority w:val="10"/>
    <w:qFormat/>
    <w:rsid w:val="003D1B66"/>
    <w:rPr>
      <w:rFonts w:asciiTheme="majorHAnsi" w:eastAsiaTheme="majorEastAsia" w:hAnsiTheme="majorHAnsi" w:cstheme="majorBidi"/>
      <w:color w:val="323E4F" w:themeColor="text2" w:themeShade="BF"/>
      <w:spacing w:val="5"/>
      <w:kern w:val="2"/>
      <w:sz w:val="52"/>
      <w:szCs w:val="52"/>
    </w:rPr>
  </w:style>
  <w:style w:type="character" w:customStyle="1" w:styleId="Char2">
    <w:name w:val="عنوان فرعي Char"/>
    <w:basedOn w:val="a2"/>
    <w:link w:val="a8"/>
    <w:uiPriority w:val="11"/>
    <w:qFormat/>
    <w:rsid w:val="003D1B66"/>
    <w:rPr>
      <w:rFonts w:asciiTheme="majorHAnsi" w:eastAsiaTheme="majorEastAsia" w:hAnsiTheme="majorHAnsi" w:cstheme="majorBidi"/>
      <w:i/>
      <w:iCs/>
      <w:color w:val="4472C4" w:themeColor="accent1"/>
      <w:spacing w:val="15"/>
      <w:sz w:val="24"/>
      <w:szCs w:val="24"/>
    </w:rPr>
  </w:style>
  <w:style w:type="character" w:customStyle="1" w:styleId="Char3">
    <w:name w:val="نص أساسي Char"/>
    <w:basedOn w:val="a2"/>
    <w:link w:val="a9"/>
    <w:uiPriority w:val="99"/>
    <w:qFormat/>
    <w:rsid w:val="003D1B66"/>
  </w:style>
  <w:style w:type="character" w:customStyle="1" w:styleId="2Char0">
    <w:name w:val="نص أساسي 2 Char"/>
    <w:basedOn w:val="a2"/>
    <w:link w:val="22"/>
    <w:uiPriority w:val="99"/>
    <w:qFormat/>
    <w:rsid w:val="003D1B66"/>
  </w:style>
  <w:style w:type="character" w:customStyle="1" w:styleId="3Char0">
    <w:name w:val="نص أساسي 3 Char"/>
    <w:basedOn w:val="a2"/>
    <w:link w:val="32"/>
    <w:uiPriority w:val="99"/>
    <w:qFormat/>
    <w:rsid w:val="003D1B66"/>
    <w:rPr>
      <w:sz w:val="16"/>
      <w:szCs w:val="16"/>
    </w:rPr>
  </w:style>
  <w:style w:type="character" w:customStyle="1" w:styleId="Char4">
    <w:name w:val="نص ماكرو Char"/>
    <w:basedOn w:val="a2"/>
    <w:link w:val="aa"/>
    <w:uiPriority w:val="99"/>
    <w:qFormat/>
    <w:rsid w:val="003D1B66"/>
    <w:rPr>
      <w:rFonts w:ascii="Courier" w:hAnsi="Courier"/>
      <w:sz w:val="20"/>
      <w:szCs w:val="20"/>
    </w:rPr>
  </w:style>
  <w:style w:type="character" w:customStyle="1" w:styleId="Char5">
    <w:name w:val="اقتباس Char"/>
    <w:basedOn w:val="a2"/>
    <w:link w:val="ab"/>
    <w:uiPriority w:val="29"/>
    <w:qFormat/>
    <w:rsid w:val="003D1B66"/>
    <w:rPr>
      <w:i/>
      <w:iCs/>
      <w:color w:val="000000" w:themeColor="text1"/>
    </w:rPr>
  </w:style>
  <w:style w:type="character" w:styleId="ac">
    <w:name w:val="Strong"/>
    <w:basedOn w:val="a2"/>
    <w:uiPriority w:val="22"/>
    <w:qFormat/>
    <w:rsid w:val="003D1B66"/>
    <w:rPr>
      <w:b/>
      <w:bCs/>
    </w:rPr>
  </w:style>
  <w:style w:type="character" w:styleId="ad">
    <w:name w:val="Emphasis"/>
    <w:basedOn w:val="a2"/>
    <w:uiPriority w:val="20"/>
    <w:qFormat/>
    <w:rsid w:val="003D1B66"/>
    <w:rPr>
      <w:i/>
      <w:iCs/>
    </w:rPr>
  </w:style>
  <w:style w:type="character" w:customStyle="1" w:styleId="Char6">
    <w:name w:val="اقتباس مكثف Char"/>
    <w:basedOn w:val="a2"/>
    <w:link w:val="ae"/>
    <w:uiPriority w:val="30"/>
    <w:qFormat/>
    <w:rsid w:val="003D1B66"/>
    <w:rPr>
      <w:b/>
      <w:bCs/>
      <w:i/>
      <w:iCs/>
      <w:color w:val="4472C4" w:themeColor="accent1"/>
    </w:rPr>
  </w:style>
  <w:style w:type="character" w:styleId="af">
    <w:name w:val="Subtle Emphasis"/>
    <w:basedOn w:val="a2"/>
    <w:uiPriority w:val="19"/>
    <w:qFormat/>
    <w:rsid w:val="003D1B66"/>
    <w:rPr>
      <w:i/>
      <w:iCs/>
      <w:color w:val="808080" w:themeColor="text1" w:themeTint="7F"/>
    </w:rPr>
  </w:style>
  <w:style w:type="character" w:styleId="af0">
    <w:name w:val="Intense Emphasis"/>
    <w:basedOn w:val="a2"/>
    <w:uiPriority w:val="21"/>
    <w:qFormat/>
    <w:rsid w:val="003D1B66"/>
    <w:rPr>
      <w:b/>
      <w:bCs/>
      <w:i/>
      <w:iCs/>
      <w:color w:val="4472C4" w:themeColor="accent1"/>
    </w:rPr>
  </w:style>
  <w:style w:type="character" w:styleId="af1">
    <w:name w:val="Subtle Reference"/>
    <w:basedOn w:val="a2"/>
    <w:uiPriority w:val="31"/>
    <w:qFormat/>
    <w:rsid w:val="003D1B66"/>
    <w:rPr>
      <w:smallCaps/>
      <w:color w:val="ED7D31" w:themeColor="accent2"/>
      <w:u w:val="single"/>
    </w:rPr>
  </w:style>
  <w:style w:type="character" w:styleId="af2">
    <w:name w:val="Intense Reference"/>
    <w:basedOn w:val="a2"/>
    <w:uiPriority w:val="32"/>
    <w:qFormat/>
    <w:rsid w:val="003D1B66"/>
    <w:rPr>
      <w:b/>
      <w:bCs/>
      <w:smallCaps/>
      <w:color w:val="ED7D31" w:themeColor="accent2"/>
      <w:spacing w:val="5"/>
      <w:u w:val="single"/>
    </w:rPr>
  </w:style>
  <w:style w:type="character" w:styleId="af3">
    <w:name w:val="Book Title"/>
    <w:basedOn w:val="a2"/>
    <w:uiPriority w:val="33"/>
    <w:qFormat/>
    <w:rsid w:val="003D1B66"/>
    <w:rPr>
      <w:b/>
      <w:bCs/>
      <w:smallCaps/>
      <w:spacing w:val="5"/>
    </w:rPr>
  </w:style>
  <w:style w:type="paragraph" w:customStyle="1" w:styleId="Heading">
    <w:name w:val="Heading"/>
    <w:basedOn w:val="a1"/>
    <w:next w:val="a9"/>
    <w:qFormat/>
    <w:rsid w:val="003D1B66"/>
    <w:pPr>
      <w:keepNext/>
      <w:spacing w:before="240" w:after="120"/>
    </w:pPr>
    <w:rPr>
      <w:rFonts w:ascii="Liberation Sans" w:eastAsia="Noto Sans CJK SC" w:hAnsi="Liberation Sans" w:cs="Lohit Devanagari"/>
      <w:szCs w:val="28"/>
    </w:rPr>
  </w:style>
  <w:style w:type="paragraph" w:styleId="a9">
    <w:name w:val="Body Text"/>
    <w:basedOn w:val="a1"/>
    <w:link w:val="Char3"/>
    <w:uiPriority w:val="99"/>
    <w:unhideWhenUsed/>
    <w:rsid w:val="003D1B66"/>
    <w:pPr>
      <w:spacing w:after="120"/>
    </w:pPr>
    <w:rPr>
      <w:rFonts w:asciiTheme="minorHAnsi" w:eastAsiaTheme="minorHAnsi" w:hAnsiTheme="minorHAnsi" w:cstheme="minorBidi"/>
      <w:sz w:val="22"/>
    </w:rPr>
  </w:style>
  <w:style w:type="character" w:customStyle="1" w:styleId="Char10">
    <w:name w:val="نص أساسي Char1"/>
    <w:basedOn w:val="a2"/>
    <w:uiPriority w:val="99"/>
    <w:semiHidden/>
    <w:rsid w:val="003D1B66"/>
    <w:rPr>
      <w:rFonts w:ascii="Arial" w:eastAsiaTheme="minorEastAsia" w:hAnsi="Arial" w:cs="Arial"/>
      <w:sz w:val="28"/>
    </w:rPr>
  </w:style>
  <w:style w:type="paragraph" w:styleId="af4">
    <w:name w:val="List"/>
    <w:basedOn w:val="a1"/>
    <w:uiPriority w:val="99"/>
    <w:unhideWhenUsed/>
    <w:rsid w:val="003D1B66"/>
    <w:pPr>
      <w:ind w:left="360" w:hanging="360"/>
      <w:contextualSpacing/>
    </w:pPr>
  </w:style>
  <w:style w:type="paragraph" w:styleId="af5">
    <w:name w:val="caption"/>
    <w:basedOn w:val="a1"/>
    <w:next w:val="a1"/>
    <w:uiPriority w:val="35"/>
    <w:semiHidden/>
    <w:unhideWhenUsed/>
    <w:qFormat/>
    <w:rsid w:val="003D1B66"/>
    <w:pPr>
      <w:spacing w:line="240" w:lineRule="auto"/>
    </w:pPr>
    <w:rPr>
      <w:b/>
      <w:bCs/>
      <w:color w:val="4472C4" w:themeColor="accent1"/>
      <w:sz w:val="18"/>
      <w:szCs w:val="18"/>
    </w:rPr>
  </w:style>
  <w:style w:type="paragraph" w:customStyle="1" w:styleId="Index">
    <w:name w:val="Index"/>
    <w:basedOn w:val="a1"/>
    <w:qFormat/>
    <w:rsid w:val="003D1B66"/>
    <w:pPr>
      <w:suppressLineNumbers/>
    </w:pPr>
    <w:rPr>
      <w:rFonts w:cs="Lohit Devanagari"/>
    </w:rPr>
  </w:style>
  <w:style w:type="paragraph" w:customStyle="1" w:styleId="HeaderandFooter">
    <w:name w:val="Header and Footer"/>
    <w:basedOn w:val="a1"/>
    <w:qFormat/>
    <w:rsid w:val="003D1B66"/>
  </w:style>
  <w:style w:type="paragraph" w:styleId="a5">
    <w:name w:val="header"/>
    <w:basedOn w:val="a1"/>
    <w:link w:val="Char"/>
    <w:uiPriority w:val="99"/>
    <w:unhideWhenUsed/>
    <w:rsid w:val="003D1B66"/>
    <w:pPr>
      <w:tabs>
        <w:tab w:val="center" w:pos="4680"/>
        <w:tab w:val="right" w:pos="9360"/>
      </w:tabs>
      <w:spacing w:after="0" w:line="240" w:lineRule="auto"/>
    </w:pPr>
    <w:rPr>
      <w:rFonts w:asciiTheme="minorHAnsi" w:eastAsiaTheme="minorHAnsi" w:hAnsiTheme="minorHAnsi" w:cstheme="minorBidi"/>
      <w:sz w:val="22"/>
    </w:rPr>
  </w:style>
  <w:style w:type="character" w:customStyle="1" w:styleId="Char11">
    <w:name w:val="رأس الصفحة Char1"/>
    <w:basedOn w:val="a2"/>
    <w:uiPriority w:val="99"/>
    <w:semiHidden/>
    <w:rsid w:val="003D1B66"/>
    <w:rPr>
      <w:rFonts w:ascii="Arial" w:eastAsiaTheme="minorEastAsia" w:hAnsi="Arial" w:cs="Arial"/>
      <w:sz w:val="28"/>
    </w:rPr>
  </w:style>
  <w:style w:type="paragraph" w:styleId="a6">
    <w:name w:val="footer"/>
    <w:basedOn w:val="a1"/>
    <w:link w:val="Char0"/>
    <w:uiPriority w:val="99"/>
    <w:unhideWhenUsed/>
    <w:rsid w:val="003D1B66"/>
    <w:pPr>
      <w:tabs>
        <w:tab w:val="center" w:pos="4680"/>
        <w:tab w:val="right" w:pos="9360"/>
      </w:tabs>
      <w:spacing w:after="0" w:line="240" w:lineRule="auto"/>
    </w:pPr>
    <w:rPr>
      <w:rFonts w:asciiTheme="minorHAnsi" w:eastAsiaTheme="minorHAnsi" w:hAnsiTheme="minorHAnsi" w:cstheme="minorBidi"/>
      <w:sz w:val="22"/>
    </w:rPr>
  </w:style>
  <w:style w:type="character" w:customStyle="1" w:styleId="Char12">
    <w:name w:val="تذييل الصفحة Char1"/>
    <w:basedOn w:val="a2"/>
    <w:uiPriority w:val="99"/>
    <w:semiHidden/>
    <w:rsid w:val="003D1B66"/>
    <w:rPr>
      <w:rFonts w:ascii="Arial" w:eastAsiaTheme="minorEastAsia" w:hAnsi="Arial" w:cs="Arial"/>
      <w:sz w:val="28"/>
    </w:rPr>
  </w:style>
  <w:style w:type="paragraph" w:styleId="af6">
    <w:name w:val="No Spacing"/>
    <w:uiPriority w:val="1"/>
    <w:qFormat/>
    <w:rsid w:val="003D1B66"/>
    <w:pPr>
      <w:suppressAutoHyphens/>
      <w:spacing w:after="0" w:line="240" w:lineRule="auto"/>
    </w:pPr>
    <w:rPr>
      <w:rFonts w:eastAsiaTheme="minorEastAsia"/>
    </w:rPr>
  </w:style>
  <w:style w:type="paragraph" w:styleId="a7">
    <w:name w:val="Title"/>
    <w:basedOn w:val="a1"/>
    <w:next w:val="a1"/>
    <w:link w:val="Char1"/>
    <w:uiPriority w:val="10"/>
    <w:qFormat/>
    <w:rsid w:val="003D1B66"/>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
      <w:sz w:val="52"/>
      <w:szCs w:val="52"/>
    </w:rPr>
  </w:style>
  <w:style w:type="character" w:customStyle="1" w:styleId="Char13">
    <w:name w:val="العنوان Char1"/>
    <w:basedOn w:val="a2"/>
    <w:uiPriority w:val="10"/>
    <w:rsid w:val="003D1B66"/>
    <w:rPr>
      <w:rFonts w:asciiTheme="majorHAnsi" w:eastAsiaTheme="majorEastAsia" w:hAnsiTheme="majorHAnsi" w:cstheme="majorBidi"/>
      <w:spacing w:val="-10"/>
      <w:kern w:val="28"/>
      <w:sz w:val="56"/>
      <w:szCs w:val="56"/>
    </w:rPr>
  </w:style>
  <w:style w:type="paragraph" w:styleId="a8">
    <w:name w:val="Subtitle"/>
    <w:basedOn w:val="a1"/>
    <w:next w:val="a1"/>
    <w:link w:val="Char2"/>
    <w:uiPriority w:val="11"/>
    <w:qFormat/>
    <w:rsid w:val="003D1B66"/>
    <w:rPr>
      <w:rFonts w:asciiTheme="majorHAnsi" w:eastAsiaTheme="majorEastAsia" w:hAnsiTheme="majorHAnsi" w:cstheme="majorBidi"/>
      <w:i/>
      <w:iCs/>
      <w:color w:val="4472C4" w:themeColor="accent1"/>
      <w:spacing w:val="15"/>
      <w:sz w:val="24"/>
      <w:szCs w:val="24"/>
    </w:rPr>
  </w:style>
  <w:style w:type="character" w:customStyle="1" w:styleId="Char14">
    <w:name w:val="عنوان فرعي Char1"/>
    <w:basedOn w:val="a2"/>
    <w:uiPriority w:val="11"/>
    <w:rsid w:val="003D1B66"/>
    <w:rPr>
      <w:rFonts w:eastAsiaTheme="minorEastAsia"/>
      <w:color w:val="5A5A5A" w:themeColor="text1" w:themeTint="A5"/>
      <w:spacing w:val="15"/>
    </w:rPr>
  </w:style>
  <w:style w:type="paragraph" w:styleId="af7">
    <w:name w:val="List Paragraph"/>
    <w:basedOn w:val="a1"/>
    <w:uiPriority w:val="34"/>
    <w:qFormat/>
    <w:rsid w:val="003D1B66"/>
    <w:pPr>
      <w:ind w:left="720"/>
      <w:contextualSpacing/>
    </w:pPr>
  </w:style>
  <w:style w:type="paragraph" w:styleId="22">
    <w:name w:val="Body Text 2"/>
    <w:basedOn w:val="a1"/>
    <w:link w:val="2Char0"/>
    <w:uiPriority w:val="99"/>
    <w:unhideWhenUsed/>
    <w:qFormat/>
    <w:rsid w:val="003D1B66"/>
    <w:pPr>
      <w:spacing w:after="120" w:line="480" w:lineRule="auto"/>
    </w:pPr>
    <w:rPr>
      <w:rFonts w:asciiTheme="minorHAnsi" w:eastAsiaTheme="minorHAnsi" w:hAnsiTheme="minorHAnsi" w:cstheme="minorBidi"/>
      <w:sz w:val="22"/>
    </w:rPr>
  </w:style>
  <w:style w:type="character" w:customStyle="1" w:styleId="2Char1">
    <w:name w:val="نص أساسي 2 Char1"/>
    <w:basedOn w:val="a2"/>
    <w:uiPriority w:val="99"/>
    <w:semiHidden/>
    <w:rsid w:val="003D1B66"/>
    <w:rPr>
      <w:rFonts w:ascii="Arial" w:eastAsiaTheme="minorEastAsia" w:hAnsi="Arial" w:cs="Arial"/>
      <w:sz w:val="28"/>
    </w:rPr>
  </w:style>
  <w:style w:type="paragraph" w:styleId="32">
    <w:name w:val="Body Text 3"/>
    <w:basedOn w:val="a1"/>
    <w:link w:val="3Char0"/>
    <w:uiPriority w:val="99"/>
    <w:unhideWhenUsed/>
    <w:qFormat/>
    <w:rsid w:val="003D1B66"/>
    <w:pPr>
      <w:spacing w:after="120"/>
    </w:pPr>
    <w:rPr>
      <w:rFonts w:asciiTheme="minorHAnsi" w:eastAsiaTheme="minorHAnsi" w:hAnsiTheme="minorHAnsi" w:cstheme="minorBidi"/>
      <w:sz w:val="16"/>
      <w:szCs w:val="16"/>
    </w:rPr>
  </w:style>
  <w:style w:type="character" w:customStyle="1" w:styleId="3Char1">
    <w:name w:val="نص أساسي 3 Char1"/>
    <w:basedOn w:val="a2"/>
    <w:uiPriority w:val="99"/>
    <w:semiHidden/>
    <w:rsid w:val="003D1B66"/>
    <w:rPr>
      <w:rFonts w:ascii="Arial" w:eastAsiaTheme="minorEastAsia" w:hAnsi="Arial" w:cs="Arial"/>
      <w:sz w:val="16"/>
      <w:szCs w:val="16"/>
    </w:rPr>
  </w:style>
  <w:style w:type="paragraph" w:styleId="23">
    <w:name w:val="List 2"/>
    <w:basedOn w:val="a1"/>
    <w:uiPriority w:val="99"/>
    <w:unhideWhenUsed/>
    <w:qFormat/>
    <w:rsid w:val="003D1B66"/>
    <w:pPr>
      <w:ind w:left="720" w:hanging="360"/>
      <w:contextualSpacing/>
    </w:pPr>
  </w:style>
  <w:style w:type="paragraph" w:styleId="33">
    <w:name w:val="List 3"/>
    <w:basedOn w:val="a1"/>
    <w:uiPriority w:val="99"/>
    <w:unhideWhenUsed/>
    <w:qFormat/>
    <w:rsid w:val="003D1B66"/>
    <w:pPr>
      <w:ind w:left="1080" w:hanging="360"/>
      <w:contextualSpacing/>
    </w:pPr>
  </w:style>
  <w:style w:type="paragraph" w:styleId="a0">
    <w:name w:val="List Bullet"/>
    <w:basedOn w:val="a1"/>
    <w:uiPriority w:val="99"/>
    <w:unhideWhenUsed/>
    <w:rsid w:val="003D1B66"/>
    <w:pPr>
      <w:numPr>
        <w:numId w:val="12"/>
      </w:numPr>
      <w:contextualSpacing/>
    </w:pPr>
  </w:style>
  <w:style w:type="paragraph" w:styleId="20">
    <w:name w:val="List Bullet 2"/>
    <w:basedOn w:val="a1"/>
    <w:uiPriority w:val="99"/>
    <w:unhideWhenUsed/>
    <w:rsid w:val="003D1B66"/>
    <w:pPr>
      <w:numPr>
        <w:numId w:val="2"/>
      </w:numPr>
      <w:contextualSpacing/>
    </w:pPr>
  </w:style>
  <w:style w:type="paragraph" w:styleId="30">
    <w:name w:val="List Bullet 3"/>
    <w:basedOn w:val="a1"/>
    <w:uiPriority w:val="99"/>
    <w:unhideWhenUsed/>
    <w:rsid w:val="003D1B66"/>
    <w:pPr>
      <w:numPr>
        <w:numId w:val="3"/>
      </w:numPr>
      <w:contextualSpacing/>
    </w:pPr>
  </w:style>
  <w:style w:type="paragraph" w:styleId="a">
    <w:name w:val="List Number"/>
    <w:basedOn w:val="a1"/>
    <w:uiPriority w:val="99"/>
    <w:unhideWhenUsed/>
    <w:rsid w:val="003D1B66"/>
    <w:pPr>
      <w:numPr>
        <w:numId w:val="13"/>
      </w:numPr>
      <w:contextualSpacing/>
    </w:pPr>
  </w:style>
  <w:style w:type="paragraph" w:styleId="2">
    <w:name w:val="List Number 2"/>
    <w:basedOn w:val="a1"/>
    <w:uiPriority w:val="99"/>
    <w:unhideWhenUsed/>
    <w:rsid w:val="003D1B66"/>
    <w:pPr>
      <w:numPr>
        <w:numId w:val="5"/>
      </w:numPr>
      <w:contextualSpacing/>
    </w:pPr>
  </w:style>
  <w:style w:type="paragraph" w:styleId="3">
    <w:name w:val="List Number 3"/>
    <w:basedOn w:val="a1"/>
    <w:uiPriority w:val="99"/>
    <w:unhideWhenUsed/>
    <w:rsid w:val="003D1B66"/>
    <w:pPr>
      <w:numPr>
        <w:numId w:val="6"/>
      </w:numPr>
      <w:contextualSpacing/>
    </w:pPr>
  </w:style>
  <w:style w:type="paragraph" w:styleId="af8">
    <w:name w:val="List Continue"/>
    <w:basedOn w:val="a1"/>
    <w:uiPriority w:val="99"/>
    <w:unhideWhenUsed/>
    <w:rsid w:val="003D1B66"/>
    <w:pPr>
      <w:spacing w:after="120"/>
      <w:ind w:left="360"/>
      <w:contextualSpacing/>
    </w:pPr>
  </w:style>
  <w:style w:type="paragraph" w:styleId="24">
    <w:name w:val="List Continue 2"/>
    <w:basedOn w:val="a1"/>
    <w:uiPriority w:val="99"/>
    <w:unhideWhenUsed/>
    <w:rsid w:val="003D1B66"/>
    <w:pPr>
      <w:spacing w:after="120"/>
      <w:ind w:left="720"/>
      <w:contextualSpacing/>
    </w:pPr>
  </w:style>
  <w:style w:type="paragraph" w:styleId="34">
    <w:name w:val="List Continue 3"/>
    <w:basedOn w:val="a1"/>
    <w:uiPriority w:val="99"/>
    <w:unhideWhenUsed/>
    <w:rsid w:val="003D1B66"/>
    <w:pPr>
      <w:spacing w:after="120"/>
      <w:ind w:left="1080"/>
      <w:contextualSpacing/>
    </w:pPr>
  </w:style>
  <w:style w:type="paragraph" w:styleId="aa">
    <w:name w:val="macro"/>
    <w:link w:val="Char4"/>
    <w:uiPriority w:val="99"/>
    <w:unhideWhenUsed/>
    <w:qFormat/>
    <w:rsid w:val="003D1B66"/>
    <w:pPr>
      <w:tabs>
        <w:tab w:val="left" w:pos="576"/>
        <w:tab w:val="left" w:pos="1152"/>
        <w:tab w:val="left" w:pos="1728"/>
        <w:tab w:val="left" w:pos="2304"/>
        <w:tab w:val="left" w:pos="2880"/>
        <w:tab w:val="left" w:pos="3456"/>
        <w:tab w:val="left" w:pos="4032"/>
      </w:tabs>
      <w:suppressAutoHyphens/>
      <w:spacing w:after="200" w:line="276" w:lineRule="auto"/>
    </w:pPr>
    <w:rPr>
      <w:rFonts w:ascii="Courier" w:hAnsi="Courier"/>
      <w:sz w:val="20"/>
      <w:szCs w:val="20"/>
    </w:rPr>
  </w:style>
  <w:style w:type="character" w:customStyle="1" w:styleId="Char15">
    <w:name w:val="نص ماكرو Char1"/>
    <w:basedOn w:val="a2"/>
    <w:uiPriority w:val="99"/>
    <w:semiHidden/>
    <w:rsid w:val="003D1B66"/>
    <w:rPr>
      <w:rFonts w:ascii="Consolas" w:eastAsiaTheme="minorEastAsia" w:hAnsi="Consolas" w:cs="Arial"/>
      <w:sz w:val="20"/>
      <w:szCs w:val="20"/>
    </w:rPr>
  </w:style>
  <w:style w:type="paragraph" w:styleId="ab">
    <w:name w:val="Quote"/>
    <w:basedOn w:val="a1"/>
    <w:next w:val="a1"/>
    <w:link w:val="Char5"/>
    <w:uiPriority w:val="29"/>
    <w:qFormat/>
    <w:rsid w:val="003D1B66"/>
    <w:rPr>
      <w:rFonts w:asciiTheme="minorHAnsi" w:eastAsiaTheme="minorHAnsi" w:hAnsiTheme="minorHAnsi" w:cstheme="minorBidi"/>
      <w:i/>
      <w:iCs/>
      <w:color w:val="000000" w:themeColor="text1"/>
      <w:sz w:val="22"/>
    </w:rPr>
  </w:style>
  <w:style w:type="character" w:customStyle="1" w:styleId="Char16">
    <w:name w:val="اقتباس Char1"/>
    <w:basedOn w:val="a2"/>
    <w:uiPriority w:val="29"/>
    <w:rsid w:val="003D1B66"/>
    <w:rPr>
      <w:rFonts w:ascii="Arial" w:eastAsiaTheme="minorEastAsia" w:hAnsi="Arial" w:cs="Arial"/>
      <w:i/>
      <w:iCs/>
      <w:color w:val="404040" w:themeColor="text1" w:themeTint="BF"/>
      <w:sz w:val="28"/>
    </w:rPr>
  </w:style>
  <w:style w:type="paragraph" w:styleId="ae">
    <w:name w:val="Intense Quote"/>
    <w:basedOn w:val="a1"/>
    <w:next w:val="a1"/>
    <w:link w:val="Char6"/>
    <w:uiPriority w:val="30"/>
    <w:qFormat/>
    <w:rsid w:val="003D1B66"/>
    <w:pPr>
      <w:pBdr>
        <w:bottom w:val="single" w:sz="4" w:space="4" w:color="4472C4" w:themeColor="accent1"/>
      </w:pBdr>
      <w:spacing w:before="200" w:after="280"/>
      <w:ind w:left="936" w:right="936"/>
    </w:pPr>
    <w:rPr>
      <w:rFonts w:asciiTheme="minorHAnsi" w:eastAsiaTheme="minorHAnsi" w:hAnsiTheme="minorHAnsi" w:cstheme="minorBidi"/>
      <w:b/>
      <w:bCs/>
      <w:i/>
      <w:iCs/>
      <w:color w:val="4472C4" w:themeColor="accent1"/>
      <w:sz w:val="22"/>
    </w:rPr>
  </w:style>
  <w:style w:type="character" w:customStyle="1" w:styleId="Char17">
    <w:name w:val="اقتباس مكثف Char1"/>
    <w:basedOn w:val="a2"/>
    <w:uiPriority w:val="30"/>
    <w:rsid w:val="003D1B66"/>
    <w:rPr>
      <w:rFonts w:ascii="Arial" w:eastAsiaTheme="minorEastAsia" w:hAnsi="Arial" w:cs="Arial"/>
      <w:i/>
      <w:iCs/>
      <w:color w:val="4472C4" w:themeColor="accent1"/>
      <w:sz w:val="28"/>
    </w:rPr>
  </w:style>
  <w:style w:type="paragraph" w:styleId="Index1">
    <w:name w:val="index 1"/>
    <w:basedOn w:val="a1"/>
    <w:next w:val="a1"/>
    <w:autoRedefine/>
    <w:uiPriority w:val="99"/>
    <w:semiHidden/>
    <w:unhideWhenUsed/>
    <w:rsid w:val="003D1B66"/>
    <w:pPr>
      <w:spacing w:after="0" w:line="240" w:lineRule="auto"/>
      <w:ind w:left="280" w:hanging="280"/>
    </w:pPr>
  </w:style>
  <w:style w:type="paragraph" w:styleId="af9">
    <w:name w:val="index heading"/>
    <w:basedOn w:val="Heading"/>
    <w:rsid w:val="003D1B66"/>
  </w:style>
  <w:style w:type="paragraph" w:styleId="afa">
    <w:name w:val="TOC Heading"/>
    <w:basedOn w:val="1"/>
    <w:next w:val="a1"/>
    <w:uiPriority w:val="39"/>
    <w:semiHidden/>
    <w:unhideWhenUsed/>
    <w:qFormat/>
    <w:rsid w:val="003D1B66"/>
    <w:pPr>
      <w:outlineLvl w:val="9"/>
    </w:pPr>
  </w:style>
  <w:style w:type="paragraph" w:customStyle="1" w:styleId="ArabicTitle">
    <w:name w:val="Arabic Title"/>
    <w:qFormat/>
    <w:rsid w:val="003D1B66"/>
    <w:pPr>
      <w:suppressAutoHyphens/>
      <w:spacing w:after="200" w:line="276" w:lineRule="auto"/>
    </w:pPr>
    <w:rPr>
      <w:rFonts w:ascii="Arial" w:eastAsiaTheme="minorEastAsia" w:hAnsi="Arial" w:cs="Arial"/>
      <w:b/>
      <w:sz w:val="44"/>
    </w:rPr>
  </w:style>
  <w:style w:type="table" w:styleId="afb">
    <w:name w:val="Table Grid"/>
    <w:basedOn w:val="a3"/>
    <w:uiPriority w:val="59"/>
    <w:rsid w:val="003D1B66"/>
    <w:pPr>
      <w:suppressAutoHyphens/>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Light Shading"/>
    <w:basedOn w:val="a3"/>
    <w:uiPriority w:val="60"/>
    <w:rsid w:val="003D1B66"/>
    <w:pPr>
      <w:suppressAutoHyphens/>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3D1B66"/>
    <w:pPr>
      <w:suppressAutoHyphens/>
      <w:spacing w:after="0" w:line="240" w:lineRule="auto"/>
    </w:pPr>
    <w:rPr>
      <w:rFonts w:eastAsiaTheme="minorEastAsia"/>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2">
    <w:name w:val="Light Shading Accent 2"/>
    <w:basedOn w:val="a3"/>
    <w:uiPriority w:val="60"/>
    <w:rsid w:val="003D1B66"/>
    <w:pPr>
      <w:suppressAutoHyphens/>
      <w:spacing w:after="0" w:line="240" w:lineRule="auto"/>
    </w:pPr>
    <w:rPr>
      <w:rFonts w:eastAsiaTheme="minorEastAsia"/>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
    <w:name w:val="Light Shading Accent 3"/>
    <w:basedOn w:val="a3"/>
    <w:uiPriority w:val="60"/>
    <w:rsid w:val="003D1B66"/>
    <w:pPr>
      <w:suppressAutoHyphens/>
      <w:spacing w:after="0" w:line="240" w:lineRule="auto"/>
    </w:pPr>
    <w:rPr>
      <w:rFonts w:eastAsiaTheme="minorEastAsia"/>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
    <w:name w:val="Light Shading Accent 4"/>
    <w:basedOn w:val="a3"/>
    <w:uiPriority w:val="60"/>
    <w:rsid w:val="003D1B66"/>
    <w:pPr>
      <w:suppressAutoHyphens/>
      <w:spacing w:after="0" w:line="240" w:lineRule="auto"/>
    </w:pPr>
    <w:rPr>
      <w:rFonts w:eastAsiaTheme="minorEastAsia"/>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
    <w:name w:val="Light Shading Accent 5"/>
    <w:basedOn w:val="a3"/>
    <w:uiPriority w:val="60"/>
    <w:rsid w:val="003D1B66"/>
    <w:pPr>
      <w:suppressAutoHyphens/>
      <w:spacing w:after="0" w:line="240" w:lineRule="auto"/>
    </w:pPr>
    <w:rPr>
      <w:rFonts w:eastAsiaTheme="minorEastAsia"/>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6">
    <w:name w:val="Light Shading Accent 6"/>
    <w:basedOn w:val="a3"/>
    <w:uiPriority w:val="60"/>
    <w:rsid w:val="003D1B66"/>
    <w:pPr>
      <w:suppressAutoHyphens/>
      <w:spacing w:after="0" w:line="240" w:lineRule="auto"/>
    </w:pPr>
    <w:rPr>
      <w:rFonts w:eastAsiaTheme="minorEastAsia"/>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afd">
    <w:name w:val="Light List"/>
    <w:basedOn w:val="a3"/>
    <w:uiPriority w:val="61"/>
    <w:rsid w:val="003D1B66"/>
    <w:pPr>
      <w:suppressAutoHyphens/>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3D1B66"/>
    <w:pPr>
      <w:suppressAutoHyphens/>
      <w:spacing w:after="0" w:line="240" w:lineRule="auto"/>
    </w:pPr>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20">
    <w:name w:val="Light List Accent 2"/>
    <w:basedOn w:val="a3"/>
    <w:uiPriority w:val="61"/>
    <w:rsid w:val="003D1B66"/>
    <w:pPr>
      <w:suppressAutoHyphens/>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0">
    <w:name w:val="Light List Accent 3"/>
    <w:basedOn w:val="a3"/>
    <w:uiPriority w:val="61"/>
    <w:rsid w:val="003D1B66"/>
    <w:pPr>
      <w:suppressAutoHyphens/>
      <w:spacing w:after="0" w:line="240" w:lineRule="auto"/>
    </w:pPr>
    <w:rPr>
      <w:rFonts w:eastAsiaTheme="minorEastAsi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0">
    <w:name w:val="Light List Accent 4"/>
    <w:basedOn w:val="a3"/>
    <w:uiPriority w:val="61"/>
    <w:rsid w:val="003D1B66"/>
    <w:pPr>
      <w:suppressAutoHyphens/>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0">
    <w:name w:val="Light List Accent 5"/>
    <w:basedOn w:val="a3"/>
    <w:uiPriority w:val="61"/>
    <w:rsid w:val="003D1B66"/>
    <w:pPr>
      <w:suppressAutoHyphens/>
      <w:spacing w:after="0" w:line="240" w:lineRule="auto"/>
    </w:pPr>
    <w:rPr>
      <w:rFonts w:eastAsiaTheme="minorEastAsi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60">
    <w:name w:val="Light List Accent 6"/>
    <w:basedOn w:val="a3"/>
    <w:uiPriority w:val="61"/>
    <w:rsid w:val="003D1B66"/>
    <w:pPr>
      <w:suppressAutoHyphens/>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afe">
    <w:name w:val="Light Grid"/>
    <w:basedOn w:val="a3"/>
    <w:uiPriority w:val="62"/>
    <w:rsid w:val="003D1B66"/>
    <w:pPr>
      <w:suppressAutoHyphens/>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3D1B66"/>
    <w:pPr>
      <w:suppressAutoHyphens/>
      <w:spacing w:after="0" w:line="240" w:lineRule="auto"/>
    </w:pPr>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21">
    <w:name w:val="Light Grid Accent 2"/>
    <w:basedOn w:val="a3"/>
    <w:uiPriority w:val="62"/>
    <w:rsid w:val="003D1B66"/>
    <w:pPr>
      <w:suppressAutoHyphens/>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1">
    <w:name w:val="Light Grid Accent 3"/>
    <w:basedOn w:val="a3"/>
    <w:uiPriority w:val="62"/>
    <w:rsid w:val="003D1B66"/>
    <w:pPr>
      <w:suppressAutoHyphens/>
      <w:spacing w:after="0" w:line="240" w:lineRule="auto"/>
    </w:pPr>
    <w:rPr>
      <w:rFonts w:eastAsiaTheme="minorEastAsi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1">
    <w:name w:val="Light Grid Accent 4"/>
    <w:basedOn w:val="a3"/>
    <w:uiPriority w:val="62"/>
    <w:rsid w:val="003D1B66"/>
    <w:pPr>
      <w:suppressAutoHyphens/>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1">
    <w:name w:val="Light Grid Accent 5"/>
    <w:basedOn w:val="a3"/>
    <w:uiPriority w:val="62"/>
    <w:rsid w:val="003D1B66"/>
    <w:pPr>
      <w:suppressAutoHyphens/>
      <w:spacing w:after="0" w:line="240" w:lineRule="auto"/>
    </w:pPr>
    <w:rPr>
      <w:rFonts w:eastAsiaTheme="minorEastAsi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61">
    <w:name w:val="Light Grid Accent 6"/>
    <w:basedOn w:val="a3"/>
    <w:uiPriority w:val="62"/>
    <w:rsid w:val="003D1B66"/>
    <w:pPr>
      <w:suppressAutoHyphens/>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10">
    <w:name w:val="Medium Shading 1"/>
    <w:basedOn w:val="a3"/>
    <w:uiPriority w:val="63"/>
    <w:rsid w:val="003D1B66"/>
    <w:pPr>
      <w:suppressAutoHyphens/>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3D1B66"/>
    <w:pPr>
      <w:suppressAutoHyphens/>
      <w:spacing w:after="0" w:line="240" w:lineRule="auto"/>
    </w:pPr>
    <w:rPr>
      <w:rFonts w:eastAsiaTheme="minorEastAsia"/>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3D1B66"/>
    <w:pPr>
      <w:suppressAutoHyphens/>
      <w:spacing w:after="0" w:line="240" w:lineRule="auto"/>
    </w:pPr>
    <w:rPr>
      <w:rFonts w:eastAsiaTheme="minorEastAsi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3D1B66"/>
    <w:pPr>
      <w:suppressAutoHyphens/>
      <w:spacing w:after="0" w:line="240" w:lineRule="auto"/>
    </w:pPr>
    <w:rPr>
      <w:rFonts w:eastAsiaTheme="minorEastAsi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3D1B66"/>
    <w:pPr>
      <w:suppressAutoHyphens/>
      <w:spacing w:after="0" w:line="240" w:lineRule="auto"/>
    </w:pPr>
    <w:rPr>
      <w:rFonts w:eastAsiaTheme="minorEastAsi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3D1B66"/>
    <w:pPr>
      <w:suppressAutoHyphens/>
      <w:spacing w:after="0" w:line="240" w:lineRule="auto"/>
    </w:pPr>
    <w:rPr>
      <w:rFonts w:eastAsiaTheme="minorEastAsia"/>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3D1B66"/>
    <w:pPr>
      <w:suppressAutoHyphens/>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3D1B66"/>
    <w:pPr>
      <w:suppressAutoHyphens/>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3D1B66"/>
    <w:pPr>
      <w:suppressAutoHyphens/>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3D1B66"/>
    <w:pPr>
      <w:suppressAutoHyphens/>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3D1B66"/>
    <w:pPr>
      <w:suppressAutoHyphens/>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3D1B66"/>
    <w:pPr>
      <w:suppressAutoHyphens/>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3D1B66"/>
    <w:pPr>
      <w:suppressAutoHyphens/>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3D1B66"/>
    <w:pPr>
      <w:suppressAutoHyphens/>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3D1B66"/>
    <w:pPr>
      <w:suppressAutoHyphens/>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3D1B66"/>
    <w:pPr>
      <w:suppressAutoHyphens/>
      <w:spacing w:after="0" w:line="240" w:lineRule="auto"/>
    </w:pPr>
    <w:rPr>
      <w:rFonts w:eastAsiaTheme="minorEastAsia"/>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1-20">
    <w:name w:val="Medium List 1 Accent 2"/>
    <w:basedOn w:val="a3"/>
    <w:uiPriority w:val="65"/>
    <w:rsid w:val="003D1B66"/>
    <w:pPr>
      <w:suppressAutoHyphens/>
      <w:spacing w:after="0" w:line="240" w:lineRule="auto"/>
    </w:pPr>
    <w:rPr>
      <w:rFonts w:eastAsiaTheme="minorEastAsia"/>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0">
    <w:name w:val="Medium List 1 Accent 3"/>
    <w:basedOn w:val="a3"/>
    <w:uiPriority w:val="65"/>
    <w:rsid w:val="003D1B66"/>
    <w:pPr>
      <w:suppressAutoHyphens/>
      <w:spacing w:after="0" w:line="240" w:lineRule="auto"/>
    </w:pPr>
    <w:rPr>
      <w:rFonts w:eastAsiaTheme="minorEastAsia"/>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0">
    <w:name w:val="Medium List 1 Accent 4"/>
    <w:basedOn w:val="a3"/>
    <w:uiPriority w:val="65"/>
    <w:rsid w:val="003D1B66"/>
    <w:pPr>
      <w:suppressAutoHyphens/>
      <w:spacing w:after="0" w:line="240" w:lineRule="auto"/>
    </w:pPr>
    <w:rPr>
      <w:rFonts w:eastAsiaTheme="minorEastAsia"/>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0">
    <w:name w:val="Medium List 1 Accent 5"/>
    <w:basedOn w:val="a3"/>
    <w:uiPriority w:val="65"/>
    <w:rsid w:val="003D1B66"/>
    <w:pPr>
      <w:suppressAutoHyphens/>
      <w:spacing w:after="0" w:line="240" w:lineRule="auto"/>
    </w:pPr>
    <w:rPr>
      <w:rFonts w:eastAsiaTheme="minorEastAsia"/>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60">
    <w:name w:val="Medium List 1 Accent 6"/>
    <w:basedOn w:val="a3"/>
    <w:uiPriority w:val="65"/>
    <w:rsid w:val="003D1B66"/>
    <w:pPr>
      <w:suppressAutoHyphens/>
      <w:spacing w:after="0" w:line="240" w:lineRule="auto"/>
    </w:pPr>
    <w:rPr>
      <w:rFonts w:eastAsiaTheme="minorEastAsia"/>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26">
    <w:name w:val="Medium List 2"/>
    <w:basedOn w:val="a3"/>
    <w:uiPriority w:val="66"/>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3D1B66"/>
    <w:pPr>
      <w:suppressAutoHyphens/>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3D1B66"/>
    <w:pPr>
      <w:suppressAutoHyphens/>
      <w:spacing w:after="0" w:line="240" w:lineRule="auto"/>
    </w:pPr>
    <w:rPr>
      <w:rFonts w:eastAsiaTheme="minorEastAsia"/>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4472C4" w:themeColor="accent1"/>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21">
    <w:name w:val="Medium Grid 1 Accent 2"/>
    <w:basedOn w:val="a3"/>
    <w:uiPriority w:val="67"/>
    <w:rsid w:val="003D1B66"/>
    <w:pPr>
      <w:suppressAutoHyphens/>
      <w:spacing w:after="0" w:line="240" w:lineRule="auto"/>
    </w:pPr>
    <w:rPr>
      <w:rFonts w:eastAsiaTheme="minorEastAsi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ED7D31" w:themeColor="accent2"/>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3"/>
    <w:uiPriority w:val="67"/>
    <w:rsid w:val="003D1B66"/>
    <w:pPr>
      <w:suppressAutoHyphens/>
      <w:spacing w:after="0" w:line="240" w:lineRule="auto"/>
    </w:pPr>
    <w:rPr>
      <w:rFonts w:eastAsiaTheme="minorEastAsi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A5A5A5" w:themeColor="accent3"/>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3"/>
    <w:uiPriority w:val="67"/>
    <w:rsid w:val="003D1B66"/>
    <w:pPr>
      <w:suppressAutoHyphens/>
      <w:spacing w:after="0" w:line="240" w:lineRule="auto"/>
    </w:pPr>
    <w:rPr>
      <w:rFonts w:eastAsiaTheme="minorEastAsi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000" w:themeColor="accent4"/>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3"/>
    <w:uiPriority w:val="67"/>
    <w:rsid w:val="003D1B66"/>
    <w:pPr>
      <w:suppressAutoHyphens/>
      <w:spacing w:after="0" w:line="240" w:lineRule="auto"/>
    </w:pPr>
    <w:rPr>
      <w:rFonts w:eastAsiaTheme="minorEastAsia"/>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5B9BD5" w:themeColor="accent5"/>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1-61">
    <w:name w:val="Medium Grid 1 Accent 6"/>
    <w:basedOn w:val="a3"/>
    <w:uiPriority w:val="67"/>
    <w:rsid w:val="003D1B66"/>
    <w:pPr>
      <w:suppressAutoHyphens/>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70AD47" w:themeColor="accent6"/>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7">
    <w:name w:val="Medium Grid 2"/>
    <w:basedOn w:val="a3"/>
    <w:uiPriority w:val="68"/>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3D1B66"/>
    <w:pPr>
      <w:suppressAutoHyphens/>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35">
    <w:name w:val="Medium Grid 3"/>
    <w:basedOn w:val="a3"/>
    <w:uiPriority w:val="69"/>
    <w:rsid w:val="003D1B66"/>
    <w:pPr>
      <w:suppressAutoHyphens/>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3D1B66"/>
    <w:pPr>
      <w:suppressAutoHyphens/>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3-2">
    <w:name w:val="Medium Grid 3 Accent 2"/>
    <w:basedOn w:val="a3"/>
    <w:uiPriority w:val="69"/>
    <w:rsid w:val="003D1B66"/>
    <w:pPr>
      <w:suppressAutoHyphens/>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3"/>
    <w:uiPriority w:val="69"/>
    <w:rsid w:val="003D1B66"/>
    <w:pPr>
      <w:suppressAutoHyphens/>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3"/>
    <w:uiPriority w:val="69"/>
    <w:rsid w:val="003D1B66"/>
    <w:pPr>
      <w:suppressAutoHyphens/>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3"/>
    <w:uiPriority w:val="69"/>
    <w:rsid w:val="003D1B66"/>
    <w:pPr>
      <w:suppressAutoHyphens/>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3-6">
    <w:name w:val="Medium Grid 3 Accent 6"/>
    <w:basedOn w:val="a3"/>
    <w:uiPriority w:val="69"/>
    <w:rsid w:val="003D1B66"/>
    <w:pPr>
      <w:suppressAutoHyphens/>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aff">
    <w:name w:val="Dark List"/>
    <w:basedOn w:val="a3"/>
    <w:uiPriority w:val="70"/>
    <w:rsid w:val="003D1B66"/>
    <w:pPr>
      <w:suppressAutoHyphens/>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3D1B66"/>
    <w:pPr>
      <w:suppressAutoHyphens/>
      <w:spacing w:after="0" w:line="240" w:lineRule="auto"/>
    </w:pPr>
    <w:rPr>
      <w:rFonts w:eastAsiaTheme="minorEastAsia"/>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22">
    <w:name w:val="Dark List Accent 2"/>
    <w:basedOn w:val="a3"/>
    <w:uiPriority w:val="70"/>
    <w:rsid w:val="003D1B66"/>
    <w:pPr>
      <w:suppressAutoHyphens/>
      <w:spacing w:after="0" w:line="240" w:lineRule="auto"/>
    </w:pPr>
    <w:rPr>
      <w:rFonts w:eastAsiaTheme="minorEastAsia"/>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2">
    <w:name w:val="Dark List Accent 3"/>
    <w:basedOn w:val="a3"/>
    <w:uiPriority w:val="70"/>
    <w:rsid w:val="003D1B66"/>
    <w:pPr>
      <w:suppressAutoHyphens/>
      <w:spacing w:after="0" w:line="240" w:lineRule="auto"/>
    </w:pPr>
    <w:rPr>
      <w:rFonts w:eastAsiaTheme="minorEastAsia"/>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2">
    <w:name w:val="Dark List Accent 4"/>
    <w:basedOn w:val="a3"/>
    <w:uiPriority w:val="70"/>
    <w:rsid w:val="003D1B66"/>
    <w:pPr>
      <w:suppressAutoHyphens/>
      <w:spacing w:after="0" w:line="240" w:lineRule="auto"/>
    </w:pPr>
    <w:rPr>
      <w:rFonts w:eastAsiaTheme="minorEastAsia"/>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2">
    <w:name w:val="Dark List Accent 5"/>
    <w:basedOn w:val="a3"/>
    <w:uiPriority w:val="70"/>
    <w:rsid w:val="003D1B66"/>
    <w:pPr>
      <w:suppressAutoHyphens/>
      <w:spacing w:after="0" w:line="240" w:lineRule="auto"/>
    </w:pPr>
    <w:rPr>
      <w:rFonts w:eastAsiaTheme="minorEastAsia"/>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62">
    <w:name w:val="Dark List Accent 6"/>
    <w:basedOn w:val="a3"/>
    <w:uiPriority w:val="70"/>
    <w:rsid w:val="003D1B66"/>
    <w:pPr>
      <w:suppressAutoHyphens/>
      <w:spacing w:after="0" w:line="240" w:lineRule="auto"/>
    </w:pPr>
    <w:rPr>
      <w:rFonts w:eastAsiaTheme="minorEastAsia"/>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aff0">
    <w:name w:val="Colorful Shading"/>
    <w:basedOn w:val="a3"/>
    <w:uiPriority w:val="71"/>
    <w:rsid w:val="003D1B66"/>
    <w:pPr>
      <w:suppressAutoHyphens/>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3D1B66"/>
    <w:pPr>
      <w:suppressAutoHyphens/>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4472C4" w:themeColor="accent1"/>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3D1B66"/>
    <w:pPr>
      <w:suppressAutoHyphens/>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ED7D31" w:themeColor="accent2"/>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3D1B66"/>
    <w:pPr>
      <w:suppressAutoHyphens/>
      <w:spacing w:after="0" w:line="240" w:lineRule="auto"/>
    </w:pPr>
    <w:rPr>
      <w:rFonts w:eastAsiaTheme="minorEastAsia"/>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A5A5A5" w:themeColor="accent3"/>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3">
    <w:name w:val="Colorful Shading Accent 4"/>
    <w:basedOn w:val="a3"/>
    <w:uiPriority w:val="71"/>
    <w:rsid w:val="003D1B66"/>
    <w:pPr>
      <w:suppressAutoHyphens/>
      <w:spacing w:after="0" w:line="240" w:lineRule="auto"/>
    </w:pPr>
    <w:rPr>
      <w:rFonts w:eastAsiaTheme="minorEastAsia"/>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FFC000" w:themeColor="accent4"/>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3D1B66"/>
    <w:pPr>
      <w:suppressAutoHyphens/>
      <w:spacing w:after="0" w:line="240" w:lineRule="auto"/>
    </w:pPr>
    <w:rPr>
      <w:rFonts w:eastAsiaTheme="minorEastAsia"/>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5B9BD5" w:themeColor="accent5"/>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3D1B66"/>
    <w:pPr>
      <w:suppressAutoHyphens/>
      <w:spacing w:after="0" w:line="240" w:lineRule="auto"/>
    </w:pPr>
    <w:rPr>
      <w:rFonts w:eastAsiaTheme="minorEastAsia"/>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70AD47" w:themeColor="accent6"/>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aff1">
    <w:name w:val="Colorful List"/>
    <w:basedOn w:val="a3"/>
    <w:uiPriority w:val="72"/>
    <w:rsid w:val="003D1B66"/>
    <w:pPr>
      <w:suppressAutoHyphens/>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3D1B66"/>
    <w:pPr>
      <w:suppressAutoHyphens/>
      <w:spacing w:after="0" w:line="240" w:lineRule="auto"/>
    </w:pPr>
    <w:rPr>
      <w:rFonts w:eastAsiaTheme="minorEastAsia"/>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24">
    <w:name w:val="Colorful List Accent 2"/>
    <w:basedOn w:val="a3"/>
    <w:uiPriority w:val="72"/>
    <w:rsid w:val="003D1B66"/>
    <w:pPr>
      <w:suppressAutoHyphens/>
      <w:spacing w:after="0" w:line="240" w:lineRule="auto"/>
    </w:pPr>
    <w:rPr>
      <w:rFonts w:eastAsiaTheme="minorEastAsia"/>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4">
    <w:name w:val="Colorful List Accent 3"/>
    <w:basedOn w:val="a3"/>
    <w:uiPriority w:val="72"/>
    <w:rsid w:val="003D1B66"/>
    <w:pPr>
      <w:suppressAutoHyphens/>
      <w:spacing w:after="0" w:line="240" w:lineRule="auto"/>
    </w:pPr>
    <w:rPr>
      <w:rFonts w:eastAsiaTheme="minorEastAsia"/>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4">
    <w:name w:val="Colorful List Accent 4"/>
    <w:basedOn w:val="a3"/>
    <w:uiPriority w:val="72"/>
    <w:rsid w:val="003D1B66"/>
    <w:pPr>
      <w:suppressAutoHyphens/>
      <w:spacing w:after="0" w:line="240" w:lineRule="auto"/>
    </w:pPr>
    <w:rPr>
      <w:rFonts w:eastAsiaTheme="minorEastAsia"/>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4">
    <w:name w:val="Colorful List Accent 5"/>
    <w:basedOn w:val="a3"/>
    <w:uiPriority w:val="72"/>
    <w:rsid w:val="003D1B66"/>
    <w:pPr>
      <w:suppressAutoHyphens/>
      <w:spacing w:after="0" w:line="240" w:lineRule="auto"/>
    </w:pPr>
    <w:rPr>
      <w:rFonts w:eastAsiaTheme="minorEastAsia"/>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64">
    <w:name w:val="Colorful List Accent 6"/>
    <w:basedOn w:val="a3"/>
    <w:uiPriority w:val="72"/>
    <w:rsid w:val="003D1B66"/>
    <w:pPr>
      <w:suppressAutoHyphens/>
      <w:spacing w:after="0" w:line="240" w:lineRule="auto"/>
    </w:pPr>
    <w:rPr>
      <w:rFonts w:eastAsiaTheme="minorEastAsia"/>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aff2">
    <w:name w:val="Colorful Grid"/>
    <w:basedOn w:val="a3"/>
    <w:uiPriority w:val="73"/>
    <w:rsid w:val="003D1B66"/>
    <w:pPr>
      <w:suppressAutoHyphens/>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3D1B66"/>
    <w:pPr>
      <w:suppressAutoHyphens/>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5">
    <w:name w:val="Colorful Grid Accent 2"/>
    <w:basedOn w:val="a3"/>
    <w:uiPriority w:val="73"/>
    <w:rsid w:val="003D1B66"/>
    <w:pPr>
      <w:suppressAutoHyphens/>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5">
    <w:name w:val="Colorful Grid Accent 3"/>
    <w:basedOn w:val="a3"/>
    <w:uiPriority w:val="73"/>
    <w:rsid w:val="003D1B66"/>
    <w:pPr>
      <w:suppressAutoHyphens/>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5">
    <w:name w:val="Colorful Grid Accent 4"/>
    <w:basedOn w:val="a3"/>
    <w:uiPriority w:val="73"/>
    <w:rsid w:val="003D1B66"/>
    <w:pPr>
      <w:suppressAutoHyphens/>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5">
    <w:name w:val="Colorful Grid Accent 5"/>
    <w:basedOn w:val="a3"/>
    <w:uiPriority w:val="73"/>
    <w:rsid w:val="003D1B66"/>
    <w:pPr>
      <w:suppressAutoHyphens/>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65">
    <w:name w:val="Colorful Grid Accent 6"/>
    <w:basedOn w:val="a3"/>
    <w:uiPriority w:val="73"/>
    <w:rsid w:val="003D1B66"/>
    <w:pPr>
      <w:suppressAutoHyphens/>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53</Pages>
  <Words>14106</Words>
  <Characters>80408</Characters>
  <Application>Microsoft Office Word</Application>
  <DocSecurity>0</DocSecurity>
  <Lines>670</Lines>
  <Paragraphs>188</Paragraphs>
  <ScaleCrop>false</ScaleCrop>
  <Company>Ministry of Health</Company>
  <LinksUpToDate>false</LinksUpToDate>
  <CharactersWithSpaces>94326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Abdulrhman Almushawah</dc:creator>
  <cp:keywords/>
  <dc:description/>
  <cp:lastModifiedBy>Saad Abdulrhman Almushawah</cp:lastModifiedBy>
  <cp:revision>1</cp:revision>
  <dcterms:created xsi:type="dcterms:W3CDTF">2026-07-16T23:10:00Z</dcterms:created>
  <dcterms:modified xsi:type="dcterms:W3CDTF">2026-07-16T23:12:00Z</dcterms:modified>
</cp:coreProperties>
</file>